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5077" w14:textId="77777777" w:rsidR="00F038F1" w:rsidRPr="009B0C88" w:rsidRDefault="00F038F1" w:rsidP="001F1402">
      <w:pPr>
        <w:jc w:val="center"/>
        <w:rPr>
          <w:rFonts w:ascii="Garamond" w:eastAsia="Palatino Linotype" w:hAnsi="Garamond" w:cs="Palatino Linotype"/>
          <w:b/>
          <w:color w:val="000000" w:themeColor="text1"/>
          <w:sz w:val="36"/>
          <w:szCs w:val="36"/>
          <w:lang w:val="it" w:eastAsia="it-IT"/>
        </w:rPr>
      </w:pPr>
      <w:r w:rsidRPr="009B0C88">
        <w:rPr>
          <w:rFonts w:ascii="Garamond" w:eastAsia="Palatino Linotype" w:hAnsi="Garamond" w:cs="Palatino Linotype"/>
          <w:b/>
          <w:color w:val="000000" w:themeColor="text1"/>
          <w:sz w:val="36"/>
          <w:szCs w:val="36"/>
          <w:lang w:val="it" w:eastAsia="it-IT"/>
        </w:rPr>
        <w:t>Le nuove forme di gestione dei beni e dei servizi di interesse economico generale</w:t>
      </w:r>
    </w:p>
    <w:p w14:paraId="5AC5C4B0" w14:textId="03FC1F61" w:rsidR="00F038F1" w:rsidRPr="009B0C88" w:rsidRDefault="00F038F1" w:rsidP="00F038F1">
      <w:pPr>
        <w:spacing w:after="0" w:line="240" w:lineRule="auto"/>
        <w:jc w:val="center"/>
        <w:rPr>
          <w:rFonts w:ascii="Garamond" w:eastAsia="Palatino Linotype" w:hAnsi="Garamond" w:cs="Palatino Linotype"/>
          <w:b/>
          <w:color w:val="000000" w:themeColor="text1"/>
          <w:sz w:val="28"/>
          <w:szCs w:val="28"/>
          <w:lang w:val="it" w:eastAsia="it-IT"/>
        </w:rPr>
      </w:pPr>
      <w:r w:rsidRPr="009B0C88">
        <w:rPr>
          <w:rFonts w:ascii="Garamond" w:eastAsia="Palatino Linotype" w:hAnsi="Garamond" w:cs="Palatino Linotype"/>
          <w:b/>
          <w:color w:val="000000" w:themeColor="text1"/>
          <w:sz w:val="28"/>
          <w:szCs w:val="28"/>
          <w:lang w:val="it" w:eastAsia="it-IT"/>
        </w:rPr>
        <w:t>SALERNO, 25-26 settembre 2025</w:t>
      </w:r>
    </w:p>
    <w:p w14:paraId="7A4C8D33" w14:textId="33B45B00" w:rsidR="00DD796C" w:rsidRPr="009B0C88" w:rsidRDefault="00DD796C" w:rsidP="00DD796C">
      <w:pPr>
        <w:spacing w:after="0" w:line="240" w:lineRule="auto"/>
        <w:jc w:val="both"/>
        <w:rPr>
          <w:rFonts w:ascii="Garamond" w:eastAsia="Palatino Linotype" w:hAnsi="Garamond" w:cs="Palatino Linotype"/>
          <w:b/>
          <w:color w:val="000000" w:themeColor="text1"/>
          <w:sz w:val="28"/>
          <w:szCs w:val="28"/>
          <w:lang w:val="it" w:eastAsia="it-IT"/>
        </w:rPr>
      </w:pPr>
    </w:p>
    <w:p w14:paraId="70177D82" w14:textId="094E993A" w:rsidR="00F038F1" w:rsidRPr="009B0C88" w:rsidRDefault="00DD796C" w:rsidP="00F038F1">
      <w:pPr>
        <w:spacing w:after="0" w:line="240" w:lineRule="auto"/>
        <w:jc w:val="center"/>
        <w:rPr>
          <w:rFonts w:ascii="Garamond" w:eastAsia="Palatino Linotype" w:hAnsi="Garamond" w:cs="Palatino Linotype"/>
          <w:b/>
          <w:color w:val="000000" w:themeColor="text1"/>
          <w:sz w:val="28"/>
          <w:szCs w:val="28"/>
          <w:lang w:val="it" w:eastAsia="it-IT"/>
        </w:rPr>
      </w:pPr>
      <w:r w:rsidRPr="009B0C88">
        <w:rPr>
          <w:rFonts w:ascii="Garamond" w:eastAsia="Palatino Linotype" w:hAnsi="Garamond" w:cs="Palatino Linotype"/>
          <w:b/>
          <w:color w:val="000000" w:themeColor="text1"/>
          <w:sz w:val="28"/>
          <w:szCs w:val="28"/>
          <w:lang w:val="it" w:eastAsia="it-IT"/>
        </w:rPr>
        <w:t>La gestione dei servizi pubblici, tra autoorganizzazione ed esternalizzazione</w:t>
      </w:r>
    </w:p>
    <w:p w14:paraId="6DE529E4" w14:textId="2758EE4F" w:rsidR="004A2F83" w:rsidRPr="009B0C88" w:rsidRDefault="004A2F83" w:rsidP="004A2F83">
      <w:pPr>
        <w:spacing w:after="0" w:line="240" w:lineRule="auto"/>
        <w:jc w:val="center"/>
        <w:rPr>
          <w:rFonts w:ascii="Garamond" w:eastAsia="Palatino Linotype" w:hAnsi="Garamond" w:cs="Palatino Linotype"/>
          <w:i/>
          <w:color w:val="000000" w:themeColor="text1"/>
          <w:sz w:val="28"/>
          <w:szCs w:val="28"/>
          <w:lang w:val="it" w:eastAsia="it-IT"/>
        </w:rPr>
      </w:pPr>
      <w:r w:rsidRPr="009B0C88">
        <w:rPr>
          <w:rFonts w:ascii="Garamond" w:eastAsia="Palatino Linotype" w:hAnsi="Garamond" w:cs="Palatino Linotype"/>
          <w:i/>
          <w:color w:val="000000" w:themeColor="text1"/>
          <w:sz w:val="20"/>
          <w:szCs w:val="20"/>
          <w:lang w:val="it" w:eastAsia="it-IT"/>
        </w:rPr>
        <w:t xml:space="preserve">Marcello </w:t>
      </w:r>
      <w:proofErr w:type="spellStart"/>
      <w:r w:rsidRPr="009B0C88">
        <w:rPr>
          <w:rFonts w:ascii="Garamond" w:eastAsia="Palatino Linotype" w:hAnsi="Garamond" w:cs="Palatino Linotype"/>
          <w:i/>
          <w:color w:val="000000" w:themeColor="text1"/>
          <w:sz w:val="20"/>
          <w:szCs w:val="20"/>
          <w:lang w:val="it" w:eastAsia="it-IT"/>
        </w:rPr>
        <w:t>Polimeno</w:t>
      </w:r>
      <w:proofErr w:type="spellEnd"/>
      <w:r w:rsidRPr="004A2F83">
        <w:rPr>
          <w:rStyle w:val="Rimandonotaapidipagina"/>
          <w:rFonts w:ascii="Garamond" w:eastAsia="Palatino Linotype" w:hAnsi="Garamond" w:cs="Palatino Linotype"/>
          <w:color w:val="000000" w:themeColor="text1"/>
          <w:sz w:val="20"/>
          <w:szCs w:val="20"/>
          <w:lang w:val="it" w:eastAsia="it-IT"/>
        </w:rPr>
        <w:footnoteReference w:customMarkFollows="1" w:id="1"/>
        <w:t>*</w:t>
      </w:r>
    </w:p>
    <w:p w14:paraId="5FCF9C96" w14:textId="1884BE6E" w:rsidR="00F038F1" w:rsidRDefault="00F038F1">
      <w:pPr>
        <w:rPr>
          <w:b/>
        </w:rPr>
      </w:pPr>
    </w:p>
    <w:p w14:paraId="779052C3" w14:textId="74CFFEBA" w:rsidR="00217928" w:rsidRPr="00BB44F3" w:rsidRDefault="000D1093" w:rsidP="003400BF">
      <w:pPr>
        <w:pStyle w:val="Sommario1"/>
      </w:pPr>
      <w:r w:rsidRPr="00BB44F3">
        <w:t>S</w:t>
      </w:r>
      <w:r w:rsidR="00217928" w:rsidRPr="00BB44F3">
        <w:t>ommario</w:t>
      </w:r>
      <w:r w:rsidRPr="00BB44F3">
        <w:t xml:space="preserve">: </w:t>
      </w:r>
      <w:r w:rsidR="00217928" w:rsidRPr="00BB44F3">
        <w:t xml:space="preserve">1. Premessa. – 2. I servizi pubblici nell’ordinamento italiano. – 3. I servizi pubblici nell’ordinamento dell’Unione Europea. – 3.1. Le fonti. </w:t>
      </w:r>
      <w:r w:rsidR="005476EF" w:rsidRPr="00BB44F3">
        <w:t xml:space="preserve">– </w:t>
      </w:r>
      <w:r w:rsidR="00217928" w:rsidRPr="00BB44F3">
        <w:t xml:space="preserve">3.2. Riepilogo di alcune nozioni in tema di servizi di interesse economico generale. – 4. Cenni sulla recente evoluzione della materia dei servizi pubblici locali di </w:t>
      </w:r>
      <w:r w:rsidR="006D339F" w:rsidRPr="006D339F">
        <w:t>rilevanza economica</w:t>
      </w:r>
      <w:r w:rsidR="00217928" w:rsidRPr="00BB44F3">
        <w:t xml:space="preserve">. – 4.1. La situazione prima del referendum del 12 e 13 giugno 2021. – 4.2. Il referendum del 12 e 13 giugno 2021 e l’evoluzione successiva. – 4.3. La delega per il riordino della materia dei servizi pubblici locali di rilevanza economica. – 5. </w:t>
      </w:r>
      <w:r w:rsidR="00D61B01" w:rsidRPr="00D61B01">
        <w:t xml:space="preserve">La disciplina di cui al D. </w:t>
      </w:r>
      <w:proofErr w:type="spellStart"/>
      <w:r w:rsidR="00D61B01" w:rsidRPr="00D61B01">
        <w:t>Lgs</w:t>
      </w:r>
      <w:proofErr w:type="spellEnd"/>
      <w:r w:rsidR="00D61B01" w:rsidRPr="00D61B01">
        <w:t>. n. 201/2022 dei servizi pubblici locali di rilevanza economica</w:t>
      </w:r>
      <w:r w:rsidR="00217928" w:rsidRPr="00BB44F3">
        <w:t xml:space="preserve">. – 5.1. I principi in materia di servizi pubblici locali di rilevanza economica. – 5.2. La prevalenza della disciplina di cui al D. </w:t>
      </w:r>
      <w:proofErr w:type="spellStart"/>
      <w:r w:rsidR="00217928" w:rsidRPr="00BB44F3">
        <w:t>Lgs</w:t>
      </w:r>
      <w:proofErr w:type="spellEnd"/>
      <w:r w:rsidR="00217928" w:rsidRPr="00BB44F3">
        <w:t xml:space="preserve">. n. 201/2022 rispetto alle normative di settore. – 5.3. La riorganizzazione dei servizi pubblici locali di rilevanza economica e la dicotomia servizi a rete e servizi non a rete. – 5.4. Le tre fasi sulle quali è incentrata la disciplina dei servizi pubblici locali di rilevanza economica. – 6. L’istituzione: il perimetro del servizio pubblico locale. – 7. Le forme di gestione dei servizi pubblici locali di rilevanza economica. – </w:t>
      </w:r>
      <w:r w:rsidR="00512866" w:rsidRPr="00512866">
        <w:t>7.1. L’affidamento a terzi mediante procedura a evidenza pubblica</w:t>
      </w:r>
      <w:r w:rsidR="00512866">
        <w:t xml:space="preserve">. – </w:t>
      </w:r>
      <w:r w:rsidR="00217928" w:rsidRPr="00BB44F3">
        <w:t>7.</w:t>
      </w:r>
      <w:r w:rsidR="00512866">
        <w:t>2</w:t>
      </w:r>
      <w:r w:rsidR="00217928" w:rsidRPr="00BB44F3">
        <w:t>. L’affidamento a società mista. – 7.</w:t>
      </w:r>
      <w:r w:rsidR="00512866">
        <w:t>3</w:t>
      </w:r>
      <w:r w:rsidR="00217928" w:rsidRPr="00BB44F3">
        <w:t xml:space="preserve">. L’affidamento </w:t>
      </w:r>
      <w:r w:rsidR="00217928" w:rsidRPr="00512866">
        <w:rPr>
          <w:i/>
        </w:rPr>
        <w:t xml:space="preserve">in </w:t>
      </w:r>
      <w:proofErr w:type="spellStart"/>
      <w:r w:rsidR="00217928" w:rsidRPr="00512866">
        <w:rPr>
          <w:i/>
        </w:rPr>
        <w:t>house</w:t>
      </w:r>
      <w:proofErr w:type="spellEnd"/>
      <w:r w:rsidR="00217928" w:rsidRPr="00BB44F3">
        <w:t xml:space="preserve">. – 8. La regolazione del rapporto di pubblico servizio, la vigilanza e la tutela dell’utenza. – 9. Gli obblighi di ricognizione periodica e di trasparenza. – 10. Le disposizioni contenute nel D. </w:t>
      </w:r>
      <w:proofErr w:type="spellStart"/>
      <w:r w:rsidR="00217928" w:rsidRPr="00BB44F3">
        <w:t>Lgs</w:t>
      </w:r>
      <w:proofErr w:type="spellEnd"/>
      <w:r w:rsidR="00217928" w:rsidRPr="00BB44F3">
        <w:t>. n. 175/2016 connesse a tali obblighi di trasparenza e che circondano l’auto</w:t>
      </w:r>
      <w:r w:rsidR="00D31DB3">
        <w:t>produzione</w:t>
      </w:r>
      <w:r w:rsidR="00217928" w:rsidRPr="00BB44F3">
        <w:t xml:space="preserve"> di ulteriori cautele. – 11. Recenti prospettive di ulteriore riforma contenute nel disegno di Legge annuale per il Mercato e la Concorrenza 2025. – 12. Osservazioni conclusive.</w:t>
      </w:r>
    </w:p>
    <w:p w14:paraId="4EE6907A" w14:textId="67EE3FFB" w:rsidR="008459AB" w:rsidRPr="00BB44F3" w:rsidRDefault="008459AB" w:rsidP="003400BF">
      <w:pPr>
        <w:pStyle w:val="Sommario1"/>
      </w:pPr>
    </w:p>
    <w:p w14:paraId="1C187196" w14:textId="16A13297" w:rsidR="004D173B" w:rsidRPr="00BB44F3" w:rsidRDefault="008459AB" w:rsidP="002B0099">
      <w:pPr>
        <w:pStyle w:val="Titolo1"/>
        <w:jc w:val="both"/>
        <w:rPr>
          <w:rFonts w:ascii="Garamond" w:hAnsi="Garamond"/>
        </w:rPr>
      </w:pPr>
      <w:bookmarkStart w:id="0" w:name="_Toc209095114"/>
      <w:bookmarkStart w:id="1" w:name="_Toc209095175"/>
      <w:bookmarkStart w:id="2" w:name="_Toc209095650"/>
      <w:bookmarkStart w:id="3" w:name="_Toc209095683"/>
      <w:bookmarkStart w:id="4" w:name="_Toc209095716"/>
      <w:bookmarkStart w:id="5" w:name="_Toc209097831"/>
      <w:bookmarkStart w:id="6" w:name="_Toc209097863"/>
      <w:bookmarkStart w:id="7" w:name="_Toc209104510"/>
      <w:bookmarkStart w:id="8" w:name="_Toc209105875"/>
      <w:bookmarkStart w:id="9" w:name="_Toc209106761"/>
      <w:bookmarkStart w:id="10" w:name="_Toc209107500"/>
      <w:bookmarkStart w:id="11" w:name="_Toc209181400"/>
      <w:bookmarkStart w:id="12" w:name="_Toc209181490"/>
      <w:bookmarkStart w:id="13" w:name="_Toc209181546"/>
      <w:bookmarkStart w:id="14" w:name="_Toc209182697"/>
      <w:bookmarkStart w:id="15" w:name="_Toc209182894"/>
      <w:r w:rsidRPr="00BB44F3">
        <w:rPr>
          <w:rFonts w:ascii="Garamond" w:hAnsi="Garamond"/>
        </w:rPr>
        <w:t xml:space="preserve">1. </w:t>
      </w:r>
      <w:r w:rsidR="004D173B" w:rsidRPr="00BB44F3">
        <w:rPr>
          <w:rFonts w:ascii="Garamond" w:hAnsi="Garamond"/>
        </w:rPr>
        <w:t>Premessa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D0DDBCC" w14:textId="4CECE813" w:rsidR="00D23C44" w:rsidRPr="00BB44F3" w:rsidRDefault="004C1795"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Tenuto conto</w:t>
      </w:r>
      <w:r w:rsidR="005B1D06" w:rsidRPr="00BB44F3">
        <w:rPr>
          <w:rFonts w:ascii="Garamond" w:hAnsi="Garamond" w:cs="Times New Roman"/>
          <w:sz w:val="24"/>
          <w:szCs w:val="24"/>
        </w:rPr>
        <w:t xml:space="preserve"> della vastità della materia </w:t>
      </w:r>
      <w:r w:rsidR="008A28DC" w:rsidRPr="00BB44F3">
        <w:rPr>
          <w:rFonts w:ascii="Garamond" w:hAnsi="Garamond" w:cs="Times New Roman"/>
          <w:sz w:val="24"/>
          <w:szCs w:val="24"/>
        </w:rPr>
        <w:t>e del variegato numero di servizi pubblici esistenti</w:t>
      </w:r>
      <w:r w:rsidR="00D23C44" w:rsidRPr="00BB44F3">
        <w:rPr>
          <w:rFonts w:ascii="Garamond" w:hAnsi="Garamond" w:cs="Times New Roman"/>
          <w:sz w:val="24"/>
          <w:szCs w:val="24"/>
        </w:rPr>
        <w:t xml:space="preserve"> nell’ambito del mio intervento </w:t>
      </w:r>
      <w:r w:rsidR="00744338">
        <w:rPr>
          <w:rFonts w:ascii="Garamond" w:hAnsi="Garamond" w:cs="Times New Roman"/>
          <w:sz w:val="24"/>
          <w:szCs w:val="24"/>
        </w:rPr>
        <w:t>mi concentrerò soprattutto sulle forme di</w:t>
      </w:r>
      <w:r w:rsidR="00D23C44" w:rsidRPr="00BB44F3">
        <w:rPr>
          <w:rFonts w:ascii="Garamond" w:hAnsi="Garamond" w:cs="Times New Roman"/>
          <w:sz w:val="24"/>
          <w:szCs w:val="24"/>
        </w:rPr>
        <w:t xml:space="preserve"> gestione dei servizi pubblici locali di rilevanza economica e sulla disciplina dettata dal Decreto Legislativo 23 dicembre 2022, n. 201</w:t>
      </w:r>
      <w:r w:rsidR="007F2E5A" w:rsidRPr="00BB44F3">
        <w:rPr>
          <w:rStyle w:val="Rimandonotaapidipagina"/>
          <w:rFonts w:ascii="Garamond" w:hAnsi="Garamond" w:cs="Times New Roman"/>
          <w:sz w:val="24"/>
          <w:szCs w:val="24"/>
        </w:rPr>
        <w:footnoteReference w:id="2"/>
      </w:r>
      <w:r w:rsidR="00D23C44" w:rsidRPr="00BB44F3">
        <w:rPr>
          <w:rFonts w:ascii="Garamond" w:hAnsi="Garamond" w:cs="Times New Roman"/>
          <w:sz w:val="24"/>
          <w:szCs w:val="24"/>
        </w:rPr>
        <w:t xml:space="preserve">. </w:t>
      </w:r>
    </w:p>
    <w:p w14:paraId="65E22249" w14:textId="43AFAF6B" w:rsidR="001F6117" w:rsidRPr="00BB44F3" w:rsidRDefault="00D23C4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Ai fini dell’inquadramento delle questioni oggetto </w:t>
      </w:r>
      <w:r w:rsidR="00A276F6">
        <w:rPr>
          <w:rFonts w:ascii="Garamond" w:hAnsi="Garamond" w:cs="Times New Roman"/>
          <w:sz w:val="24"/>
          <w:szCs w:val="24"/>
        </w:rPr>
        <w:t>del presente</w:t>
      </w:r>
      <w:r w:rsidR="001F6117" w:rsidRPr="00BB44F3">
        <w:rPr>
          <w:rFonts w:ascii="Garamond" w:hAnsi="Garamond" w:cs="Times New Roman"/>
          <w:sz w:val="24"/>
          <w:szCs w:val="24"/>
        </w:rPr>
        <w:t xml:space="preserve"> contributo</w:t>
      </w:r>
      <w:r w:rsidRPr="00BB44F3">
        <w:rPr>
          <w:rFonts w:ascii="Garamond" w:hAnsi="Garamond" w:cs="Times New Roman"/>
          <w:sz w:val="24"/>
          <w:szCs w:val="24"/>
        </w:rPr>
        <w:t xml:space="preserve"> farò brevemente cenno alla nozione di servizio pubblico nell’ordinamento nazionale ed a</w:t>
      </w:r>
      <w:r w:rsidR="00A276F6">
        <w:rPr>
          <w:rFonts w:ascii="Garamond" w:hAnsi="Garamond" w:cs="Times New Roman"/>
          <w:sz w:val="24"/>
          <w:szCs w:val="24"/>
        </w:rPr>
        <w:t xml:space="preserve">i concetti </w:t>
      </w:r>
      <w:r w:rsidRPr="00BB44F3">
        <w:rPr>
          <w:rFonts w:ascii="Garamond" w:hAnsi="Garamond" w:cs="Times New Roman"/>
          <w:sz w:val="24"/>
          <w:szCs w:val="24"/>
        </w:rPr>
        <w:t>utilizzat</w:t>
      </w:r>
      <w:r w:rsidR="00A276F6">
        <w:rPr>
          <w:rFonts w:ascii="Garamond" w:hAnsi="Garamond" w:cs="Times New Roman"/>
          <w:sz w:val="24"/>
          <w:szCs w:val="24"/>
        </w:rPr>
        <w:t>i</w:t>
      </w:r>
      <w:r w:rsidRPr="00BB44F3">
        <w:rPr>
          <w:rFonts w:ascii="Garamond" w:hAnsi="Garamond" w:cs="Times New Roman"/>
          <w:sz w:val="24"/>
          <w:szCs w:val="24"/>
        </w:rPr>
        <w:t xml:space="preserve"> in ambito euro-unitario, ai relativi riferimenti normativi ed all’evoluzione della materia dei servizi pubblici locali </w:t>
      </w:r>
      <w:r w:rsidR="00744338">
        <w:rPr>
          <w:rFonts w:ascii="Garamond" w:hAnsi="Garamond" w:cs="Times New Roman"/>
          <w:sz w:val="24"/>
          <w:szCs w:val="24"/>
        </w:rPr>
        <w:t>avvenuta a partire dal 2008</w:t>
      </w:r>
      <w:r w:rsidR="001F6117" w:rsidRPr="00BB44F3">
        <w:rPr>
          <w:rFonts w:ascii="Garamond" w:hAnsi="Garamond" w:cs="Times New Roman"/>
          <w:sz w:val="24"/>
          <w:szCs w:val="24"/>
        </w:rPr>
        <w:t>.</w:t>
      </w:r>
    </w:p>
    <w:p w14:paraId="2A60B36C" w14:textId="0FB2AD2C" w:rsidR="001F6117" w:rsidRPr="00BB44F3" w:rsidRDefault="001F6117"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Sarà evidenziata la tensione che traspare dall’evoluzione della materia e dall’attuale normativa contenuta nel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n. 201/2022 tra il polo dell’esternalizzazione, da una parte, e quello dell’autoorganizzazione, dall’altra</w:t>
      </w:r>
      <w:r w:rsidR="004C1795">
        <w:rPr>
          <w:rFonts w:ascii="Garamond" w:hAnsi="Garamond" w:cs="Times New Roman"/>
          <w:sz w:val="24"/>
          <w:szCs w:val="24"/>
        </w:rPr>
        <w:t>,</w:t>
      </w:r>
      <w:r w:rsidRPr="00BB44F3">
        <w:rPr>
          <w:rFonts w:ascii="Garamond" w:hAnsi="Garamond" w:cs="Times New Roman"/>
          <w:sz w:val="24"/>
          <w:szCs w:val="24"/>
        </w:rPr>
        <w:t xml:space="preserve"> </w:t>
      </w:r>
      <w:r w:rsidR="004C1795">
        <w:rPr>
          <w:rFonts w:ascii="Garamond" w:hAnsi="Garamond" w:cs="Times New Roman"/>
          <w:sz w:val="24"/>
          <w:szCs w:val="24"/>
        </w:rPr>
        <w:t xml:space="preserve">nonché </w:t>
      </w:r>
      <w:r w:rsidRPr="00BB44F3">
        <w:rPr>
          <w:rFonts w:ascii="Garamond" w:hAnsi="Garamond" w:cs="Times New Roman"/>
          <w:sz w:val="24"/>
          <w:szCs w:val="24"/>
        </w:rPr>
        <w:t xml:space="preserve">come tale tensione </w:t>
      </w:r>
      <w:r w:rsidR="004C1795">
        <w:rPr>
          <w:rFonts w:ascii="Garamond" w:hAnsi="Garamond" w:cs="Times New Roman"/>
          <w:sz w:val="24"/>
          <w:szCs w:val="24"/>
        </w:rPr>
        <w:t>abbia</w:t>
      </w:r>
      <w:r w:rsidRPr="00BB44F3">
        <w:rPr>
          <w:rFonts w:ascii="Garamond" w:hAnsi="Garamond" w:cs="Times New Roman"/>
          <w:sz w:val="24"/>
          <w:szCs w:val="24"/>
        </w:rPr>
        <w:t xml:space="preserve"> plasmato questa disciplina ed i plurimi contenuti della stessa anche nel collegamento con quanto previsto dal Decreto Legislativo 19 agosto 2016, n. 175</w:t>
      </w:r>
      <w:r w:rsidR="00A276F6">
        <w:rPr>
          <w:rStyle w:val="Rimandonotaapidipagina"/>
          <w:rFonts w:ascii="Garamond" w:hAnsi="Garamond" w:cs="Times New Roman"/>
          <w:sz w:val="24"/>
          <w:szCs w:val="24"/>
        </w:rPr>
        <w:footnoteReference w:id="3"/>
      </w:r>
      <w:r w:rsidRPr="00BB44F3">
        <w:rPr>
          <w:rFonts w:ascii="Garamond" w:hAnsi="Garamond" w:cs="Times New Roman"/>
          <w:sz w:val="24"/>
          <w:szCs w:val="24"/>
        </w:rPr>
        <w:t xml:space="preserve"> in tema di società </w:t>
      </w:r>
      <w:r w:rsidR="00B700FA">
        <w:rPr>
          <w:rFonts w:ascii="Garamond" w:hAnsi="Garamond" w:cs="Times New Roman"/>
          <w:sz w:val="24"/>
          <w:szCs w:val="24"/>
        </w:rPr>
        <w:t xml:space="preserve">a </w:t>
      </w:r>
      <w:r w:rsidRPr="00BB44F3">
        <w:rPr>
          <w:rFonts w:ascii="Garamond" w:hAnsi="Garamond" w:cs="Times New Roman"/>
          <w:sz w:val="24"/>
          <w:szCs w:val="24"/>
        </w:rPr>
        <w:t>partecipa</w:t>
      </w:r>
      <w:r w:rsidR="00B700FA">
        <w:rPr>
          <w:rFonts w:ascii="Garamond" w:hAnsi="Garamond" w:cs="Times New Roman"/>
          <w:sz w:val="24"/>
          <w:szCs w:val="24"/>
        </w:rPr>
        <w:t>zione pubblica</w:t>
      </w:r>
      <w:r w:rsidRPr="00BB44F3">
        <w:rPr>
          <w:rFonts w:ascii="Garamond" w:hAnsi="Garamond" w:cs="Times New Roman"/>
          <w:sz w:val="24"/>
          <w:szCs w:val="24"/>
        </w:rPr>
        <w:t xml:space="preserve">. </w:t>
      </w:r>
    </w:p>
    <w:p w14:paraId="03770F66" w14:textId="799B4847" w:rsidR="001F6117" w:rsidRPr="00BB44F3" w:rsidRDefault="001F6117"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Mi soffermerò, infine, sulle recenti prospettive di ulterior</w:t>
      </w:r>
      <w:r w:rsidR="00371CFB">
        <w:rPr>
          <w:rFonts w:ascii="Garamond" w:hAnsi="Garamond" w:cs="Times New Roman"/>
          <w:sz w:val="24"/>
          <w:szCs w:val="24"/>
        </w:rPr>
        <w:t>e</w:t>
      </w:r>
      <w:r w:rsidRPr="00BB44F3">
        <w:rPr>
          <w:rFonts w:ascii="Garamond" w:hAnsi="Garamond" w:cs="Times New Roman"/>
          <w:sz w:val="24"/>
          <w:szCs w:val="24"/>
        </w:rPr>
        <w:t xml:space="preserve"> riforma della materia alla luce delle modifiche proposte nell’ambito del disegno di Legge annuale per il Mercato e la Concorrenza 2025</w:t>
      </w:r>
      <w:r w:rsidR="00D5387E" w:rsidRPr="00BB44F3">
        <w:rPr>
          <w:rFonts w:ascii="Garamond" w:hAnsi="Garamond" w:cs="Times New Roman"/>
          <w:sz w:val="24"/>
          <w:szCs w:val="24"/>
        </w:rPr>
        <w:t>.</w:t>
      </w:r>
    </w:p>
    <w:p w14:paraId="0BDA0DFA" w14:textId="77777777" w:rsidR="00D23C44" w:rsidRPr="00BB44F3" w:rsidRDefault="00D23C44" w:rsidP="002B0099">
      <w:pPr>
        <w:spacing w:after="0" w:line="240" w:lineRule="auto"/>
        <w:ind w:firstLine="454"/>
        <w:contextualSpacing/>
        <w:jc w:val="both"/>
        <w:rPr>
          <w:rFonts w:ascii="Garamond" w:hAnsi="Garamond" w:cs="Times New Roman"/>
          <w:sz w:val="24"/>
          <w:szCs w:val="24"/>
        </w:rPr>
      </w:pPr>
    </w:p>
    <w:p w14:paraId="2A29F669" w14:textId="1F3975C6" w:rsidR="00BE284B" w:rsidRPr="00BB44F3" w:rsidRDefault="008459AB" w:rsidP="00F77BBE">
      <w:pPr>
        <w:pStyle w:val="Titolo1"/>
        <w:jc w:val="both"/>
        <w:rPr>
          <w:rFonts w:ascii="Garamond" w:hAnsi="Garamond"/>
        </w:rPr>
      </w:pPr>
      <w:bookmarkStart w:id="16" w:name="_Toc209095115"/>
      <w:bookmarkStart w:id="17" w:name="_Toc209095176"/>
      <w:bookmarkStart w:id="18" w:name="_Toc209095651"/>
      <w:bookmarkStart w:id="19" w:name="_Toc209095684"/>
      <w:bookmarkStart w:id="20" w:name="_Toc209095717"/>
      <w:bookmarkStart w:id="21" w:name="_Toc209097832"/>
      <w:bookmarkStart w:id="22" w:name="_Toc209097864"/>
      <w:bookmarkStart w:id="23" w:name="_Toc209104511"/>
      <w:bookmarkStart w:id="24" w:name="_Toc209105876"/>
      <w:bookmarkStart w:id="25" w:name="_Toc209106762"/>
      <w:bookmarkStart w:id="26" w:name="_Toc209107501"/>
      <w:bookmarkStart w:id="27" w:name="_Toc209181401"/>
      <w:bookmarkStart w:id="28" w:name="_Toc209181491"/>
      <w:bookmarkStart w:id="29" w:name="_Toc209181547"/>
      <w:bookmarkStart w:id="30" w:name="_Toc209182698"/>
      <w:bookmarkStart w:id="31" w:name="_Toc209182895"/>
      <w:r w:rsidRPr="00BB44F3">
        <w:rPr>
          <w:rFonts w:ascii="Garamond" w:hAnsi="Garamond"/>
        </w:rPr>
        <w:lastRenderedPageBreak/>
        <w:t xml:space="preserve">2. </w:t>
      </w:r>
      <w:r w:rsidR="006043C7" w:rsidRPr="00BB44F3">
        <w:rPr>
          <w:rFonts w:ascii="Garamond" w:hAnsi="Garamond"/>
        </w:rPr>
        <w:t>I servizi pubblici nell’ordinamento italiano</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6086083" w14:textId="3029ECE0" w:rsidR="00437316" w:rsidRPr="00BB44F3" w:rsidRDefault="006043C7"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w:t>
      </w:r>
      <w:r w:rsidR="007F2E5A">
        <w:rPr>
          <w:rFonts w:ascii="Garamond" w:hAnsi="Garamond" w:cs="Times New Roman"/>
          <w:sz w:val="24"/>
          <w:szCs w:val="24"/>
        </w:rPr>
        <w:t xml:space="preserve">estrema </w:t>
      </w:r>
      <w:r w:rsidRPr="00BB44F3">
        <w:rPr>
          <w:rFonts w:ascii="Garamond" w:hAnsi="Garamond" w:cs="Times New Roman"/>
          <w:sz w:val="24"/>
          <w:szCs w:val="24"/>
        </w:rPr>
        <w:t>sintesi n</w:t>
      </w:r>
      <w:r w:rsidR="001C2AC1" w:rsidRPr="00BB44F3">
        <w:rPr>
          <w:rFonts w:ascii="Garamond" w:hAnsi="Garamond" w:cs="Times New Roman"/>
          <w:sz w:val="24"/>
          <w:szCs w:val="24"/>
        </w:rPr>
        <w:t xml:space="preserve">ell’ambito dell’ordinamento interno </w:t>
      </w:r>
      <w:r w:rsidR="00BE284B" w:rsidRPr="00BB44F3">
        <w:rPr>
          <w:rFonts w:ascii="Garamond" w:hAnsi="Garamond" w:cs="Times New Roman"/>
          <w:sz w:val="24"/>
          <w:szCs w:val="24"/>
        </w:rPr>
        <w:t>si sono tradizionalmente contrapposte</w:t>
      </w:r>
      <w:r w:rsidRPr="00BB44F3">
        <w:rPr>
          <w:rFonts w:ascii="Garamond" w:hAnsi="Garamond" w:cs="Times New Roman"/>
          <w:sz w:val="24"/>
          <w:szCs w:val="24"/>
        </w:rPr>
        <w:t xml:space="preserve"> due diverse teorie con riferimento a ciò che rientra nella nozione di servizio pubblico</w:t>
      </w:r>
      <w:r w:rsidR="00BE284B" w:rsidRPr="00BB44F3">
        <w:rPr>
          <w:rFonts w:ascii="Garamond" w:hAnsi="Garamond" w:cs="Times New Roman"/>
          <w:sz w:val="24"/>
          <w:szCs w:val="24"/>
        </w:rPr>
        <w:t>:</w:t>
      </w:r>
      <w:r w:rsidRPr="00BB44F3">
        <w:rPr>
          <w:rFonts w:ascii="Garamond" w:hAnsi="Garamond" w:cs="Times New Roman"/>
          <w:sz w:val="24"/>
          <w:szCs w:val="24"/>
        </w:rPr>
        <w:t xml:space="preserve"> </w:t>
      </w:r>
      <w:r w:rsidR="00BE284B" w:rsidRPr="00BB44F3">
        <w:rPr>
          <w:rFonts w:ascii="Garamond" w:hAnsi="Garamond" w:cs="Times New Roman"/>
          <w:sz w:val="24"/>
          <w:szCs w:val="24"/>
        </w:rPr>
        <w:t>la teoria soggettiva identifica il servizio pubblico in quella attività non avente carattere autoritativo erogata da un’amministrazione e volta a fornire prestazioni ai singoli utenti;</w:t>
      </w:r>
      <w:r w:rsidRPr="00BB44F3">
        <w:rPr>
          <w:rFonts w:ascii="Garamond" w:hAnsi="Garamond" w:cs="Times New Roman"/>
          <w:sz w:val="24"/>
          <w:szCs w:val="24"/>
        </w:rPr>
        <w:t xml:space="preserve"> </w:t>
      </w:r>
      <w:r w:rsidR="00BE284B" w:rsidRPr="00BB44F3">
        <w:rPr>
          <w:rFonts w:ascii="Garamond" w:hAnsi="Garamond" w:cs="Times New Roman"/>
          <w:sz w:val="24"/>
          <w:szCs w:val="24"/>
        </w:rPr>
        <w:t xml:space="preserve">la teoria oggettiva </w:t>
      </w:r>
      <w:r w:rsidR="00834841">
        <w:rPr>
          <w:rFonts w:ascii="Garamond" w:hAnsi="Garamond" w:cs="Times New Roman"/>
          <w:sz w:val="24"/>
          <w:szCs w:val="24"/>
        </w:rPr>
        <w:t xml:space="preserve">ritiene che </w:t>
      </w:r>
      <w:r w:rsidR="00BE284B" w:rsidRPr="00BB44F3">
        <w:rPr>
          <w:rFonts w:ascii="Garamond" w:hAnsi="Garamond" w:cs="Times New Roman"/>
          <w:sz w:val="24"/>
          <w:szCs w:val="24"/>
        </w:rPr>
        <w:t>la natura pubblica del se</w:t>
      </w:r>
      <w:r w:rsidR="00834841">
        <w:rPr>
          <w:rFonts w:ascii="Garamond" w:hAnsi="Garamond" w:cs="Times New Roman"/>
          <w:sz w:val="24"/>
          <w:szCs w:val="24"/>
        </w:rPr>
        <w:t>rvizio derivi</w:t>
      </w:r>
      <w:r w:rsidR="00BE284B" w:rsidRPr="00BB44F3">
        <w:rPr>
          <w:rFonts w:ascii="Garamond" w:hAnsi="Garamond" w:cs="Times New Roman"/>
          <w:sz w:val="24"/>
          <w:szCs w:val="24"/>
        </w:rPr>
        <w:t xml:space="preserve"> dalla disciplina pubblicistica cui l’attività è sottoposta e dalle finalità perseguite mediante tale attività, senza che sia determinante ai fini della qualificazione di un servizio come pubblico il soggetto che svolge </w:t>
      </w:r>
      <w:r w:rsidR="00834841">
        <w:rPr>
          <w:rFonts w:ascii="Garamond" w:hAnsi="Garamond" w:cs="Times New Roman"/>
          <w:sz w:val="24"/>
          <w:szCs w:val="24"/>
        </w:rPr>
        <w:t>l</w:t>
      </w:r>
      <w:r w:rsidR="00BE284B" w:rsidRPr="00BB44F3">
        <w:rPr>
          <w:rFonts w:ascii="Garamond" w:hAnsi="Garamond" w:cs="Times New Roman"/>
          <w:sz w:val="24"/>
          <w:szCs w:val="24"/>
        </w:rPr>
        <w:t>’attività</w:t>
      </w:r>
      <w:r w:rsidR="00BE284B" w:rsidRPr="00BB44F3">
        <w:rPr>
          <w:rStyle w:val="Rimandonotaapidipagina"/>
          <w:rFonts w:ascii="Garamond" w:hAnsi="Garamond" w:cs="Times New Roman"/>
          <w:sz w:val="24"/>
          <w:szCs w:val="24"/>
        </w:rPr>
        <w:footnoteReference w:id="4"/>
      </w:r>
      <w:r w:rsidR="00BE284B" w:rsidRPr="00BB44F3">
        <w:rPr>
          <w:rFonts w:ascii="Garamond" w:hAnsi="Garamond" w:cs="Times New Roman"/>
          <w:sz w:val="24"/>
          <w:szCs w:val="24"/>
        </w:rPr>
        <w:t>.</w:t>
      </w:r>
    </w:p>
    <w:p w14:paraId="5BF9109E" w14:textId="26F16A6B" w:rsidR="00791E5A" w:rsidRPr="00BB44F3" w:rsidRDefault="00791E5A"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 netta contrapposizione tra tali due teorie </w:t>
      </w:r>
      <w:r w:rsidR="007F2E5A">
        <w:rPr>
          <w:rFonts w:ascii="Garamond" w:hAnsi="Garamond" w:cs="Times New Roman"/>
          <w:sz w:val="24"/>
          <w:szCs w:val="24"/>
        </w:rPr>
        <w:t xml:space="preserve">è poi risultata tendenzialmente </w:t>
      </w:r>
      <w:r w:rsidRPr="00BB44F3">
        <w:rPr>
          <w:rFonts w:ascii="Garamond" w:hAnsi="Garamond" w:cs="Times New Roman"/>
          <w:sz w:val="24"/>
          <w:szCs w:val="24"/>
        </w:rPr>
        <w:t>stemperata dalle concrete nozioni di servizi</w:t>
      </w:r>
      <w:r w:rsidR="007F2E5A">
        <w:rPr>
          <w:rFonts w:ascii="Garamond" w:hAnsi="Garamond" w:cs="Times New Roman"/>
          <w:sz w:val="24"/>
          <w:szCs w:val="24"/>
        </w:rPr>
        <w:t>o</w:t>
      </w:r>
      <w:r w:rsidRPr="00BB44F3">
        <w:rPr>
          <w:rFonts w:ascii="Garamond" w:hAnsi="Garamond" w:cs="Times New Roman"/>
          <w:sz w:val="24"/>
          <w:szCs w:val="24"/>
        </w:rPr>
        <w:t xml:space="preserve"> pubblic</w:t>
      </w:r>
      <w:r w:rsidR="007F2E5A">
        <w:rPr>
          <w:rFonts w:ascii="Garamond" w:hAnsi="Garamond" w:cs="Times New Roman"/>
          <w:sz w:val="24"/>
          <w:szCs w:val="24"/>
        </w:rPr>
        <w:t xml:space="preserve">o </w:t>
      </w:r>
      <w:r w:rsidRPr="00BB44F3">
        <w:rPr>
          <w:rFonts w:ascii="Garamond" w:hAnsi="Garamond" w:cs="Times New Roman"/>
          <w:sz w:val="24"/>
          <w:szCs w:val="24"/>
        </w:rPr>
        <w:t>fatte proprie dal legislatore nel corso della lunga evoluzione normativa della materia.</w:t>
      </w:r>
    </w:p>
    <w:p w14:paraId="1055E51E" w14:textId="7265A8F5" w:rsidR="00BE284B" w:rsidRPr="00BB44F3" w:rsidRDefault="00791E5A"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Ad oggi, i</w:t>
      </w:r>
      <w:r w:rsidR="00BE284B" w:rsidRPr="00BB44F3">
        <w:rPr>
          <w:rFonts w:ascii="Garamond" w:hAnsi="Garamond" w:cs="Times New Roman"/>
          <w:sz w:val="24"/>
          <w:szCs w:val="24"/>
        </w:rPr>
        <w:t>l D</w:t>
      </w:r>
      <w:r w:rsidR="00437316" w:rsidRPr="00BB44F3">
        <w:rPr>
          <w:rFonts w:ascii="Garamond" w:hAnsi="Garamond" w:cs="Times New Roman"/>
          <w:sz w:val="24"/>
          <w:szCs w:val="24"/>
        </w:rPr>
        <w:t xml:space="preserve">. </w:t>
      </w:r>
      <w:proofErr w:type="spellStart"/>
      <w:r w:rsidR="00437316" w:rsidRPr="00BB44F3">
        <w:rPr>
          <w:rFonts w:ascii="Garamond" w:hAnsi="Garamond" w:cs="Times New Roman"/>
          <w:sz w:val="24"/>
          <w:szCs w:val="24"/>
        </w:rPr>
        <w:t>Lgs</w:t>
      </w:r>
      <w:proofErr w:type="spellEnd"/>
      <w:r w:rsidR="00437316" w:rsidRPr="00BB44F3">
        <w:rPr>
          <w:rFonts w:ascii="Garamond" w:hAnsi="Garamond" w:cs="Times New Roman"/>
          <w:sz w:val="24"/>
          <w:szCs w:val="24"/>
        </w:rPr>
        <w:t xml:space="preserve">. </w:t>
      </w:r>
      <w:r w:rsidR="00BE284B" w:rsidRPr="00BB44F3">
        <w:rPr>
          <w:rFonts w:ascii="Garamond" w:hAnsi="Garamond" w:cs="Times New Roman"/>
          <w:sz w:val="24"/>
          <w:szCs w:val="24"/>
        </w:rPr>
        <w:t>n. 201</w:t>
      </w:r>
      <w:r w:rsidR="00437316" w:rsidRPr="00BB44F3">
        <w:rPr>
          <w:rFonts w:ascii="Garamond" w:hAnsi="Garamond" w:cs="Times New Roman"/>
          <w:sz w:val="24"/>
          <w:szCs w:val="24"/>
        </w:rPr>
        <w:t xml:space="preserve"> 2022</w:t>
      </w:r>
      <w:r w:rsidR="003F4814" w:rsidRPr="00BB44F3">
        <w:rPr>
          <w:rFonts w:ascii="Garamond" w:hAnsi="Garamond" w:cs="Times New Roman"/>
          <w:sz w:val="24"/>
          <w:szCs w:val="24"/>
        </w:rPr>
        <w:t>,</w:t>
      </w:r>
      <w:r w:rsidR="00BE284B" w:rsidRPr="00BB44F3">
        <w:rPr>
          <w:rFonts w:ascii="Garamond" w:hAnsi="Garamond" w:cs="Times New Roman"/>
          <w:sz w:val="24"/>
          <w:szCs w:val="24"/>
        </w:rPr>
        <w:t xml:space="preserve"> dedicato al riordino della disciplina dei servizi pubblici locali di rilevanza economica</w:t>
      </w:r>
      <w:r w:rsidR="003F4814" w:rsidRPr="00BB44F3">
        <w:rPr>
          <w:rFonts w:ascii="Garamond" w:hAnsi="Garamond" w:cs="Times New Roman"/>
          <w:sz w:val="24"/>
          <w:szCs w:val="24"/>
        </w:rPr>
        <w:t>,</w:t>
      </w:r>
      <w:r w:rsidR="00BE284B" w:rsidRPr="00BB44F3">
        <w:rPr>
          <w:rFonts w:ascii="Garamond" w:hAnsi="Garamond" w:cs="Times New Roman"/>
          <w:sz w:val="24"/>
          <w:szCs w:val="24"/>
        </w:rPr>
        <w:t xml:space="preserve"> utilizza (alla </w:t>
      </w:r>
      <w:proofErr w:type="spellStart"/>
      <w:r w:rsidR="00BE284B" w:rsidRPr="00BB44F3">
        <w:rPr>
          <w:rFonts w:ascii="Garamond" w:hAnsi="Garamond" w:cs="Times New Roman"/>
          <w:sz w:val="24"/>
          <w:szCs w:val="24"/>
        </w:rPr>
        <w:t>lett</w:t>
      </w:r>
      <w:proofErr w:type="spellEnd"/>
      <w:r w:rsidR="00BE284B" w:rsidRPr="00BB44F3">
        <w:rPr>
          <w:rFonts w:ascii="Garamond" w:hAnsi="Garamond" w:cs="Times New Roman"/>
          <w:sz w:val="24"/>
          <w:szCs w:val="24"/>
        </w:rPr>
        <w:t>. c del comma 1 dell’art. 3) la seguente definizione di servizi di interesse economico generale di livello locale / servizi pubblici locali di rilevanza economica: “</w:t>
      </w:r>
      <w:r w:rsidR="00BE284B" w:rsidRPr="00BB44F3">
        <w:rPr>
          <w:rFonts w:ascii="Garamond" w:hAnsi="Garamond" w:cs="Times New Roman"/>
          <w:i/>
          <w:sz w:val="24"/>
          <w:szCs w:val="24"/>
        </w:rPr>
        <w:t>i servizi erogati o suscettibili di essere erogati dietro corrispettivo economico su un mercato, che non sarebbero svolti senza un intervento pubblico o sarebbero svolti a condizioni differenti in termini di accessibilità fisica ed economica, continuità, non discriminazione, qualità e sicurezza, che sono previsti dalla legge o che gli enti locali, nell'ambito delle proprie competenze, ritengono necessari per assicurare la soddisfazione dei bisogni delle comunità locali, così da garantire l'omogeneità dello sviluppo e la coesione sociale</w:t>
      </w:r>
      <w:r w:rsidR="00BE284B" w:rsidRPr="00BB44F3">
        <w:rPr>
          <w:rFonts w:ascii="Garamond" w:hAnsi="Garamond" w:cs="Times New Roman"/>
          <w:sz w:val="24"/>
          <w:szCs w:val="24"/>
        </w:rPr>
        <w:t>”.</w:t>
      </w:r>
    </w:p>
    <w:p w14:paraId="4A436E63" w14:textId="34AE0C13" w:rsidR="00BE284B" w:rsidRPr="00BB44F3" w:rsidRDefault="00BE284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definizione riprende sia la noz</w:t>
      </w:r>
      <w:r w:rsidR="00791E5A" w:rsidRPr="00BB44F3">
        <w:rPr>
          <w:rFonts w:ascii="Garamond" w:hAnsi="Garamond" w:cs="Times New Roman"/>
          <w:sz w:val="24"/>
          <w:szCs w:val="24"/>
        </w:rPr>
        <w:t>ione fatta propria dal diritto dell’Unione Europea</w:t>
      </w:r>
      <w:r w:rsidRPr="00BB44F3">
        <w:rPr>
          <w:rFonts w:ascii="Garamond" w:hAnsi="Garamond" w:cs="Times New Roman"/>
          <w:sz w:val="24"/>
          <w:szCs w:val="24"/>
        </w:rPr>
        <w:t xml:space="preserve">, sia la definizione recepita sin dal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175/2016</w:t>
      </w:r>
      <w:r w:rsidRPr="00BB44F3">
        <w:rPr>
          <w:rStyle w:val="Rimandonotaapidipagina"/>
          <w:rFonts w:ascii="Garamond" w:hAnsi="Garamond" w:cs="Times New Roman"/>
          <w:sz w:val="24"/>
          <w:szCs w:val="24"/>
        </w:rPr>
        <w:footnoteReference w:id="5"/>
      </w:r>
      <w:r w:rsidRPr="00BB44F3">
        <w:rPr>
          <w:rFonts w:ascii="Garamond" w:hAnsi="Garamond" w:cs="Times New Roman"/>
          <w:sz w:val="24"/>
          <w:szCs w:val="24"/>
        </w:rPr>
        <w:t>.</w:t>
      </w:r>
    </w:p>
    <w:p w14:paraId="17EEB88A" w14:textId="2716FDC9" w:rsidR="00BE284B" w:rsidRPr="00BB44F3" w:rsidRDefault="00E76FF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Gli e</w:t>
      </w:r>
      <w:r w:rsidR="00BE284B" w:rsidRPr="00BB44F3">
        <w:rPr>
          <w:rFonts w:ascii="Garamond" w:hAnsi="Garamond" w:cs="Times New Roman"/>
          <w:sz w:val="24"/>
          <w:szCs w:val="24"/>
        </w:rPr>
        <w:t>lementi sui quali è incentrata l’attuale definizione</w:t>
      </w:r>
      <w:r w:rsidRPr="00BB44F3">
        <w:rPr>
          <w:rFonts w:ascii="Garamond" w:hAnsi="Garamond" w:cs="Times New Roman"/>
          <w:sz w:val="24"/>
          <w:szCs w:val="24"/>
        </w:rPr>
        <w:t xml:space="preserve"> sono</w:t>
      </w:r>
      <w:r w:rsidR="00BE284B" w:rsidRPr="00BB44F3">
        <w:rPr>
          <w:rFonts w:ascii="Garamond" w:hAnsi="Garamond" w:cs="Times New Roman"/>
          <w:sz w:val="24"/>
          <w:szCs w:val="24"/>
        </w:rPr>
        <w:t>:</w:t>
      </w:r>
    </w:p>
    <w:p w14:paraId="3C2A412D" w14:textId="77777777" w:rsidR="00BE284B" w:rsidRPr="00BB44F3" w:rsidRDefault="00BE284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1) la natura economica del servizio, in quanto erogato dietro corrispettivo economico su un mercato;</w:t>
      </w:r>
    </w:p>
    <w:p w14:paraId="3C133A48" w14:textId="77777777" w:rsidR="00BE284B" w:rsidRPr="00BB44F3" w:rsidRDefault="00BE284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2) l’esistenza di un fallimento del mercato, trattandosi di servizi che in mancanza di intervento pubblico o non sarebbero svolti oppure lo sarebbero ma a condizioni differenti (dal punto di vista dell’accessibilità fisica ed economica, della continuità, della non discriminazione, della qualità e della sicurezza);</w:t>
      </w:r>
    </w:p>
    <w:p w14:paraId="48AFBB51" w14:textId="2EA98ED5" w:rsidR="00BE284B" w:rsidRPr="00BB44F3" w:rsidRDefault="00BE284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3) l’istituzione del servizio pubblico da parte della leg</w:t>
      </w:r>
      <w:r w:rsidR="00580928">
        <w:rPr>
          <w:rFonts w:ascii="Garamond" w:hAnsi="Garamond" w:cs="Times New Roman"/>
          <w:sz w:val="24"/>
          <w:szCs w:val="24"/>
        </w:rPr>
        <w:t>ge o da parte dell’ente locale</w:t>
      </w:r>
      <w:r w:rsidRPr="00BB44F3">
        <w:rPr>
          <w:rFonts w:ascii="Garamond" w:hAnsi="Garamond" w:cs="Times New Roman"/>
          <w:sz w:val="24"/>
          <w:szCs w:val="24"/>
        </w:rPr>
        <w:t xml:space="preserve"> “</w:t>
      </w:r>
      <w:r w:rsidRPr="00BB44F3">
        <w:rPr>
          <w:rFonts w:ascii="Garamond" w:hAnsi="Garamond" w:cs="Times New Roman"/>
          <w:i/>
          <w:sz w:val="24"/>
          <w:szCs w:val="24"/>
        </w:rPr>
        <w:t>per assicurare la soddisfazione dei bisogni delle comunità locali</w:t>
      </w:r>
      <w:r w:rsidRPr="00BB44F3">
        <w:rPr>
          <w:rFonts w:ascii="Garamond" w:hAnsi="Garamond" w:cs="Times New Roman"/>
          <w:sz w:val="24"/>
          <w:szCs w:val="24"/>
        </w:rPr>
        <w:t xml:space="preserve">” (quanto alle condizioni v. </w:t>
      </w:r>
      <w:r w:rsidRPr="00BB44F3">
        <w:rPr>
          <w:rFonts w:ascii="Garamond" w:hAnsi="Garamond" w:cs="Times New Roman"/>
          <w:i/>
          <w:sz w:val="24"/>
          <w:szCs w:val="24"/>
        </w:rPr>
        <w:t>infra</w:t>
      </w:r>
      <w:r w:rsidRPr="00BB44F3">
        <w:rPr>
          <w:rFonts w:ascii="Garamond" w:hAnsi="Garamond" w:cs="Times New Roman"/>
          <w:sz w:val="24"/>
          <w:szCs w:val="24"/>
        </w:rPr>
        <w:t>).</w:t>
      </w:r>
    </w:p>
    <w:p w14:paraId="18B1E021" w14:textId="37B0596A" w:rsidR="00BE284B" w:rsidRPr="00BB44F3" w:rsidRDefault="00BE284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Dagli elementi sui quali è incentrata tale definizione e dalle altre disposizioni contenute nel Decreto si ricava un concetto di servizio pubblico locale di carattere dinamico, che esalta le autonomie locali e l’iniziativa privata</w:t>
      </w:r>
      <w:r w:rsidR="00791E5A" w:rsidRPr="00BB44F3">
        <w:rPr>
          <w:rFonts w:ascii="Garamond" w:hAnsi="Garamond" w:cs="Times New Roman"/>
          <w:sz w:val="24"/>
          <w:szCs w:val="24"/>
        </w:rPr>
        <w:t>,</w:t>
      </w:r>
      <w:r w:rsidRPr="00BB44F3">
        <w:rPr>
          <w:rFonts w:ascii="Garamond" w:hAnsi="Garamond" w:cs="Times New Roman"/>
          <w:sz w:val="24"/>
          <w:szCs w:val="24"/>
        </w:rPr>
        <w:t xml:space="preserve"> modulabile a seconda delle diverse realtà territoriali e nel corso del tempo </w:t>
      </w:r>
      <w:r w:rsidR="00791E5A" w:rsidRPr="00BB44F3">
        <w:rPr>
          <w:rFonts w:ascii="Garamond" w:hAnsi="Garamond" w:cs="Times New Roman"/>
          <w:sz w:val="24"/>
          <w:szCs w:val="24"/>
        </w:rPr>
        <w:t>(</w:t>
      </w:r>
      <w:r w:rsidRPr="00BB44F3">
        <w:rPr>
          <w:rFonts w:ascii="Garamond" w:hAnsi="Garamond" w:cs="Times New Roman"/>
          <w:sz w:val="24"/>
          <w:szCs w:val="24"/>
        </w:rPr>
        <w:t>essendo strettamente influenzat</w:t>
      </w:r>
      <w:r w:rsidR="00791E5A" w:rsidRPr="00BB44F3">
        <w:rPr>
          <w:rFonts w:ascii="Garamond" w:hAnsi="Garamond" w:cs="Times New Roman"/>
          <w:sz w:val="24"/>
          <w:szCs w:val="24"/>
        </w:rPr>
        <w:t>o</w:t>
      </w:r>
      <w:r w:rsidRPr="00BB44F3">
        <w:rPr>
          <w:rFonts w:ascii="Garamond" w:hAnsi="Garamond" w:cs="Times New Roman"/>
          <w:sz w:val="24"/>
          <w:szCs w:val="24"/>
        </w:rPr>
        <w:t xml:space="preserve"> proprio dall’evoluzione delle sensibilità delle comunità locali di riferimento</w:t>
      </w:r>
      <w:r w:rsidRPr="00BB44F3">
        <w:rPr>
          <w:rStyle w:val="Rimandonotaapidipagina"/>
          <w:rFonts w:ascii="Garamond" w:hAnsi="Garamond" w:cs="Times New Roman"/>
          <w:sz w:val="24"/>
          <w:szCs w:val="24"/>
        </w:rPr>
        <w:footnoteReference w:id="6"/>
      </w:r>
      <w:r w:rsidR="00157118" w:rsidRPr="00BB44F3">
        <w:rPr>
          <w:rFonts w:ascii="Garamond" w:hAnsi="Garamond" w:cs="Times New Roman"/>
          <w:sz w:val="24"/>
          <w:szCs w:val="24"/>
        </w:rPr>
        <w:t xml:space="preserve"> </w:t>
      </w:r>
      <w:r w:rsidR="00E76FF3" w:rsidRPr="00BB44F3">
        <w:rPr>
          <w:rStyle w:val="Rimandonotaapidipagina"/>
          <w:rFonts w:ascii="Garamond" w:hAnsi="Garamond" w:cs="Times New Roman"/>
          <w:sz w:val="24"/>
          <w:szCs w:val="24"/>
        </w:rPr>
        <w:footnoteReference w:id="7"/>
      </w:r>
      <w:r w:rsidR="00791E5A" w:rsidRPr="00BB44F3">
        <w:rPr>
          <w:rFonts w:ascii="Garamond" w:hAnsi="Garamond" w:cs="Times New Roman"/>
          <w:sz w:val="24"/>
          <w:szCs w:val="24"/>
        </w:rPr>
        <w:t>)</w:t>
      </w:r>
      <w:r w:rsidRPr="00BB44F3">
        <w:rPr>
          <w:rFonts w:ascii="Garamond" w:hAnsi="Garamond" w:cs="Times New Roman"/>
          <w:sz w:val="24"/>
          <w:szCs w:val="24"/>
        </w:rPr>
        <w:t>.</w:t>
      </w:r>
    </w:p>
    <w:p w14:paraId="2ABA39C0" w14:textId="51A5DF0C" w:rsidR="00F038F1" w:rsidRPr="00BB44F3" w:rsidRDefault="004D173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Manca</w:t>
      </w:r>
      <w:r w:rsidR="00791E5A" w:rsidRPr="00BB44F3">
        <w:rPr>
          <w:rFonts w:ascii="Garamond" w:hAnsi="Garamond" w:cs="Times New Roman"/>
          <w:sz w:val="24"/>
          <w:szCs w:val="24"/>
        </w:rPr>
        <w:t>, invece,</w:t>
      </w:r>
      <w:r w:rsidRPr="00BB44F3">
        <w:rPr>
          <w:rFonts w:ascii="Garamond" w:hAnsi="Garamond" w:cs="Times New Roman"/>
          <w:sz w:val="24"/>
          <w:szCs w:val="24"/>
        </w:rPr>
        <w:t xml:space="preserve"> una definizione di servizio pu</w:t>
      </w:r>
      <w:r w:rsidR="005B1D06" w:rsidRPr="00BB44F3">
        <w:rPr>
          <w:rFonts w:ascii="Garamond" w:hAnsi="Garamond" w:cs="Times New Roman"/>
          <w:sz w:val="24"/>
          <w:szCs w:val="24"/>
        </w:rPr>
        <w:t>bblico sul piano costituzionale.</w:t>
      </w:r>
    </w:p>
    <w:p w14:paraId="45463ABD" w14:textId="41C61BFD" w:rsidR="004D173B" w:rsidRPr="00BB44F3" w:rsidRDefault="005B1D0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C</w:t>
      </w:r>
      <w:r w:rsidR="009D3292" w:rsidRPr="00BB44F3">
        <w:rPr>
          <w:rFonts w:ascii="Garamond" w:hAnsi="Garamond" w:cs="Times New Roman"/>
          <w:sz w:val="24"/>
          <w:szCs w:val="24"/>
        </w:rPr>
        <w:t>om’è noto l’</w:t>
      </w:r>
      <w:r w:rsidR="004D173B" w:rsidRPr="00BB44F3">
        <w:rPr>
          <w:rFonts w:ascii="Garamond" w:hAnsi="Garamond" w:cs="Times New Roman"/>
          <w:sz w:val="24"/>
          <w:szCs w:val="24"/>
        </w:rPr>
        <w:t xml:space="preserve">art. 43 </w:t>
      </w:r>
      <w:proofErr w:type="spellStart"/>
      <w:r w:rsidR="004D173B" w:rsidRPr="00BB44F3">
        <w:rPr>
          <w:rFonts w:ascii="Garamond" w:hAnsi="Garamond" w:cs="Times New Roman"/>
          <w:sz w:val="24"/>
          <w:szCs w:val="24"/>
        </w:rPr>
        <w:t>Cost</w:t>
      </w:r>
      <w:proofErr w:type="spellEnd"/>
      <w:r w:rsidR="004D173B" w:rsidRPr="00BB44F3">
        <w:rPr>
          <w:rFonts w:ascii="Garamond" w:hAnsi="Garamond" w:cs="Times New Roman"/>
          <w:sz w:val="24"/>
          <w:szCs w:val="24"/>
        </w:rPr>
        <w:t xml:space="preserve">. </w:t>
      </w:r>
      <w:r w:rsidR="009D3292" w:rsidRPr="00BB44F3">
        <w:rPr>
          <w:rFonts w:ascii="Garamond" w:hAnsi="Garamond" w:cs="Times New Roman"/>
          <w:sz w:val="24"/>
          <w:szCs w:val="24"/>
        </w:rPr>
        <w:t xml:space="preserve">si occupa dei servizi pubblici essenziali </w:t>
      </w:r>
      <w:r w:rsidR="00791E5A" w:rsidRPr="00BB44F3">
        <w:rPr>
          <w:rFonts w:ascii="Garamond" w:hAnsi="Garamond" w:cs="Times New Roman"/>
          <w:sz w:val="24"/>
          <w:szCs w:val="24"/>
        </w:rPr>
        <w:t>e dispone che:</w:t>
      </w:r>
      <w:r w:rsidR="009D3292" w:rsidRPr="00BB44F3">
        <w:rPr>
          <w:rFonts w:ascii="Garamond" w:hAnsi="Garamond" w:cs="Times New Roman"/>
          <w:sz w:val="24"/>
          <w:szCs w:val="24"/>
        </w:rPr>
        <w:t xml:space="preserve"> “</w:t>
      </w:r>
      <w:r w:rsidR="009D3292" w:rsidRPr="00BB44F3">
        <w:rPr>
          <w:rFonts w:ascii="Garamond" w:hAnsi="Garamond" w:cs="Times New Roman"/>
          <w:i/>
          <w:sz w:val="24"/>
          <w:szCs w:val="24"/>
        </w:rPr>
        <w:t>A fini di utilità generale la legge può riservare originariamente o trasferire, mediante espropriazione e salvo indennizzo, allo Stato, ad enti pubblici o a comunità di lavoratori o di utenti determinate imprese o categorie di imprese che si riferiscano a servizi pubblici essenziali o a fonti di energia o a situazioni di monopolio ed abbiano carattere di preminente interesse generale</w:t>
      </w:r>
      <w:r w:rsidR="009D3292" w:rsidRPr="00BB44F3">
        <w:rPr>
          <w:rFonts w:ascii="Garamond" w:hAnsi="Garamond" w:cs="Times New Roman"/>
          <w:sz w:val="24"/>
          <w:szCs w:val="24"/>
        </w:rPr>
        <w:t>”.</w:t>
      </w:r>
    </w:p>
    <w:p w14:paraId="17B0D12D" w14:textId="1AEBA2BF" w:rsidR="00D54554" w:rsidRPr="00BB44F3" w:rsidRDefault="00791E5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V</w:t>
      </w:r>
      <w:r w:rsidR="00E35FFE" w:rsidRPr="00BB44F3">
        <w:rPr>
          <w:rFonts w:ascii="Garamond" w:hAnsi="Garamond" w:cs="Times New Roman"/>
          <w:sz w:val="24"/>
          <w:szCs w:val="24"/>
        </w:rPr>
        <w:t xml:space="preserve">engono poi in rilievo gli artt. 2 (in tema di </w:t>
      </w:r>
      <w:r w:rsidR="007C2C1B" w:rsidRPr="00BB44F3">
        <w:rPr>
          <w:rFonts w:ascii="Garamond" w:hAnsi="Garamond" w:cs="Times New Roman"/>
          <w:sz w:val="24"/>
          <w:szCs w:val="24"/>
        </w:rPr>
        <w:t>diritti inv</w:t>
      </w:r>
      <w:r w:rsidR="003B7993">
        <w:rPr>
          <w:rFonts w:ascii="Garamond" w:hAnsi="Garamond" w:cs="Times New Roman"/>
          <w:sz w:val="24"/>
          <w:szCs w:val="24"/>
        </w:rPr>
        <w:t>i</w:t>
      </w:r>
      <w:r w:rsidR="007C2C1B" w:rsidRPr="00BB44F3">
        <w:rPr>
          <w:rFonts w:ascii="Garamond" w:hAnsi="Garamond" w:cs="Times New Roman"/>
          <w:sz w:val="24"/>
          <w:szCs w:val="24"/>
        </w:rPr>
        <w:t xml:space="preserve">olabili dei cittadini e di </w:t>
      </w:r>
      <w:r w:rsidR="00E35FFE" w:rsidRPr="00BB44F3">
        <w:rPr>
          <w:rFonts w:ascii="Garamond" w:hAnsi="Garamond" w:cs="Times New Roman"/>
          <w:sz w:val="24"/>
          <w:szCs w:val="24"/>
        </w:rPr>
        <w:t xml:space="preserve">doveri inderogabili di solidarietà economica e sociale) 3, comma 2, (contribuendo all’implementazione del principio di </w:t>
      </w:r>
      <w:r w:rsidR="00E35FFE" w:rsidRPr="00BB44F3">
        <w:rPr>
          <w:rFonts w:ascii="Garamond" w:hAnsi="Garamond" w:cs="Times New Roman"/>
          <w:sz w:val="24"/>
          <w:szCs w:val="24"/>
        </w:rPr>
        <w:lastRenderedPageBreak/>
        <w:t xml:space="preserve">uguaglianza in senso sostanziale) e </w:t>
      </w:r>
      <w:r w:rsidR="00D54554" w:rsidRPr="00BB44F3">
        <w:rPr>
          <w:rFonts w:ascii="Garamond" w:hAnsi="Garamond" w:cs="Times New Roman"/>
          <w:sz w:val="24"/>
          <w:szCs w:val="24"/>
        </w:rPr>
        <w:t xml:space="preserve">41 </w:t>
      </w:r>
      <w:proofErr w:type="spellStart"/>
      <w:r w:rsidR="00D54554" w:rsidRPr="00BB44F3">
        <w:rPr>
          <w:rFonts w:ascii="Garamond" w:hAnsi="Garamond" w:cs="Times New Roman"/>
          <w:sz w:val="24"/>
          <w:szCs w:val="24"/>
        </w:rPr>
        <w:t>Cost</w:t>
      </w:r>
      <w:proofErr w:type="spellEnd"/>
      <w:r w:rsidR="00D54554" w:rsidRPr="00BB44F3">
        <w:rPr>
          <w:rFonts w:ascii="Garamond" w:hAnsi="Garamond" w:cs="Times New Roman"/>
          <w:sz w:val="24"/>
          <w:szCs w:val="24"/>
        </w:rPr>
        <w:t>.</w:t>
      </w:r>
      <w:r w:rsidR="00E35FFE" w:rsidRPr="00BB44F3">
        <w:rPr>
          <w:rFonts w:ascii="Garamond" w:hAnsi="Garamond" w:cs="Times New Roman"/>
          <w:sz w:val="24"/>
          <w:szCs w:val="24"/>
        </w:rPr>
        <w:t xml:space="preserve"> (in relazione alla necessità che l’iniziativa economica non si svolga in contrasto con l’utilità sociale e</w:t>
      </w:r>
      <w:r w:rsidR="00FE7A91">
        <w:rPr>
          <w:rFonts w:ascii="Garamond" w:hAnsi="Garamond" w:cs="Times New Roman"/>
          <w:sz w:val="24"/>
          <w:szCs w:val="24"/>
        </w:rPr>
        <w:t>d alla possibilit</w:t>
      </w:r>
      <w:r w:rsidR="00344AEF">
        <w:rPr>
          <w:rFonts w:ascii="Garamond" w:hAnsi="Garamond" w:cs="Times New Roman"/>
          <w:sz w:val="24"/>
          <w:szCs w:val="24"/>
        </w:rPr>
        <w:t>à c</w:t>
      </w:r>
      <w:r w:rsidR="00E35FFE" w:rsidRPr="00BB44F3">
        <w:rPr>
          <w:rFonts w:ascii="Garamond" w:hAnsi="Garamond" w:cs="Times New Roman"/>
          <w:sz w:val="24"/>
          <w:szCs w:val="24"/>
        </w:rPr>
        <w:t>he l’attività economica pubblica e privata possa essere indirizzata e coordinata a fini sociali).</w:t>
      </w:r>
    </w:p>
    <w:p w14:paraId="6CB81EC8" w14:textId="47C5BF67" w:rsidR="005B1D06" w:rsidRPr="00BB44F3" w:rsidRDefault="009D329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 servizi pubblici</w:t>
      </w:r>
      <w:r w:rsidR="005B1D06" w:rsidRPr="00BB44F3">
        <w:rPr>
          <w:rFonts w:ascii="Garamond" w:hAnsi="Garamond" w:cs="Times New Roman"/>
          <w:sz w:val="24"/>
          <w:szCs w:val="24"/>
        </w:rPr>
        <w:t xml:space="preserve"> </w:t>
      </w:r>
      <w:r w:rsidR="00747162" w:rsidRPr="00BB44F3">
        <w:rPr>
          <w:rFonts w:ascii="Garamond" w:hAnsi="Garamond" w:cs="Times New Roman"/>
          <w:sz w:val="24"/>
          <w:szCs w:val="24"/>
        </w:rPr>
        <w:t xml:space="preserve">locali </w:t>
      </w:r>
      <w:r w:rsidR="005B1D06" w:rsidRPr="00BB44F3">
        <w:rPr>
          <w:rFonts w:ascii="Garamond" w:hAnsi="Garamond" w:cs="Times New Roman"/>
          <w:sz w:val="24"/>
          <w:szCs w:val="24"/>
        </w:rPr>
        <w:t xml:space="preserve">per quanto non espressamente menzionati dall’art. 117 </w:t>
      </w:r>
      <w:proofErr w:type="spellStart"/>
      <w:r w:rsidR="005B1D06" w:rsidRPr="00BB44F3">
        <w:rPr>
          <w:rFonts w:ascii="Garamond" w:hAnsi="Garamond" w:cs="Times New Roman"/>
          <w:sz w:val="24"/>
          <w:szCs w:val="24"/>
        </w:rPr>
        <w:t>Cost</w:t>
      </w:r>
      <w:proofErr w:type="spellEnd"/>
      <w:r w:rsidR="005B1D06" w:rsidRPr="00BB44F3">
        <w:rPr>
          <w:rFonts w:ascii="Garamond" w:hAnsi="Garamond" w:cs="Times New Roman"/>
          <w:sz w:val="24"/>
          <w:szCs w:val="24"/>
        </w:rPr>
        <w:t xml:space="preserve">. </w:t>
      </w:r>
      <w:r w:rsidRPr="00BB44F3">
        <w:rPr>
          <w:rFonts w:ascii="Garamond" w:hAnsi="Garamond" w:cs="Times New Roman"/>
          <w:sz w:val="24"/>
          <w:szCs w:val="24"/>
        </w:rPr>
        <w:t xml:space="preserve">ricadono comunque </w:t>
      </w:r>
      <w:r w:rsidR="00791E5A" w:rsidRPr="00BB44F3">
        <w:rPr>
          <w:rFonts w:ascii="Garamond" w:hAnsi="Garamond" w:cs="Times New Roman"/>
          <w:sz w:val="24"/>
          <w:szCs w:val="24"/>
        </w:rPr>
        <w:t>nella sfera di operatività</w:t>
      </w:r>
      <w:r w:rsidR="005B1D06" w:rsidRPr="00BB44F3">
        <w:rPr>
          <w:rFonts w:ascii="Garamond" w:hAnsi="Garamond" w:cs="Times New Roman"/>
          <w:sz w:val="24"/>
          <w:szCs w:val="24"/>
        </w:rPr>
        <w:t xml:space="preserve"> di tale disposizione </w:t>
      </w:r>
      <w:r w:rsidR="00791E5A" w:rsidRPr="00BB44F3">
        <w:rPr>
          <w:rFonts w:ascii="Garamond" w:hAnsi="Garamond" w:cs="Times New Roman"/>
          <w:sz w:val="24"/>
          <w:szCs w:val="24"/>
        </w:rPr>
        <w:t>ai fini</w:t>
      </w:r>
      <w:r w:rsidR="00F074A9" w:rsidRPr="00BB44F3">
        <w:rPr>
          <w:rFonts w:ascii="Garamond" w:hAnsi="Garamond" w:cs="Times New Roman"/>
          <w:sz w:val="24"/>
          <w:szCs w:val="24"/>
        </w:rPr>
        <w:t xml:space="preserve"> del riparto della potestà legislativa tra lo Stato e le Regioni</w:t>
      </w:r>
      <w:r w:rsidR="005B1D06" w:rsidRPr="00BB44F3">
        <w:rPr>
          <w:rFonts w:ascii="Garamond" w:hAnsi="Garamond" w:cs="Times New Roman"/>
          <w:sz w:val="24"/>
          <w:szCs w:val="24"/>
        </w:rPr>
        <w:t>.</w:t>
      </w:r>
    </w:p>
    <w:p w14:paraId="3EFFE482" w14:textId="67CB7169" w:rsidR="00F12EE7" w:rsidRPr="00BB44F3" w:rsidRDefault="005B1D0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A</w:t>
      </w:r>
      <w:r w:rsidR="009D3292" w:rsidRPr="00BB44F3">
        <w:rPr>
          <w:rFonts w:ascii="Garamond" w:hAnsi="Garamond" w:cs="Times New Roman"/>
          <w:sz w:val="24"/>
          <w:szCs w:val="24"/>
        </w:rPr>
        <w:t xml:space="preserve"> tal proposito, </w:t>
      </w:r>
      <w:r w:rsidR="00F074A9" w:rsidRPr="00BB44F3">
        <w:rPr>
          <w:rFonts w:ascii="Garamond" w:hAnsi="Garamond" w:cs="Times New Roman"/>
          <w:sz w:val="24"/>
          <w:szCs w:val="24"/>
        </w:rPr>
        <w:t xml:space="preserve">nel senso della potestà legislativa esclusiva dello Stato </w:t>
      </w:r>
      <w:r w:rsidR="009D3292" w:rsidRPr="00BB44F3">
        <w:rPr>
          <w:rFonts w:ascii="Garamond" w:hAnsi="Garamond" w:cs="Times New Roman"/>
          <w:sz w:val="24"/>
          <w:szCs w:val="24"/>
        </w:rPr>
        <w:t>vengono in rilievo: la lettera e) relativa alla tutela della conc</w:t>
      </w:r>
      <w:r w:rsidR="00F074A9" w:rsidRPr="00BB44F3">
        <w:rPr>
          <w:rFonts w:ascii="Garamond" w:hAnsi="Garamond" w:cs="Times New Roman"/>
          <w:sz w:val="24"/>
          <w:szCs w:val="24"/>
        </w:rPr>
        <w:t>orrenza</w:t>
      </w:r>
      <w:r w:rsidR="002C6785">
        <w:rPr>
          <w:rFonts w:ascii="Garamond" w:hAnsi="Garamond" w:cs="Times New Roman"/>
          <w:sz w:val="24"/>
          <w:szCs w:val="24"/>
        </w:rPr>
        <w:t xml:space="preserve"> con riferimento ai servizi pubblici locali di rilevanza economica</w:t>
      </w:r>
      <w:r w:rsidR="00F074A9" w:rsidRPr="00BB44F3">
        <w:rPr>
          <w:rFonts w:ascii="Garamond" w:hAnsi="Garamond" w:cs="Times New Roman"/>
          <w:sz w:val="24"/>
          <w:szCs w:val="24"/>
        </w:rPr>
        <w:t xml:space="preserve"> e </w:t>
      </w:r>
      <w:r w:rsidR="009D3292" w:rsidRPr="00BB44F3">
        <w:rPr>
          <w:rFonts w:ascii="Garamond" w:hAnsi="Garamond" w:cs="Times New Roman"/>
          <w:sz w:val="24"/>
          <w:szCs w:val="24"/>
        </w:rPr>
        <w:t>la lettera p) rispetto alle funzioni fondamentali di Comuni,</w:t>
      </w:r>
      <w:r w:rsidRPr="00BB44F3">
        <w:rPr>
          <w:rFonts w:ascii="Garamond" w:hAnsi="Garamond" w:cs="Times New Roman"/>
          <w:sz w:val="24"/>
          <w:szCs w:val="24"/>
        </w:rPr>
        <w:t xml:space="preserve"> Province e Città metropolitane</w:t>
      </w:r>
      <w:r w:rsidR="005B7A63" w:rsidRPr="00BB44F3">
        <w:rPr>
          <w:rStyle w:val="Rimandonotaapidipagina"/>
          <w:rFonts w:ascii="Garamond" w:hAnsi="Garamond" w:cs="Times New Roman"/>
          <w:sz w:val="24"/>
          <w:szCs w:val="24"/>
        </w:rPr>
        <w:footnoteReference w:id="8"/>
      </w:r>
      <w:r w:rsidRPr="00BB44F3">
        <w:rPr>
          <w:rFonts w:ascii="Garamond" w:hAnsi="Garamond" w:cs="Times New Roman"/>
          <w:sz w:val="24"/>
          <w:szCs w:val="24"/>
        </w:rPr>
        <w:t>.</w:t>
      </w:r>
    </w:p>
    <w:p w14:paraId="20B39185" w14:textId="25E68161" w:rsidR="00D24263" w:rsidRPr="00BB44F3" w:rsidRDefault="0074716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La</w:t>
      </w:r>
      <w:r w:rsidR="00D24263" w:rsidRPr="00BB44F3">
        <w:rPr>
          <w:rFonts w:ascii="Garamond" w:hAnsi="Garamond" w:cs="Times New Roman"/>
          <w:sz w:val="24"/>
          <w:szCs w:val="24"/>
        </w:rPr>
        <w:t xml:space="preserve"> materia</w:t>
      </w:r>
      <w:r w:rsidRPr="00BB44F3">
        <w:rPr>
          <w:rFonts w:ascii="Garamond" w:hAnsi="Garamond" w:cs="Times New Roman"/>
          <w:sz w:val="24"/>
          <w:szCs w:val="24"/>
        </w:rPr>
        <w:t xml:space="preserve"> dei servizi pubblici locali</w:t>
      </w:r>
      <w:r w:rsidR="00D24263" w:rsidRPr="00BB44F3">
        <w:rPr>
          <w:rFonts w:ascii="Garamond" w:hAnsi="Garamond" w:cs="Times New Roman"/>
          <w:sz w:val="24"/>
          <w:szCs w:val="24"/>
        </w:rPr>
        <w:t xml:space="preserve"> </w:t>
      </w:r>
      <w:r w:rsidR="009750D6" w:rsidRPr="00BB44F3">
        <w:rPr>
          <w:rFonts w:ascii="Garamond" w:hAnsi="Garamond" w:cs="Times New Roman"/>
          <w:sz w:val="24"/>
          <w:szCs w:val="24"/>
        </w:rPr>
        <w:t>entra in gioco</w:t>
      </w:r>
      <w:r w:rsidR="00D24263" w:rsidRPr="00BB44F3">
        <w:rPr>
          <w:rFonts w:ascii="Garamond" w:hAnsi="Garamond" w:cs="Times New Roman"/>
          <w:sz w:val="24"/>
          <w:szCs w:val="24"/>
        </w:rPr>
        <w:t xml:space="preserve"> anche nell’ambito della legislazione concorrente </w:t>
      </w:r>
      <w:r w:rsidRPr="00BB44F3">
        <w:rPr>
          <w:rFonts w:ascii="Garamond" w:hAnsi="Garamond" w:cs="Times New Roman"/>
          <w:sz w:val="24"/>
          <w:szCs w:val="24"/>
        </w:rPr>
        <w:t>relativamente</w:t>
      </w:r>
      <w:r w:rsidR="00D24263" w:rsidRPr="00BB44F3">
        <w:rPr>
          <w:rFonts w:ascii="Garamond" w:hAnsi="Garamond" w:cs="Times New Roman"/>
          <w:sz w:val="24"/>
          <w:szCs w:val="24"/>
        </w:rPr>
        <w:t xml:space="preserve"> al coordinamento della finanza pubblica</w:t>
      </w:r>
      <w:r w:rsidR="003476DC" w:rsidRPr="00BB44F3">
        <w:rPr>
          <w:rFonts w:ascii="Garamond" w:hAnsi="Garamond" w:cs="Times New Roman"/>
          <w:sz w:val="24"/>
          <w:szCs w:val="24"/>
        </w:rPr>
        <w:t xml:space="preserve"> con riferimento al quale lo Stato può dettare principi fondamentali</w:t>
      </w:r>
      <w:r w:rsidR="0096078A" w:rsidRPr="00BB44F3">
        <w:rPr>
          <w:rFonts w:ascii="Garamond" w:hAnsi="Garamond" w:cs="Times New Roman"/>
          <w:sz w:val="24"/>
          <w:szCs w:val="24"/>
        </w:rPr>
        <w:t xml:space="preserve"> nell’eventualità in cui i servizi in questione siano gestiti senza ricorrere al mercato</w:t>
      </w:r>
      <w:r w:rsidR="0096078A" w:rsidRPr="00BB44F3">
        <w:rPr>
          <w:rStyle w:val="Rimandonotaapidipagina"/>
          <w:rFonts w:ascii="Garamond" w:hAnsi="Garamond" w:cs="Times New Roman"/>
          <w:sz w:val="24"/>
          <w:szCs w:val="24"/>
        </w:rPr>
        <w:footnoteReference w:id="9"/>
      </w:r>
      <w:r w:rsidR="0096078A" w:rsidRPr="00BB44F3">
        <w:rPr>
          <w:rFonts w:ascii="Garamond" w:hAnsi="Garamond" w:cs="Times New Roman"/>
          <w:sz w:val="24"/>
          <w:szCs w:val="24"/>
        </w:rPr>
        <w:t>.</w:t>
      </w:r>
    </w:p>
    <w:p w14:paraId="1944BE28" w14:textId="4B22CBF4" w:rsidR="009D3292" w:rsidRPr="00BB44F3" w:rsidRDefault="00251C5F"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 la restante parte i servizi pubblici locali</w:t>
      </w:r>
      <w:r w:rsidR="002C6785">
        <w:rPr>
          <w:rFonts w:ascii="Garamond" w:hAnsi="Garamond" w:cs="Times New Roman"/>
          <w:sz w:val="24"/>
          <w:szCs w:val="24"/>
        </w:rPr>
        <w:t xml:space="preserve"> di rilevanza economica</w:t>
      </w:r>
      <w:r w:rsidRPr="00BB44F3">
        <w:rPr>
          <w:rFonts w:ascii="Garamond" w:hAnsi="Garamond" w:cs="Times New Roman"/>
          <w:sz w:val="24"/>
          <w:szCs w:val="24"/>
        </w:rPr>
        <w:t xml:space="preserve"> rientrano tra le materie di </w:t>
      </w:r>
      <w:r w:rsidR="00747162" w:rsidRPr="00BB44F3">
        <w:rPr>
          <w:rFonts w:ascii="Garamond" w:hAnsi="Garamond" w:cs="Times New Roman"/>
          <w:sz w:val="24"/>
          <w:szCs w:val="24"/>
        </w:rPr>
        <w:t>potestà legislativa</w:t>
      </w:r>
      <w:r w:rsidRPr="00BB44F3">
        <w:rPr>
          <w:rFonts w:ascii="Garamond" w:hAnsi="Garamond" w:cs="Times New Roman"/>
          <w:sz w:val="24"/>
          <w:szCs w:val="24"/>
        </w:rPr>
        <w:t xml:space="preserve"> residuale delle Regioni</w:t>
      </w:r>
      <w:r w:rsidR="00541346" w:rsidRPr="00BB44F3">
        <w:rPr>
          <w:rFonts w:ascii="Garamond" w:hAnsi="Garamond" w:cs="Times New Roman"/>
          <w:sz w:val="24"/>
          <w:szCs w:val="24"/>
        </w:rPr>
        <w:t>, con competenza regolamentare degli enti locali</w:t>
      </w:r>
      <w:r w:rsidRPr="00BB44F3">
        <w:rPr>
          <w:rFonts w:ascii="Garamond" w:hAnsi="Garamond" w:cs="Times New Roman"/>
          <w:sz w:val="24"/>
          <w:szCs w:val="24"/>
        </w:rPr>
        <w:t>.</w:t>
      </w:r>
    </w:p>
    <w:p w14:paraId="2D0F7690" w14:textId="79A7E7B2" w:rsidR="00E964CF" w:rsidRPr="00BB44F3" w:rsidRDefault="00E964CF"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Sul punto la Corte Costituzionale ha così riepilogato la propria giurisprudenza in materia:</w:t>
      </w:r>
    </w:p>
    <w:p w14:paraId="39709E76" w14:textId="10F71B19" w:rsidR="00E964CF" w:rsidRDefault="00E964CF"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w:t>
      </w:r>
      <w:r w:rsidRPr="00BB44F3">
        <w:rPr>
          <w:rFonts w:ascii="Garamond" w:hAnsi="Garamond" w:cs="Times New Roman"/>
          <w:i/>
          <w:sz w:val="24"/>
          <w:szCs w:val="24"/>
        </w:rPr>
        <w:t xml:space="preserve">Si tratta di una disciplina … su cui questa Corte si è più volte pronunciata, ravvisando una competenza legislativa statale esclusiva a disciplinare il regime dei servizi pubblici locali di interesse economico «per gli aspetti che hanno una diretta incidenza sul mercato» (sentenze n. 160 del 2016 e n. 325 del 2010) e che siano volti, «in via primaria, alla tutela e alla promozione della concorrenza» (sentenza n. 325 del 2010), nel limite della proporzionalità e adeguatezza dell’intervento (sentenze n. 160 del 2016, n. 443 del 2007, n. 272 del 2004). Ha anche ravvisato una competenza legislativa regionale residuale (che si accompagna alla competenza regolamentare degli enti locali di cui all’art. 117, sesto comma, </w:t>
      </w:r>
      <w:proofErr w:type="spellStart"/>
      <w:r w:rsidRPr="00BB44F3">
        <w:rPr>
          <w:rFonts w:ascii="Garamond" w:hAnsi="Garamond" w:cs="Times New Roman"/>
          <w:i/>
          <w:sz w:val="24"/>
          <w:szCs w:val="24"/>
        </w:rPr>
        <w:t>Cost</w:t>
      </w:r>
      <w:proofErr w:type="spellEnd"/>
      <w:r w:rsidRPr="00BB44F3">
        <w:rPr>
          <w:rFonts w:ascii="Garamond" w:hAnsi="Garamond" w:cs="Times New Roman"/>
          <w:i/>
          <w:sz w:val="24"/>
          <w:szCs w:val="24"/>
        </w:rPr>
        <w:t>.) a disciplinare tutti quei profili (ivi compreso il trasporto pubblico locale) che non siano strumentali a garantire la concorrenza (sentenza n. 325 del 2010, n. 307 del 2009, n. 272 del 2004)</w:t>
      </w:r>
      <w:r w:rsidRPr="00BB44F3">
        <w:rPr>
          <w:rFonts w:ascii="Garamond" w:hAnsi="Garamond" w:cs="Times New Roman"/>
          <w:sz w:val="24"/>
          <w:szCs w:val="24"/>
        </w:rPr>
        <w:t>”</w:t>
      </w:r>
      <w:r w:rsidRPr="00BB44F3">
        <w:rPr>
          <w:rStyle w:val="Rimandonotaapidipagina"/>
          <w:rFonts w:ascii="Garamond" w:hAnsi="Garamond" w:cs="Times New Roman"/>
          <w:sz w:val="24"/>
          <w:szCs w:val="24"/>
        </w:rPr>
        <w:footnoteReference w:id="10"/>
      </w:r>
      <w:r w:rsidRPr="00BB44F3">
        <w:rPr>
          <w:rFonts w:ascii="Garamond" w:hAnsi="Garamond" w:cs="Times New Roman"/>
          <w:sz w:val="24"/>
          <w:szCs w:val="24"/>
        </w:rPr>
        <w:t>.</w:t>
      </w:r>
    </w:p>
    <w:p w14:paraId="72D73E2F" w14:textId="037B143A" w:rsidR="002C6785" w:rsidRPr="00BB44F3" w:rsidRDefault="002C6785"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Quanto ai servizi pubblici locali privi di rilevanza economica la disciplina prevista dall’art. 113-bis del Decreto Legislativo 18 agosto 2000, n. 267</w:t>
      </w:r>
      <w:r>
        <w:rPr>
          <w:rStyle w:val="Rimandonotaapidipagina"/>
          <w:rFonts w:ascii="Garamond" w:hAnsi="Garamond" w:cs="Times New Roman"/>
          <w:sz w:val="24"/>
          <w:szCs w:val="24"/>
        </w:rPr>
        <w:footnoteReference w:id="11"/>
      </w:r>
      <w:r>
        <w:rPr>
          <w:rFonts w:ascii="Garamond" w:hAnsi="Garamond" w:cs="Times New Roman"/>
          <w:sz w:val="24"/>
          <w:szCs w:val="24"/>
        </w:rPr>
        <w:t xml:space="preserve"> è stata dichiarata incostituzionale dalla Corte Costituzionale con la sentenza n. 272/2004</w:t>
      </w:r>
      <w:r w:rsidR="00395A3B">
        <w:rPr>
          <w:rFonts w:ascii="Garamond" w:hAnsi="Garamond" w:cs="Times New Roman"/>
          <w:sz w:val="24"/>
          <w:szCs w:val="24"/>
        </w:rPr>
        <w:t>. La Corte ha evidenziato come la materia della tutela della concorrenza non sia invocabile con riferimento a questo tipo di servizi, non esistendo in relazione agli stessi un mercato concorrenziale, con conseguente necessità che la disciplina degli stessi sia contenuta nelle fonti regionali e locali</w:t>
      </w:r>
      <w:r w:rsidR="00395A3B">
        <w:rPr>
          <w:rStyle w:val="Rimandonotaapidipagina"/>
          <w:rFonts w:ascii="Garamond" w:hAnsi="Garamond" w:cs="Times New Roman"/>
          <w:sz w:val="24"/>
          <w:szCs w:val="24"/>
        </w:rPr>
        <w:footnoteReference w:id="12"/>
      </w:r>
      <w:r w:rsidR="00395A3B">
        <w:rPr>
          <w:rFonts w:ascii="Garamond" w:hAnsi="Garamond" w:cs="Times New Roman"/>
          <w:sz w:val="24"/>
          <w:szCs w:val="24"/>
        </w:rPr>
        <w:t>.</w:t>
      </w:r>
    </w:p>
    <w:p w14:paraId="1D10714F" w14:textId="77777777" w:rsidR="006043C7" w:rsidRPr="00BB44F3" w:rsidRDefault="006043C7" w:rsidP="002B0099">
      <w:pPr>
        <w:spacing w:after="0" w:line="240" w:lineRule="auto"/>
        <w:ind w:firstLine="454"/>
        <w:contextualSpacing/>
        <w:jc w:val="both"/>
        <w:rPr>
          <w:rFonts w:ascii="Garamond" w:hAnsi="Garamond" w:cs="Times New Roman"/>
          <w:sz w:val="24"/>
          <w:szCs w:val="24"/>
        </w:rPr>
      </w:pPr>
    </w:p>
    <w:p w14:paraId="16A7E020" w14:textId="6F60FB48" w:rsidR="00632C13" w:rsidRPr="00BB44F3" w:rsidRDefault="008459AB" w:rsidP="00F77BBE">
      <w:pPr>
        <w:pStyle w:val="Titolo1"/>
        <w:jc w:val="both"/>
        <w:rPr>
          <w:rFonts w:ascii="Garamond" w:hAnsi="Garamond"/>
        </w:rPr>
      </w:pPr>
      <w:bookmarkStart w:id="32" w:name="_Toc209095116"/>
      <w:bookmarkStart w:id="33" w:name="_Toc209095177"/>
      <w:bookmarkStart w:id="34" w:name="_Toc209095652"/>
      <w:bookmarkStart w:id="35" w:name="_Toc209095685"/>
      <w:bookmarkStart w:id="36" w:name="_Toc209095718"/>
      <w:bookmarkStart w:id="37" w:name="_Toc209097833"/>
      <w:bookmarkStart w:id="38" w:name="_Toc209097865"/>
      <w:bookmarkStart w:id="39" w:name="_Toc209104512"/>
      <w:bookmarkStart w:id="40" w:name="_Toc209105877"/>
      <w:bookmarkStart w:id="41" w:name="_Toc209106763"/>
      <w:bookmarkStart w:id="42" w:name="_Toc209107502"/>
      <w:bookmarkStart w:id="43" w:name="_Toc209181402"/>
      <w:bookmarkStart w:id="44" w:name="_Toc209181492"/>
      <w:bookmarkStart w:id="45" w:name="_Toc209181548"/>
      <w:bookmarkStart w:id="46" w:name="_Toc209182699"/>
      <w:bookmarkStart w:id="47" w:name="_Toc209182896"/>
      <w:r w:rsidRPr="00BB44F3">
        <w:rPr>
          <w:rFonts w:ascii="Garamond" w:hAnsi="Garamond"/>
        </w:rPr>
        <w:t xml:space="preserve">3. </w:t>
      </w:r>
      <w:r w:rsidR="00747162" w:rsidRPr="00BB44F3">
        <w:rPr>
          <w:rFonts w:ascii="Garamond" w:hAnsi="Garamond"/>
        </w:rPr>
        <w:t>I servizi pubblici nell’ordinamento dell’Unione Europea</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D3FC497" w14:textId="1E3E0BA1" w:rsidR="009D3292" w:rsidRPr="00BB44F3" w:rsidRDefault="008459AB" w:rsidP="00F77BBE">
      <w:pPr>
        <w:pStyle w:val="Titolo2"/>
        <w:jc w:val="both"/>
      </w:pPr>
      <w:bookmarkStart w:id="48" w:name="_Toc209095117"/>
      <w:bookmarkStart w:id="49" w:name="_Toc209095178"/>
      <w:bookmarkStart w:id="50" w:name="_Toc209095653"/>
      <w:bookmarkStart w:id="51" w:name="_Toc209095686"/>
      <w:bookmarkStart w:id="52" w:name="_Toc209095719"/>
      <w:bookmarkStart w:id="53" w:name="_Toc209097834"/>
      <w:bookmarkStart w:id="54" w:name="_Toc209097866"/>
      <w:bookmarkStart w:id="55" w:name="_Toc209104513"/>
      <w:bookmarkStart w:id="56" w:name="_Toc209105878"/>
      <w:bookmarkStart w:id="57" w:name="_Toc209106764"/>
      <w:bookmarkStart w:id="58" w:name="_Toc209107503"/>
      <w:bookmarkStart w:id="59" w:name="_Toc209181403"/>
      <w:bookmarkStart w:id="60" w:name="_Toc209181493"/>
      <w:bookmarkStart w:id="61" w:name="_Toc209181549"/>
      <w:bookmarkStart w:id="62" w:name="_Toc209182700"/>
      <w:bookmarkStart w:id="63" w:name="_Toc209182897"/>
      <w:r w:rsidRPr="00BB44F3">
        <w:t xml:space="preserve">3.1. </w:t>
      </w:r>
      <w:r w:rsidR="00632C13" w:rsidRPr="00BB44F3">
        <w:t>Le fonti</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2D45A8" w14:textId="4044AF32" w:rsidR="00747162" w:rsidRPr="00BB44F3" w:rsidRDefault="0074716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w:t>
      </w:r>
      <w:r w:rsidR="00157118" w:rsidRPr="00BB44F3">
        <w:rPr>
          <w:rFonts w:ascii="Garamond" w:hAnsi="Garamond" w:cs="Times New Roman"/>
          <w:sz w:val="24"/>
          <w:szCs w:val="24"/>
        </w:rPr>
        <w:t xml:space="preserve"> Trattato sul Funzionamento dell’Unione Europea</w:t>
      </w:r>
      <w:r w:rsidRPr="00BB44F3">
        <w:rPr>
          <w:rFonts w:ascii="Garamond" w:hAnsi="Garamond" w:cs="Times New Roman"/>
          <w:sz w:val="24"/>
          <w:szCs w:val="24"/>
        </w:rPr>
        <w:t xml:space="preserve"> non </w:t>
      </w:r>
      <w:r w:rsidR="00723A63" w:rsidRPr="00BB44F3">
        <w:rPr>
          <w:rFonts w:ascii="Garamond" w:hAnsi="Garamond" w:cs="Times New Roman"/>
          <w:sz w:val="24"/>
          <w:szCs w:val="24"/>
        </w:rPr>
        <w:t xml:space="preserve">utilizza </w:t>
      </w:r>
      <w:r w:rsidR="00B86672">
        <w:rPr>
          <w:rFonts w:ascii="Garamond" w:hAnsi="Garamond" w:cs="Times New Roman"/>
          <w:sz w:val="24"/>
          <w:szCs w:val="24"/>
        </w:rPr>
        <w:t>la terminologia</w:t>
      </w:r>
      <w:r w:rsidR="00723A63" w:rsidRPr="00BB44F3">
        <w:rPr>
          <w:rFonts w:ascii="Garamond" w:hAnsi="Garamond" w:cs="Times New Roman"/>
          <w:sz w:val="24"/>
          <w:szCs w:val="24"/>
        </w:rPr>
        <w:t xml:space="preserve"> servizio pubblico /</w:t>
      </w:r>
      <w:r w:rsidRPr="00BB44F3">
        <w:rPr>
          <w:rFonts w:ascii="Garamond" w:hAnsi="Garamond" w:cs="Times New Roman"/>
          <w:sz w:val="24"/>
          <w:szCs w:val="24"/>
        </w:rPr>
        <w:t xml:space="preserve"> servizi pubblici, bensì</w:t>
      </w:r>
      <w:r w:rsidR="002A1A9F" w:rsidRPr="00BB44F3">
        <w:rPr>
          <w:rFonts w:ascii="Garamond" w:hAnsi="Garamond" w:cs="Times New Roman"/>
          <w:sz w:val="24"/>
          <w:szCs w:val="24"/>
        </w:rPr>
        <w:t xml:space="preserve"> quell</w:t>
      </w:r>
      <w:r w:rsidR="00B86672">
        <w:rPr>
          <w:rFonts w:ascii="Garamond" w:hAnsi="Garamond" w:cs="Times New Roman"/>
          <w:sz w:val="24"/>
          <w:szCs w:val="24"/>
        </w:rPr>
        <w:t>a</w:t>
      </w:r>
      <w:r w:rsidRPr="00BB44F3">
        <w:rPr>
          <w:rFonts w:ascii="Garamond" w:hAnsi="Garamond" w:cs="Times New Roman"/>
          <w:sz w:val="24"/>
          <w:szCs w:val="24"/>
        </w:rPr>
        <w:t xml:space="preserve"> Servizi di Interesse Economico Generale, c.d. SIEG.</w:t>
      </w:r>
    </w:p>
    <w:p w14:paraId="7243A15F" w14:textId="26964957" w:rsidR="0039532D" w:rsidRPr="00BB44F3" w:rsidRDefault="0074716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particolare, l’art. </w:t>
      </w:r>
      <w:r w:rsidR="005B1D06" w:rsidRPr="00BB44F3">
        <w:rPr>
          <w:rFonts w:ascii="Garamond" w:hAnsi="Garamond" w:cs="Times New Roman"/>
          <w:sz w:val="24"/>
          <w:szCs w:val="24"/>
        </w:rPr>
        <w:t xml:space="preserve">14 </w:t>
      </w:r>
      <w:r w:rsidR="00CE3DBA" w:rsidRPr="00BB44F3">
        <w:rPr>
          <w:rFonts w:ascii="Garamond" w:hAnsi="Garamond" w:cs="Times New Roman"/>
          <w:sz w:val="24"/>
          <w:szCs w:val="24"/>
        </w:rPr>
        <w:t>del TFUE (ex art. 16 del TCE)</w:t>
      </w:r>
      <w:r w:rsidRPr="00BB44F3">
        <w:rPr>
          <w:rFonts w:ascii="Garamond" w:hAnsi="Garamond" w:cs="Times New Roman"/>
          <w:sz w:val="24"/>
          <w:szCs w:val="24"/>
        </w:rPr>
        <w:t xml:space="preserve"> r</w:t>
      </w:r>
      <w:r w:rsidR="0039532D" w:rsidRPr="00BB44F3">
        <w:rPr>
          <w:rFonts w:ascii="Garamond" w:hAnsi="Garamond" w:cs="Times New Roman"/>
          <w:sz w:val="24"/>
          <w:szCs w:val="24"/>
        </w:rPr>
        <w:t>iconosce l’importanza dei SIEG nell’ambito dei valori comuni dell’Unione ed il ruolo degli stessi nella promozione della coesione sociale e territoriale, nonché la competenza concorrente di Unione e Stati membri.</w:t>
      </w:r>
      <w:r w:rsidRPr="00BB44F3">
        <w:rPr>
          <w:rFonts w:ascii="Garamond" w:hAnsi="Garamond" w:cs="Times New Roman"/>
          <w:sz w:val="24"/>
          <w:szCs w:val="24"/>
        </w:rPr>
        <w:t xml:space="preserve"> Tale disposizione sancisce poi che</w:t>
      </w:r>
      <w:r w:rsidR="0039532D" w:rsidRPr="00BB44F3">
        <w:rPr>
          <w:rFonts w:ascii="Garamond" w:hAnsi="Garamond" w:cs="Times New Roman"/>
          <w:sz w:val="24"/>
          <w:szCs w:val="24"/>
        </w:rPr>
        <w:t xml:space="preserve"> Unione </w:t>
      </w:r>
      <w:r w:rsidRPr="00BB44F3">
        <w:rPr>
          <w:rFonts w:ascii="Garamond" w:hAnsi="Garamond" w:cs="Times New Roman"/>
          <w:sz w:val="24"/>
          <w:szCs w:val="24"/>
        </w:rPr>
        <w:lastRenderedPageBreak/>
        <w:t>Europ</w:t>
      </w:r>
      <w:r w:rsidR="0039532D" w:rsidRPr="00BB44F3">
        <w:rPr>
          <w:rFonts w:ascii="Garamond" w:hAnsi="Garamond" w:cs="Times New Roman"/>
          <w:sz w:val="24"/>
          <w:szCs w:val="24"/>
        </w:rPr>
        <w:t>e</w:t>
      </w:r>
      <w:r w:rsidRPr="00BB44F3">
        <w:rPr>
          <w:rFonts w:ascii="Garamond" w:hAnsi="Garamond" w:cs="Times New Roman"/>
          <w:sz w:val="24"/>
          <w:szCs w:val="24"/>
        </w:rPr>
        <w:t>a e</w:t>
      </w:r>
      <w:r w:rsidR="0039532D" w:rsidRPr="00BB44F3">
        <w:rPr>
          <w:rFonts w:ascii="Garamond" w:hAnsi="Garamond" w:cs="Times New Roman"/>
          <w:sz w:val="24"/>
          <w:szCs w:val="24"/>
        </w:rPr>
        <w:t xml:space="preserve"> Stati membri devono assicurare il funzionamento di questi servizi in base a principi e condizioni tali da consentire l’assolvimento dei compiti di tali servizi</w:t>
      </w:r>
      <w:r w:rsidRPr="00BB44F3">
        <w:rPr>
          <w:rStyle w:val="Rimandonotaapidipagina"/>
          <w:rFonts w:ascii="Garamond" w:hAnsi="Garamond" w:cs="Times New Roman"/>
          <w:sz w:val="24"/>
          <w:szCs w:val="24"/>
        </w:rPr>
        <w:footnoteReference w:id="13"/>
      </w:r>
      <w:r w:rsidR="0039532D" w:rsidRPr="00BB44F3">
        <w:rPr>
          <w:rFonts w:ascii="Garamond" w:hAnsi="Garamond" w:cs="Times New Roman"/>
          <w:sz w:val="24"/>
          <w:szCs w:val="24"/>
        </w:rPr>
        <w:t>.</w:t>
      </w:r>
    </w:p>
    <w:p w14:paraId="2687E4D9" w14:textId="092D2191" w:rsidR="00632C13" w:rsidRPr="00BB44F3" w:rsidRDefault="0074716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L’art</w:t>
      </w:r>
      <w:r w:rsidR="00CE3DBA" w:rsidRPr="00BB44F3">
        <w:rPr>
          <w:rFonts w:ascii="Garamond" w:hAnsi="Garamond" w:cs="Times New Roman"/>
          <w:sz w:val="24"/>
          <w:szCs w:val="24"/>
        </w:rPr>
        <w:t xml:space="preserve"> 106 del TFUE (ex art. 86 del TCE)</w:t>
      </w:r>
      <w:r w:rsidRPr="00BB44F3">
        <w:rPr>
          <w:rStyle w:val="Rimandonotaapidipagina"/>
          <w:rFonts w:ascii="Garamond" w:hAnsi="Garamond" w:cs="Times New Roman"/>
          <w:sz w:val="24"/>
          <w:szCs w:val="24"/>
        </w:rPr>
        <w:footnoteReference w:id="14"/>
      </w:r>
      <w:r w:rsidRPr="00BB44F3">
        <w:rPr>
          <w:rFonts w:ascii="Garamond" w:hAnsi="Garamond" w:cs="Times New Roman"/>
          <w:sz w:val="24"/>
          <w:szCs w:val="24"/>
        </w:rPr>
        <w:t xml:space="preserve"> enuncia poi al par. 1 quale regola generale quella della </w:t>
      </w:r>
      <w:r w:rsidR="00632C13" w:rsidRPr="00BB44F3">
        <w:rPr>
          <w:rFonts w:ascii="Garamond" w:hAnsi="Garamond" w:cs="Times New Roman"/>
          <w:sz w:val="24"/>
          <w:szCs w:val="24"/>
        </w:rPr>
        <w:t>tutela della concorrenza a prescindere dalla forma di gestione dell’attività di impresa (pubblica o privata).</w:t>
      </w:r>
    </w:p>
    <w:p w14:paraId="63D5E8B5" w14:textId="04B981F6" w:rsidR="00632C13" w:rsidRPr="00BB44F3" w:rsidRDefault="004E5242"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Il par. 2 dell’art. 106 </w:t>
      </w:r>
      <w:r w:rsidR="00632C13" w:rsidRPr="00BB44F3">
        <w:rPr>
          <w:rFonts w:ascii="Garamond" w:hAnsi="Garamond" w:cs="Times New Roman"/>
          <w:sz w:val="24"/>
          <w:szCs w:val="24"/>
        </w:rPr>
        <w:t>prev</w:t>
      </w:r>
      <w:r>
        <w:rPr>
          <w:rFonts w:ascii="Garamond" w:hAnsi="Garamond" w:cs="Times New Roman"/>
          <w:sz w:val="24"/>
          <w:szCs w:val="24"/>
        </w:rPr>
        <w:t>ede poi</w:t>
      </w:r>
      <w:r w:rsidR="00632C13" w:rsidRPr="00BB44F3">
        <w:rPr>
          <w:rFonts w:ascii="Garamond" w:hAnsi="Garamond" w:cs="Times New Roman"/>
          <w:sz w:val="24"/>
          <w:szCs w:val="24"/>
        </w:rPr>
        <w:t xml:space="preserve"> l’applicazione delle regole </w:t>
      </w:r>
      <w:r>
        <w:rPr>
          <w:rFonts w:ascii="Garamond" w:hAnsi="Garamond" w:cs="Times New Roman"/>
          <w:sz w:val="24"/>
          <w:szCs w:val="24"/>
        </w:rPr>
        <w:t>di</w:t>
      </w:r>
      <w:r w:rsidR="00632C13" w:rsidRPr="00BB44F3">
        <w:rPr>
          <w:rFonts w:ascii="Garamond" w:hAnsi="Garamond" w:cs="Times New Roman"/>
          <w:sz w:val="24"/>
          <w:szCs w:val="24"/>
        </w:rPr>
        <w:t xml:space="preserve"> concorrenza anche alle imprese incaricate della gestione dei SIEG.</w:t>
      </w:r>
    </w:p>
    <w:p w14:paraId="0BC30B37" w14:textId="3D0ACCCC" w:rsidR="00747162" w:rsidRPr="00BB44F3" w:rsidRDefault="0074716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Tuttavia, l</w:t>
      </w:r>
      <w:r w:rsidR="00632C13" w:rsidRPr="00BB44F3">
        <w:rPr>
          <w:rFonts w:ascii="Garamond" w:hAnsi="Garamond" w:cs="Times New Roman"/>
          <w:sz w:val="24"/>
          <w:szCs w:val="24"/>
        </w:rPr>
        <w:t xml:space="preserve">a seconda parte del primo periodo del par. 2 prevede </w:t>
      </w:r>
      <w:r w:rsidRPr="00BB44F3">
        <w:rPr>
          <w:rFonts w:ascii="Garamond" w:hAnsi="Garamond" w:cs="Times New Roman"/>
          <w:sz w:val="24"/>
          <w:szCs w:val="24"/>
        </w:rPr>
        <w:t>u</w:t>
      </w:r>
      <w:r w:rsidR="00632C13" w:rsidRPr="00BB44F3">
        <w:rPr>
          <w:rFonts w:ascii="Garamond" w:hAnsi="Garamond" w:cs="Times New Roman"/>
          <w:sz w:val="24"/>
          <w:szCs w:val="24"/>
        </w:rPr>
        <w:t xml:space="preserve">na deroga laddove l’applicazione delle regole di concorrenza possa ostacolare l’adempimento della specifica missione affidata alle imprese incaricate della gestione dei SIEG. </w:t>
      </w:r>
    </w:p>
    <w:p w14:paraId="1F7B4D3F" w14:textId="02052CC3" w:rsidR="00CE3DBA" w:rsidRPr="00BB44F3" w:rsidRDefault="00632C1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Ne consegue l’ammissibil</w:t>
      </w:r>
      <w:r w:rsidR="00747162" w:rsidRPr="00BB44F3">
        <w:rPr>
          <w:rFonts w:ascii="Garamond" w:hAnsi="Garamond" w:cs="Times New Roman"/>
          <w:sz w:val="24"/>
          <w:szCs w:val="24"/>
        </w:rPr>
        <w:t>ità dell’intervento</w:t>
      </w:r>
      <w:r w:rsidRPr="00BB44F3">
        <w:rPr>
          <w:rFonts w:ascii="Garamond" w:hAnsi="Garamond" w:cs="Times New Roman"/>
          <w:sz w:val="24"/>
          <w:szCs w:val="24"/>
        </w:rPr>
        <w:t xml:space="preserve"> del singolo Stato membro sul mercato nelle ipotesi di c.d. fallimento del mercato.</w:t>
      </w:r>
    </w:p>
    <w:p w14:paraId="1B92D9C8" w14:textId="4BB342D1" w:rsidR="002A1A9F" w:rsidRPr="00BB44F3" w:rsidRDefault="002A1A9F"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È stato osservato </w:t>
      </w:r>
      <w:r w:rsidR="00AA5DCD" w:rsidRPr="00BB44F3">
        <w:rPr>
          <w:rFonts w:ascii="Garamond" w:hAnsi="Garamond" w:cs="Times New Roman"/>
          <w:sz w:val="24"/>
          <w:szCs w:val="24"/>
        </w:rPr>
        <w:t xml:space="preserve">in dottrina sul punto </w:t>
      </w:r>
      <w:r w:rsidRPr="00BB44F3">
        <w:rPr>
          <w:rFonts w:ascii="Garamond" w:hAnsi="Garamond" w:cs="Times New Roman"/>
          <w:sz w:val="24"/>
          <w:szCs w:val="24"/>
        </w:rPr>
        <w:t>c</w:t>
      </w:r>
      <w:r w:rsidR="00AA5DCD" w:rsidRPr="00BB44F3">
        <w:rPr>
          <w:rFonts w:ascii="Garamond" w:hAnsi="Garamond" w:cs="Times New Roman"/>
          <w:sz w:val="24"/>
          <w:szCs w:val="24"/>
        </w:rPr>
        <w:t>he</w:t>
      </w:r>
      <w:r w:rsidRPr="00BB44F3">
        <w:rPr>
          <w:rFonts w:ascii="Garamond" w:hAnsi="Garamond" w:cs="Times New Roman"/>
          <w:sz w:val="24"/>
          <w:szCs w:val="24"/>
        </w:rPr>
        <w:t xml:space="preserve"> il diritto euro-unitario non </w:t>
      </w:r>
      <w:r w:rsidR="00AA5DCD" w:rsidRPr="00BB44F3">
        <w:rPr>
          <w:rFonts w:ascii="Garamond" w:hAnsi="Garamond" w:cs="Times New Roman"/>
          <w:sz w:val="24"/>
          <w:szCs w:val="24"/>
        </w:rPr>
        <w:t xml:space="preserve">trascura </w:t>
      </w:r>
      <w:r w:rsidRPr="00BB44F3">
        <w:rPr>
          <w:rFonts w:ascii="Garamond" w:hAnsi="Garamond" w:cs="Times New Roman"/>
          <w:sz w:val="24"/>
          <w:szCs w:val="24"/>
        </w:rPr>
        <w:t>che la finalità specifica di tali servizi</w:t>
      </w:r>
      <w:r w:rsidR="00AA5DCD" w:rsidRPr="00BB44F3">
        <w:rPr>
          <w:rFonts w:ascii="Garamond" w:hAnsi="Garamond" w:cs="Times New Roman"/>
          <w:sz w:val="24"/>
          <w:szCs w:val="24"/>
        </w:rPr>
        <w:t xml:space="preserve"> è la coesione sociale ed il soddisfacimento degli interessi diffusi presso le collettività nazionali e locali</w:t>
      </w:r>
      <w:r w:rsidRPr="00BB44F3">
        <w:rPr>
          <w:rFonts w:ascii="Garamond" w:hAnsi="Garamond" w:cs="Times New Roman"/>
          <w:sz w:val="24"/>
          <w:szCs w:val="24"/>
        </w:rPr>
        <w:t>,</w:t>
      </w:r>
      <w:r w:rsidR="00AA5DCD" w:rsidRPr="00BB44F3">
        <w:rPr>
          <w:rFonts w:ascii="Garamond" w:hAnsi="Garamond" w:cs="Times New Roman"/>
          <w:sz w:val="24"/>
          <w:szCs w:val="24"/>
        </w:rPr>
        <w:t xml:space="preserve"> finalità che costituisce la giustificazione del peculiare statuto dei SIEG</w:t>
      </w:r>
      <w:r w:rsidR="00AA5DCD" w:rsidRPr="00BB44F3">
        <w:rPr>
          <w:rStyle w:val="Rimandonotaapidipagina"/>
          <w:rFonts w:ascii="Garamond" w:hAnsi="Garamond" w:cs="Times New Roman"/>
          <w:sz w:val="24"/>
          <w:szCs w:val="24"/>
        </w:rPr>
        <w:footnoteReference w:id="15"/>
      </w:r>
      <w:r w:rsidR="00AA5DCD" w:rsidRPr="00BB44F3">
        <w:rPr>
          <w:rFonts w:ascii="Garamond" w:hAnsi="Garamond" w:cs="Times New Roman"/>
          <w:sz w:val="24"/>
          <w:szCs w:val="24"/>
        </w:rPr>
        <w:t>; inoltre, il diritto europeo non pone la concorrenza ed il perseguimento degli interessi della collettività in termini alternativi, ritenendo che il mercato sia il mezzo più efficiente per l’allocazione di beni e servizi e, quindi, per soddisfare gli interessi della collettività. In tal modo il reale portato del par. 2 dell’art. 106 del TFUE andrebbe colto nel senso della costruzione quanto ai SIEG</w:t>
      </w:r>
      <w:r w:rsidR="004C1795">
        <w:rPr>
          <w:rFonts w:ascii="Garamond" w:hAnsi="Garamond" w:cs="Times New Roman"/>
          <w:sz w:val="24"/>
          <w:szCs w:val="24"/>
        </w:rPr>
        <w:t xml:space="preserve"> </w:t>
      </w:r>
      <w:r w:rsidR="00AA5DCD" w:rsidRPr="00BB44F3">
        <w:rPr>
          <w:rFonts w:ascii="Garamond" w:hAnsi="Garamond" w:cs="Times New Roman"/>
          <w:sz w:val="24"/>
          <w:szCs w:val="24"/>
        </w:rPr>
        <w:t>di un diritto della concorrenza speciale in grado di soddisfare gli interessi della collettività nell’ambito dei servizi</w:t>
      </w:r>
      <w:r w:rsidR="00AA5DCD" w:rsidRPr="00BB44F3">
        <w:rPr>
          <w:rStyle w:val="Rimandonotaapidipagina"/>
          <w:rFonts w:ascii="Garamond" w:hAnsi="Garamond" w:cs="Times New Roman"/>
          <w:sz w:val="24"/>
          <w:szCs w:val="24"/>
        </w:rPr>
        <w:footnoteReference w:id="16"/>
      </w:r>
      <w:r w:rsidR="00AA5DCD" w:rsidRPr="00BB44F3">
        <w:rPr>
          <w:rFonts w:ascii="Garamond" w:hAnsi="Garamond" w:cs="Times New Roman"/>
          <w:sz w:val="24"/>
          <w:szCs w:val="24"/>
        </w:rPr>
        <w:t>.</w:t>
      </w:r>
    </w:p>
    <w:p w14:paraId="35561981" w14:textId="3993DAA2" w:rsidR="00B26BFD" w:rsidRPr="00BB44F3" w:rsidRDefault="004C1795"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Va poi ricordato che i</w:t>
      </w:r>
      <w:r w:rsidR="00747162" w:rsidRPr="00BB44F3">
        <w:rPr>
          <w:rFonts w:ascii="Garamond" w:hAnsi="Garamond" w:cs="Times New Roman"/>
          <w:sz w:val="24"/>
          <w:szCs w:val="24"/>
        </w:rPr>
        <w:t xml:space="preserve">l Protocollo n. 26 sui SIEG enuncia i valori </w:t>
      </w:r>
      <w:r w:rsidR="0039532D" w:rsidRPr="00BB44F3">
        <w:rPr>
          <w:rFonts w:ascii="Garamond" w:hAnsi="Garamond" w:cs="Times New Roman"/>
          <w:sz w:val="24"/>
          <w:szCs w:val="24"/>
        </w:rPr>
        <w:t xml:space="preserve">comuni dell'Unione </w:t>
      </w:r>
      <w:r w:rsidR="00747162" w:rsidRPr="00BB44F3">
        <w:rPr>
          <w:rFonts w:ascii="Garamond" w:hAnsi="Garamond" w:cs="Times New Roman"/>
          <w:sz w:val="24"/>
          <w:szCs w:val="24"/>
        </w:rPr>
        <w:t>Europea con riguardo a</w:t>
      </w:r>
      <w:r w:rsidR="004E5242">
        <w:rPr>
          <w:rFonts w:ascii="Garamond" w:hAnsi="Garamond" w:cs="Times New Roman"/>
          <w:sz w:val="24"/>
          <w:szCs w:val="24"/>
        </w:rPr>
        <w:t xml:space="preserve"> tali servizi</w:t>
      </w:r>
      <w:r w:rsidR="00747162" w:rsidRPr="00BB44F3">
        <w:rPr>
          <w:rStyle w:val="Rimandonotaapidipagina"/>
          <w:rFonts w:ascii="Garamond" w:hAnsi="Garamond" w:cs="Times New Roman"/>
          <w:sz w:val="24"/>
          <w:szCs w:val="24"/>
        </w:rPr>
        <w:footnoteReference w:id="17"/>
      </w:r>
      <w:r>
        <w:rPr>
          <w:rFonts w:ascii="Garamond" w:hAnsi="Garamond" w:cs="Times New Roman"/>
          <w:sz w:val="24"/>
          <w:szCs w:val="24"/>
        </w:rPr>
        <w:t xml:space="preserve"> e che </w:t>
      </w:r>
      <w:r w:rsidR="00A12713" w:rsidRPr="00BB44F3">
        <w:rPr>
          <w:rFonts w:ascii="Garamond" w:hAnsi="Garamond" w:cs="Times New Roman"/>
          <w:sz w:val="24"/>
          <w:szCs w:val="24"/>
        </w:rPr>
        <w:t xml:space="preserve">l’art. 36 </w:t>
      </w:r>
      <w:r w:rsidR="00B26BFD" w:rsidRPr="00BB44F3">
        <w:rPr>
          <w:rFonts w:ascii="Garamond" w:hAnsi="Garamond" w:cs="Times New Roman"/>
          <w:sz w:val="24"/>
          <w:szCs w:val="24"/>
        </w:rPr>
        <w:t>della Carta dei diritti fondamentali dell’UE</w:t>
      </w:r>
      <w:r w:rsidR="00A12713" w:rsidRPr="00BB44F3">
        <w:rPr>
          <w:rFonts w:ascii="Garamond" w:hAnsi="Garamond" w:cs="Times New Roman"/>
          <w:sz w:val="24"/>
          <w:szCs w:val="24"/>
        </w:rPr>
        <w:t xml:space="preserve"> (</w:t>
      </w:r>
      <w:r>
        <w:rPr>
          <w:rFonts w:ascii="Garamond" w:hAnsi="Garamond" w:cs="Times New Roman"/>
          <w:sz w:val="24"/>
          <w:szCs w:val="24"/>
        </w:rPr>
        <w:t>art</w:t>
      </w:r>
      <w:r w:rsidR="004E5242">
        <w:rPr>
          <w:rFonts w:ascii="Garamond" w:hAnsi="Garamond" w:cs="Times New Roman"/>
          <w:sz w:val="24"/>
          <w:szCs w:val="24"/>
        </w:rPr>
        <w:t>icolo</w:t>
      </w:r>
      <w:r>
        <w:rPr>
          <w:rFonts w:ascii="Garamond" w:hAnsi="Garamond" w:cs="Times New Roman"/>
          <w:sz w:val="24"/>
          <w:szCs w:val="24"/>
        </w:rPr>
        <w:t xml:space="preserve"> </w:t>
      </w:r>
      <w:r w:rsidR="00A12713" w:rsidRPr="00BB44F3">
        <w:rPr>
          <w:rFonts w:ascii="Garamond" w:hAnsi="Garamond" w:cs="Times New Roman"/>
          <w:sz w:val="24"/>
          <w:szCs w:val="24"/>
        </w:rPr>
        <w:t>rubricato “</w:t>
      </w:r>
      <w:r w:rsidR="00B26BFD" w:rsidRPr="00BB44F3">
        <w:rPr>
          <w:rFonts w:ascii="Garamond" w:hAnsi="Garamond" w:cs="Times New Roman"/>
          <w:sz w:val="24"/>
          <w:szCs w:val="24"/>
        </w:rPr>
        <w:t>Accesso ai servizi d’interesse economico generale</w:t>
      </w:r>
      <w:r w:rsidR="00A12713" w:rsidRPr="00BB44F3">
        <w:rPr>
          <w:rFonts w:ascii="Garamond" w:hAnsi="Garamond" w:cs="Times New Roman"/>
          <w:sz w:val="24"/>
          <w:szCs w:val="24"/>
        </w:rPr>
        <w:t>”) riconosce l’accesso ai SIEG, quale previsto dagli ordinamenti nazionali ed in conformità ai Trattati, con la finalità di promuovere la coesione sociale e territoriale dell’Unione.</w:t>
      </w:r>
    </w:p>
    <w:p w14:paraId="329D65FF" w14:textId="77777777" w:rsidR="00A12713" w:rsidRPr="00BB44F3" w:rsidRDefault="00A12713" w:rsidP="002B0099">
      <w:pPr>
        <w:pStyle w:val="Titolo1"/>
        <w:ind w:firstLine="454"/>
        <w:jc w:val="both"/>
        <w:rPr>
          <w:rFonts w:ascii="Garamond" w:hAnsi="Garamond"/>
        </w:rPr>
      </w:pPr>
    </w:p>
    <w:p w14:paraId="79015BA7" w14:textId="790E3F40" w:rsidR="00B26BFD" w:rsidRPr="00BB44F3" w:rsidRDefault="008459AB" w:rsidP="00F77BBE">
      <w:pPr>
        <w:pStyle w:val="Titolo2"/>
        <w:jc w:val="both"/>
      </w:pPr>
      <w:bookmarkStart w:id="64" w:name="_Toc209095118"/>
      <w:bookmarkStart w:id="65" w:name="_Toc209095179"/>
      <w:bookmarkStart w:id="66" w:name="_Toc209095654"/>
      <w:bookmarkStart w:id="67" w:name="_Toc209095687"/>
      <w:bookmarkStart w:id="68" w:name="_Toc209095720"/>
      <w:bookmarkStart w:id="69" w:name="_Toc209097835"/>
      <w:bookmarkStart w:id="70" w:name="_Toc209097867"/>
      <w:bookmarkStart w:id="71" w:name="_Toc209104514"/>
      <w:bookmarkStart w:id="72" w:name="_Toc209105879"/>
      <w:bookmarkStart w:id="73" w:name="_Toc209106765"/>
      <w:bookmarkStart w:id="74" w:name="_Toc209107504"/>
      <w:bookmarkStart w:id="75" w:name="_Toc209181404"/>
      <w:bookmarkStart w:id="76" w:name="_Toc209181494"/>
      <w:bookmarkStart w:id="77" w:name="_Toc209181550"/>
      <w:bookmarkStart w:id="78" w:name="_Toc209182701"/>
      <w:bookmarkStart w:id="79" w:name="_Toc209182898"/>
      <w:r w:rsidRPr="00BB44F3">
        <w:t xml:space="preserve">3.2. </w:t>
      </w:r>
      <w:r w:rsidR="00852615" w:rsidRPr="00BB44F3">
        <w:t>Riepilogo di alcune n</w:t>
      </w:r>
      <w:r w:rsidR="00B26BFD" w:rsidRPr="00BB44F3">
        <w:t>ozioni</w:t>
      </w:r>
      <w:r w:rsidR="00073743" w:rsidRPr="00BB44F3">
        <w:t xml:space="preserve"> </w:t>
      </w:r>
      <w:r w:rsidR="00852615" w:rsidRPr="00BB44F3">
        <w:t>in tema di servizi di interesse economico generale</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A0F3DC0" w14:textId="3AC2640B" w:rsidR="00073743" w:rsidRPr="00BB44F3" w:rsidRDefault="00073743"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Il diritto euro</w:t>
      </w:r>
      <w:r w:rsidR="004E5242">
        <w:rPr>
          <w:rFonts w:ascii="Garamond" w:hAnsi="Garamond" w:cs="Times New Roman"/>
          <w:sz w:val="24"/>
          <w:szCs w:val="24"/>
        </w:rPr>
        <w:t>-</w:t>
      </w:r>
      <w:r w:rsidRPr="00BB44F3">
        <w:rPr>
          <w:rFonts w:ascii="Garamond" w:hAnsi="Garamond" w:cs="Times New Roman"/>
          <w:sz w:val="24"/>
          <w:szCs w:val="24"/>
        </w:rPr>
        <w:t xml:space="preserve">unitario non utilizza il termine “servizio pubblico” al di fuori del riferimento contenuto all’art. 93 </w:t>
      </w:r>
      <w:r w:rsidR="004E5242">
        <w:rPr>
          <w:rFonts w:ascii="Garamond" w:hAnsi="Garamond" w:cs="Times New Roman"/>
          <w:sz w:val="24"/>
          <w:szCs w:val="24"/>
        </w:rPr>
        <w:t xml:space="preserve">del </w:t>
      </w:r>
      <w:r w:rsidRPr="00BB44F3">
        <w:rPr>
          <w:rFonts w:ascii="Garamond" w:hAnsi="Garamond" w:cs="Times New Roman"/>
          <w:sz w:val="24"/>
          <w:szCs w:val="24"/>
        </w:rPr>
        <w:t xml:space="preserve">TFUE (ex art. 73 del TCE) in materia di trasporti, preferendo invece utilizzare </w:t>
      </w:r>
      <w:r w:rsidRPr="00BB44F3">
        <w:rPr>
          <w:rFonts w:ascii="Garamond" w:hAnsi="Garamond" w:cs="Times New Roman"/>
          <w:sz w:val="24"/>
          <w:szCs w:val="24"/>
        </w:rPr>
        <w:lastRenderedPageBreak/>
        <w:t>una terminologia che prescinde da quelle fatte proprie dai singoli ordinamen</w:t>
      </w:r>
      <w:r w:rsidR="00BF33E8" w:rsidRPr="00BB44F3">
        <w:rPr>
          <w:rFonts w:ascii="Garamond" w:hAnsi="Garamond" w:cs="Times New Roman"/>
          <w:sz w:val="24"/>
          <w:szCs w:val="24"/>
        </w:rPr>
        <w:t>ti nazionali, vale a dire quella</w:t>
      </w:r>
      <w:r w:rsidRPr="00BB44F3">
        <w:rPr>
          <w:rFonts w:ascii="Garamond" w:hAnsi="Garamond" w:cs="Times New Roman"/>
          <w:sz w:val="24"/>
          <w:szCs w:val="24"/>
        </w:rPr>
        <w:t xml:space="preserve"> di servizi di interesse generale (SIG). In particolare, la relativa terminologia è stata oggetto di comunicazione della Commissione nella quale sono state ri</w:t>
      </w:r>
      <w:r w:rsidR="00BF33E8" w:rsidRPr="00BB44F3">
        <w:rPr>
          <w:rFonts w:ascii="Garamond" w:hAnsi="Garamond" w:cs="Times New Roman"/>
          <w:sz w:val="24"/>
          <w:szCs w:val="24"/>
        </w:rPr>
        <w:t xml:space="preserve">epilogate </w:t>
      </w:r>
      <w:r w:rsidRPr="00BB44F3">
        <w:rPr>
          <w:rFonts w:ascii="Garamond" w:hAnsi="Garamond" w:cs="Times New Roman"/>
          <w:sz w:val="24"/>
          <w:szCs w:val="24"/>
        </w:rPr>
        <w:t>le seguenti nozioni</w:t>
      </w:r>
      <w:r w:rsidR="00DE65AF" w:rsidRPr="00BB44F3">
        <w:rPr>
          <w:rStyle w:val="Rimandonotaapidipagina"/>
          <w:rFonts w:ascii="Garamond" w:hAnsi="Garamond" w:cs="Times New Roman"/>
          <w:sz w:val="24"/>
          <w:szCs w:val="24"/>
        </w:rPr>
        <w:footnoteReference w:id="18"/>
      </w:r>
      <w:r w:rsidR="00BF33E8" w:rsidRPr="00BB44F3">
        <w:rPr>
          <w:rFonts w:ascii="Garamond" w:hAnsi="Garamond" w:cs="Times New Roman"/>
          <w:sz w:val="24"/>
          <w:szCs w:val="24"/>
        </w:rPr>
        <w:t>:</w:t>
      </w:r>
    </w:p>
    <w:p w14:paraId="49B73E95" w14:textId="6FE3AC6B" w:rsidR="00073743" w:rsidRPr="00BB44F3" w:rsidRDefault="00BF33E8"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 xml:space="preserve">- </w:t>
      </w:r>
      <w:r w:rsidR="00073743" w:rsidRPr="00BB44F3">
        <w:rPr>
          <w:rFonts w:ascii="Garamond" w:hAnsi="Garamond" w:cs="Times New Roman"/>
          <w:sz w:val="24"/>
          <w:szCs w:val="24"/>
        </w:rPr>
        <w:t>Servizi di interesse Generale (SIG)</w:t>
      </w:r>
      <w:r w:rsidRPr="00BB44F3">
        <w:rPr>
          <w:rFonts w:ascii="Garamond" w:hAnsi="Garamond" w:cs="Times New Roman"/>
          <w:sz w:val="24"/>
          <w:szCs w:val="24"/>
        </w:rPr>
        <w:t>:</w:t>
      </w:r>
      <w:r w:rsidRPr="00BB44F3">
        <w:rPr>
          <w:rFonts w:ascii="Garamond" w:hAnsi="Garamond" w:cs="Times New Roman"/>
          <w:b/>
          <w:sz w:val="24"/>
          <w:szCs w:val="24"/>
        </w:rPr>
        <w:t xml:space="preserve"> </w:t>
      </w:r>
      <w:r w:rsidR="00073743" w:rsidRPr="00BB44F3">
        <w:rPr>
          <w:rFonts w:ascii="Garamond" w:hAnsi="Garamond" w:cs="Times New Roman"/>
          <w:sz w:val="24"/>
          <w:szCs w:val="24"/>
        </w:rPr>
        <w:t>“</w:t>
      </w:r>
      <w:r w:rsidR="00073743" w:rsidRPr="00BB44F3">
        <w:rPr>
          <w:rFonts w:ascii="Garamond" w:hAnsi="Garamond" w:cs="Times New Roman"/>
          <w:i/>
          <w:sz w:val="24"/>
          <w:szCs w:val="24"/>
        </w:rPr>
        <w:t>sono servizi che le autorità pubbliche degli Stati membri considerano di interesse generale e pertanto sono oggetto di specifici obblighi di servizio pubblico (OSP). Il termine riguarda sia le attività economiche (vedere la definizione di SIEG in appresso) che i servizi non economici. Questi ultimi non sono soggetti a una normativa UE specifica né alle norme del trattato in materia di mercato interno e concorrenza. Alcuni aspetti dell'organizzazione di questi servizi possono essere oggetto di altre norme generali del trattato, quali il principio di non discriminazione</w:t>
      </w:r>
      <w:r w:rsidRPr="00BB44F3">
        <w:rPr>
          <w:rFonts w:ascii="Garamond" w:hAnsi="Garamond" w:cs="Times New Roman"/>
          <w:sz w:val="24"/>
          <w:szCs w:val="24"/>
        </w:rPr>
        <w:t>”; è importante rilevare che</w:t>
      </w:r>
      <w:r w:rsidR="004E5242">
        <w:rPr>
          <w:rFonts w:ascii="Garamond" w:hAnsi="Garamond" w:cs="Times New Roman"/>
          <w:sz w:val="24"/>
          <w:szCs w:val="24"/>
        </w:rPr>
        <w:t>, quindi,</w:t>
      </w:r>
      <w:r w:rsidRPr="00BB44F3">
        <w:rPr>
          <w:rFonts w:ascii="Garamond" w:hAnsi="Garamond" w:cs="Times New Roman"/>
          <w:sz w:val="24"/>
          <w:szCs w:val="24"/>
        </w:rPr>
        <w:t xml:space="preserve"> n</w:t>
      </w:r>
      <w:r w:rsidR="00073743" w:rsidRPr="00BB44F3">
        <w:rPr>
          <w:rFonts w:ascii="Garamond" w:hAnsi="Garamond" w:cs="Times New Roman"/>
          <w:sz w:val="24"/>
          <w:szCs w:val="24"/>
        </w:rPr>
        <w:t>ella nozione di SIG sono ricompresi sia i SIEG</w:t>
      </w:r>
      <w:r w:rsidR="004E5242">
        <w:rPr>
          <w:rFonts w:ascii="Garamond" w:hAnsi="Garamond" w:cs="Times New Roman"/>
          <w:sz w:val="24"/>
          <w:szCs w:val="24"/>
        </w:rPr>
        <w:t>,</w:t>
      </w:r>
      <w:r w:rsidR="00073743" w:rsidRPr="00BB44F3">
        <w:rPr>
          <w:rFonts w:ascii="Garamond" w:hAnsi="Garamond" w:cs="Times New Roman"/>
          <w:sz w:val="24"/>
          <w:szCs w:val="24"/>
        </w:rPr>
        <w:t xml:space="preserve"> sia i servizi non economici</w:t>
      </w:r>
      <w:r w:rsidR="00685ECE">
        <w:rPr>
          <w:rFonts w:ascii="Garamond" w:hAnsi="Garamond" w:cs="Times New Roman"/>
          <w:sz w:val="24"/>
          <w:szCs w:val="24"/>
        </w:rPr>
        <w:t>;</w:t>
      </w:r>
    </w:p>
    <w:p w14:paraId="5B8DC487" w14:textId="06936862" w:rsidR="00073743" w:rsidRPr="00BB44F3" w:rsidRDefault="00BF33E8"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 xml:space="preserve">- </w:t>
      </w:r>
      <w:r w:rsidR="00073743" w:rsidRPr="00BB44F3">
        <w:rPr>
          <w:rFonts w:ascii="Garamond" w:hAnsi="Garamond" w:cs="Times New Roman"/>
          <w:sz w:val="24"/>
          <w:szCs w:val="24"/>
        </w:rPr>
        <w:t>Servizi di interesse economico generale (SIEG)</w:t>
      </w:r>
      <w:r w:rsidRPr="00BB44F3">
        <w:rPr>
          <w:rFonts w:ascii="Garamond" w:hAnsi="Garamond" w:cs="Times New Roman"/>
          <w:sz w:val="24"/>
          <w:szCs w:val="24"/>
        </w:rPr>
        <w:t xml:space="preserve">: </w:t>
      </w:r>
      <w:r w:rsidR="00073743" w:rsidRPr="00BB44F3">
        <w:rPr>
          <w:rFonts w:ascii="Garamond" w:hAnsi="Garamond" w:cs="Times New Roman"/>
          <w:sz w:val="24"/>
          <w:szCs w:val="24"/>
        </w:rPr>
        <w:t>“</w:t>
      </w:r>
      <w:r w:rsidR="00073743" w:rsidRPr="00BB44F3">
        <w:rPr>
          <w:rFonts w:ascii="Garamond" w:hAnsi="Garamond" w:cs="Times New Roman"/>
          <w:i/>
          <w:sz w:val="24"/>
          <w:szCs w:val="24"/>
        </w:rPr>
        <w:t>sono attività economiche i cui risultati contribuiscono all'interesse pubblico generale che non sarebbero svolte dal mercato senza un intervento statale (o sarebbero svolte a condizioni differenti in termini di qualità, sicurezza, accessibilità economica, parità di trattamento o accesso universale). Al fornitore incombe un OSP</w:t>
      </w:r>
      <w:r w:rsidRPr="00BB44F3">
        <w:rPr>
          <w:rStyle w:val="Rimandonotaapidipagina"/>
          <w:rFonts w:ascii="Garamond" w:hAnsi="Garamond" w:cs="Times New Roman"/>
          <w:i/>
          <w:sz w:val="24"/>
          <w:szCs w:val="24"/>
        </w:rPr>
        <w:footnoteReference w:id="19"/>
      </w:r>
      <w:r w:rsidR="00073743" w:rsidRPr="00BB44F3">
        <w:rPr>
          <w:rFonts w:ascii="Garamond" w:hAnsi="Garamond" w:cs="Times New Roman"/>
          <w:i/>
          <w:sz w:val="24"/>
          <w:szCs w:val="24"/>
        </w:rPr>
        <w:t xml:space="preserve"> sulla base di un incarico e di un criterio di interesse generale che assicura che il servizio sia fornito a condizioni che gli consentano di assolvere i propri compiti</w:t>
      </w:r>
      <w:r w:rsidR="00073743" w:rsidRPr="00BB44F3">
        <w:rPr>
          <w:rFonts w:ascii="Garamond" w:hAnsi="Garamond" w:cs="Times New Roman"/>
          <w:sz w:val="24"/>
          <w:szCs w:val="24"/>
        </w:rPr>
        <w:t>”</w:t>
      </w:r>
      <w:r w:rsidR="00685ECE">
        <w:rPr>
          <w:rFonts w:ascii="Garamond" w:hAnsi="Garamond" w:cs="Times New Roman"/>
          <w:sz w:val="24"/>
          <w:szCs w:val="24"/>
        </w:rPr>
        <w:t>;</w:t>
      </w:r>
    </w:p>
    <w:p w14:paraId="5A892302" w14:textId="637C2188" w:rsidR="00073743" w:rsidRPr="00BB44F3" w:rsidRDefault="00BF33E8" w:rsidP="002B0099">
      <w:pPr>
        <w:pStyle w:val="Nessunaspaziatura"/>
        <w:ind w:firstLine="454"/>
        <w:contextualSpacing/>
        <w:jc w:val="both"/>
        <w:rPr>
          <w:rFonts w:ascii="Garamond" w:hAnsi="Garamond" w:cs="Times New Roman"/>
          <w:i/>
          <w:sz w:val="24"/>
          <w:szCs w:val="24"/>
        </w:rPr>
      </w:pPr>
      <w:r w:rsidRPr="00BB44F3">
        <w:rPr>
          <w:rFonts w:ascii="Garamond" w:hAnsi="Garamond" w:cs="Times New Roman"/>
          <w:sz w:val="24"/>
          <w:szCs w:val="24"/>
        </w:rPr>
        <w:t xml:space="preserve">- </w:t>
      </w:r>
      <w:r w:rsidR="00073743" w:rsidRPr="00BB44F3">
        <w:rPr>
          <w:rFonts w:ascii="Garamond" w:hAnsi="Garamond" w:cs="Times New Roman"/>
          <w:sz w:val="24"/>
          <w:szCs w:val="24"/>
        </w:rPr>
        <w:t>Servizi sociali di interesse generale (SSIG)</w:t>
      </w:r>
      <w:r w:rsidRPr="00BB44F3">
        <w:rPr>
          <w:rFonts w:ascii="Garamond" w:hAnsi="Garamond" w:cs="Times New Roman"/>
          <w:sz w:val="24"/>
          <w:szCs w:val="24"/>
        </w:rPr>
        <w:t xml:space="preserve">: </w:t>
      </w:r>
      <w:r w:rsidR="00073743" w:rsidRPr="00BB44F3">
        <w:rPr>
          <w:rFonts w:ascii="Garamond" w:hAnsi="Garamond" w:cs="Times New Roman"/>
          <w:sz w:val="24"/>
          <w:szCs w:val="24"/>
        </w:rPr>
        <w:t>“</w:t>
      </w:r>
      <w:r w:rsidR="00073743" w:rsidRPr="00BB44F3">
        <w:rPr>
          <w:rFonts w:ascii="Garamond" w:hAnsi="Garamond" w:cs="Times New Roman"/>
          <w:i/>
          <w:sz w:val="24"/>
          <w:szCs w:val="24"/>
        </w:rPr>
        <w:t>comprendono i regimi di sicurezza sociale che coprono i rischi fondamentali dell'esistenza e una gamma di altri servizi essenziali forniti direttamente al cittadino che svolgono un ruolo preventivo e di coesione/inclusione sociale.</w:t>
      </w:r>
    </w:p>
    <w:p w14:paraId="23191FCE" w14:textId="456AAE2A" w:rsidR="00073743" w:rsidRPr="00BB44F3" w:rsidRDefault="00073743"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i/>
          <w:sz w:val="24"/>
          <w:szCs w:val="24"/>
        </w:rPr>
        <w:t>Seppur alcuni servizi sociali (come i regimi di sicurezza sociali previsti per legge) non siano considerati attività economiche dalla Corte europea, la giurisprudenza della Corte afferma chiaramente che la natura sociale di un servizio non è di per sé sufficiente per qualificarlo come attività non economica. Il termine "servizio sociale di interesse generale", di conseguenza, riguarda attività sia economiche che non</w:t>
      </w:r>
      <w:r w:rsidRPr="00BB44F3">
        <w:rPr>
          <w:rFonts w:ascii="Garamond" w:hAnsi="Garamond" w:cs="Times New Roman"/>
          <w:sz w:val="24"/>
          <w:szCs w:val="24"/>
        </w:rPr>
        <w:t>”.</w:t>
      </w:r>
    </w:p>
    <w:p w14:paraId="28A8563A" w14:textId="0CAD02B1" w:rsidR="00073743" w:rsidRPr="00BB44F3" w:rsidRDefault="00073743"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sostanza i SSIG sono categoria trasversale rispetto ai SIEG ed ai servizi non economici. La mera natura sociale di un servizio </w:t>
      </w:r>
      <w:r w:rsidR="004E5242">
        <w:rPr>
          <w:rFonts w:ascii="Garamond" w:hAnsi="Garamond" w:cs="Times New Roman"/>
          <w:sz w:val="24"/>
          <w:szCs w:val="24"/>
        </w:rPr>
        <w:t>non</w:t>
      </w:r>
      <w:r w:rsidRPr="00BB44F3">
        <w:rPr>
          <w:rFonts w:ascii="Garamond" w:hAnsi="Garamond" w:cs="Times New Roman"/>
          <w:sz w:val="24"/>
          <w:szCs w:val="24"/>
        </w:rPr>
        <w:t xml:space="preserve"> basta </w:t>
      </w:r>
      <w:r w:rsidR="00E35FFE" w:rsidRPr="00BB44F3">
        <w:rPr>
          <w:rFonts w:ascii="Garamond" w:hAnsi="Garamond" w:cs="Times New Roman"/>
          <w:sz w:val="24"/>
          <w:szCs w:val="24"/>
        </w:rPr>
        <w:t>a sottrarlo al regime dei SIEG.</w:t>
      </w:r>
    </w:p>
    <w:p w14:paraId="6B5A4968" w14:textId="01BF1D3C" w:rsidR="00E35FFE" w:rsidRPr="00BB44F3" w:rsidRDefault="00E35FFE" w:rsidP="002B0099">
      <w:pPr>
        <w:spacing w:after="0" w:line="240" w:lineRule="auto"/>
        <w:ind w:firstLine="454"/>
        <w:contextualSpacing/>
        <w:jc w:val="both"/>
        <w:rPr>
          <w:rFonts w:ascii="Garamond" w:hAnsi="Garamond" w:cs="Times New Roman"/>
          <w:sz w:val="24"/>
          <w:szCs w:val="24"/>
        </w:rPr>
      </w:pPr>
    </w:p>
    <w:p w14:paraId="19BE7B66" w14:textId="37666BDC" w:rsidR="008F5869" w:rsidRPr="00BB44F3" w:rsidRDefault="008459AB" w:rsidP="002B0099">
      <w:pPr>
        <w:pStyle w:val="Titolo1"/>
        <w:jc w:val="both"/>
        <w:rPr>
          <w:rFonts w:ascii="Garamond" w:hAnsi="Garamond"/>
        </w:rPr>
      </w:pPr>
      <w:bookmarkStart w:id="80" w:name="_Toc209095119"/>
      <w:bookmarkStart w:id="81" w:name="_Toc209095180"/>
      <w:bookmarkStart w:id="82" w:name="_Toc209095655"/>
      <w:bookmarkStart w:id="83" w:name="_Toc209095688"/>
      <w:bookmarkStart w:id="84" w:name="_Toc209095721"/>
      <w:bookmarkStart w:id="85" w:name="_Toc209097836"/>
      <w:bookmarkStart w:id="86" w:name="_Toc209097868"/>
      <w:bookmarkStart w:id="87" w:name="_Toc209104515"/>
      <w:bookmarkStart w:id="88" w:name="_Toc209105880"/>
      <w:bookmarkStart w:id="89" w:name="_Toc209106766"/>
      <w:bookmarkStart w:id="90" w:name="_Toc209107505"/>
      <w:bookmarkStart w:id="91" w:name="_Toc209181405"/>
      <w:bookmarkStart w:id="92" w:name="_Toc209181495"/>
      <w:bookmarkStart w:id="93" w:name="_Toc209181551"/>
      <w:bookmarkStart w:id="94" w:name="_Toc209182702"/>
      <w:bookmarkStart w:id="95" w:name="_Toc209182899"/>
      <w:r w:rsidRPr="00BB44F3">
        <w:rPr>
          <w:rFonts w:ascii="Garamond" w:hAnsi="Garamond"/>
        </w:rPr>
        <w:t xml:space="preserve">4. </w:t>
      </w:r>
      <w:r w:rsidR="00BE284B" w:rsidRPr="00BB44F3">
        <w:rPr>
          <w:rFonts w:ascii="Garamond" w:hAnsi="Garamond"/>
        </w:rPr>
        <w:t>C</w:t>
      </w:r>
      <w:r w:rsidR="008F5869" w:rsidRPr="00BB44F3">
        <w:rPr>
          <w:rFonts w:ascii="Garamond" w:hAnsi="Garamond"/>
        </w:rPr>
        <w:t>enni sulla recente evoluzione della materia dei servizi pubblici locali</w:t>
      </w:r>
      <w:bookmarkEnd w:id="80"/>
      <w:bookmarkEnd w:id="81"/>
      <w:bookmarkEnd w:id="82"/>
      <w:bookmarkEnd w:id="83"/>
      <w:bookmarkEnd w:id="84"/>
      <w:r w:rsidR="00D70260" w:rsidRPr="00BB44F3">
        <w:rPr>
          <w:rFonts w:ascii="Garamond" w:hAnsi="Garamond"/>
        </w:rPr>
        <w:t xml:space="preserve"> di </w:t>
      </w:r>
      <w:bookmarkEnd w:id="85"/>
      <w:bookmarkEnd w:id="86"/>
      <w:bookmarkEnd w:id="87"/>
      <w:bookmarkEnd w:id="88"/>
      <w:bookmarkEnd w:id="89"/>
      <w:bookmarkEnd w:id="90"/>
      <w:bookmarkEnd w:id="91"/>
      <w:bookmarkEnd w:id="92"/>
      <w:bookmarkEnd w:id="93"/>
      <w:bookmarkEnd w:id="94"/>
      <w:bookmarkEnd w:id="95"/>
      <w:r w:rsidR="006D339F">
        <w:rPr>
          <w:rFonts w:ascii="Garamond" w:hAnsi="Garamond"/>
        </w:rPr>
        <w:t>rilevanza economica</w:t>
      </w:r>
    </w:p>
    <w:p w14:paraId="516D25CA" w14:textId="7AE9C35D" w:rsidR="00D70260" w:rsidRPr="00BB44F3" w:rsidRDefault="00D7026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Tenuto conto della lunga evoluzione della materia andrà focalizzata l’attenzione soltanto sulla “storia” recente della stessa e con riferimento ai servizi pubblici locali di rilevanza economica</w:t>
      </w:r>
      <w:r w:rsidRPr="00BB44F3">
        <w:rPr>
          <w:rStyle w:val="Rimandonotaapidipagina"/>
          <w:rFonts w:ascii="Garamond" w:hAnsi="Garamond" w:cs="Times New Roman"/>
          <w:sz w:val="24"/>
          <w:szCs w:val="24"/>
        </w:rPr>
        <w:footnoteReference w:id="20"/>
      </w:r>
      <w:r w:rsidRPr="00BB44F3">
        <w:rPr>
          <w:rFonts w:ascii="Garamond" w:hAnsi="Garamond" w:cs="Times New Roman"/>
          <w:sz w:val="24"/>
          <w:szCs w:val="24"/>
        </w:rPr>
        <w:t xml:space="preserve"> e dovrà distinguersi il piano interno da quello euro-unitario. </w:t>
      </w:r>
    </w:p>
    <w:p w14:paraId="74F8B6BA" w14:textId="77777777" w:rsidR="00F222FA" w:rsidRPr="00BB44F3" w:rsidRDefault="00F222FA" w:rsidP="002B0099">
      <w:pPr>
        <w:spacing w:after="0" w:line="240" w:lineRule="auto"/>
        <w:ind w:firstLine="454"/>
        <w:contextualSpacing/>
        <w:jc w:val="both"/>
        <w:rPr>
          <w:rFonts w:ascii="Garamond" w:hAnsi="Garamond" w:cs="Times New Roman"/>
          <w:sz w:val="24"/>
          <w:szCs w:val="24"/>
        </w:rPr>
      </w:pPr>
    </w:p>
    <w:p w14:paraId="79A2AE28" w14:textId="7C42CB2B" w:rsidR="008F5869" w:rsidRPr="00BB44F3" w:rsidRDefault="008459AB" w:rsidP="00F77BBE">
      <w:pPr>
        <w:pStyle w:val="Titolo2"/>
        <w:jc w:val="both"/>
      </w:pPr>
      <w:bookmarkStart w:id="96" w:name="_Toc209097869"/>
      <w:bookmarkStart w:id="97" w:name="_Toc209104516"/>
      <w:bookmarkStart w:id="98" w:name="_Toc209105881"/>
      <w:bookmarkStart w:id="99" w:name="_Toc209106767"/>
      <w:bookmarkStart w:id="100" w:name="_Toc209107506"/>
      <w:bookmarkStart w:id="101" w:name="_Toc209181406"/>
      <w:bookmarkStart w:id="102" w:name="_Toc209181496"/>
      <w:bookmarkStart w:id="103" w:name="_Toc209181552"/>
      <w:bookmarkStart w:id="104" w:name="_Toc209182703"/>
      <w:bookmarkStart w:id="105" w:name="_Toc209182900"/>
      <w:r w:rsidRPr="00BB44F3">
        <w:t xml:space="preserve">4.1. </w:t>
      </w:r>
      <w:r w:rsidR="00F222FA" w:rsidRPr="00BB44F3">
        <w:t>La s</w:t>
      </w:r>
      <w:r w:rsidR="00522A83" w:rsidRPr="00BB44F3">
        <w:t>ituazione prima del referendum del 12 e 13 giugno 20</w:t>
      </w:r>
      <w:r w:rsidR="00BF0659">
        <w:t>1</w:t>
      </w:r>
      <w:r w:rsidR="00522A83" w:rsidRPr="00BB44F3">
        <w:t>1</w:t>
      </w:r>
      <w:bookmarkEnd w:id="96"/>
      <w:bookmarkEnd w:id="97"/>
      <w:bookmarkEnd w:id="98"/>
      <w:bookmarkEnd w:id="99"/>
      <w:bookmarkEnd w:id="100"/>
      <w:bookmarkEnd w:id="101"/>
      <w:bookmarkEnd w:id="102"/>
      <w:bookmarkEnd w:id="103"/>
      <w:bookmarkEnd w:id="104"/>
      <w:bookmarkEnd w:id="105"/>
    </w:p>
    <w:p w14:paraId="3AD6FB88" w14:textId="1F3D1544" w:rsidR="00D70260" w:rsidRPr="00BB44F3" w:rsidRDefault="006D339F"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N</w:t>
      </w:r>
      <w:r w:rsidR="00D70260" w:rsidRPr="00BB44F3">
        <w:rPr>
          <w:rFonts w:ascii="Garamond" w:hAnsi="Garamond" w:cs="Times New Roman"/>
          <w:sz w:val="24"/>
          <w:szCs w:val="24"/>
        </w:rPr>
        <w:t>ell’ordinamento italiano prima del referendum abrogativo del 12 e 13 giugno 20</w:t>
      </w:r>
      <w:r w:rsidR="00BF0659">
        <w:rPr>
          <w:rFonts w:ascii="Garamond" w:hAnsi="Garamond" w:cs="Times New Roman"/>
          <w:sz w:val="24"/>
          <w:szCs w:val="24"/>
        </w:rPr>
        <w:t>1</w:t>
      </w:r>
      <w:r w:rsidR="00D70260" w:rsidRPr="00BB44F3">
        <w:rPr>
          <w:rFonts w:ascii="Garamond" w:hAnsi="Garamond" w:cs="Times New Roman"/>
          <w:sz w:val="24"/>
          <w:szCs w:val="24"/>
        </w:rPr>
        <w:t xml:space="preserve">1 il riferimento </w:t>
      </w:r>
      <w:r>
        <w:rPr>
          <w:rFonts w:ascii="Garamond" w:hAnsi="Garamond" w:cs="Times New Roman"/>
          <w:sz w:val="24"/>
          <w:szCs w:val="24"/>
        </w:rPr>
        <w:t xml:space="preserve">normativo </w:t>
      </w:r>
      <w:r w:rsidR="00D70260" w:rsidRPr="00BB44F3">
        <w:rPr>
          <w:rFonts w:ascii="Garamond" w:hAnsi="Garamond" w:cs="Times New Roman"/>
          <w:sz w:val="24"/>
          <w:szCs w:val="24"/>
        </w:rPr>
        <w:t>era costituito dall’</w:t>
      </w:r>
      <w:r w:rsidR="00522A83" w:rsidRPr="00BB44F3">
        <w:rPr>
          <w:rFonts w:ascii="Garamond" w:hAnsi="Garamond" w:cs="Times New Roman"/>
          <w:sz w:val="24"/>
          <w:szCs w:val="24"/>
        </w:rPr>
        <w:t>art. 23 bis del D.L. 25 giugno 2008 n. 112</w:t>
      </w:r>
      <w:r w:rsidR="00522A83" w:rsidRPr="00BB44F3">
        <w:rPr>
          <w:rStyle w:val="Rimandonotaapidipagina"/>
          <w:rFonts w:ascii="Garamond" w:hAnsi="Garamond" w:cs="Times New Roman"/>
          <w:sz w:val="24"/>
          <w:szCs w:val="24"/>
        </w:rPr>
        <w:footnoteReference w:id="21"/>
      </w:r>
      <w:r w:rsidR="00D70260" w:rsidRPr="00BB44F3">
        <w:rPr>
          <w:rFonts w:ascii="Garamond" w:hAnsi="Garamond" w:cs="Times New Roman"/>
          <w:sz w:val="24"/>
          <w:szCs w:val="24"/>
        </w:rPr>
        <w:t>.</w:t>
      </w:r>
    </w:p>
    <w:p w14:paraId="7962548A" w14:textId="606FD95D" w:rsidR="00522A83" w:rsidRPr="00BB44F3" w:rsidRDefault="00D7026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disposizione</w:t>
      </w:r>
      <w:r w:rsidR="00522A83" w:rsidRPr="00BB44F3">
        <w:rPr>
          <w:rFonts w:ascii="Garamond" w:hAnsi="Garamond" w:cs="Times New Roman"/>
          <w:sz w:val="24"/>
          <w:szCs w:val="24"/>
        </w:rPr>
        <w:t xml:space="preserve"> aveva previsto che la regola in tema di conferimento della gestione dei servizi pubblici locali</w:t>
      </w:r>
      <w:r w:rsidRPr="00BB44F3">
        <w:rPr>
          <w:rFonts w:ascii="Garamond" w:hAnsi="Garamond" w:cs="Times New Roman"/>
          <w:sz w:val="24"/>
          <w:szCs w:val="24"/>
        </w:rPr>
        <w:t xml:space="preserve"> di rilevanza economica</w:t>
      </w:r>
      <w:r w:rsidR="00522A83" w:rsidRPr="00BB44F3">
        <w:rPr>
          <w:rFonts w:ascii="Garamond" w:hAnsi="Garamond" w:cs="Times New Roman"/>
          <w:sz w:val="24"/>
          <w:szCs w:val="24"/>
        </w:rPr>
        <w:t xml:space="preserve"> dov</w:t>
      </w:r>
      <w:r w:rsidR="00CD48CA" w:rsidRPr="00BB44F3">
        <w:rPr>
          <w:rFonts w:ascii="Garamond" w:hAnsi="Garamond" w:cs="Times New Roman"/>
          <w:sz w:val="24"/>
          <w:szCs w:val="24"/>
        </w:rPr>
        <w:t xml:space="preserve">esse essere l’esternalizzazione totale o parziale mediante o </w:t>
      </w:r>
      <w:r w:rsidR="00522A83" w:rsidRPr="00BB44F3">
        <w:rPr>
          <w:rFonts w:ascii="Garamond" w:hAnsi="Garamond" w:cs="Times New Roman"/>
          <w:sz w:val="24"/>
          <w:szCs w:val="24"/>
        </w:rPr>
        <w:t xml:space="preserve">il conferimento della gestione a favore di imprenditori / società </w:t>
      </w:r>
      <w:r w:rsidR="006D339F">
        <w:rPr>
          <w:rFonts w:ascii="Garamond" w:hAnsi="Garamond" w:cs="Times New Roman"/>
          <w:sz w:val="24"/>
          <w:szCs w:val="24"/>
        </w:rPr>
        <w:t>per mezzo di</w:t>
      </w:r>
      <w:r w:rsidR="00522A83" w:rsidRPr="00BB44F3">
        <w:rPr>
          <w:rFonts w:ascii="Garamond" w:hAnsi="Garamond" w:cs="Times New Roman"/>
          <w:sz w:val="24"/>
          <w:szCs w:val="24"/>
        </w:rPr>
        <w:t xml:space="preserve"> procedure competitive ad evidenza pubblica oppure l’affidamento a società a partecipazione mista pubblica e privata </w:t>
      </w:r>
      <w:r w:rsidR="00CD48CA" w:rsidRPr="00BB44F3">
        <w:rPr>
          <w:rFonts w:ascii="Garamond" w:hAnsi="Garamond" w:cs="Times New Roman"/>
          <w:sz w:val="24"/>
          <w:szCs w:val="24"/>
        </w:rPr>
        <w:t xml:space="preserve">(a </w:t>
      </w:r>
      <w:r w:rsidR="00522A83" w:rsidRPr="00BB44F3">
        <w:rPr>
          <w:rFonts w:ascii="Garamond" w:hAnsi="Garamond" w:cs="Times New Roman"/>
          <w:sz w:val="24"/>
          <w:szCs w:val="24"/>
        </w:rPr>
        <w:t>condizione che la selezione del socio avvenisse mediante procedure competitive ad evidenza pubblica e che la gara fosse a doppio oggetto</w:t>
      </w:r>
      <w:r w:rsidR="00CD48CA" w:rsidRPr="00BB44F3">
        <w:rPr>
          <w:rFonts w:ascii="Garamond" w:hAnsi="Garamond" w:cs="Times New Roman"/>
          <w:sz w:val="24"/>
          <w:szCs w:val="24"/>
        </w:rPr>
        <w:t>)</w:t>
      </w:r>
      <w:r w:rsidR="00522A83" w:rsidRPr="00BB44F3">
        <w:rPr>
          <w:rFonts w:ascii="Garamond" w:hAnsi="Garamond" w:cs="Times New Roman"/>
          <w:sz w:val="24"/>
          <w:szCs w:val="24"/>
        </w:rPr>
        <w:t>.</w:t>
      </w:r>
    </w:p>
    <w:p w14:paraId="1E394F3B" w14:textId="77777777" w:rsidR="00CD48CA" w:rsidRPr="00BB44F3" w:rsidRDefault="00522A8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L’eccezione </w:t>
      </w:r>
      <w:r w:rsidR="00CD48CA" w:rsidRPr="00BB44F3">
        <w:rPr>
          <w:rFonts w:ascii="Garamond" w:hAnsi="Garamond" w:cs="Times New Roman"/>
          <w:sz w:val="24"/>
          <w:szCs w:val="24"/>
        </w:rPr>
        <w:t xml:space="preserve">a tale regola </w:t>
      </w:r>
      <w:r w:rsidRPr="00BB44F3">
        <w:rPr>
          <w:rFonts w:ascii="Garamond" w:hAnsi="Garamond" w:cs="Times New Roman"/>
          <w:sz w:val="24"/>
          <w:szCs w:val="24"/>
        </w:rPr>
        <w:t xml:space="preserve">era l’affidamento a società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sz w:val="24"/>
          <w:szCs w:val="24"/>
        </w:rPr>
        <w:t xml:space="preserve">. </w:t>
      </w:r>
    </w:p>
    <w:p w14:paraId="0384037F" w14:textId="03A5DC58" w:rsidR="00522A83" w:rsidRPr="00BB44F3" w:rsidRDefault="00522A8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Oltre ai requisiti richiesti per la configurabilità del soggetto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venivano richiesti ulteriori requisiti costituiti</w:t>
      </w:r>
      <w:r w:rsidR="00CD48CA" w:rsidRPr="00BB44F3">
        <w:rPr>
          <w:rFonts w:ascii="Garamond" w:hAnsi="Garamond" w:cs="Times New Roman"/>
          <w:sz w:val="24"/>
          <w:szCs w:val="24"/>
        </w:rPr>
        <w:t>:</w:t>
      </w:r>
      <w:r w:rsidRPr="00BB44F3">
        <w:rPr>
          <w:rFonts w:ascii="Garamond" w:hAnsi="Garamond" w:cs="Times New Roman"/>
          <w:sz w:val="24"/>
          <w:szCs w:val="24"/>
        </w:rPr>
        <w:t xml:space="preserve"> dalla previa “pubblicità adeguata”</w:t>
      </w:r>
      <w:r w:rsidR="00CD48CA" w:rsidRPr="00BB44F3">
        <w:rPr>
          <w:rFonts w:ascii="Garamond" w:hAnsi="Garamond" w:cs="Times New Roman"/>
          <w:sz w:val="24"/>
          <w:szCs w:val="24"/>
        </w:rPr>
        <w:t>;</w:t>
      </w:r>
      <w:r w:rsidRPr="00BB44F3">
        <w:rPr>
          <w:rFonts w:ascii="Garamond" w:hAnsi="Garamond" w:cs="Times New Roman"/>
          <w:sz w:val="24"/>
          <w:szCs w:val="24"/>
        </w:rPr>
        <w:t xml:space="preserve"> dalla motivazione della scelta di tale tipo di </w:t>
      </w:r>
      <w:r w:rsidRPr="00BB44F3">
        <w:rPr>
          <w:rFonts w:ascii="Garamond" w:hAnsi="Garamond" w:cs="Times New Roman"/>
          <w:sz w:val="24"/>
          <w:szCs w:val="24"/>
        </w:rPr>
        <w:lastRenderedPageBreak/>
        <w:t xml:space="preserve">affidamento da parte dell’ente in base ad un’analisi di mercato, con successiva trasmissione di una relazione dall’ente affidante all’AGCM per un parere preventivo e obbligatorio, ma non vincolante (da rendere entro 60 giorni dalla ricezione); </w:t>
      </w:r>
      <w:r w:rsidR="00CD48CA" w:rsidRPr="00BB44F3">
        <w:rPr>
          <w:rFonts w:ascii="Garamond" w:hAnsi="Garamond" w:cs="Times New Roman"/>
          <w:sz w:val="24"/>
          <w:szCs w:val="24"/>
        </w:rPr>
        <w:t xml:space="preserve">dalla </w:t>
      </w:r>
      <w:r w:rsidRPr="00BB44F3">
        <w:rPr>
          <w:rFonts w:ascii="Garamond" w:hAnsi="Garamond" w:cs="Times New Roman"/>
          <w:sz w:val="24"/>
          <w:szCs w:val="24"/>
        </w:rPr>
        <w:t>sussistenza di “</w:t>
      </w:r>
      <w:r w:rsidRPr="00BB44F3">
        <w:rPr>
          <w:rFonts w:ascii="Garamond" w:hAnsi="Garamond" w:cs="Times New Roman"/>
          <w:i/>
          <w:sz w:val="24"/>
          <w:szCs w:val="24"/>
        </w:rPr>
        <w:t>situazioni eccezionali che, a causa di peculiari caratteristiche economiche, sociali, ambientali e geomorfologiche del contesto territoriale di riferimento</w:t>
      </w:r>
      <w:r w:rsidRPr="00BB44F3">
        <w:rPr>
          <w:rFonts w:ascii="Garamond" w:hAnsi="Garamond" w:cs="Times New Roman"/>
          <w:sz w:val="24"/>
          <w:szCs w:val="24"/>
        </w:rPr>
        <w:t>”, “</w:t>
      </w:r>
      <w:r w:rsidRPr="00BB44F3">
        <w:rPr>
          <w:rFonts w:ascii="Garamond" w:hAnsi="Garamond" w:cs="Times New Roman"/>
          <w:i/>
          <w:sz w:val="24"/>
          <w:szCs w:val="24"/>
        </w:rPr>
        <w:t>non permettono un efficace ed utile ricorso al mercato</w:t>
      </w:r>
      <w:r w:rsidRPr="00BB44F3">
        <w:rPr>
          <w:rFonts w:ascii="Garamond" w:hAnsi="Garamond" w:cs="Times New Roman"/>
          <w:sz w:val="24"/>
          <w:szCs w:val="24"/>
        </w:rPr>
        <w:t>” (v. commi 3 e 4 del testo dell’art. 23-bis).</w:t>
      </w:r>
    </w:p>
    <w:p w14:paraId="2D28EC08" w14:textId="3B98D4E9" w:rsidR="00A30ABD" w:rsidRPr="00BB44F3" w:rsidRDefault="00CD48C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Nell’ordinamento europeo la </w:t>
      </w:r>
      <w:r w:rsidR="00A30ABD" w:rsidRPr="00BB44F3">
        <w:rPr>
          <w:rFonts w:ascii="Garamond" w:hAnsi="Garamond" w:cs="Times New Roman"/>
          <w:sz w:val="24"/>
          <w:szCs w:val="24"/>
        </w:rPr>
        <w:t>giurisprudenza della CGUE ammette</w:t>
      </w:r>
      <w:r w:rsidRPr="00BB44F3">
        <w:rPr>
          <w:rFonts w:ascii="Garamond" w:hAnsi="Garamond" w:cs="Times New Roman"/>
          <w:sz w:val="24"/>
          <w:szCs w:val="24"/>
        </w:rPr>
        <w:t>va (ed ammette)</w:t>
      </w:r>
      <w:r w:rsidR="00A30ABD" w:rsidRPr="00BB44F3">
        <w:rPr>
          <w:rFonts w:ascii="Garamond" w:hAnsi="Garamond" w:cs="Times New Roman"/>
          <w:sz w:val="24"/>
          <w:szCs w:val="24"/>
        </w:rPr>
        <w:t xml:space="preserve"> la gestione diretta </w:t>
      </w:r>
      <w:r w:rsidRPr="00BB44F3">
        <w:rPr>
          <w:rFonts w:ascii="Garamond" w:hAnsi="Garamond" w:cs="Times New Roman"/>
          <w:sz w:val="24"/>
          <w:szCs w:val="24"/>
        </w:rPr>
        <w:t xml:space="preserve">dei servizi di interesse economico generale di livello locale </w:t>
      </w:r>
      <w:r w:rsidR="00A30ABD" w:rsidRPr="00BB44F3">
        <w:rPr>
          <w:rFonts w:ascii="Garamond" w:hAnsi="Garamond" w:cs="Times New Roman"/>
          <w:sz w:val="24"/>
          <w:szCs w:val="24"/>
        </w:rPr>
        <w:t>da parte dell’Autorità pubblica</w:t>
      </w:r>
      <w:r w:rsidR="00394399" w:rsidRPr="00BB44F3">
        <w:rPr>
          <w:rFonts w:ascii="Garamond" w:hAnsi="Garamond" w:cs="Times New Roman"/>
          <w:sz w:val="24"/>
          <w:szCs w:val="24"/>
        </w:rPr>
        <w:t xml:space="preserve">, nonché mediante </w:t>
      </w:r>
      <w:r w:rsidR="00394399" w:rsidRPr="00BB44F3">
        <w:rPr>
          <w:rFonts w:ascii="Garamond" w:hAnsi="Garamond" w:cs="Times New Roman"/>
          <w:i/>
          <w:sz w:val="24"/>
          <w:szCs w:val="24"/>
        </w:rPr>
        <w:t xml:space="preserve">in </w:t>
      </w:r>
      <w:proofErr w:type="spellStart"/>
      <w:r w:rsidR="00394399" w:rsidRPr="00BB44F3">
        <w:rPr>
          <w:rFonts w:ascii="Garamond" w:hAnsi="Garamond" w:cs="Times New Roman"/>
          <w:i/>
          <w:sz w:val="24"/>
          <w:szCs w:val="24"/>
        </w:rPr>
        <w:t>house</w:t>
      </w:r>
      <w:proofErr w:type="spellEnd"/>
      <w:r w:rsidR="00394399" w:rsidRPr="00BB44F3">
        <w:rPr>
          <w:rFonts w:ascii="Garamond" w:hAnsi="Garamond" w:cs="Times New Roman"/>
          <w:i/>
          <w:sz w:val="24"/>
          <w:szCs w:val="24"/>
        </w:rPr>
        <w:t xml:space="preserve"> </w:t>
      </w:r>
      <w:proofErr w:type="spellStart"/>
      <w:r w:rsidR="00394399" w:rsidRPr="00BB44F3">
        <w:rPr>
          <w:rFonts w:ascii="Garamond" w:hAnsi="Garamond" w:cs="Times New Roman"/>
          <w:i/>
          <w:sz w:val="24"/>
          <w:szCs w:val="24"/>
        </w:rPr>
        <w:t>providing</w:t>
      </w:r>
      <w:proofErr w:type="spellEnd"/>
      <w:r w:rsidR="00A30ABD" w:rsidRPr="00BB44F3">
        <w:rPr>
          <w:rFonts w:ascii="Garamond" w:hAnsi="Garamond" w:cs="Times New Roman"/>
          <w:sz w:val="24"/>
          <w:szCs w:val="24"/>
        </w:rPr>
        <w:t>.</w:t>
      </w:r>
    </w:p>
    <w:p w14:paraId="4201815E" w14:textId="36419B98" w:rsidR="00A30ABD" w:rsidRPr="00BB44F3" w:rsidRDefault="00CD48CA"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sz w:val="24"/>
          <w:szCs w:val="24"/>
        </w:rPr>
        <w:t xml:space="preserve">In particolare, la Corte di Giustizia ha osservato quanto segue: </w:t>
      </w:r>
      <w:r w:rsidR="00A30ABD" w:rsidRPr="00BB44F3">
        <w:rPr>
          <w:rFonts w:ascii="Garamond" w:hAnsi="Garamond" w:cs="Times New Roman"/>
          <w:sz w:val="24"/>
          <w:szCs w:val="24"/>
        </w:rPr>
        <w:t>“</w:t>
      </w:r>
      <w:r w:rsidR="00A30ABD" w:rsidRPr="00BB44F3">
        <w:rPr>
          <w:rFonts w:ascii="Garamond" w:hAnsi="Garamond" w:cs="Times New Roman"/>
          <w:i/>
          <w:sz w:val="24"/>
          <w:szCs w:val="24"/>
        </w:rPr>
        <w:t>Un’autorità pubblica, che sia un’amministrazione aggiudicatrice, ha la possibilità di adempiere ai compiti di interesse pubblico ad essa incombenti mediante propri strumenti, amministrativi, tecnici e di altro tipo, senza essere obbligata a far ricorso ad entità esterne non appartenenti ai propri servizi. In tal caso, non si può parlare di contratto a titolo oneroso concluso con un entità giuridicamente distinta dall’amministrazione aggiudicatrice. Non sussistono dunque i presupposti per applicare le norme comunitarie in materia di appalti pubblici.</w:t>
      </w:r>
    </w:p>
    <w:p w14:paraId="10A9AE57" w14:textId="318D2BD3" w:rsidR="00A30ABD" w:rsidRPr="00BB44F3" w:rsidRDefault="00A30ABD"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i/>
          <w:sz w:val="24"/>
          <w:szCs w:val="24"/>
        </w:rPr>
        <w:t xml:space="preserve">… In conformità della giurisprudenza della Corte, non è escluso che possano esistere altre circostanze nelle quali l’appello alla concorrenza non è obbligatorio ancorché la controparte contrattuale sia un’entità giuridicamente distinta dall’amministrazione aggiudicatrice. Ciò si verifica nel caso in cui l’autorità pubblica, che sia un’amministrazione aggiudicatrice, eserciti sull’entità distinta in questione un controllo analogo a quello che essa esercita sui propri servizi e tale entità realizzi la parte più importante della propria attività con l’autorità o le autorità pubbliche che la controllano (v., in tal senso, sentenza </w:t>
      </w:r>
      <w:proofErr w:type="spellStart"/>
      <w:r w:rsidRPr="00BB44F3">
        <w:rPr>
          <w:rFonts w:ascii="Garamond" w:hAnsi="Garamond" w:cs="Times New Roman"/>
          <w:i/>
          <w:sz w:val="24"/>
          <w:szCs w:val="24"/>
        </w:rPr>
        <w:t>Teckal</w:t>
      </w:r>
      <w:proofErr w:type="spellEnd"/>
      <w:r w:rsidRPr="00BB44F3">
        <w:rPr>
          <w:rFonts w:ascii="Garamond" w:hAnsi="Garamond" w:cs="Times New Roman"/>
          <w:i/>
          <w:sz w:val="24"/>
          <w:szCs w:val="24"/>
        </w:rPr>
        <w:t>, cit., punto 50). Occorre ricordare che, nel caso sopra menzionato, l’entità distinta era interamente detenuta da autorità pubbliche. Per contro, la partecipazione, anche minoritaria, di un’impresa privata al capitale di una società alla quale partecipi anche l’amministrazione aggiudicatrice in questione esclude in ogni caso che tale amministrazione possa esercitare sulla detta società un controllo analogo a quello che essa esercita sui propri servizi</w:t>
      </w:r>
      <w:r w:rsidRPr="00BB44F3">
        <w:rPr>
          <w:rFonts w:ascii="Garamond" w:hAnsi="Garamond" w:cs="Times New Roman"/>
          <w:sz w:val="24"/>
          <w:szCs w:val="24"/>
        </w:rPr>
        <w:t>”</w:t>
      </w:r>
      <w:r w:rsidRPr="00BB44F3">
        <w:rPr>
          <w:rStyle w:val="Rimandonotaapidipagina"/>
          <w:rFonts w:ascii="Garamond" w:hAnsi="Garamond" w:cs="Times New Roman"/>
          <w:sz w:val="24"/>
          <w:szCs w:val="24"/>
        </w:rPr>
        <w:footnoteReference w:id="22"/>
      </w:r>
      <w:r w:rsidRPr="00BB44F3">
        <w:rPr>
          <w:rFonts w:ascii="Garamond" w:hAnsi="Garamond" w:cs="Times New Roman"/>
          <w:sz w:val="24"/>
          <w:szCs w:val="24"/>
        </w:rPr>
        <w:t>.</w:t>
      </w:r>
    </w:p>
    <w:p w14:paraId="18CB95B6" w14:textId="07F682D5" w:rsidR="00394399" w:rsidRPr="00BB44F3" w:rsidRDefault="00394399"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 Corte Costituzionale con </w:t>
      </w:r>
      <w:r w:rsidR="00CD48CA" w:rsidRPr="00BB44F3">
        <w:rPr>
          <w:rFonts w:ascii="Garamond" w:hAnsi="Garamond" w:cs="Times New Roman"/>
          <w:sz w:val="24"/>
          <w:szCs w:val="24"/>
        </w:rPr>
        <w:t xml:space="preserve">la </w:t>
      </w:r>
      <w:r w:rsidRPr="00BB44F3">
        <w:rPr>
          <w:rFonts w:ascii="Garamond" w:hAnsi="Garamond" w:cs="Times New Roman"/>
          <w:sz w:val="24"/>
          <w:szCs w:val="24"/>
        </w:rPr>
        <w:t>sentenza</w:t>
      </w:r>
      <w:r w:rsidR="00CD48CA" w:rsidRPr="00BB44F3">
        <w:rPr>
          <w:rFonts w:ascii="Garamond" w:hAnsi="Garamond" w:cs="Times New Roman"/>
          <w:sz w:val="24"/>
          <w:szCs w:val="24"/>
        </w:rPr>
        <w:t xml:space="preserve"> n. 325/2010</w:t>
      </w:r>
      <w:r w:rsidRPr="00BB44F3">
        <w:rPr>
          <w:rFonts w:ascii="Garamond" w:hAnsi="Garamond" w:cs="Times New Roman"/>
          <w:sz w:val="24"/>
          <w:szCs w:val="24"/>
        </w:rPr>
        <w:t xml:space="preserve"> a</w:t>
      </w:r>
      <w:r w:rsidR="00CD48CA" w:rsidRPr="00BB44F3">
        <w:rPr>
          <w:rFonts w:ascii="Garamond" w:hAnsi="Garamond" w:cs="Times New Roman"/>
          <w:sz w:val="24"/>
          <w:szCs w:val="24"/>
        </w:rPr>
        <w:t>veva</w:t>
      </w:r>
      <w:r w:rsidRPr="00BB44F3">
        <w:rPr>
          <w:rFonts w:ascii="Garamond" w:hAnsi="Garamond" w:cs="Times New Roman"/>
          <w:sz w:val="24"/>
          <w:szCs w:val="24"/>
        </w:rPr>
        <w:t xml:space="preserve"> evidenziato la non incostituzionalità della suddetta disciplina</w:t>
      </w:r>
      <w:r w:rsidR="00E244F4">
        <w:rPr>
          <w:rFonts w:ascii="Garamond" w:hAnsi="Garamond" w:cs="Times New Roman"/>
          <w:sz w:val="24"/>
          <w:szCs w:val="24"/>
        </w:rPr>
        <w:t xml:space="preserve"> nazionale</w:t>
      </w:r>
      <w:r w:rsidRPr="00BB44F3">
        <w:rPr>
          <w:rFonts w:ascii="Garamond" w:hAnsi="Garamond" w:cs="Times New Roman"/>
          <w:sz w:val="24"/>
          <w:szCs w:val="24"/>
        </w:rPr>
        <w:t>, perché le condizioni aggiuntive richieste dalla normativa interna comportavano un’applicazione più estesa della “</w:t>
      </w:r>
      <w:r w:rsidRPr="00BB44F3">
        <w:rPr>
          <w:rFonts w:ascii="Garamond" w:hAnsi="Garamond" w:cs="Times New Roman"/>
          <w:i/>
          <w:sz w:val="24"/>
          <w:szCs w:val="24"/>
        </w:rPr>
        <w:t>regola comunitaria concorrenziale dell’affidamento del servizio stesso mediante gara pubblica, quale conseguenza di una precisa scelta del legislatore italiano. Tale scelta, proprio perché reca una d</w:t>
      </w:r>
      <w:r w:rsidR="00CD48CA" w:rsidRPr="00BB44F3">
        <w:rPr>
          <w:rFonts w:ascii="Garamond" w:hAnsi="Garamond" w:cs="Times New Roman"/>
          <w:i/>
          <w:sz w:val="24"/>
          <w:szCs w:val="24"/>
        </w:rPr>
        <w:t>isciplina pro concorrenziale più</w:t>
      </w:r>
      <w:r w:rsidRPr="00BB44F3">
        <w:rPr>
          <w:rFonts w:ascii="Garamond" w:hAnsi="Garamond" w:cs="Times New Roman"/>
          <w:i/>
          <w:sz w:val="24"/>
          <w:szCs w:val="24"/>
        </w:rPr>
        <w:t xml:space="preserve"> rigorosa rispetto a quanto richiesto dal diritto comunitario, non è da questo imposta – e, dunque, non è costituzionalmente obbligata, ai sensi del primo comma dell’art. 117 </w:t>
      </w:r>
      <w:proofErr w:type="spellStart"/>
      <w:r w:rsidRPr="00BB44F3">
        <w:rPr>
          <w:rFonts w:ascii="Garamond" w:hAnsi="Garamond" w:cs="Times New Roman"/>
          <w:i/>
          <w:sz w:val="24"/>
          <w:szCs w:val="24"/>
        </w:rPr>
        <w:t>Cost</w:t>
      </w:r>
      <w:proofErr w:type="spellEnd"/>
      <w:r w:rsidRPr="00BB44F3">
        <w:rPr>
          <w:rFonts w:ascii="Garamond" w:hAnsi="Garamond" w:cs="Times New Roman"/>
          <w:i/>
          <w:sz w:val="24"/>
          <w:szCs w:val="24"/>
        </w:rPr>
        <w:t xml:space="preserve">., come sostenuto dallo Stato –, ma neppure si pone in contrasto – come sostenuto, all’opposto, dalle ricorrenti – con la citata normativa comunitaria, che, in quanto diretta a favorire l’assetto concorrenziale del mercato, costituisce solo un minimo inderogabile per gli Stati membri. È infatti innegabile l’esistenza di un “margine di apprezzamento” del legislatore nazionale … Ne deriva, in particolare, che al legislatore italiano non è vietato adottare una disciplina che preveda regole concorrenziali – come sono quelle in tema di gara ad evidenza pubblica per l’affidamento di servizi pubblici – di applicazione </w:t>
      </w:r>
      <w:proofErr w:type="spellStart"/>
      <w:r w:rsidRPr="00BB44F3">
        <w:rPr>
          <w:rFonts w:ascii="Garamond" w:hAnsi="Garamond" w:cs="Times New Roman"/>
          <w:i/>
          <w:sz w:val="24"/>
          <w:szCs w:val="24"/>
        </w:rPr>
        <w:t>piú</w:t>
      </w:r>
      <w:proofErr w:type="spellEnd"/>
      <w:r w:rsidRPr="00BB44F3">
        <w:rPr>
          <w:rFonts w:ascii="Garamond" w:hAnsi="Garamond" w:cs="Times New Roman"/>
          <w:i/>
          <w:sz w:val="24"/>
          <w:szCs w:val="24"/>
        </w:rPr>
        <w:t xml:space="preserve"> ampia rispetto a quella richiesta dal diritto comunitario. L’identità del “verso” delle discipline interna e comunitaria esclude, pertanto, ogni contrasto od incompatibilità anche per quanto riguarda la indicata terza differenza</w:t>
      </w:r>
      <w:r w:rsidRPr="00BB44F3">
        <w:rPr>
          <w:rFonts w:ascii="Garamond" w:hAnsi="Garamond" w:cs="Times New Roman"/>
          <w:sz w:val="24"/>
          <w:szCs w:val="24"/>
        </w:rPr>
        <w:t>”.</w:t>
      </w:r>
    </w:p>
    <w:p w14:paraId="2E903CEE" w14:textId="2AAA408E" w:rsidR="00CD48CA" w:rsidRPr="00BB44F3" w:rsidRDefault="00CD48C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sostanza, la regola </w:t>
      </w:r>
      <w:r w:rsidR="00E244F4">
        <w:rPr>
          <w:rFonts w:ascii="Garamond" w:hAnsi="Garamond" w:cs="Times New Roman"/>
          <w:sz w:val="24"/>
          <w:szCs w:val="24"/>
        </w:rPr>
        <w:t xml:space="preserve">nel senso </w:t>
      </w:r>
      <w:r w:rsidRPr="00BB44F3">
        <w:rPr>
          <w:rFonts w:ascii="Garamond" w:hAnsi="Garamond" w:cs="Times New Roman"/>
          <w:sz w:val="24"/>
          <w:szCs w:val="24"/>
        </w:rPr>
        <w:t xml:space="preserve">dell’esternalizzazione </w:t>
      </w:r>
      <w:r w:rsidR="00E244F4">
        <w:rPr>
          <w:rFonts w:ascii="Garamond" w:hAnsi="Garamond" w:cs="Times New Roman"/>
          <w:sz w:val="24"/>
          <w:szCs w:val="24"/>
        </w:rPr>
        <w:t xml:space="preserve">dei servizi pubblici locali </w:t>
      </w:r>
      <w:r w:rsidRPr="00BB44F3">
        <w:rPr>
          <w:rFonts w:ascii="Garamond" w:hAnsi="Garamond" w:cs="Times New Roman"/>
          <w:sz w:val="24"/>
          <w:szCs w:val="24"/>
        </w:rPr>
        <w:t xml:space="preserve">non </w:t>
      </w:r>
      <w:r w:rsidR="00E244F4">
        <w:rPr>
          <w:rFonts w:ascii="Garamond" w:hAnsi="Garamond" w:cs="Times New Roman"/>
          <w:sz w:val="24"/>
          <w:szCs w:val="24"/>
        </w:rPr>
        <w:t>era ritenuta</w:t>
      </w:r>
      <w:r w:rsidRPr="00BB44F3">
        <w:rPr>
          <w:rFonts w:ascii="Garamond" w:hAnsi="Garamond" w:cs="Times New Roman"/>
          <w:sz w:val="24"/>
          <w:szCs w:val="24"/>
        </w:rPr>
        <w:t xml:space="preserve"> in contrasto </w:t>
      </w:r>
      <w:r w:rsidR="00E244F4" w:rsidRPr="00BB44F3">
        <w:rPr>
          <w:rFonts w:ascii="Garamond" w:hAnsi="Garamond" w:cs="Times New Roman"/>
          <w:sz w:val="24"/>
          <w:szCs w:val="24"/>
        </w:rPr>
        <w:t xml:space="preserve">con i vincoli euro-unitari </w:t>
      </w:r>
      <w:r w:rsidR="00E244F4">
        <w:rPr>
          <w:rFonts w:ascii="Garamond" w:hAnsi="Garamond" w:cs="Times New Roman"/>
          <w:sz w:val="24"/>
          <w:szCs w:val="24"/>
        </w:rPr>
        <w:t xml:space="preserve">e </w:t>
      </w:r>
      <w:r w:rsidRPr="00BB44F3">
        <w:rPr>
          <w:rFonts w:ascii="Garamond" w:hAnsi="Garamond" w:cs="Times New Roman"/>
          <w:sz w:val="24"/>
          <w:szCs w:val="24"/>
        </w:rPr>
        <w:t xml:space="preserve">con la Costituzione. </w:t>
      </w:r>
    </w:p>
    <w:p w14:paraId="547C97B4" w14:textId="77777777" w:rsidR="00CD48CA" w:rsidRPr="00BB44F3" w:rsidRDefault="00CD48CA" w:rsidP="002B0099">
      <w:pPr>
        <w:spacing w:after="0" w:line="240" w:lineRule="auto"/>
        <w:ind w:firstLine="454"/>
        <w:contextualSpacing/>
        <w:jc w:val="both"/>
        <w:rPr>
          <w:rFonts w:ascii="Garamond" w:hAnsi="Garamond" w:cs="Times New Roman"/>
          <w:sz w:val="24"/>
          <w:szCs w:val="24"/>
        </w:rPr>
      </w:pPr>
    </w:p>
    <w:p w14:paraId="37E9FF07" w14:textId="666F6CE3" w:rsidR="00394399" w:rsidRPr="00BB44F3" w:rsidRDefault="008459AB" w:rsidP="00F77BBE">
      <w:pPr>
        <w:pStyle w:val="Titolo2"/>
        <w:jc w:val="both"/>
      </w:pPr>
      <w:bookmarkStart w:id="106" w:name="_Toc209097870"/>
      <w:bookmarkStart w:id="107" w:name="_Toc209104517"/>
      <w:bookmarkStart w:id="108" w:name="_Toc209105882"/>
      <w:bookmarkStart w:id="109" w:name="_Toc209106768"/>
      <w:bookmarkStart w:id="110" w:name="_Toc209107507"/>
      <w:bookmarkStart w:id="111" w:name="_Toc209181407"/>
      <w:bookmarkStart w:id="112" w:name="_Toc209181497"/>
      <w:bookmarkStart w:id="113" w:name="_Toc209181553"/>
      <w:bookmarkStart w:id="114" w:name="_Toc209182704"/>
      <w:bookmarkStart w:id="115" w:name="_Toc209182901"/>
      <w:r w:rsidRPr="00BB44F3">
        <w:t>4.2. Il r</w:t>
      </w:r>
      <w:r w:rsidR="00394399" w:rsidRPr="00BB44F3">
        <w:t>eferendum del 12 e 13 giugno 20</w:t>
      </w:r>
      <w:r w:rsidR="005E6FED">
        <w:t>1</w:t>
      </w:r>
      <w:r w:rsidR="00394399" w:rsidRPr="00BB44F3">
        <w:t>1</w:t>
      </w:r>
      <w:r w:rsidRPr="00BB44F3">
        <w:t xml:space="preserve"> e l’evoluzione successiva</w:t>
      </w:r>
      <w:bookmarkEnd w:id="106"/>
      <w:bookmarkEnd w:id="107"/>
      <w:bookmarkEnd w:id="108"/>
      <w:bookmarkEnd w:id="109"/>
      <w:bookmarkEnd w:id="110"/>
      <w:bookmarkEnd w:id="111"/>
      <w:bookmarkEnd w:id="112"/>
      <w:bookmarkEnd w:id="113"/>
      <w:bookmarkEnd w:id="114"/>
      <w:bookmarkEnd w:id="115"/>
    </w:p>
    <w:p w14:paraId="39619363" w14:textId="53794DFE" w:rsidR="009477E3" w:rsidRPr="00BB44F3" w:rsidRDefault="009477E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referendum ha comportato l’abrogazione</w:t>
      </w:r>
      <w:r w:rsidR="00CD48CA" w:rsidRPr="00BB44F3">
        <w:rPr>
          <w:rStyle w:val="Rimandonotaapidipagina"/>
          <w:rFonts w:ascii="Garamond" w:hAnsi="Garamond" w:cs="Times New Roman"/>
          <w:sz w:val="24"/>
          <w:szCs w:val="24"/>
        </w:rPr>
        <w:footnoteReference w:id="23"/>
      </w:r>
      <w:r w:rsidRPr="00BB44F3">
        <w:rPr>
          <w:rFonts w:ascii="Garamond" w:hAnsi="Garamond" w:cs="Times New Roman"/>
          <w:sz w:val="24"/>
          <w:szCs w:val="24"/>
        </w:rPr>
        <w:t xml:space="preserve"> del suddetto art. 23-bis.</w:t>
      </w:r>
    </w:p>
    <w:p w14:paraId="04E600C1" w14:textId="4E569C7F" w:rsidR="00394399" w:rsidRPr="00BB44F3" w:rsidRDefault="00CD48CA"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Il legislatore è quindi intervenuto a dettare una nuova disciplina con l</w:t>
      </w:r>
      <w:r w:rsidR="00FF50F3" w:rsidRPr="00BB44F3">
        <w:rPr>
          <w:rFonts w:ascii="Garamond" w:hAnsi="Garamond" w:cs="Times New Roman"/>
          <w:sz w:val="24"/>
          <w:szCs w:val="24"/>
        </w:rPr>
        <w:t>’art. 4 del Decreto Legge 13 agosto 2011, n. 138</w:t>
      </w:r>
      <w:r w:rsidR="0007499E" w:rsidRPr="00BB44F3">
        <w:rPr>
          <w:rStyle w:val="Rimandonotaapidipagina"/>
          <w:rFonts w:ascii="Garamond" w:hAnsi="Garamond" w:cs="Times New Roman"/>
          <w:sz w:val="24"/>
          <w:szCs w:val="24"/>
        </w:rPr>
        <w:footnoteReference w:id="24"/>
      </w:r>
      <w:r w:rsidRPr="00BB44F3">
        <w:rPr>
          <w:rFonts w:ascii="Garamond" w:hAnsi="Garamond" w:cs="Times New Roman"/>
          <w:sz w:val="24"/>
          <w:szCs w:val="24"/>
        </w:rPr>
        <w:t>.</w:t>
      </w:r>
      <w:r w:rsidR="009477E3" w:rsidRPr="00BB44F3">
        <w:rPr>
          <w:rFonts w:ascii="Garamond" w:hAnsi="Garamond" w:cs="Times New Roman"/>
          <w:sz w:val="24"/>
          <w:szCs w:val="24"/>
        </w:rPr>
        <w:t xml:space="preserve"> </w:t>
      </w:r>
    </w:p>
    <w:p w14:paraId="6F732CDB" w14:textId="28CA4E8F" w:rsidR="00A21AD7" w:rsidRPr="00BB44F3" w:rsidRDefault="0075448A"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Questa</w:t>
      </w:r>
      <w:r w:rsidR="00273629" w:rsidRPr="00BB44F3">
        <w:rPr>
          <w:rFonts w:ascii="Garamond" w:hAnsi="Garamond" w:cs="Times New Roman"/>
          <w:sz w:val="24"/>
          <w:szCs w:val="24"/>
        </w:rPr>
        <w:t xml:space="preserve"> </w:t>
      </w:r>
      <w:r w:rsidR="002C59AE" w:rsidRPr="00BB44F3">
        <w:rPr>
          <w:rFonts w:ascii="Garamond" w:hAnsi="Garamond" w:cs="Times New Roman"/>
          <w:sz w:val="24"/>
          <w:szCs w:val="24"/>
        </w:rPr>
        <w:t xml:space="preserve">disposizione ha configurato l’affidamento </w:t>
      </w:r>
      <w:r w:rsidR="002C59AE" w:rsidRPr="00BB44F3">
        <w:rPr>
          <w:rFonts w:ascii="Garamond" w:hAnsi="Garamond" w:cs="Times New Roman"/>
          <w:i/>
          <w:sz w:val="24"/>
          <w:szCs w:val="24"/>
        </w:rPr>
        <w:t xml:space="preserve">in </w:t>
      </w:r>
      <w:proofErr w:type="spellStart"/>
      <w:r w:rsidR="002C59AE" w:rsidRPr="00BB44F3">
        <w:rPr>
          <w:rFonts w:ascii="Garamond" w:hAnsi="Garamond" w:cs="Times New Roman"/>
          <w:i/>
          <w:sz w:val="24"/>
          <w:szCs w:val="24"/>
        </w:rPr>
        <w:t>house</w:t>
      </w:r>
      <w:proofErr w:type="spellEnd"/>
      <w:r w:rsidR="002C59AE" w:rsidRPr="00BB44F3">
        <w:rPr>
          <w:rFonts w:ascii="Garamond" w:hAnsi="Garamond" w:cs="Times New Roman"/>
          <w:i/>
          <w:sz w:val="24"/>
          <w:szCs w:val="24"/>
        </w:rPr>
        <w:t xml:space="preserve"> </w:t>
      </w:r>
      <w:r w:rsidR="002C59AE" w:rsidRPr="00BB44F3">
        <w:rPr>
          <w:rFonts w:ascii="Garamond" w:hAnsi="Garamond" w:cs="Times New Roman"/>
          <w:sz w:val="24"/>
          <w:szCs w:val="24"/>
        </w:rPr>
        <w:t>de</w:t>
      </w:r>
      <w:r w:rsidR="00577208" w:rsidRPr="00BB44F3">
        <w:rPr>
          <w:rFonts w:ascii="Garamond" w:hAnsi="Garamond" w:cs="Times New Roman"/>
          <w:sz w:val="24"/>
          <w:szCs w:val="24"/>
        </w:rPr>
        <w:t>i servizi pubblici locali di rilevanza economica</w:t>
      </w:r>
      <w:r w:rsidR="002C59AE" w:rsidRPr="00BB44F3">
        <w:rPr>
          <w:rFonts w:ascii="Garamond" w:hAnsi="Garamond" w:cs="Times New Roman"/>
          <w:sz w:val="24"/>
          <w:szCs w:val="24"/>
        </w:rPr>
        <w:t xml:space="preserve"> come eccezione rispetto alla regola costituit</w:t>
      </w:r>
      <w:r w:rsidR="00A21AD7" w:rsidRPr="00BB44F3">
        <w:rPr>
          <w:rFonts w:ascii="Garamond" w:hAnsi="Garamond" w:cs="Times New Roman"/>
          <w:sz w:val="24"/>
          <w:szCs w:val="24"/>
        </w:rPr>
        <w:t>a</w:t>
      </w:r>
      <w:r w:rsidR="002C59AE" w:rsidRPr="00BB44F3">
        <w:rPr>
          <w:rFonts w:ascii="Garamond" w:hAnsi="Garamond" w:cs="Times New Roman"/>
          <w:sz w:val="24"/>
          <w:szCs w:val="24"/>
        </w:rPr>
        <w:t xml:space="preserve"> dall’affidamento mediante procedure competitive ad evidenza pubblica </w:t>
      </w:r>
      <w:r w:rsidR="00A21AD7" w:rsidRPr="00BB44F3">
        <w:rPr>
          <w:rFonts w:ascii="Garamond" w:hAnsi="Garamond" w:cs="Times New Roman"/>
          <w:sz w:val="24"/>
          <w:szCs w:val="24"/>
        </w:rPr>
        <w:t>o</w:t>
      </w:r>
      <w:r w:rsidR="002C59AE" w:rsidRPr="00BB44F3">
        <w:rPr>
          <w:rFonts w:ascii="Garamond" w:hAnsi="Garamond" w:cs="Times New Roman"/>
          <w:sz w:val="24"/>
          <w:szCs w:val="24"/>
        </w:rPr>
        <w:t xml:space="preserve"> a società a partecipazione mista. </w:t>
      </w:r>
    </w:p>
    <w:p w14:paraId="5D8176CE" w14:textId="308CB88F" w:rsidR="00273629" w:rsidRPr="00BB44F3" w:rsidRDefault="002C59A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 xml:space="preserve">In particolare, l’affidamento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era consentito soltanto in presenza di valore economico del servizio di affidamento pari o inferiore ad una determinata somma (inizialmente € 900.000,00 e poi, nella versione in vigore prima dell’intervento della Corte Costituzionale, € 200.000,00).</w:t>
      </w:r>
    </w:p>
    <w:p w14:paraId="2191081D" w14:textId="039E9FBA" w:rsidR="00A21AD7" w:rsidRPr="00BB44F3" w:rsidRDefault="00A21AD7"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Pertanto, l’autorganizzazione dei servizi pubblici locali di rilevanza economica ne era uscita ulteriormente ridimensionata.</w:t>
      </w:r>
    </w:p>
    <w:p w14:paraId="23CF0D80" w14:textId="42D79F6D" w:rsidR="00063789" w:rsidRPr="00BB44F3" w:rsidRDefault="00A21AD7"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Tuttavia, </w:t>
      </w:r>
      <w:r w:rsidR="00577208" w:rsidRPr="00BB44F3">
        <w:rPr>
          <w:rFonts w:ascii="Garamond" w:hAnsi="Garamond" w:cs="Times New Roman"/>
          <w:sz w:val="24"/>
          <w:szCs w:val="24"/>
        </w:rPr>
        <w:t xml:space="preserve">la Corte Costituzionale con la sentenza n. 199/2012 </w:t>
      </w:r>
      <w:r w:rsidR="002922CC" w:rsidRPr="00BB44F3">
        <w:rPr>
          <w:rFonts w:ascii="Garamond" w:hAnsi="Garamond" w:cs="Times New Roman"/>
          <w:sz w:val="24"/>
          <w:szCs w:val="24"/>
        </w:rPr>
        <w:t>ha poi dichiarato l’illegittimità costituzionale dell’art</w:t>
      </w:r>
      <w:r w:rsidR="00C2168B">
        <w:rPr>
          <w:rFonts w:ascii="Garamond" w:hAnsi="Garamond" w:cs="Times New Roman"/>
          <w:sz w:val="24"/>
          <w:szCs w:val="24"/>
        </w:rPr>
        <w:t>.</w:t>
      </w:r>
      <w:r w:rsidR="002922CC" w:rsidRPr="00BB44F3">
        <w:rPr>
          <w:rFonts w:ascii="Garamond" w:hAnsi="Garamond" w:cs="Times New Roman"/>
          <w:sz w:val="24"/>
          <w:szCs w:val="24"/>
        </w:rPr>
        <w:t xml:space="preserve"> 4 del D.L. 138/2011 sia nel testo originario che in quello risultante dalle successive modificazioni.</w:t>
      </w:r>
    </w:p>
    <w:p w14:paraId="1034CBA9" w14:textId="387B3057" w:rsidR="002922CC" w:rsidRPr="00BB44F3" w:rsidRDefault="002922CC"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La Corte ha evidenziato come la nuova disciplina dettata da tale disposizione “</w:t>
      </w:r>
      <w:r w:rsidRPr="00BB44F3">
        <w:rPr>
          <w:rFonts w:ascii="Garamond" w:hAnsi="Garamond" w:cs="Times New Roman"/>
          <w:i/>
          <w:sz w:val="24"/>
          <w:szCs w:val="24"/>
        </w:rPr>
        <w:t xml:space="preserve">non solo è contraddistinta dalla medesima ratio di quella abrogata, in quanto opera una drastica riduzione delle ipotesi di affidamenti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al di là di quanto prescritto dalla normativa comunitaria, ma è anche letteralmente riproduttiva, in buona parte, di svariate disposizioni dell’abrogato art. 23-bis e di molte disposizioni del regolamento attuativo del medesimo art. 23-bis contenuto nel </w:t>
      </w:r>
      <w:proofErr w:type="spellStart"/>
      <w:r w:rsidRPr="00BB44F3">
        <w:rPr>
          <w:rFonts w:ascii="Garamond" w:hAnsi="Garamond" w:cs="Times New Roman"/>
          <w:i/>
          <w:sz w:val="24"/>
          <w:szCs w:val="24"/>
        </w:rPr>
        <w:t>d.P.R.</w:t>
      </w:r>
      <w:proofErr w:type="spellEnd"/>
      <w:r w:rsidRPr="00BB44F3">
        <w:rPr>
          <w:rFonts w:ascii="Garamond" w:hAnsi="Garamond" w:cs="Times New Roman"/>
          <w:i/>
          <w:sz w:val="24"/>
          <w:szCs w:val="24"/>
        </w:rPr>
        <w:t xml:space="preserve"> n. 168 del 2010</w:t>
      </w:r>
      <w:r w:rsidRPr="00BB44F3">
        <w:rPr>
          <w:rFonts w:ascii="Garamond" w:hAnsi="Garamond" w:cs="Times New Roman"/>
          <w:sz w:val="24"/>
          <w:szCs w:val="24"/>
        </w:rPr>
        <w:t>.</w:t>
      </w:r>
    </w:p>
    <w:p w14:paraId="19622B5C" w14:textId="70B68666" w:rsidR="002241D5" w:rsidRPr="00BB44F3" w:rsidRDefault="0014184C"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i/>
          <w:sz w:val="24"/>
          <w:szCs w:val="24"/>
        </w:rPr>
        <w:t xml:space="preserve">Essa, infatti, da un lato, rende ancor più remota l’ipotesi dell’affidamento diretto dei servizi, in quanto non solo limita, in via generale, «l’attribuzione di diritti di esclusiva alle ipotesi in cui, in base ad una analisi di mercato, la libera iniziativa economica privata non risulti idonea a garantire un servizio rispondente ai bisogni della comunità» (comma 1), analogamente a quanto disposto dall’art. 23-bis (comma 3) del </w:t>
      </w:r>
      <w:proofErr w:type="spellStart"/>
      <w:r w:rsidRPr="00BB44F3">
        <w:rPr>
          <w:rFonts w:ascii="Garamond" w:hAnsi="Garamond" w:cs="Times New Roman"/>
          <w:i/>
          <w:sz w:val="24"/>
          <w:szCs w:val="24"/>
        </w:rPr>
        <w:t>d.l.</w:t>
      </w:r>
      <w:proofErr w:type="spellEnd"/>
      <w:r w:rsidRPr="00BB44F3">
        <w:rPr>
          <w:rFonts w:ascii="Garamond" w:hAnsi="Garamond" w:cs="Times New Roman"/>
          <w:i/>
          <w:sz w:val="24"/>
          <w:szCs w:val="24"/>
        </w:rPr>
        <w:t xml:space="preserve"> n. 112 del 2008, ma la àncora anche al rispetto di una soglia commisurata al valore dei servizi stessi, il superamento della quale (900.000 euro, nel testo originariamente adottato; ora 200.000 euro, nel testo vigente del comma 13) determina automaticamente l’esclusione della possibilità di affidamenti diretti. Tale effetto si verifica a prescindere da qualsivoglia valutazione dell’ente locale, oltre che della Regione, ed anche – in linea con l’abrogato art. 23-bis – in difformità rispetto a quanto previsto dalla normativa comunitaria, che consente, anche se non impone (sentenza n. 325 del 2010), la gestione diretta del servizio pubblico da parte dell’ente locale, allorquando l’applicazione delle regole di concorrenza ostacoli, in diritto o in fatto, la «speciale missione» dell’ente pubblico (art. 106 TFUE), alle sole condizioni del capitale totalmente pubblico della società affidataria, del cosiddetto controllo “analogo” (il controllo esercitato dall’aggiudicante sull’affidatario deve essere di “contenuto analogo” a quello esercitato dall’aggiudicante sui propri uffici) ed infine dello svolgimento della parte più importante dell’attività dell’affidatario in favore dell’aggiudicante</w:t>
      </w:r>
      <w:r w:rsidR="002241D5" w:rsidRPr="00BB44F3">
        <w:rPr>
          <w:rFonts w:ascii="Garamond" w:hAnsi="Garamond" w:cs="Times New Roman"/>
          <w:i/>
          <w:sz w:val="24"/>
          <w:szCs w:val="24"/>
        </w:rPr>
        <w:t>.</w:t>
      </w:r>
    </w:p>
    <w:p w14:paraId="45A685A8" w14:textId="769159F2" w:rsidR="002241D5" w:rsidRPr="00BB44F3" w:rsidRDefault="002241D5"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i/>
          <w:sz w:val="24"/>
          <w:szCs w:val="24"/>
        </w:rPr>
        <w:t>…</w:t>
      </w:r>
    </w:p>
    <w:p w14:paraId="41348ABB" w14:textId="63C7A302" w:rsidR="002241D5" w:rsidRPr="00BB44F3" w:rsidRDefault="002241D5"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i/>
          <w:sz w:val="24"/>
          <w:szCs w:val="24"/>
        </w:rPr>
        <w:t xml:space="preserve">Alla luce delle richiamate indicazioni – nonostante l’esclusione dall’ambito di applicazione della nuova disciplina del servizio idrico integrato – risulta evidente l’analogia, talora la coincidenza, della disciplina contenuta nell’art. 4 rispetto a quella dell’abrogato art. 23-bis del </w:t>
      </w:r>
      <w:proofErr w:type="spellStart"/>
      <w:r w:rsidRPr="00BB44F3">
        <w:rPr>
          <w:rFonts w:ascii="Garamond" w:hAnsi="Garamond" w:cs="Times New Roman"/>
          <w:i/>
          <w:sz w:val="24"/>
          <w:szCs w:val="24"/>
        </w:rPr>
        <w:t>d.l.</w:t>
      </w:r>
      <w:proofErr w:type="spellEnd"/>
      <w:r w:rsidRPr="00BB44F3">
        <w:rPr>
          <w:rFonts w:ascii="Garamond" w:hAnsi="Garamond" w:cs="Times New Roman"/>
          <w:i/>
          <w:sz w:val="24"/>
          <w:szCs w:val="24"/>
        </w:rPr>
        <w:t xml:space="preserve"> n. 112 del 2008 e l’identità della ratio ispiratrice.</w:t>
      </w:r>
    </w:p>
    <w:p w14:paraId="14DBCAC6" w14:textId="77777777" w:rsidR="002241D5" w:rsidRPr="00BB44F3" w:rsidRDefault="002241D5"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i/>
          <w:sz w:val="24"/>
          <w:szCs w:val="24"/>
        </w:rPr>
        <w:t>Le poche novità introdotte dall’art. 4 accentuano, infatti, la drastica riduzione delle ipotesi di affidamenti diretti dei servizi pubblici locali che la consultazione referendaria aveva inteso escludere. Tenuto, poi, conto del fatto che l’intento abrogativo espresso con il referendum riguardava «pressoché tutti i servizi pubblici locali di rilevanza economica» (sentenza n. 24 del 2011) ai quali era rivolto l’art. 23-bis, non può ritenersi che l’esclusione del servizio idrico integrato dal novero dei servizi pubblici locali ai quali una simile disciplina si applica sia satisfattiva della volontà espressa attraverso la consultazione popolare, con la conseguenza che la norma oggi all’esame costituisce, sostanzialmente, la reintroduzione della disciplina abrogata con il referendum del 12 e 13 giugno 2011.</w:t>
      </w:r>
    </w:p>
    <w:p w14:paraId="0A952287" w14:textId="6F3B5EAC" w:rsidR="002922CC" w:rsidRPr="00BB44F3" w:rsidRDefault="002241D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i/>
          <w:sz w:val="24"/>
          <w:szCs w:val="24"/>
        </w:rPr>
        <w:t xml:space="preserve">5.2.2.— La disposizione impugnata viola, quindi, il divieto di ripristino della normativa abrogata dalla volontà popolare desumibile dall’art. 75 </w:t>
      </w:r>
      <w:proofErr w:type="spellStart"/>
      <w:r w:rsidRPr="00BB44F3">
        <w:rPr>
          <w:rFonts w:ascii="Garamond" w:hAnsi="Garamond" w:cs="Times New Roman"/>
          <w:i/>
          <w:sz w:val="24"/>
          <w:szCs w:val="24"/>
        </w:rPr>
        <w:t>Cost</w:t>
      </w:r>
      <w:proofErr w:type="spellEnd"/>
      <w:r w:rsidRPr="00BB44F3">
        <w:rPr>
          <w:rFonts w:ascii="Garamond" w:hAnsi="Garamond" w:cs="Times New Roman"/>
          <w:i/>
          <w:sz w:val="24"/>
          <w:szCs w:val="24"/>
        </w:rPr>
        <w:t>., secondo quanto già riconosciuto dalla giurisprudenza costituzionale</w:t>
      </w:r>
      <w:r w:rsidRPr="00BB44F3">
        <w:rPr>
          <w:rFonts w:ascii="Garamond" w:hAnsi="Garamond" w:cs="Times New Roman"/>
          <w:sz w:val="24"/>
          <w:szCs w:val="24"/>
        </w:rPr>
        <w:t>”.</w:t>
      </w:r>
    </w:p>
    <w:p w14:paraId="53080C19" w14:textId="0CD07F9C" w:rsidR="00632C13" w:rsidRPr="00BB44F3" w:rsidRDefault="00577208"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All’esito del vuoto normativo nuovamente apertosi il legislatore è stato costretto ad un nuovo intervento con </w:t>
      </w:r>
      <w:r w:rsidR="0075448A">
        <w:rPr>
          <w:rFonts w:ascii="Garamond" w:hAnsi="Garamond" w:cs="Times New Roman"/>
          <w:sz w:val="24"/>
          <w:szCs w:val="24"/>
        </w:rPr>
        <w:t>i</w:t>
      </w:r>
      <w:r w:rsidR="00012DE1" w:rsidRPr="00BB44F3">
        <w:rPr>
          <w:rFonts w:ascii="Garamond" w:hAnsi="Garamond" w:cs="Times New Roman"/>
          <w:sz w:val="24"/>
          <w:szCs w:val="24"/>
        </w:rPr>
        <w:t>l comma 20 dell’art. 34 del D</w:t>
      </w:r>
      <w:r w:rsidR="00641887" w:rsidRPr="00BB44F3">
        <w:rPr>
          <w:rFonts w:ascii="Garamond" w:hAnsi="Garamond" w:cs="Times New Roman"/>
          <w:sz w:val="24"/>
          <w:szCs w:val="24"/>
        </w:rPr>
        <w:t>ecreto Legge 18 ottobre 2012, n. 179</w:t>
      </w:r>
      <w:r w:rsidR="00641887" w:rsidRPr="00BB44F3">
        <w:rPr>
          <w:rStyle w:val="Rimandonotaapidipagina"/>
          <w:rFonts w:ascii="Garamond" w:hAnsi="Garamond" w:cs="Times New Roman"/>
          <w:sz w:val="24"/>
          <w:szCs w:val="24"/>
        </w:rPr>
        <w:footnoteReference w:id="25"/>
      </w:r>
      <w:r w:rsidR="0075448A">
        <w:rPr>
          <w:rFonts w:ascii="Garamond" w:hAnsi="Garamond" w:cs="Times New Roman"/>
          <w:sz w:val="24"/>
          <w:szCs w:val="24"/>
        </w:rPr>
        <w:t xml:space="preserve">, con cui </w:t>
      </w:r>
      <w:r w:rsidR="00012DE1" w:rsidRPr="00BB44F3">
        <w:rPr>
          <w:rFonts w:ascii="Garamond" w:hAnsi="Garamond" w:cs="Times New Roman"/>
          <w:sz w:val="24"/>
          <w:szCs w:val="24"/>
        </w:rPr>
        <w:t>ha previsto quanto segue: “</w:t>
      </w:r>
      <w:r w:rsidR="00012DE1" w:rsidRPr="00BB44F3">
        <w:rPr>
          <w:rFonts w:ascii="Garamond" w:hAnsi="Garamond" w:cs="Times New Roman"/>
          <w:i/>
          <w:sz w:val="24"/>
          <w:szCs w:val="24"/>
        </w:rPr>
        <w:t>Per i servizi pubblici locali di rilevanza economica, al fine di assicurare il rispetto della disciplina europea, la parità tra gli operatori, l'economicità della gestione e di garantire adeguata informazione alla collettività di riferimento, l'affidamento del servizio è effettuato sulla base di apposita relazione, pubblicata sul sito internet dell'ente affidante, che dà conto delle ragioni e della sussistenza dei requisiti previsti dall'ordinamento europeo per la forma di affidamento prescelta e che definisce i contenuti specifici degli obblighi di servizio pubblico e servizio universale, indicando le compensazioni economiche se previste</w:t>
      </w:r>
      <w:r w:rsidR="00012DE1" w:rsidRPr="00BB44F3">
        <w:rPr>
          <w:rFonts w:ascii="Garamond" w:hAnsi="Garamond" w:cs="Times New Roman"/>
          <w:sz w:val="24"/>
          <w:szCs w:val="24"/>
        </w:rPr>
        <w:t>”.</w:t>
      </w:r>
    </w:p>
    <w:p w14:paraId="59405AE1" w14:textId="01E64574" w:rsidR="00D51D82" w:rsidRDefault="00012DE1"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Tale normativa </w:t>
      </w:r>
      <w:r w:rsidR="008459AB" w:rsidRPr="00BB44F3">
        <w:rPr>
          <w:rFonts w:ascii="Garamond" w:hAnsi="Garamond" w:cs="Times New Roman"/>
          <w:sz w:val="24"/>
          <w:szCs w:val="24"/>
        </w:rPr>
        <w:t>non</w:t>
      </w:r>
      <w:r w:rsidR="00A97DBF" w:rsidRPr="00BB44F3">
        <w:rPr>
          <w:rFonts w:ascii="Garamond" w:hAnsi="Garamond" w:cs="Times New Roman"/>
          <w:sz w:val="24"/>
          <w:szCs w:val="24"/>
        </w:rPr>
        <w:t xml:space="preserve"> ha quindi risolto la tensione </w:t>
      </w:r>
      <w:r w:rsidRPr="00BB44F3">
        <w:rPr>
          <w:rFonts w:ascii="Garamond" w:hAnsi="Garamond" w:cs="Times New Roman"/>
          <w:sz w:val="24"/>
          <w:szCs w:val="24"/>
        </w:rPr>
        <w:t>tra esternalizzazione ed autoorganizzazione</w:t>
      </w:r>
      <w:r w:rsidR="00A97DBF" w:rsidRPr="00BB44F3">
        <w:rPr>
          <w:rFonts w:ascii="Garamond" w:hAnsi="Garamond" w:cs="Times New Roman"/>
          <w:sz w:val="24"/>
          <w:szCs w:val="24"/>
        </w:rPr>
        <w:t xml:space="preserve"> allo stesso modo della disciplina previgente,</w:t>
      </w:r>
      <w:r w:rsidRPr="00BB44F3">
        <w:rPr>
          <w:rFonts w:ascii="Garamond" w:hAnsi="Garamond" w:cs="Times New Roman"/>
          <w:sz w:val="24"/>
          <w:szCs w:val="24"/>
        </w:rPr>
        <w:t xml:space="preserve"> ragion per cui risultava possibile il ricorso da parte dell’ente locale a procedura di evidenza pubblica</w:t>
      </w:r>
      <w:r w:rsidR="0075448A">
        <w:rPr>
          <w:rFonts w:ascii="Garamond" w:hAnsi="Garamond" w:cs="Times New Roman"/>
          <w:sz w:val="24"/>
          <w:szCs w:val="24"/>
        </w:rPr>
        <w:t>,</w:t>
      </w:r>
      <w:r w:rsidRPr="00BB44F3">
        <w:rPr>
          <w:rFonts w:ascii="Garamond" w:hAnsi="Garamond" w:cs="Times New Roman"/>
          <w:sz w:val="24"/>
          <w:szCs w:val="24"/>
        </w:rPr>
        <w:t xml:space="preserve"> a società mista</w:t>
      </w:r>
      <w:r w:rsidR="00A97DBF" w:rsidRPr="00BB44F3">
        <w:rPr>
          <w:rFonts w:ascii="Garamond" w:hAnsi="Garamond" w:cs="Times New Roman"/>
          <w:sz w:val="24"/>
          <w:szCs w:val="24"/>
        </w:rPr>
        <w:t xml:space="preserve"> </w:t>
      </w:r>
      <w:r w:rsidR="0075448A">
        <w:rPr>
          <w:rFonts w:ascii="Garamond" w:hAnsi="Garamond" w:cs="Times New Roman"/>
          <w:sz w:val="24"/>
          <w:szCs w:val="24"/>
        </w:rPr>
        <w:t>ed</w:t>
      </w:r>
      <w:r w:rsidRPr="00BB44F3">
        <w:rPr>
          <w:rFonts w:ascii="Garamond" w:hAnsi="Garamond" w:cs="Times New Roman"/>
          <w:sz w:val="24"/>
          <w:szCs w:val="24"/>
        </w:rPr>
        <w:t xml:space="preserve"> a società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sz w:val="24"/>
          <w:szCs w:val="24"/>
        </w:rPr>
        <w:t>.</w:t>
      </w:r>
    </w:p>
    <w:p w14:paraId="5ECDB963" w14:textId="13C11E04" w:rsidR="00012DE1" w:rsidRPr="00BB44F3" w:rsidRDefault="00F222F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Un primo tentativo di riordino generale della materia era stato posto in essere mediante la Legge 7 agosto 2015, n. 124</w:t>
      </w:r>
      <w:r w:rsidRPr="00BB44F3">
        <w:rPr>
          <w:rStyle w:val="Rimandonotaapidipagina"/>
          <w:rFonts w:ascii="Garamond" w:hAnsi="Garamond" w:cs="Times New Roman"/>
          <w:sz w:val="24"/>
          <w:szCs w:val="24"/>
        </w:rPr>
        <w:footnoteReference w:id="26"/>
      </w:r>
      <w:r w:rsidRPr="00BB44F3">
        <w:rPr>
          <w:rFonts w:ascii="Garamond" w:hAnsi="Garamond" w:cs="Times New Roman"/>
          <w:sz w:val="24"/>
          <w:szCs w:val="24"/>
        </w:rPr>
        <w:t xml:space="preserve">. In particolare, tale Legge </w:t>
      </w:r>
      <w:r w:rsidR="003C6779" w:rsidRPr="00BB44F3">
        <w:rPr>
          <w:rFonts w:ascii="Garamond" w:hAnsi="Garamond" w:cs="Times New Roman"/>
          <w:sz w:val="24"/>
          <w:szCs w:val="24"/>
        </w:rPr>
        <w:t xml:space="preserve">all’art. 16 </w:t>
      </w:r>
      <w:r w:rsidRPr="00BB44F3">
        <w:rPr>
          <w:rFonts w:ascii="Garamond" w:hAnsi="Garamond" w:cs="Times New Roman"/>
          <w:sz w:val="24"/>
          <w:szCs w:val="24"/>
        </w:rPr>
        <w:t xml:space="preserve">aveva </w:t>
      </w:r>
      <w:r w:rsidR="003C6779" w:rsidRPr="00BB44F3">
        <w:rPr>
          <w:rFonts w:ascii="Garamond" w:hAnsi="Garamond" w:cs="Times New Roman"/>
          <w:sz w:val="24"/>
          <w:szCs w:val="24"/>
        </w:rPr>
        <w:t>conferito</w:t>
      </w:r>
      <w:r w:rsidRPr="00BB44F3">
        <w:rPr>
          <w:rFonts w:ascii="Garamond" w:hAnsi="Garamond" w:cs="Times New Roman"/>
          <w:sz w:val="24"/>
          <w:szCs w:val="24"/>
        </w:rPr>
        <w:t xml:space="preserve"> </w:t>
      </w:r>
      <w:r w:rsidR="00E036B0" w:rsidRPr="00BB44F3">
        <w:rPr>
          <w:rFonts w:ascii="Garamond" w:hAnsi="Garamond" w:cs="Times New Roman"/>
          <w:sz w:val="24"/>
          <w:szCs w:val="24"/>
        </w:rPr>
        <w:t xml:space="preserve">al Governo </w:t>
      </w:r>
      <w:r w:rsidR="003C6779" w:rsidRPr="00BB44F3">
        <w:rPr>
          <w:rFonts w:ascii="Garamond" w:hAnsi="Garamond" w:cs="Times New Roman"/>
          <w:sz w:val="24"/>
          <w:szCs w:val="24"/>
        </w:rPr>
        <w:t xml:space="preserve">la delega </w:t>
      </w:r>
      <w:r w:rsidR="00E036B0" w:rsidRPr="00BB44F3">
        <w:rPr>
          <w:rFonts w:ascii="Garamond" w:hAnsi="Garamond" w:cs="Times New Roman"/>
          <w:sz w:val="24"/>
          <w:szCs w:val="24"/>
        </w:rPr>
        <w:t>per l’emanazione di</w:t>
      </w:r>
      <w:r w:rsidR="00A21890">
        <w:rPr>
          <w:rFonts w:ascii="Garamond" w:hAnsi="Garamond" w:cs="Times New Roman"/>
          <w:sz w:val="24"/>
          <w:szCs w:val="24"/>
        </w:rPr>
        <w:t xml:space="preserve"> un</w:t>
      </w:r>
      <w:r w:rsidR="00E036B0" w:rsidRPr="00BB44F3">
        <w:rPr>
          <w:rFonts w:ascii="Garamond" w:hAnsi="Garamond" w:cs="Times New Roman"/>
          <w:sz w:val="24"/>
          <w:szCs w:val="24"/>
        </w:rPr>
        <w:t xml:space="preserve"> decreto legislativo di semplificazione del settore dei servizi pubblici locali di interesse economico generale. Il comma 4 di tale disposizione aveva previsto l’adozione di tale decreto legislativo “</w:t>
      </w:r>
      <w:r w:rsidR="00E036B0" w:rsidRPr="00BB44F3">
        <w:rPr>
          <w:rFonts w:ascii="Garamond" w:hAnsi="Garamond" w:cs="Times New Roman"/>
          <w:i/>
          <w:sz w:val="24"/>
          <w:szCs w:val="24"/>
        </w:rPr>
        <w:t>previa acquisizione del parere della Conferenza Unificata</w:t>
      </w:r>
      <w:r w:rsidR="00E036B0" w:rsidRPr="00BB44F3">
        <w:rPr>
          <w:rFonts w:ascii="Garamond" w:hAnsi="Garamond" w:cs="Times New Roman"/>
          <w:sz w:val="24"/>
          <w:szCs w:val="24"/>
        </w:rPr>
        <w:t>”.</w:t>
      </w:r>
      <w:r w:rsidR="00C63B85" w:rsidRPr="00BB44F3">
        <w:rPr>
          <w:rFonts w:ascii="Garamond" w:hAnsi="Garamond" w:cs="Times New Roman"/>
          <w:sz w:val="24"/>
          <w:szCs w:val="24"/>
        </w:rPr>
        <w:t xml:space="preserve"> L’art. 19 aveva dettato una serie di principi e criteri direttivi.</w:t>
      </w:r>
    </w:p>
    <w:p w14:paraId="2A9B3B44" w14:textId="0836DD55" w:rsidR="00E036B0" w:rsidRDefault="00F222F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Tuttavia, </w:t>
      </w:r>
      <w:r w:rsidR="003C6779" w:rsidRPr="00BB44F3">
        <w:rPr>
          <w:rFonts w:ascii="Garamond" w:hAnsi="Garamond" w:cs="Times New Roman"/>
          <w:sz w:val="24"/>
          <w:szCs w:val="24"/>
        </w:rPr>
        <w:t>l</w:t>
      </w:r>
      <w:r w:rsidR="00E036B0" w:rsidRPr="00BB44F3">
        <w:rPr>
          <w:rFonts w:ascii="Garamond" w:hAnsi="Garamond" w:cs="Times New Roman"/>
          <w:sz w:val="24"/>
          <w:szCs w:val="24"/>
        </w:rPr>
        <w:t xml:space="preserve">a Corte Costituzionale con la sentenza n. 251/2016 </w:t>
      </w:r>
      <w:r w:rsidR="00C63B85" w:rsidRPr="00BB44F3">
        <w:rPr>
          <w:rFonts w:ascii="Garamond" w:hAnsi="Garamond" w:cs="Times New Roman"/>
          <w:sz w:val="24"/>
          <w:szCs w:val="24"/>
        </w:rPr>
        <w:t xml:space="preserve">ha dichiarato l’incostituzionalità </w:t>
      </w:r>
      <w:r w:rsidR="003C6779" w:rsidRPr="00BB44F3">
        <w:rPr>
          <w:rFonts w:ascii="Garamond" w:hAnsi="Garamond" w:cs="Times New Roman"/>
          <w:sz w:val="24"/>
          <w:szCs w:val="24"/>
        </w:rPr>
        <w:t>di tale disciplina</w:t>
      </w:r>
      <w:r w:rsidR="00C63B85" w:rsidRPr="00BB44F3">
        <w:rPr>
          <w:rFonts w:ascii="Garamond" w:hAnsi="Garamond" w:cs="Times New Roman"/>
          <w:sz w:val="24"/>
          <w:szCs w:val="24"/>
        </w:rPr>
        <w:t xml:space="preserve"> nella parte in cui ha previsto “</w:t>
      </w:r>
      <w:r w:rsidR="00C63B85" w:rsidRPr="00BB44F3">
        <w:rPr>
          <w:rFonts w:ascii="Garamond" w:hAnsi="Garamond" w:cs="Times New Roman"/>
          <w:i/>
          <w:sz w:val="24"/>
          <w:szCs w:val="24"/>
        </w:rPr>
        <w:t>che il Governo adotti i relativi decreti legislativi attuativi previo parere, anziché previa intesa, in sede di Conferenza unificata</w:t>
      </w:r>
      <w:r w:rsidR="00C63B85" w:rsidRPr="00BB44F3">
        <w:rPr>
          <w:rFonts w:ascii="Garamond" w:hAnsi="Garamond" w:cs="Times New Roman"/>
          <w:sz w:val="24"/>
          <w:szCs w:val="24"/>
        </w:rPr>
        <w:t>”.</w:t>
      </w:r>
    </w:p>
    <w:p w14:paraId="04CA2A4A" w14:textId="77C31555" w:rsidR="003B47CF" w:rsidRPr="00BB44F3" w:rsidRDefault="003B47CF" w:rsidP="003B47CF">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Peraltro, sulla scelta tra le diverse modalità di gestione </w:t>
      </w:r>
      <w:r w:rsidR="00057E8A">
        <w:rPr>
          <w:rFonts w:ascii="Garamond" w:hAnsi="Garamond" w:cs="Times New Roman"/>
          <w:sz w:val="24"/>
          <w:szCs w:val="24"/>
        </w:rPr>
        <w:t>sono</w:t>
      </w:r>
      <w:r>
        <w:rPr>
          <w:rFonts w:ascii="Garamond" w:hAnsi="Garamond" w:cs="Times New Roman"/>
          <w:sz w:val="24"/>
          <w:szCs w:val="24"/>
        </w:rPr>
        <w:t xml:space="preserve"> comunque intervenut</w:t>
      </w:r>
      <w:r w:rsidR="00057E8A">
        <w:rPr>
          <w:rFonts w:ascii="Garamond" w:hAnsi="Garamond" w:cs="Times New Roman"/>
          <w:sz w:val="24"/>
          <w:szCs w:val="24"/>
        </w:rPr>
        <w:t xml:space="preserve">e nel corso del tempo </w:t>
      </w:r>
      <w:r w:rsidR="00057E8A" w:rsidRPr="00057E8A">
        <w:rPr>
          <w:rFonts w:ascii="Garamond" w:hAnsi="Garamond" w:cs="Times New Roman"/>
          <w:sz w:val="24"/>
          <w:szCs w:val="24"/>
        </w:rPr>
        <w:t xml:space="preserve">le </w:t>
      </w:r>
      <w:r w:rsidR="00057E8A">
        <w:rPr>
          <w:rFonts w:ascii="Garamond" w:hAnsi="Garamond" w:cs="Times New Roman"/>
          <w:sz w:val="24"/>
          <w:szCs w:val="24"/>
        </w:rPr>
        <w:t>normative relative</w:t>
      </w:r>
      <w:r w:rsidR="00057E8A" w:rsidRPr="00057E8A">
        <w:rPr>
          <w:rFonts w:ascii="Garamond" w:hAnsi="Garamond" w:cs="Times New Roman"/>
          <w:sz w:val="24"/>
          <w:szCs w:val="24"/>
        </w:rPr>
        <w:t xml:space="preserve"> alle società pubbliche ed ai contratti pubblici</w:t>
      </w:r>
      <w:r w:rsidR="00057E8A">
        <w:rPr>
          <w:rFonts w:ascii="Garamond" w:hAnsi="Garamond" w:cs="Times New Roman"/>
          <w:sz w:val="24"/>
          <w:szCs w:val="24"/>
        </w:rPr>
        <w:t>, le quali hanno introdotto disposizioni di vario tipo nel senso di imporre ulteriori oneri motivazionali ai fini del ricorso all’</w:t>
      </w:r>
      <w:r w:rsidR="00057E8A">
        <w:rPr>
          <w:rFonts w:ascii="Garamond" w:hAnsi="Garamond" w:cs="Times New Roman"/>
          <w:i/>
          <w:sz w:val="24"/>
          <w:szCs w:val="24"/>
        </w:rPr>
        <w:t xml:space="preserve">in </w:t>
      </w:r>
      <w:proofErr w:type="spellStart"/>
      <w:r w:rsidR="00057E8A">
        <w:rPr>
          <w:rFonts w:ascii="Garamond" w:hAnsi="Garamond" w:cs="Times New Roman"/>
          <w:i/>
          <w:sz w:val="24"/>
          <w:szCs w:val="24"/>
        </w:rPr>
        <w:t>house</w:t>
      </w:r>
      <w:proofErr w:type="spellEnd"/>
      <w:r w:rsidR="00057E8A" w:rsidRPr="00057E8A">
        <w:rPr>
          <w:rFonts w:ascii="Garamond" w:hAnsi="Garamond" w:cs="Times New Roman"/>
          <w:sz w:val="24"/>
          <w:szCs w:val="24"/>
        </w:rPr>
        <w:t>.</w:t>
      </w:r>
    </w:p>
    <w:p w14:paraId="3003B25B" w14:textId="3ED2A35F" w:rsidR="003C6779" w:rsidRPr="00BB44F3" w:rsidRDefault="00057E8A"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Ad ogni buon conto</w:t>
      </w:r>
      <w:r w:rsidR="003C6779" w:rsidRPr="00BB44F3">
        <w:rPr>
          <w:rFonts w:ascii="Garamond" w:hAnsi="Garamond" w:cs="Times New Roman"/>
          <w:sz w:val="24"/>
          <w:szCs w:val="24"/>
        </w:rPr>
        <w:t xml:space="preserve">, la </w:t>
      </w:r>
      <w:r>
        <w:rPr>
          <w:rFonts w:ascii="Garamond" w:hAnsi="Garamond" w:cs="Times New Roman"/>
          <w:sz w:val="24"/>
          <w:szCs w:val="24"/>
        </w:rPr>
        <w:t>disciplina specificamente dedicata a</w:t>
      </w:r>
      <w:r w:rsidR="003C6779" w:rsidRPr="00BB44F3">
        <w:rPr>
          <w:rFonts w:ascii="Garamond" w:hAnsi="Garamond" w:cs="Times New Roman"/>
          <w:sz w:val="24"/>
          <w:szCs w:val="24"/>
        </w:rPr>
        <w:t>i servizi pubblici locali di rilevanza economica è rimasta per lungo tempo</w:t>
      </w:r>
      <w:r w:rsidRPr="00057E8A">
        <w:rPr>
          <w:rFonts w:ascii="Garamond" w:hAnsi="Garamond" w:cs="Times New Roman"/>
          <w:sz w:val="24"/>
          <w:szCs w:val="24"/>
        </w:rPr>
        <w:t xml:space="preserve"> </w:t>
      </w:r>
      <w:r w:rsidRPr="00BB44F3">
        <w:rPr>
          <w:rFonts w:ascii="Garamond" w:hAnsi="Garamond" w:cs="Times New Roman"/>
          <w:sz w:val="24"/>
          <w:szCs w:val="24"/>
        </w:rPr>
        <w:t>ancorata</w:t>
      </w:r>
      <w:r w:rsidR="003C6779" w:rsidRPr="00BB44F3">
        <w:rPr>
          <w:rFonts w:ascii="Garamond" w:hAnsi="Garamond" w:cs="Times New Roman"/>
          <w:sz w:val="24"/>
          <w:szCs w:val="24"/>
        </w:rPr>
        <w:t xml:space="preserve"> a</w:t>
      </w:r>
      <w:r>
        <w:rPr>
          <w:rFonts w:ascii="Garamond" w:hAnsi="Garamond" w:cs="Times New Roman"/>
          <w:sz w:val="24"/>
          <w:szCs w:val="24"/>
        </w:rPr>
        <w:t xml:space="preserve"> quanto previsto dal</w:t>
      </w:r>
      <w:r w:rsidR="003C6779" w:rsidRPr="00BB44F3">
        <w:rPr>
          <w:rFonts w:ascii="Garamond" w:hAnsi="Garamond" w:cs="Times New Roman"/>
          <w:sz w:val="24"/>
          <w:szCs w:val="24"/>
        </w:rPr>
        <w:t xml:space="preserve"> comma 20 dell’art. 34 del D.L. 179 n. 2012</w:t>
      </w:r>
      <w:r w:rsidR="0034183A">
        <w:rPr>
          <w:rFonts w:ascii="Garamond" w:hAnsi="Garamond" w:cs="Times New Roman"/>
          <w:sz w:val="24"/>
          <w:szCs w:val="24"/>
        </w:rPr>
        <w:t>.</w:t>
      </w:r>
      <w:r w:rsidR="003B47CF">
        <w:rPr>
          <w:rFonts w:ascii="Garamond" w:hAnsi="Garamond" w:cs="Times New Roman"/>
          <w:sz w:val="24"/>
          <w:szCs w:val="24"/>
        </w:rPr>
        <w:t xml:space="preserve"> </w:t>
      </w:r>
    </w:p>
    <w:p w14:paraId="1351F66F" w14:textId="77777777" w:rsidR="0017066E" w:rsidRPr="00BB44F3" w:rsidRDefault="0017066E" w:rsidP="002B0099">
      <w:pPr>
        <w:spacing w:after="0" w:line="240" w:lineRule="auto"/>
        <w:ind w:firstLine="454"/>
        <w:contextualSpacing/>
        <w:jc w:val="both"/>
        <w:rPr>
          <w:rFonts w:ascii="Garamond" w:hAnsi="Garamond" w:cs="Times New Roman"/>
          <w:sz w:val="24"/>
          <w:szCs w:val="24"/>
        </w:rPr>
      </w:pPr>
    </w:p>
    <w:p w14:paraId="5A5A578F" w14:textId="38608E71" w:rsidR="008459AB" w:rsidRPr="00BB44F3" w:rsidRDefault="008459AB" w:rsidP="00F77BBE">
      <w:pPr>
        <w:pStyle w:val="Titolo2"/>
        <w:jc w:val="both"/>
      </w:pPr>
      <w:bookmarkStart w:id="116" w:name="_Toc209095121"/>
      <w:bookmarkStart w:id="117" w:name="_Toc209095182"/>
      <w:bookmarkStart w:id="118" w:name="_Toc209095657"/>
      <w:bookmarkStart w:id="119" w:name="_Toc209095690"/>
      <w:bookmarkStart w:id="120" w:name="_Toc209095723"/>
      <w:bookmarkStart w:id="121" w:name="_Toc209097837"/>
      <w:bookmarkStart w:id="122" w:name="_Toc209097871"/>
      <w:bookmarkStart w:id="123" w:name="_Toc209104518"/>
      <w:bookmarkStart w:id="124" w:name="_Toc209105883"/>
      <w:bookmarkStart w:id="125" w:name="_Toc209106769"/>
      <w:bookmarkStart w:id="126" w:name="_Toc209107508"/>
      <w:bookmarkStart w:id="127" w:name="_Toc209181408"/>
      <w:bookmarkStart w:id="128" w:name="_Toc209181498"/>
      <w:bookmarkStart w:id="129" w:name="_Toc209181554"/>
      <w:bookmarkStart w:id="130" w:name="_Toc209182705"/>
      <w:bookmarkStart w:id="131" w:name="_Toc209182902"/>
      <w:r w:rsidRPr="00BB44F3">
        <w:t>4.</w:t>
      </w:r>
      <w:r w:rsidR="00F222FA" w:rsidRPr="00BB44F3">
        <w:t>3</w:t>
      </w:r>
      <w:r w:rsidRPr="00BB44F3">
        <w:t>. La delega per il rio</w:t>
      </w:r>
      <w:r w:rsidR="003C6779" w:rsidRPr="00BB44F3">
        <w:t>r</w:t>
      </w:r>
      <w:r w:rsidRPr="00BB44F3">
        <w:t>dino della materia dei servizi pubblici locali di rilevanza economica</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BB44F3">
        <w:t xml:space="preserve"> </w:t>
      </w:r>
    </w:p>
    <w:p w14:paraId="5C8D1CA3" w14:textId="48CDF5F5" w:rsidR="00063789" w:rsidRPr="00BB44F3" w:rsidRDefault="00C76A9C"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Infine, è</w:t>
      </w:r>
      <w:r w:rsidR="003C6779" w:rsidRPr="00BB44F3">
        <w:rPr>
          <w:rFonts w:ascii="Garamond" w:hAnsi="Garamond" w:cs="Times New Roman"/>
          <w:sz w:val="24"/>
          <w:szCs w:val="24"/>
        </w:rPr>
        <w:t xml:space="preserve"> intervenuto l</w:t>
      </w:r>
      <w:r w:rsidR="00063789" w:rsidRPr="00BB44F3">
        <w:rPr>
          <w:rFonts w:ascii="Garamond" w:hAnsi="Garamond" w:cs="Times New Roman"/>
          <w:sz w:val="24"/>
          <w:szCs w:val="24"/>
        </w:rPr>
        <w:t>’art. 8 della L. 5 agosto 2022, n. 118</w:t>
      </w:r>
      <w:r w:rsidR="00063789" w:rsidRPr="00BB44F3">
        <w:rPr>
          <w:rStyle w:val="Rimandonotaapidipagina"/>
          <w:rFonts w:ascii="Garamond" w:hAnsi="Garamond" w:cs="Times New Roman"/>
          <w:sz w:val="24"/>
          <w:szCs w:val="24"/>
        </w:rPr>
        <w:footnoteReference w:id="27"/>
      </w:r>
      <w:r w:rsidR="00063789" w:rsidRPr="00BB44F3">
        <w:rPr>
          <w:rFonts w:ascii="Garamond" w:hAnsi="Garamond" w:cs="Times New Roman"/>
          <w:sz w:val="24"/>
          <w:szCs w:val="24"/>
        </w:rPr>
        <w:t xml:space="preserve"> (Legge annuale per il mercato e la concorrenza 2021)</w:t>
      </w:r>
      <w:r w:rsidR="003C6779" w:rsidRPr="00BB44F3">
        <w:rPr>
          <w:rFonts w:ascii="Garamond" w:hAnsi="Garamond" w:cs="Times New Roman"/>
          <w:sz w:val="24"/>
          <w:szCs w:val="24"/>
        </w:rPr>
        <w:t>, il quale</w:t>
      </w:r>
      <w:r w:rsidR="00063789" w:rsidRPr="00BB44F3">
        <w:rPr>
          <w:rFonts w:ascii="Garamond" w:hAnsi="Garamond" w:cs="Times New Roman"/>
          <w:sz w:val="24"/>
          <w:szCs w:val="24"/>
        </w:rPr>
        <w:t xml:space="preserve"> ha </w:t>
      </w:r>
      <w:r w:rsidR="005B7A63" w:rsidRPr="00BB44F3">
        <w:rPr>
          <w:rFonts w:ascii="Garamond" w:hAnsi="Garamond" w:cs="Times New Roman"/>
          <w:sz w:val="24"/>
          <w:szCs w:val="24"/>
        </w:rPr>
        <w:t xml:space="preserve">delegato il Governo ad adottare uno o più decreti legislativi per il riordino della materia dei servizi pubblici locali di rilevanza economica e </w:t>
      </w:r>
      <w:r w:rsidR="00063789" w:rsidRPr="00BB44F3">
        <w:rPr>
          <w:rFonts w:ascii="Garamond" w:hAnsi="Garamond" w:cs="Times New Roman"/>
          <w:sz w:val="24"/>
          <w:szCs w:val="24"/>
        </w:rPr>
        <w:t>previsto tra i principi e criteri direttivi l’individuazione “</w:t>
      </w:r>
      <w:r w:rsidR="00063789" w:rsidRPr="00BB44F3">
        <w:rPr>
          <w:rFonts w:ascii="Garamond" w:hAnsi="Garamond" w:cs="Times New Roman"/>
          <w:i/>
          <w:sz w:val="24"/>
          <w:szCs w:val="24"/>
        </w:rPr>
        <w:t>delle attività di interesse generale il cui svolgimento è necessario al fine di assicurare la soddisfazione delle esigenze delle comunità locali, in condizioni di accessibilità fisica ed economica, di continuità, universalità e non discriminazione, e dei migliori livelli di qualità e sicurezza, così da garantire l'omogeneità dello sviluppo e la coesione sociale e territoriale</w:t>
      </w:r>
      <w:r w:rsidR="00063789" w:rsidRPr="00BB44F3">
        <w:rPr>
          <w:rFonts w:ascii="Garamond" w:hAnsi="Garamond" w:cs="Times New Roman"/>
          <w:sz w:val="24"/>
          <w:szCs w:val="24"/>
        </w:rPr>
        <w:t>”.</w:t>
      </w:r>
    </w:p>
    <w:p w14:paraId="5CA72168" w14:textId="76EC172C" w:rsidR="003C6779" w:rsidRPr="00BB44F3" w:rsidRDefault="003C6779"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attuazione di tale delega è stato quindi emanato il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n. 201/2022 recante il riordino della materia dei servizi pubblici locali di rilevanza economica.</w:t>
      </w:r>
    </w:p>
    <w:p w14:paraId="6F9AB4EE" w14:textId="77777777" w:rsidR="0017066E" w:rsidRPr="00BB44F3" w:rsidRDefault="0017066E" w:rsidP="002B0099">
      <w:pPr>
        <w:spacing w:after="0" w:line="240" w:lineRule="auto"/>
        <w:ind w:firstLine="454"/>
        <w:contextualSpacing/>
        <w:jc w:val="both"/>
        <w:rPr>
          <w:rFonts w:ascii="Garamond" w:hAnsi="Garamond" w:cs="Times New Roman"/>
          <w:sz w:val="24"/>
          <w:szCs w:val="24"/>
        </w:rPr>
      </w:pPr>
    </w:p>
    <w:p w14:paraId="6BBAE375" w14:textId="6E84E976" w:rsidR="00D61B01" w:rsidRPr="00BB44F3" w:rsidRDefault="008459AB" w:rsidP="00F77BBE">
      <w:pPr>
        <w:pStyle w:val="Titolo2"/>
        <w:jc w:val="both"/>
      </w:pPr>
      <w:bookmarkStart w:id="132" w:name="_Toc209095122"/>
      <w:bookmarkStart w:id="133" w:name="_Toc209095183"/>
      <w:bookmarkStart w:id="134" w:name="_Toc209095658"/>
      <w:bookmarkStart w:id="135" w:name="_Toc209095691"/>
      <w:bookmarkStart w:id="136" w:name="_Toc209095724"/>
      <w:bookmarkStart w:id="137" w:name="_Toc209097838"/>
      <w:bookmarkStart w:id="138" w:name="_Toc209097872"/>
      <w:bookmarkStart w:id="139" w:name="_Toc209104519"/>
      <w:bookmarkStart w:id="140" w:name="_Toc209105884"/>
      <w:bookmarkStart w:id="141" w:name="_Toc209106770"/>
      <w:bookmarkStart w:id="142" w:name="_Toc209107509"/>
      <w:bookmarkStart w:id="143" w:name="_Toc209181409"/>
      <w:bookmarkStart w:id="144" w:name="_Toc209181499"/>
      <w:bookmarkStart w:id="145" w:name="_Toc209181555"/>
      <w:bookmarkStart w:id="146" w:name="_Toc209182706"/>
      <w:bookmarkStart w:id="147" w:name="_Toc209182903"/>
      <w:r w:rsidRPr="00BB44F3">
        <w:t xml:space="preserve">5. La disciplina di cui al D. </w:t>
      </w:r>
      <w:proofErr w:type="spellStart"/>
      <w:r w:rsidRPr="00BB44F3">
        <w:t>Lgs</w:t>
      </w:r>
      <w:proofErr w:type="spellEnd"/>
      <w:r w:rsidR="003C6779" w:rsidRPr="00BB44F3">
        <w:t>. n.</w:t>
      </w:r>
      <w:r w:rsidRPr="00BB44F3">
        <w:t xml:space="preserve"> 201/2022</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00D61B01" w:rsidRPr="00D61B01">
        <w:t xml:space="preserve"> </w:t>
      </w:r>
      <w:r w:rsidR="00D61B01">
        <w:t xml:space="preserve">dei </w:t>
      </w:r>
      <w:r w:rsidR="00D61B01" w:rsidRPr="00BB44F3">
        <w:t>servizi pubblici locali di rilevanza economica</w:t>
      </w:r>
      <w:r w:rsidR="00D61B01" w:rsidRPr="00D61B01">
        <w:rPr>
          <w:rStyle w:val="Rimandonotaapidipagina"/>
          <w:b w:val="0"/>
        </w:rPr>
        <w:footnoteReference w:id="28"/>
      </w:r>
      <w:r w:rsidR="00D61B01" w:rsidRPr="00BB44F3">
        <w:t xml:space="preserve"> </w:t>
      </w:r>
    </w:p>
    <w:p w14:paraId="72662789" w14:textId="3355E554" w:rsidR="001D03C6" w:rsidRPr="00BB44F3" w:rsidRDefault="001D03C6" w:rsidP="002B0099">
      <w:pPr>
        <w:ind w:firstLine="454"/>
        <w:jc w:val="both"/>
        <w:rPr>
          <w:rFonts w:ascii="Garamond" w:hAnsi="Garamond" w:cs="Times New Roman"/>
          <w:sz w:val="24"/>
          <w:szCs w:val="24"/>
        </w:rPr>
      </w:pPr>
      <w:r w:rsidRPr="00BB44F3">
        <w:rPr>
          <w:rFonts w:ascii="Garamond" w:hAnsi="Garamond" w:cs="Times New Roman"/>
          <w:sz w:val="24"/>
          <w:szCs w:val="24"/>
        </w:rPr>
        <w:t>Nel prosieguo saranno rapidamente esaminati, senza alcuna pretesa di completezza, i principali contenuti di tale Decreto.</w:t>
      </w:r>
    </w:p>
    <w:p w14:paraId="79A24FC9" w14:textId="46FE5D74" w:rsidR="00A3173A" w:rsidRPr="00BB44F3" w:rsidRDefault="008459AB" w:rsidP="00F77BBE">
      <w:pPr>
        <w:pStyle w:val="Titolo2"/>
        <w:jc w:val="both"/>
      </w:pPr>
      <w:bookmarkStart w:id="148" w:name="_Toc209095123"/>
      <w:bookmarkStart w:id="149" w:name="_Toc209095184"/>
      <w:bookmarkStart w:id="150" w:name="_Toc209095659"/>
      <w:bookmarkStart w:id="151" w:name="_Toc209095692"/>
      <w:bookmarkStart w:id="152" w:name="_Toc209095725"/>
      <w:bookmarkStart w:id="153" w:name="_Toc209097839"/>
      <w:bookmarkStart w:id="154" w:name="_Toc209097873"/>
      <w:bookmarkStart w:id="155" w:name="_Toc209104520"/>
      <w:bookmarkStart w:id="156" w:name="_Toc209105885"/>
      <w:bookmarkStart w:id="157" w:name="_Toc209106771"/>
      <w:bookmarkStart w:id="158" w:name="_Toc209107510"/>
      <w:bookmarkStart w:id="159" w:name="_Toc209181410"/>
      <w:bookmarkStart w:id="160" w:name="_Toc209181500"/>
      <w:bookmarkStart w:id="161" w:name="_Toc209181556"/>
      <w:bookmarkStart w:id="162" w:name="_Toc209182707"/>
      <w:bookmarkStart w:id="163" w:name="_Toc209182904"/>
      <w:r w:rsidRPr="00BB44F3">
        <w:t>5.1. I p</w:t>
      </w:r>
      <w:r w:rsidR="00A3173A" w:rsidRPr="00BB44F3">
        <w:t>rincipi in materia di servizi pubblici locali</w:t>
      </w:r>
      <w:bookmarkEnd w:id="148"/>
      <w:bookmarkEnd w:id="149"/>
      <w:bookmarkEnd w:id="150"/>
      <w:bookmarkEnd w:id="151"/>
      <w:bookmarkEnd w:id="152"/>
      <w:bookmarkEnd w:id="153"/>
      <w:bookmarkEnd w:id="154"/>
      <w:r w:rsidR="001D03C6" w:rsidRPr="00BB44F3">
        <w:t xml:space="preserve"> di rilevanza economica</w:t>
      </w:r>
      <w:bookmarkEnd w:id="155"/>
      <w:bookmarkEnd w:id="156"/>
      <w:bookmarkEnd w:id="157"/>
      <w:bookmarkEnd w:id="158"/>
      <w:bookmarkEnd w:id="159"/>
      <w:bookmarkEnd w:id="160"/>
      <w:bookmarkEnd w:id="161"/>
      <w:bookmarkEnd w:id="162"/>
      <w:bookmarkEnd w:id="163"/>
    </w:p>
    <w:p w14:paraId="73EB627B" w14:textId="14AAC2A6" w:rsidR="00A3173A" w:rsidRPr="00BB44F3" w:rsidRDefault="001D03C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Premesso il richiamo all’oggetto </w:t>
      </w:r>
      <w:r w:rsidR="00F77BBE">
        <w:rPr>
          <w:rFonts w:ascii="Garamond" w:hAnsi="Garamond" w:cs="Times New Roman"/>
          <w:sz w:val="24"/>
          <w:szCs w:val="24"/>
        </w:rPr>
        <w:t>di tale disciplina</w:t>
      </w:r>
      <w:r w:rsidRPr="00BB44F3">
        <w:rPr>
          <w:rFonts w:ascii="Garamond" w:hAnsi="Garamond" w:cs="Times New Roman"/>
          <w:sz w:val="24"/>
          <w:szCs w:val="24"/>
        </w:rPr>
        <w:t xml:space="preserve"> (art. 1) ed alle definizioni rilevanti (art. 2) i</w:t>
      </w:r>
      <w:r w:rsidR="00813272" w:rsidRPr="00BB44F3">
        <w:rPr>
          <w:rFonts w:ascii="Garamond" w:hAnsi="Garamond" w:cs="Times New Roman"/>
          <w:sz w:val="24"/>
          <w:szCs w:val="24"/>
        </w:rPr>
        <w:t xml:space="preserve">l D. </w:t>
      </w:r>
      <w:proofErr w:type="spellStart"/>
      <w:r w:rsidR="00813272" w:rsidRPr="00BB44F3">
        <w:rPr>
          <w:rFonts w:ascii="Garamond" w:hAnsi="Garamond" w:cs="Times New Roman"/>
          <w:sz w:val="24"/>
          <w:szCs w:val="24"/>
        </w:rPr>
        <w:t>Lgs</w:t>
      </w:r>
      <w:proofErr w:type="spellEnd"/>
      <w:r w:rsidR="00813272" w:rsidRPr="00BB44F3">
        <w:rPr>
          <w:rFonts w:ascii="Garamond" w:hAnsi="Garamond" w:cs="Times New Roman"/>
          <w:sz w:val="24"/>
          <w:szCs w:val="24"/>
        </w:rPr>
        <w:t xml:space="preserve">. </w:t>
      </w:r>
      <w:r w:rsidRPr="00BB44F3">
        <w:rPr>
          <w:rFonts w:ascii="Garamond" w:hAnsi="Garamond" w:cs="Times New Roman"/>
          <w:sz w:val="24"/>
          <w:szCs w:val="24"/>
        </w:rPr>
        <w:t xml:space="preserve">n. </w:t>
      </w:r>
      <w:r w:rsidR="00813272" w:rsidRPr="00BB44F3">
        <w:rPr>
          <w:rFonts w:ascii="Garamond" w:hAnsi="Garamond" w:cs="Times New Roman"/>
          <w:sz w:val="24"/>
          <w:szCs w:val="24"/>
        </w:rPr>
        <w:t xml:space="preserve">201/2022 </w:t>
      </w:r>
      <w:r w:rsidR="0033252A" w:rsidRPr="00BB44F3">
        <w:rPr>
          <w:rFonts w:ascii="Garamond" w:hAnsi="Garamond" w:cs="Times New Roman"/>
          <w:sz w:val="24"/>
          <w:szCs w:val="24"/>
        </w:rPr>
        <w:t xml:space="preserve">all’art. 3 </w:t>
      </w:r>
      <w:r w:rsidRPr="00BB44F3">
        <w:rPr>
          <w:rFonts w:ascii="Garamond" w:hAnsi="Garamond" w:cs="Times New Roman"/>
          <w:sz w:val="24"/>
          <w:szCs w:val="24"/>
        </w:rPr>
        <w:t>indica</w:t>
      </w:r>
      <w:r w:rsidR="00813272" w:rsidRPr="00BB44F3">
        <w:rPr>
          <w:rFonts w:ascii="Garamond" w:hAnsi="Garamond" w:cs="Times New Roman"/>
          <w:sz w:val="24"/>
          <w:szCs w:val="24"/>
        </w:rPr>
        <w:t xml:space="preserve"> i seguenti principi generali dei servizi pubblici locali:</w:t>
      </w:r>
    </w:p>
    <w:p w14:paraId="25CD133A" w14:textId="1E4D31DD" w:rsidR="00813272" w:rsidRPr="00BB44F3" w:rsidRDefault="0081327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rispondenza degli stessi alle esigenze delle comunità di riferimento e alla soddisfazione dei bisogni dei cittadini e degli utenti nel rispetto dei principi di sussidiarietà e proporzionalità;</w:t>
      </w:r>
    </w:p>
    <w:p w14:paraId="127EA91B" w14:textId="63DEE629" w:rsidR="00813272" w:rsidRPr="00BB44F3" w:rsidRDefault="0081327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concorrenza, sussidiarietà, anche orizzontale, efficienza nella gestione, efficacia nella soddisfazione dei bisogni dei cittadini, sviluppo sostenibile, produzione di servizi quantitativamente e qualitativamente adeguati, applicazione di tariffe orientate a costi efficienti, promozione di investimenti in innovazione tecnologica, proporzionalità e adeguatezza della durata, trasparenza sulle scelte compiute dalle amministrazioni e sui risultati delle gestioni;</w:t>
      </w:r>
    </w:p>
    <w:p w14:paraId="7930A1EF" w14:textId="28642321" w:rsidR="00813272" w:rsidRPr="00BB44F3" w:rsidRDefault="0081327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centralità del cittadino e dell'utente, anche favorendo forme di partecipazione attiva, nell’organizzazione e nell’erogazione dei servizi pubblici locali.</w:t>
      </w:r>
    </w:p>
    <w:p w14:paraId="34F383E6" w14:textId="4992C855" w:rsidR="00813272" w:rsidRPr="00BB44F3" w:rsidRDefault="00DD1579"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 xml:space="preserve">Emerge quindi </w:t>
      </w:r>
      <w:r w:rsidR="0033252A" w:rsidRPr="00BB44F3">
        <w:rPr>
          <w:rFonts w:ascii="Garamond" w:hAnsi="Garamond" w:cs="Times New Roman"/>
          <w:sz w:val="24"/>
          <w:szCs w:val="24"/>
        </w:rPr>
        <w:t>già dalla sola lettura della definizione di servizi pubblici locali, dei principi generali e dell’art. 10 come il principio cardine sia quello della rispondenza di tali servizi alle esigenze delle comunità di riferimento e alla soddisfazione dei bisogni dei cittadini e degli utenti.</w:t>
      </w:r>
    </w:p>
    <w:p w14:paraId="1F1C41B8" w14:textId="77777777" w:rsidR="001D03C6" w:rsidRPr="00BB44F3" w:rsidRDefault="001D03C6" w:rsidP="002B0099">
      <w:pPr>
        <w:spacing w:after="0" w:line="240" w:lineRule="auto"/>
        <w:ind w:firstLine="454"/>
        <w:contextualSpacing/>
        <w:jc w:val="both"/>
        <w:rPr>
          <w:rFonts w:ascii="Garamond" w:hAnsi="Garamond" w:cs="Times New Roman"/>
          <w:sz w:val="24"/>
          <w:szCs w:val="24"/>
        </w:rPr>
      </w:pPr>
    </w:p>
    <w:p w14:paraId="1EFACB05" w14:textId="1A8CF5BD" w:rsidR="00BB2D70" w:rsidRPr="00BB44F3" w:rsidRDefault="008459AB" w:rsidP="00F77BBE">
      <w:pPr>
        <w:pStyle w:val="Titolo2"/>
        <w:jc w:val="both"/>
      </w:pPr>
      <w:bookmarkStart w:id="164" w:name="_Toc209095124"/>
      <w:bookmarkStart w:id="165" w:name="_Toc209095185"/>
      <w:bookmarkStart w:id="166" w:name="_Toc209095660"/>
      <w:bookmarkStart w:id="167" w:name="_Toc209095693"/>
      <w:bookmarkStart w:id="168" w:name="_Toc209095726"/>
      <w:bookmarkStart w:id="169" w:name="_Toc209097840"/>
      <w:bookmarkStart w:id="170" w:name="_Toc209097874"/>
      <w:bookmarkStart w:id="171" w:name="_Toc209104521"/>
      <w:bookmarkStart w:id="172" w:name="_Toc209105886"/>
      <w:bookmarkStart w:id="173" w:name="_Toc209106772"/>
      <w:bookmarkStart w:id="174" w:name="_Toc209107511"/>
      <w:bookmarkStart w:id="175" w:name="_Toc209181411"/>
      <w:bookmarkStart w:id="176" w:name="_Toc209181501"/>
      <w:bookmarkStart w:id="177" w:name="_Toc209181557"/>
      <w:bookmarkStart w:id="178" w:name="_Toc209182708"/>
      <w:bookmarkStart w:id="179" w:name="_Toc209182905"/>
      <w:r w:rsidRPr="00BB44F3">
        <w:t>5.2. La p</w:t>
      </w:r>
      <w:r w:rsidR="00BB2D70" w:rsidRPr="00BB44F3">
        <w:t xml:space="preserve">revalenza della disciplina di cui al D. </w:t>
      </w:r>
      <w:proofErr w:type="spellStart"/>
      <w:r w:rsidR="00BB2D70" w:rsidRPr="00BB44F3">
        <w:t>Lgs</w:t>
      </w:r>
      <w:proofErr w:type="spellEnd"/>
      <w:r w:rsidR="00BB2D70" w:rsidRPr="00BB44F3">
        <w:t>.</w:t>
      </w:r>
      <w:r w:rsidR="001D03C6" w:rsidRPr="00BB44F3">
        <w:t xml:space="preserve"> n.</w:t>
      </w:r>
      <w:r w:rsidR="00BB2D70" w:rsidRPr="00BB44F3">
        <w:t xml:space="preserve"> 201/2022 rispetto alle normative di settore</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DBC13E1" w14:textId="09C6BFDC" w:rsidR="00BB2D70" w:rsidRPr="00BB44F3" w:rsidRDefault="00BB2D7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legislatore si mostra</w:t>
      </w:r>
      <w:r w:rsidR="001D03C6" w:rsidRPr="00BB44F3">
        <w:rPr>
          <w:rFonts w:ascii="Garamond" w:hAnsi="Garamond" w:cs="Times New Roman"/>
          <w:sz w:val="24"/>
          <w:szCs w:val="24"/>
        </w:rPr>
        <w:t xml:space="preserve"> poi</w:t>
      </w:r>
      <w:r w:rsidRPr="00BB44F3">
        <w:rPr>
          <w:rFonts w:ascii="Garamond" w:hAnsi="Garamond" w:cs="Times New Roman"/>
          <w:sz w:val="24"/>
          <w:szCs w:val="24"/>
        </w:rPr>
        <w:t xml:space="preserve"> pienamente consapevole della complessità del quadro normativo e delle vigenti discipline relative a</w:t>
      </w:r>
      <w:r w:rsidR="0080721B">
        <w:rPr>
          <w:rFonts w:ascii="Garamond" w:hAnsi="Garamond" w:cs="Times New Roman"/>
          <w:sz w:val="24"/>
          <w:szCs w:val="24"/>
        </w:rPr>
        <w:t>lle</w:t>
      </w:r>
      <w:r w:rsidRPr="00BB44F3">
        <w:rPr>
          <w:rFonts w:ascii="Garamond" w:hAnsi="Garamond" w:cs="Times New Roman"/>
          <w:sz w:val="24"/>
          <w:szCs w:val="24"/>
        </w:rPr>
        <w:t xml:space="preserve"> singole tipologie di servizi pubblici.</w:t>
      </w:r>
    </w:p>
    <w:p w14:paraId="63A38D4A" w14:textId="15869BFA" w:rsidR="00BB2D70" w:rsidRPr="00BB44F3" w:rsidRDefault="00BB2D7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Pertanto, </w:t>
      </w:r>
      <w:r w:rsidR="001D03C6" w:rsidRPr="00BB44F3">
        <w:rPr>
          <w:rFonts w:ascii="Garamond" w:hAnsi="Garamond" w:cs="Times New Roman"/>
          <w:sz w:val="24"/>
          <w:szCs w:val="24"/>
        </w:rPr>
        <w:t>al</w:t>
      </w:r>
      <w:r w:rsidRPr="00BB44F3">
        <w:rPr>
          <w:rFonts w:ascii="Garamond" w:hAnsi="Garamond" w:cs="Times New Roman"/>
          <w:sz w:val="24"/>
          <w:szCs w:val="24"/>
        </w:rPr>
        <w:t xml:space="preserve">l’art. 4 del </w:t>
      </w:r>
      <w:r w:rsidR="001D03C6" w:rsidRPr="00BB44F3">
        <w:rPr>
          <w:rFonts w:ascii="Garamond" w:hAnsi="Garamond" w:cs="Times New Roman"/>
          <w:sz w:val="24"/>
          <w:szCs w:val="24"/>
        </w:rPr>
        <w:t>Decreto</w:t>
      </w:r>
      <w:r w:rsidRPr="00BB44F3">
        <w:rPr>
          <w:rFonts w:ascii="Garamond" w:hAnsi="Garamond" w:cs="Times New Roman"/>
          <w:sz w:val="24"/>
          <w:szCs w:val="24"/>
        </w:rPr>
        <w:t xml:space="preserve"> prevede la prevalenza di tale normativa (che assume, quindi, carattere generale) su quelle di settore laddove si registri un contrasto tra le stesse “</w:t>
      </w:r>
      <w:r w:rsidRPr="00BB44F3">
        <w:rPr>
          <w:rFonts w:ascii="Garamond" w:hAnsi="Garamond" w:cs="Times New Roman"/>
          <w:i/>
          <w:sz w:val="24"/>
          <w:szCs w:val="24"/>
        </w:rPr>
        <w:t>salvo che non siano previste nel presente decreto specifiche norme di salvaguardia e prevalenza della disciplina di settore</w:t>
      </w:r>
      <w:r w:rsidRPr="00BB44F3">
        <w:rPr>
          <w:rFonts w:ascii="Garamond" w:hAnsi="Garamond" w:cs="Times New Roman"/>
          <w:sz w:val="24"/>
          <w:szCs w:val="24"/>
        </w:rPr>
        <w:t>”.</w:t>
      </w:r>
    </w:p>
    <w:p w14:paraId="08653E57" w14:textId="3897B8C1" w:rsidR="00BB2D70" w:rsidRPr="00BB44F3" w:rsidRDefault="00BB2D7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Tali norme di </w:t>
      </w:r>
      <w:r w:rsidR="0080721B">
        <w:rPr>
          <w:rFonts w:ascii="Garamond" w:hAnsi="Garamond" w:cs="Times New Roman"/>
          <w:sz w:val="24"/>
          <w:szCs w:val="24"/>
        </w:rPr>
        <w:t>salvaguardia sono previste dal t</w:t>
      </w:r>
      <w:r w:rsidRPr="00BB44F3">
        <w:rPr>
          <w:rFonts w:ascii="Garamond" w:hAnsi="Garamond" w:cs="Times New Roman"/>
          <w:sz w:val="24"/>
          <w:szCs w:val="24"/>
        </w:rPr>
        <w:t xml:space="preserve">itolo VI del </w:t>
      </w:r>
      <w:r w:rsidR="001D03C6" w:rsidRPr="00BB44F3">
        <w:rPr>
          <w:rFonts w:ascii="Garamond" w:hAnsi="Garamond" w:cs="Times New Roman"/>
          <w:sz w:val="24"/>
          <w:szCs w:val="24"/>
        </w:rPr>
        <w:t>Decreto,</w:t>
      </w:r>
      <w:r w:rsidRPr="00BB44F3">
        <w:rPr>
          <w:rFonts w:ascii="Garamond" w:hAnsi="Garamond" w:cs="Times New Roman"/>
          <w:sz w:val="24"/>
          <w:szCs w:val="24"/>
        </w:rPr>
        <w:t xml:space="preserve"> </w:t>
      </w:r>
      <w:r w:rsidR="001D03C6" w:rsidRPr="00BB44F3">
        <w:rPr>
          <w:rFonts w:ascii="Garamond" w:hAnsi="Garamond" w:cs="Times New Roman"/>
          <w:sz w:val="24"/>
          <w:szCs w:val="24"/>
        </w:rPr>
        <w:t>il quale</w:t>
      </w:r>
      <w:r w:rsidRPr="00BB44F3">
        <w:rPr>
          <w:rFonts w:ascii="Garamond" w:hAnsi="Garamond" w:cs="Times New Roman"/>
          <w:sz w:val="24"/>
          <w:szCs w:val="24"/>
        </w:rPr>
        <w:t xml:space="preserve"> detta disposizioni di coordinamento in materia di trasporto pubblico locale (art. 32), servizio idrico e gestione dei rifiuti urbani (art. 33), farmacie (art. 34), servizi di distribuzione dell’energia elettrica e del gas naturale (art. 35) e impianti di trasporti a fune (art. 36).</w:t>
      </w:r>
    </w:p>
    <w:p w14:paraId="3B982EF8" w14:textId="77777777" w:rsidR="001D03C6" w:rsidRPr="00BB44F3" w:rsidRDefault="001D03C6" w:rsidP="002B0099">
      <w:pPr>
        <w:spacing w:after="0" w:line="240" w:lineRule="auto"/>
        <w:ind w:firstLine="454"/>
        <w:contextualSpacing/>
        <w:jc w:val="both"/>
        <w:rPr>
          <w:rFonts w:ascii="Garamond" w:hAnsi="Garamond" w:cs="Times New Roman"/>
          <w:sz w:val="24"/>
          <w:szCs w:val="24"/>
        </w:rPr>
      </w:pPr>
    </w:p>
    <w:p w14:paraId="1EB7FD5F" w14:textId="6D636F12" w:rsidR="008D3953" w:rsidRPr="00BB44F3" w:rsidRDefault="008459AB" w:rsidP="00F77BBE">
      <w:pPr>
        <w:pStyle w:val="Titolo2"/>
        <w:jc w:val="both"/>
      </w:pPr>
      <w:bookmarkStart w:id="180" w:name="_Toc209095125"/>
      <w:bookmarkStart w:id="181" w:name="_Toc209095186"/>
      <w:bookmarkStart w:id="182" w:name="_Toc209095661"/>
      <w:bookmarkStart w:id="183" w:name="_Toc209095694"/>
      <w:bookmarkStart w:id="184" w:name="_Toc209095727"/>
      <w:bookmarkStart w:id="185" w:name="_Toc209097841"/>
      <w:bookmarkStart w:id="186" w:name="_Toc209097875"/>
      <w:bookmarkStart w:id="187" w:name="_Toc209104522"/>
      <w:bookmarkStart w:id="188" w:name="_Toc209105887"/>
      <w:bookmarkStart w:id="189" w:name="_Toc209106773"/>
      <w:bookmarkStart w:id="190" w:name="_Toc209107512"/>
      <w:bookmarkStart w:id="191" w:name="_Toc209181412"/>
      <w:bookmarkStart w:id="192" w:name="_Toc209181502"/>
      <w:bookmarkStart w:id="193" w:name="_Toc209181558"/>
      <w:bookmarkStart w:id="194" w:name="_Toc209182709"/>
      <w:bookmarkStart w:id="195" w:name="_Toc209182906"/>
      <w:r w:rsidRPr="00BB44F3">
        <w:t xml:space="preserve">5.3. </w:t>
      </w:r>
      <w:r w:rsidR="00ED1482" w:rsidRPr="00BB44F3">
        <w:t xml:space="preserve">La riorganizzazione dei servizi pubblici locali di rilevanza economica e la dicotomia </w:t>
      </w:r>
      <w:r w:rsidR="008D3953" w:rsidRPr="00BB44F3">
        <w:t xml:space="preserve">servizi a rete </w:t>
      </w:r>
      <w:r w:rsidR="00D005D3" w:rsidRPr="00BB44F3">
        <w:t>e</w:t>
      </w:r>
      <w:r w:rsidR="008D3953" w:rsidRPr="00BB44F3">
        <w:t xml:space="preserve"> servizi non a rete</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793902E" w14:textId="09BA42C0" w:rsidR="00813272" w:rsidRPr="00BB44F3" w:rsidRDefault="00540F1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Va poi ricordato che c</w:t>
      </w:r>
      <w:r w:rsidR="00572CC0" w:rsidRPr="00BB44F3">
        <w:rPr>
          <w:rFonts w:ascii="Garamond" w:hAnsi="Garamond" w:cs="Times New Roman"/>
          <w:sz w:val="24"/>
          <w:szCs w:val="24"/>
        </w:rPr>
        <w:t>ostituiscono servizi pubblici locali a rete “</w:t>
      </w:r>
      <w:r w:rsidR="00572CC0" w:rsidRPr="00BB44F3">
        <w:rPr>
          <w:rFonts w:ascii="Garamond" w:hAnsi="Garamond" w:cs="Times New Roman"/>
          <w:i/>
          <w:sz w:val="24"/>
          <w:szCs w:val="24"/>
        </w:rPr>
        <w:t>i servizi di interesse economico generale di livello locale che sono suscettibili di essere organizzati tramite reti strutturali o collegamenti funzionali necessari tra le sedi di produzione o di svolgimento della prestazione oggetto di servizio, sottoposti a regolazione ad opera di un'autorità indipendente</w:t>
      </w:r>
      <w:r w:rsidR="00572CC0" w:rsidRPr="00BB44F3">
        <w:rPr>
          <w:rFonts w:ascii="Garamond" w:hAnsi="Garamond" w:cs="Times New Roman"/>
          <w:sz w:val="24"/>
          <w:szCs w:val="24"/>
        </w:rPr>
        <w:t xml:space="preserve">” (come da definizione contenuta alla </w:t>
      </w:r>
      <w:proofErr w:type="spellStart"/>
      <w:r w:rsidR="00572CC0" w:rsidRPr="00BB44F3">
        <w:rPr>
          <w:rFonts w:ascii="Garamond" w:hAnsi="Garamond" w:cs="Times New Roman"/>
          <w:sz w:val="24"/>
          <w:szCs w:val="24"/>
        </w:rPr>
        <w:t>lett</w:t>
      </w:r>
      <w:proofErr w:type="spellEnd"/>
      <w:r w:rsidR="00572CC0" w:rsidRPr="00BB44F3">
        <w:rPr>
          <w:rFonts w:ascii="Garamond" w:hAnsi="Garamond" w:cs="Times New Roman"/>
          <w:sz w:val="24"/>
          <w:szCs w:val="24"/>
        </w:rPr>
        <w:t xml:space="preserve">. d del comma 1 dell’art. 2 del D. </w:t>
      </w:r>
      <w:proofErr w:type="spellStart"/>
      <w:r w:rsidR="00572CC0" w:rsidRPr="00BB44F3">
        <w:rPr>
          <w:rFonts w:ascii="Garamond" w:hAnsi="Garamond" w:cs="Times New Roman"/>
          <w:sz w:val="24"/>
          <w:szCs w:val="24"/>
        </w:rPr>
        <w:t>Lgs</w:t>
      </w:r>
      <w:proofErr w:type="spellEnd"/>
      <w:r w:rsidR="00572CC0" w:rsidRPr="00BB44F3">
        <w:rPr>
          <w:rFonts w:ascii="Garamond" w:hAnsi="Garamond" w:cs="Times New Roman"/>
          <w:sz w:val="24"/>
          <w:szCs w:val="24"/>
        </w:rPr>
        <w:t>.</w:t>
      </w:r>
      <w:r w:rsidRPr="00BB44F3">
        <w:rPr>
          <w:rFonts w:ascii="Garamond" w:hAnsi="Garamond" w:cs="Times New Roman"/>
          <w:sz w:val="24"/>
          <w:szCs w:val="24"/>
        </w:rPr>
        <w:t xml:space="preserve"> n.</w:t>
      </w:r>
      <w:r w:rsidR="00572CC0" w:rsidRPr="00BB44F3">
        <w:rPr>
          <w:rFonts w:ascii="Garamond" w:hAnsi="Garamond" w:cs="Times New Roman"/>
          <w:sz w:val="24"/>
          <w:szCs w:val="24"/>
        </w:rPr>
        <w:t xml:space="preserve"> 201/2022)</w:t>
      </w:r>
      <w:r w:rsidR="00552AED" w:rsidRPr="00BB44F3">
        <w:rPr>
          <w:rStyle w:val="Rimandonotaapidipagina"/>
          <w:rFonts w:ascii="Garamond" w:hAnsi="Garamond" w:cs="Times New Roman"/>
          <w:sz w:val="24"/>
          <w:szCs w:val="24"/>
        </w:rPr>
        <w:footnoteReference w:id="29"/>
      </w:r>
      <w:r w:rsidR="00572CC0" w:rsidRPr="00BB44F3">
        <w:rPr>
          <w:rFonts w:ascii="Garamond" w:hAnsi="Garamond" w:cs="Times New Roman"/>
          <w:sz w:val="24"/>
          <w:szCs w:val="24"/>
        </w:rPr>
        <w:t>.</w:t>
      </w:r>
      <w:r w:rsidRPr="00BB44F3">
        <w:rPr>
          <w:rFonts w:ascii="Garamond" w:hAnsi="Garamond" w:cs="Times New Roman"/>
          <w:sz w:val="24"/>
          <w:szCs w:val="24"/>
        </w:rPr>
        <w:t xml:space="preserve"> Sono </w:t>
      </w:r>
      <w:r w:rsidR="00572CC0" w:rsidRPr="00BB44F3">
        <w:rPr>
          <w:rFonts w:ascii="Garamond" w:hAnsi="Garamond" w:cs="Times New Roman"/>
          <w:sz w:val="24"/>
          <w:szCs w:val="24"/>
        </w:rPr>
        <w:t>esempi comunemente citati di servizi a rete il servizio idrico, quello del gas, quello dell’energia elettrica ed il trasporto pubblico locale.</w:t>
      </w:r>
    </w:p>
    <w:p w14:paraId="6F8CF95A" w14:textId="6D3AEB41" w:rsidR="00572CC0" w:rsidRPr="00BB44F3" w:rsidRDefault="00572CC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 servizi pubblici locali non a rete sono</w:t>
      </w:r>
      <w:r w:rsidR="00540F12" w:rsidRPr="00BB44F3">
        <w:rPr>
          <w:rFonts w:ascii="Garamond" w:hAnsi="Garamond" w:cs="Times New Roman"/>
          <w:sz w:val="24"/>
          <w:szCs w:val="24"/>
        </w:rPr>
        <w:t xml:space="preserve"> poi</w:t>
      </w:r>
      <w:r w:rsidRPr="00BB44F3">
        <w:rPr>
          <w:rFonts w:ascii="Garamond" w:hAnsi="Garamond" w:cs="Times New Roman"/>
          <w:sz w:val="24"/>
          <w:szCs w:val="24"/>
        </w:rPr>
        <w:t xml:space="preserve"> costituiti da tutti i servizi</w:t>
      </w:r>
      <w:r w:rsidR="00552AED" w:rsidRPr="00BB44F3">
        <w:rPr>
          <w:rFonts w:ascii="Garamond" w:hAnsi="Garamond" w:cs="Times New Roman"/>
          <w:sz w:val="24"/>
          <w:szCs w:val="24"/>
        </w:rPr>
        <w:t xml:space="preserve"> pubblici locali</w:t>
      </w:r>
      <w:r w:rsidRPr="00BB44F3">
        <w:rPr>
          <w:rFonts w:ascii="Garamond" w:hAnsi="Garamond" w:cs="Times New Roman"/>
          <w:sz w:val="24"/>
          <w:szCs w:val="24"/>
        </w:rPr>
        <w:t xml:space="preserve"> che non presentano tali caratteri</w:t>
      </w:r>
      <w:r w:rsidR="005D447F" w:rsidRPr="00BB44F3">
        <w:rPr>
          <w:rFonts w:ascii="Garamond" w:hAnsi="Garamond" w:cs="Times New Roman"/>
          <w:sz w:val="24"/>
          <w:szCs w:val="24"/>
        </w:rPr>
        <w:t>stiche</w:t>
      </w:r>
      <w:r w:rsidRPr="00BB44F3">
        <w:rPr>
          <w:rFonts w:ascii="Garamond" w:hAnsi="Garamond" w:cs="Times New Roman"/>
          <w:sz w:val="24"/>
          <w:szCs w:val="24"/>
        </w:rPr>
        <w:t>.</w:t>
      </w:r>
    </w:p>
    <w:p w14:paraId="115C79C4" w14:textId="38BA5107" w:rsidR="00540F12" w:rsidRPr="00BB44F3" w:rsidRDefault="00540F12" w:rsidP="002B0099">
      <w:pPr>
        <w:spacing w:after="0" w:line="240" w:lineRule="auto"/>
        <w:ind w:firstLine="454"/>
        <w:contextualSpacing/>
        <w:jc w:val="both"/>
        <w:rPr>
          <w:rFonts w:ascii="Garamond" w:hAnsi="Garamond" w:cs="Times New Roman"/>
          <w:color w:val="000000" w:themeColor="text1"/>
          <w:sz w:val="24"/>
          <w:szCs w:val="24"/>
        </w:rPr>
      </w:pPr>
      <w:r w:rsidRPr="00BB44F3">
        <w:rPr>
          <w:rFonts w:ascii="Garamond" w:hAnsi="Garamond" w:cs="Times New Roman"/>
          <w:sz w:val="24"/>
          <w:szCs w:val="24"/>
        </w:rPr>
        <w:t xml:space="preserve">L’art. 5 del Decreto </w:t>
      </w:r>
      <w:r w:rsidRPr="00BB44F3">
        <w:rPr>
          <w:rFonts w:ascii="Garamond" w:hAnsi="Garamond" w:cs="Times New Roman"/>
          <w:color w:val="000000" w:themeColor="text1"/>
          <w:sz w:val="24"/>
          <w:szCs w:val="24"/>
        </w:rPr>
        <w:t xml:space="preserve">persegue in via generale l’obiettivo della riorganizzazione </w:t>
      </w:r>
      <w:r w:rsidR="00ED1482" w:rsidRPr="00BB44F3">
        <w:rPr>
          <w:rFonts w:ascii="Garamond" w:hAnsi="Garamond" w:cs="Times New Roman"/>
          <w:color w:val="000000" w:themeColor="text1"/>
          <w:sz w:val="24"/>
          <w:szCs w:val="24"/>
        </w:rPr>
        <w:t>dei servizi pubblici locali</w:t>
      </w:r>
      <w:r w:rsidRPr="00BB44F3">
        <w:rPr>
          <w:rFonts w:ascii="Garamond" w:hAnsi="Garamond" w:cs="Times New Roman"/>
          <w:color w:val="000000" w:themeColor="text1"/>
          <w:sz w:val="24"/>
          <w:szCs w:val="24"/>
        </w:rPr>
        <w:t>, considerando le Città Metropolitane come una delle dimensioni territoriali ottimali per la gestione integrata degli stessi e contemplando la possibilità di delega al comune capoluogo da parte degli altri Comuni ricompresi nella Città Metropolitana. Tale delega riguarda l’esercizio delle funzioni comunali in materia di servizi pubblici locali di rilevanza economica per conto e nell'interesse degli altri comuni.</w:t>
      </w:r>
    </w:p>
    <w:p w14:paraId="23B821E8" w14:textId="166AA652" w:rsidR="00540F12" w:rsidRPr="00BB44F3" w:rsidRDefault="00540F12" w:rsidP="002B0099">
      <w:pPr>
        <w:spacing w:after="0" w:line="240" w:lineRule="auto"/>
        <w:ind w:firstLine="454"/>
        <w:contextualSpacing/>
        <w:jc w:val="both"/>
        <w:rPr>
          <w:rFonts w:ascii="Garamond" w:hAnsi="Garamond" w:cs="Times New Roman"/>
          <w:color w:val="000000" w:themeColor="text1"/>
          <w:sz w:val="24"/>
          <w:szCs w:val="24"/>
        </w:rPr>
      </w:pPr>
      <w:r w:rsidRPr="00BB44F3">
        <w:rPr>
          <w:rFonts w:ascii="Garamond" w:hAnsi="Garamond" w:cs="Times New Roman"/>
          <w:color w:val="000000" w:themeColor="text1"/>
          <w:sz w:val="24"/>
          <w:szCs w:val="24"/>
        </w:rPr>
        <w:t>Rispetto ai servizi a rete è previsto che le Regioni incentivino la riorganizzazione degli ambiti o bacini di riferimento “</w:t>
      </w:r>
      <w:r w:rsidRPr="00BB44F3">
        <w:rPr>
          <w:rFonts w:ascii="Garamond" w:hAnsi="Garamond" w:cs="Times New Roman"/>
          <w:i/>
          <w:color w:val="000000" w:themeColor="text1"/>
          <w:sz w:val="24"/>
          <w:szCs w:val="24"/>
        </w:rPr>
        <w:t>orientandone l'organizzazione preferibilmente su scala regionale o comunque in modo da consentire economie di scala o di scopo idonee a massimizzare l'efficienza del servizio</w:t>
      </w:r>
      <w:r w:rsidRPr="00BB44F3">
        <w:rPr>
          <w:rFonts w:ascii="Garamond" w:hAnsi="Garamond" w:cs="Times New Roman"/>
          <w:color w:val="000000" w:themeColor="text1"/>
          <w:sz w:val="24"/>
          <w:szCs w:val="24"/>
        </w:rPr>
        <w:t>” (v. comma 2 dell’art. 5 del Decreto)</w:t>
      </w:r>
      <w:r w:rsidRPr="00BB44F3">
        <w:rPr>
          <w:rStyle w:val="Rimandonotaapidipagina"/>
          <w:rFonts w:ascii="Garamond" w:hAnsi="Garamond" w:cs="Times New Roman"/>
          <w:color w:val="000000" w:themeColor="text1"/>
          <w:sz w:val="24"/>
          <w:szCs w:val="24"/>
        </w:rPr>
        <w:footnoteReference w:id="30"/>
      </w:r>
      <w:r w:rsidRPr="00BB44F3">
        <w:rPr>
          <w:rFonts w:ascii="Garamond" w:hAnsi="Garamond" w:cs="Times New Roman"/>
          <w:color w:val="000000" w:themeColor="text1"/>
          <w:sz w:val="24"/>
          <w:szCs w:val="24"/>
        </w:rPr>
        <w:t>.</w:t>
      </w:r>
    </w:p>
    <w:p w14:paraId="2A008EFF" w14:textId="3F6D115D" w:rsidR="005D447F" w:rsidRPr="00BB44F3" w:rsidRDefault="00ED148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color w:val="000000" w:themeColor="text1"/>
          <w:sz w:val="24"/>
          <w:szCs w:val="24"/>
        </w:rPr>
        <w:t>Con specifico riferimento ai servizi a rete l’art. 6 del Decreto sancisce i</w:t>
      </w:r>
      <w:r w:rsidR="00805E95" w:rsidRPr="00BB44F3">
        <w:rPr>
          <w:rFonts w:ascii="Garamond" w:hAnsi="Garamond" w:cs="Times New Roman"/>
          <w:sz w:val="24"/>
          <w:szCs w:val="24"/>
        </w:rPr>
        <w:t xml:space="preserve">l principio chiave della netta separazione tra l’esercizio delle funzioni di regolazione, indirizzo e controllo, da una parte, e quelle di gestione </w:t>
      </w:r>
      <w:r w:rsidRPr="00BB44F3">
        <w:rPr>
          <w:rFonts w:ascii="Garamond" w:hAnsi="Garamond" w:cs="Times New Roman"/>
          <w:sz w:val="24"/>
          <w:szCs w:val="24"/>
        </w:rPr>
        <w:t>dei servizi</w:t>
      </w:r>
      <w:r w:rsidR="00805E95" w:rsidRPr="00BB44F3">
        <w:rPr>
          <w:rFonts w:ascii="Garamond" w:hAnsi="Garamond" w:cs="Times New Roman"/>
          <w:sz w:val="24"/>
          <w:szCs w:val="24"/>
        </w:rPr>
        <w:t>, dall’altra.</w:t>
      </w:r>
    </w:p>
    <w:p w14:paraId="6D054613" w14:textId="16CFD600" w:rsidR="00805E95" w:rsidRPr="00BB44F3" w:rsidRDefault="00805E9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 xml:space="preserve">In applicazione di tale principio gli enti di governo dell'ambito o le Autorità specificamente istituite per la regolazione e il controllo dei servizi pubblici locali non possono direttamente o indirettamente partecipare a soggetti incaricati della gestione del servizio (v. comma 2 dell’art. 6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201/2022).</w:t>
      </w:r>
    </w:p>
    <w:p w14:paraId="113EBFEC" w14:textId="4E6AE521" w:rsidR="00805E95" w:rsidRPr="00BB44F3" w:rsidRDefault="00805E9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Nel caso in cui agli enti locali spettino le funzioni di regolazione ed</w:t>
      </w:r>
      <w:r w:rsidR="0080721B">
        <w:rPr>
          <w:rFonts w:ascii="Garamond" w:hAnsi="Garamond" w:cs="Times New Roman"/>
          <w:sz w:val="24"/>
          <w:szCs w:val="24"/>
        </w:rPr>
        <w:t xml:space="preserve"> al contempo</w:t>
      </w:r>
      <w:r w:rsidRPr="00BB44F3">
        <w:rPr>
          <w:rFonts w:ascii="Garamond" w:hAnsi="Garamond" w:cs="Times New Roman"/>
          <w:sz w:val="24"/>
          <w:szCs w:val="24"/>
        </w:rPr>
        <w:t xml:space="preserve"> assumano direttamente la gestione del servizio (anche per mezzo di soggetto partecipato) “</w:t>
      </w:r>
      <w:r w:rsidRPr="00BB44F3">
        <w:rPr>
          <w:rFonts w:ascii="Garamond" w:hAnsi="Garamond" w:cs="Times New Roman"/>
          <w:i/>
          <w:sz w:val="24"/>
          <w:szCs w:val="24"/>
        </w:rPr>
        <w:t>le strutture, i servizi, gli uffici e le unità organizzative dell'ente ed i loro dirigenti e dipendenti preposti a tali funzioni di regolazione non possono svolgere alcuna funzione o alcun compito inerente alla gestione ed al suo affidamento</w:t>
      </w:r>
      <w:r w:rsidRPr="00BB44F3">
        <w:rPr>
          <w:rFonts w:ascii="Garamond" w:hAnsi="Garamond" w:cs="Times New Roman"/>
          <w:sz w:val="24"/>
          <w:szCs w:val="24"/>
        </w:rPr>
        <w:t xml:space="preserve">” (v. comma 3 dell’art. 6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201/2022).</w:t>
      </w:r>
    </w:p>
    <w:p w14:paraId="5A251B30" w14:textId="0046C8C9" w:rsidR="00AC36AA" w:rsidRPr="00BB44F3" w:rsidRDefault="00AC36A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Sono poi previste delle ipotesi di </w:t>
      </w:r>
      <w:proofErr w:type="spellStart"/>
      <w:r w:rsidRPr="00BB44F3">
        <w:rPr>
          <w:rFonts w:ascii="Garamond" w:hAnsi="Garamond" w:cs="Times New Roman"/>
          <w:sz w:val="24"/>
          <w:szCs w:val="24"/>
        </w:rPr>
        <w:t>inconferibilità</w:t>
      </w:r>
      <w:proofErr w:type="spellEnd"/>
      <w:r w:rsidRPr="00BB44F3">
        <w:rPr>
          <w:rFonts w:ascii="Garamond" w:hAnsi="Garamond" w:cs="Times New Roman"/>
          <w:sz w:val="24"/>
          <w:szCs w:val="24"/>
        </w:rPr>
        <w:t xml:space="preserve"> di incarichi professionali, di amministrazione o di controllo societario, nonché inerenti alla gestione del servizio con riferimento ad una serie di soggetti</w:t>
      </w:r>
      <w:r w:rsidRPr="00BB44F3">
        <w:rPr>
          <w:rStyle w:val="Rimandonotaapidipagina"/>
          <w:rFonts w:ascii="Garamond" w:hAnsi="Garamond" w:cs="Times New Roman"/>
          <w:sz w:val="24"/>
          <w:szCs w:val="24"/>
        </w:rPr>
        <w:footnoteReference w:id="31"/>
      </w:r>
      <w:r w:rsidRPr="00BB44F3">
        <w:rPr>
          <w:rFonts w:ascii="Garamond" w:hAnsi="Garamond" w:cs="Times New Roman"/>
          <w:sz w:val="24"/>
          <w:szCs w:val="24"/>
        </w:rPr>
        <w:t xml:space="preserve"> sempre nell’ottica</w:t>
      </w:r>
      <w:r w:rsidR="001678E0" w:rsidRPr="00BB44F3">
        <w:rPr>
          <w:rFonts w:ascii="Garamond" w:hAnsi="Garamond" w:cs="Times New Roman"/>
          <w:sz w:val="24"/>
          <w:szCs w:val="24"/>
        </w:rPr>
        <w:t xml:space="preserve"> della netta separazione tra tali funzioni.</w:t>
      </w:r>
      <w:r w:rsidRPr="00BB44F3">
        <w:rPr>
          <w:rFonts w:ascii="Garamond" w:hAnsi="Garamond" w:cs="Times New Roman"/>
          <w:sz w:val="24"/>
          <w:szCs w:val="24"/>
        </w:rPr>
        <w:t xml:space="preserve"> </w:t>
      </w:r>
    </w:p>
    <w:p w14:paraId="36917194" w14:textId="62E61A81" w:rsidR="007F6F1E" w:rsidRPr="00BB44F3" w:rsidRDefault="007F6F1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Infine, gli artt. 7 ed 8 del Decreto sono dedicati alle competenze delle autorità di regolazione rispettivamente nei servizi a rete ed in quelli non a rete.</w:t>
      </w:r>
    </w:p>
    <w:p w14:paraId="46130207" w14:textId="77777777" w:rsidR="00540F12" w:rsidRPr="00BB44F3" w:rsidRDefault="00540F12" w:rsidP="002B0099">
      <w:pPr>
        <w:spacing w:after="0" w:line="240" w:lineRule="auto"/>
        <w:ind w:firstLine="454"/>
        <w:contextualSpacing/>
        <w:jc w:val="both"/>
        <w:rPr>
          <w:rFonts w:ascii="Garamond" w:hAnsi="Garamond" w:cs="Times New Roman"/>
          <w:sz w:val="24"/>
          <w:szCs w:val="24"/>
        </w:rPr>
      </w:pPr>
    </w:p>
    <w:p w14:paraId="7AFBD8AC" w14:textId="5D75B5B4" w:rsidR="00002A66" w:rsidRPr="00BB44F3" w:rsidRDefault="008459AB" w:rsidP="00E832CF">
      <w:pPr>
        <w:pStyle w:val="Titolo2"/>
        <w:jc w:val="both"/>
      </w:pPr>
      <w:bookmarkStart w:id="196" w:name="_Toc209095126"/>
      <w:bookmarkStart w:id="197" w:name="_Toc209095187"/>
      <w:bookmarkStart w:id="198" w:name="_Toc209095662"/>
      <w:bookmarkStart w:id="199" w:name="_Toc209095695"/>
      <w:bookmarkStart w:id="200" w:name="_Toc209095728"/>
      <w:bookmarkStart w:id="201" w:name="_Toc209097842"/>
      <w:bookmarkStart w:id="202" w:name="_Toc209097876"/>
      <w:bookmarkStart w:id="203" w:name="_Toc209104523"/>
      <w:bookmarkStart w:id="204" w:name="_Toc209105888"/>
      <w:bookmarkStart w:id="205" w:name="_Toc209106774"/>
      <w:bookmarkStart w:id="206" w:name="_Toc209107513"/>
      <w:bookmarkStart w:id="207" w:name="_Toc209181413"/>
      <w:bookmarkStart w:id="208" w:name="_Toc209181503"/>
      <w:bookmarkStart w:id="209" w:name="_Toc209181559"/>
      <w:bookmarkStart w:id="210" w:name="_Toc209182710"/>
      <w:bookmarkStart w:id="211" w:name="_Toc209182907"/>
      <w:r w:rsidRPr="00BB44F3">
        <w:t xml:space="preserve">5.4. </w:t>
      </w:r>
      <w:r w:rsidR="00540F12" w:rsidRPr="00BB44F3">
        <w:t>Le tre</w:t>
      </w:r>
      <w:r w:rsidR="00002A66" w:rsidRPr="00BB44F3">
        <w:t xml:space="preserve"> fasi sulle quali è incentrata la disciplina dei </w:t>
      </w:r>
      <w:bookmarkEnd w:id="196"/>
      <w:bookmarkEnd w:id="197"/>
      <w:bookmarkEnd w:id="198"/>
      <w:bookmarkEnd w:id="199"/>
      <w:bookmarkEnd w:id="200"/>
      <w:bookmarkEnd w:id="201"/>
      <w:bookmarkEnd w:id="202"/>
      <w:r w:rsidR="00540F12" w:rsidRPr="00BB44F3">
        <w:t>servizi pubblici locali di rilevanza economica</w:t>
      </w:r>
      <w:bookmarkEnd w:id="203"/>
      <w:bookmarkEnd w:id="204"/>
      <w:bookmarkEnd w:id="205"/>
      <w:bookmarkEnd w:id="206"/>
      <w:bookmarkEnd w:id="207"/>
      <w:bookmarkEnd w:id="208"/>
      <w:bookmarkEnd w:id="209"/>
      <w:bookmarkEnd w:id="210"/>
      <w:bookmarkEnd w:id="211"/>
    </w:p>
    <w:p w14:paraId="55078971" w14:textId="77777777" w:rsidR="00BE6F8C" w:rsidRPr="00BB44F3" w:rsidRDefault="005D2309"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w:t>
      </w:r>
      <w:r w:rsidR="001E4ED1" w:rsidRPr="00BB44F3">
        <w:rPr>
          <w:rFonts w:ascii="Garamond" w:hAnsi="Garamond" w:cs="Times New Roman"/>
          <w:sz w:val="24"/>
          <w:szCs w:val="24"/>
        </w:rPr>
        <w:t xml:space="preserve"> titolo III del</w:t>
      </w:r>
      <w:r w:rsidRPr="00BB44F3">
        <w:rPr>
          <w:rFonts w:ascii="Garamond" w:hAnsi="Garamond" w:cs="Times New Roman"/>
          <w:sz w:val="24"/>
          <w:szCs w:val="24"/>
        </w:rPr>
        <w:t xml:space="preserve">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n. 201/2022 </w:t>
      </w:r>
      <w:r w:rsidR="001E4ED1" w:rsidRPr="00BB44F3">
        <w:rPr>
          <w:rFonts w:ascii="Garamond" w:hAnsi="Garamond" w:cs="Times New Roman"/>
          <w:sz w:val="24"/>
          <w:szCs w:val="24"/>
        </w:rPr>
        <w:t xml:space="preserve">reca poi previsioni di dettaglio con riferimento alle diverse fasi in cui può essere suddivisa la disciplina dedicata a tali servizi. </w:t>
      </w:r>
    </w:p>
    <w:p w14:paraId="44F67315" w14:textId="10279A0C" w:rsidR="00002A66" w:rsidRPr="00BB44F3" w:rsidRDefault="001E4ED1"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Si tratta: a) dell’</w:t>
      </w:r>
      <w:r w:rsidR="00002A66" w:rsidRPr="00BB44F3">
        <w:rPr>
          <w:rFonts w:ascii="Garamond" w:hAnsi="Garamond" w:cs="Times New Roman"/>
          <w:sz w:val="24"/>
          <w:szCs w:val="24"/>
        </w:rPr>
        <w:t>istituzione</w:t>
      </w:r>
      <w:r w:rsidRPr="00BB44F3">
        <w:rPr>
          <w:rFonts w:ascii="Garamond" w:hAnsi="Garamond" w:cs="Times New Roman"/>
          <w:sz w:val="24"/>
          <w:szCs w:val="24"/>
        </w:rPr>
        <w:t xml:space="preserve"> del servizio</w:t>
      </w:r>
      <w:r w:rsidR="00002A66" w:rsidRPr="00BB44F3">
        <w:rPr>
          <w:rFonts w:ascii="Garamond" w:hAnsi="Garamond" w:cs="Times New Roman"/>
          <w:sz w:val="24"/>
          <w:szCs w:val="24"/>
        </w:rPr>
        <w:t xml:space="preserve"> </w:t>
      </w:r>
      <w:r w:rsidRPr="00BB44F3">
        <w:rPr>
          <w:rFonts w:ascii="Garamond" w:hAnsi="Garamond" w:cs="Times New Roman"/>
          <w:sz w:val="24"/>
          <w:szCs w:val="24"/>
        </w:rPr>
        <w:t>(</w:t>
      </w:r>
      <w:r w:rsidR="00146DD9">
        <w:rPr>
          <w:rFonts w:ascii="Garamond" w:hAnsi="Garamond" w:cs="Times New Roman"/>
          <w:sz w:val="24"/>
          <w:szCs w:val="24"/>
        </w:rPr>
        <w:t xml:space="preserve">disciplinata dal </w:t>
      </w:r>
      <w:r w:rsidRPr="00BB44F3">
        <w:rPr>
          <w:rFonts w:ascii="Garamond" w:hAnsi="Garamond" w:cs="Times New Roman"/>
          <w:sz w:val="24"/>
          <w:szCs w:val="24"/>
        </w:rPr>
        <w:t>c</w:t>
      </w:r>
      <w:r w:rsidR="00002A66" w:rsidRPr="00BB44F3">
        <w:rPr>
          <w:rFonts w:ascii="Garamond" w:hAnsi="Garamond" w:cs="Times New Roman"/>
          <w:sz w:val="24"/>
          <w:szCs w:val="24"/>
        </w:rPr>
        <w:t xml:space="preserve">apo I del </w:t>
      </w:r>
      <w:r w:rsidRPr="00BB44F3">
        <w:rPr>
          <w:rFonts w:ascii="Garamond" w:hAnsi="Garamond" w:cs="Times New Roman"/>
          <w:sz w:val="24"/>
          <w:szCs w:val="24"/>
        </w:rPr>
        <w:t>t</w:t>
      </w:r>
      <w:r w:rsidR="00002A66" w:rsidRPr="00BB44F3">
        <w:rPr>
          <w:rFonts w:ascii="Garamond" w:hAnsi="Garamond" w:cs="Times New Roman"/>
          <w:sz w:val="24"/>
          <w:szCs w:val="24"/>
        </w:rPr>
        <w:t>itolo III del D</w:t>
      </w:r>
      <w:r w:rsidRPr="00BB44F3">
        <w:rPr>
          <w:rFonts w:ascii="Garamond" w:hAnsi="Garamond" w:cs="Times New Roman"/>
          <w:sz w:val="24"/>
          <w:szCs w:val="24"/>
        </w:rPr>
        <w:t>ecreto)</w:t>
      </w:r>
      <w:r w:rsidR="00002A66" w:rsidRPr="00BB44F3">
        <w:rPr>
          <w:rFonts w:ascii="Garamond" w:hAnsi="Garamond" w:cs="Times New Roman"/>
          <w:sz w:val="24"/>
          <w:szCs w:val="24"/>
        </w:rPr>
        <w:t>;</w:t>
      </w:r>
      <w:r w:rsidRPr="00BB44F3">
        <w:rPr>
          <w:rFonts w:ascii="Garamond" w:hAnsi="Garamond" w:cs="Times New Roman"/>
          <w:sz w:val="24"/>
          <w:szCs w:val="24"/>
        </w:rPr>
        <w:t xml:space="preserve"> b</w:t>
      </w:r>
      <w:r w:rsidR="00002A66" w:rsidRPr="00BB44F3">
        <w:rPr>
          <w:rFonts w:ascii="Garamond" w:hAnsi="Garamond" w:cs="Times New Roman"/>
          <w:sz w:val="24"/>
          <w:szCs w:val="24"/>
        </w:rPr>
        <w:t xml:space="preserve">) </w:t>
      </w:r>
      <w:r w:rsidRPr="00BB44F3">
        <w:rPr>
          <w:rFonts w:ascii="Garamond" w:hAnsi="Garamond" w:cs="Times New Roman"/>
          <w:sz w:val="24"/>
          <w:szCs w:val="24"/>
        </w:rPr>
        <w:t xml:space="preserve">della scelta tra le </w:t>
      </w:r>
      <w:r w:rsidR="00002A66" w:rsidRPr="00BB44F3">
        <w:rPr>
          <w:rFonts w:ascii="Garamond" w:hAnsi="Garamond" w:cs="Times New Roman"/>
          <w:sz w:val="24"/>
          <w:szCs w:val="24"/>
        </w:rPr>
        <w:t>forme di gestione</w:t>
      </w:r>
      <w:r w:rsidRPr="00BB44F3">
        <w:rPr>
          <w:rFonts w:ascii="Garamond" w:hAnsi="Garamond" w:cs="Times New Roman"/>
          <w:sz w:val="24"/>
          <w:szCs w:val="24"/>
        </w:rPr>
        <w:t xml:space="preserve"> del servizio</w:t>
      </w:r>
      <w:r w:rsidR="00002A66" w:rsidRPr="00BB44F3">
        <w:rPr>
          <w:rFonts w:ascii="Garamond" w:hAnsi="Garamond" w:cs="Times New Roman"/>
          <w:sz w:val="24"/>
          <w:szCs w:val="24"/>
        </w:rPr>
        <w:t xml:space="preserve"> </w:t>
      </w:r>
      <w:r w:rsidRPr="00BB44F3">
        <w:rPr>
          <w:rFonts w:ascii="Garamond" w:hAnsi="Garamond" w:cs="Times New Roman"/>
          <w:sz w:val="24"/>
          <w:szCs w:val="24"/>
        </w:rPr>
        <w:t>(</w:t>
      </w:r>
      <w:r w:rsidR="00146DD9">
        <w:rPr>
          <w:rFonts w:ascii="Garamond" w:hAnsi="Garamond" w:cs="Times New Roman"/>
          <w:sz w:val="24"/>
          <w:szCs w:val="24"/>
        </w:rPr>
        <w:t xml:space="preserve">disciplinata dal </w:t>
      </w:r>
      <w:r w:rsidRPr="00BB44F3">
        <w:rPr>
          <w:rFonts w:ascii="Garamond" w:hAnsi="Garamond" w:cs="Times New Roman"/>
          <w:sz w:val="24"/>
          <w:szCs w:val="24"/>
        </w:rPr>
        <w:t>c</w:t>
      </w:r>
      <w:r w:rsidR="00002A66" w:rsidRPr="00BB44F3">
        <w:rPr>
          <w:rFonts w:ascii="Garamond" w:hAnsi="Garamond" w:cs="Times New Roman"/>
          <w:sz w:val="24"/>
          <w:szCs w:val="24"/>
        </w:rPr>
        <w:t xml:space="preserve">apo II </w:t>
      </w:r>
      <w:r w:rsidR="00146DD9">
        <w:rPr>
          <w:rFonts w:ascii="Garamond" w:hAnsi="Garamond" w:cs="Times New Roman"/>
          <w:sz w:val="24"/>
          <w:szCs w:val="24"/>
        </w:rPr>
        <w:t>di tale titolo</w:t>
      </w:r>
      <w:r w:rsidRPr="00BB44F3">
        <w:rPr>
          <w:rFonts w:ascii="Garamond" w:hAnsi="Garamond" w:cs="Times New Roman"/>
          <w:sz w:val="24"/>
          <w:szCs w:val="24"/>
        </w:rPr>
        <w:t>)</w:t>
      </w:r>
      <w:r w:rsidR="00002A66" w:rsidRPr="00BB44F3">
        <w:rPr>
          <w:rFonts w:ascii="Garamond" w:hAnsi="Garamond" w:cs="Times New Roman"/>
          <w:sz w:val="24"/>
          <w:szCs w:val="24"/>
        </w:rPr>
        <w:t>;</w:t>
      </w:r>
      <w:r w:rsidRPr="00BB44F3">
        <w:rPr>
          <w:rFonts w:ascii="Garamond" w:hAnsi="Garamond" w:cs="Times New Roman"/>
          <w:sz w:val="24"/>
          <w:szCs w:val="24"/>
        </w:rPr>
        <w:t xml:space="preserve"> c) della </w:t>
      </w:r>
      <w:r w:rsidR="00002A66" w:rsidRPr="00BB44F3">
        <w:rPr>
          <w:rFonts w:ascii="Garamond" w:hAnsi="Garamond" w:cs="Times New Roman"/>
          <w:sz w:val="24"/>
          <w:szCs w:val="24"/>
        </w:rPr>
        <w:t xml:space="preserve">regolazione del rapporto di servizio, </w:t>
      </w:r>
      <w:r w:rsidRPr="00BB44F3">
        <w:rPr>
          <w:rFonts w:ascii="Garamond" w:hAnsi="Garamond" w:cs="Times New Roman"/>
          <w:sz w:val="24"/>
          <w:szCs w:val="24"/>
        </w:rPr>
        <w:t xml:space="preserve">della </w:t>
      </w:r>
      <w:r w:rsidR="00002A66" w:rsidRPr="00BB44F3">
        <w:rPr>
          <w:rFonts w:ascii="Garamond" w:hAnsi="Garamond" w:cs="Times New Roman"/>
          <w:sz w:val="24"/>
          <w:szCs w:val="24"/>
        </w:rPr>
        <w:t xml:space="preserve">vigilanza e </w:t>
      </w:r>
      <w:r w:rsidRPr="00BB44F3">
        <w:rPr>
          <w:rFonts w:ascii="Garamond" w:hAnsi="Garamond" w:cs="Times New Roman"/>
          <w:sz w:val="24"/>
          <w:szCs w:val="24"/>
        </w:rPr>
        <w:t xml:space="preserve">della </w:t>
      </w:r>
      <w:r w:rsidR="00002A66" w:rsidRPr="00BB44F3">
        <w:rPr>
          <w:rFonts w:ascii="Garamond" w:hAnsi="Garamond" w:cs="Times New Roman"/>
          <w:sz w:val="24"/>
          <w:szCs w:val="24"/>
        </w:rPr>
        <w:t xml:space="preserve">tutela dell’utenza </w:t>
      </w:r>
      <w:r w:rsidRPr="00BB44F3">
        <w:rPr>
          <w:rFonts w:ascii="Garamond" w:hAnsi="Garamond" w:cs="Times New Roman"/>
          <w:sz w:val="24"/>
          <w:szCs w:val="24"/>
        </w:rPr>
        <w:t>(</w:t>
      </w:r>
      <w:r w:rsidR="00146DD9">
        <w:rPr>
          <w:rFonts w:ascii="Garamond" w:hAnsi="Garamond" w:cs="Times New Roman"/>
          <w:sz w:val="24"/>
          <w:szCs w:val="24"/>
        </w:rPr>
        <w:t xml:space="preserve">disciplinata dal </w:t>
      </w:r>
      <w:r w:rsidRPr="00BB44F3">
        <w:rPr>
          <w:rFonts w:ascii="Garamond" w:hAnsi="Garamond" w:cs="Times New Roman"/>
          <w:sz w:val="24"/>
          <w:szCs w:val="24"/>
        </w:rPr>
        <w:t>c</w:t>
      </w:r>
      <w:r w:rsidR="00002A66" w:rsidRPr="00BB44F3">
        <w:rPr>
          <w:rFonts w:ascii="Garamond" w:hAnsi="Garamond" w:cs="Times New Roman"/>
          <w:sz w:val="24"/>
          <w:szCs w:val="24"/>
        </w:rPr>
        <w:t xml:space="preserve">apo III </w:t>
      </w:r>
      <w:r w:rsidR="00146DD9">
        <w:rPr>
          <w:rFonts w:ascii="Garamond" w:hAnsi="Garamond" w:cs="Times New Roman"/>
          <w:sz w:val="24"/>
          <w:szCs w:val="24"/>
        </w:rPr>
        <w:t>di tale titolo</w:t>
      </w:r>
      <w:r w:rsidRPr="00BB44F3">
        <w:rPr>
          <w:rFonts w:ascii="Garamond" w:hAnsi="Garamond" w:cs="Times New Roman"/>
          <w:sz w:val="24"/>
          <w:szCs w:val="24"/>
        </w:rPr>
        <w:t>)</w:t>
      </w:r>
      <w:r w:rsidR="00540F12" w:rsidRPr="00BB44F3">
        <w:rPr>
          <w:rFonts w:ascii="Garamond" w:hAnsi="Garamond" w:cs="Times New Roman"/>
          <w:sz w:val="24"/>
          <w:szCs w:val="24"/>
        </w:rPr>
        <w:t>.</w:t>
      </w:r>
    </w:p>
    <w:p w14:paraId="26E7B018" w14:textId="77777777" w:rsidR="00540F12" w:rsidRPr="00BB44F3" w:rsidRDefault="00540F12" w:rsidP="002B0099">
      <w:pPr>
        <w:spacing w:after="0" w:line="240" w:lineRule="auto"/>
        <w:ind w:firstLine="454"/>
        <w:contextualSpacing/>
        <w:jc w:val="both"/>
        <w:rPr>
          <w:rFonts w:ascii="Garamond" w:hAnsi="Garamond" w:cs="Times New Roman"/>
          <w:sz w:val="24"/>
          <w:szCs w:val="24"/>
        </w:rPr>
      </w:pPr>
    </w:p>
    <w:p w14:paraId="46C33546" w14:textId="2C38014F" w:rsidR="0088756C" w:rsidRPr="00BB44F3" w:rsidRDefault="008459AB" w:rsidP="002B0099">
      <w:pPr>
        <w:pStyle w:val="Titolo1"/>
        <w:jc w:val="both"/>
        <w:rPr>
          <w:rFonts w:ascii="Garamond" w:hAnsi="Garamond"/>
        </w:rPr>
      </w:pPr>
      <w:bookmarkStart w:id="212" w:name="_Toc209095127"/>
      <w:bookmarkStart w:id="213" w:name="_Toc209095188"/>
      <w:bookmarkStart w:id="214" w:name="_Toc209095663"/>
      <w:bookmarkStart w:id="215" w:name="_Toc209095696"/>
      <w:bookmarkStart w:id="216" w:name="_Toc209095729"/>
      <w:bookmarkStart w:id="217" w:name="_Toc209097843"/>
      <w:bookmarkStart w:id="218" w:name="_Toc209097877"/>
      <w:bookmarkStart w:id="219" w:name="_Toc209104524"/>
      <w:bookmarkStart w:id="220" w:name="_Toc209105889"/>
      <w:bookmarkStart w:id="221" w:name="_Toc209106775"/>
      <w:bookmarkStart w:id="222" w:name="_Toc209107514"/>
      <w:bookmarkStart w:id="223" w:name="_Toc209181414"/>
      <w:bookmarkStart w:id="224" w:name="_Toc209181504"/>
      <w:bookmarkStart w:id="225" w:name="_Toc209181560"/>
      <w:bookmarkStart w:id="226" w:name="_Toc209182711"/>
      <w:bookmarkStart w:id="227" w:name="_Toc209182908"/>
      <w:r w:rsidRPr="00BB44F3">
        <w:rPr>
          <w:rFonts w:ascii="Garamond" w:hAnsi="Garamond"/>
        </w:rPr>
        <w:t>6.</w:t>
      </w:r>
      <w:r w:rsidR="00002A66" w:rsidRPr="00BB44F3">
        <w:rPr>
          <w:rFonts w:ascii="Garamond" w:hAnsi="Garamond"/>
        </w:rPr>
        <w:t xml:space="preserve"> </w:t>
      </w:r>
      <w:r w:rsidR="00002A66" w:rsidRPr="007A5C9A">
        <w:rPr>
          <w:rFonts w:ascii="Garamond" w:hAnsi="Garamond"/>
        </w:rPr>
        <w:t xml:space="preserve">L’istituzione: </w:t>
      </w:r>
      <w:r w:rsidR="00002A66" w:rsidRPr="00BB44F3">
        <w:rPr>
          <w:rFonts w:ascii="Garamond" w:hAnsi="Garamond"/>
        </w:rPr>
        <w:t>il p</w:t>
      </w:r>
      <w:r w:rsidR="00A3173A" w:rsidRPr="00BB44F3">
        <w:rPr>
          <w:rFonts w:ascii="Garamond" w:hAnsi="Garamond"/>
        </w:rPr>
        <w:t>erimetro del servizio pubblico locale</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71D2907C" w14:textId="434A380E" w:rsidR="00A3173A" w:rsidRPr="00BB44F3" w:rsidRDefault="005E293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Iniziando dall’istituzione del servizio l</w:t>
      </w:r>
      <w:r w:rsidR="00A3173A" w:rsidRPr="00BB44F3">
        <w:rPr>
          <w:rFonts w:ascii="Garamond" w:hAnsi="Garamond" w:cs="Times New Roman"/>
          <w:sz w:val="24"/>
          <w:szCs w:val="24"/>
        </w:rPr>
        <w:t xml:space="preserve">’art. 10 del D. </w:t>
      </w:r>
      <w:proofErr w:type="spellStart"/>
      <w:r w:rsidR="00A3173A" w:rsidRPr="00BB44F3">
        <w:rPr>
          <w:rFonts w:ascii="Garamond" w:hAnsi="Garamond" w:cs="Times New Roman"/>
          <w:sz w:val="24"/>
          <w:szCs w:val="24"/>
        </w:rPr>
        <w:t>Lgs</w:t>
      </w:r>
      <w:proofErr w:type="spellEnd"/>
      <w:r w:rsidR="00A3173A" w:rsidRPr="00BB44F3">
        <w:rPr>
          <w:rFonts w:ascii="Garamond" w:hAnsi="Garamond" w:cs="Times New Roman"/>
          <w:sz w:val="24"/>
          <w:szCs w:val="24"/>
        </w:rPr>
        <w:t xml:space="preserve">. </w:t>
      </w:r>
      <w:r w:rsidRPr="00BB44F3">
        <w:rPr>
          <w:rFonts w:ascii="Garamond" w:hAnsi="Garamond" w:cs="Times New Roman"/>
          <w:sz w:val="24"/>
          <w:szCs w:val="24"/>
        </w:rPr>
        <w:t xml:space="preserve">n. </w:t>
      </w:r>
      <w:r w:rsidR="00A3173A" w:rsidRPr="00BB44F3">
        <w:rPr>
          <w:rFonts w:ascii="Garamond" w:hAnsi="Garamond" w:cs="Times New Roman"/>
          <w:sz w:val="24"/>
          <w:szCs w:val="24"/>
        </w:rPr>
        <w:t>201/2022 radica una prima importante distinzione all’interno dei servizi pubblici locali di rilevanza economica tra servizi direttamente istituiti dalla legge e servizi diversi da quelli previsti dalla legge e che gli enti locali possono istituire laddove li ritengano necessari “</w:t>
      </w:r>
      <w:r w:rsidR="00A3173A" w:rsidRPr="00BB44F3">
        <w:rPr>
          <w:rFonts w:ascii="Garamond" w:hAnsi="Garamond" w:cs="Times New Roman"/>
          <w:i/>
          <w:sz w:val="24"/>
          <w:szCs w:val="24"/>
        </w:rPr>
        <w:t>per assicurare la soddisfazione dei bisogni delle comunità locali</w:t>
      </w:r>
      <w:r w:rsidR="00A3173A" w:rsidRPr="00BB44F3">
        <w:rPr>
          <w:rFonts w:ascii="Garamond" w:hAnsi="Garamond" w:cs="Times New Roman"/>
          <w:sz w:val="24"/>
          <w:szCs w:val="24"/>
        </w:rPr>
        <w:t>”.</w:t>
      </w:r>
    </w:p>
    <w:p w14:paraId="7D6ED983" w14:textId="00463806" w:rsidR="00612768" w:rsidRDefault="0033252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 relazione ai secondi</w:t>
      </w:r>
      <w:r w:rsidR="00C6464C" w:rsidRPr="00BB44F3">
        <w:rPr>
          <w:rFonts w:ascii="Garamond" w:hAnsi="Garamond" w:cs="Times New Roman"/>
          <w:sz w:val="24"/>
          <w:szCs w:val="24"/>
        </w:rPr>
        <w:t>, vale a dire i servizi pubblici locali non previsti dalla legge ed istituiti per scelta dell’ente locale,</w:t>
      </w:r>
      <w:r w:rsidRPr="00BB44F3">
        <w:rPr>
          <w:rFonts w:ascii="Garamond" w:hAnsi="Garamond" w:cs="Times New Roman"/>
          <w:sz w:val="24"/>
          <w:szCs w:val="24"/>
        </w:rPr>
        <w:t xml:space="preserve"> il comma 4 dell’art. 10</w:t>
      </w:r>
      <w:r w:rsidR="005E2935" w:rsidRPr="00BB44F3">
        <w:rPr>
          <w:rFonts w:ascii="Garamond" w:hAnsi="Garamond" w:cs="Times New Roman"/>
          <w:sz w:val="24"/>
          <w:szCs w:val="24"/>
        </w:rPr>
        <w:t xml:space="preserve"> del Decreto</w:t>
      </w:r>
      <w:r w:rsidRPr="00BB44F3">
        <w:rPr>
          <w:rFonts w:ascii="Garamond" w:hAnsi="Garamond" w:cs="Times New Roman"/>
          <w:sz w:val="24"/>
          <w:szCs w:val="24"/>
        </w:rPr>
        <w:t xml:space="preserve"> </w:t>
      </w:r>
      <w:r w:rsidR="00C6464C" w:rsidRPr="00BB44F3">
        <w:rPr>
          <w:rFonts w:ascii="Garamond" w:hAnsi="Garamond" w:cs="Times New Roman"/>
          <w:sz w:val="24"/>
          <w:szCs w:val="24"/>
        </w:rPr>
        <w:t xml:space="preserve">fissa dei chiari limiti alla discrezionalità dell’ente locale sul punto, </w:t>
      </w:r>
      <w:r w:rsidRPr="00BB44F3">
        <w:rPr>
          <w:rFonts w:ascii="Garamond" w:hAnsi="Garamond" w:cs="Times New Roman"/>
          <w:sz w:val="24"/>
          <w:szCs w:val="24"/>
        </w:rPr>
        <w:t>procedimentalizza</w:t>
      </w:r>
      <w:r w:rsidR="005E2935" w:rsidRPr="00BB44F3">
        <w:rPr>
          <w:rFonts w:ascii="Garamond" w:hAnsi="Garamond" w:cs="Times New Roman"/>
          <w:sz w:val="24"/>
          <w:szCs w:val="24"/>
        </w:rPr>
        <w:t>ndo</w:t>
      </w:r>
      <w:r w:rsidRPr="00BB44F3">
        <w:rPr>
          <w:rFonts w:ascii="Garamond" w:hAnsi="Garamond" w:cs="Times New Roman"/>
          <w:sz w:val="24"/>
          <w:szCs w:val="24"/>
        </w:rPr>
        <w:t xml:space="preserve"> l’istituzione degli stessi</w:t>
      </w:r>
      <w:r w:rsidR="00C913E5" w:rsidRPr="00BB44F3">
        <w:rPr>
          <w:rFonts w:ascii="Garamond" w:hAnsi="Garamond" w:cs="Times New Roman"/>
          <w:sz w:val="24"/>
          <w:szCs w:val="24"/>
        </w:rPr>
        <w:t xml:space="preserve"> e richiede</w:t>
      </w:r>
      <w:r w:rsidR="005E2935" w:rsidRPr="00BB44F3">
        <w:rPr>
          <w:rFonts w:ascii="Garamond" w:hAnsi="Garamond" w:cs="Times New Roman"/>
          <w:sz w:val="24"/>
          <w:szCs w:val="24"/>
        </w:rPr>
        <w:t>ndo</w:t>
      </w:r>
      <w:r w:rsidR="00C913E5" w:rsidRPr="00BB44F3">
        <w:rPr>
          <w:rFonts w:ascii="Garamond" w:hAnsi="Garamond" w:cs="Times New Roman"/>
          <w:sz w:val="24"/>
          <w:szCs w:val="24"/>
        </w:rPr>
        <w:t xml:space="preserve"> lo svolgimento di approfondita istruttoria (con riferimento ad una pluralità di profili)</w:t>
      </w:r>
      <w:r w:rsidR="00612768" w:rsidRPr="00BB44F3">
        <w:rPr>
          <w:rFonts w:ascii="Garamond" w:hAnsi="Garamond" w:cs="Times New Roman"/>
          <w:sz w:val="24"/>
          <w:szCs w:val="24"/>
        </w:rPr>
        <w:t xml:space="preserve">. </w:t>
      </w:r>
    </w:p>
    <w:p w14:paraId="20E00092" w14:textId="167D1636" w:rsidR="007A5C9A" w:rsidRPr="00BB44F3" w:rsidRDefault="007A5C9A"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A proposito della fase dell’istituzione del servizio la dottrina ha evidenziato come prima del D. </w:t>
      </w:r>
      <w:proofErr w:type="spellStart"/>
      <w:r>
        <w:rPr>
          <w:rFonts w:ascii="Garamond" w:hAnsi="Garamond" w:cs="Times New Roman"/>
          <w:sz w:val="24"/>
          <w:szCs w:val="24"/>
        </w:rPr>
        <w:t>Lgs</w:t>
      </w:r>
      <w:proofErr w:type="spellEnd"/>
      <w:r>
        <w:rPr>
          <w:rFonts w:ascii="Garamond" w:hAnsi="Garamond" w:cs="Times New Roman"/>
          <w:sz w:val="24"/>
          <w:szCs w:val="24"/>
        </w:rPr>
        <w:t>. n. 201/2022 la disciplina dei servizi pubblici locali</w:t>
      </w:r>
      <w:r w:rsidR="00397CB5">
        <w:rPr>
          <w:rFonts w:ascii="Garamond" w:hAnsi="Garamond" w:cs="Times New Roman"/>
          <w:sz w:val="24"/>
          <w:szCs w:val="24"/>
        </w:rPr>
        <w:t xml:space="preserve"> nell’ordinamento interno</w:t>
      </w:r>
      <w:r>
        <w:rPr>
          <w:rFonts w:ascii="Garamond" w:hAnsi="Garamond" w:cs="Times New Roman"/>
          <w:sz w:val="24"/>
          <w:szCs w:val="24"/>
        </w:rPr>
        <w:t xml:space="preserve"> si </w:t>
      </w:r>
      <w:r w:rsidR="00146DD9">
        <w:rPr>
          <w:rFonts w:ascii="Garamond" w:hAnsi="Garamond" w:cs="Times New Roman"/>
          <w:sz w:val="24"/>
          <w:szCs w:val="24"/>
        </w:rPr>
        <w:t>fosse in buona parte</w:t>
      </w:r>
      <w:r>
        <w:rPr>
          <w:rFonts w:ascii="Garamond" w:hAnsi="Garamond" w:cs="Times New Roman"/>
          <w:sz w:val="24"/>
          <w:szCs w:val="24"/>
        </w:rPr>
        <w:t xml:space="preserve"> concentrata sulla scelta tra le diverse forme di gestione del servizio, lasciando un vuoto normativo con rifer</w:t>
      </w:r>
      <w:r w:rsidR="007275A5">
        <w:rPr>
          <w:rFonts w:ascii="Garamond" w:hAnsi="Garamond" w:cs="Times New Roman"/>
          <w:sz w:val="24"/>
          <w:szCs w:val="24"/>
        </w:rPr>
        <w:t>i</w:t>
      </w:r>
      <w:r>
        <w:rPr>
          <w:rFonts w:ascii="Garamond" w:hAnsi="Garamond" w:cs="Times New Roman"/>
          <w:sz w:val="24"/>
          <w:szCs w:val="24"/>
        </w:rPr>
        <w:t>mento alle condizioni necessarie ai fini dell’istituzione di servizi diversi da quelli imposti dalla legge</w:t>
      </w:r>
      <w:r>
        <w:rPr>
          <w:rStyle w:val="Rimandonotaapidipagina"/>
          <w:rFonts w:ascii="Garamond" w:hAnsi="Garamond" w:cs="Times New Roman"/>
          <w:sz w:val="24"/>
          <w:szCs w:val="24"/>
        </w:rPr>
        <w:footnoteReference w:id="32"/>
      </w:r>
      <w:r>
        <w:rPr>
          <w:rFonts w:ascii="Garamond" w:hAnsi="Garamond" w:cs="Times New Roman"/>
          <w:sz w:val="24"/>
          <w:szCs w:val="24"/>
        </w:rPr>
        <w:t>.</w:t>
      </w:r>
    </w:p>
    <w:p w14:paraId="21CA1E1E" w14:textId="1AA7CD2F" w:rsidR="00612768" w:rsidRPr="00BB44F3" w:rsidRDefault="007A5C9A"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Il D. </w:t>
      </w:r>
      <w:proofErr w:type="spellStart"/>
      <w:r>
        <w:rPr>
          <w:rFonts w:ascii="Garamond" w:hAnsi="Garamond" w:cs="Times New Roman"/>
          <w:sz w:val="24"/>
          <w:szCs w:val="24"/>
        </w:rPr>
        <w:t>Lgs</w:t>
      </w:r>
      <w:proofErr w:type="spellEnd"/>
      <w:r>
        <w:rPr>
          <w:rFonts w:ascii="Garamond" w:hAnsi="Garamond" w:cs="Times New Roman"/>
          <w:sz w:val="24"/>
          <w:szCs w:val="24"/>
        </w:rPr>
        <w:t xml:space="preserve">. n. 201/2022 ha quindi regolamentato </w:t>
      </w:r>
      <w:r w:rsidR="005D0D65">
        <w:rPr>
          <w:rFonts w:ascii="Garamond" w:hAnsi="Garamond" w:cs="Times New Roman"/>
          <w:sz w:val="24"/>
          <w:szCs w:val="24"/>
        </w:rPr>
        <w:t>l’</w:t>
      </w:r>
      <w:r>
        <w:rPr>
          <w:rFonts w:ascii="Garamond" w:hAnsi="Garamond" w:cs="Times New Roman"/>
          <w:sz w:val="24"/>
          <w:szCs w:val="24"/>
        </w:rPr>
        <w:t xml:space="preserve">aspetto </w:t>
      </w:r>
      <w:r w:rsidR="005D0D65">
        <w:rPr>
          <w:rFonts w:ascii="Garamond" w:hAnsi="Garamond" w:cs="Times New Roman"/>
          <w:sz w:val="24"/>
          <w:szCs w:val="24"/>
        </w:rPr>
        <w:t xml:space="preserve">relativo alla perimetrazione del servizio da parte dell’ente locale </w:t>
      </w:r>
      <w:r>
        <w:rPr>
          <w:rFonts w:ascii="Garamond" w:hAnsi="Garamond" w:cs="Times New Roman"/>
          <w:sz w:val="24"/>
          <w:szCs w:val="24"/>
        </w:rPr>
        <w:t>e l</w:t>
      </w:r>
      <w:r w:rsidR="00612768" w:rsidRPr="00BB44F3">
        <w:rPr>
          <w:rFonts w:ascii="Garamond" w:hAnsi="Garamond" w:cs="Times New Roman"/>
          <w:sz w:val="24"/>
          <w:szCs w:val="24"/>
        </w:rPr>
        <w:t>’ottica seguita dal</w:t>
      </w:r>
      <w:r>
        <w:rPr>
          <w:rFonts w:ascii="Garamond" w:hAnsi="Garamond" w:cs="Times New Roman"/>
          <w:sz w:val="24"/>
          <w:szCs w:val="24"/>
        </w:rPr>
        <w:t xml:space="preserve">lo stesso </w:t>
      </w:r>
      <w:r w:rsidR="00612768" w:rsidRPr="00BB44F3">
        <w:rPr>
          <w:rFonts w:ascii="Garamond" w:hAnsi="Garamond" w:cs="Times New Roman"/>
          <w:sz w:val="24"/>
          <w:szCs w:val="24"/>
        </w:rPr>
        <w:t>è stata indicata in dottrina come quella della preferenza verso forme di incidenza minore sul mercato</w:t>
      </w:r>
      <w:r w:rsidR="00DE65AF" w:rsidRPr="00BB44F3">
        <w:rPr>
          <w:rStyle w:val="Rimandonotaapidipagina"/>
          <w:rFonts w:ascii="Garamond" w:hAnsi="Garamond" w:cs="Times New Roman"/>
          <w:sz w:val="24"/>
          <w:szCs w:val="24"/>
        </w:rPr>
        <w:footnoteReference w:id="33"/>
      </w:r>
      <w:r w:rsidR="00612768" w:rsidRPr="00BB44F3">
        <w:rPr>
          <w:rFonts w:ascii="Garamond" w:hAnsi="Garamond" w:cs="Times New Roman"/>
          <w:sz w:val="24"/>
          <w:szCs w:val="24"/>
        </w:rPr>
        <w:t>.</w:t>
      </w:r>
    </w:p>
    <w:p w14:paraId="108572B0" w14:textId="5B9ED5A3" w:rsidR="00612768" w:rsidRPr="00BB44F3" w:rsidRDefault="00612768"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 particolare:</w:t>
      </w:r>
    </w:p>
    <w:p w14:paraId="79F6E280" w14:textId="27160659" w:rsidR="0033252A" w:rsidRPr="00BB44F3" w:rsidRDefault="0033252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 xml:space="preserve">- </w:t>
      </w:r>
      <w:r w:rsidR="005D0D65">
        <w:rPr>
          <w:rFonts w:ascii="Garamond" w:hAnsi="Garamond" w:cs="Times New Roman"/>
          <w:sz w:val="24"/>
          <w:szCs w:val="24"/>
        </w:rPr>
        <w:t xml:space="preserve">nell’ottica del necessario ossequio ai principi di concorrenza e sussidiarietà orizzontale </w:t>
      </w:r>
      <w:r w:rsidR="00C6464C" w:rsidRPr="00BB44F3">
        <w:rPr>
          <w:rFonts w:ascii="Garamond" w:hAnsi="Garamond" w:cs="Times New Roman"/>
          <w:sz w:val="24"/>
          <w:szCs w:val="24"/>
        </w:rPr>
        <w:t xml:space="preserve">va posta in essere apposita </w:t>
      </w:r>
      <w:r w:rsidRPr="00BB44F3">
        <w:rPr>
          <w:rFonts w:ascii="Garamond" w:hAnsi="Garamond" w:cs="Times New Roman"/>
          <w:sz w:val="24"/>
          <w:szCs w:val="24"/>
        </w:rPr>
        <w:t>istruttoria per verificare se la prestazione dei servizi da parte delle imprese liberamente operanti nel mercato o da parte di cittadini, singoli e associati, sia già di per sé idonea a garantire il soddisfacimento dei bisogni delle comunità locali; tale istruttoria avviene mediante il confronto tra le diverse soluzioni possibili;</w:t>
      </w:r>
    </w:p>
    <w:p w14:paraId="6EFA80B9" w14:textId="20748985" w:rsidR="0033252A" w:rsidRPr="00BB44F3" w:rsidRDefault="0033252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se all’esito dell’istruttoria non risulta necessaria l’istituzione del servizio pubblico l’ente locale può comunque promuovere iniziative per assicurare un adeguato soddisfacimento dei bisogni degli utenti, ferma restando la libertà di impresa degli operatori; tali iniziative possono includere il riconoscimento agli utenti di vantaggi economici, titoli o altre agevolazioni ai fini della fruizione del servizio</w:t>
      </w:r>
      <w:r w:rsidR="00AB00CD" w:rsidRPr="00BB44F3">
        <w:rPr>
          <w:rFonts w:ascii="Garamond" w:hAnsi="Garamond" w:cs="Times New Roman"/>
          <w:sz w:val="24"/>
          <w:szCs w:val="24"/>
        </w:rPr>
        <w:t xml:space="preserve"> (v. art. 11 del Decreto)</w:t>
      </w:r>
      <w:r w:rsidR="00723C4E">
        <w:rPr>
          <w:rStyle w:val="Rimandonotaapidipagina"/>
          <w:rFonts w:ascii="Garamond" w:hAnsi="Garamond" w:cs="Times New Roman"/>
          <w:sz w:val="24"/>
          <w:szCs w:val="24"/>
        </w:rPr>
        <w:footnoteReference w:id="34"/>
      </w:r>
      <w:r w:rsidRPr="00BB44F3">
        <w:rPr>
          <w:rFonts w:ascii="Garamond" w:hAnsi="Garamond" w:cs="Times New Roman"/>
          <w:sz w:val="24"/>
          <w:szCs w:val="24"/>
        </w:rPr>
        <w:t>;</w:t>
      </w:r>
    </w:p>
    <w:p w14:paraId="662BD2AC" w14:textId="67152B04" w:rsidR="0033252A" w:rsidRPr="00BB44F3" w:rsidRDefault="0033252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soltanto se all’esito dell’istruttoria la prestazione dei servizi da parte delle imprese e dei cittadini risulta inidonea a garantire il soddisfacimento di tali bisogni può intervenire la deliberazione di istituzione del servizio;</w:t>
      </w:r>
    </w:p>
    <w:p w14:paraId="13C6F642" w14:textId="29EBA589" w:rsidR="00943320" w:rsidRPr="00BB44F3" w:rsidRDefault="0094332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prima dell’adozione della delibera di istituzione del servizio l’ente deve porre in essere istruttoria supplementare volta a verificare se la prestazione del servizio possa</w:t>
      </w:r>
      <w:r w:rsidR="00146DD9">
        <w:rPr>
          <w:rFonts w:ascii="Garamond" w:hAnsi="Garamond" w:cs="Times New Roman"/>
          <w:sz w:val="24"/>
          <w:szCs w:val="24"/>
        </w:rPr>
        <w:t xml:space="preserve"> essere assicurata attraverso l’</w:t>
      </w:r>
      <w:r w:rsidRPr="00BB44F3">
        <w:rPr>
          <w:rFonts w:ascii="Garamond" w:hAnsi="Garamond" w:cs="Times New Roman"/>
          <w:sz w:val="24"/>
          <w:szCs w:val="24"/>
        </w:rPr>
        <w:t>imposizione di obblighi di servizio pubblico a carico di uno o più operatori, senza restrizioni del numero di soggetti abilitati a operare sul mercato (v. art. 12 del Decreto)</w:t>
      </w:r>
      <w:r w:rsidR="005D0D65">
        <w:rPr>
          <w:rFonts w:ascii="Garamond" w:hAnsi="Garamond" w:cs="Times New Roman"/>
          <w:sz w:val="24"/>
          <w:szCs w:val="24"/>
        </w:rPr>
        <w:t xml:space="preserve"> e, quindi, senza imporre restrizioni all’accesso al mercato</w:t>
      </w:r>
      <w:r w:rsidR="00723C4E">
        <w:rPr>
          <w:rFonts w:ascii="Garamond" w:hAnsi="Garamond" w:cs="Times New Roman"/>
          <w:sz w:val="24"/>
          <w:szCs w:val="24"/>
        </w:rPr>
        <w:t xml:space="preserve"> e nell’ottica della concorrenza nel mercato</w:t>
      </w:r>
      <w:r w:rsidRPr="00BB44F3">
        <w:rPr>
          <w:rFonts w:ascii="Garamond" w:hAnsi="Garamond" w:cs="Times New Roman"/>
          <w:sz w:val="24"/>
          <w:szCs w:val="24"/>
        </w:rPr>
        <w:t>;</w:t>
      </w:r>
    </w:p>
    <w:p w14:paraId="4320FD52" w14:textId="770E8A78" w:rsidR="003E1283" w:rsidRPr="00BB44F3" w:rsidRDefault="003E128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la delibera può contemplare l’attribuzione di diritti speciali o esclusivi soltanto se tale attribuzione sia indispensabile all'adempimento della funzione affidata al gestore del servizio pubblico locale di rilevanza economica, in assenza di misure meno rest</w:t>
      </w:r>
      <w:r w:rsidR="00146DD9">
        <w:rPr>
          <w:rFonts w:ascii="Garamond" w:hAnsi="Garamond" w:cs="Times New Roman"/>
          <w:sz w:val="24"/>
          <w:szCs w:val="24"/>
        </w:rPr>
        <w:t>rittive della libertà d’</w:t>
      </w:r>
      <w:r w:rsidRPr="00BB44F3">
        <w:rPr>
          <w:rFonts w:ascii="Garamond" w:hAnsi="Garamond" w:cs="Times New Roman"/>
          <w:sz w:val="24"/>
          <w:szCs w:val="24"/>
        </w:rPr>
        <w:t>impresa e sulla base di un'adeguata analisi economica; è quindi necessaria</w:t>
      </w:r>
      <w:r w:rsidR="00C8069A" w:rsidRPr="00BB44F3">
        <w:rPr>
          <w:rFonts w:ascii="Garamond" w:hAnsi="Garamond" w:cs="Times New Roman"/>
          <w:sz w:val="24"/>
          <w:szCs w:val="24"/>
        </w:rPr>
        <w:t xml:space="preserve"> apposita istruttoria sul punto.</w:t>
      </w:r>
    </w:p>
    <w:p w14:paraId="0188C6FC" w14:textId="776F3FAC" w:rsidR="00943320" w:rsidRPr="00BB44F3" w:rsidRDefault="00C8069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w:t>
      </w:r>
      <w:r w:rsidR="00943320" w:rsidRPr="00BB44F3">
        <w:rPr>
          <w:rFonts w:ascii="Garamond" w:hAnsi="Garamond" w:cs="Times New Roman"/>
          <w:sz w:val="24"/>
          <w:szCs w:val="24"/>
        </w:rPr>
        <w:t>a deliberazione di istituzione del servizio deve essere motivata dando conto: a) degli esiti dell’istruttoria (v. comma 5 dell’art. 10 del Decreto); b) dei motivi per i quali la prestazione del servizio può essere o non può</w:t>
      </w:r>
      <w:r w:rsidR="00495032">
        <w:rPr>
          <w:rFonts w:ascii="Garamond" w:hAnsi="Garamond" w:cs="Times New Roman"/>
          <w:sz w:val="24"/>
          <w:szCs w:val="24"/>
        </w:rPr>
        <w:t xml:space="preserve"> essere assicurata attraverso l’</w:t>
      </w:r>
      <w:r w:rsidR="00943320" w:rsidRPr="00BB44F3">
        <w:rPr>
          <w:rFonts w:ascii="Garamond" w:hAnsi="Garamond" w:cs="Times New Roman"/>
          <w:sz w:val="24"/>
          <w:szCs w:val="24"/>
        </w:rPr>
        <w:t xml:space="preserve">imposizione di obblighi di servizio pubblico; c) nel caso in cui la delibera imponga obblighi di servizio pubblico deve dare conto delle eventuali compensazioni economiche; </w:t>
      </w:r>
      <w:r w:rsidR="003E1283" w:rsidRPr="00BB44F3">
        <w:rPr>
          <w:rFonts w:ascii="Garamond" w:hAnsi="Garamond" w:cs="Times New Roman"/>
          <w:sz w:val="24"/>
          <w:szCs w:val="24"/>
        </w:rPr>
        <w:t>d) nel caso in cui la delibera preveda l’attribuzione di diritti speciali ed esclusivi dell’analisi e della valutazione circa la necessità di attribui</w:t>
      </w:r>
      <w:r w:rsidRPr="00BB44F3">
        <w:rPr>
          <w:rFonts w:ascii="Garamond" w:hAnsi="Garamond" w:cs="Times New Roman"/>
          <w:sz w:val="24"/>
          <w:szCs w:val="24"/>
        </w:rPr>
        <w:t>re diritti speciali o esclusivi.</w:t>
      </w:r>
    </w:p>
    <w:p w14:paraId="1F9C7C03" w14:textId="107886C2" w:rsidR="00943320" w:rsidRPr="00BB44F3" w:rsidRDefault="00C8069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w:t>
      </w:r>
      <w:r w:rsidR="00943320" w:rsidRPr="00BB44F3">
        <w:rPr>
          <w:rFonts w:ascii="Garamond" w:hAnsi="Garamond" w:cs="Times New Roman"/>
          <w:sz w:val="24"/>
          <w:szCs w:val="24"/>
        </w:rPr>
        <w:t>rima della sua adozione tale delibera può essere sottoposta a consultazione pubblica (v. comma 5 dell’art. 10 del Decreto)</w:t>
      </w:r>
      <w:r w:rsidR="003E1283" w:rsidRPr="00BB44F3">
        <w:rPr>
          <w:rFonts w:ascii="Garamond" w:hAnsi="Garamond" w:cs="Times New Roman"/>
          <w:sz w:val="24"/>
          <w:szCs w:val="24"/>
        </w:rPr>
        <w:t>.</w:t>
      </w:r>
    </w:p>
    <w:p w14:paraId="5B0011B4" w14:textId="01EA9084" w:rsidR="00C6464C" w:rsidRPr="00BB44F3" w:rsidRDefault="00D713E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U</w:t>
      </w:r>
      <w:r w:rsidR="00C6464C" w:rsidRPr="00BB44F3">
        <w:rPr>
          <w:rFonts w:ascii="Garamond" w:hAnsi="Garamond" w:cs="Times New Roman"/>
          <w:sz w:val="24"/>
          <w:szCs w:val="24"/>
        </w:rPr>
        <w:t xml:space="preserve">no dei quesiti posti da tale disciplina è se la delibera suddetta possa imporre obblighi di servizio pubblico utilizzando come base giuridica del relativo potere i soli artt. 12 e 13 del Decreto oppure se tali disposizioni vadano interpretate come mero richiamo ad altre norme contenute nell’ordinamento, al fine di evitare </w:t>
      </w:r>
      <w:r w:rsidR="00E75107" w:rsidRPr="00BB44F3">
        <w:rPr>
          <w:rFonts w:ascii="Garamond" w:hAnsi="Garamond" w:cs="Times New Roman"/>
          <w:sz w:val="24"/>
          <w:szCs w:val="24"/>
        </w:rPr>
        <w:t>interpretazioni in contrasto con il principio di legalità in senso sostanziale</w:t>
      </w:r>
      <w:r w:rsidR="00C6464C" w:rsidRPr="00BB44F3">
        <w:rPr>
          <w:rFonts w:ascii="Garamond" w:hAnsi="Garamond" w:cs="Times New Roman"/>
          <w:sz w:val="24"/>
          <w:szCs w:val="24"/>
        </w:rPr>
        <w:t>.</w:t>
      </w:r>
    </w:p>
    <w:p w14:paraId="04E1E5D7" w14:textId="51186470" w:rsidR="00612768" w:rsidRDefault="00612768"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 effetti, come sottolineato da certa dottrina</w:t>
      </w:r>
      <w:r w:rsidR="00495032">
        <w:rPr>
          <w:rFonts w:ascii="Garamond" w:hAnsi="Garamond" w:cs="Times New Roman"/>
          <w:sz w:val="24"/>
          <w:szCs w:val="24"/>
        </w:rPr>
        <w:t>,</w:t>
      </w:r>
      <w:r w:rsidRPr="00BB44F3">
        <w:rPr>
          <w:rFonts w:ascii="Garamond" w:hAnsi="Garamond" w:cs="Times New Roman"/>
          <w:sz w:val="24"/>
          <w:szCs w:val="24"/>
        </w:rPr>
        <w:t xml:space="preserve"> sembrano mancare nelle suddette disposizioni prescrizioni relative ai </w:t>
      </w:r>
      <w:r w:rsidR="00495032">
        <w:rPr>
          <w:rFonts w:ascii="Garamond" w:hAnsi="Garamond" w:cs="Times New Roman"/>
          <w:sz w:val="24"/>
          <w:szCs w:val="24"/>
        </w:rPr>
        <w:t xml:space="preserve">precisi </w:t>
      </w:r>
      <w:r w:rsidRPr="00BB44F3">
        <w:rPr>
          <w:rFonts w:ascii="Garamond" w:hAnsi="Garamond" w:cs="Times New Roman"/>
          <w:sz w:val="24"/>
          <w:szCs w:val="24"/>
        </w:rPr>
        <w:t>contenuti degli obblighi di servizio suscettibili di imposizione</w:t>
      </w:r>
      <w:r w:rsidR="00D713E2" w:rsidRPr="00BB44F3">
        <w:rPr>
          <w:rStyle w:val="Rimandonotaapidipagina"/>
          <w:rFonts w:ascii="Garamond" w:hAnsi="Garamond" w:cs="Times New Roman"/>
          <w:sz w:val="24"/>
          <w:szCs w:val="24"/>
        </w:rPr>
        <w:footnoteReference w:id="35"/>
      </w:r>
      <w:r w:rsidRPr="00BB44F3">
        <w:rPr>
          <w:rFonts w:ascii="Garamond" w:hAnsi="Garamond" w:cs="Times New Roman"/>
          <w:sz w:val="24"/>
          <w:szCs w:val="24"/>
        </w:rPr>
        <w:t xml:space="preserve">. </w:t>
      </w:r>
    </w:p>
    <w:p w14:paraId="692FEEC2" w14:textId="7952A9CA" w:rsidR="008C46C5" w:rsidRPr="00BB44F3" w:rsidRDefault="008C46C5"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Le prescrizioni in materia di istituzione del servizio e gli obblighi procedimentali e motivazionali imposti agli enti locali sono tali da permettere</w:t>
      </w:r>
      <w:r w:rsidRPr="008C46C5">
        <w:rPr>
          <w:rFonts w:ascii="Garamond" w:hAnsi="Garamond" w:cs="Times New Roman"/>
          <w:sz w:val="24"/>
          <w:szCs w:val="24"/>
        </w:rPr>
        <w:t xml:space="preserve"> al giudice amministrativo e alle autorità amministrative indipendenti di operare un controllo,</w:t>
      </w:r>
      <w:r>
        <w:rPr>
          <w:rFonts w:ascii="Garamond" w:hAnsi="Garamond" w:cs="Times New Roman"/>
          <w:sz w:val="24"/>
          <w:szCs w:val="24"/>
        </w:rPr>
        <w:t xml:space="preserve"> che sia pur nel rispetto della discrezionalità dell’ente locale, potrà andare a verificare in modo</w:t>
      </w:r>
      <w:r w:rsidRPr="008C46C5">
        <w:rPr>
          <w:rFonts w:ascii="Garamond" w:hAnsi="Garamond" w:cs="Times New Roman"/>
          <w:sz w:val="24"/>
          <w:szCs w:val="24"/>
        </w:rPr>
        <w:t xml:space="preserve"> più pervasivo rispetto al passato</w:t>
      </w:r>
      <w:r>
        <w:rPr>
          <w:rFonts w:ascii="Garamond" w:hAnsi="Garamond" w:cs="Times New Roman"/>
          <w:sz w:val="24"/>
          <w:szCs w:val="24"/>
        </w:rPr>
        <w:t xml:space="preserve"> la sussistenza dei presupposti previsti dal D. </w:t>
      </w:r>
      <w:proofErr w:type="spellStart"/>
      <w:r>
        <w:rPr>
          <w:rFonts w:ascii="Garamond" w:hAnsi="Garamond" w:cs="Times New Roman"/>
          <w:sz w:val="24"/>
          <w:szCs w:val="24"/>
        </w:rPr>
        <w:t>Lgs</w:t>
      </w:r>
      <w:proofErr w:type="spellEnd"/>
      <w:r>
        <w:rPr>
          <w:rFonts w:ascii="Garamond" w:hAnsi="Garamond" w:cs="Times New Roman"/>
          <w:sz w:val="24"/>
          <w:szCs w:val="24"/>
        </w:rPr>
        <w:t>. n. 201/2022</w:t>
      </w:r>
      <w:r>
        <w:rPr>
          <w:rStyle w:val="Rimandonotaapidipagina"/>
          <w:rFonts w:ascii="Garamond" w:hAnsi="Garamond" w:cs="Times New Roman"/>
          <w:sz w:val="24"/>
          <w:szCs w:val="24"/>
        </w:rPr>
        <w:footnoteReference w:id="36"/>
      </w:r>
      <w:r w:rsidRPr="008C46C5">
        <w:rPr>
          <w:rFonts w:ascii="Garamond" w:hAnsi="Garamond" w:cs="Times New Roman"/>
          <w:sz w:val="24"/>
          <w:szCs w:val="24"/>
        </w:rPr>
        <w:t>.</w:t>
      </w:r>
    </w:p>
    <w:p w14:paraId="50E44865" w14:textId="59527297" w:rsidR="00A15224" w:rsidRPr="00BB44F3" w:rsidRDefault="00C8069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Al fine di comprendere il novero dei servizi di cui si discute va ricordato che i</w:t>
      </w:r>
      <w:r w:rsidR="00A15224" w:rsidRPr="00BB44F3">
        <w:rPr>
          <w:rFonts w:ascii="Garamond" w:hAnsi="Garamond" w:cs="Times New Roman"/>
          <w:sz w:val="24"/>
          <w:szCs w:val="24"/>
        </w:rPr>
        <w:t xml:space="preserve">l Decreto direttoriale n. 639 del 31 agosto 2023 del Ministero delle Imprese e del Made in </w:t>
      </w:r>
      <w:proofErr w:type="spellStart"/>
      <w:r w:rsidR="00A15224" w:rsidRPr="00BB44F3">
        <w:rPr>
          <w:rFonts w:ascii="Garamond" w:hAnsi="Garamond" w:cs="Times New Roman"/>
          <w:sz w:val="24"/>
          <w:szCs w:val="24"/>
        </w:rPr>
        <w:t>Italy</w:t>
      </w:r>
      <w:proofErr w:type="spellEnd"/>
      <w:r w:rsidR="00A15224" w:rsidRPr="00BB44F3">
        <w:rPr>
          <w:rFonts w:ascii="Garamond" w:hAnsi="Garamond" w:cs="Times New Roman"/>
          <w:sz w:val="24"/>
          <w:szCs w:val="24"/>
        </w:rPr>
        <w:t>, recante Linee guida e indici di qualità per la regolamentazione dei servizi pubblici locali non a rete, contiene un elenco meramente esemplificativo dei servizi non a rete, che non può ritenersi esaustivo. Il decreto ha infatti come fine espresso quello di fornire degli indicatori di qualità di tali servizi, per i quali non opera un’autorità di regolazione, e non già di elencare tutti i servizi soggetti a ricognizione</w:t>
      </w:r>
      <w:r w:rsidR="00D713E2" w:rsidRPr="00BB44F3">
        <w:rPr>
          <w:rStyle w:val="Rimandonotaapidipagina"/>
          <w:rFonts w:ascii="Garamond" w:hAnsi="Garamond" w:cs="Times New Roman"/>
          <w:sz w:val="24"/>
          <w:szCs w:val="24"/>
        </w:rPr>
        <w:footnoteReference w:id="37"/>
      </w:r>
      <w:r w:rsidR="00A15224" w:rsidRPr="00BB44F3">
        <w:rPr>
          <w:rFonts w:ascii="Garamond" w:hAnsi="Garamond" w:cs="Times New Roman"/>
          <w:sz w:val="24"/>
          <w:szCs w:val="24"/>
        </w:rPr>
        <w:t>.</w:t>
      </w:r>
    </w:p>
    <w:p w14:paraId="0D3DB733" w14:textId="3292A59A" w:rsidR="00B52C07" w:rsidRPr="00BB44F3" w:rsidRDefault="00B52C07" w:rsidP="002B0099">
      <w:pPr>
        <w:spacing w:after="0" w:line="240" w:lineRule="auto"/>
        <w:ind w:firstLine="454"/>
        <w:contextualSpacing/>
        <w:jc w:val="both"/>
        <w:rPr>
          <w:rFonts w:ascii="Garamond" w:hAnsi="Garamond" w:cs="Times New Roman"/>
          <w:color w:val="FF0000"/>
          <w:sz w:val="24"/>
          <w:szCs w:val="24"/>
        </w:rPr>
      </w:pPr>
      <w:bookmarkStart w:id="228" w:name="_Toc209095130"/>
      <w:bookmarkStart w:id="229" w:name="_Toc209095191"/>
      <w:bookmarkStart w:id="230" w:name="_Toc209095666"/>
      <w:bookmarkStart w:id="231" w:name="_Toc209095699"/>
      <w:bookmarkStart w:id="232" w:name="_Toc209095732"/>
      <w:bookmarkStart w:id="233" w:name="_Toc209097846"/>
      <w:bookmarkStart w:id="234" w:name="_Toc209097880"/>
      <w:bookmarkStart w:id="235" w:name="_Toc209104527"/>
      <w:r w:rsidRPr="00BB44F3">
        <w:rPr>
          <w:rFonts w:ascii="Garamond" w:hAnsi="Garamond" w:cs="Times New Roman"/>
          <w:sz w:val="24"/>
          <w:szCs w:val="24"/>
        </w:rPr>
        <w:t>Prima di procedere oltre va</w:t>
      </w:r>
      <w:r w:rsidR="00495032">
        <w:rPr>
          <w:rFonts w:ascii="Garamond" w:hAnsi="Garamond" w:cs="Times New Roman"/>
          <w:sz w:val="24"/>
          <w:szCs w:val="24"/>
        </w:rPr>
        <w:t xml:space="preserve"> poi</w:t>
      </w:r>
      <w:r w:rsidRPr="00BB44F3">
        <w:rPr>
          <w:rFonts w:ascii="Garamond" w:hAnsi="Garamond" w:cs="Times New Roman"/>
          <w:sz w:val="24"/>
          <w:szCs w:val="24"/>
        </w:rPr>
        <w:t xml:space="preserve"> fatto cenno ai servizi strumentali</w:t>
      </w:r>
      <w:bookmarkEnd w:id="228"/>
      <w:bookmarkEnd w:id="229"/>
      <w:bookmarkEnd w:id="230"/>
      <w:bookmarkEnd w:id="231"/>
      <w:bookmarkEnd w:id="232"/>
      <w:bookmarkEnd w:id="233"/>
      <w:bookmarkEnd w:id="234"/>
      <w:bookmarkEnd w:id="235"/>
      <w:r w:rsidRPr="00BB44F3">
        <w:rPr>
          <w:rFonts w:ascii="Garamond" w:hAnsi="Garamond" w:cs="Times New Roman"/>
          <w:sz w:val="24"/>
          <w:szCs w:val="24"/>
        </w:rPr>
        <w:t xml:space="preserve">. </w:t>
      </w:r>
      <w:bookmarkStart w:id="236" w:name="_Toc209095131"/>
      <w:bookmarkStart w:id="237" w:name="_Toc209095192"/>
      <w:bookmarkStart w:id="238" w:name="_Toc209095667"/>
      <w:bookmarkStart w:id="239" w:name="_Toc209095700"/>
      <w:bookmarkStart w:id="240" w:name="_Toc209095733"/>
      <w:bookmarkStart w:id="241" w:name="_Toc209097847"/>
      <w:bookmarkStart w:id="242" w:name="_Toc209097881"/>
      <w:bookmarkStart w:id="243" w:name="_Toc209104528"/>
      <w:r w:rsidRPr="00BB44F3">
        <w:rPr>
          <w:rFonts w:ascii="Garamond" w:hAnsi="Garamond" w:cs="Times New Roman"/>
          <w:sz w:val="24"/>
          <w:szCs w:val="24"/>
        </w:rPr>
        <w:t>Si tratta di “</w:t>
      </w:r>
      <w:r w:rsidRPr="00BB44F3">
        <w:rPr>
          <w:rFonts w:ascii="Garamond" w:hAnsi="Garamond" w:cs="Times New Roman"/>
          <w:i/>
          <w:sz w:val="24"/>
          <w:szCs w:val="24"/>
        </w:rPr>
        <w:t>servizi erogati da società a supporto di funzioni amministrative di natura pubblicistica di cui resta titolare l'ente di riferimento e con i quali lo stesso ente provvede al perseguimento dei suoi fini istituzionali</w:t>
      </w:r>
      <w:r w:rsidRPr="00BB44F3">
        <w:rPr>
          <w:rFonts w:ascii="Garamond" w:hAnsi="Garamond" w:cs="Times New Roman"/>
          <w:sz w:val="24"/>
          <w:szCs w:val="24"/>
        </w:rPr>
        <w:t>” e che, quindi, sono rivolti “</w:t>
      </w:r>
      <w:r w:rsidRPr="00BB44F3">
        <w:rPr>
          <w:rFonts w:ascii="Garamond" w:hAnsi="Garamond" w:cs="Times New Roman"/>
          <w:i/>
          <w:sz w:val="24"/>
          <w:szCs w:val="24"/>
        </w:rPr>
        <w:t>alla pubblica amministrazione e non al pubblico</w:t>
      </w:r>
      <w:r w:rsidRPr="00BB44F3">
        <w:rPr>
          <w:rFonts w:ascii="Garamond" w:hAnsi="Garamond" w:cs="Times New Roman"/>
          <w:sz w:val="24"/>
          <w:szCs w:val="24"/>
        </w:rPr>
        <w:t>”, al contrario dei servizi pubblici locali “</w:t>
      </w:r>
      <w:r w:rsidRPr="00BB44F3">
        <w:rPr>
          <w:rFonts w:ascii="Garamond" w:hAnsi="Garamond" w:cs="Times New Roman"/>
          <w:i/>
          <w:sz w:val="24"/>
          <w:szCs w:val="24"/>
        </w:rPr>
        <w:t>che mirano a soddisfare direttamente ed in via immediata esigenze generali della collettività</w:t>
      </w:r>
      <w:r w:rsidRPr="00BB44F3">
        <w:rPr>
          <w:rFonts w:ascii="Garamond" w:hAnsi="Garamond" w:cs="Times New Roman"/>
          <w:sz w:val="24"/>
          <w:szCs w:val="24"/>
        </w:rPr>
        <w:t>”</w:t>
      </w:r>
      <w:r w:rsidRPr="00BB44F3">
        <w:rPr>
          <w:rStyle w:val="Rimandonotaapidipagina"/>
          <w:rFonts w:ascii="Garamond" w:hAnsi="Garamond"/>
          <w:sz w:val="24"/>
          <w:szCs w:val="24"/>
        </w:rPr>
        <w:footnoteReference w:id="38"/>
      </w:r>
      <w:bookmarkEnd w:id="236"/>
      <w:bookmarkEnd w:id="237"/>
      <w:bookmarkEnd w:id="238"/>
      <w:bookmarkEnd w:id="239"/>
      <w:bookmarkEnd w:id="240"/>
      <w:bookmarkEnd w:id="241"/>
      <w:bookmarkEnd w:id="242"/>
      <w:bookmarkEnd w:id="243"/>
      <w:r w:rsidRPr="00BB44F3">
        <w:rPr>
          <w:rFonts w:ascii="Garamond" w:hAnsi="Garamond" w:cs="Times New Roman"/>
          <w:color w:val="000000" w:themeColor="text1"/>
          <w:sz w:val="24"/>
          <w:szCs w:val="24"/>
        </w:rPr>
        <w:t>.</w:t>
      </w:r>
    </w:p>
    <w:p w14:paraId="374F834D" w14:textId="7C45C40B" w:rsidR="00B52C07" w:rsidRPr="00BB44F3" w:rsidRDefault="00B52C07" w:rsidP="002B0099">
      <w:pPr>
        <w:spacing w:after="0" w:line="240" w:lineRule="auto"/>
        <w:ind w:firstLine="454"/>
        <w:contextualSpacing/>
        <w:jc w:val="both"/>
        <w:rPr>
          <w:rFonts w:ascii="Garamond" w:hAnsi="Garamond" w:cs="Times New Roman"/>
          <w:color w:val="000000" w:themeColor="text1"/>
          <w:sz w:val="24"/>
          <w:szCs w:val="24"/>
        </w:rPr>
      </w:pPr>
      <w:r w:rsidRPr="00BB44F3">
        <w:rPr>
          <w:rFonts w:ascii="Garamond" w:hAnsi="Garamond" w:cs="Times New Roman"/>
          <w:color w:val="000000" w:themeColor="text1"/>
          <w:sz w:val="24"/>
          <w:szCs w:val="24"/>
        </w:rPr>
        <w:t xml:space="preserve">Si tratta quindi di servizi che non rientrano nell’ambito applicativo del D. </w:t>
      </w:r>
      <w:proofErr w:type="spellStart"/>
      <w:r w:rsidRPr="00BB44F3">
        <w:rPr>
          <w:rFonts w:ascii="Garamond" w:hAnsi="Garamond" w:cs="Times New Roman"/>
          <w:color w:val="000000" w:themeColor="text1"/>
          <w:sz w:val="24"/>
          <w:szCs w:val="24"/>
        </w:rPr>
        <w:t>Lgs</w:t>
      </w:r>
      <w:proofErr w:type="spellEnd"/>
      <w:r w:rsidRPr="00BB44F3">
        <w:rPr>
          <w:rFonts w:ascii="Garamond" w:hAnsi="Garamond" w:cs="Times New Roman"/>
          <w:color w:val="000000" w:themeColor="text1"/>
          <w:sz w:val="24"/>
          <w:szCs w:val="24"/>
        </w:rPr>
        <w:t xml:space="preserve">. </w:t>
      </w:r>
      <w:r w:rsidR="008C46C5">
        <w:rPr>
          <w:rFonts w:ascii="Garamond" w:hAnsi="Garamond" w:cs="Times New Roman"/>
          <w:color w:val="000000" w:themeColor="text1"/>
          <w:sz w:val="24"/>
          <w:szCs w:val="24"/>
        </w:rPr>
        <w:t xml:space="preserve">n. </w:t>
      </w:r>
      <w:r w:rsidRPr="00BB44F3">
        <w:rPr>
          <w:rFonts w:ascii="Garamond" w:hAnsi="Garamond" w:cs="Times New Roman"/>
          <w:color w:val="000000" w:themeColor="text1"/>
          <w:sz w:val="24"/>
          <w:szCs w:val="24"/>
        </w:rPr>
        <w:t>201/2022. In sostanza, “</w:t>
      </w:r>
      <w:r w:rsidRPr="00BB44F3">
        <w:rPr>
          <w:rFonts w:ascii="Garamond" w:hAnsi="Garamond" w:cs="Times New Roman"/>
          <w:i/>
          <w:color w:val="000000" w:themeColor="text1"/>
          <w:sz w:val="24"/>
          <w:szCs w:val="24"/>
        </w:rPr>
        <w:t>ricorre l’ipotesi del servizio pubblico locale se la prestazione resa viene fornita per soddisfare in via immediata e diretta le esigenze del singolo utente o della collettività; costituisce, viceversa, servizio strumentale quello le cui prestazioni si svolgono in favore della stazione appaltante</w:t>
      </w:r>
      <w:r w:rsidRPr="00BB44F3">
        <w:rPr>
          <w:rFonts w:ascii="Garamond" w:hAnsi="Garamond" w:cs="Times New Roman"/>
          <w:color w:val="000000" w:themeColor="text1"/>
          <w:sz w:val="24"/>
          <w:szCs w:val="24"/>
        </w:rPr>
        <w:t>”</w:t>
      </w:r>
      <w:r w:rsidRPr="00BB44F3">
        <w:rPr>
          <w:rStyle w:val="Rimandonotaapidipagina"/>
          <w:rFonts w:ascii="Garamond" w:hAnsi="Garamond" w:cs="Times New Roman"/>
          <w:color w:val="000000" w:themeColor="text1"/>
          <w:sz w:val="24"/>
          <w:szCs w:val="24"/>
        </w:rPr>
        <w:footnoteReference w:id="39"/>
      </w:r>
      <w:r w:rsidRPr="00BB44F3">
        <w:rPr>
          <w:rFonts w:ascii="Garamond" w:hAnsi="Garamond" w:cs="Times New Roman"/>
          <w:color w:val="000000" w:themeColor="text1"/>
          <w:sz w:val="24"/>
          <w:szCs w:val="24"/>
        </w:rPr>
        <w:t>.</w:t>
      </w:r>
    </w:p>
    <w:p w14:paraId="48274601" w14:textId="3E7B8092" w:rsidR="00C8069A" w:rsidRPr="00BB44F3" w:rsidRDefault="00B52C07"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Tanto chiarito, a</w:t>
      </w:r>
      <w:r w:rsidR="00C8069A" w:rsidRPr="00BB44F3">
        <w:rPr>
          <w:rFonts w:ascii="Garamond" w:hAnsi="Garamond" w:cs="Times New Roman"/>
          <w:sz w:val="24"/>
          <w:szCs w:val="24"/>
        </w:rPr>
        <w:t xml:space="preserve">l fine di evidenziare i contrasti che possono insorgere dalla demarcazione dei confini del servizio pubblico locale possono essere rapidamente esaminate due diverse vicende delle quali si è occupata la giurisprudenza amministrativa. </w:t>
      </w:r>
    </w:p>
    <w:p w14:paraId="19C93AFC" w14:textId="05AE7A24" w:rsidR="008F222A" w:rsidRPr="00BB44F3" w:rsidRDefault="00C8069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primo caso è stato affrontato da Consiglio di Stato, Sez. VII, 20 giugno 2025, n. 5409 e riguarda il seguente interrogativo: l’istituzione di un servizio di spiaggia attrezzata per consentire l'accesso a soggetti con disabilità e rel</w:t>
      </w:r>
      <w:r w:rsidR="0041568C">
        <w:rPr>
          <w:rFonts w:ascii="Garamond" w:hAnsi="Garamond" w:cs="Times New Roman"/>
          <w:sz w:val="24"/>
          <w:szCs w:val="24"/>
        </w:rPr>
        <w:t>ativi animali domestici viola l’</w:t>
      </w:r>
      <w:r w:rsidRPr="00BB44F3">
        <w:rPr>
          <w:rFonts w:ascii="Garamond" w:hAnsi="Garamond" w:cs="Times New Roman"/>
          <w:sz w:val="24"/>
          <w:szCs w:val="24"/>
        </w:rPr>
        <w:t xml:space="preserve">art. 10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n. 201/2022 oppure rientra nel perimetro del servizio pubblico locale?</w:t>
      </w:r>
    </w:p>
    <w:p w14:paraId="38FDF17B" w14:textId="31BFE81E" w:rsidR="00C8069A" w:rsidRPr="00BB44F3" w:rsidRDefault="00C8069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 tale vicenda la società in precedenza concessionaria della spiaggia aveva impugnato gli atti con i quali un Comune aveva costituito un’azienda speciale per la gestione di alcuni servizi comunali, tra cui la spiaggia attrezzata (denominata “</w:t>
      </w:r>
      <w:r w:rsidRPr="00BB44F3">
        <w:rPr>
          <w:rFonts w:ascii="Garamond" w:hAnsi="Garamond" w:cs="Times New Roman"/>
          <w:i/>
          <w:sz w:val="24"/>
          <w:szCs w:val="24"/>
        </w:rPr>
        <w:t>dog beach</w:t>
      </w:r>
      <w:r w:rsidRPr="00BB44F3">
        <w:rPr>
          <w:rFonts w:ascii="Garamond" w:hAnsi="Garamond" w:cs="Times New Roman"/>
          <w:sz w:val="24"/>
          <w:szCs w:val="24"/>
        </w:rPr>
        <w:t>”), in precedenza gestita dalla ricorrente.</w:t>
      </w:r>
    </w:p>
    <w:p w14:paraId="02C2CB84" w14:textId="40797780" w:rsidR="00C8069A" w:rsidRPr="00BB44F3" w:rsidRDefault="00C8069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società ha sostenuto che la gestione della spiaggia non sarebbe riconducibile nell’alveo del servizio pubblico locale di rilevanza economica.</w:t>
      </w:r>
    </w:p>
    <w:p w14:paraId="341DAF50" w14:textId="77777777" w:rsidR="00E94830" w:rsidRPr="00BB44F3" w:rsidRDefault="00E9483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Consiglio di Stato ha smentito tale tesi ed ha evidenziato che “</w:t>
      </w:r>
      <w:r w:rsidRPr="00BB44F3">
        <w:rPr>
          <w:rFonts w:ascii="Garamond" w:hAnsi="Garamond" w:cs="Times New Roman"/>
          <w:i/>
          <w:sz w:val="24"/>
          <w:szCs w:val="24"/>
        </w:rPr>
        <w:t>rendere fruibile ai soggetti con disabilità l’unica spiaggia accessibile anche agli animali domestici significa proprio erogare quel servizio che non è stato possibile svolgere nel modo dovuto senza l’intervento pubblico e che, infatti, è stato svolto in precedenza in condizioni differenti (id est: non adeguate) in termini di accessibilità fisica ed economica, continuità, non discriminazione, qualità e sicurezza</w:t>
      </w:r>
      <w:r w:rsidRPr="00BB44F3">
        <w:rPr>
          <w:rFonts w:ascii="Garamond" w:hAnsi="Garamond" w:cs="Times New Roman"/>
          <w:sz w:val="24"/>
          <w:szCs w:val="24"/>
        </w:rPr>
        <w:t>”.</w:t>
      </w:r>
    </w:p>
    <w:p w14:paraId="71DB5033" w14:textId="3253E430" w:rsidR="00E94830" w:rsidRPr="00BB44F3" w:rsidRDefault="00E9483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Il Consiglio di Stato ha altresì </w:t>
      </w:r>
      <w:r w:rsidR="00C8069A" w:rsidRPr="00BB44F3">
        <w:rPr>
          <w:rFonts w:ascii="Garamond" w:hAnsi="Garamond" w:cs="Times New Roman"/>
          <w:sz w:val="24"/>
          <w:szCs w:val="24"/>
        </w:rPr>
        <w:t>sottolineato</w:t>
      </w:r>
      <w:r w:rsidRPr="00BB44F3">
        <w:rPr>
          <w:rFonts w:ascii="Garamond" w:hAnsi="Garamond" w:cs="Times New Roman"/>
          <w:sz w:val="24"/>
          <w:szCs w:val="24"/>
        </w:rPr>
        <w:t xml:space="preserve"> come non sia configurabile un difetto di istruttoria con riferimento alla delibera di istituzione del servizio laddove la scelta dell’istituzione del servizio sia stata motivata con riferimento all’inadeguata qualità del servizio offerto in precedenza dalla concessionaria, </w:t>
      </w:r>
      <w:r w:rsidR="00C8069A" w:rsidRPr="00BB44F3">
        <w:rPr>
          <w:rFonts w:ascii="Garamond" w:hAnsi="Garamond" w:cs="Times New Roman"/>
          <w:sz w:val="24"/>
          <w:szCs w:val="24"/>
        </w:rPr>
        <w:t>a</w:t>
      </w:r>
      <w:r w:rsidRPr="00BB44F3">
        <w:rPr>
          <w:rFonts w:ascii="Garamond" w:hAnsi="Garamond" w:cs="Times New Roman"/>
          <w:sz w:val="24"/>
          <w:szCs w:val="24"/>
        </w:rPr>
        <w:t>lla mancata effettuazione di investimenti da parte della stessa ed</w:t>
      </w:r>
      <w:r w:rsidR="00C8069A" w:rsidRPr="00BB44F3">
        <w:rPr>
          <w:rFonts w:ascii="Garamond" w:hAnsi="Garamond" w:cs="Times New Roman"/>
          <w:sz w:val="24"/>
          <w:szCs w:val="24"/>
        </w:rPr>
        <w:t xml:space="preserve"> a</w:t>
      </w:r>
      <w:r w:rsidRPr="00BB44F3">
        <w:rPr>
          <w:rFonts w:ascii="Garamond" w:hAnsi="Garamond" w:cs="Times New Roman"/>
          <w:sz w:val="24"/>
          <w:szCs w:val="24"/>
        </w:rPr>
        <w:t>lle spese che l’ente comunale a</w:t>
      </w:r>
      <w:r w:rsidR="00C8069A" w:rsidRPr="00BB44F3">
        <w:rPr>
          <w:rFonts w:ascii="Garamond" w:hAnsi="Garamond" w:cs="Times New Roman"/>
          <w:sz w:val="24"/>
          <w:szCs w:val="24"/>
        </w:rPr>
        <w:t>veva</w:t>
      </w:r>
      <w:r w:rsidRPr="00BB44F3">
        <w:rPr>
          <w:rFonts w:ascii="Garamond" w:hAnsi="Garamond" w:cs="Times New Roman"/>
          <w:sz w:val="24"/>
          <w:szCs w:val="24"/>
        </w:rPr>
        <w:t xml:space="preserve"> dovuto sostenere in relazione al contenzioso insorto con la concessionaria</w:t>
      </w:r>
      <w:r w:rsidR="00C8069A" w:rsidRPr="00BB44F3">
        <w:rPr>
          <w:rFonts w:ascii="Garamond" w:hAnsi="Garamond" w:cs="Times New Roman"/>
          <w:sz w:val="24"/>
          <w:szCs w:val="24"/>
        </w:rPr>
        <w:t>.</w:t>
      </w:r>
    </w:p>
    <w:p w14:paraId="3B832A6D" w14:textId="26BD2B93" w:rsidR="002A6FAE" w:rsidRPr="00BB44F3" w:rsidRDefault="007F6F1E" w:rsidP="002B0099">
      <w:pPr>
        <w:pStyle w:val="Nessunaspaziatura"/>
        <w:ind w:firstLine="454"/>
        <w:jc w:val="both"/>
        <w:rPr>
          <w:rFonts w:ascii="Garamond" w:hAnsi="Garamond" w:cs="Times New Roman"/>
          <w:sz w:val="24"/>
          <w:szCs w:val="24"/>
        </w:rPr>
      </w:pPr>
      <w:r w:rsidRPr="00BB44F3">
        <w:rPr>
          <w:rFonts w:ascii="Garamond" w:hAnsi="Garamond" w:cs="Times New Roman"/>
          <w:sz w:val="24"/>
          <w:szCs w:val="24"/>
        </w:rPr>
        <w:t xml:space="preserve">Il secondo caso è quello affrontato da Consiglio di Stato, </w:t>
      </w:r>
      <w:r w:rsidR="002A6FAE" w:rsidRPr="00BB44F3">
        <w:rPr>
          <w:rFonts w:ascii="Garamond" w:hAnsi="Garamond" w:cs="Times New Roman"/>
          <w:sz w:val="24"/>
          <w:szCs w:val="24"/>
        </w:rPr>
        <w:t>Sez. V</w:t>
      </w:r>
      <w:r w:rsidRPr="00BB44F3">
        <w:rPr>
          <w:rFonts w:ascii="Garamond" w:hAnsi="Garamond" w:cs="Times New Roman"/>
          <w:sz w:val="24"/>
          <w:szCs w:val="24"/>
        </w:rPr>
        <w:t>, 22 aprile 2024, n. 3605</w:t>
      </w:r>
      <w:r w:rsidR="002A6FAE" w:rsidRPr="00BB44F3">
        <w:rPr>
          <w:rFonts w:ascii="Garamond" w:hAnsi="Garamond" w:cs="Times New Roman"/>
          <w:sz w:val="24"/>
          <w:szCs w:val="24"/>
        </w:rPr>
        <w:t xml:space="preserve"> ed ha riguardato la seguente questione:</w:t>
      </w:r>
      <w:r w:rsidR="002A6FAE" w:rsidRPr="00BB44F3">
        <w:rPr>
          <w:rFonts w:ascii="Garamond" w:hAnsi="Garamond"/>
          <w:sz w:val="24"/>
          <w:szCs w:val="24"/>
        </w:rPr>
        <w:t xml:space="preserve"> l</w:t>
      </w:r>
      <w:r w:rsidR="002A6FAE" w:rsidRPr="00BB44F3">
        <w:rPr>
          <w:rFonts w:ascii="Garamond" w:hAnsi="Garamond" w:cs="Times New Roman"/>
          <w:sz w:val="24"/>
          <w:szCs w:val="24"/>
        </w:rPr>
        <w:t>a gestione del servizio svolto da società sin dalla fine del XIX secolo, allorquando lo stesso non era qualificato dalla normativa come servizio pubblico, lo assoggetta alla successiva normativa intervenuta in materia di servizi pubblici?</w:t>
      </w:r>
    </w:p>
    <w:p w14:paraId="379BF654" w14:textId="5E0CD682" w:rsidR="002A6FAE" w:rsidRPr="00BB44F3" w:rsidRDefault="002A6FAE" w:rsidP="002B0099">
      <w:pPr>
        <w:pStyle w:val="Nessunaspaziatura"/>
        <w:ind w:firstLine="454"/>
        <w:jc w:val="both"/>
        <w:rPr>
          <w:rFonts w:ascii="Garamond" w:hAnsi="Garamond" w:cs="Times New Roman"/>
          <w:sz w:val="24"/>
          <w:szCs w:val="24"/>
        </w:rPr>
      </w:pPr>
      <w:r w:rsidRPr="00BB44F3">
        <w:rPr>
          <w:rFonts w:ascii="Garamond" w:hAnsi="Garamond" w:cs="Times New Roman"/>
          <w:sz w:val="24"/>
          <w:szCs w:val="24"/>
        </w:rPr>
        <w:t>Nel caso di specie: la società ricorrente in primo grado era concessionaria del servizio di cremazione comunale sin dal XIX secolo; il Comune concedente ha revocato la concessione di tale servizio al fine di affidare lo stesso mediante procedura ad evidenza pubblica; la società ricorrente ha sostenuto che tale servizio non rientrerebbe nella nozione di servizio pubblico.</w:t>
      </w:r>
    </w:p>
    <w:p w14:paraId="2C5B2F6F" w14:textId="696F6191" w:rsidR="00E94830" w:rsidRPr="00BB44F3" w:rsidRDefault="002A6FAE" w:rsidP="002B0099">
      <w:pPr>
        <w:keepNext/>
        <w:keepLines/>
        <w:spacing w:after="0" w:line="240" w:lineRule="auto"/>
        <w:ind w:firstLine="454"/>
        <w:contextualSpacing/>
        <w:jc w:val="both"/>
        <w:outlineLvl w:val="1"/>
        <w:rPr>
          <w:rFonts w:ascii="Garamond" w:hAnsi="Garamond" w:cs="Times New Roman"/>
          <w:sz w:val="24"/>
          <w:szCs w:val="24"/>
        </w:rPr>
      </w:pPr>
      <w:r w:rsidRPr="00BB44F3">
        <w:rPr>
          <w:rFonts w:ascii="Garamond" w:hAnsi="Garamond" w:cs="Times New Roman"/>
          <w:sz w:val="24"/>
          <w:szCs w:val="24"/>
        </w:rPr>
        <w:t>Il Consiglio di Stato ha definito il</w:t>
      </w:r>
      <w:r w:rsidR="00E94830" w:rsidRPr="00BB44F3">
        <w:rPr>
          <w:rFonts w:ascii="Garamond" w:hAnsi="Garamond" w:cs="Times New Roman"/>
          <w:sz w:val="24"/>
          <w:szCs w:val="24"/>
        </w:rPr>
        <w:t xml:space="preserve"> relativo giudizio evidenziando quanto segue:</w:t>
      </w:r>
    </w:p>
    <w:p w14:paraId="41378FC3" w14:textId="772463D7" w:rsidR="00E94830" w:rsidRPr="00BB44F3" w:rsidRDefault="00E9483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 la qualificazione del servizio di cremazione come servizio pubblico locale non è ostacolata dalla circostanza che all’epoca della sua istituzione </w:t>
      </w:r>
      <w:r w:rsidR="0041568C" w:rsidRPr="00BB44F3">
        <w:rPr>
          <w:rFonts w:ascii="Garamond" w:hAnsi="Garamond" w:cs="Times New Roman"/>
          <w:sz w:val="24"/>
          <w:szCs w:val="24"/>
        </w:rPr>
        <w:t xml:space="preserve">da parte di delibera comunale </w:t>
      </w:r>
      <w:r w:rsidRPr="00BB44F3">
        <w:rPr>
          <w:rFonts w:ascii="Garamond" w:hAnsi="Garamond" w:cs="Times New Roman"/>
          <w:sz w:val="24"/>
          <w:szCs w:val="24"/>
        </w:rPr>
        <w:t xml:space="preserve">(alla fine del XIX secolo) non esistesse una norma di fonte primaria che lo qualificasse come servizio pubblico locale; </w:t>
      </w:r>
    </w:p>
    <w:p w14:paraId="0B930EE6" w14:textId="77777777" w:rsidR="00E94830" w:rsidRPr="00BB44F3" w:rsidRDefault="00E9483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 la ritenuta natura di servizio pubblico locale comporta “</w:t>
      </w:r>
      <w:r w:rsidRPr="00BB44F3">
        <w:rPr>
          <w:rFonts w:ascii="Garamond" w:hAnsi="Garamond" w:cs="Times New Roman"/>
          <w:i/>
          <w:sz w:val="24"/>
          <w:szCs w:val="24"/>
        </w:rPr>
        <w:t>l’assoggettamento (anche) alle successive modifiche legislative che hanno inserito il servizio tra quelli di rilevanza economica e a domanda individuale e lo hanno normativamente incluso tra i servizi pubblici locali</w:t>
      </w:r>
      <w:r w:rsidRPr="00BB44F3">
        <w:rPr>
          <w:rFonts w:ascii="Garamond" w:hAnsi="Garamond" w:cs="Times New Roman"/>
          <w:sz w:val="24"/>
          <w:szCs w:val="24"/>
        </w:rPr>
        <w:t>”;</w:t>
      </w:r>
    </w:p>
    <w:p w14:paraId="23AF45FA" w14:textId="77777777" w:rsidR="00E94830" w:rsidRPr="00BB44F3" w:rsidRDefault="00E9483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la decisione di revoca del servizio in precedenza affidato in modo diretto “</w:t>
      </w:r>
      <w:r w:rsidRPr="00BB44F3">
        <w:rPr>
          <w:rFonts w:ascii="Garamond" w:hAnsi="Garamond" w:cs="Times New Roman"/>
          <w:i/>
          <w:sz w:val="24"/>
          <w:szCs w:val="24"/>
        </w:rPr>
        <w:t>non poteva avere un contenuto diverso da quello deliberato, la revoca imponendosi al fine di procedere all’affidamento del servizio tramite gara</w:t>
      </w:r>
      <w:r w:rsidRPr="00BB44F3">
        <w:rPr>
          <w:rFonts w:ascii="Garamond" w:hAnsi="Garamond" w:cs="Times New Roman"/>
          <w:sz w:val="24"/>
          <w:szCs w:val="24"/>
        </w:rPr>
        <w:t>”;</w:t>
      </w:r>
    </w:p>
    <w:p w14:paraId="161C590C" w14:textId="77777777" w:rsidR="00E94830" w:rsidRPr="00BB44F3" w:rsidRDefault="00E9483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per l’effetto non hanno rilevanza l’omessa comunicazione di avvio del procedimento e la violazione dell’art. 7 della L. 241/1990, trattandosi di vizio non invalidante, il quale, seppure esistente, “</w:t>
      </w:r>
      <w:r w:rsidRPr="00BB44F3">
        <w:rPr>
          <w:rFonts w:ascii="Garamond" w:hAnsi="Garamond" w:cs="Times New Roman"/>
          <w:i/>
          <w:sz w:val="24"/>
          <w:szCs w:val="24"/>
        </w:rPr>
        <w:t>impedisce l’annullamento giurisdizionale del provvedimento ai sensi dell’art. 21-octies, comma 2, della legge n. 241 del 1990 (anche quando il potere esercitato ha, in astratto, natura discrezionale)</w:t>
      </w:r>
      <w:r w:rsidRPr="00BB44F3">
        <w:rPr>
          <w:rFonts w:ascii="Garamond" w:hAnsi="Garamond" w:cs="Times New Roman"/>
          <w:sz w:val="24"/>
          <w:szCs w:val="24"/>
        </w:rPr>
        <w:t>”.</w:t>
      </w:r>
    </w:p>
    <w:p w14:paraId="0BCF3976" w14:textId="77777777" w:rsidR="00B52C07" w:rsidRPr="00BB44F3" w:rsidRDefault="00B52C07" w:rsidP="002B0099">
      <w:pPr>
        <w:pStyle w:val="Titolo1"/>
        <w:ind w:firstLine="454"/>
        <w:jc w:val="both"/>
        <w:rPr>
          <w:rFonts w:ascii="Garamond" w:hAnsi="Garamond"/>
        </w:rPr>
      </w:pPr>
      <w:bookmarkStart w:id="244" w:name="_Toc209095132"/>
      <w:bookmarkStart w:id="245" w:name="_Toc209095193"/>
      <w:bookmarkStart w:id="246" w:name="_Toc209095668"/>
      <w:bookmarkStart w:id="247" w:name="_Toc209095701"/>
      <w:bookmarkStart w:id="248" w:name="_Toc209095734"/>
      <w:bookmarkStart w:id="249" w:name="_Toc209097848"/>
      <w:bookmarkStart w:id="250" w:name="_Toc209097882"/>
      <w:bookmarkStart w:id="251" w:name="_Toc209104529"/>
    </w:p>
    <w:p w14:paraId="2EF90069" w14:textId="1308F7D7" w:rsidR="00A3173A" w:rsidRPr="00BB44F3" w:rsidRDefault="008F57CC" w:rsidP="002B0099">
      <w:pPr>
        <w:pStyle w:val="Titolo1"/>
        <w:jc w:val="both"/>
        <w:rPr>
          <w:rFonts w:ascii="Garamond" w:hAnsi="Garamond"/>
        </w:rPr>
      </w:pPr>
      <w:bookmarkStart w:id="252" w:name="_Toc209105891"/>
      <w:bookmarkStart w:id="253" w:name="_Toc209106776"/>
      <w:bookmarkStart w:id="254" w:name="_Toc209107515"/>
      <w:bookmarkStart w:id="255" w:name="_Toc209181415"/>
      <w:bookmarkStart w:id="256" w:name="_Toc209181505"/>
      <w:bookmarkStart w:id="257" w:name="_Toc209181561"/>
      <w:bookmarkStart w:id="258" w:name="_Toc209182712"/>
      <w:bookmarkStart w:id="259" w:name="_Toc209182909"/>
      <w:r w:rsidRPr="00BB44F3">
        <w:rPr>
          <w:rFonts w:ascii="Garamond" w:hAnsi="Garamond"/>
        </w:rPr>
        <w:t>7.</w:t>
      </w:r>
      <w:r w:rsidR="00002A66" w:rsidRPr="00BB44F3">
        <w:rPr>
          <w:rFonts w:ascii="Garamond" w:hAnsi="Garamond"/>
        </w:rPr>
        <w:t xml:space="preserve"> Le f</w:t>
      </w:r>
      <w:r w:rsidR="00A3173A" w:rsidRPr="00BB44F3">
        <w:rPr>
          <w:rFonts w:ascii="Garamond" w:hAnsi="Garamond"/>
        </w:rPr>
        <w:t xml:space="preserve">orme di gestione </w:t>
      </w:r>
      <w:bookmarkEnd w:id="244"/>
      <w:bookmarkEnd w:id="245"/>
      <w:bookmarkEnd w:id="246"/>
      <w:bookmarkEnd w:id="247"/>
      <w:bookmarkEnd w:id="248"/>
      <w:bookmarkEnd w:id="249"/>
      <w:bookmarkEnd w:id="250"/>
      <w:bookmarkEnd w:id="251"/>
      <w:bookmarkEnd w:id="252"/>
      <w:r w:rsidR="00B40FF6" w:rsidRPr="00BB44F3">
        <w:rPr>
          <w:rFonts w:ascii="Garamond" w:hAnsi="Garamond"/>
        </w:rPr>
        <w:t>dei servizi pubblici locali di rilevanza economica</w:t>
      </w:r>
      <w:bookmarkEnd w:id="253"/>
      <w:bookmarkEnd w:id="254"/>
      <w:bookmarkEnd w:id="255"/>
      <w:bookmarkEnd w:id="256"/>
      <w:bookmarkEnd w:id="257"/>
      <w:bookmarkEnd w:id="258"/>
      <w:bookmarkEnd w:id="259"/>
    </w:p>
    <w:p w14:paraId="75DB0516" w14:textId="791D6AC4" w:rsidR="00A3173A" w:rsidRPr="00BB44F3" w:rsidRDefault="00A3173A"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A valle dell’istituzione del servizio pubblico locale da parte della legge o da parte dell’ente locale si pone la </w:t>
      </w:r>
      <w:r w:rsidR="00B40FF6" w:rsidRPr="00BB44F3">
        <w:rPr>
          <w:rFonts w:ascii="Garamond" w:hAnsi="Garamond" w:cs="Times New Roman"/>
          <w:sz w:val="24"/>
          <w:szCs w:val="24"/>
        </w:rPr>
        <w:t xml:space="preserve">scelta </w:t>
      </w:r>
      <w:r w:rsidRPr="00BB44F3">
        <w:rPr>
          <w:rFonts w:ascii="Garamond" w:hAnsi="Garamond" w:cs="Times New Roman"/>
          <w:sz w:val="24"/>
          <w:szCs w:val="24"/>
        </w:rPr>
        <w:t xml:space="preserve">della modalità di gestione del servizio pubblico locale a cui sono dedicati gli artt. 14 e seguenti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w:t>
      </w:r>
      <w:r w:rsidR="00BE6F8C" w:rsidRPr="00BB44F3">
        <w:rPr>
          <w:rFonts w:ascii="Garamond" w:hAnsi="Garamond" w:cs="Times New Roman"/>
          <w:sz w:val="24"/>
          <w:szCs w:val="24"/>
        </w:rPr>
        <w:t xml:space="preserve"> n.</w:t>
      </w:r>
      <w:r w:rsidRPr="00BB44F3">
        <w:rPr>
          <w:rFonts w:ascii="Garamond" w:hAnsi="Garamond" w:cs="Times New Roman"/>
          <w:sz w:val="24"/>
          <w:szCs w:val="24"/>
        </w:rPr>
        <w:t xml:space="preserve"> 201/2022</w:t>
      </w:r>
      <w:r w:rsidR="00E75107" w:rsidRPr="00BB44F3">
        <w:rPr>
          <w:rFonts w:ascii="Garamond" w:hAnsi="Garamond" w:cs="Times New Roman"/>
          <w:sz w:val="24"/>
          <w:szCs w:val="24"/>
        </w:rPr>
        <w:t>.</w:t>
      </w:r>
    </w:p>
    <w:p w14:paraId="7593CEEE" w14:textId="72BFD273" w:rsidR="00A305C3"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L’art. 14 del Decreto prevede</w:t>
      </w:r>
      <w:r w:rsidR="008669AD" w:rsidRPr="00BB44F3">
        <w:rPr>
          <w:rFonts w:ascii="Garamond" w:hAnsi="Garamond" w:cs="Times New Roman"/>
          <w:sz w:val="24"/>
          <w:szCs w:val="24"/>
        </w:rPr>
        <w:t xml:space="preserve"> che laddove</w:t>
      </w:r>
      <w:r w:rsidRPr="00BB44F3">
        <w:rPr>
          <w:rFonts w:ascii="Garamond" w:hAnsi="Garamond" w:cs="Times New Roman"/>
          <w:sz w:val="24"/>
          <w:szCs w:val="24"/>
        </w:rPr>
        <w:t xml:space="preserve"> </w:t>
      </w:r>
      <w:r w:rsidR="008669AD" w:rsidRPr="00BB44F3">
        <w:rPr>
          <w:rFonts w:ascii="Garamond" w:hAnsi="Garamond" w:cs="Times New Roman"/>
          <w:sz w:val="24"/>
          <w:szCs w:val="24"/>
        </w:rPr>
        <w:t xml:space="preserve">l'ente locale </w:t>
      </w:r>
      <w:r w:rsidR="00BE6F8C" w:rsidRPr="00BB44F3">
        <w:rPr>
          <w:rFonts w:ascii="Garamond" w:hAnsi="Garamond" w:cs="Times New Roman"/>
          <w:sz w:val="24"/>
          <w:szCs w:val="24"/>
        </w:rPr>
        <w:t>(</w:t>
      </w:r>
      <w:r w:rsidR="008669AD" w:rsidRPr="00BB44F3">
        <w:rPr>
          <w:rFonts w:ascii="Garamond" w:hAnsi="Garamond" w:cs="Times New Roman"/>
          <w:sz w:val="24"/>
          <w:szCs w:val="24"/>
        </w:rPr>
        <w:t>e gli altri enti competenti</w:t>
      </w:r>
      <w:r w:rsidR="00BE6F8C" w:rsidRPr="00BB44F3">
        <w:rPr>
          <w:rFonts w:ascii="Garamond" w:hAnsi="Garamond" w:cs="Times New Roman"/>
          <w:sz w:val="24"/>
          <w:szCs w:val="24"/>
        </w:rPr>
        <w:t>)</w:t>
      </w:r>
      <w:r w:rsidR="008669AD" w:rsidRPr="00BB44F3">
        <w:rPr>
          <w:rFonts w:ascii="Garamond" w:hAnsi="Garamond" w:cs="Times New Roman"/>
          <w:sz w:val="24"/>
          <w:szCs w:val="24"/>
        </w:rPr>
        <w:t xml:space="preserve"> ritenga che il perseguimento dell'interesse pubblico debba essere assicurato affidando il servizio pubblico a un singolo operatore o a</w:t>
      </w:r>
      <w:r w:rsidR="00BE6F8C" w:rsidRPr="00BB44F3">
        <w:rPr>
          <w:rFonts w:ascii="Garamond" w:hAnsi="Garamond" w:cs="Times New Roman"/>
          <w:sz w:val="24"/>
          <w:szCs w:val="24"/>
        </w:rPr>
        <w:t>d</w:t>
      </w:r>
      <w:r w:rsidR="008669AD" w:rsidRPr="00BB44F3">
        <w:rPr>
          <w:rFonts w:ascii="Garamond" w:hAnsi="Garamond" w:cs="Times New Roman"/>
          <w:sz w:val="24"/>
          <w:szCs w:val="24"/>
        </w:rPr>
        <w:t xml:space="preserve"> un numero limitato di operatori l’organizzazione del servizio avv</w:t>
      </w:r>
      <w:r w:rsidR="00874071">
        <w:rPr>
          <w:rFonts w:ascii="Garamond" w:hAnsi="Garamond" w:cs="Times New Roman"/>
          <w:sz w:val="24"/>
          <w:szCs w:val="24"/>
        </w:rPr>
        <w:t>enga mediante una delle seguenti</w:t>
      </w:r>
      <w:r w:rsidR="008669AD" w:rsidRPr="00BB44F3">
        <w:rPr>
          <w:rFonts w:ascii="Garamond" w:hAnsi="Garamond" w:cs="Times New Roman"/>
          <w:sz w:val="24"/>
          <w:szCs w:val="24"/>
        </w:rPr>
        <w:t xml:space="preserve"> modalità di gestione</w:t>
      </w:r>
      <w:r w:rsidRPr="00BB44F3">
        <w:rPr>
          <w:rFonts w:ascii="Garamond" w:hAnsi="Garamond" w:cs="Times New Roman"/>
          <w:sz w:val="24"/>
          <w:szCs w:val="24"/>
        </w:rPr>
        <w:t>:</w:t>
      </w:r>
    </w:p>
    <w:p w14:paraId="7F989593" w14:textId="5D89A129" w:rsidR="00A305C3"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a) affidamento a terzi mediante</w:t>
      </w:r>
      <w:r w:rsidR="0043718F">
        <w:rPr>
          <w:rFonts w:ascii="Garamond" w:hAnsi="Garamond" w:cs="Times New Roman"/>
          <w:sz w:val="24"/>
          <w:szCs w:val="24"/>
        </w:rPr>
        <w:t xml:space="preserve"> procedura a evidenza pubblica, con conseguente esternalizzazione</w:t>
      </w:r>
      <w:r w:rsidR="00874071">
        <w:rPr>
          <w:rFonts w:ascii="Garamond" w:hAnsi="Garamond" w:cs="Times New Roman"/>
          <w:sz w:val="24"/>
          <w:szCs w:val="24"/>
        </w:rPr>
        <w:t xml:space="preserve"> totale</w:t>
      </w:r>
      <w:r w:rsidR="0043718F">
        <w:rPr>
          <w:rFonts w:ascii="Garamond" w:hAnsi="Garamond" w:cs="Times New Roman"/>
          <w:sz w:val="24"/>
          <w:szCs w:val="24"/>
        </w:rPr>
        <w:t xml:space="preserve"> del</w:t>
      </w:r>
      <w:r w:rsidR="00874071">
        <w:rPr>
          <w:rFonts w:ascii="Garamond" w:hAnsi="Garamond" w:cs="Times New Roman"/>
          <w:sz w:val="24"/>
          <w:szCs w:val="24"/>
        </w:rPr>
        <w:t>la gestione del</w:t>
      </w:r>
      <w:r w:rsidR="0043718F">
        <w:rPr>
          <w:rFonts w:ascii="Garamond" w:hAnsi="Garamond" w:cs="Times New Roman"/>
          <w:sz w:val="24"/>
          <w:szCs w:val="24"/>
        </w:rPr>
        <w:t xml:space="preserve"> servizio;</w:t>
      </w:r>
    </w:p>
    <w:p w14:paraId="3836EF21" w14:textId="0C1D0AB9" w:rsidR="004E5F66"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b) affidamento a società mista</w:t>
      </w:r>
      <w:r w:rsidR="009C2086" w:rsidRPr="00BB44F3">
        <w:rPr>
          <w:rFonts w:ascii="Garamond" w:hAnsi="Garamond" w:cs="Times New Roman"/>
          <w:sz w:val="24"/>
          <w:szCs w:val="24"/>
        </w:rPr>
        <w:t xml:space="preserve"> nell’ottica dell’esternalizzazione parziale</w:t>
      </w:r>
      <w:r w:rsidR="00874071">
        <w:rPr>
          <w:rFonts w:ascii="Garamond" w:hAnsi="Garamond" w:cs="Times New Roman"/>
          <w:sz w:val="24"/>
          <w:szCs w:val="24"/>
        </w:rPr>
        <w:t xml:space="preserve"> della gestione del servizio</w:t>
      </w:r>
      <w:r w:rsidR="00735EBE" w:rsidRPr="00BB44F3">
        <w:rPr>
          <w:rFonts w:ascii="Garamond" w:hAnsi="Garamond" w:cs="Times New Roman"/>
          <w:sz w:val="24"/>
          <w:szCs w:val="24"/>
        </w:rPr>
        <w:t>;</w:t>
      </w:r>
    </w:p>
    <w:p w14:paraId="5E6895B0" w14:textId="06326478" w:rsidR="00A305C3"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c) affidamento a società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sz w:val="24"/>
          <w:szCs w:val="24"/>
        </w:rPr>
        <w:t>;</w:t>
      </w:r>
    </w:p>
    <w:p w14:paraId="4ACA0B80" w14:textId="166577C0" w:rsidR="00A305C3"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d) limitatamente ai servizi diversi da quelli a rete, gestione in economia o mediante aziende speciali di cui all'articolo 114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874071">
        <w:rPr>
          <w:rFonts w:ascii="Garamond" w:hAnsi="Garamond" w:cs="Times New Roman"/>
          <w:sz w:val="24"/>
          <w:szCs w:val="24"/>
        </w:rPr>
        <w:t xml:space="preserve">n. </w:t>
      </w:r>
      <w:r w:rsidRPr="00BB44F3">
        <w:rPr>
          <w:rFonts w:ascii="Garamond" w:hAnsi="Garamond" w:cs="Times New Roman"/>
          <w:sz w:val="24"/>
          <w:szCs w:val="24"/>
        </w:rPr>
        <w:t>267/2000.</w:t>
      </w:r>
    </w:p>
    <w:p w14:paraId="0D773F99" w14:textId="6FE1A9C8" w:rsidR="00A305C3"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Ai fini della scelta tra le diverse modalità di gestione del servizio e della definizione del contenuto del contratto l’ente locale deve tenere conto: delle caratteristiche tecniche ed economiche del servizio da prestare (inclusi i profili relativi alla qualità del servizio e agli investimenti infrastrutturali), della situazione delle finanze pubbliche, dei costi per l'ente locale e per gli utenti, dei risultati prevedibilmente attesi in relazione alle diverse alternative, anche con riferimento a esperienze paragonabili, nonché dei risultati della eventuale gestione precedente del medesimo servizio sotto il profilo degli effetti sulla finanza pubblica, della qualità del servizio offerto, dei costi per l'ente locale e per gli utenti e degli investimenti effettuati.</w:t>
      </w:r>
    </w:p>
    <w:p w14:paraId="3F3B4FD9" w14:textId="7F11D2B4" w:rsidR="00A305C3"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L’ente deve redigere apposita relazione per dare conto: degli esiti di tale valutazione; delle ragioni e della sussistenza dei requisiti previsti dal diritto dell'Unione europea per la forma di affidamento prescelta; degli obblighi di servizio pubblico e delle eventuali compensazioni economiche, inclusi i relativi criteri di calcolo, anche al fine di evitare </w:t>
      </w:r>
      <w:proofErr w:type="spellStart"/>
      <w:r w:rsidRPr="00BB44F3">
        <w:rPr>
          <w:rFonts w:ascii="Garamond" w:hAnsi="Garamond" w:cs="Times New Roman"/>
          <w:sz w:val="24"/>
          <w:szCs w:val="24"/>
        </w:rPr>
        <w:t>sovracompensazioni</w:t>
      </w:r>
      <w:proofErr w:type="spellEnd"/>
      <w:r w:rsidR="00CC70AA" w:rsidRPr="00BB44F3">
        <w:rPr>
          <w:rStyle w:val="Rimandonotaapidipagina"/>
          <w:rFonts w:ascii="Garamond" w:hAnsi="Garamond" w:cs="Times New Roman"/>
          <w:sz w:val="24"/>
          <w:szCs w:val="24"/>
        </w:rPr>
        <w:footnoteReference w:id="40"/>
      </w:r>
      <w:r w:rsidRPr="00BB44F3">
        <w:rPr>
          <w:rFonts w:ascii="Garamond" w:hAnsi="Garamond" w:cs="Times New Roman"/>
          <w:sz w:val="24"/>
          <w:szCs w:val="24"/>
        </w:rPr>
        <w:t>.</w:t>
      </w:r>
    </w:p>
    <w:p w14:paraId="30FAB4A1" w14:textId="3D66D83A" w:rsidR="00A305C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 caso di servizi pubblici locali a rete gli enti di governo dell'ambito integrano la relazione di cui al comma 3 allegando il piano econ</w:t>
      </w:r>
      <w:r w:rsidR="00035218">
        <w:rPr>
          <w:rFonts w:ascii="Garamond" w:hAnsi="Garamond" w:cs="Times New Roman"/>
          <w:sz w:val="24"/>
          <w:szCs w:val="24"/>
        </w:rPr>
        <w:t>omico-finanziario acquisito all’</w:t>
      </w:r>
      <w:r w:rsidRPr="00BB44F3">
        <w:rPr>
          <w:rFonts w:ascii="Garamond" w:hAnsi="Garamond" w:cs="Times New Roman"/>
          <w:sz w:val="24"/>
          <w:szCs w:val="24"/>
        </w:rPr>
        <w:t>esito della procedura.</w:t>
      </w:r>
    </w:p>
    <w:p w14:paraId="10915B6C" w14:textId="3B34502E" w:rsidR="006D5C5E" w:rsidRDefault="006D5C5E"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È stato evidenziato come </w:t>
      </w:r>
      <w:r w:rsidR="00FE30B5">
        <w:rPr>
          <w:rFonts w:ascii="Garamond" w:hAnsi="Garamond" w:cs="Times New Roman"/>
          <w:sz w:val="24"/>
          <w:szCs w:val="24"/>
        </w:rPr>
        <w:t>la scelta della modalità di gestione costituisca “</w:t>
      </w:r>
      <w:r w:rsidR="00FE30B5" w:rsidRPr="00FE30B5">
        <w:rPr>
          <w:rFonts w:ascii="Garamond" w:hAnsi="Garamond" w:cs="Times New Roman"/>
          <w:i/>
          <w:sz w:val="24"/>
          <w:szCs w:val="24"/>
        </w:rPr>
        <w:t>una fattispecie a formazione progressiva e a geometria variabile, poiché gli oneri procedimentali e motivazionali imposti dalla legge variano a seconda della scelta gestionale da adottare</w:t>
      </w:r>
      <w:r w:rsidR="00FE30B5">
        <w:rPr>
          <w:rFonts w:ascii="Garamond" w:hAnsi="Garamond" w:cs="Times New Roman"/>
          <w:sz w:val="24"/>
          <w:szCs w:val="24"/>
        </w:rPr>
        <w:t>”</w:t>
      </w:r>
      <w:r w:rsidR="00FE30B5">
        <w:rPr>
          <w:rStyle w:val="Rimandonotaapidipagina"/>
          <w:rFonts w:ascii="Garamond" w:hAnsi="Garamond" w:cs="Times New Roman"/>
          <w:sz w:val="24"/>
          <w:szCs w:val="24"/>
        </w:rPr>
        <w:footnoteReference w:id="41"/>
      </w:r>
      <w:r w:rsidR="00FE30B5" w:rsidRPr="00FE30B5">
        <w:rPr>
          <w:rFonts w:ascii="Garamond" w:hAnsi="Garamond" w:cs="Times New Roman"/>
          <w:sz w:val="24"/>
          <w:szCs w:val="24"/>
        </w:rPr>
        <w:t>.</w:t>
      </w:r>
    </w:p>
    <w:p w14:paraId="412C0F42" w14:textId="374D06ED" w:rsidR="00085B20" w:rsidRDefault="00E609D8"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Il Consiglio di Stato ha significativamente sottolineato che nel caso di ricorso proposto da soggetto in precedenza destinatario di affidamento diretto avverso l’atto con </w:t>
      </w:r>
      <w:r w:rsidR="00C45D34" w:rsidRPr="00BB44F3">
        <w:rPr>
          <w:rFonts w:ascii="Garamond" w:hAnsi="Garamond" w:cs="Times New Roman"/>
          <w:sz w:val="24"/>
          <w:szCs w:val="24"/>
        </w:rPr>
        <w:t xml:space="preserve">cui </w:t>
      </w:r>
      <w:r w:rsidR="00085B20" w:rsidRPr="00BB44F3">
        <w:rPr>
          <w:rFonts w:ascii="Garamond" w:hAnsi="Garamond" w:cs="Times New Roman"/>
          <w:sz w:val="24"/>
          <w:szCs w:val="24"/>
        </w:rPr>
        <w:t xml:space="preserve">l’ente locale dispone il ricorso alla </w:t>
      </w:r>
      <w:r w:rsidR="00085B20" w:rsidRPr="00BB44F3">
        <w:rPr>
          <w:rFonts w:ascii="Garamond" w:hAnsi="Garamond" w:cs="Times New Roman"/>
          <w:sz w:val="24"/>
          <w:szCs w:val="24"/>
        </w:rPr>
        <w:lastRenderedPageBreak/>
        <w:t xml:space="preserve">procedura ad evidenza pubblica per la scelta del soggetto incaricato della gestione del servizio le censure volte a contestare </w:t>
      </w:r>
      <w:r w:rsidR="00C45D34" w:rsidRPr="00BB44F3">
        <w:rPr>
          <w:rFonts w:ascii="Garamond" w:hAnsi="Garamond" w:cs="Times New Roman"/>
          <w:sz w:val="24"/>
          <w:szCs w:val="24"/>
        </w:rPr>
        <w:t>l’omessa</w:t>
      </w:r>
      <w:r w:rsidR="00085B20" w:rsidRPr="00BB44F3">
        <w:rPr>
          <w:rFonts w:ascii="Garamond" w:hAnsi="Garamond" w:cs="Times New Roman"/>
          <w:sz w:val="24"/>
          <w:szCs w:val="24"/>
        </w:rPr>
        <w:t xml:space="preserve"> motivazione in ordine al mancato ricorso all’</w:t>
      </w:r>
      <w:r w:rsidR="00085B20" w:rsidRPr="00BB44F3">
        <w:rPr>
          <w:rFonts w:ascii="Garamond" w:hAnsi="Garamond" w:cs="Times New Roman"/>
          <w:i/>
          <w:sz w:val="24"/>
          <w:szCs w:val="24"/>
        </w:rPr>
        <w:t xml:space="preserve">in </w:t>
      </w:r>
      <w:proofErr w:type="spellStart"/>
      <w:r w:rsidR="00085B20" w:rsidRPr="00BB44F3">
        <w:rPr>
          <w:rFonts w:ascii="Garamond" w:hAnsi="Garamond" w:cs="Times New Roman"/>
          <w:i/>
          <w:sz w:val="24"/>
          <w:szCs w:val="24"/>
        </w:rPr>
        <w:t>house</w:t>
      </w:r>
      <w:proofErr w:type="spellEnd"/>
      <w:r w:rsidR="00085B20" w:rsidRPr="00BB44F3">
        <w:rPr>
          <w:rFonts w:ascii="Garamond" w:hAnsi="Garamond" w:cs="Times New Roman"/>
          <w:i/>
          <w:sz w:val="24"/>
          <w:szCs w:val="24"/>
        </w:rPr>
        <w:t xml:space="preserve"> </w:t>
      </w:r>
      <w:r w:rsidR="00085B20" w:rsidRPr="00BB44F3">
        <w:rPr>
          <w:rFonts w:ascii="Garamond" w:hAnsi="Garamond" w:cs="Times New Roman"/>
          <w:sz w:val="24"/>
          <w:szCs w:val="24"/>
        </w:rPr>
        <w:t xml:space="preserve">o all’affidamento </w:t>
      </w:r>
      <w:r w:rsidR="00C45D34" w:rsidRPr="00BB44F3">
        <w:rPr>
          <w:rFonts w:ascii="Garamond" w:hAnsi="Garamond" w:cs="Times New Roman"/>
          <w:sz w:val="24"/>
          <w:szCs w:val="24"/>
        </w:rPr>
        <w:t>a</w:t>
      </w:r>
      <w:r w:rsidR="00085B20" w:rsidRPr="00BB44F3">
        <w:rPr>
          <w:rFonts w:ascii="Garamond" w:hAnsi="Garamond" w:cs="Times New Roman"/>
          <w:sz w:val="24"/>
          <w:szCs w:val="24"/>
        </w:rPr>
        <w:t xml:space="preserve"> società mista sono sprovviste di interesse, in quanto il precedente affidatario della gestione del servizio ha un reale interesse al solo affidamento diretto</w:t>
      </w:r>
      <w:r w:rsidR="00D83916" w:rsidRPr="00BB44F3">
        <w:rPr>
          <w:rStyle w:val="Rimandonotaapidipagina"/>
          <w:rFonts w:ascii="Garamond" w:hAnsi="Garamond" w:cs="Times New Roman"/>
          <w:sz w:val="24"/>
          <w:szCs w:val="24"/>
        </w:rPr>
        <w:footnoteReference w:id="42"/>
      </w:r>
      <w:r w:rsidR="00C45D34" w:rsidRPr="00BB44F3">
        <w:rPr>
          <w:rFonts w:ascii="Garamond" w:hAnsi="Garamond" w:cs="Times New Roman"/>
          <w:sz w:val="24"/>
          <w:szCs w:val="24"/>
        </w:rPr>
        <w:t>.</w:t>
      </w:r>
      <w:r w:rsidR="00085B20" w:rsidRPr="00BB44F3">
        <w:rPr>
          <w:rFonts w:ascii="Garamond" w:hAnsi="Garamond" w:cs="Times New Roman"/>
          <w:sz w:val="24"/>
          <w:szCs w:val="24"/>
        </w:rPr>
        <w:t xml:space="preserve"> </w:t>
      </w:r>
    </w:p>
    <w:p w14:paraId="5DA24D79" w14:textId="491EF938" w:rsidR="00BE6F8C" w:rsidRDefault="0043718F"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Fatti brevi cenni relativamente all</w:t>
      </w:r>
      <w:r w:rsidRPr="0043718F">
        <w:rPr>
          <w:rFonts w:ascii="Garamond" w:hAnsi="Garamond" w:cs="Times New Roman"/>
          <w:sz w:val="24"/>
          <w:szCs w:val="24"/>
        </w:rPr>
        <w:t>’affidamento a terzi mediante procedura a evidenza pubblica</w:t>
      </w:r>
      <w:r>
        <w:rPr>
          <w:rFonts w:ascii="Garamond" w:hAnsi="Garamond" w:cs="Times New Roman"/>
          <w:sz w:val="24"/>
          <w:szCs w:val="24"/>
        </w:rPr>
        <w:t xml:space="preserve"> (</w:t>
      </w:r>
      <w:r w:rsidR="006D5C5E">
        <w:rPr>
          <w:rFonts w:ascii="Garamond" w:hAnsi="Garamond" w:cs="Times New Roman"/>
          <w:sz w:val="24"/>
          <w:szCs w:val="24"/>
        </w:rPr>
        <w:t xml:space="preserve">non essendo possibile l’esaustiva trattazione di tale forma di gestione </w:t>
      </w:r>
      <w:r w:rsidR="00035218">
        <w:rPr>
          <w:rFonts w:ascii="Garamond" w:hAnsi="Garamond" w:cs="Times New Roman"/>
          <w:sz w:val="24"/>
          <w:szCs w:val="24"/>
        </w:rPr>
        <w:t xml:space="preserve">del servizio </w:t>
      </w:r>
      <w:r w:rsidR="006D5C5E">
        <w:rPr>
          <w:rFonts w:ascii="Garamond" w:hAnsi="Garamond" w:cs="Times New Roman"/>
          <w:sz w:val="24"/>
          <w:szCs w:val="24"/>
        </w:rPr>
        <w:t>nella presente sede)</w:t>
      </w:r>
      <w:r w:rsidRPr="0043718F">
        <w:rPr>
          <w:rFonts w:ascii="Garamond" w:hAnsi="Garamond" w:cs="Times New Roman"/>
          <w:sz w:val="24"/>
          <w:szCs w:val="24"/>
        </w:rPr>
        <w:t xml:space="preserve"> </w:t>
      </w:r>
      <w:r w:rsidR="00BE6F8C" w:rsidRPr="00BB44F3">
        <w:rPr>
          <w:rFonts w:ascii="Garamond" w:hAnsi="Garamond" w:cs="Times New Roman"/>
          <w:sz w:val="24"/>
          <w:szCs w:val="24"/>
        </w:rPr>
        <w:t xml:space="preserve">l’attenzione </w:t>
      </w:r>
      <w:r w:rsidR="006D5C5E">
        <w:rPr>
          <w:rFonts w:ascii="Garamond" w:hAnsi="Garamond" w:cs="Times New Roman"/>
          <w:sz w:val="24"/>
          <w:szCs w:val="24"/>
        </w:rPr>
        <w:t>andrà poi</w:t>
      </w:r>
      <w:r w:rsidR="00BE6F8C" w:rsidRPr="00BB44F3">
        <w:rPr>
          <w:rFonts w:ascii="Garamond" w:hAnsi="Garamond" w:cs="Times New Roman"/>
          <w:sz w:val="24"/>
          <w:szCs w:val="24"/>
        </w:rPr>
        <w:t xml:space="preserve"> concentrata sull’affidamento a società mista e su quello a società </w:t>
      </w:r>
      <w:r w:rsidR="00BE6F8C" w:rsidRPr="00BB44F3">
        <w:rPr>
          <w:rFonts w:ascii="Garamond" w:hAnsi="Garamond" w:cs="Times New Roman"/>
          <w:i/>
          <w:sz w:val="24"/>
          <w:szCs w:val="24"/>
        </w:rPr>
        <w:t xml:space="preserve">in </w:t>
      </w:r>
      <w:proofErr w:type="spellStart"/>
      <w:r w:rsidR="00BE6F8C" w:rsidRPr="00BB44F3">
        <w:rPr>
          <w:rFonts w:ascii="Garamond" w:hAnsi="Garamond" w:cs="Times New Roman"/>
          <w:i/>
          <w:sz w:val="24"/>
          <w:szCs w:val="24"/>
        </w:rPr>
        <w:t>house</w:t>
      </w:r>
      <w:proofErr w:type="spellEnd"/>
      <w:r w:rsidR="00BE6F8C" w:rsidRPr="00BB44F3">
        <w:rPr>
          <w:rFonts w:ascii="Garamond" w:hAnsi="Garamond" w:cs="Times New Roman"/>
          <w:sz w:val="24"/>
          <w:szCs w:val="24"/>
        </w:rPr>
        <w:t>.</w:t>
      </w:r>
    </w:p>
    <w:p w14:paraId="315D9374" w14:textId="6DF7D918" w:rsidR="00967ECE" w:rsidRDefault="00967ECE" w:rsidP="002B0099">
      <w:pPr>
        <w:spacing w:after="0" w:line="240" w:lineRule="auto"/>
        <w:ind w:firstLine="454"/>
        <w:contextualSpacing/>
        <w:jc w:val="both"/>
        <w:rPr>
          <w:rFonts w:ascii="Garamond" w:hAnsi="Garamond" w:cs="Times New Roman"/>
          <w:sz w:val="24"/>
          <w:szCs w:val="24"/>
        </w:rPr>
      </w:pPr>
    </w:p>
    <w:p w14:paraId="58505651" w14:textId="71C6FD4A" w:rsidR="0043718F" w:rsidRDefault="0043718F" w:rsidP="0043718F">
      <w:pPr>
        <w:pStyle w:val="Titolo2"/>
      </w:pPr>
      <w:r w:rsidRPr="0043718F">
        <w:t>7.1. L’affidamento a terzi mediante procedura a evidenza pubblica</w:t>
      </w:r>
    </w:p>
    <w:p w14:paraId="08C3BBD2" w14:textId="350ABB7C" w:rsidR="0030657B" w:rsidRDefault="0043718F" w:rsidP="0043718F">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In ordine a tale forma di affidamento l</w:t>
      </w:r>
      <w:r w:rsidR="00B32AE8">
        <w:rPr>
          <w:rFonts w:ascii="Garamond" w:hAnsi="Garamond" w:cs="Times New Roman"/>
          <w:sz w:val="24"/>
          <w:szCs w:val="24"/>
        </w:rPr>
        <w:t>’</w:t>
      </w:r>
      <w:r w:rsidRPr="00BB44F3">
        <w:rPr>
          <w:rFonts w:ascii="Garamond" w:hAnsi="Garamond" w:cs="Times New Roman"/>
          <w:sz w:val="24"/>
          <w:szCs w:val="24"/>
        </w:rPr>
        <w:t xml:space="preserve">art. 15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n. 201/2022 fa rinvio alla disciplina in materia in contratti pubblici</w:t>
      </w:r>
      <w:r w:rsidR="00F913BE">
        <w:rPr>
          <w:rFonts w:ascii="Garamond" w:hAnsi="Garamond" w:cs="Times New Roman"/>
          <w:sz w:val="24"/>
          <w:szCs w:val="24"/>
        </w:rPr>
        <w:t>, oggi contenuta nel Decreto Legislativo 31 marzo 2023, n. 36 (recante il Codice dei contratti pubblici)</w:t>
      </w:r>
      <w:r w:rsidR="00035218">
        <w:rPr>
          <w:rStyle w:val="Rimandonotaapidipagina"/>
          <w:rFonts w:ascii="Garamond" w:hAnsi="Garamond" w:cs="Times New Roman"/>
          <w:sz w:val="24"/>
          <w:szCs w:val="24"/>
        </w:rPr>
        <w:footnoteReference w:id="43"/>
      </w:r>
      <w:r>
        <w:rPr>
          <w:rFonts w:ascii="Garamond" w:hAnsi="Garamond" w:cs="Times New Roman"/>
          <w:sz w:val="24"/>
          <w:szCs w:val="24"/>
        </w:rPr>
        <w:t xml:space="preserve">. </w:t>
      </w:r>
    </w:p>
    <w:p w14:paraId="0036B3C4" w14:textId="77777777" w:rsidR="00DB6274" w:rsidRDefault="0030657B" w:rsidP="0043718F">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Tuttavia, l’art. 15 non si limita ad effettuare tale</w:t>
      </w:r>
      <w:r w:rsidR="00DB6274">
        <w:rPr>
          <w:rFonts w:ascii="Garamond" w:hAnsi="Garamond" w:cs="Times New Roman"/>
          <w:sz w:val="24"/>
          <w:szCs w:val="24"/>
        </w:rPr>
        <w:t xml:space="preserve"> rinvio e</w:t>
      </w:r>
      <w:r>
        <w:rPr>
          <w:rFonts w:ascii="Garamond" w:hAnsi="Garamond" w:cs="Times New Roman"/>
          <w:sz w:val="24"/>
          <w:szCs w:val="24"/>
        </w:rPr>
        <w:t xml:space="preserve"> </w:t>
      </w:r>
      <w:r w:rsidR="00DB6274">
        <w:rPr>
          <w:rFonts w:ascii="Garamond" w:hAnsi="Garamond" w:cs="Times New Roman"/>
          <w:sz w:val="24"/>
          <w:szCs w:val="24"/>
        </w:rPr>
        <w:t>reca un’</w:t>
      </w:r>
      <w:r>
        <w:rPr>
          <w:rFonts w:ascii="Garamond" w:hAnsi="Garamond" w:cs="Times New Roman"/>
          <w:sz w:val="24"/>
          <w:szCs w:val="24"/>
        </w:rPr>
        <w:t>indicazione nel senso che vada favorito</w:t>
      </w:r>
      <w:r w:rsidR="0043718F" w:rsidRPr="00BB44F3">
        <w:rPr>
          <w:rFonts w:ascii="Garamond" w:hAnsi="Garamond" w:cs="Times New Roman"/>
          <w:sz w:val="24"/>
          <w:szCs w:val="24"/>
        </w:rPr>
        <w:t>, “</w:t>
      </w:r>
      <w:r w:rsidR="0043718F" w:rsidRPr="00BB44F3">
        <w:rPr>
          <w:rFonts w:ascii="Garamond" w:hAnsi="Garamond" w:cs="Times New Roman"/>
          <w:i/>
          <w:sz w:val="24"/>
          <w:szCs w:val="24"/>
        </w:rPr>
        <w:t>ove possibile in relazione alle caratteristiche del servizio da erogare, il ricorso a concessioni di servizi rispetto ad appalti pubblici di servizi, in modo da assicurare l'effettivo trasferimento del rischio operativo in capo all'operatore</w:t>
      </w:r>
      <w:r w:rsidR="00B942FA">
        <w:rPr>
          <w:rFonts w:ascii="Garamond" w:hAnsi="Garamond" w:cs="Times New Roman"/>
          <w:sz w:val="24"/>
          <w:szCs w:val="24"/>
        </w:rPr>
        <w:t xml:space="preserve">”. </w:t>
      </w:r>
    </w:p>
    <w:p w14:paraId="336672EB" w14:textId="73C189FA" w:rsidR="0043718F" w:rsidRDefault="00B942FA" w:rsidP="0043718F">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Per l’effetto, la discrezionalità spettante all’ente locale nella scelta tra tali forme di esternalizzazione risulta quantomeno in parte incisa</w:t>
      </w:r>
      <w:r w:rsidR="00831235">
        <w:rPr>
          <w:rFonts w:ascii="Garamond" w:hAnsi="Garamond" w:cs="Times New Roman"/>
          <w:sz w:val="24"/>
          <w:szCs w:val="24"/>
        </w:rPr>
        <w:t xml:space="preserve"> nell’ottica del </w:t>
      </w:r>
      <w:proofErr w:type="spellStart"/>
      <w:r w:rsidR="00831235">
        <w:rPr>
          <w:rFonts w:ascii="Garamond" w:hAnsi="Garamond" w:cs="Times New Roman"/>
          <w:i/>
          <w:sz w:val="24"/>
          <w:szCs w:val="24"/>
        </w:rPr>
        <w:t>favor</w:t>
      </w:r>
      <w:proofErr w:type="spellEnd"/>
      <w:r w:rsidR="00831235">
        <w:rPr>
          <w:rFonts w:ascii="Garamond" w:hAnsi="Garamond" w:cs="Times New Roman"/>
          <w:i/>
          <w:sz w:val="24"/>
          <w:szCs w:val="24"/>
        </w:rPr>
        <w:t xml:space="preserve"> </w:t>
      </w:r>
      <w:r w:rsidR="00831235">
        <w:rPr>
          <w:rFonts w:ascii="Garamond" w:hAnsi="Garamond" w:cs="Times New Roman"/>
          <w:sz w:val="24"/>
          <w:szCs w:val="24"/>
        </w:rPr>
        <w:t>espresso per il trasferimento del rischio operativo in capo all’operatore privato</w:t>
      </w:r>
      <w:r>
        <w:rPr>
          <w:rFonts w:ascii="Garamond" w:hAnsi="Garamond" w:cs="Times New Roman"/>
          <w:sz w:val="24"/>
          <w:szCs w:val="24"/>
        </w:rPr>
        <w:t>.</w:t>
      </w:r>
    </w:p>
    <w:p w14:paraId="6636EE1D" w14:textId="1F251739" w:rsidR="00F913BE" w:rsidRDefault="00F913BE" w:rsidP="0043718F">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Va ricordato che la concessione si colloca nell’alveo del partenariato pubblico – privato di tipo contrattuale ai sensi del comma 3 dell’art. 174</w:t>
      </w:r>
      <w:r>
        <w:rPr>
          <w:rStyle w:val="Rimandonotaapidipagina"/>
          <w:rFonts w:ascii="Garamond" w:hAnsi="Garamond" w:cs="Times New Roman"/>
          <w:sz w:val="24"/>
          <w:szCs w:val="24"/>
        </w:rPr>
        <w:footnoteReference w:id="44"/>
      </w:r>
      <w:r>
        <w:rPr>
          <w:rFonts w:ascii="Garamond" w:hAnsi="Garamond" w:cs="Times New Roman"/>
          <w:sz w:val="24"/>
          <w:szCs w:val="24"/>
        </w:rPr>
        <w:t>.</w:t>
      </w:r>
    </w:p>
    <w:p w14:paraId="1D78BA88" w14:textId="57FB5763" w:rsidR="006D5C5E" w:rsidRPr="00BB44F3" w:rsidRDefault="0030657B" w:rsidP="006A4872">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C</w:t>
      </w:r>
      <w:r w:rsidR="006D5C5E">
        <w:rPr>
          <w:rFonts w:ascii="Garamond" w:hAnsi="Garamond" w:cs="Times New Roman"/>
          <w:sz w:val="24"/>
          <w:szCs w:val="24"/>
        </w:rPr>
        <w:t xml:space="preserve">on </w:t>
      </w:r>
      <w:r w:rsidR="00F913BE">
        <w:rPr>
          <w:rFonts w:ascii="Garamond" w:hAnsi="Garamond" w:cs="Times New Roman"/>
          <w:sz w:val="24"/>
          <w:szCs w:val="24"/>
        </w:rPr>
        <w:t xml:space="preserve">specifico </w:t>
      </w:r>
      <w:r w:rsidR="006D5C5E">
        <w:rPr>
          <w:rFonts w:ascii="Garamond" w:hAnsi="Garamond" w:cs="Times New Roman"/>
          <w:sz w:val="24"/>
          <w:szCs w:val="24"/>
        </w:rPr>
        <w:t xml:space="preserve">riferimento alle concessioni dei servizi economici di interesse generale l’art. 176 del </w:t>
      </w:r>
      <w:r w:rsidR="00F913BE">
        <w:rPr>
          <w:rFonts w:ascii="Garamond" w:hAnsi="Garamond" w:cs="Times New Roman"/>
          <w:sz w:val="24"/>
          <w:szCs w:val="24"/>
        </w:rPr>
        <w:t xml:space="preserve">D. </w:t>
      </w:r>
      <w:proofErr w:type="spellStart"/>
      <w:r w:rsidR="00F913BE">
        <w:rPr>
          <w:rFonts w:ascii="Garamond" w:hAnsi="Garamond" w:cs="Times New Roman"/>
          <w:sz w:val="24"/>
          <w:szCs w:val="24"/>
        </w:rPr>
        <w:t>Lgs</w:t>
      </w:r>
      <w:proofErr w:type="spellEnd"/>
      <w:r w:rsidR="00F913BE">
        <w:rPr>
          <w:rFonts w:ascii="Garamond" w:hAnsi="Garamond" w:cs="Times New Roman"/>
          <w:sz w:val="24"/>
          <w:szCs w:val="24"/>
        </w:rPr>
        <w:t>. n. 36/2023</w:t>
      </w:r>
      <w:r w:rsidR="006D5C5E">
        <w:rPr>
          <w:rFonts w:ascii="Garamond" w:hAnsi="Garamond" w:cs="Times New Roman"/>
          <w:sz w:val="24"/>
          <w:szCs w:val="24"/>
        </w:rPr>
        <w:t xml:space="preserve"> dispone</w:t>
      </w:r>
      <w:r>
        <w:rPr>
          <w:rFonts w:ascii="Garamond" w:hAnsi="Garamond" w:cs="Times New Roman"/>
          <w:sz w:val="24"/>
          <w:szCs w:val="24"/>
        </w:rPr>
        <w:t xml:space="preserve"> poi</w:t>
      </w:r>
      <w:r w:rsidR="006D5C5E">
        <w:rPr>
          <w:rFonts w:ascii="Garamond" w:hAnsi="Garamond" w:cs="Times New Roman"/>
          <w:sz w:val="24"/>
          <w:szCs w:val="24"/>
        </w:rPr>
        <w:t xml:space="preserve"> l’applicazione delle norme contenute nella parte II del libro IV del Codice dei contratti pubblici, facendo salvo per i profili non disciplinati quanto previsto dal D. </w:t>
      </w:r>
      <w:proofErr w:type="spellStart"/>
      <w:r w:rsidR="006D5C5E">
        <w:rPr>
          <w:rFonts w:ascii="Garamond" w:hAnsi="Garamond" w:cs="Times New Roman"/>
          <w:sz w:val="24"/>
          <w:szCs w:val="24"/>
        </w:rPr>
        <w:t>Lgs</w:t>
      </w:r>
      <w:proofErr w:type="spellEnd"/>
      <w:r w:rsidR="006D5C5E">
        <w:rPr>
          <w:rFonts w:ascii="Garamond" w:hAnsi="Garamond" w:cs="Times New Roman"/>
          <w:sz w:val="24"/>
          <w:szCs w:val="24"/>
        </w:rPr>
        <w:t>. n. 201/2022 e dalle altre norme speciali di settore</w:t>
      </w:r>
      <w:r w:rsidR="006D5C5E">
        <w:rPr>
          <w:rStyle w:val="Rimandonotaapidipagina"/>
          <w:rFonts w:ascii="Garamond" w:hAnsi="Garamond" w:cs="Times New Roman"/>
          <w:sz w:val="24"/>
          <w:szCs w:val="24"/>
        </w:rPr>
        <w:footnoteReference w:id="45"/>
      </w:r>
      <w:r w:rsidR="006D5C5E">
        <w:rPr>
          <w:rFonts w:ascii="Garamond" w:hAnsi="Garamond" w:cs="Times New Roman"/>
          <w:sz w:val="24"/>
          <w:szCs w:val="24"/>
        </w:rPr>
        <w:t>.</w:t>
      </w:r>
    </w:p>
    <w:p w14:paraId="79EFF5E4" w14:textId="77777777" w:rsidR="0043718F" w:rsidRPr="0043718F" w:rsidRDefault="0043718F" w:rsidP="006A4872">
      <w:pPr>
        <w:spacing w:after="0" w:line="240" w:lineRule="auto"/>
        <w:contextualSpacing/>
      </w:pPr>
    </w:p>
    <w:p w14:paraId="7A9204CE" w14:textId="183D509E" w:rsidR="00735EBE" w:rsidRPr="0043718F" w:rsidRDefault="0043718F" w:rsidP="006A4872">
      <w:pPr>
        <w:pStyle w:val="Titolo2"/>
        <w:spacing w:before="0" w:line="240" w:lineRule="auto"/>
        <w:contextualSpacing/>
      </w:pPr>
      <w:bookmarkStart w:id="260" w:name="_Toc209095133"/>
      <w:bookmarkStart w:id="261" w:name="_Toc209095194"/>
      <w:bookmarkStart w:id="262" w:name="_Toc209095669"/>
      <w:bookmarkStart w:id="263" w:name="_Toc209095702"/>
      <w:bookmarkStart w:id="264" w:name="_Toc209095735"/>
      <w:bookmarkStart w:id="265" w:name="_Toc209097849"/>
      <w:bookmarkStart w:id="266" w:name="_Toc209097883"/>
      <w:bookmarkStart w:id="267" w:name="_Toc209104530"/>
      <w:bookmarkStart w:id="268" w:name="_Toc209105892"/>
      <w:bookmarkStart w:id="269" w:name="_Toc209106777"/>
      <w:bookmarkStart w:id="270" w:name="_Toc209107516"/>
      <w:bookmarkStart w:id="271" w:name="_Toc209181416"/>
      <w:bookmarkStart w:id="272" w:name="_Toc209181506"/>
      <w:bookmarkStart w:id="273" w:name="_Toc209181562"/>
      <w:bookmarkStart w:id="274" w:name="_Toc209182713"/>
      <w:bookmarkStart w:id="275" w:name="_Toc209182910"/>
      <w:r w:rsidRPr="0043718F">
        <w:t>7.2</w:t>
      </w:r>
      <w:r w:rsidR="008F57CC" w:rsidRPr="0043718F">
        <w:t xml:space="preserve">. </w:t>
      </w:r>
      <w:r w:rsidR="00735EBE" w:rsidRPr="0043718F">
        <w:t>L’affidamento a società mista</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28F6BDD" w14:textId="511FB95D" w:rsidR="00F913BE" w:rsidRDefault="00F913BE" w:rsidP="006A4872">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Ai sensi del comma 4 dell’art. 174 del D. </w:t>
      </w:r>
      <w:proofErr w:type="spellStart"/>
      <w:r>
        <w:rPr>
          <w:rFonts w:ascii="Garamond" w:hAnsi="Garamond" w:cs="Times New Roman"/>
          <w:sz w:val="24"/>
          <w:szCs w:val="24"/>
        </w:rPr>
        <w:t>Lgs</w:t>
      </w:r>
      <w:proofErr w:type="spellEnd"/>
      <w:r>
        <w:rPr>
          <w:rFonts w:ascii="Garamond" w:hAnsi="Garamond" w:cs="Times New Roman"/>
          <w:sz w:val="24"/>
          <w:szCs w:val="24"/>
        </w:rPr>
        <w:t>. n. 36/2023 tale forma di gestione costituisce una forma di partenariato pubblico – privato di tipo istituzionale che “</w:t>
      </w:r>
      <w:r w:rsidRPr="00F913BE">
        <w:rPr>
          <w:rFonts w:ascii="Garamond" w:hAnsi="Garamond" w:cs="Times New Roman"/>
          <w:i/>
          <w:sz w:val="24"/>
          <w:szCs w:val="24"/>
        </w:rPr>
        <w:t>si realizza attraverso la creazione di un ente partecipato congiuntamente dalla parte privata e da quella pubblica</w:t>
      </w:r>
      <w:r>
        <w:rPr>
          <w:rFonts w:ascii="Garamond" w:hAnsi="Garamond" w:cs="Times New Roman"/>
          <w:sz w:val="24"/>
          <w:szCs w:val="24"/>
        </w:rPr>
        <w:t>”.</w:t>
      </w:r>
    </w:p>
    <w:p w14:paraId="0379B521" w14:textId="49C8E25C" w:rsidR="00735EBE" w:rsidRPr="00BB44F3" w:rsidRDefault="00735EB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 procedura è quella di cui all’art. 17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BE6F8C" w:rsidRPr="00BB44F3">
        <w:rPr>
          <w:rFonts w:ascii="Garamond" w:hAnsi="Garamond" w:cs="Times New Roman"/>
          <w:sz w:val="24"/>
          <w:szCs w:val="24"/>
        </w:rPr>
        <w:t xml:space="preserve">n. </w:t>
      </w:r>
      <w:r w:rsidRPr="00BB44F3">
        <w:rPr>
          <w:rFonts w:ascii="Garamond" w:hAnsi="Garamond" w:cs="Times New Roman"/>
          <w:sz w:val="24"/>
          <w:szCs w:val="24"/>
        </w:rPr>
        <w:t xml:space="preserve">175/2016, ragion per cui la gara deve </w:t>
      </w:r>
      <w:r w:rsidR="00BE6F8C" w:rsidRPr="00BB44F3">
        <w:rPr>
          <w:rFonts w:ascii="Garamond" w:hAnsi="Garamond" w:cs="Times New Roman"/>
          <w:sz w:val="24"/>
          <w:szCs w:val="24"/>
        </w:rPr>
        <w:t>essere a doppio oggetto</w:t>
      </w:r>
      <w:r w:rsidR="001751BF">
        <w:rPr>
          <w:rFonts w:ascii="Garamond" w:hAnsi="Garamond" w:cs="Times New Roman"/>
          <w:sz w:val="24"/>
          <w:szCs w:val="24"/>
        </w:rPr>
        <w:t>, vale a dire che</w:t>
      </w:r>
      <w:r w:rsidR="00BE6F8C" w:rsidRPr="00BB44F3">
        <w:rPr>
          <w:rFonts w:ascii="Garamond" w:hAnsi="Garamond" w:cs="Times New Roman"/>
          <w:sz w:val="24"/>
          <w:szCs w:val="24"/>
        </w:rPr>
        <w:t xml:space="preserve"> deve </w:t>
      </w:r>
      <w:r w:rsidRPr="00BB44F3">
        <w:rPr>
          <w:rFonts w:ascii="Garamond" w:hAnsi="Garamond" w:cs="Times New Roman"/>
          <w:sz w:val="24"/>
          <w:szCs w:val="24"/>
        </w:rPr>
        <w:t>avere ad oggetto allo stesso tempo sia la sottoscrizione / l’acquisto della partecipazione societaria da parte del socio privato, sia l’affidamento del contratto di appalto / concessione oggetto esclusivo dell’attività della società mista.</w:t>
      </w:r>
    </w:p>
    <w:p w14:paraId="3A3D9499" w14:textId="4FDFD9B7" w:rsidR="001748FD" w:rsidRPr="00BB44F3" w:rsidRDefault="001748FD"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legislatore ha previsto una quota di partecipazione minima per il soggetto privato pari al 30%, ma non anche una quota massima, lasciando quindi sul punto discrezionalità all’amministrazione.</w:t>
      </w:r>
    </w:p>
    <w:p w14:paraId="4E5B183F" w14:textId="070B0510" w:rsidR="00735EBE" w:rsidRPr="00BB44F3" w:rsidRDefault="001748FD"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Peraltro, l</w:t>
      </w:r>
      <w:r w:rsidR="00735EBE" w:rsidRPr="00BB44F3">
        <w:rPr>
          <w:rFonts w:ascii="Garamond" w:hAnsi="Garamond" w:cs="Times New Roman"/>
          <w:sz w:val="24"/>
          <w:szCs w:val="24"/>
        </w:rPr>
        <w:t>a partecipazione detenuta nella società mista può essere ceduta in tutto o in parte dall’ente locale mediante procedura ad evidenza pubblica, senza che tale cessione comporti effetti sulla durata delle concessioni e degli affidamenti in essere</w:t>
      </w:r>
      <w:r w:rsidR="005C463E">
        <w:rPr>
          <w:rStyle w:val="Rimandonotaapidipagina"/>
          <w:rFonts w:ascii="Garamond" w:hAnsi="Garamond" w:cs="Times New Roman"/>
          <w:sz w:val="24"/>
          <w:szCs w:val="24"/>
        </w:rPr>
        <w:footnoteReference w:id="46"/>
      </w:r>
      <w:r w:rsidR="00735EBE" w:rsidRPr="00BB44F3">
        <w:rPr>
          <w:rFonts w:ascii="Garamond" w:hAnsi="Garamond" w:cs="Times New Roman"/>
          <w:sz w:val="24"/>
          <w:szCs w:val="24"/>
        </w:rPr>
        <w:t>.</w:t>
      </w:r>
    </w:p>
    <w:p w14:paraId="019E4A1D" w14:textId="64FF0B31" w:rsidR="00BE6F8C" w:rsidRPr="00BB44F3" w:rsidRDefault="00BE6F8C"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previsione consente di passare in corso di affidamento da una logica di esternalizzazione parziale del servizio ad una di esternalizzazione totale, con il temperamento costituito dall’intermediazione di un’ulteriore procedura ad evidenza pubblica rispetto all’originaria gara.</w:t>
      </w:r>
    </w:p>
    <w:p w14:paraId="06A22294" w14:textId="31EBA564" w:rsidR="00735EBE" w:rsidRPr="00BB44F3" w:rsidRDefault="00BE6F8C"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sz w:val="24"/>
          <w:szCs w:val="24"/>
        </w:rPr>
        <w:t>Quanto alla ragion d’essere dell’</w:t>
      </w:r>
      <w:r w:rsidR="00735EBE" w:rsidRPr="00BB44F3">
        <w:rPr>
          <w:rFonts w:ascii="Garamond" w:hAnsi="Garamond" w:cs="Times New Roman"/>
          <w:sz w:val="24"/>
          <w:szCs w:val="24"/>
        </w:rPr>
        <w:t xml:space="preserve">affidamento </w:t>
      </w:r>
      <w:r w:rsidRPr="00BB44F3">
        <w:rPr>
          <w:rFonts w:ascii="Garamond" w:hAnsi="Garamond" w:cs="Times New Roman"/>
          <w:sz w:val="24"/>
          <w:szCs w:val="24"/>
        </w:rPr>
        <w:t xml:space="preserve">a società mista va ricordato che questa forma di affidamento </w:t>
      </w:r>
      <w:r w:rsidR="00735EBE" w:rsidRPr="00BB44F3">
        <w:rPr>
          <w:rFonts w:ascii="Garamond" w:hAnsi="Garamond" w:cs="Times New Roman"/>
          <w:sz w:val="24"/>
          <w:szCs w:val="24"/>
        </w:rPr>
        <w:t>“</w:t>
      </w:r>
      <w:r w:rsidR="00735EBE" w:rsidRPr="00BB44F3">
        <w:rPr>
          <w:rFonts w:ascii="Garamond" w:hAnsi="Garamond" w:cs="Times New Roman"/>
          <w:i/>
          <w:sz w:val="24"/>
          <w:szCs w:val="24"/>
        </w:rPr>
        <w:t xml:space="preserve">mira non solo ad assicurare all’amministrazione un effettivo (e dunque utile) apporto tecnico-professionale dell’operatore economico privato, ma pure a predeterminare in modo netto l’impegno finanziario pubblico. </w:t>
      </w:r>
    </w:p>
    <w:p w14:paraId="77572C02" w14:textId="1162448D" w:rsidR="00735EBE" w:rsidRPr="00BB44F3" w:rsidRDefault="00735EBE"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i/>
          <w:sz w:val="24"/>
          <w:szCs w:val="24"/>
        </w:rPr>
        <w:lastRenderedPageBreak/>
        <w:t>… il socio privato deve infatti essere operativo e non un mero socio di capitale, stante la specificità del ruolo che deve assumere nell’attuazione dell’oggetto sociale: del resto, il coinvolgimento del socio privato per il perseguimento di fini di interessi generali si giustifica proprio per la carenza in seno alla amministrazione pubblica delle competenze necessarie di cui ha la disponibilità il socio privato.</w:t>
      </w:r>
    </w:p>
    <w:p w14:paraId="488BA30B" w14:textId="77777777" w:rsidR="00735EBE" w:rsidRPr="00BB44F3" w:rsidRDefault="00735EBE"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i/>
          <w:sz w:val="24"/>
          <w:szCs w:val="24"/>
        </w:rPr>
        <w:t xml:space="preserve">La partecipazione del socio privato operativo deve essere adeguata, idonea cioè a rendere possibile l’attuazione dell’oggetto sociale; tale adeguatezza è stata fissata dal legislatore nazionale, proprio ai fini del rispetto dei principi </w:t>
      </w:r>
      <w:proofErr w:type="spellStart"/>
      <w:r w:rsidRPr="00BB44F3">
        <w:rPr>
          <w:rFonts w:ascii="Garamond" w:hAnsi="Garamond" w:cs="Times New Roman"/>
          <w:i/>
          <w:sz w:val="24"/>
          <w:szCs w:val="24"/>
        </w:rPr>
        <w:t>eurounitari</w:t>
      </w:r>
      <w:proofErr w:type="spellEnd"/>
      <w:r w:rsidRPr="00BB44F3">
        <w:rPr>
          <w:rFonts w:ascii="Garamond" w:hAnsi="Garamond" w:cs="Times New Roman"/>
          <w:i/>
          <w:sz w:val="24"/>
          <w:szCs w:val="24"/>
        </w:rPr>
        <w:t>, nella soglia minima di partecipazione del 30%.</w:t>
      </w:r>
    </w:p>
    <w:p w14:paraId="4951FF4C" w14:textId="4170FD7E" w:rsidR="00735EBE" w:rsidRPr="00BB44F3" w:rsidRDefault="00735EB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i/>
          <w:sz w:val="24"/>
          <w:szCs w:val="24"/>
        </w:rPr>
        <w:t xml:space="preserve">Sul fronte dell’impegno economico ciò si traduce nella ricerca di capitale privato “terzo”, ossia nella netta e definitiva separazione tra l’onere finanziario assunto ab </w:t>
      </w:r>
      <w:proofErr w:type="spellStart"/>
      <w:r w:rsidRPr="00BB44F3">
        <w:rPr>
          <w:rFonts w:ascii="Garamond" w:hAnsi="Garamond" w:cs="Times New Roman"/>
          <w:i/>
          <w:sz w:val="24"/>
          <w:szCs w:val="24"/>
        </w:rPr>
        <w:t>initio</w:t>
      </w:r>
      <w:proofErr w:type="spellEnd"/>
      <w:r w:rsidRPr="00BB44F3">
        <w:rPr>
          <w:rFonts w:ascii="Garamond" w:hAnsi="Garamond" w:cs="Times New Roman"/>
          <w:i/>
          <w:sz w:val="24"/>
          <w:szCs w:val="24"/>
        </w:rPr>
        <w:t xml:space="preserve"> dall’amministrazione ed il rischio imprenditoriale del privato, che verrebbe potenzialmente (e progressivamente) annullato in presenza di una ulteriore partecipazione indiretta della parte pubblica del capitale della società mista, per effetto della contestuale partecipazione della prima al capitale sociale del partner operativo</w:t>
      </w:r>
      <w:r w:rsidRPr="00BB44F3">
        <w:rPr>
          <w:rFonts w:ascii="Garamond" w:hAnsi="Garamond" w:cs="Times New Roman"/>
          <w:sz w:val="24"/>
          <w:szCs w:val="24"/>
        </w:rPr>
        <w:t>”</w:t>
      </w:r>
      <w:r w:rsidRPr="00BB44F3">
        <w:rPr>
          <w:rStyle w:val="Rimandonotaapidipagina"/>
          <w:rFonts w:ascii="Garamond" w:hAnsi="Garamond" w:cs="Times New Roman"/>
          <w:sz w:val="24"/>
          <w:szCs w:val="24"/>
        </w:rPr>
        <w:footnoteReference w:id="47"/>
      </w:r>
      <w:r w:rsidRPr="00BB44F3">
        <w:rPr>
          <w:rFonts w:ascii="Garamond" w:hAnsi="Garamond" w:cs="Times New Roman"/>
          <w:sz w:val="24"/>
          <w:szCs w:val="24"/>
        </w:rPr>
        <w:t>.</w:t>
      </w:r>
    </w:p>
    <w:p w14:paraId="5A28E42A" w14:textId="3552877F" w:rsidR="00967ECE" w:rsidRPr="00BB44F3" w:rsidRDefault="00A404D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 giurisprudenza amministrativa si è occupata dalla questione della possibilità per la società mista di ricorrere avverso </w:t>
      </w:r>
      <w:r w:rsidR="00D25CD4">
        <w:rPr>
          <w:rFonts w:ascii="Garamond" w:hAnsi="Garamond" w:cs="Times New Roman"/>
          <w:sz w:val="24"/>
          <w:szCs w:val="24"/>
        </w:rPr>
        <w:t xml:space="preserve">una </w:t>
      </w:r>
      <w:r w:rsidRPr="00BB44F3">
        <w:rPr>
          <w:rFonts w:ascii="Garamond" w:hAnsi="Garamond" w:cs="Times New Roman"/>
          <w:sz w:val="24"/>
          <w:szCs w:val="24"/>
        </w:rPr>
        <w:t xml:space="preserve">delibera </w:t>
      </w:r>
      <w:r w:rsidR="007948E9">
        <w:rPr>
          <w:rFonts w:ascii="Garamond" w:hAnsi="Garamond" w:cs="Times New Roman"/>
          <w:sz w:val="24"/>
          <w:szCs w:val="24"/>
        </w:rPr>
        <w:t>con cui un Comune ha disposto l’</w:t>
      </w:r>
      <w:r w:rsidRPr="00BB44F3">
        <w:rPr>
          <w:rFonts w:ascii="Garamond" w:hAnsi="Garamond" w:cs="Times New Roman"/>
          <w:sz w:val="24"/>
          <w:szCs w:val="24"/>
        </w:rPr>
        <w:t xml:space="preserve">affidamento a soggetto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 xml:space="preserve">del servizio di igiene urbana laddove tale affidamento non rientri nell’ambito del servizio per il cui affidamento è stata costituita la società mista </w:t>
      </w:r>
      <w:r w:rsidR="007948E9">
        <w:rPr>
          <w:rFonts w:ascii="Garamond" w:hAnsi="Garamond" w:cs="Times New Roman"/>
          <w:sz w:val="24"/>
          <w:szCs w:val="24"/>
        </w:rPr>
        <w:t>(</w:t>
      </w:r>
      <w:r w:rsidRPr="00BB44F3">
        <w:rPr>
          <w:rFonts w:ascii="Garamond" w:hAnsi="Garamond" w:cs="Times New Roman"/>
          <w:sz w:val="24"/>
          <w:szCs w:val="24"/>
        </w:rPr>
        <w:t>per quanto si tratti di servizio similare</w:t>
      </w:r>
      <w:r w:rsidR="007948E9">
        <w:rPr>
          <w:rFonts w:ascii="Garamond" w:hAnsi="Garamond" w:cs="Times New Roman"/>
          <w:sz w:val="24"/>
          <w:szCs w:val="24"/>
        </w:rPr>
        <w:t>)</w:t>
      </w:r>
      <w:r w:rsidRPr="00BB44F3">
        <w:rPr>
          <w:rFonts w:ascii="Garamond" w:hAnsi="Garamond" w:cs="Times New Roman"/>
          <w:sz w:val="24"/>
          <w:szCs w:val="24"/>
        </w:rPr>
        <w:t>.</w:t>
      </w:r>
    </w:p>
    <w:p w14:paraId="75A73072" w14:textId="6C376606" w:rsidR="00487F56" w:rsidRPr="00BB44F3" w:rsidRDefault="00A404D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particolare, </w:t>
      </w:r>
      <w:r w:rsidR="003F6A45" w:rsidRPr="00BB44F3">
        <w:rPr>
          <w:rFonts w:ascii="Garamond" w:hAnsi="Garamond" w:cs="Times New Roman"/>
          <w:sz w:val="24"/>
          <w:szCs w:val="24"/>
        </w:rPr>
        <w:t>T.A.R. Lazio, Sezione</w:t>
      </w:r>
      <w:r w:rsidR="003E0DCE" w:rsidRPr="00BB44F3">
        <w:rPr>
          <w:rFonts w:ascii="Garamond" w:hAnsi="Garamond" w:cs="Times New Roman"/>
          <w:sz w:val="24"/>
          <w:szCs w:val="24"/>
        </w:rPr>
        <w:t xml:space="preserve"> Seconda</w:t>
      </w:r>
      <w:r w:rsidR="003F6A45" w:rsidRPr="00BB44F3">
        <w:rPr>
          <w:rFonts w:ascii="Garamond" w:hAnsi="Garamond" w:cs="Times New Roman"/>
          <w:sz w:val="24"/>
          <w:szCs w:val="24"/>
        </w:rPr>
        <w:t xml:space="preserve"> Bis, 28 novembre 2023, n. 17846</w:t>
      </w:r>
      <w:r w:rsidRPr="00BB44F3">
        <w:rPr>
          <w:rFonts w:ascii="Garamond" w:hAnsi="Garamond" w:cs="Times New Roman"/>
          <w:sz w:val="24"/>
          <w:szCs w:val="24"/>
        </w:rPr>
        <w:t xml:space="preserve"> ha affrontato una vicenda nella quale l</w:t>
      </w:r>
      <w:r w:rsidR="003F6A45" w:rsidRPr="00BB44F3">
        <w:rPr>
          <w:rFonts w:ascii="Garamond" w:hAnsi="Garamond" w:cs="Times New Roman"/>
          <w:sz w:val="24"/>
          <w:szCs w:val="24"/>
        </w:rPr>
        <w:t>a ricorrente, società a capitale misto pubblico e privato costituita all’esito di apposita gara a doppio oggetto indetta dalla Provincia di Rieti per la selezione del socio privato operativo e per l’affidamento del servizio pubblico di gestione integrata dei rifiuti urbani per i Comuni soci, ha impugnato la delibera del Consiglio comunale di Rieti</w:t>
      </w:r>
      <w:r w:rsidR="007948E9">
        <w:rPr>
          <w:rFonts w:ascii="Garamond" w:hAnsi="Garamond" w:cs="Times New Roman"/>
          <w:sz w:val="24"/>
          <w:szCs w:val="24"/>
        </w:rPr>
        <w:t xml:space="preserve"> di</w:t>
      </w:r>
      <w:r w:rsidR="003F6A45" w:rsidRPr="00BB44F3">
        <w:rPr>
          <w:rFonts w:ascii="Garamond" w:hAnsi="Garamond" w:cs="Times New Roman"/>
          <w:sz w:val="24"/>
          <w:szCs w:val="24"/>
        </w:rPr>
        <w:t xml:space="preserve"> affidamento a società </w:t>
      </w:r>
      <w:r w:rsidR="003F6A45" w:rsidRPr="00BB44F3">
        <w:rPr>
          <w:rFonts w:ascii="Garamond" w:hAnsi="Garamond" w:cs="Times New Roman"/>
          <w:i/>
          <w:sz w:val="24"/>
          <w:szCs w:val="24"/>
        </w:rPr>
        <w:t xml:space="preserve">in </w:t>
      </w:r>
      <w:proofErr w:type="spellStart"/>
      <w:r w:rsidR="003F6A45" w:rsidRPr="00BB44F3">
        <w:rPr>
          <w:rFonts w:ascii="Garamond" w:hAnsi="Garamond" w:cs="Times New Roman"/>
          <w:i/>
          <w:sz w:val="24"/>
          <w:szCs w:val="24"/>
        </w:rPr>
        <w:t>house</w:t>
      </w:r>
      <w:proofErr w:type="spellEnd"/>
      <w:r w:rsidR="003F6A45" w:rsidRPr="00BB44F3">
        <w:rPr>
          <w:rFonts w:ascii="Garamond" w:hAnsi="Garamond" w:cs="Times New Roman"/>
          <w:i/>
          <w:sz w:val="24"/>
          <w:szCs w:val="24"/>
        </w:rPr>
        <w:t xml:space="preserve"> </w:t>
      </w:r>
      <w:r w:rsidR="003F6A45" w:rsidRPr="00BB44F3">
        <w:rPr>
          <w:rFonts w:ascii="Garamond" w:hAnsi="Garamond" w:cs="Times New Roman"/>
          <w:sz w:val="24"/>
          <w:szCs w:val="24"/>
        </w:rPr>
        <w:t>del servizio pubblico di igiene urbana per quattro anni, nonché gli atti connessi.</w:t>
      </w:r>
      <w:r w:rsidRPr="00BB44F3">
        <w:rPr>
          <w:rFonts w:ascii="Garamond" w:hAnsi="Garamond" w:cs="Times New Roman"/>
          <w:sz w:val="24"/>
          <w:szCs w:val="24"/>
        </w:rPr>
        <w:t xml:space="preserve"> </w:t>
      </w:r>
      <w:r w:rsidR="00487F56" w:rsidRPr="00BB44F3">
        <w:rPr>
          <w:rFonts w:ascii="Garamond" w:hAnsi="Garamond" w:cs="Times New Roman"/>
          <w:sz w:val="24"/>
          <w:szCs w:val="24"/>
        </w:rPr>
        <w:t xml:space="preserve">La ricorrente ha evidenziato di essere società che gestiva i rifiuti urbani in </w:t>
      </w:r>
      <w:r w:rsidR="007948E9">
        <w:rPr>
          <w:rFonts w:ascii="Garamond" w:hAnsi="Garamond" w:cs="Times New Roman"/>
          <w:sz w:val="24"/>
          <w:szCs w:val="24"/>
        </w:rPr>
        <w:t>buona parte dei Comuni</w:t>
      </w:r>
      <w:r w:rsidR="00487F56" w:rsidRPr="00BB44F3">
        <w:rPr>
          <w:rFonts w:ascii="Garamond" w:hAnsi="Garamond" w:cs="Times New Roman"/>
          <w:sz w:val="24"/>
          <w:szCs w:val="24"/>
        </w:rPr>
        <w:t xml:space="preserve"> della Provincia di Rieti.</w:t>
      </w:r>
    </w:p>
    <w:p w14:paraId="47AC4B10" w14:textId="5759724B" w:rsidR="00487F56" w:rsidRPr="00BB44F3" w:rsidRDefault="00487F5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Il T.A.R. ha dichiarato il ricorso inammissibile, ritenendo che non potendo la ricorrente partecipare a procedure d’appalto o di concessione </w:t>
      </w:r>
      <w:r w:rsidR="00A404DB" w:rsidRPr="00BB44F3">
        <w:rPr>
          <w:rFonts w:ascii="Garamond" w:hAnsi="Garamond" w:cs="Times New Roman"/>
          <w:sz w:val="24"/>
          <w:szCs w:val="24"/>
        </w:rPr>
        <w:t xml:space="preserve">ulteriori </w:t>
      </w:r>
      <w:r w:rsidRPr="00BB44F3">
        <w:rPr>
          <w:rFonts w:ascii="Garamond" w:hAnsi="Garamond" w:cs="Times New Roman"/>
          <w:sz w:val="24"/>
          <w:szCs w:val="24"/>
        </w:rPr>
        <w:t>la stessa non sia titolare d’interesse a ricorrere nell’ottica dell’affidamento del servizio di igiene urbana attraverso l’esternalizzazione dello stesso.</w:t>
      </w:r>
    </w:p>
    <w:p w14:paraId="00D125DD" w14:textId="53EA135B" w:rsidR="00487F56" w:rsidRPr="00BB44F3" w:rsidRDefault="00487F5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Il Tribunale ha richiamato </w:t>
      </w:r>
      <w:r w:rsidR="00A404DB" w:rsidRPr="00BB44F3">
        <w:rPr>
          <w:rFonts w:ascii="Garamond" w:hAnsi="Garamond" w:cs="Times New Roman"/>
          <w:sz w:val="24"/>
          <w:szCs w:val="24"/>
        </w:rPr>
        <w:t>gli artt.</w:t>
      </w:r>
      <w:r w:rsidRPr="00BB44F3">
        <w:rPr>
          <w:rFonts w:ascii="Garamond" w:hAnsi="Garamond" w:cs="Times New Roman"/>
          <w:sz w:val="24"/>
          <w:szCs w:val="24"/>
        </w:rPr>
        <w:t xml:space="preserve"> 17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A404DB" w:rsidRPr="00BB44F3">
        <w:rPr>
          <w:rFonts w:ascii="Garamond" w:hAnsi="Garamond" w:cs="Times New Roman"/>
          <w:sz w:val="24"/>
          <w:szCs w:val="24"/>
        </w:rPr>
        <w:t xml:space="preserve">n. </w:t>
      </w:r>
      <w:r w:rsidRPr="00BB44F3">
        <w:rPr>
          <w:rFonts w:ascii="Garamond" w:hAnsi="Garamond" w:cs="Times New Roman"/>
          <w:sz w:val="24"/>
          <w:szCs w:val="24"/>
        </w:rPr>
        <w:t>175/2016</w:t>
      </w:r>
      <w:r w:rsidR="0032232A" w:rsidRPr="00BB44F3">
        <w:rPr>
          <w:rFonts w:ascii="Garamond" w:hAnsi="Garamond" w:cs="Times New Roman"/>
          <w:sz w:val="24"/>
          <w:szCs w:val="24"/>
        </w:rPr>
        <w:t xml:space="preserve"> e 16 del D. </w:t>
      </w:r>
      <w:proofErr w:type="spellStart"/>
      <w:r w:rsidR="0032232A" w:rsidRPr="00BB44F3">
        <w:rPr>
          <w:rFonts w:ascii="Garamond" w:hAnsi="Garamond" w:cs="Times New Roman"/>
          <w:sz w:val="24"/>
          <w:szCs w:val="24"/>
        </w:rPr>
        <w:t>Lgs</w:t>
      </w:r>
      <w:proofErr w:type="spellEnd"/>
      <w:r w:rsidR="0032232A" w:rsidRPr="00BB44F3">
        <w:rPr>
          <w:rFonts w:ascii="Garamond" w:hAnsi="Garamond" w:cs="Times New Roman"/>
          <w:sz w:val="24"/>
          <w:szCs w:val="24"/>
        </w:rPr>
        <w:t xml:space="preserve">. </w:t>
      </w:r>
      <w:r w:rsidR="00A404DB" w:rsidRPr="00BB44F3">
        <w:rPr>
          <w:rFonts w:ascii="Garamond" w:hAnsi="Garamond" w:cs="Times New Roman"/>
          <w:sz w:val="24"/>
          <w:szCs w:val="24"/>
        </w:rPr>
        <w:t xml:space="preserve">n. </w:t>
      </w:r>
      <w:r w:rsidR="0032232A" w:rsidRPr="00BB44F3">
        <w:rPr>
          <w:rFonts w:ascii="Garamond" w:hAnsi="Garamond" w:cs="Times New Roman"/>
          <w:sz w:val="24"/>
          <w:szCs w:val="24"/>
        </w:rPr>
        <w:t>201/2022, ritenendo che</w:t>
      </w:r>
      <w:r w:rsidR="003C6EA0" w:rsidRPr="00BB44F3">
        <w:rPr>
          <w:rFonts w:ascii="Garamond" w:hAnsi="Garamond" w:cs="Times New Roman"/>
          <w:sz w:val="24"/>
          <w:szCs w:val="24"/>
        </w:rPr>
        <w:t xml:space="preserve"> da</w:t>
      </w:r>
      <w:r w:rsidR="0032232A" w:rsidRPr="00BB44F3">
        <w:rPr>
          <w:rFonts w:ascii="Garamond" w:hAnsi="Garamond" w:cs="Times New Roman"/>
          <w:sz w:val="24"/>
          <w:szCs w:val="24"/>
        </w:rPr>
        <w:t xml:space="preserve"> tali disposizioni </w:t>
      </w:r>
      <w:r w:rsidR="003C6EA0" w:rsidRPr="00BB44F3">
        <w:rPr>
          <w:rFonts w:ascii="Garamond" w:hAnsi="Garamond" w:cs="Times New Roman"/>
          <w:sz w:val="24"/>
          <w:szCs w:val="24"/>
        </w:rPr>
        <w:t>“</w:t>
      </w:r>
      <w:r w:rsidR="0032232A" w:rsidRPr="00BB44F3">
        <w:rPr>
          <w:rFonts w:ascii="Garamond" w:hAnsi="Garamond" w:cs="Times New Roman"/>
          <w:i/>
          <w:sz w:val="24"/>
          <w:szCs w:val="24"/>
        </w:rPr>
        <w:t>emerge che le società miste costituite per la scelta del socio privato e per l’affidamento di un servizio pubblico, quale è la ricorrente, debbono espletare, in via esclusiva, il servizio per il cui affidamento sono state costituite e, pertanto, non possono partecipare alle gare indette da altre amministrazioni anche se relative a servizi similari</w:t>
      </w:r>
      <w:r w:rsidR="003C6EA0" w:rsidRPr="00BB44F3">
        <w:rPr>
          <w:rFonts w:ascii="Garamond" w:hAnsi="Garamond" w:cs="Times New Roman"/>
          <w:sz w:val="24"/>
          <w:szCs w:val="24"/>
        </w:rPr>
        <w:t>”</w:t>
      </w:r>
      <w:r w:rsidR="0032232A" w:rsidRPr="00BB44F3">
        <w:rPr>
          <w:rFonts w:ascii="Garamond" w:hAnsi="Garamond" w:cs="Times New Roman"/>
          <w:sz w:val="24"/>
          <w:szCs w:val="24"/>
        </w:rPr>
        <w:t>.</w:t>
      </w:r>
    </w:p>
    <w:p w14:paraId="4BF3B4ED" w14:textId="17C09BC1" w:rsidR="003C6EA0" w:rsidRPr="00BB44F3" w:rsidRDefault="003C6EA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Tribunale ha poi evidenziato quanto segue:</w:t>
      </w:r>
    </w:p>
    <w:p w14:paraId="509354BF" w14:textId="77777777" w:rsidR="003C6EA0" w:rsidRPr="00BB44F3" w:rsidRDefault="003C6EA0"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sz w:val="24"/>
          <w:szCs w:val="24"/>
        </w:rPr>
        <w:t>“</w:t>
      </w:r>
      <w:r w:rsidRPr="00BB44F3">
        <w:rPr>
          <w:rFonts w:ascii="Garamond" w:hAnsi="Garamond" w:cs="Times New Roman"/>
          <w:i/>
          <w:sz w:val="24"/>
          <w:szCs w:val="24"/>
        </w:rPr>
        <w:t xml:space="preserve">- a conferma del fatto che la strumentalità della società mista rispetto al servizio per il quale l’ente è stato costituito debba essere intesa in termini di esclusività dell’oggetto della società stessa, il comma 3 collega indissolubilmente la durata della partecipazione privata alla </w:t>
      </w:r>
      <w:proofErr w:type="spellStart"/>
      <w:r w:rsidRPr="00BB44F3">
        <w:rPr>
          <w:rFonts w:ascii="Garamond" w:hAnsi="Garamond" w:cs="Times New Roman"/>
          <w:i/>
          <w:sz w:val="24"/>
          <w:szCs w:val="24"/>
        </w:rPr>
        <w:t>societa'</w:t>
      </w:r>
      <w:proofErr w:type="spellEnd"/>
      <w:r w:rsidRPr="00BB44F3">
        <w:rPr>
          <w:rFonts w:ascii="Garamond" w:hAnsi="Garamond" w:cs="Times New Roman"/>
          <w:i/>
          <w:sz w:val="24"/>
          <w:szCs w:val="24"/>
        </w:rPr>
        <w:t xml:space="preserve"> alla durata dell'appalto o della concessione prescrivendo, altresì, meccanismi statutari di “scioglimento del rapporto societario in caso di risoluzione del contratto di servizio”. Ove si ammettesse la possibilità delle società miste di partecipare a gare indette da altre amministrazioni si perverrebbe all’incongruo risultato per cui la legittimazione a tale partecipazione sarebbe, in fatto, condizionata dalla durata del contratto di servizio affidato in sede di costituzione della società; inoltre, l’esecuzione degli appalti affidati all’esito delle gare indette da amministrazioni diverse da quelle socie finirebbe per essere risolutivamente condizionata allo scioglimento del rapporto societario della società mista conseguente alla risoluzione del contratto di servizio il che sarebbe ovviamente inammissibile per i principi di economicità e buon andamento dell’azione amministrativa che, ai sensi degli artt. 30 d. </w:t>
      </w:r>
      <w:proofErr w:type="spellStart"/>
      <w:r w:rsidRPr="00BB44F3">
        <w:rPr>
          <w:rFonts w:ascii="Garamond" w:hAnsi="Garamond" w:cs="Times New Roman"/>
          <w:i/>
          <w:sz w:val="24"/>
          <w:szCs w:val="24"/>
        </w:rPr>
        <w:t>lgs</w:t>
      </w:r>
      <w:proofErr w:type="spellEnd"/>
      <w:r w:rsidRPr="00BB44F3">
        <w:rPr>
          <w:rFonts w:ascii="Garamond" w:hAnsi="Garamond" w:cs="Times New Roman"/>
          <w:i/>
          <w:sz w:val="24"/>
          <w:szCs w:val="24"/>
        </w:rPr>
        <w:t xml:space="preserve">. n. 50/16 e 1 d. </w:t>
      </w:r>
      <w:proofErr w:type="spellStart"/>
      <w:r w:rsidRPr="00BB44F3">
        <w:rPr>
          <w:rFonts w:ascii="Garamond" w:hAnsi="Garamond" w:cs="Times New Roman"/>
          <w:i/>
          <w:sz w:val="24"/>
          <w:szCs w:val="24"/>
        </w:rPr>
        <w:t>lgs</w:t>
      </w:r>
      <w:proofErr w:type="spellEnd"/>
      <w:r w:rsidRPr="00BB44F3">
        <w:rPr>
          <w:rFonts w:ascii="Garamond" w:hAnsi="Garamond" w:cs="Times New Roman"/>
          <w:i/>
          <w:sz w:val="24"/>
          <w:szCs w:val="24"/>
        </w:rPr>
        <w:t>. n. 36/23, sono riferibili anche agli appalti pubblici;</w:t>
      </w:r>
    </w:p>
    <w:p w14:paraId="3F271594" w14:textId="77777777" w:rsidR="003C6EA0" w:rsidRPr="00BB44F3" w:rsidRDefault="003C6EA0"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i/>
          <w:sz w:val="24"/>
          <w:szCs w:val="24"/>
        </w:rPr>
        <w:t xml:space="preserve">- nella stessa ottica va riguardata la possibilità che i patti parasociali, pur potendo avere durata superiore a cinque anni, in deroga all'articolo 2341-bis comma 1 c.c., devono, comunque, essere contenuti “entro i limiti di durata del contratto per la cui esecuzione la </w:t>
      </w:r>
      <w:proofErr w:type="spellStart"/>
      <w:r w:rsidRPr="00BB44F3">
        <w:rPr>
          <w:rFonts w:ascii="Garamond" w:hAnsi="Garamond" w:cs="Times New Roman"/>
          <w:i/>
          <w:sz w:val="24"/>
          <w:szCs w:val="24"/>
        </w:rPr>
        <w:t>societa'</w:t>
      </w:r>
      <w:proofErr w:type="spellEnd"/>
      <w:r w:rsidRPr="00BB44F3">
        <w:rPr>
          <w:rFonts w:ascii="Garamond" w:hAnsi="Garamond" w:cs="Times New Roman"/>
          <w:i/>
          <w:sz w:val="24"/>
          <w:szCs w:val="24"/>
        </w:rPr>
        <w:t xml:space="preserve"> </w:t>
      </w:r>
      <w:proofErr w:type="spellStart"/>
      <w:r w:rsidRPr="00BB44F3">
        <w:rPr>
          <w:rFonts w:ascii="Garamond" w:hAnsi="Garamond" w:cs="Times New Roman"/>
          <w:i/>
          <w:sz w:val="24"/>
          <w:szCs w:val="24"/>
        </w:rPr>
        <w:t>e'</w:t>
      </w:r>
      <w:proofErr w:type="spellEnd"/>
      <w:r w:rsidRPr="00BB44F3">
        <w:rPr>
          <w:rFonts w:ascii="Garamond" w:hAnsi="Garamond" w:cs="Times New Roman"/>
          <w:i/>
          <w:sz w:val="24"/>
          <w:szCs w:val="24"/>
        </w:rPr>
        <w:t xml:space="preserve"> stata costituita” (comma 4): ciò proprio a confermare il nesso indissolubile tra durata del servizio e durata della partecipazione privata alla società mista;</w:t>
      </w:r>
    </w:p>
    <w:p w14:paraId="53240178" w14:textId="6FF18B0F" w:rsidR="003C6EA0" w:rsidRPr="00BB44F3" w:rsidRDefault="003C6EA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i/>
          <w:sz w:val="24"/>
          <w:szCs w:val="24"/>
        </w:rPr>
        <w:t>- il nesso di esclusività esistente tra costituzione della società</w:t>
      </w:r>
      <w:r w:rsidR="00727881" w:rsidRPr="00BB44F3">
        <w:rPr>
          <w:rFonts w:ascii="Garamond" w:hAnsi="Garamond" w:cs="Times New Roman"/>
          <w:i/>
          <w:sz w:val="24"/>
          <w:szCs w:val="24"/>
        </w:rPr>
        <w:t xml:space="preserve"> </w:t>
      </w:r>
      <w:r w:rsidRPr="00BB44F3">
        <w:rPr>
          <w:rFonts w:ascii="Garamond" w:hAnsi="Garamond" w:cs="Times New Roman"/>
          <w:i/>
          <w:sz w:val="24"/>
          <w:szCs w:val="24"/>
        </w:rPr>
        <w:t>mista e svolgimento del servizio affidato dagli enti pubblici soci è confermato dal comma 6 allorché disciplina particolari modalità “per la realizzazione dell'opera pubblica o alla gestione del servizio per i quali [le società] sono state specificamente costituite” (significativo è il termine “specificamente”)</w:t>
      </w:r>
      <w:r w:rsidRPr="00BB44F3">
        <w:rPr>
          <w:rFonts w:ascii="Garamond" w:hAnsi="Garamond" w:cs="Times New Roman"/>
          <w:sz w:val="24"/>
          <w:szCs w:val="24"/>
        </w:rPr>
        <w:t>”.</w:t>
      </w:r>
    </w:p>
    <w:p w14:paraId="1FF3787B" w14:textId="77777777" w:rsidR="00E479F5" w:rsidRPr="00BB44F3" w:rsidRDefault="00E479F5"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sz w:val="24"/>
          <w:szCs w:val="24"/>
        </w:rPr>
        <w:t xml:space="preserve">La </w:t>
      </w:r>
      <w:r w:rsidRPr="00BB44F3">
        <w:rPr>
          <w:rFonts w:ascii="Garamond" w:hAnsi="Garamond" w:cs="Times New Roman"/>
          <w:i/>
          <w:sz w:val="24"/>
          <w:szCs w:val="24"/>
        </w:rPr>
        <w:t xml:space="preserve">ratio </w:t>
      </w:r>
      <w:r w:rsidRPr="00BB44F3">
        <w:rPr>
          <w:rFonts w:ascii="Garamond" w:hAnsi="Garamond" w:cs="Times New Roman"/>
          <w:sz w:val="24"/>
          <w:szCs w:val="24"/>
        </w:rPr>
        <w:t>di tale disciplina limitativa dell’attività delle società miste viene ravvisata dal Tribunale nella tutela della concorrenza e nell’evitare “</w:t>
      </w:r>
      <w:r w:rsidRPr="00BB44F3">
        <w:rPr>
          <w:rFonts w:ascii="Garamond" w:hAnsi="Garamond" w:cs="Times New Roman"/>
          <w:i/>
          <w:sz w:val="24"/>
          <w:szCs w:val="24"/>
        </w:rPr>
        <w:t xml:space="preserve">che, attraverso la deroga alla disciplina societaria prevista dal comma 4 della </w:t>
      </w:r>
      <w:r w:rsidRPr="00BB44F3">
        <w:rPr>
          <w:rFonts w:ascii="Garamond" w:hAnsi="Garamond" w:cs="Times New Roman"/>
          <w:i/>
          <w:sz w:val="24"/>
          <w:szCs w:val="24"/>
        </w:rPr>
        <w:lastRenderedPageBreak/>
        <w:t>disposizione e la conseguente attribuzione al socio privato di particolari diritti e vantaggi non coerenti con l’effettiva entità della sua partecipazione, proprio il socio privato possa beneficiare di tali deroghe per gestire la società con criteri diversi da quelli a cui si attengono gli altri operatori economici finendo, in tal modo, per acquisire requisiti e risorse da spendere ai fini della partecipazione ad ulteriori future gare indette da altre stazioni appaltanti, così alterando il fisiologico meccanismo della concorrenza.</w:t>
      </w:r>
    </w:p>
    <w:p w14:paraId="2572EB4F" w14:textId="7400B241" w:rsidR="00E479F5" w:rsidRPr="00BB44F3" w:rsidRDefault="00E479F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i/>
          <w:sz w:val="24"/>
          <w:szCs w:val="24"/>
        </w:rPr>
        <w:t xml:space="preserve">Proprio gli indebiti vantaggi che potrebbe conseguire il socio privato hanno indotto il legislatore a differenziare la situazione delle società miste, in cui l’art. 17 d. </w:t>
      </w:r>
      <w:proofErr w:type="spellStart"/>
      <w:r w:rsidRPr="00BB44F3">
        <w:rPr>
          <w:rFonts w:ascii="Garamond" w:hAnsi="Garamond" w:cs="Times New Roman"/>
          <w:i/>
          <w:sz w:val="24"/>
          <w:szCs w:val="24"/>
        </w:rPr>
        <w:t>lgs</w:t>
      </w:r>
      <w:proofErr w:type="spellEnd"/>
      <w:r w:rsidRPr="00BB44F3">
        <w:rPr>
          <w:rFonts w:ascii="Garamond" w:hAnsi="Garamond" w:cs="Times New Roman"/>
          <w:i/>
          <w:sz w:val="24"/>
          <w:szCs w:val="24"/>
        </w:rPr>
        <w:t xml:space="preserve">. n. 175/16 prevede un oggetto esclusivo, da quella delle società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nelle quali l’assenza di soci privati giustifica l’astratta possibilità di tali enti di partecipare ad altre gare, fermo restando il limite massimo di fatturato riferibile a compiti espletati per conto di soggetti non soci, previsto dall’art. 16 comma 3 d. </w:t>
      </w:r>
      <w:proofErr w:type="spellStart"/>
      <w:r w:rsidRPr="00BB44F3">
        <w:rPr>
          <w:rFonts w:ascii="Garamond" w:hAnsi="Garamond" w:cs="Times New Roman"/>
          <w:i/>
          <w:sz w:val="24"/>
          <w:szCs w:val="24"/>
        </w:rPr>
        <w:t>lgs</w:t>
      </w:r>
      <w:proofErr w:type="spellEnd"/>
      <w:r w:rsidRPr="00BB44F3">
        <w:rPr>
          <w:rFonts w:ascii="Garamond" w:hAnsi="Garamond" w:cs="Times New Roman"/>
          <w:i/>
          <w:sz w:val="24"/>
          <w:szCs w:val="24"/>
        </w:rPr>
        <w:t>. n. 175/16</w:t>
      </w:r>
      <w:r w:rsidRPr="00BB44F3">
        <w:rPr>
          <w:rFonts w:ascii="Garamond" w:hAnsi="Garamond" w:cs="Times New Roman"/>
          <w:sz w:val="24"/>
          <w:szCs w:val="24"/>
        </w:rPr>
        <w:t>”.</w:t>
      </w:r>
    </w:p>
    <w:p w14:paraId="59C35B87" w14:textId="26596354" w:rsidR="00E479F5" w:rsidRPr="00BB44F3" w:rsidRDefault="00E479F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 ulteriormente argomentare la propria posizione il Tribunale ha poi richiamato la giurisprudenza formatasi con riferimento all’art. 13 del D</w:t>
      </w:r>
      <w:r w:rsidR="007948E9">
        <w:rPr>
          <w:rFonts w:ascii="Garamond" w:hAnsi="Garamond" w:cs="Times New Roman"/>
          <w:sz w:val="24"/>
          <w:szCs w:val="24"/>
        </w:rPr>
        <w:t xml:space="preserve">ecreto Legge 4 luglio 2006, n. </w:t>
      </w:r>
      <w:r w:rsidRPr="00BB44F3">
        <w:rPr>
          <w:rFonts w:ascii="Garamond" w:hAnsi="Garamond" w:cs="Times New Roman"/>
          <w:sz w:val="24"/>
          <w:szCs w:val="24"/>
        </w:rPr>
        <w:t>223</w:t>
      </w:r>
      <w:r w:rsidR="007948E9">
        <w:rPr>
          <w:rStyle w:val="Rimandonotaapidipagina"/>
          <w:rFonts w:ascii="Garamond" w:hAnsi="Garamond" w:cs="Times New Roman"/>
          <w:sz w:val="24"/>
          <w:szCs w:val="24"/>
        </w:rPr>
        <w:footnoteReference w:id="48"/>
      </w:r>
      <w:r w:rsidRPr="00BB44F3">
        <w:rPr>
          <w:rFonts w:ascii="Garamond" w:hAnsi="Garamond" w:cs="Times New Roman"/>
          <w:sz w:val="24"/>
          <w:szCs w:val="24"/>
        </w:rPr>
        <w:t>.</w:t>
      </w:r>
    </w:p>
    <w:p w14:paraId="33833B12" w14:textId="79F52932" w:rsidR="00E91DB9" w:rsidRPr="00BB44F3" w:rsidRDefault="00E91DB9"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Infine, il </w:t>
      </w:r>
      <w:r w:rsidR="00E403A7">
        <w:rPr>
          <w:rFonts w:ascii="Garamond" w:hAnsi="Garamond" w:cs="Times New Roman"/>
          <w:sz w:val="24"/>
          <w:szCs w:val="24"/>
        </w:rPr>
        <w:t>Tribunale ha</w:t>
      </w:r>
      <w:r w:rsidRPr="00BB44F3">
        <w:rPr>
          <w:rFonts w:ascii="Garamond" w:hAnsi="Garamond" w:cs="Times New Roman"/>
          <w:sz w:val="24"/>
          <w:szCs w:val="24"/>
        </w:rPr>
        <w:t xml:space="preserve"> sottolinea</w:t>
      </w:r>
      <w:r w:rsidR="00E403A7">
        <w:rPr>
          <w:rFonts w:ascii="Garamond" w:hAnsi="Garamond" w:cs="Times New Roman"/>
          <w:sz w:val="24"/>
          <w:szCs w:val="24"/>
        </w:rPr>
        <w:t>to</w:t>
      </w:r>
      <w:r w:rsidRPr="00BB44F3">
        <w:rPr>
          <w:rFonts w:ascii="Garamond" w:hAnsi="Garamond" w:cs="Times New Roman"/>
          <w:sz w:val="24"/>
          <w:szCs w:val="24"/>
        </w:rPr>
        <w:t xml:space="preserve"> significativamente che “</w:t>
      </w:r>
      <w:r w:rsidRPr="00BB44F3">
        <w:rPr>
          <w:rFonts w:ascii="Garamond" w:hAnsi="Garamond" w:cs="Times New Roman"/>
          <w:i/>
          <w:sz w:val="24"/>
          <w:szCs w:val="24"/>
        </w:rPr>
        <w:t xml:space="preserve">la normativa comunitaria riconosce espressamente, in capo alla pubblica amministrazione, la discrezionalità in ordine alla scelta di esternalizzare o meno un servizio pubblico (Libro Verde del 30/04/04 della Commissione paragrafo 1.3); nell’ambito delle opzioni praticabili dall’amministrazione, pertanto, deve ritenersi compresa anche la possibilità di esternalizzare tale servizio delimitando l’operatività esterna delle società miste al fine di preservarne la finalità per le quali le stesse sono state “specificamente” (come recita l’art. 17 d. </w:t>
      </w:r>
      <w:proofErr w:type="spellStart"/>
      <w:r w:rsidRPr="00BB44F3">
        <w:rPr>
          <w:rFonts w:ascii="Garamond" w:hAnsi="Garamond" w:cs="Times New Roman"/>
          <w:i/>
          <w:sz w:val="24"/>
          <w:szCs w:val="24"/>
        </w:rPr>
        <w:t>lgs</w:t>
      </w:r>
      <w:proofErr w:type="spellEnd"/>
      <w:r w:rsidRPr="00BB44F3">
        <w:rPr>
          <w:rFonts w:ascii="Garamond" w:hAnsi="Garamond" w:cs="Times New Roman"/>
          <w:i/>
          <w:sz w:val="24"/>
          <w:szCs w:val="24"/>
        </w:rPr>
        <w:t>. n. 175/16) istituite”</w:t>
      </w:r>
      <w:r w:rsidRPr="00BB44F3">
        <w:rPr>
          <w:rFonts w:ascii="Garamond" w:hAnsi="Garamond" w:cs="Times New Roman"/>
          <w:sz w:val="24"/>
          <w:szCs w:val="24"/>
        </w:rPr>
        <w:t>.</w:t>
      </w:r>
    </w:p>
    <w:p w14:paraId="4C86836D" w14:textId="77777777" w:rsidR="005C5DA9" w:rsidRPr="00BB44F3" w:rsidRDefault="005C5DA9" w:rsidP="002B0099">
      <w:pPr>
        <w:spacing w:after="0" w:line="240" w:lineRule="auto"/>
        <w:ind w:firstLine="454"/>
        <w:contextualSpacing/>
        <w:jc w:val="both"/>
        <w:rPr>
          <w:rFonts w:ascii="Garamond" w:hAnsi="Garamond" w:cs="Times New Roman"/>
          <w:sz w:val="24"/>
          <w:szCs w:val="24"/>
        </w:rPr>
      </w:pPr>
    </w:p>
    <w:p w14:paraId="7B8297CC" w14:textId="2C8463DD" w:rsidR="00621767" w:rsidRPr="00BB44F3" w:rsidRDefault="0043718F" w:rsidP="0043718F">
      <w:pPr>
        <w:pStyle w:val="Titolo2"/>
        <w:rPr>
          <w:i/>
        </w:rPr>
      </w:pPr>
      <w:bookmarkStart w:id="276" w:name="_Toc209095135"/>
      <w:bookmarkStart w:id="277" w:name="_Toc209095196"/>
      <w:bookmarkStart w:id="278" w:name="_Toc209095671"/>
      <w:bookmarkStart w:id="279" w:name="_Toc209095704"/>
      <w:bookmarkStart w:id="280" w:name="_Toc209095737"/>
      <w:bookmarkStart w:id="281" w:name="_Toc209097851"/>
      <w:bookmarkStart w:id="282" w:name="_Toc209097885"/>
      <w:bookmarkStart w:id="283" w:name="_Toc209104532"/>
      <w:bookmarkStart w:id="284" w:name="_Toc209105894"/>
      <w:bookmarkStart w:id="285" w:name="_Toc209106779"/>
      <w:bookmarkStart w:id="286" w:name="_Toc209107518"/>
      <w:bookmarkStart w:id="287" w:name="_Toc209181417"/>
      <w:bookmarkStart w:id="288" w:name="_Toc209181507"/>
      <w:bookmarkStart w:id="289" w:name="_Toc209181563"/>
      <w:bookmarkStart w:id="290" w:name="_Toc209182714"/>
      <w:bookmarkStart w:id="291" w:name="_Toc209182911"/>
      <w:r>
        <w:t>7.3</w:t>
      </w:r>
      <w:r w:rsidR="008F57CC" w:rsidRPr="00BB44F3">
        <w:t xml:space="preserve">. </w:t>
      </w:r>
      <w:r w:rsidR="00621767" w:rsidRPr="00BB44F3">
        <w:t xml:space="preserve">L’affidamento </w:t>
      </w:r>
      <w:r w:rsidR="00621767" w:rsidRPr="00BB44F3">
        <w:rPr>
          <w:i/>
        </w:rPr>
        <w:t xml:space="preserve">in </w:t>
      </w:r>
      <w:proofErr w:type="spellStart"/>
      <w:r w:rsidR="00621767" w:rsidRPr="00BB44F3">
        <w:rPr>
          <w:i/>
        </w:rPr>
        <w:t>house</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roofErr w:type="spellEnd"/>
    </w:p>
    <w:p w14:paraId="47D7A608" w14:textId="12F8A0BD" w:rsidR="00B2126F" w:rsidRDefault="00B2126F"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Tale forma di gestione costituisce </w:t>
      </w:r>
      <w:r w:rsidR="0046408A">
        <w:rPr>
          <w:rFonts w:ascii="Garamond" w:hAnsi="Garamond" w:cs="Times New Roman"/>
          <w:sz w:val="24"/>
          <w:szCs w:val="24"/>
        </w:rPr>
        <w:t xml:space="preserve">la principale modalità </w:t>
      </w:r>
      <w:r w:rsidR="00C103BA">
        <w:rPr>
          <w:rFonts w:ascii="Garamond" w:hAnsi="Garamond" w:cs="Times New Roman"/>
          <w:sz w:val="24"/>
          <w:szCs w:val="24"/>
        </w:rPr>
        <w:t xml:space="preserve">normativa </w:t>
      </w:r>
      <w:r w:rsidR="0046408A">
        <w:rPr>
          <w:rFonts w:ascii="Garamond" w:hAnsi="Garamond" w:cs="Times New Roman"/>
          <w:sz w:val="24"/>
          <w:szCs w:val="24"/>
        </w:rPr>
        <w:t xml:space="preserve">di </w:t>
      </w:r>
      <w:r>
        <w:rPr>
          <w:rFonts w:ascii="Garamond" w:hAnsi="Garamond" w:cs="Times New Roman"/>
          <w:sz w:val="24"/>
          <w:szCs w:val="24"/>
        </w:rPr>
        <w:t>auto-produzione dei servizi</w:t>
      </w:r>
      <w:r w:rsidR="00C103BA">
        <w:rPr>
          <w:rFonts w:ascii="Garamond" w:hAnsi="Garamond" w:cs="Times New Roman"/>
          <w:sz w:val="24"/>
          <w:szCs w:val="24"/>
        </w:rPr>
        <w:t xml:space="preserve"> pubblici locali di rilevanza economica</w:t>
      </w:r>
      <w:r>
        <w:rPr>
          <w:rFonts w:ascii="Garamond" w:hAnsi="Garamond" w:cs="Times New Roman"/>
          <w:sz w:val="24"/>
          <w:szCs w:val="24"/>
        </w:rPr>
        <w:t xml:space="preserve"> (costituendo</w:t>
      </w:r>
      <w:r w:rsidRPr="00B2126F">
        <w:rPr>
          <w:rFonts w:ascii="Garamond" w:hAnsi="Garamond" w:cs="Times New Roman"/>
          <w:sz w:val="24"/>
          <w:szCs w:val="24"/>
        </w:rPr>
        <w:t xml:space="preserve"> </w:t>
      </w:r>
      <w:r>
        <w:rPr>
          <w:rFonts w:ascii="Garamond" w:hAnsi="Garamond" w:cs="Times New Roman"/>
          <w:sz w:val="24"/>
          <w:szCs w:val="24"/>
        </w:rPr>
        <w:t xml:space="preserve">la </w:t>
      </w:r>
      <w:r w:rsidRPr="00B2126F">
        <w:rPr>
          <w:rFonts w:ascii="Garamond" w:hAnsi="Garamond" w:cs="Times New Roman"/>
          <w:sz w:val="24"/>
          <w:szCs w:val="24"/>
        </w:rPr>
        <w:t>gestione in economia o mediante aziende speciali</w:t>
      </w:r>
      <w:r>
        <w:rPr>
          <w:rFonts w:ascii="Garamond" w:hAnsi="Garamond" w:cs="Times New Roman"/>
          <w:sz w:val="24"/>
          <w:szCs w:val="24"/>
        </w:rPr>
        <w:t xml:space="preserve"> modalità ammessa solo per i </w:t>
      </w:r>
      <w:r w:rsidRPr="00B2126F">
        <w:rPr>
          <w:rFonts w:ascii="Garamond" w:hAnsi="Garamond" w:cs="Times New Roman"/>
          <w:sz w:val="24"/>
          <w:szCs w:val="24"/>
        </w:rPr>
        <w:t>servizi diversi da quelli a rete</w:t>
      </w:r>
      <w:r>
        <w:rPr>
          <w:rFonts w:ascii="Garamond" w:hAnsi="Garamond" w:cs="Times New Roman"/>
          <w:sz w:val="24"/>
          <w:szCs w:val="24"/>
        </w:rPr>
        <w:t>)</w:t>
      </w:r>
      <w:r w:rsidRPr="00B2126F">
        <w:rPr>
          <w:rFonts w:ascii="Garamond" w:hAnsi="Garamond" w:cs="Times New Roman"/>
          <w:sz w:val="24"/>
          <w:szCs w:val="24"/>
        </w:rPr>
        <w:t>.</w:t>
      </w:r>
    </w:p>
    <w:p w14:paraId="7F822891" w14:textId="4B65FEFD" w:rsidR="00621767" w:rsidRPr="00BB44F3" w:rsidRDefault="00AF29F7"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L</w:t>
      </w:r>
      <w:r w:rsidR="008D3FA2" w:rsidRPr="00BB44F3">
        <w:rPr>
          <w:rFonts w:ascii="Garamond" w:hAnsi="Garamond" w:cs="Times New Roman"/>
          <w:sz w:val="24"/>
          <w:szCs w:val="24"/>
        </w:rPr>
        <w:t>’art. 17 del D</w:t>
      </w:r>
      <w:r w:rsidR="001D5311" w:rsidRPr="00BB44F3">
        <w:rPr>
          <w:rFonts w:ascii="Garamond" w:hAnsi="Garamond" w:cs="Times New Roman"/>
          <w:sz w:val="24"/>
          <w:szCs w:val="24"/>
        </w:rPr>
        <w:t xml:space="preserve">. </w:t>
      </w:r>
      <w:proofErr w:type="spellStart"/>
      <w:r w:rsidR="001D5311" w:rsidRPr="00BB44F3">
        <w:rPr>
          <w:rFonts w:ascii="Garamond" w:hAnsi="Garamond" w:cs="Times New Roman"/>
          <w:sz w:val="24"/>
          <w:szCs w:val="24"/>
        </w:rPr>
        <w:t>Lgs</w:t>
      </w:r>
      <w:proofErr w:type="spellEnd"/>
      <w:r w:rsidR="001D5311" w:rsidRPr="00BB44F3">
        <w:rPr>
          <w:rFonts w:ascii="Garamond" w:hAnsi="Garamond" w:cs="Times New Roman"/>
          <w:sz w:val="24"/>
          <w:szCs w:val="24"/>
        </w:rPr>
        <w:t xml:space="preserve">. n. </w:t>
      </w:r>
      <w:r w:rsidR="008D3FA2" w:rsidRPr="00BB44F3">
        <w:rPr>
          <w:rFonts w:ascii="Garamond" w:hAnsi="Garamond" w:cs="Times New Roman"/>
          <w:sz w:val="24"/>
          <w:szCs w:val="24"/>
        </w:rPr>
        <w:t xml:space="preserve">201/2022 prevede che </w:t>
      </w:r>
      <w:r w:rsidR="001D5311" w:rsidRPr="00BB44F3">
        <w:rPr>
          <w:rFonts w:ascii="Garamond" w:hAnsi="Garamond" w:cs="Times New Roman"/>
          <w:sz w:val="24"/>
          <w:szCs w:val="24"/>
        </w:rPr>
        <w:t>tale affidamento</w:t>
      </w:r>
      <w:r w:rsidR="008D3FA2" w:rsidRPr="00BB44F3">
        <w:rPr>
          <w:rFonts w:ascii="Garamond" w:hAnsi="Garamond" w:cs="Times New Roman"/>
          <w:i/>
          <w:sz w:val="24"/>
          <w:szCs w:val="24"/>
        </w:rPr>
        <w:t xml:space="preserve"> </w:t>
      </w:r>
      <w:r w:rsidR="008D3FA2" w:rsidRPr="00BB44F3">
        <w:rPr>
          <w:rFonts w:ascii="Garamond" w:hAnsi="Garamond" w:cs="Times New Roman"/>
          <w:sz w:val="24"/>
          <w:szCs w:val="24"/>
        </w:rPr>
        <w:t>possa avvenire “</w:t>
      </w:r>
      <w:r w:rsidR="008D3FA2" w:rsidRPr="00BB44F3">
        <w:rPr>
          <w:rFonts w:ascii="Garamond" w:hAnsi="Garamond" w:cs="Times New Roman"/>
          <w:i/>
          <w:sz w:val="24"/>
          <w:szCs w:val="24"/>
        </w:rPr>
        <w:t>nei limiti e secondo le modalità di cui alla disciplina in materia di contratti pubblici e di cui al decreto legislativo n. 175 del 2016</w:t>
      </w:r>
      <w:r w:rsidR="008D3FA2" w:rsidRPr="00BB44F3">
        <w:rPr>
          <w:rFonts w:ascii="Garamond" w:hAnsi="Garamond" w:cs="Times New Roman"/>
          <w:sz w:val="24"/>
          <w:szCs w:val="24"/>
        </w:rPr>
        <w:t>”</w:t>
      </w:r>
      <w:r w:rsidR="00E15ABC" w:rsidRPr="00BB44F3">
        <w:rPr>
          <w:rStyle w:val="Rimandonotaapidipagina"/>
          <w:rFonts w:ascii="Garamond" w:hAnsi="Garamond" w:cs="Times New Roman"/>
          <w:sz w:val="24"/>
          <w:szCs w:val="24"/>
        </w:rPr>
        <w:footnoteReference w:id="49"/>
      </w:r>
      <w:r w:rsidR="008D3FA2" w:rsidRPr="00BB44F3">
        <w:rPr>
          <w:rFonts w:ascii="Garamond" w:hAnsi="Garamond" w:cs="Times New Roman"/>
          <w:sz w:val="24"/>
          <w:szCs w:val="24"/>
        </w:rPr>
        <w:t>.</w:t>
      </w:r>
    </w:p>
    <w:p w14:paraId="56F31C06" w14:textId="7A685DE4" w:rsidR="008D3FA2" w:rsidRPr="00BB44F3" w:rsidRDefault="008D3FA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Nel caso di affidamenti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sz w:val="24"/>
          <w:szCs w:val="24"/>
        </w:rPr>
        <w:t xml:space="preserve"> di importo superiore alle soglie di rilevanza europea in materia di contratti pubblici è previsto che nella motivazione della deliberazione di affidamento del servizio debba essere presente una motivazione “</w:t>
      </w:r>
      <w:r w:rsidRPr="00BB44F3">
        <w:rPr>
          <w:rFonts w:ascii="Garamond" w:hAnsi="Garamond" w:cs="Times New Roman"/>
          <w:i/>
          <w:sz w:val="24"/>
          <w:szCs w:val="24"/>
        </w:rPr>
        <w:t>qualificata</w:t>
      </w:r>
      <w:r w:rsidRPr="00BB44F3">
        <w:rPr>
          <w:rFonts w:ascii="Garamond" w:hAnsi="Garamond" w:cs="Times New Roman"/>
          <w:sz w:val="24"/>
          <w:szCs w:val="24"/>
        </w:rPr>
        <w:t>”.</w:t>
      </w:r>
    </w:p>
    <w:p w14:paraId="10E6FA7A" w14:textId="156E814A" w:rsidR="008D3FA2" w:rsidRDefault="008D3FA2"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Tale motivazione </w:t>
      </w:r>
      <w:r w:rsidR="00DB500F" w:rsidRPr="00BB44F3">
        <w:rPr>
          <w:rFonts w:ascii="Garamond" w:hAnsi="Garamond" w:cs="Times New Roman"/>
          <w:sz w:val="24"/>
          <w:szCs w:val="24"/>
        </w:rPr>
        <w:t xml:space="preserve">qualificata </w:t>
      </w:r>
      <w:r w:rsidRPr="00BB44F3">
        <w:rPr>
          <w:rFonts w:ascii="Garamond" w:hAnsi="Garamond" w:cs="Times New Roman"/>
          <w:sz w:val="24"/>
          <w:szCs w:val="24"/>
        </w:rPr>
        <w:t>deve dare espressamente conto “</w:t>
      </w:r>
      <w:r w:rsidRPr="00BB44F3">
        <w:rPr>
          <w:rFonts w:ascii="Garamond" w:hAnsi="Garamond" w:cs="Times New Roman"/>
          <w:i/>
          <w:sz w:val="24"/>
          <w:szCs w:val="24"/>
        </w:rPr>
        <w:t xml:space="preserve">delle ragioni del mancato ricorso al mercato ai fini di un'efficiente gestione del servizio, illustrando, anche sulla base degli atti e degli indicatori di cui agli articoli 7, 8 e 9, i 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 anche in relazione ai risultati conseguiti in eventuali pregresse gestioni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tenendo conto dei dati e delle informazioni risultanti dalle verifiche periodiche di cui all'articolo 30</w:t>
      </w:r>
      <w:r w:rsidRPr="00BB44F3">
        <w:rPr>
          <w:rFonts w:ascii="Garamond" w:hAnsi="Garamond" w:cs="Times New Roman"/>
          <w:sz w:val="24"/>
          <w:szCs w:val="24"/>
        </w:rPr>
        <w:t>”</w:t>
      </w:r>
      <w:r w:rsidR="00CC70AA" w:rsidRPr="00BB44F3">
        <w:rPr>
          <w:rStyle w:val="Rimandonotaapidipagina"/>
          <w:rFonts w:ascii="Garamond" w:hAnsi="Garamond" w:cs="Times New Roman"/>
          <w:sz w:val="24"/>
          <w:szCs w:val="24"/>
        </w:rPr>
        <w:footnoteReference w:id="50"/>
      </w:r>
      <w:r w:rsidRPr="00BB44F3">
        <w:rPr>
          <w:rFonts w:ascii="Garamond" w:hAnsi="Garamond" w:cs="Times New Roman"/>
          <w:sz w:val="24"/>
          <w:szCs w:val="24"/>
        </w:rPr>
        <w:t>.</w:t>
      </w:r>
    </w:p>
    <w:p w14:paraId="4B62B49F" w14:textId="7E877BB5" w:rsidR="008E570F" w:rsidRPr="00BB44F3" w:rsidRDefault="000C7CDA"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Dalla predetta</w:t>
      </w:r>
      <w:r w:rsidR="008E570F">
        <w:rPr>
          <w:rFonts w:ascii="Garamond" w:hAnsi="Garamond" w:cs="Times New Roman"/>
          <w:sz w:val="24"/>
          <w:szCs w:val="24"/>
        </w:rPr>
        <w:t xml:space="preserve"> disposizione emerge quindi la necessità di un confronto della scelta dell’autoproduzione non soltanto rispetto al ricorso al mercato, bensì anche</w:t>
      </w:r>
      <w:r w:rsidR="0046408A">
        <w:rPr>
          <w:rFonts w:ascii="Garamond" w:hAnsi="Garamond" w:cs="Times New Roman"/>
          <w:sz w:val="24"/>
          <w:szCs w:val="24"/>
        </w:rPr>
        <w:t xml:space="preserve"> </w:t>
      </w:r>
      <w:r w:rsidR="008E570F">
        <w:rPr>
          <w:rFonts w:ascii="Garamond" w:hAnsi="Garamond" w:cs="Times New Roman"/>
          <w:sz w:val="24"/>
          <w:szCs w:val="24"/>
        </w:rPr>
        <w:t xml:space="preserve">in relazione ai risultati derivanti da precedenti gestioni </w:t>
      </w:r>
      <w:r w:rsidR="008E570F">
        <w:rPr>
          <w:rFonts w:ascii="Garamond" w:hAnsi="Garamond" w:cs="Times New Roman"/>
          <w:i/>
          <w:sz w:val="24"/>
          <w:szCs w:val="24"/>
        </w:rPr>
        <w:t xml:space="preserve">in </w:t>
      </w:r>
      <w:proofErr w:type="spellStart"/>
      <w:r w:rsidR="008E570F">
        <w:rPr>
          <w:rFonts w:ascii="Garamond" w:hAnsi="Garamond" w:cs="Times New Roman"/>
          <w:i/>
          <w:sz w:val="24"/>
          <w:szCs w:val="24"/>
        </w:rPr>
        <w:t>house</w:t>
      </w:r>
      <w:proofErr w:type="spellEnd"/>
      <w:r w:rsidR="008E570F">
        <w:rPr>
          <w:rFonts w:ascii="Garamond" w:hAnsi="Garamond" w:cs="Times New Roman"/>
          <w:i/>
          <w:sz w:val="24"/>
          <w:szCs w:val="24"/>
        </w:rPr>
        <w:t xml:space="preserve"> </w:t>
      </w:r>
      <w:r w:rsidR="008E570F">
        <w:rPr>
          <w:rFonts w:ascii="Garamond" w:hAnsi="Garamond" w:cs="Times New Roman"/>
          <w:sz w:val="24"/>
          <w:szCs w:val="24"/>
        </w:rPr>
        <w:t>del servizio</w:t>
      </w:r>
      <w:r w:rsidR="0046408A">
        <w:rPr>
          <w:rFonts w:ascii="Garamond" w:hAnsi="Garamond" w:cs="Times New Roman"/>
          <w:sz w:val="24"/>
          <w:szCs w:val="24"/>
        </w:rPr>
        <w:t xml:space="preserve"> (laddove precedenti gestioni di questo tipo vi siano </w:t>
      </w:r>
      <w:r w:rsidR="0046408A">
        <w:rPr>
          <w:rFonts w:ascii="Garamond" w:hAnsi="Garamond" w:cs="Times New Roman"/>
          <w:sz w:val="24"/>
          <w:szCs w:val="24"/>
        </w:rPr>
        <w:lastRenderedPageBreak/>
        <w:t>state)</w:t>
      </w:r>
      <w:r w:rsidR="008E570F">
        <w:rPr>
          <w:rFonts w:ascii="Garamond" w:hAnsi="Garamond" w:cs="Times New Roman"/>
          <w:sz w:val="24"/>
          <w:szCs w:val="24"/>
        </w:rPr>
        <w:t>, con conseguente carattere potenzialmente bidirezionale del confronto</w:t>
      </w:r>
      <w:r w:rsidR="0046408A">
        <w:rPr>
          <w:rFonts w:ascii="Garamond" w:hAnsi="Garamond" w:cs="Times New Roman"/>
          <w:sz w:val="24"/>
          <w:szCs w:val="24"/>
        </w:rPr>
        <w:t xml:space="preserve"> che l’ente locale è chiamato ad operare</w:t>
      </w:r>
      <w:r w:rsidR="008E570F">
        <w:rPr>
          <w:rFonts w:ascii="Garamond" w:hAnsi="Garamond" w:cs="Times New Roman"/>
          <w:sz w:val="24"/>
          <w:szCs w:val="24"/>
        </w:rPr>
        <w:t>.</w:t>
      </w:r>
    </w:p>
    <w:p w14:paraId="05723CB3" w14:textId="103A767F" w:rsidR="00445BE9" w:rsidRDefault="000C7CDA"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Sul punto l</w:t>
      </w:r>
      <w:r w:rsidR="00445BE9" w:rsidRPr="00BB44F3">
        <w:rPr>
          <w:rFonts w:ascii="Garamond" w:hAnsi="Garamond" w:cs="Times New Roman"/>
          <w:sz w:val="24"/>
          <w:szCs w:val="24"/>
        </w:rPr>
        <w:t>’AGCM ha evidenziato come sia necessario “</w:t>
      </w:r>
      <w:r w:rsidR="00445BE9" w:rsidRPr="00BB44F3">
        <w:rPr>
          <w:rFonts w:ascii="Garamond" w:hAnsi="Garamond" w:cs="Times New Roman"/>
          <w:i/>
          <w:sz w:val="24"/>
          <w:szCs w:val="24"/>
        </w:rPr>
        <w:t>al fine di ottemperare all’obbligo di motivazione analitica, fornire una puntuale analisi dei punti di forza e di debolezza della scelta del modello gestionale rispetto alle alternative contemplate dalla legge, sia dal punto di vista economico-finanziario sia dal punto di vista qualitativo e di efficienza</w:t>
      </w:r>
      <w:r w:rsidR="00445BE9" w:rsidRPr="00BB44F3">
        <w:rPr>
          <w:rFonts w:ascii="Garamond" w:hAnsi="Garamond" w:cs="Times New Roman"/>
          <w:sz w:val="24"/>
          <w:szCs w:val="24"/>
        </w:rPr>
        <w:t>”</w:t>
      </w:r>
      <w:r w:rsidR="002F2400" w:rsidRPr="00BB44F3">
        <w:rPr>
          <w:rStyle w:val="Rimandonotaapidipagina"/>
          <w:rFonts w:ascii="Garamond" w:hAnsi="Garamond" w:cs="Times New Roman"/>
          <w:sz w:val="24"/>
          <w:szCs w:val="24"/>
        </w:rPr>
        <w:footnoteReference w:id="51"/>
      </w:r>
      <w:r w:rsidR="005654A9" w:rsidRPr="00BB44F3">
        <w:rPr>
          <w:rFonts w:ascii="Garamond" w:hAnsi="Garamond" w:cs="Times New Roman"/>
          <w:sz w:val="24"/>
          <w:szCs w:val="24"/>
        </w:rPr>
        <w:t xml:space="preserve">. </w:t>
      </w:r>
    </w:p>
    <w:p w14:paraId="4A5B780F" w14:textId="1C976E40" w:rsidR="008D3FA2" w:rsidRDefault="00544CF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È</w:t>
      </w:r>
      <w:r w:rsidR="00B167E4" w:rsidRPr="00BB44F3">
        <w:rPr>
          <w:rFonts w:ascii="Garamond" w:hAnsi="Garamond" w:cs="Times New Roman"/>
          <w:sz w:val="24"/>
          <w:szCs w:val="24"/>
        </w:rPr>
        <w:t xml:space="preserve"> poi </w:t>
      </w:r>
      <w:r w:rsidRPr="00BB44F3">
        <w:rPr>
          <w:rFonts w:ascii="Garamond" w:hAnsi="Garamond" w:cs="Times New Roman"/>
          <w:sz w:val="24"/>
          <w:szCs w:val="24"/>
        </w:rPr>
        <w:t xml:space="preserve">previsto un periodo di </w:t>
      </w:r>
      <w:r w:rsidRPr="00BB44F3">
        <w:rPr>
          <w:rFonts w:ascii="Garamond" w:hAnsi="Garamond" w:cs="Times New Roman"/>
          <w:i/>
          <w:sz w:val="24"/>
          <w:szCs w:val="24"/>
        </w:rPr>
        <w:t>stand</w:t>
      </w:r>
      <w:r w:rsidR="008E570F">
        <w:rPr>
          <w:rFonts w:ascii="Garamond" w:hAnsi="Garamond" w:cs="Times New Roman"/>
          <w:i/>
          <w:sz w:val="24"/>
          <w:szCs w:val="24"/>
        </w:rPr>
        <w:t xml:space="preserve"> </w:t>
      </w:r>
      <w:proofErr w:type="spellStart"/>
      <w:r w:rsidRPr="00BB44F3">
        <w:rPr>
          <w:rFonts w:ascii="Garamond" w:hAnsi="Garamond" w:cs="Times New Roman"/>
          <w:i/>
          <w:sz w:val="24"/>
          <w:szCs w:val="24"/>
        </w:rPr>
        <w:t>still</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 xml:space="preserve">di 60 giorni tra l’avvenuta pubblicazione della delibera di affidamento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sul sito dell’ANAC e la stipula del contratto di servizio per tutte le ipotesi di affidamento superiore alle sogl</w:t>
      </w:r>
      <w:r w:rsidR="00DB500F" w:rsidRPr="00BB44F3">
        <w:rPr>
          <w:rFonts w:ascii="Garamond" w:hAnsi="Garamond" w:cs="Times New Roman"/>
          <w:sz w:val="24"/>
          <w:szCs w:val="24"/>
        </w:rPr>
        <w:t>i</w:t>
      </w:r>
      <w:r w:rsidRPr="00BB44F3">
        <w:rPr>
          <w:rFonts w:ascii="Garamond" w:hAnsi="Garamond" w:cs="Times New Roman"/>
          <w:sz w:val="24"/>
          <w:szCs w:val="24"/>
        </w:rPr>
        <w:t>e di rilevanza europea in materia di contratti pubblici.</w:t>
      </w:r>
    </w:p>
    <w:p w14:paraId="397C50D9" w14:textId="68999F66" w:rsidR="000C7CDA" w:rsidRDefault="000C7CDA" w:rsidP="000C7CDA">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La disposizione di cui all</w:t>
      </w:r>
      <w:r w:rsidRPr="00BB44F3">
        <w:rPr>
          <w:rFonts w:ascii="Garamond" w:hAnsi="Garamond" w:cs="Times New Roman"/>
          <w:sz w:val="24"/>
          <w:szCs w:val="24"/>
        </w:rPr>
        <w:t xml:space="preserve">’art. 17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n. 201/2022</w:t>
      </w:r>
      <w:r>
        <w:rPr>
          <w:rFonts w:ascii="Garamond" w:hAnsi="Garamond" w:cs="Times New Roman"/>
          <w:sz w:val="24"/>
          <w:szCs w:val="24"/>
        </w:rPr>
        <w:t xml:space="preserve"> va peraltro collegata a quanto previsto dall’art. 7 del D. </w:t>
      </w:r>
      <w:proofErr w:type="spellStart"/>
      <w:r>
        <w:rPr>
          <w:rFonts w:ascii="Garamond" w:hAnsi="Garamond" w:cs="Times New Roman"/>
          <w:sz w:val="24"/>
          <w:szCs w:val="24"/>
        </w:rPr>
        <w:t>Lgs</w:t>
      </w:r>
      <w:proofErr w:type="spellEnd"/>
      <w:r>
        <w:rPr>
          <w:rFonts w:ascii="Garamond" w:hAnsi="Garamond" w:cs="Times New Roman"/>
          <w:sz w:val="24"/>
          <w:szCs w:val="24"/>
        </w:rPr>
        <w:t>. n. 36/2023 in tema di principio di auto-organizzazione amministrativa.</w:t>
      </w:r>
    </w:p>
    <w:p w14:paraId="68850D01" w14:textId="0664E172" w:rsidR="00A41D7C" w:rsidRDefault="00A41D7C" w:rsidP="000C7CDA">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Il comma 1 dell’art. 7 di quest’ultimo Decreto esplicita tale principio nel senso che le pubbliche amministrazioni “</w:t>
      </w:r>
      <w:r w:rsidRPr="00A41D7C">
        <w:rPr>
          <w:rFonts w:ascii="Garamond" w:hAnsi="Garamond" w:cs="Times New Roman"/>
          <w:i/>
          <w:sz w:val="24"/>
          <w:szCs w:val="24"/>
        </w:rPr>
        <w:t>organizzano autonomamente l'esecuzione di lavori o la prestazione di beni e servizi attraverso l'auto-produzione, l'esternalizzazione e la cooperazione nel rispetto della disciplina del codice e del diritto dell'Unione europea</w:t>
      </w:r>
      <w:r>
        <w:rPr>
          <w:rFonts w:ascii="Garamond" w:hAnsi="Garamond" w:cs="Times New Roman"/>
          <w:sz w:val="24"/>
          <w:szCs w:val="24"/>
        </w:rPr>
        <w:t>”</w:t>
      </w:r>
      <w:r w:rsidRPr="00A41D7C">
        <w:rPr>
          <w:rFonts w:ascii="Garamond" w:hAnsi="Garamond" w:cs="Times New Roman"/>
          <w:sz w:val="24"/>
          <w:szCs w:val="24"/>
        </w:rPr>
        <w:t>.</w:t>
      </w:r>
    </w:p>
    <w:p w14:paraId="6729825E" w14:textId="6F4635D9" w:rsidR="00A41D7C" w:rsidRDefault="00A41D7C" w:rsidP="000C7CDA">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Il comma 2 dell’art. 7 afferma la facoltà per le stazioni appaltanti e gli enti concedenti di affidare direttamente a società </w:t>
      </w:r>
      <w:r>
        <w:rPr>
          <w:rFonts w:ascii="Garamond" w:hAnsi="Garamond" w:cs="Times New Roman"/>
          <w:i/>
          <w:sz w:val="24"/>
          <w:szCs w:val="24"/>
        </w:rPr>
        <w:t xml:space="preserve">in </w:t>
      </w:r>
      <w:proofErr w:type="spellStart"/>
      <w:r>
        <w:rPr>
          <w:rFonts w:ascii="Garamond" w:hAnsi="Garamond" w:cs="Times New Roman"/>
          <w:i/>
          <w:sz w:val="24"/>
          <w:szCs w:val="24"/>
        </w:rPr>
        <w:t>house</w:t>
      </w:r>
      <w:proofErr w:type="spellEnd"/>
      <w:r>
        <w:rPr>
          <w:rFonts w:ascii="Garamond" w:hAnsi="Garamond" w:cs="Times New Roman"/>
          <w:i/>
          <w:sz w:val="24"/>
          <w:szCs w:val="24"/>
        </w:rPr>
        <w:t xml:space="preserve"> </w:t>
      </w:r>
      <w:r>
        <w:rPr>
          <w:rFonts w:ascii="Garamond" w:hAnsi="Garamond" w:cs="Times New Roman"/>
          <w:sz w:val="24"/>
          <w:szCs w:val="24"/>
        </w:rPr>
        <w:t>lavori, servizi o forniture, prevedendo la necessità di un provvedimento motivato ai fini dell’affidamento nel quale si dovrà dare conto “</w:t>
      </w:r>
      <w:r w:rsidRPr="00A41D7C">
        <w:rPr>
          <w:rFonts w:ascii="Garamond" w:hAnsi="Garamond" w:cs="Times New Roman"/>
          <w:i/>
          <w:sz w:val="24"/>
          <w:szCs w:val="24"/>
        </w:rPr>
        <w:t>dei vantaggi per la collettività, delle connesse esternalità e della congruità economica della prestazione, anche in relazione al perseguimento di obiettivi di universalità, socialità, efficienza, economicità, qualità della prestazione, celerità del procedimento e razionale impiego di risorse pubbliche</w:t>
      </w:r>
      <w:r>
        <w:rPr>
          <w:rFonts w:ascii="Garamond" w:hAnsi="Garamond" w:cs="Times New Roman"/>
          <w:sz w:val="24"/>
          <w:szCs w:val="24"/>
        </w:rPr>
        <w:t>”</w:t>
      </w:r>
      <w:r w:rsidRPr="00A41D7C">
        <w:rPr>
          <w:rFonts w:ascii="Garamond" w:hAnsi="Garamond" w:cs="Times New Roman"/>
          <w:sz w:val="24"/>
          <w:szCs w:val="24"/>
        </w:rPr>
        <w:t>.</w:t>
      </w:r>
    </w:p>
    <w:p w14:paraId="738CB972" w14:textId="26120A8C" w:rsidR="00A41D7C" w:rsidRDefault="00A41D7C" w:rsidP="000C7CDA">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Il comma 3 dell’art. 7 dispone espressamente che quanto ai SIEG di livello locale la disciplina </w:t>
      </w:r>
      <w:r w:rsidR="00C103BA">
        <w:rPr>
          <w:rFonts w:ascii="Garamond" w:hAnsi="Garamond" w:cs="Times New Roman"/>
          <w:sz w:val="24"/>
          <w:szCs w:val="24"/>
        </w:rPr>
        <w:t xml:space="preserve">da applicare </w:t>
      </w:r>
      <w:r>
        <w:rPr>
          <w:rFonts w:ascii="Garamond" w:hAnsi="Garamond" w:cs="Times New Roman"/>
          <w:sz w:val="24"/>
          <w:szCs w:val="24"/>
        </w:rPr>
        <w:t xml:space="preserve">è quella di cui al D. </w:t>
      </w:r>
      <w:proofErr w:type="spellStart"/>
      <w:r>
        <w:rPr>
          <w:rFonts w:ascii="Garamond" w:hAnsi="Garamond" w:cs="Times New Roman"/>
          <w:sz w:val="24"/>
          <w:szCs w:val="24"/>
        </w:rPr>
        <w:t>Lgs</w:t>
      </w:r>
      <w:proofErr w:type="spellEnd"/>
      <w:r>
        <w:rPr>
          <w:rFonts w:ascii="Garamond" w:hAnsi="Garamond" w:cs="Times New Roman"/>
          <w:sz w:val="24"/>
          <w:szCs w:val="24"/>
        </w:rPr>
        <w:t>. n. 201/2022.</w:t>
      </w:r>
    </w:p>
    <w:p w14:paraId="72A0A0C8" w14:textId="4EA2BDBD" w:rsidR="00A41D7C" w:rsidRDefault="00223497" w:rsidP="000C7CDA">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All’esito del</w:t>
      </w:r>
      <w:r w:rsidR="00A41D7C">
        <w:rPr>
          <w:rFonts w:ascii="Garamond" w:hAnsi="Garamond" w:cs="Times New Roman"/>
          <w:sz w:val="24"/>
          <w:szCs w:val="24"/>
        </w:rPr>
        <w:t xml:space="preserve"> raffronto tra quanto previsto dall’art. 7 del D. </w:t>
      </w:r>
      <w:proofErr w:type="spellStart"/>
      <w:r w:rsidR="00A41D7C">
        <w:rPr>
          <w:rFonts w:ascii="Garamond" w:hAnsi="Garamond" w:cs="Times New Roman"/>
          <w:sz w:val="24"/>
          <w:szCs w:val="24"/>
        </w:rPr>
        <w:t>Lgs</w:t>
      </w:r>
      <w:proofErr w:type="spellEnd"/>
      <w:r w:rsidR="00A41D7C">
        <w:rPr>
          <w:rFonts w:ascii="Garamond" w:hAnsi="Garamond" w:cs="Times New Roman"/>
          <w:sz w:val="24"/>
          <w:szCs w:val="24"/>
        </w:rPr>
        <w:t xml:space="preserve">. n. 36/2023 e dall’art. 17 del D. </w:t>
      </w:r>
      <w:proofErr w:type="spellStart"/>
      <w:r w:rsidR="00A41D7C">
        <w:rPr>
          <w:rFonts w:ascii="Garamond" w:hAnsi="Garamond" w:cs="Times New Roman"/>
          <w:sz w:val="24"/>
          <w:szCs w:val="24"/>
        </w:rPr>
        <w:t>Lgs</w:t>
      </w:r>
      <w:proofErr w:type="spellEnd"/>
      <w:r w:rsidR="00A41D7C">
        <w:rPr>
          <w:rFonts w:ascii="Garamond" w:hAnsi="Garamond" w:cs="Times New Roman"/>
          <w:sz w:val="24"/>
          <w:szCs w:val="24"/>
        </w:rPr>
        <w:t xml:space="preserve">. n. 201/2022 la dottrina </w:t>
      </w:r>
      <w:r>
        <w:rPr>
          <w:rFonts w:ascii="Garamond" w:hAnsi="Garamond" w:cs="Times New Roman"/>
          <w:sz w:val="24"/>
          <w:szCs w:val="24"/>
        </w:rPr>
        <w:t xml:space="preserve">ha messo in evidenza il diverso contenuto della motivazione richiesta a seconda che si tratti di affidamento </w:t>
      </w:r>
      <w:r>
        <w:rPr>
          <w:rFonts w:ascii="Garamond" w:hAnsi="Garamond" w:cs="Times New Roman"/>
          <w:i/>
          <w:sz w:val="24"/>
          <w:szCs w:val="24"/>
        </w:rPr>
        <w:t xml:space="preserve">in </w:t>
      </w:r>
      <w:proofErr w:type="spellStart"/>
      <w:r>
        <w:rPr>
          <w:rFonts w:ascii="Garamond" w:hAnsi="Garamond" w:cs="Times New Roman"/>
          <w:i/>
          <w:sz w:val="24"/>
          <w:szCs w:val="24"/>
        </w:rPr>
        <w:t>house</w:t>
      </w:r>
      <w:proofErr w:type="spellEnd"/>
      <w:r>
        <w:rPr>
          <w:rFonts w:ascii="Garamond" w:hAnsi="Garamond" w:cs="Times New Roman"/>
          <w:i/>
          <w:sz w:val="24"/>
          <w:szCs w:val="24"/>
        </w:rPr>
        <w:t xml:space="preserve"> </w:t>
      </w:r>
      <w:r>
        <w:rPr>
          <w:rFonts w:ascii="Garamond" w:hAnsi="Garamond" w:cs="Times New Roman"/>
          <w:sz w:val="24"/>
          <w:szCs w:val="24"/>
        </w:rPr>
        <w:t xml:space="preserve">in generale oppure di affidamento </w:t>
      </w:r>
      <w:r>
        <w:rPr>
          <w:rFonts w:ascii="Garamond" w:hAnsi="Garamond" w:cs="Times New Roman"/>
          <w:i/>
          <w:sz w:val="24"/>
          <w:szCs w:val="24"/>
        </w:rPr>
        <w:t xml:space="preserve">in </w:t>
      </w:r>
      <w:proofErr w:type="spellStart"/>
      <w:r>
        <w:rPr>
          <w:rFonts w:ascii="Garamond" w:hAnsi="Garamond" w:cs="Times New Roman"/>
          <w:i/>
          <w:sz w:val="24"/>
          <w:szCs w:val="24"/>
        </w:rPr>
        <w:t>house</w:t>
      </w:r>
      <w:proofErr w:type="spellEnd"/>
      <w:r>
        <w:rPr>
          <w:rFonts w:ascii="Garamond" w:hAnsi="Garamond" w:cs="Times New Roman"/>
          <w:i/>
          <w:sz w:val="24"/>
          <w:szCs w:val="24"/>
        </w:rPr>
        <w:t xml:space="preserve"> </w:t>
      </w:r>
      <w:r>
        <w:rPr>
          <w:rFonts w:ascii="Garamond" w:hAnsi="Garamond" w:cs="Times New Roman"/>
          <w:sz w:val="24"/>
          <w:szCs w:val="24"/>
        </w:rPr>
        <w:t>di SIEG di livello locale</w:t>
      </w:r>
      <w:r w:rsidR="00A41D7C">
        <w:rPr>
          <w:rStyle w:val="Rimandonotaapidipagina"/>
          <w:rFonts w:ascii="Garamond" w:hAnsi="Garamond" w:cs="Times New Roman"/>
          <w:sz w:val="24"/>
          <w:szCs w:val="24"/>
        </w:rPr>
        <w:footnoteReference w:id="52"/>
      </w:r>
      <w:r>
        <w:rPr>
          <w:rFonts w:ascii="Garamond" w:hAnsi="Garamond" w:cs="Times New Roman"/>
          <w:sz w:val="24"/>
          <w:szCs w:val="24"/>
        </w:rPr>
        <w:t xml:space="preserve">. In particolare, si è sottolineato che </w:t>
      </w:r>
      <w:r w:rsidR="00C6562D">
        <w:rPr>
          <w:rFonts w:ascii="Garamond" w:hAnsi="Garamond" w:cs="Times New Roman"/>
          <w:sz w:val="24"/>
          <w:szCs w:val="24"/>
        </w:rPr>
        <w:t>la motivazione richiesta dal</w:t>
      </w:r>
      <w:r w:rsidR="00C6562D" w:rsidRPr="00C6562D">
        <w:rPr>
          <w:rFonts w:ascii="Garamond" w:hAnsi="Garamond" w:cs="Times New Roman"/>
          <w:sz w:val="24"/>
          <w:szCs w:val="24"/>
        </w:rPr>
        <w:t xml:space="preserve">l’art. 7 del D. </w:t>
      </w:r>
      <w:proofErr w:type="spellStart"/>
      <w:r w:rsidR="00C6562D" w:rsidRPr="00C6562D">
        <w:rPr>
          <w:rFonts w:ascii="Garamond" w:hAnsi="Garamond" w:cs="Times New Roman"/>
          <w:sz w:val="24"/>
          <w:szCs w:val="24"/>
        </w:rPr>
        <w:t>Lgs</w:t>
      </w:r>
      <w:proofErr w:type="spellEnd"/>
      <w:r w:rsidR="00C6562D" w:rsidRPr="00C6562D">
        <w:rPr>
          <w:rFonts w:ascii="Garamond" w:hAnsi="Garamond" w:cs="Times New Roman"/>
          <w:sz w:val="24"/>
          <w:szCs w:val="24"/>
        </w:rPr>
        <w:t>. n. 36/2023</w:t>
      </w:r>
      <w:r w:rsidR="00C6562D">
        <w:rPr>
          <w:rFonts w:ascii="Garamond" w:hAnsi="Garamond" w:cs="Times New Roman"/>
          <w:sz w:val="24"/>
          <w:szCs w:val="24"/>
        </w:rPr>
        <w:t xml:space="preserve"> non richiederebbe l’esposizione delle ragioni </w:t>
      </w:r>
      <w:r w:rsidR="00C6562D" w:rsidRPr="00C6562D">
        <w:rPr>
          <w:rFonts w:ascii="Garamond" w:hAnsi="Garamond" w:cs="Times New Roman"/>
          <w:sz w:val="24"/>
          <w:szCs w:val="24"/>
        </w:rPr>
        <w:t>del mancato ricorso al mercato ai fini d</w:t>
      </w:r>
      <w:r w:rsidR="00C6562D">
        <w:rPr>
          <w:rFonts w:ascii="Garamond" w:hAnsi="Garamond" w:cs="Times New Roman"/>
          <w:sz w:val="24"/>
          <w:szCs w:val="24"/>
        </w:rPr>
        <w:t>ell</w:t>
      </w:r>
      <w:r w:rsidR="00C103BA">
        <w:rPr>
          <w:rFonts w:ascii="Garamond" w:hAnsi="Garamond" w:cs="Times New Roman"/>
          <w:sz w:val="24"/>
          <w:szCs w:val="24"/>
        </w:rPr>
        <w:t>’</w:t>
      </w:r>
      <w:r w:rsidR="00C6562D" w:rsidRPr="00C6562D">
        <w:rPr>
          <w:rFonts w:ascii="Garamond" w:hAnsi="Garamond" w:cs="Times New Roman"/>
          <w:sz w:val="24"/>
          <w:szCs w:val="24"/>
        </w:rPr>
        <w:t>efficiente gestione del servizio</w:t>
      </w:r>
      <w:r w:rsidR="006C0095">
        <w:rPr>
          <w:rFonts w:ascii="Garamond" w:hAnsi="Garamond" w:cs="Times New Roman"/>
          <w:sz w:val="24"/>
          <w:szCs w:val="24"/>
        </w:rPr>
        <w:t xml:space="preserve"> (imposta, invece, </w:t>
      </w:r>
      <w:r w:rsidR="006C0095" w:rsidRPr="006C0095">
        <w:rPr>
          <w:rFonts w:ascii="Garamond" w:hAnsi="Garamond" w:cs="Times New Roman"/>
          <w:sz w:val="24"/>
          <w:szCs w:val="24"/>
        </w:rPr>
        <w:t xml:space="preserve">dall’art. 17 del D. </w:t>
      </w:r>
      <w:proofErr w:type="spellStart"/>
      <w:r w:rsidR="006C0095" w:rsidRPr="006C0095">
        <w:rPr>
          <w:rFonts w:ascii="Garamond" w:hAnsi="Garamond" w:cs="Times New Roman"/>
          <w:sz w:val="24"/>
          <w:szCs w:val="24"/>
        </w:rPr>
        <w:t>Lgs</w:t>
      </w:r>
      <w:proofErr w:type="spellEnd"/>
      <w:r w:rsidR="006C0095" w:rsidRPr="006C0095">
        <w:rPr>
          <w:rFonts w:ascii="Garamond" w:hAnsi="Garamond" w:cs="Times New Roman"/>
          <w:sz w:val="24"/>
          <w:szCs w:val="24"/>
        </w:rPr>
        <w:t>. n. 201/2022</w:t>
      </w:r>
      <w:r w:rsidR="006C0095">
        <w:rPr>
          <w:rFonts w:ascii="Garamond" w:hAnsi="Garamond" w:cs="Times New Roman"/>
          <w:sz w:val="24"/>
          <w:szCs w:val="24"/>
        </w:rPr>
        <w:t>)</w:t>
      </w:r>
      <w:r w:rsidR="00C6562D">
        <w:rPr>
          <w:rFonts w:ascii="Garamond" w:hAnsi="Garamond" w:cs="Times New Roman"/>
          <w:sz w:val="24"/>
          <w:szCs w:val="24"/>
        </w:rPr>
        <w:t>, dovendosi pi</w:t>
      </w:r>
      <w:r w:rsidR="00C103BA">
        <w:rPr>
          <w:rFonts w:ascii="Garamond" w:hAnsi="Garamond" w:cs="Times New Roman"/>
          <w:sz w:val="24"/>
          <w:szCs w:val="24"/>
        </w:rPr>
        <w:t>uttosto la stessa concentrare</w:t>
      </w:r>
      <w:r w:rsidR="00C6562D">
        <w:rPr>
          <w:rFonts w:ascii="Garamond" w:hAnsi="Garamond" w:cs="Times New Roman"/>
          <w:sz w:val="24"/>
          <w:szCs w:val="24"/>
        </w:rPr>
        <w:t xml:space="preserve"> soltanto </w:t>
      </w:r>
      <w:r w:rsidR="00FF52A6">
        <w:rPr>
          <w:rFonts w:ascii="Garamond" w:hAnsi="Garamond" w:cs="Times New Roman"/>
          <w:sz w:val="24"/>
          <w:szCs w:val="24"/>
        </w:rPr>
        <w:t xml:space="preserve">su parametri economico – finanziari e </w:t>
      </w:r>
      <w:r w:rsidR="00C6562D">
        <w:rPr>
          <w:rFonts w:ascii="Garamond" w:hAnsi="Garamond" w:cs="Times New Roman"/>
          <w:sz w:val="24"/>
          <w:szCs w:val="24"/>
        </w:rPr>
        <w:t xml:space="preserve">sui benefici per la collettività della scelta </w:t>
      </w:r>
      <w:proofErr w:type="spellStart"/>
      <w:r w:rsidR="00C6562D">
        <w:rPr>
          <w:rFonts w:ascii="Garamond" w:hAnsi="Garamond" w:cs="Times New Roman"/>
          <w:sz w:val="24"/>
          <w:szCs w:val="24"/>
        </w:rPr>
        <w:t>dell’</w:t>
      </w:r>
      <w:r w:rsidR="00C6562D">
        <w:rPr>
          <w:rFonts w:ascii="Garamond" w:hAnsi="Garamond" w:cs="Times New Roman"/>
          <w:i/>
          <w:sz w:val="24"/>
          <w:szCs w:val="24"/>
        </w:rPr>
        <w:t>in</w:t>
      </w:r>
      <w:proofErr w:type="spellEnd"/>
      <w:r w:rsidR="00C6562D">
        <w:rPr>
          <w:rFonts w:ascii="Garamond" w:hAnsi="Garamond" w:cs="Times New Roman"/>
          <w:i/>
          <w:sz w:val="24"/>
          <w:szCs w:val="24"/>
        </w:rPr>
        <w:t xml:space="preserve"> </w:t>
      </w:r>
      <w:proofErr w:type="spellStart"/>
      <w:r w:rsidR="00C6562D">
        <w:rPr>
          <w:rFonts w:ascii="Garamond" w:hAnsi="Garamond" w:cs="Times New Roman"/>
          <w:i/>
          <w:sz w:val="24"/>
          <w:szCs w:val="24"/>
        </w:rPr>
        <w:t>house</w:t>
      </w:r>
      <w:proofErr w:type="spellEnd"/>
      <w:r w:rsidR="00C6562D">
        <w:rPr>
          <w:rFonts w:ascii="Garamond" w:hAnsi="Garamond" w:cs="Times New Roman"/>
          <w:i/>
          <w:sz w:val="24"/>
          <w:szCs w:val="24"/>
        </w:rPr>
        <w:t xml:space="preserve"> </w:t>
      </w:r>
      <w:proofErr w:type="spellStart"/>
      <w:r w:rsidR="00C6562D">
        <w:rPr>
          <w:rFonts w:ascii="Garamond" w:hAnsi="Garamond" w:cs="Times New Roman"/>
          <w:i/>
          <w:sz w:val="24"/>
          <w:szCs w:val="24"/>
        </w:rPr>
        <w:t>providing</w:t>
      </w:r>
      <w:proofErr w:type="spellEnd"/>
      <w:r w:rsidR="00C6562D">
        <w:rPr>
          <w:rFonts w:ascii="Garamond" w:hAnsi="Garamond" w:cs="Times New Roman"/>
          <w:sz w:val="24"/>
          <w:szCs w:val="24"/>
        </w:rPr>
        <w:t>.</w:t>
      </w:r>
    </w:p>
    <w:p w14:paraId="0B891C25" w14:textId="6A5561E6" w:rsidR="00B167E4" w:rsidRPr="00BB44F3" w:rsidRDefault="00CB7D1C" w:rsidP="002B0099">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Dagli </w:t>
      </w:r>
      <w:r w:rsidR="00B167E4" w:rsidRPr="00BB44F3">
        <w:rPr>
          <w:rFonts w:ascii="Garamond" w:hAnsi="Garamond" w:cs="Times New Roman"/>
          <w:sz w:val="24"/>
          <w:szCs w:val="24"/>
        </w:rPr>
        <w:t>adempimenti</w:t>
      </w:r>
      <w:r w:rsidR="00A41D7C">
        <w:rPr>
          <w:rFonts w:ascii="Garamond" w:hAnsi="Garamond" w:cs="Times New Roman"/>
          <w:sz w:val="24"/>
          <w:szCs w:val="24"/>
        </w:rPr>
        <w:t xml:space="preserve"> prescritti in caso di scelta </w:t>
      </w:r>
      <w:proofErr w:type="spellStart"/>
      <w:r w:rsidR="00A41D7C">
        <w:rPr>
          <w:rFonts w:ascii="Garamond" w:hAnsi="Garamond" w:cs="Times New Roman"/>
          <w:sz w:val="24"/>
          <w:szCs w:val="24"/>
        </w:rPr>
        <w:t>dell’</w:t>
      </w:r>
      <w:r w:rsidR="00A41D7C">
        <w:rPr>
          <w:rFonts w:ascii="Garamond" w:hAnsi="Garamond" w:cs="Times New Roman"/>
          <w:i/>
          <w:sz w:val="24"/>
          <w:szCs w:val="24"/>
        </w:rPr>
        <w:t>in</w:t>
      </w:r>
      <w:proofErr w:type="spellEnd"/>
      <w:r w:rsidR="00A41D7C">
        <w:rPr>
          <w:rFonts w:ascii="Garamond" w:hAnsi="Garamond" w:cs="Times New Roman"/>
          <w:i/>
          <w:sz w:val="24"/>
          <w:szCs w:val="24"/>
        </w:rPr>
        <w:t xml:space="preserve"> </w:t>
      </w:r>
      <w:proofErr w:type="spellStart"/>
      <w:r w:rsidR="00A41D7C">
        <w:rPr>
          <w:rFonts w:ascii="Garamond" w:hAnsi="Garamond" w:cs="Times New Roman"/>
          <w:i/>
          <w:sz w:val="24"/>
          <w:szCs w:val="24"/>
        </w:rPr>
        <w:t>house</w:t>
      </w:r>
      <w:proofErr w:type="spellEnd"/>
      <w:r w:rsidR="00A41D7C">
        <w:rPr>
          <w:rFonts w:ascii="Garamond" w:hAnsi="Garamond" w:cs="Times New Roman"/>
          <w:i/>
          <w:sz w:val="24"/>
          <w:szCs w:val="24"/>
        </w:rPr>
        <w:t xml:space="preserve"> </w:t>
      </w:r>
      <w:r w:rsidR="00A41D7C">
        <w:rPr>
          <w:rFonts w:ascii="Garamond" w:hAnsi="Garamond" w:cs="Times New Roman"/>
          <w:sz w:val="24"/>
          <w:szCs w:val="24"/>
        </w:rPr>
        <w:t>emerge come tale</w:t>
      </w:r>
      <w:r w:rsidR="00B167E4" w:rsidRPr="00BB44F3">
        <w:rPr>
          <w:rFonts w:ascii="Garamond" w:hAnsi="Garamond" w:cs="Times New Roman"/>
          <w:sz w:val="24"/>
          <w:szCs w:val="24"/>
        </w:rPr>
        <w:t xml:space="preserve"> modalità di gestione non si presenta sul piano </w:t>
      </w:r>
      <w:r w:rsidR="00AF29F7">
        <w:rPr>
          <w:rFonts w:ascii="Garamond" w:hAnsi="Garamond" w:cs="Times New Roman"/>
          <w:sz w:val="24"/>
          <w:szCs w:val="24"/>
        </w:rPr>
        <w:t>giuridico e pratico</w:t>
      </w:r>
      <w:r w:rsidR="00B167E4" w:rsidRPr="00BB44F3">
        <w:rPr>
          <w:rFonts w:ascii="Garamond" w:hAnsi="Garamond" w:cs="Times New Roman"/>
          <w:sz w:val="24"/>
          <w:szCs w:val="24"/>
        </w:rPr>
        <w:t xml:space="preserve"> </w:t>
      </w:r>
      <w:r w:rsidR="00AF29F7">
        <w:rPr>
          <w:rFonts w:ascii="Garamond" w:hAnsi="Garamond" w:cs="Times New Roman"/>
          <w:sz w:val="24"/>
          <w:szCs w:val="24"/>
        </w:rPr>
        <w:t>come</w:t>
      </w:r>
      <w:r w:rsidR="00B167E4" w:rsidRPr="00BB44F3">
        <w:rPr>
          <w:rFonts w:ascii="Garamond" w:hAnsi="Garamond" w:cs="Times New Roman"/>
          <w:sz w:val="24"/>
          <w:szCs w:val="24"/>
        </w:rPr>
        <w:t xml:space="preserve"> equivalente </w:t>
      </w:r>
      <w:r w:rsidR="008E785D">
        <w:rPr>
          <w:rFonts w:ascii="Garamond" w:hAnsi="Garamond" w:cs="Times New Roman"/>
          <w:sz w:val="24"/>
          <w:szCs w:val="24"/>
        </w:rPr>
        <w:t>alle</w:t>
      </w:r>
      <w:r w:rsidR="00B167E4" w:rsidRPr="00BB44F3">
        <w:rPr>
          <w:rFonts w:ascii="Garamond" w:hAnsi="Garamond" w:cs="Times New Roman"/>
          <w:sz w:val="24"/>
          <w:szCs w:val="24"/>
        </w:rPr>
        <w:t xml:space="preserve"> forme di gestione che si pongono nell’ottica dell’esternalizzazione, imponendo</w:t>
      </w:r>
      <w:r w:rsidR="00AF29F7">
        <w:rPr>
          <w:rFonts w:ascii="Garamond" w:hAnsi="Garamond" w:cs="Times New Roman"/>
          <w:sz w:val="24"/>
          <w:szCs w:val="24"/>
        </w:rPr>
        <w:t xml:space="preserve">si ai fini </w:t>
      </w:r>
      <w:proofErr w:type="spellStart"/>
      <w:r w:rsidR="00AF29F7">
        <w:rPr>
          <w:rFonts w:ascii="Garamond" w:hAnsi="Garamond" w:cs="Times New Roman"/>
          <w:sz w:val="24"/>
          <w:szCs w:val="24"/>
        </w:rPr>
        <w:t>dell’</w:t>
      </w:r>
      <w:r w:rsidR="00AF29F7">
        <w:rPr>
          <w:rFonts w:ascii="Garamond" w:hAnsi="Garamond" w:cs="Times New Roman"/>
          <w:i/>
          <w:sz w:val="24"/>
          <w:szCs w:val="24"/>
        </w:rPr>
        <w:t>in</w:t>
      </w:r>
      <w:proofErr w:type="spellEnd"/>
      <w:r w:rsidR="00AF29F7">
        <w:rPr>
          <w:rFonts w:ascii="Garamond" w:hAnsi="Garamond" w:cs="Times New Roman"/>
          <w:i/>
          <w:sz w:val="24"/>
          <w:szCs w:val="24"/>
        </w:rPr>
        <w:t xml:space="preserve"> </w:t>
      </w:r>
      <w:proofErr w:type="spellStart"/>
      <w:r w:rsidR="00AF29F7">
        <w:rPr>
          <w:rFonts w:ascii="Garamond" w:hAnsi="Garamond" w:cs="Times New Roman"/>
          <w:i/>
          <w:sz w:val="24"/>
          <w:szCs w:val="24"/>
        </w:rPr>
        <w:t>house</w:t>
      </w:r>
      <w:proofErr w:type="spellEnd"/>
      <w:r w:rsidR="00B167E4" w:rsidRPr="00BB44F3">
        <w:rPr>
          <w:rFonts w:ascii="Garamond" w:hAnsi="Garamond" w:cs="Times New Roman"/>
          <w:sz w:val="24"/>
          <w:szCs w:val="24"/>
        </w:rPr>
        <w:t xml:space="preserve"> oneri non trascurabili in capo all’ente locale sul piano istruttorio, procedimentale</w:t>
      </w:r>
      <w:r w:rsidR="008E785D">
        <w:rPr>
          <w:rFonts w:ascii="Garamond" w:hAnsi="Garamond" w:cs="Times New Roman"/>
          <w:sz w:val="24"/>
          <w:szCs w:val="24"/>
        </w:rPr>
        <w:t>, motivazionale</w:t>
      </w:r>
      <w:r w:rsidR="00B167E4" w:rsidRPr="00BB44F3">
        <w:rPr>
          <w:rFonts w:ascii="Garamond" w:hAnsi="Garamond" w:cs="Times New Roman"/>
          <w:sz w:val="24"/>
          <w:szCs w:val="24"/>
        </w:rPr>
        <w:t xml:space="preserve"> e della tempistica dell’operazione</w:t>
      </w:r>
      <w:r w:rsidR="00AF29F7">
        <w:rPr>
          <w:rFonts w:ascii="Garamond" w:hAnsi="Garamond" w:cs="Times New Roman"/>
          <w:sz w:val="24"/>
          <w:szCs w:val="24"/>
        </w:rPr>
        <w:t>. Si tratta della ragione per cui certa dottrina ritiene che anche nell’attuale assetto normativo tale forma di gestione costituirebbe “</w:t>
      </w:r>
      <w:r w:rsidR="00AF29F7">
        <w:rPr>
          <w:rFonts w:ascii="Garamond" w:hAnsi="Garamond" w:cs="Times New Roman"/>
          <w:i/>
          <w:sz w:val="24"/>
          <w:szCs w:val="24"/>
        </w:rPr>
        <w:t xml:space="preserve">una ipotesi residuale o di </w:t>
      </w:r>
      <w:proofErr w:type="spellStart"/>
      <w:r w:rsidR="00AF29F7">
        <w:rPr>
          <w:rFonts w:ascii="Garamond" w:hAnsi="Garamond" w:cs="Times New Roman"/>
          <w:i/>
          <w:sz w:val="24"/>
          <w:szCs w:val="24"/>
        </w:rPr>
        <w:t>extrema</w:t>
      </w:r>
      <w:proofErr w:type="spellEnd"/>
      <w:r w:rsidR="00AF29F7">
        <w:rPr>
          <w:rFonts w:ascii="Garamond" w:hAnsi="Garamond" w:cs="Times New Roman"/>
          <w:i/>
          <w:sz w:val="24"/>
          <w:szCs w:val="24"/>
        </w:rPr>
        <w:t xml:space="preserve"> ratio</w:t>
      </w:r>
      <w:r w:rsidR="00AF29F7">
        <w:rPr>
          <w:rFonts w:ascii="Garamond" w:hAnsi="Garamond" w:cs="Times New Roman"/>
          <w:sz w:val="24"/>
          <w:szCs w:val="24"/>
        </w:rPr>
        <w:t>” rispetto all’esternalizzazione del servizio</w:t>
      </w:r>
      <w:r w:rsidR="00AF29F7">
        <w:rPr>
          <w:rStyle w:val="Rimandonotaapidipagina"/>
          <w:rFonts w:ascii="Garamond" w:hAnsi="Garamond" w:cs="Times New Roman"/>
          <w:sz w:val="24"/>
          <w:szCs w:val="24"/>
        </w:rPr>
        <w:footnoteReference w:id="53"/>
      </w:r>
      <w:r w:rsidR="00B167E4" w:rsidRPr="00BB44F3">
        <w:rPr>
          <w:rFonts w:ascii="Garamond" w:hAnsi="Garamond" w:cs="Times New Roman"/>
          <w:sz w:val="24"/>
          <w:szCs w:val="24"/>
        </w:rPr>
        <w:t>.</w:t>
      </w:r>
    </w:p>
    <w:p w14:paraId="480D4421" w14:textId="41542526" w:rsidR="006F345B" w:rsidRPr="00BB44F3" w:rsidRDefault="00B167E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Peraltro, a</w:t>
      </w:r>
      <w:r w:rsidR="006F345B" w:rsidRPr="00BB44F3">
        <w:rPr>
          <w:rFonts w:ascii="Garamond" w:hAnsi="Garamond" w:cs="Times New Roman"/>
          <w:sz w:val="24"/>
          <w:szCs w:val="24"/>
        </w:rPr>
        <w:t xml:space="preserve"> differenza di quanto illustrato a proposito delle società miste le società </w:t>
      </w:r>
      <w:r w:rsidR="006F345B" w:rsidRPr="00BB44F3">
        <w:rPr>
          <w:rFonts w:ascii="Garamond" w:hAnsi="Garamond" w:cs="Times New Roman"/>
          <w:i/>
          <w:sz w:val="24"/>
          <w:szCs w:val="24"/>
        </w:rPr>
        <w:t xml:space="preserve">in </w:t>
      </w:r>
      <w:proofErr w:type="spellStart"/>
      <w:r w:rsidR="006F345B" w:rsidRPr="00BB44F3">
        <w:rPr>
          <w:rFonts w:ascii="Garamond" w:hAnsi="Garamond" w:cs="Times New Roman"/>
          <w:i/>
          <w:sz w:val="24"/>
          <w:szCs w:val="24"/>
        </w:rPr>
        <w:t>house</w:t>
      </w:r>
      <w:proofErr w:type="spellEnd"/>
      <w:r w:rsidR="006F345B" w:rsidRPr="00BB44F3">
        <w:rPr>
          <w:rFonts w:ascii="Garamond" w:hAnsi="Garamond" w:cs="Times New Roman"/>
          <w:sz w:val="24"/>
          <w:szCs w:val="24"/>
        </w:rPr>
        <w:t xml:space="preserve">, se previsto dai relativi statuti, possono ai sensi del comma 3-bis dell’art. 16 del D. </w:t>
      </w:r>
      <w:proofErr w:type="spellStart"/>
      <w:r w:rsidR="006F345B" w:rsidRPr="00BB44F3">
        <w:rPr>
          <w:rFonts w:ascii="Garamond" w:hAnsi="Garamond" w:cs="Times New Roman"/>
          <w:sz w:val="24"/>
          <w:szCs w:val="24"/>
        </w:rPr>
        <w:t>Lgs</w:t>
      </w:r>
      <w:proofErr w:type="spellEnd"/>
      <w:r w:rsidR="006F345B" w:rsidRPr="00BB44F3">
        <w:rPr>
          <w:rFonts w:ascii="Garamond" w:hAnsi="Garamond" w:cs="Times New Roman"/>
          <w:sz w:val="24"/>
          <w:szCs w:val="24"/>
        </w:rPr>
        <w:t xml:space="preserve">. </w:t>
      </w:r>
      <w:r w:rsidR="00DB500F" w:rsidRPr="00BB44F3">
        <w:rPr>
          <w:rFonts w:ascii="Garamond" w:hAnsi="Garamond" w:cs="Times New Roman"/>
          <w:sz w:val="24"/>
          <w:szCs w:val="24"/>
        </w:rPr>
        <w:t xml:space="preserve">n. </w:t>
      </w:r>
      <w:r w:rsidR="006F345B" w:rsidRPr="00BB44F3">
        <w:rPr>
          <w:rFonts w:ascii="Garamond" w:hAnsi="Garamond" w:cs="Times New Roman"/>
          <w:sz w:val="24"/>
          <w:szCs w:val="24"/>
        </w:rPr>
        <w:t>175/2016 rivolgere la produzione ulteriore rispetto al limite di cui al comma 3 della medesima disposizione a finalità diverse a patto “</w:t>
      </w:r>
      <w:r w:rsidR="006F345B" w:rsidRPr="00BB44F3">
        <w:rPr>
          <w:rFonts w:ascii="Garamond" w:hAnsi="Garamond" w:cs="Times New Roman"/>
          <w:i/>
          <w:sz w:val="24"/>
          <w:szCs w:val="24"/>
        </w:rPr>
        <w:t>che la stessa permetta di conseguire economie di scala o altri recuperi di efficienza sul complesso dell'attività principale della società</w:t>
      </w:r>
      <w:r w:rsidR="006F345B" w:rsidRPr="00BB44F3">
        <w:rPr>
          <w:rFonts w:ascii="Garamond" w:hAnsi="Garamond" w:cs="Times New Roman"/>
          <w:sz w:val="24"/>
          <w:szCs w:val="24"/>
        </w:rPr>
        <w:t>”.</w:t>
      </w:r>
    </w:p>
    <w:p w14:paraId="58BE575D" w14:textId="16FBDEC5" w:rsidR="003E0DCE" w:rsidRPr="00BB44F3" w:rsidRDefault="003E0DCE" w:rsidP="002B0099">
      <w:pPr>
        <w:spacing w:after="0" w:line="240" w:lineRule="auto"/>
        <w:ind w:firstLine="454"/>
        <w:contextualSpacing/>
        <w:jc w:val="both"/>
        <w:rPr>
          <w:rFonts w:ascii="Garamond" w:hAnsi="Garamond" w:cs="Times New Roman"/>
          <w:color w:val="000000" w:themeColor="text1"/>
          <w:sz w:val="24"/>
          <w:szCs w:val="24"/>
        </w:rPr>
      </w:pPr>
      <w:r w:rsidRPr="00BB44F3">
        <w:rPr>
          <w:rFonts w:ascii="Garamond" w:hAnsi="Garamond" w:cs="Times New Roman"/>
          <w:color w:val="000000" w:themeColor="text1"/>
          <w:sz w:val="24"/>
          <w:szCs w:val="24"/>
        </w:rPr>
        <w:t xml:space="preserve">Tanto chiarito, al fine di evidenziare le problematiche che possono derivare dall’intreccio tra le diverse delibere che intervengono o che comunque possono intervenire in relazione al ricorso al modello </w:t>
      </w:r>
      <w:proofErr w:type="spellStart"/>
      <w:r w:rsidRPr="00BB44F3">
        <w:rPr>
          <w:rFonts w:ascii="Garamond" w:hAnsi="Garamond" w:cs="Times New Roman"/>
          <w:color w:val="000000" w:themeColor="text1"/>
          <w:sz w:val="24"/>
          <w:szCs w:val="24"/>
        </w:rPr>
        <w:t>dell’</w:t>
      </w:r>
      <w:r w:rsidRPr="00BB44F3">
        <w:rPr>
          <w:rFonts w:ascii="Garamond" w:hAnsi="Garamond" w:cs="Times New Roman"/>
          <w:i/>
          <w:color w:val="000000" w:themeColor="text1"/>
          <w:sz w:val="24"/>
          <w:szCs w:val="24"/>
        </w:rPr>
        <w:t>in</w:t>
      </w:r>
      <w:proofErr w:type="spellEnd"/>
      <w:r w:rsidRPr="00BB44F3">
        <w:rPr>
          <w:rFonts w:ascii="Garamond" w:hAnsi="Garamond" w:cs="Times New Roman"/>
          <w:i/>
          <w:color w:val="000000" w:themeColor="text1"/>
          <w:sz w:val="24"/>
          <w:szCs w:val="24"/>
        </w:rPr>
        <w:t xml:space="preserve"> </w:t>
      </w:r>
      <w:proofErr w:type="spellStart"/>
      <w:r w:rsidRPr="00BB44F3">
        <w:rPr>
          <w:rFonts w:ascii="Garamond" w:hAnsi="Garamond" w:cs="Times New Roman"/>
          <w:i/>
          <w:color w:val="000000" w:themeColor="text1"/>
          <w:sz w:val="24"/>
          <w:szCs w:val="24"/>
        </w:rPr>
        <w:t>house</w:t>
      </w:r>
      <w:proofErr w:type="spellEnd"/>
      <w:r w:rsidRPr="00BB44F3">
        <w:rPr>
          <w:rFonts w:ascii="Garamond" w:hAnsi="Garamond" w:cs="Times New Roman"/>
          <w:i/>
          <w:color w:val="000000" w:themeColor="text1"/>
          <w:sz w:val="24"/>
          <w:szCs w:val="24"/>
        </w:rPr>
        <w:t xml:space="preserve"> </w:t>
      </w:r>
      <w:proofErr w:type="spellStart"/>
      <w:r w:rsidRPr="00BB44F3">
        <w:rPr>
          <w:rFonts w:ascii="Garamond" w:hAnsi="Garamond" w:cs="Times New Roman"/>
          <w:i/>
          <w:color w:val="000000" w:themeColor="text1"/>
          <w:sz w:val="24"/>
          <w:szCs w:val="24"/>
        </w:rPr>
        <w:t>providing</w:t>
      </w:r>
      <w:proofErr w:type="spellEnd"/>
      <w:r w:rsidRPr="00BB44F3">
        <w:rPr>
          <w:rFonts w:ascii="Garamond" w:hAnsi="Garamond" w:cs="Times New Roman"/>
          <w:i/>
          <w:color w:val="000000" w:themeColor="text1"/>
          <w:sz w:val="24"/>
          <w:szCs w:val="24"/>
        </w:rPr>
        <w:t xml:space="preserve"> </w:t>
      </w:r>
      <w:r w:rsidR="00AF29F7">
        <w:rPr>
          <w:rFonts w:ascii="Garamond" w:hAnsi="Garamond" w:cs="Times New Roman"/>
          <w:color w:val="000000" w:themeColor="text1"/>
          <w:sz w:val="24"/>
          <w:szCs w:val="24"/>
        </w:rPr>
        <w:t>vanno</w:t>
      </w:r>
      <w:r w:rsidRPr="00BB44F3">
        <w:rPr>
          <w:rFonts w:ascii="Garamond" w:hAnsi="Garamond" w:cs="Times New Roman"/>
          <w:color w:val="000000" w:themeColor="text1"/>
          <w:sz w:val="24"/>
          <w:szCs w:val="24"/>
        </w:rPr>
        <w:t xml:space="preserve"> esaminate due diverse vicende delle quali si è occupata la giurisprudenza amministrativa. </w:t>
      </w:r>
    </w:p>
    <w:p w14:paraId="3DFEB753" w14:textId="2BD67D96" w:rsidR="003E0DCE" w:rsidRPr="00BB44F3" w:rsidRDefault="003E0DC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particolare, </w:t>
      </w:r>
      <w:bookmarkStart w:id="292" w:name="_Toc209095136"/>
      <w:bookmarkStart w:id="293" w:name="_Toc209095197"/>
      <w:bookmarkStart w:id="294" w:name="_Toc209095672"/>
      <w:bookmarkStart w:id="295" w:name="_Toc209095705"/>
      <w:bookmarkStart w:id="296" w:name="_Toc209095738"/>
      <w:bookmarkStart w:id="297" w:name="_Toc209097852"/>
      <w:bookmarkStart w:id="298" w:name="_Toc209097886"/>
      <w:bookmarkStart w:id="299" w:name="_Toc209104533"/>
      <w:bookmarkStart w:id="300" w:name="_Toc209105895"/>
      <w:bookmarkStart w:id="301" w:name="_Toc209106780"/>
      <w:bookmarkStart w:id="302" w:name="_Toc209107519"/>
      <w:r w:rsidRPr="00BB44F3">
        <w:rPr>
          <w:rFonts w:ascii="Garamond" w:hAnsi="Garamond" w:cs="Times New Roman"/>
          <w:sz w:val="24"/>
          <w:szCs w:val="24"/>
        </w:rPr>
        <w:t xml:space="preserve">T.A.R. Lombardia, Milano, Sez. I, 10 marzo 2025, n. 843 ha definito un ricorso con il quale una società affidataria del servizio pubblico di raccolta e trasporto dei rifiuti solidi urbani in numerosi comuni aveva impugnato una delibera con la quale il Comune aveva pubblicato un avviso </w:t>
      </w:r>
      <w:r w:rsidRPr="00BB44F3">
        <w:rPr>
          <w:rFonts w:ascii="Garamond" w:hAnsi="Garamond" w:cs="Times New Roman"/>
          <w:sz w:val="24"/>
          <w:szCs w:val="24"/>
        </w:rPr>
        <w:lastRenderedPageBreak/>
        <w:t xml:space="preserve">finalizzato ad una indagine di mercato per l'acquisizione di manifestazione di interesse per affidamento in concessione del servizio di raccolta trasporto e smaltimento centralizzato dei rifiuti, precisando la natura esplorativa dell’indagine di mercato. </w:t>
      </w:r>
    </w:p>
    <w:p w14:paraId="6FCBB541" w14:textId="77777777" w:rsidR="003E0DCE" w:rsidRPr="00BB44F3" w:rsidRDefault="003E0DC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T.A.R. all’esito di ampia ricostruzione della materia:</w:t>
      </w:r>
    </w:p>
    <w:p w14:paraId="74F5711A" w14:textId="77777777" w:rsidR="003E0DCE" w:rsidRPr="00BB44F3" w:rsidRDefault="003E0DC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 ha smentito la tesi sostenuta dalla società ricorrente secondo cui le consultazioni preliminari di mercato costituirebbero la premessa necessaria della scelta operata dall’ente locale di gestire il servizio pubblico secondo il modello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sz w:val="24"/>
          <w:szCs w:val="24"/>
        </w:rPr>
        <w:t>.</w:t>
      </w:r>
    </w:p>
    <w:p w14:paraId="0700E145" w14:textId="77777777" w:rsidR="003E0DCE" w:rsidRPr="00BB44F3" w:rsidRDefault="003E0DC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ha ritenuto che le consultazioni preliminari di mercato siano “</w:t>
      </w:r>
      <w:r w:rsidRPr="00BB44F3">
        <w:rPr>
          <w:rFonts w:ascii="Garamond" w:hAnsi="Garamond" w:cs="Times New Roman"/>
          <w:i/>
          <w:sz w:val="24"/>
          <w:szCs w:val="24"/>
        </w:rPr>
        <w:t xml:space="preserve">una </w:t>
      </w:r>
      <w:proofErr w:type="spellStart"/>
      <w:r w:rsidRPr="00BB44F3">
        <w:rPr>
          <w:rFonts w:ascii="Garamond" w:hAnsi="Garamond" w:cs="Times New Roman"/>
          <w:i/>
          <w:sz w:val="24"/>
          <w:szCs w:val="24"/>
        </w:rPr>
        <w:t>pre</w:t>
      </w:r>
      <w:proofErr w:type="spellEnd"/>
      <w:r w:rsidRPr="00BB44F3">
        <w:rPr>
          <w:rFonts w:ascii="Garamond" w:hAnsi="Garamond" w:cs="Times New Roman"/>
          <w:i/>
          <w:sz w:val="24"/>
          <w:szCs w:val="24"/>
        </w:rPr>
        <w:t>-fase eventuale e facoltativa di una procedura ad evidenza pubblica</w:t>
      </w:r>
      <w:r w:rsidRPr="00BB44F3">
        <w:rPr>
          <w:rFonts w:ascii="Garamond" w:hAnsi="Garamond" w:cs="Times New Roman"/>
          <w:sz w:val="24"/>
          <w:szCs w:val="24"/>
        </w:rPr>
        <w:t>”, fase che non risulta necessaria laddove l’ente locale manifesti “</w:t>
      </w:r>
      <w:r w:rsidRPr="00BB44F3">
        <w:rPr>
          <w:rFonts w:ascii="Garamond" w:hAnsi="Garamond" w:cs="Times New Roman"/>
          <w:i/>
          <w:sz w:val="24"/>
          <w:szCs w:val="24"/>
        </w:rPr>
        <w:t xml:space="preserve">una chiara volontà di definire l’iter istruttorio per la scelta di un nuovo modello </w:t>
      </w:r>
      <w:proofErr w:type="spellStart"/>
      <w:r w:rsidRPr="00BB44F3">
        <w:rPr>
          <w:rFonts w:ascii="Garamond" w:hAnsi="Garamond" w:cs="Times New Roman"/>
          <w:i/>
          <w:sz w:val="24"/>
          <w:szCs w:val="24"/>
        </w:rPr>
        <w:t>gestorio</w:t>
      </w:r>
      <w:proofErr w:type="spellEnd"/>
      <w:r w:rsidRPr="00BB44F3">
        <w:rPr>
          <w:rFonts w:ascii="Garamond" w:hAnsi="Garamond" w:cs="Times New Roman"/>
          <w:i/>
          <w:sz w:val="24"/>
          <w:szCs w:val="24"/>
        </w:rPr>
        <w:t xml:space="preserve"> del servizio, alternativo al ricorso al mercato, mediante il modello </w:t>
      </w:r>
      <w:proofErr w:type="spellStart"/>
      <w:r w:rsidRPr="00BB44F3">
        <w:rPr>
          <w:rFonts w:ascii="Garamond" w:hAnsi="Garamond" w:cs="Times New Roman"/>
          <w:i/>
          <w:sz w:val="24"/>
          <w:szCs w:val="24"/>
        </w:rPr>
        <w:t>dell’in</w:t>
      </w:r>
      <w:proofErr w:type="spellEnd"/>
      <w:r w:rsidRPr="00BB44F3">
        <w:rPr>
          <w:rFonts w:ascii="Garamond" w:hAnsi="Garamond" w:cs="Times New Roman"/>
          <w:i/>
          <w:sz w:val="24"/>
          <w:szCs w:val="24"/>
        </w:rPr>
        <w:t xml:space="preserve">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proofErr w:type="spellStart"/>
      <w:r w:rsidRPr="00BB44F3">
        <w:rPr>
          <w:rFonts w:ascii="Garamond" w:hAnsi="Garamond" w:cs="Times New Roman"/>
          <w:i/>
          <w:sz w:val="24"/>
          <w:szCs w:val="24"/>
        </w:rPr>
        <w:t>providing</w:t>
      </w:r>
      <w:proofErr w:type="spellEnd"/>
      <w:r w:rsidRPr="00BB44F3">
        <w:rPr>
          <w:rFonts w:ascii="Garamond" w:hAnsi="Garamond" w:cs="Times New Roman"/>
          <w:sz w:val="24"/>
          <w:szCs w:val="24"/>
        </w:rPr>
        <w:t>”.</w:t>
      </w:r>
    </w:p>
    <w:p w14:paraId="47CEBA0E" w14:textId="19F4F772" w:rsidR="003E0DCE" w:rsidRPr="00BB44F3" w:rsidRDefault="003E0DC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 ha richiamato, tra l’altro, il disposto dei commi 1 e 2 dell’art. 17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201/2022, evidenziando “</w:t>
      </w:r>
      <w:r w:rsidRPr="00BB44F3">
        <w:rPr>
          <w:rFonts w:ascii="Garamond" w:hAnsi="Garamond" w:cs="Times New Roman"/>
          <w:i/>
          <w:sz w:val="24"/>
          <w:szCs w:val="24"/>
        </w:rPr>
        <w:t xml:space="preserve">che la scelta per il modello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è sindacabile da un'impresa del settore solo nel momento in cui la società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è posta in grado di operare sul mercato con l'atto di affidamento del servizio, in quanto solo in quel momento si crea quel danno concorrenziale che comporta la lesività degli atti per gli altri operatori del settore (T.A.R. Lombardia, Milano, sez. I, 25 giugno 2024, n.1973), cosa che non è avvenuta nel caso di specie, dal momento che il Comune di Venegono Superiore non ha ancora provveduto in tal senso</w:t>
      </w:r>
      <w:r w:rsidRPr="00BB44F3">
        <w:rPr>
          <w:rFonts w:ascii="Garamond" w:hAnsi="Garamond" w:cs="Times New Roman"/>
          <w:sz w:val="24"/>
          <w:szCs w:val="24"/>
        </w:rPr>
        <w:t>”;</w:t>
      </w:r>
    </w:p>
    <w:p w14:paraId="60C48872" w14:textId="77777777" w:rsidR="003E0DCE" w:rsidRPr="00BB44F3" w:rsidRDefault="003E0DCE"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ha sottolineato che “</w:t>
      </w:r>
      <w:r w:rsidRPr="00BB44F3">
        <w:rPr>
          <w:rFonts w:ascii="Garamond" w:hAnsi="Garamond" w:cs="Times New Roman"/>
          <w:i/>
          <w:sz w:val="24"/>
          <w:szCs w:val="24"/>
        </w:rPr>
        <w:t xml:space="preserve">il nuovo codice dei contratti pubblici riserva la “pubblicità comunitaria e nazionale” solo per «I bandi, gli avvisi di </w:t>
      </w:r>
      <w:proofErr w:type="spellStart"/>
      <w:r w:rsidRPr="00BB44F3">
        <w:rPr>
          <w:rFonts w:ascii="Garamond" w:hAnsi="Garamond" w:cs="Times New Roman"/>
          <w:i/>
          <w:sz w:val="24"/>
          <w:szCs w:val="24"/>
        </w:rPr>
        <w:t>pre</w:t>
      </w:r>
      <w:proofErr w:type="spellEnd"/>
      <w:r w:rsidRPr="00BB44F3">
        <w:rPr>
          <w:rFonts w:ascii="Garamond" w:hAnsi="Garamond" w:cs="Times New Roman"/>
          <w:i/>
          <w:sz w:val="24"/>
          <w:szCs w:val="24"/>
        </w:rPr>
        <w:t xml:space="preserve">-informazione e gli avvisi relativi agli appalti aggiudicati di importo pari o superiore alle soglie di cui all’articolo 14» (artt. 84 e 85 del </w:t>
      </w:r>
      <w:proofErr w:type="spellStart"/>
      <w:r w:rsidRPr="00BB44F3">
        <w:rPr>
          <w:rFonts w:ascii="Garamond" w:hAnsi="Garamond" w:cs="Times New Roman"/>
          <w:i/>
          <w:sz w:val="24"/>
          <w:szCs w:val="24"/>
        </w:rPr>
        <w:t>d.lg.</w:t>
      </w:r>
      <w:proofErr w:type="spellEnd"/>
      <w:r w:rsidRPr="00BB44F3">
        <w:rPr>
          <w:rFonts w:ascii="Garamond" w:hAnsi="Garamond" w:cs="Times New Roman"/>
          <w:i/>
          <w:sz w:val="24"/>
          <w:szCs w:val="24"/>
        </w:rPr>
        <w:t xml:space="preserve"> n. 36/23) e non per gli affidamenti in </w:t>
      </w:r>
      <w:proofErr w:type="spellStart"/>
      <w:r w:rsidRPr="00BB44F3">
        <w:rPr>
          <w:rFonts w:ascii="Garamond" w:hAnsi="Garamond" w:cs="Times New Roman"/>
          <w:i/>
          <w:sz w:val="24"/>
          <w:szCs w:val="24"/>
        </w:rPr>
        <w:t>house</w:t>
      </w:r>
      <w:proofErr w:type="spellEnd"/>
      <w:r w:rsidRPr="00BB44F3">
        <w:rPr>
          <w:rFonts w:ascii="Garamond" w:hAnsi="Garamond" w:cs="Times New Roman"/>
          <w:sz w:val="24"/>
          <w:szCs w:val="24"/>
        </w:rPr>
        <w:t>”.</w:t>
      </w:r>
    </w:p>
    <w:bookmarkEnd w:id="292"/>
    <w:bookmarkEnd w:id="293"/>
    <w:bookmarkEnd w:id="294"/>
    <w:bookmarkEnd w:id="295"/>
    <w:bookmarkEnd w:id="296"/>
    <w:bookmarkEnd w:id="297"/>
    <w:bookmarkEnd w:id="298"/>
    <w:bookmarkEnd w:id="299"/>
    <w:bookmarkEnd w:id="300"/>
    <w:bookmarkEnd w:id="301"/>
    <w:bookmarkEnd w:id="302"/>
    <w:p w14:paraId="4172C52D" w14:textId="7965562D" w:rsidR="00C45D34" w:rsidRPr="00BB44F3" w:rsidRDefault="00C45D3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T.A.R. Lombardia, Milano, Sez.</w:t>
      </w:r>
      <w:r w:rsidR="003E0DCE" w:rsidRPr="00BB44F3">
        <w:rPr>
          <w:rFonts w:ascii="Garamond" w:hAnsi="Garamond" w:cs="Times New Roman"/>
          <w:sz w:val="24"/>
          <w:szCs w:val="24"/>
        </w:rPr>
        <w:t xml:space="preserve"> I</w:t>
      </w:r>
      <w:r w:rsidRPr="00BB44F3">
        <w:rPr>
          <w:rFonts w:ascii="Garamond" w:hAnsi="Garamond" w:cs="Times New Roman"/>
          <w:sz w:val="24"/>
          <w:szCs w:val="24"/>
        </w:rPr>
        <w:t xml:space="preserve">, 28 febbraio 2024, n. 536 si è </w:t>
      </w:r>
      <w:r w:rsidR="003E0DCE" w:rsidRPr="00BB44F3">
        <w:rPr>
          <w:rFonts w:ascii="Garamond" w:hAnsi="Garamond" w:cs="Times New Roman"/>
          <w:sz w:val="24"/>
          <w:szCs w:val="24"/>
        </w:rPr>
        <w:t xml:space="preserve">poi </w:t>
      </w:r>
      <w:r w:rsidRPr="00BB44F3">
        <w:rPr>
          <w:rFonts w:ascii="Garamond" w:hAnsi="Garamond" w:cs="Times New Roman"/>
          <w:sz w:val="24"/>
          <w:szCs w:val="24"/>
        </w:rPr>
        <w:t>occupato di un caso relativo ad impugnazioni propost</w:t>
      </w:r>
      <w:r w:rsidR="003E0DCE" w:rsidRPr="00BB44F3">
        <w:rPr>
          <w:rFonts w:ascii="Garamond" w:hAnsi="Garamond" w:cs="Times New Roman"/>
          <w:sz w:val="24"/>
          <w:szCs w:val="24"/>
        </w:rPr>
        <w:t>e</w:t>
      </w:r>
      <w:r w:rsidRPr="00BB44F3">
        <w:rPr>
          <w:rFonts w:ascii="Garamond" w:hAnsi="Garamond" w:cs="Times New Roman"/>
          <w:sz w:val="24"/>
          <w:szCs w:val="24"/>
        </w:rPr>
        <w:t xml:space="preserve"> dalla società affidataria del servizio di gestione dei rifiuti di un Comune</w:t>
      </w:r>
      <w:r w:rsidR="00524080" w:rsidRPr="00BB44F3">
        <w:rPr>
          <w:rFonts w:ascii="Garamond" w:hAnsi="Garamond" w:cs="Times New Roman"/>
          <w:sz w:val="24"/>
          <w:szCs w:val="24"/>
        </w:rPr>
        <w:t xml:space="preserve">. Nel caso di specie il Comune con una prima delibera del 2021 aveva disposto la trasformazione </w:t>
      </w:r>
      <w:r w:rsidR="003E0DCE" w:rsidRPr="00BB44F3">
        <w:rPr>
          <w:rFonts w:ascii="Garamond" w:hAnsi="Garamond" w:cs="Times New Roman"/>
          <w:sz w:val="24"/>
          <w:szCs w:val="24"/>
        </w:rPr>
        <w:t xml:space="preserve">di una </w:t>
      </w:r>
      <w:r w:rsidR="00524080" w:rsidRPr="00BB44F3">
        <w:rPr>
          <w:rFonts w:ascii="Garamond" w:hAnsi="Garamond" w:cs="Times New Roman"/>
          <w:sz w:val="24"/>
          <w:szCs w:val="24"/>
        </w:rPr>
        <w:t xml:space="preserve">società partecipata dal Comune da società mista a società </w:t>
      </w:r>
      <w:r w:rsidR="00524080" w:rsidRPr="00BB44F3">
        <w:rPr>
          <w:rFonts w:ascii="Garamond" w:hAnsi="Garamond" w:cs="Times New Roman"/>
          <w:i/>
          <w:sz w:val="24"/>
          <w:szCs w:val="24"/>
        </w:rPr>
        <w:t xml:space="preserve">in </w:t>
      </w:r>
      <w:proofErr w:type="spellStart"/>
      <w:r w:rsidR="00524080" w:rsidRPr="00BB44F3">
        <w:rPr>
          <w:rFonts w:ascii="Garamond" w:hAnsi="Garamond" w:cs="Times New Roman"/>
          <w:i/>
          <w:sz w:val="24"/>
          <w:szCs w:val="24"/>
        </w:rPr>
        <w:t>house</w:t>
      </w:r>
      <w:proofErr w:type="spellEnd"/>
      <w:r w:rsidR="00524080" w:rsidRPr="00BB44F3">
        <w:rPr>
          <w:rFonts w:ascii="Garamond" w:hAnsi="Garamond" w:cs="Times New Roman"/>
          <w:sz w:val="24"/>
          <w:szCs w:val="24"/>
        </w:rPr>
        <w:t xml:space="preserve"> destinata allo svolgimento dei servizi comunali in materia di rifiuti e con una seconda delibera del 2023 aveva ulteriormente ridefinito l’assetto societari</w:t>
      </w:r>
      <w:r w:rsidR="00A03B5B">
        <w:rPr>
          <w:rFonts w:ascii="Garamond" w:hAnsi="Garamond" w:cs="Times New Roman"/>
          <w:sz w:val="24"/>
          <w:szCs w:val="24"/>
        </w:rPr>
        <w:t>o</w:t>
      </w:r>
      <w:r w:rsidR="00524080" w:rsidRPr="00BB44F3">
        <w:rPr>
          <w:rFonts w:ascii="Garamond" w:hAnsi="Garamond" w:cs="Times New Roman"/>
          <w:sz w:val="24"/>
          <w:szCs w:val="24"/>
        </w:rPr>
        <w:t xml:space="preserve"> di tale società, subordinandone l’efficacia al buon andamento della procedura.</w:t>
      </w:r>
      <w:r w:rsidRPr="00BB44F3">
        <w:rPr>
          <w:rFonts w:ascii="Garamond" w:hAnsi="Garamond" w:cs="Times New Roman"/>
          <w:sz w:val="24"/>
          <w:szCs w:val="24"/>
        </w:rPr>
        <w:t xml:space="preserve"> </w:t>
      </w:r>
    </w:p>
    <w:p w14:paraId="5E995E9F" w14:textId="4246DFB7" w:rsidR="00C45D34" w:rsidRPr="00BB44F3" w:rsidRDefault="00C45D3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Per quanto di interesse in questa sede il T.A.R. Lombardia si è soffermato sull’iter di formazione della società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e di affidamento del servizio, evidenziando che:</w:t>
      </w:r>
    </w:p>
    <w:p w14:paraId="34013A09" w14:textId="107F1483" w:rsidR="00C45D34" w:rsidRPr="00BB44F3" w:rsidRDefault="00C45D3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prima della novella del 2022 la costituzione di una società per la gestione del servizio avrebbe assorbito anche la fase dell’affidamento del servizio medesimo, “</w:t>
      </w:r>
      <w:r w:rsidRPr="00BB44F3">
        <w:rPr>
          <w:rFonts w:ascii="Garamond" w:hAnsi="Garamond" w:cs="Times New Roman"/>
          <w:i/>
          <w:sz w:val="24"/>
          <w:szCs w:val="24"/>
        </w:rPr>
        <w:t>per cui una volta deliberata (ovviamente con procedure di diritto pubblico) la costituzione di una società per azioni a partecipazione comunale per la gestione di un determinato servizio locale, non necessitava un ulteriore provvedimento di concessione in senso tecnico, atteso che l'opzione dell'Ente per quel modello di gestione comportava l'affidamento diretto e privilegiato del servizio alla società appositamente costituita</w:t>
      </w:r>
      <w:r w:rsidRPr="00BB44F3">
        <w:rPr>
          <w:rFonts w:ascii="Garamond" w:hAnsi="Garamond" w:cs="Times New Roman"/>
          <w:sz w:val="24"/>
          <w:szCs w:val="24"/>
        </w:rPr>
        <w:t>”</w:t>
      </w:r>
      <w:r w:rsidR="00A96C26" w:rsidRPr="00BB44F3">
        <w:rPr>
          <w:rFonts w:ascii="Garamond" w:hAnsi="Garamond" w:cs="Times New Roman"/>
          <w:sz w:val="24"/>
          <w:szCs w:val="24"/>
        </w:rPr>
        <w:t>;</w:t>
      </w:r>
    </w:p>
    <w:p w14:paraId="0631A78A" w14:textId="77777777" w:rsidR="00626884" w:rsidRPr="00BB44F3" w:rsidRDefault="00A96C2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invece, </w:t>
      </w:r>
      <w:r w:rsidR="00626884" w:rsidRPr="00BB44F3">
        <w:rPr>
          <w:rFonts w:ascii="Garamond" w:hAnsi="Garamond" w:cs="Times New Roman"/>
          <w:sz w:val="24"/>
          <w:szCs w:val="24"/>
        </w:rPr>
        <w:t>in seguito a tale novella ci si troverebbe di fronte a “</w:t>
      </w:r>
      <w:r w:rsidR="00626884" w:rsidRPr="00BB44F3">
        <w:rPr>
          <w:rFonts w:ascii="Garamond" w:hAnsi="Garamond" w:cs="Times New Roman"/>
          <w:i/>
          <w:sz w:val="24"/>
          <w:szCs w:val="24"/>
        </w:rPr>
        <w:t xml:space="preserve">fattispecie a formazione progressiva che si caratterizza per il fatto che la costituzione della società dev’essere preceduta dalla scelta della modalità di gestione del servizio pubblico locale, prevista dall’art. 14, mentre l’affidamento diretto a società in </w:t>
      </w:r>
      <w:proofErr w:type="spellStart"/>
      <w:r w:rsidR="00626884" w:rsidRPr="00BB44F3">
        <w:rPr>
          <w:rFonts w:ascii="Garamond" w:hAnsi="Garamond" w:cs="Times New Roman"/>
          <w:i/>
          <w:sz w:val="24"/>
          <w:szCs w:val="24"/>
        </w:rPr>
        <w:t>house</w:t>
      </w:r>
      <w:proofErr w:type="spellEnd"/>
      <w:r w:rsidR="00626884" w:rsidRPr="00BB44F3">
        <w:rPr>
          <w:rFonts w:ascii="Garamond" w:hAnsi="Garamond" w:cs="Times New Roman"/>
          <w:i/>
          <w:sz w:val="24"/>
          <w:szCs w:val="24"/>
        </w:rPr>
        <w:t xml:space="preserve"> del servizio è previsto e disciplinato dall’art. 17 del medesimo decreto legislativo</w:t>
      </w:r>
      <w:r w:rsidR="00626884" w:rsidRPr="00BB44F3">
        <w:rPr>
          <w:rFonts w:ascii="Garamond" w:hAnsi="Garamond" w:cs="Times New Roman"/>
          <w:sz w:val="24"/>
          <w:szCs w:val="24"/>
        </w:rPr>
        <w:t xml:space="preserve">”; </w:t>
      </w:r>
    </w:p>
    <w:p w14:paraId="76428FB2" w14:textId="6B8B2AF3" w:rsidR="00A96C26" w:rsidRPr="00BB44F3" w:rsidRDefault="0062688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carattere distinto di tali due atti si ricava: dalla “</w:t>
      </w:r>
      <w:r w:rsidRPr="00BB44F3">
        <w:rPr>
          <w:rFonts w:ascii="Garamond" w:hAnsi="Garamond" w:cs="Times New Roman"/>
          <w:i/>
          <w:sz w:val="24"/>
          <w:szCs w:val="24"/>
        </w:rPr>
        <w:t>statuizione di cui all’art. 31, commi 1 e 2, d.lgs. n. 201/2022, che ne prevede l’espressa immediata pubblicazione sul sito istituzionale dell’ente affidante e la loro comunicazione all’ANAC, che a sua volta è tenuta a pubblicarli sul proprio portale telematico in un’apposita sezione</w:t>
      </w:r>
      <w:r w:rsidRPr="00BB44F3">
        <w:rPr>
          <w:rFonts w:ascii="Garamond" w:hAnsi="Garamond" w:cs="Times New Roman"/>
          <w:sz w:val="24"/>
          <w:szCs w:val="24"/>
        </w:rPr>
        <w:t>”; dalla circostanza “</w:t>
      </w:r>
      <w:r w:rsidRPr="00BB44F3">
        <w:rPr>
          <w:rFonts w:ascii="Garamond" w:hAnsi="Garamond" w:cs="Times New Roman"/>
          <w:i/>
          <w:sz w:val="24"/>
          <w:szCs w:val="24"/>
        </w:rPr>
        <w:t xml:space="preserve">che le disposizioni di cui all’art. 17, comma 2, d.lgs. cit. dettano una disciplina specifica inerente all’onere motivazionale per i casi in cui l’ente pubblico intenda affidare un contratto avente ad oggetto la gestione di un servizio pubblico locale di importo superiore alle soglie di rilevanza europea ad una società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mentre nel caso in cui sia individuata un’altra forma gestionale troveranno applicazione le prescrizioni sull’onere di motivazione contenute nell’art. 14, comma 2, d.lgs. cit</w:t>
      </w:r>
      <w:r w:rsidRPr="00BB44F3">
        <w:rPr>
          <w:rFonts w:ascii="Garamond" w:hAnsi="Garamond" w:cs="Times New Roman"/>
          <w:sz w:val="24"/>
          <w:szCs w:val="24"/>
        </w:rPr>
        <w:t>.”; dal “</w:t>
      </w:r>
      <w:r w:rsidRPr="00BB44F3">
        <w:rPr>
          <w:rFonts w:ascii="Garamond" w:hAnsi="Garamond" w:cs="Times New Roman"/>
          <w:i/>
          <w:sz w:val="24"/>
          <w:szCs w:val="24"/>
        </w:rPr>
        <w:t xml:space="preserve">raffronto tra gli artt. 15, 16 e 17, d.lgs. cit., da cui emerge come soltanto quest’ultima disposizione legislativa individui gli elementi valutativi da porre a fondamento della scelta di procedere ad un affidamento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mentre con riguardo alle altre modalità di gestione del servizio pubblico locale, mancando una disciplina specifica, non potranno che trovare applicazione le prescrizioni contenute nell’art. 14, comma 2, d.lgs. cit.</w:t>
      </w:r>
      <w:r w:rsidRPr="00BB44F3">
        <w:rPr>
          <w:rFonts w:ascii="Garamond" w:hAnsi="Garamond" w:cs="Times New Roman"/>
          <w:sz w:val="24"/>
          <w:szCs w:val="24"/>
        </w:rPr>
        <w:t>”;</w:t>
      </w:r>
    </w:p>
    <w:p w14:paraId="54FB8FA2" w14:textId="17DC66C7" w:rsidR="00626884" w:rsidRPr="00BB44F3" w:rsidRDefault="0062688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 l’effetto di tali considerazioni il T.A.R. ha dichiarato inammissibile il ricorso (quello per motivi aggiunti) proposto avverso una delibera che non</w:t>
      </w:r>
      <w:r w:rsidR="00524080" w:rsidRPr="00BB44F3">
        <w:rPr>
          <w:rFonts w:ascii="Garamond" w:hAnsi="Garamond" w:cs="Times New Roman"/>
          <w:sz w:val="24"/>
          <w:szCs w:val="24"/>
        </w:rPr>
        <w:t xml:space="preserve"> conteneva</w:t>
      </w:r>
      <w:r w:rsidRPr="00BB44F3">
        <w:rPr>
          <w:rFonts w:ascii="Garamond" w:hAnsi="Garamond" w:cs="Times New Roman"/>
          <w:sz w:val="24"/>
          <w:szCs w:val="24"/>
        </w:rPr>
        <w:t xml:space="preserve"> </w:t>
      </w:r>
      <w:r w:rsidR="00524080" w:rsidRPr="00BB44F3">
        <w:rPr>
          <w:rFonts w:ascii="Garamond" w:hAnsi="Garamond" w:cs="Times New Roman"/>
          <w:sz w:val="24"/>
          <w:szCs w:val="24"/>
        </w:rPr>
        <w:t>di per sé l’</w:t>
      </w:r>
      <w:r w:rsidRPr="00BB44F3">
        <w:rPr>
          <w:rFonts w:ascii="Garamond" w:hAnsi="Garamond" w:cs="Times New Roman"/>
          <w:sz w:val="24"/>
          <w:szCs w:val="24"/>
        </w:rPr>
        <w:t>affida</w:t>
      </w:r>
      <w:r w:rsidR="00524080" w:rsidRPr="00BB44F3">
        <w:rPr>
          <w:rFonts w:ascii="Garamond" w:hAnsi="Garamond" w:cs="Times New Roman"/>
          <w:sz w:val="24"/>
          <w:szCs w:val="24"/>
        </w:rPr>
        <w:t>mento</w:t>
      </w:r>
      <w:r w:rsidRPr="00BB44F3">
        <w:rPr>
          <w:rFonts w:ascii="Garamond" w:hAnsi="Garamond" w:cs="Times New Roman"/>
          <w:sz w:val="24"/>
          <w:szCs w:val="24"/>
        </w:rPr>
        <w:t xml:space="preserve"> </w:t>
      </w:r>
      <w:r w:rsidR="00524080" w:rsidRPr="00BB44F3">
        <w:rPr>
          <w:rFonts w:ascii="Garamond" w:hAnsi="Garamond" w:cs="Times New Roman"/>
          <w:sz w:val="24"/>
          <w:szCs w:val="24"/>
        </w:rPr>
        <w:t>diretto</w:t>
      </w:r>
      <w:r w:rsidRPr="00BB44F3">
        <w:rPr>
          <w:rFonts w:ascii="Garamond" w:hAnsi="Garamond" w:cs="Times New Roman"/>
          <w:sz w:val="24"/>
          <w:szCs w:val="24"/>
        </w:rPr>
        <w:t xml:space="preserve"> alla società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 xml:space="preserve">del servizio pubblico (mettendola in grado di operare sul mercato); solo da una delibera di </w:t>
      </w:r>
      <w:r w:rsidR="00524080" w:rsidRPr="00BB44F3">
        <w:rPr>
          <w:rFonts w:ascii="Garamond" w:hAnsi="Garamond" w:cs="Times New Roman"/>
          <w:sz w:val="24"/>
          <w:szCs w:val="24"/>
        </w:rPr>
        <w:lastRenderedPageBreak/>
        <w:t>affidamento diretto</w:t>
      </w:r>
      <w:r w:rsidRPr="00BB44F3">
        <w:rPr>
          <w:rFonts w:ascii="Garamond" w:hAnsi="Garamond" w:cs="Times New Roman"/>
          <w:sz w:val="24"/>
          <w:szCs w:val="24"/>
        </w:rPr>
        <w:t xml:space="preserve"> discenderebbe il danno concorrenziale che comporta la lesività degli atti per gli altri operatori del settore; del resto, l’ente locale non potrebbe valutare le ragioni del mancato ricorso al mercato (ai sensi del comma 2 dell’art.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201/2022) che al momento di entrata della società sul mercato.</w:t>
      </w:r>
    </w:p>
    <w:p w14:paraId="17BE0FD6" w14:textId="0459C6A4" w:rsidR="00A039FD" w:rsidRPr="00BB44F3" w:rsidRDefault="0052408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L’appello proposto avverso tale sentenza è stato respinto da Consiglio di Stato, IV Sez., 6 novembre 2024, n. </w:t>
      </w:r>
      <w:r w:rsidR="00A039FD" w:rsidRPr="00BB44F3">
        <w:rPr>
          <w:rFonts w:ascii="Garamond" w:hAnsi="Garamond" w:cs="Times New Roman"/>
          <w:sz w:val="24"/>
          <w:szCs w:val="24"/>
        </w:rPr>
        <w:t>8898, il quale ha confermato l’inammissibilità del ricorso proposto in primo grado, evidenziando che “</w:t>
      </w:r>
      <w:r w:rsidR="00A039FD" w:rsidRPr="00BB44F3">
        <w:rPr>
          <w:rFonts w:ascii="Garamond" w:hAnsi="Garamond" w:cs="Times New Roman"/>
          <w:i/>
          <w:sz w:val="24"/>
          <w:szCs w:val="24"/>
        </w:rPr>
        <w:t xml:space="preserve">affinché si ravvisi un interesse concreto e attuale all’impugnazione della delibera, è necessario che sia stato adottato il provvedimento che dispone l’affidamento diretto alla società in </w:t>
      </w:r>
      <w:proofErr w:type="spellStart"/>
      <w:r w:rsidR="00A039FD" w:rsidRPr="00BB44F3">
        <w:rPr>
          <w:rFonts w:ascii="Garamond" w:hAnsi="Garamond" w:cs="Times New Roman"/>
          <w:i/>
          <w:sz w:val="24"/>
          <w:szCs w:val="24"/>
        </w:rPr>
        <w:t>house</w:t>
      </w:r>
      <w:proofErr w:type="spellEnd"/>
      <w:r w:rsidR="00A039FD" w:rsidRPr="00BB44F3">
        <w:rPr>
          <w:rFonts w:ascii="Garamond" w:hAnsi="Garamond" w:cs="Times New Roman"/>
          <w:i/>
          <w:sz w:val="24"/>
          <w:szCs w:val="24"/>
        </w:rPr>
        <w:t xml:space="preserve"> ovvero un atto che sia in grado di vincolare il Comune in ordine al futuro affidamento attraverso l’anzidetto modello, mentre nel caso di specie non solo non è previsto alcun affidamento diretto ma le stesse valutazioni in ordine alla sussistenza delle condizioni previste dal comma 2 dell’articolo 14 del d.lgs. n. 201 del 2022 sono state espressamente rinviate a un momento successivo, con la conseguenza che l’affidamento in </w:t>
      </w:r>
      <w:proofErr w:type="spellStart"/>
      <w:r w:rsidR="00A039FD" w:rsidRPr="00BB44F3">
        <w:rPr>
          <w:rFonts w:ascii="Garamond" w:hAnsi="Garamond" w:cs="Times New Roman"/>
          <w:i/>
          <w:sz w:val="24"/>
          <w:szCs w:val="24"/>
        </w:rPr>
        <w:t>house</w:t>
      </w:r>
      <w:proofErr w:type="spellEnd"/>
      <w:r w:rsidR="00A039FD" w:rsidRPr="00BB44F3">
        <w:rPr>
          <w:rFonts w:ascii="Garamond" w:hAnsi="Garamond" w:cs="Times New Roman"/>
          <w:i/>
          <w:sz w:val="24"/>
          <w:szCs w:val="24"/>
        </w:rPr>
        <w:t xml:space="preserve"> configura, allo stato, una mera ipotesi</w:t>
      </w:r>
      <w:r w:rsidR="00A039FD" w:rsidRPr="00BB44F3">
        <w:rPr>
          <w:rFonts w:ascii="Garamond" w:hAnsi="Garamond" w:cs="Times New Roman"/>
          <w:sz w:val="24"/>
          <w:szCs w:val="24"/>
        </w:rPr>
        <w:t>”.</w:t>
      </w:r>
    </w:p>
    <w:p w14:paraId="7D5F9D35" w14:textId="1C710CD1" w:rsidR="00524080" w:rsidRPr="00BB44F3" w:rsidRDefault="00A039FD"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Il Consiglio di Stato ha poi significativamente sottolineato che “</w:t>
      </w:r>
      <w:r w:rsidRPr="00BB44F3">
        <w:rPr>
          <w:rFonts w:ascii="Garamond" w:hAnsi="Garamond" w:cs="Times New Roman"/>
          <w:i/>
          <w:sz w:val="24"/>
          <w:szCs w:val="24"/>
        </w:rPr>
        <w:t xml:space="preserve">sindacare la delibera in questione per difetto di motivazione in ragione dell’omessa valutazione dei presupposti necessari per optare per il modello 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quando l’amministrazione ha espressamente rinviato tale valutazione a un momento successivo, si tradurrebbe in un’interferenza rispetto a poteri amministrativi non ancora esercitati</w:t>
      </w:r>
      <w:r w:rsidRPr="00BB44F3">
        <w:rPr>
          <w:rFonts w:ascii="Garamond" w:hAnsi="Garamond" w:cs="Times New Roman"/>
          <w:sz w:val="24"/>
          <w:szCs w:val="24"/>
        </w:rPr>
        <w:t>”.</w:t>
      </w:r>
    </w:p>
    <w:p w14:paraId="38056AB2" w14:textId="36BF4B94" w:rsidR="003E0DCE" w:rsidRPr="00BB44F3" w:rsidRDefault="003E0DCE"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sz w:val="24"/>
          <w:szCs w:val="24"/>
        </w:rPr>
        <w:t>Svolgendo un</w:t>
      </w:r>
      <w:r w:rsidR="00B167E4" w:rsidRPr="00BB44F3">
        <w:rPr>
          <w:rFonts w:ascii="Garamond" w:hAnsi="Garamond" w:cs="Times New Roman"/>
          <w:sz w:val="24"/>
          <w:szCs w:val="24"/>
        </w:rPr>
        <w:t xml:space="preserve">a breve </w:t>
      </w:r>
      <w:r w:rsidRPr="00BB44F3">
        <w:rPr>
          <w:rFonts w:ascii="Garamond" w:hAnsi="Garamond" w:cs="Times New Roman"/>
          <w:sz w:val="24"/>
          <w:szCs w:val="24"/>
        </w:rPr>
        <w:t xml:space="preserve">osservazione conclusiva su tale forma di affidamento la scelta </w:t>
      </w:r>
      <w:proofErr w:type="spellStart"/>
      <w:r w:rsidRPr="00BB44F3">
        <w:rPr>
          <w:rFonts w:ascii="Garamond" w:hAnsi="Garamond" w:cs="Times New Roman"/>
          <w:sz w:val="24"/>
          <w:szCs w:val="24"/>
        </w:rPr>
        <w:t>dell’</w:t>
      </w:r>
      <w:r w:rsidRPr="00BB44F3">
        <w:rPr>
          <w:rFonts w:ascii="Garamond" w:hAnsi="Garamond" w:cs="Times New Roman"/>
          <w:i/>
          <w:sz w:val="24"/>
          <w:szCs w:val="24"/>
        </w:rPr>
        <w:t>in</w:t>
      </w:r>
      <w:proofErr w:type="spellEnd"/>
      <w:r w:rsidRPr="00BB44F3">
        <w:rPr>
          <w:rFonts w:ascii="Garamond" w:hAnsi="Garamond" w:cs="Times New Roman"/>
          <w:i/>
          <w:sz w:val="24"/>
          <w:szCs w:val="24"/>
        </w:rPr>
        <w:t xml:space="preserve">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00A03B5B">
        <w:rPr>
          <w:rFonts w:ascii="Garamond" w:hAnsi="Garamond" w:cs="Times New Roman"/>
          <w:sz w:val="24"/>
          <w:szCs w:val="24"/>
        </w:rPr>
        <w:t>ai fini della</w:t>
      </w:r>
      <w:r w:rsidRPr="00BB44F3">
        <w:rPr>
          <w:rFonts w:ascii="Garamond" w:hAnsi="Garamond" w:cs="Times New Roman"/>
          <w:sz w:val="24"/>
          <w:szCs w:val="24"/>
        </w:rPr>
        <w:t xml:space="preserve"> gestione del servizio pubblico locale non ha un esito necessariamente scontato </w:t>
      </w:r>
      <w:r w:rsidR="00B167E4" w:rsidRPr="00BB44F3">
        <w:rPr>
          <w:rFonts w:ascii="Garamond" w:hAnsi="Garamond" w:cs="Times New Roman"/>
          <w:sz w:val="24"/>
          <w:szCs w:val="24"/>
        </w:rPr>
        <w:t xml:space="preserve">nel senso </w:t>
      </w:r>
      <w:r w:rsidRPr="00BB44F3">
        <w:rPr>
          <w:rFonts w:ascii="Garamond" w:hAnsi="Garamond" w:cs="Times New Roman"/>
          <w:sz w:val="24"/>
          <w:szCs w:val="24"/>
        </w:rPr>
        <w:t xml:space="preserve">del successivo affidamento a società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sz w:val="24"/>
          <w:szCs w:val="24"/>
        </w:rPr>
        <w:t xml:space="preserve">. In effetti, come </w:t>
      </w:r>
      <w:r w:rsidR="001748FD" w:rsidRPr="00BB44F3">
        <w:rPr>
          <w:rFonts w:ascii="Garamond" w:hAnsi="Garamond" w:cs="Times New Roman"/>
          <w:sz w:val="24"/>
          <w:szCs w:val="24"/>
        </w:rPr>
        <w:t xml:space="preserve">meglio </w:t>
      </w:r>
      <w:r w:rsidRPr="00BB44F3">
        <w:rPr>
          <w:rFonts w:ascii="Garamond" w:hAnsi="Garamond" w:cs="Times New Roman"/>
          <w:sz w:val="24"/>
          <w:szCs w:val="24"/>
        </w:rPr>
        <w:t>si vedrà nel prosieguo</w:t>
      </w:r>
      <w:r w:rsidR="00B167E4" w:rsidRPr="00BB44F3">
        <w:rPr>
          <w:rFonts w:ascii="Garamond" w:hAnsi="Garamond" w:cs="Times New Roman"/>
          <w:sz w:val="24"/>
          <w:szCs w:val="24"/>
        </w:rPr>
        <w:t>,</w:t>
      </w:r>
      <w:r w:rsidRPr="00BB44F3">
        <w:rPr>
          <w:rFonts w:ascii="Garamond" w:hAnsi="Garamond" w:cs="Times New Roman"/>
          <w:sz w:val="24"/>
          <w:szCs w:val="24"/>
        </w:rPr>
        <w:t xml:space="preserve"> gli adempimenti posti a carico dell’ente locale ed i possibili interventi in materia della Corte dei Conti e dell’AGCM ben possono far sì che l’ente si trovi a tornare sui propri passi, anche in via di autotutela, e</w:t>
      </w:r>
      <w:r w:rsidR="001748FD" w:rsidRPr="00BB44F3">
        <w:rPr>
          <w:rFonts w:ascii="Garamond" w:hAnsi="Garamond" w:cs="Times New Roman"/>
          <w:sz w:val="24"/>
          <w:szCs w:val="24"/>
        </w:rPr>
        <w:t xml:space="preserve"> sia</w:t>
      </w:r>
      <w:r w:rsidRPr="00BB44F3">
        <w:rPr>
          <w:rFonts w:ascii="Garamond" w:hAnsi="Garamond" w:cs="Times New Roman"/>
          <w:sz w:val="24"/>
          <w:szCs w:val="24"/>
        </w:rPr>
        <w:t xml:space="preserve"> </w:t>
      </w:r>
      <w:r w:rsidR="00A03B5B">
        <w:rPr>
          <w:rFonts w:ascii="Garamond" w:hAnsi="Garamond" w:cs="Times New Roman"/>
          <w:sz w:val="24"/>
          <w:szCs w:val="24"/>
        </w:rPr>
        <w:t>indotto</w:t>
      </w:r>
      <w:r w:rsidRPr="00BB44F3">
        <w:rPr>
          <w:rFonts w:ascii="Garamond" w:hAnsi="Garamond" w:cs="Times New Roman"/>
          <w:sz w:val="24"/>
          <w:szCs w:val="24"/>
        </w:rPr>
        <w:t xml:space="preserve"> a ricorrere a forme di esternalizzazione totale o parziale nella gestione del servizio pubblico locale</w:t>
      </w:r>
      <w:r w:rsidR="001748FD" w:rsidRPr="00BB44F3">
        <w:rPr>
          <w:rStyle w:val="Rimandonotaapidipagina"/>
          <w:rFonts w:ascii="Garamond" w:hAnsi="Garamond" w:cs="Times New Roman"/>
          <w:sz w:val="24"/>
          <w:szCs w:val="24"/>
        </w:rPr>
        <w:footnoteReference w:id="54"/>
      </w:r>
      <w:r w:rsidRPr="00BB44F3">
        <w:rPr>
          <w:rFonts w:ascii="Garamond" w:hAnsi="Garamond" w:cs="Times New Roman"/>
          <w:sz w:val="24"/>
          <w:szCs w:val="24"/>
        </w:rPr>
        <w:t>.</w:t>
      </w:r>
    </w:p>
    <w:p w14:paraId="7DE7E3D3" w14:textId="77777777" w:rsidR="005C5DA9" w:rsidRPr="00BB44F3" w:rsidRDefault="005C5DA9" w:rsidP="002B0099">
      <w:pPr>
        <w:spacing w:after="0" w:line="240" w:lineRule="auto"/>
        <w:ind w:firstLine="454"/>
        <w:contextualSpacing/>
        <w:jc w:val="both"/>
        <w:rPr>
          <w:rFonts w:ascii="Garamond" w:hAnsi="Garamond" w:cs="Times New Roman"/>
          <w:sz w:val="24"/>
          <w:szCs w:val="24"/>
        </w:rPr>
      </w:pPr>
    </w:p>
    <w:p w14:paraId="08AD8C87" w14:textId="4B691BC7" w:rsidR="00002A66" w:rsidRPr="00BB44F3" w:rsidRDefault="008F57CC" w:rsidP="002B0099">
      <w:pPr>
        <w:pStyle w:val="Titolo1"/>
        <w:jc w:val="both"/>
        <w:rPr>
          <w:rFonts w:ascii="Garamond" w:hAnsi="Garamond"/>
        </w:rPr>
      </w:pPr>
      <w:bookmarkStart w:id="303" w:name="_Toc209095138"/>
      <w:bookmarkStart w:id="304" w:name="_Toc209095199"/>
      <w:bookmarkStart w:id="305" w:name="_Toc209095674"/>
      <w:bookmarkStart w:id="306" w:name="_Toc209095707"/>
      <w:bookmarkStart w:id="307" w:name="_Toc209095740"/>
      <w:bookmarkStart w:id="308" w:name="_Toc209097854"/>
      <w:bookmarkStart w:id="309" w:name="_Toc209097888"/>
      <w:bookmarkStart w:id="310" w:name="_Toc209104535"/>
      <w:bookmarkStart w:id="311" w:name="_Toc209105897"/>
      <w:bookmarkStart w:id="312" w:name="_Toc209106782"/>
      <w:bookmarkStart w:id="313" w:name="_Toc209107521"/>
      <w:bookmarkStart w:id="314" w:name="_Toc209181418"/>
      <w:bookmarkStart w:id="315" w:name="_Toc209181508"/>
      <w:bookmarkStart w:id="316" w:name="_Toc209181564"/>
      <w:bookmarkStart w:id="317" w:name="_Toc209182715"/>
      <w:bookmarkStart w:id="318" w:name="_Toc209182912"/>
      <w:r w:rsidRPr="00BB44F3">
        <w:rPr>
          <w:rFonts w:ascii="Garamond" w:hAnsi="Garamond"/>
        </w:rPr>
        <w:t>8.</w:t>
      </w:r>
      <w:r w:rsidR="00002A66" w:rsidRPr="00BB44F3">
        <w:rPr>
          <w:rFonts w:ascii="Garamond" w:hAnsi="Garamond"/>
        </w:rPr>
        <w:t xml:space="preserve"> La regolazione del rapporto di pubblico servizio, la vigilanza e la tutela dell’utenza</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920AF7E" w14:textId="65105463" w:rsidR="00FB4EC4"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Il capo III del titolo III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n. 201/2022 si occupa poi della regolazione del rapporto di servizio, della vigilanza e della tutela dell’utenza.</w:t>
      </w:r>
    </w:p>
    <w:p w14:paraId="396E63D3" w14:textId="0B4407A0" w:rsidR="00FB4EC4"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 ragioni di sinteticità</w:t>
      </w:r>
      <w:r w:rsidR="008079BD">
        <w:rPr>
          <w:rFonts w:ascii="Garamond" w:hAnsi="Garamond" w:cs="Times New Roman"/>
          <w:sz w:val="24"/>
          <w:szCs w:val="24"/>
        </w:rPr>
        <w:t xml:space="preserve"> del presente contributo</w:t>
      </w:r>
      <w:r w:rsidRPr="00BB44F3">
        <w:rPr>
          <w:rFonts w:ascii="Garamond" w:hAnsi="Garamond" w:cs="Times New Roman"/>
          <w:sz w:val="24"/>
          <w:szCs w:val="24"/>
        </w:rPr>
        <w:t xml:space="preserve"> tali profili saranno di seguito soltanto sommariamente esposti</w:t>
      </w:r>
      <w:r w:rsidR="00122159">
        <w:rPr>
          <w:rFonts w:ascii="Garamond" w:hAnsi="Garamond" w:cs="Times New Roman"/>
          <w:sz w:val="24"/>
          <w:szCs w:val="24"/>
        </w:rPr>
        <w:t>.</w:t>
      </w:r>
    </w:p>
    <w:p w14:paraId="3777F95E" w14:textId="46D08CE5" w:rsidR="00544CF6"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Iniziando dalla durata del rapporto l</w:t>
      </w:r>
      <w:r w:rsidR="00544CF6" w:rsidRPr="00BB44F3">
        <w:rPr>
          <w:rFonts w:ascii="Garamond" w:hAnsi="Garamond" w:cs="Times New Roman"/>
          <w:sz w:val="24"/>
          <w:szCs w:val="24"/>
        </w:rPr>
        <w:t xml:space="preserve">’art. 19 del Decreto prevede che la durata dell’affidamento non è astrattamente predeterminata </w:t>
      </w:r>
      <w:r w:rsidRPr="00BB44F3">
        <w:rPr>
          <w:rFonts w:ascii="Garamond" w:hAnsi="Garamond" w:cs="Times New Roman"/>
          <w:sz w:val="24"/>
          <w:szCs w:val="24"/>
        </w:rPr>
        <w:t xml:space="preserve">e che la stessa </w:t>
      </w:r>
      <w:r w:rsidR="00544CF6" w:rsidRPr="00BB44F3">
        <w:rPr>
          <w:rFonts w:ascii="Garamond" w:hAnsi="Garamond" w:cs="Times New Roman"/>
          <w:sz w:val="24"/>
          <w:szCs w:val="24"/>
        </w:rPr>
        <w:t>v</w:t>
      </w:r>
      <w:r w:rsidRPr="00BB44F3">
        <w:rPr>
          <w:rFonts w:ascii="Garamond" w:hAnsi="Garamond" w:cs="Times New Roman"/>
          <w:sz w:val="24"/>
          <w:szCs w:val="24"/>
        </w:rPr>
        <w:t>iene</w:t>
      </w:r>
      <w:r w:rsidR="00544CF6" w:rsidRPr="00BB44F3">
        <w:rPr>
          <w:rFonts w:ascii="Garamond" w:hAnsi="Garamond" w:cs="Times New Roman"/>
          <w:sz w:val="24"/>
          <w:szCs w:val="24"/>
        </w:rPr>
        <w:t xml:space="preserve"> fissata dagli enti competenti “</w:t>
      </w:r>
      <w:r w:rsidR="00544CF6" w:rsidRPr="00BB44F3">
        <w:rPr>
          <w:rFonts w:ascii="Garamond" w:hAnsi="Garamond" w:cs="Times New Roman"/>
          <w:i/>
          <w:sz w:val="24"/>
          <w:szCs w:val="24"/>
        </w:rPr>
        <w:t>in funzione della prestazione richiesta, in</w:t>
      </w:r>
      <w:r w:rsidR="008079BD">
        <w:rPr>
          <w:rFonts w:ascii="Garamond" w:hAnsi="Garamond" w:cs="Times New Roman"/>
          <w:i/>
          <w:sz w:val="24"/>
          <w:szCs w:val="24"/>
        </w:rPr>
        <w:t xml:space="preserve"> misura proporzionata all’</w:t>
      </w:r>
      <w:r w:rsidR="00544CF6" w:rsidRPr="00BB44F3">
        <w:rPr>
          <w:rFonts w:ascii="Garamond" w:hAnsi="Garamond" w:cs="Times New Roman"/>
          <w:i/>
          <w:sz w:val="24"/>
          <w:szCs w:val="24"/>
        </w:rPr>
        <w:t>entità e alla durata degli investimenti proposti dall'affidatario e comunque in misura non superiore al periodo necessario ad ammortizzare gli investimenti previsti in sede di affidamento e indicati nel contratto di servizio di cui all'articolo 24, in conformità alla disciplina europea e nazionale in materia di contratti pubblici</w:t>
      </w:r>
      <w:r w:rsidR="00544CF6" w:rsidRPr="00BB44F3">
        <w:rPr>
          <w:rFonts w:ascii="Garamond" w:hAnsi="Garamond" w:cs="Times New Roman"/>
          <w:sz w:val="24"/>
          <w:szCs w:val="24"/>
        </w:rPr>
        <w:t>”.</w:t>
      </w:r>
    </w:p>
    <w:p w14:paraId="68A3E8DB" w14:textId="0B0269D0" w:rsidR="00544CF6" w:rsidRPr="00BB44F3" w:rsidRDefault="00544CF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Nel solo caso di affidamento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di servizi pubblici locali non a rete è stabilita una durata dell’affidamento non superiore a cinque anni. Tuttavia, è “</w:t>
      </w:r>
      <w:r w:rsidRPr="00BB44F3">
        <w:rPr>
          <w:rFonts w:ascii="Garamond" w:hAnsi="Garamond" w:cs="Times New Roman"/>
          <w:i/>
          <w:sz w:val="24"/>
          <w:szCs w:val="24"/>
        </w:rPr>
        <w:t>fatta salva la possibilità per l'ente affidante di dare conto, nella deliberazione di affidamento di cui all'articolo 17, comma 2, delle ragioni che giustificano una durata superiore al fine di assicurare l'ammortamento degli investimenti</w:t>
      </w:r>
      <w:r w:rsidRPr="00BB44F3">
        <w:rPr>
          <w:rFonts w:ascii="Garamond" w:hAnsi="Garamond" w:cs="Times New Roman"/>
          <w:sz w:val="24"/>
          <w:szCs w:val="24"/>
        </w:rPr>
        <w:t>”.</w:t>
      </w:r>
      <w:r w:rsidR="00FB4EC4" w:rsidRPr="00BB44F3">
        <w:rPr>
          <w:rFonts w:ascii="Garamond" w:hAnsi="Garamond" w:cs="Times New Roman"/>
          <w:sz w:val="24"/>
          <w:szCs w:val="24"/>
        </w:rPr>
        <w:t xml:space="preserve"> </w:t>
      </w:r>
    </w:p>
    <w:p w14:paraId="7710C91A" w14:textId="08BCD556" w:rsidR="00544CF6"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V</w:t>
      </w:r>
      <w:r w:rsidR="00544CF6" w:rsidRPr="00BB44F3">
        <w:rPr>
          <w:rFonts w:ascii="Garamond" w:hAnsi="Garamond" w:cs="Times New Roman"/>
          <w:sz w:val="24"/>
          <w:szCs w:val="24"/>
        </w:rPr>
        <w:t xml:space="preserve">i è </w:t>
      </w:r>
      <w:r w:rsidRPr="00BB44F3">
        <w:rPr>
          <w:rFonts w:ascii="Garamond" w:hAnsi="Garamond" w:cs="Times New Roman"/>
          <w:sz w:val="24"/>
          <w:szCs w:val="24"/>
        </w:rPr>
        <w:t xml:space="preserve">poi </w:t>
      </w:r>
      <w:r w:rsidR="00544CF6" w:rsidRPr="00BB44F3">
        <w:rPr>
          <w:rFonts w:ascii="Garamond" w:hAnsi="Garamond" w:cs="Times New Roman"/>
          <w:sz w:val="24"/>
          <w:szCs w:val="24"/>
        </w:rPr>
        <w:t>la previsione di un indennizzo per il gestore uscente per l’ipotesi in cui la durata dell'affidamento sia inferiore al tempo necessario ad ammortizzare gli investimenti indicati nel contratto di servizio, nonché in quella di cessazione anticipata.</w:t>
      </w:r>
    </w:p>
    <w:p w14:paraId="4A7A9C9A" w14:textId="73892E50" w:rsidR="00544CF6" w:rsidRPr="00BB44F3" w:rsidRDefault="00544CF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indennizzo è posto a carico del subentrante ed è pari al valore contabile degli investimenti non ancora integralmente ammortizzati, rivalutato in base agli indici ISTAT e al netto di eventuali contributi pubblici direttamente riferibili agli investimenti stessi.</w:t>
      </w:r>
    </w:p>
    <w:p w14:paraId="70C2AADF" w14:textId="7E98C780" w:rsidR="005654A9"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Il </w:t>
      </w:r>
      <w:r w:rsidR="005654A9" w:rsidRPr="00BB44F3">
        <w:rPr>
          <w:rFonts w:ascii="Garamond" w:hAnsi="Garamond" w:cs="Times New Roman"/>
          <w:sz w:val="24"/>
          <w:szCs w:val="24"/>
        </w:rPr>
        <w:t>Consiglio di Stato</w:t>
      </w:r>
      <w:r w:rsidRPr="00BB44F3">
        <w:rPr>
          <w:rFonts w:ascii="Garamond" w:hAnsi="Garamond" w:cs="Times New Roman"/>
          <w:sz w:val="24"/>
          <w:szCs w:val="24"/>
        </w:rPr>
        <w:t xml:space="preserve"> </w:t>
      </w:r>
      <w:r w:rsidR="005654A9" w:rsidRPr="00BB44F3">
        <w:rPr>
          <w:rFonts w:ascii="Garamond" w:hAnsi="Garamond" w:cs="Times New Roman"/>
          <w:sz w:val="24"/>
          <w:szCs w:val="24"/>
        </w:rPr>
        <w:t xml:space="preserve">ha evidenziato che non può costituire motivo giustificativo della proroga </w:t>
      </w:r>
      <w:r w:rsidR="005654A9" w:rsidRPr="00BB44F3">
        <w:rPr>
          <w:rFonts w:ascii="Garamond" w:hAnsi="Garamond" w:cs="Times New Roman"/>
          <w:i/>
          <w:sz w:val="24"/>
          <w:szCs w:val="24"/>
        </w:rPr>
        <w:t xml:space="preserve">sine die </w:t>
      </w:r>
      <w:r w:rsidR="005654A9" w:rsidRPr="00BB44F3">
        <w:rPr>
          <w:rFonts w:ascii="Garamond" w:hAnsi="Garamond" w:cs="Times New Roman"/>
          <w:sz w:val="24"/>
          <w:szCs w:val="24"/>
        </w:rPr>
        <w:t xml:space="preserve">dell’affidamento di un servizio pubblico locale quello della difficoltà di attuare gli adempimenti previsti dal D. </w:t>
      </w:r>
      <w:proofErr w:type="spellStart"/>
      <w:r w:rsidR="005654A9" w:rsidRPr="00BB44F3">
        <w:rPr>
          <w:rFonts w:ascii="Garamond" w:hAnsi="Garamond" w:cs="Times New Roman"/>
          <w:sz w:val="24"/>
          <w:szCs w:val="24"/>
        </w:rPr>
        <w:t>Lgs</w:t>
      </w:r>
      <w:proofErr w:type="spellEnd"/>
      <w:r w:rsidR="005654A9" w:rsidRPr="00BB44F3">
        <w:rPr>
          <w:rFonts w:ascii="Garamond" w:hAnsi="Garamond" w:cs="Times New Roman"/>
          <w:sz w:val="24"/>
          <w:szCs w:val="24"/>
        </w:rPr>
        <w:t xml:space="preserve">. </w:t>
      </w:r>
      <w:r w:rsidRPr="00BB44F3">
        <w:rPr>
          <w:rFonts w:ascii="Garamond" w:hAnsi="Garamond" w:cs="Times New Roman"/>
          <w:sz w:val="24"/>
          <w:szCs w:val="24"/>
        </w:rPr>
        <w:t xml:space="preserve">n. </w:t>
      </w:r>
      <w:r w:rsidR="005654A9" w:rsidRPr="00BB44F3">
        <w:rPr>
          <w:rFonts w:ascii="Garamond" w:hAnsi="Garamond" w:cs="Times New Roman"/>
          <w:sz w:val="24"/>
          <w:szCs w:val="24"/>
        </w:rPr>
        <w:t>201/2022 ai fini della scelta delle modalità di gestione del servizio (nel caso di specie quello di trasporto pubblico locale in relazione al Comune di Roma</w:t>
      </w:r>
      <w:r w:rsidR="00612768" w:rsidRPr="00BB44F3">
        <w:rPr>
          <w:rFonts w:ascii="Garamond" w:hAnsi="Garamond" w:cs="Times New Roman"/>
          <w:sz w:val="24"/>
          <w:szCs w:val="24"/>
        </w:rPr>
        <w:t>)</w:t>
      </w:r>
      <w:r w:rsidRPr="00BB44F3">
        <w:rPr>
          <w:rStyle w:val="Rimandonotaapidipagina"/>
          <w:rFonts w:ascii="Garamond" w:hAnsi="Garamond" w:cs="Times New Roman"/>
          <w:sz w:val="24"/>
          <w:szCs w:val="24"/>
        </w:rPr>
        <w:footnoteReference w:id="55"/>
      </w:r>
      <w:r w:rsidR="005654A9" w:rsidRPr="00BB44F3">
        <w:rPr>
          <w:rFonts w:ascii="Garamond" w:hAnsi="Garamond" w:cs="Times New Roman"/>
          <w:sz w:val="24"/>
          <w:szCs w:val="24"/>
        </w:rPr>
        <w:t xml:space="preserve">. </w:t>
      </w:r>
    </w:p>
    <w:p w14:paraId="64755766" w14:textId="7DABB004" w:rsidR="00E66F53" w:rsidRPr="00BB44F3" w:rsidRDefault="00E66F5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L’AGCM nella segnalazione n. AS 1999/2023 (relativa alla ricognizione dei servizi pubblici locali dell’anno 2023 del 17.6.2024) ha </w:t>
      </w:r>
      <w:r w:rsidR="00FB4EC4" w:rsidRPr="00BB44F3">
        <w:rPr>
          <w:rFonts w:ascii="Garamond" w:hAnsi="Garamond" w:cs="Times New Roman"/>
          <w:sz w:val="24"/>
          <w:szCs w:val="24"/>
        </w:rPr>
        <w:t>sottolineato</w:t>
      </w:r>
      <w:r w:rsidRPr="00BB44F3">
        <w:rPr>
          <w:rFonts w:ascii="Garamond" w:hAnsi="Garamond" w:cs="Times New Roman"/>
          <w:sz w:val="24"/>
          <w:szCs w:val="24"/>
        </w:rPr>
        <w:t xml:space="preserve"> come nel senso della non prorogabilità degli affidamenti </w:t>
      </w:r>
      <w:r w:rsidRPr="00BB44F3">
        <w:rPr>
          <w:rFonts w:ascii="Garamond" w:hAnsi="Garamond" w:cs="Times New Roman"/>
          <w:sz w:val="24"/>
          <w:szCs w:val="24"/>
        </w:rPr>
        <w:lastRenderedPageBreak/>
        <w:t>deponga “</w:t>
      </w:r>
      <w:r w:rsidRPr="00BB44F3">
        <w:rPr>
          <w:rFonts w:ascii="Garamond" w:hAnsi="Garamond" w:cs="Times New Roman"/>
          <w:i/>
          <w:sz w:val="24"/>
          <w:szCs w:val="24"/>
        </w:rPr>
        <w:t xml:space="preserve">anche il richiamo, contenuto nel citato articolo 19 del d.lgs. n. 201/2022, alla disciplina </w:t>
      </w:r>
      <w:proofErr w:type="spellStart"/>
      <w:r w:rsidRPr="00BB44F3">
        <w:rPr>
          <w:rFonts w:ascii="Garamond" w:hAnsi="Garamond" w:cs="Times New Roman"/>
          <w:i/>
          <w:sz w:val="24"/>
          <w:szCs w:val="24"/>
        </w:rPr>
        <w:t>eurounitaria</w:t>
      </w:r>
      <w:proofErr w:type="spellEnd"/>
      <w:r w:rsidRPr="00BB44F3">
        <w:rPr>
          <w:rFonts w:ascii="Garamond" w:hAnsi="Garamond" w:cs="Times New Roman"/>
          <w:i/>
          <w:sz w:val="24"/>
          <w:szCs w:val="24"/>
        </w:rPr>
        <w:t xml:space="preserve"> e nazionale in materia di contratti pubblici, la quale, con riferimento alla durata delle concessioni, prevede espressamente, all’articolo 178, comma 5, del d.lgs. n. 36/2023, un divieto di proroga assoluto per le concessioni affidate senza gara</w:t>
      </w:r>
      <w:r w:rsidRPr="00BB44F3">
        <w:rPr>
          <w:rFonts w:ascii="Garamond" w:hAnsi="Garamond" w:cs="Times New Roman"/>
          <w:sz w:val="24"/>
          <w:szCs w:val="24"/>
        </w:rPr>
        <w:t>”.</w:t>
      </w:r>
    </w:p>
    <w:p w14:paraId="218EA806" w14:textId="00D59CDB" w:rsidR="006600B0"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Passando al contratto di servizio questo </w:t>
      </w:r>
      <w:r w:rsidR="006600B0" w:rsidRPr="00BB44F3">
        <w:rPr>
          <w:rFonts w:ascii="Garamond" w:hAnsi="Garamond" w:cs="Times New Roman"/>
          <w:sz w:val="24"/>
          <w:szCs w:val="24"/>
        </w:rPr>
        <w:t xml:space="preserve">deve essere stipulato tra gli enti affidanti ed i soggetti affidatari del servizio pubblico / le società di gestione delle reti. </w:t>
      </w:r>
    </w:p>
    <w:p w14:paraId="69AE7A0E" w14:textId="0216D923" w:rsidR="006600B0" w:rsidRPr="00BB44F3" w:rsidRDefault="006600B0"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Nel caso di affidamento mediante procedura ad evidenza pubblica il contratto di servizio deve essere redatto in base a schema allegato alla documentazione di gara.</w:t>
      </w:r>
    </w:p>
    <w:p w14:paraId="4194BDFA" w14:textId="186C5FC1" w:rsidR="006600B0" w:rsidRPr="00BB44F3" w:rsidRDefault="006600B0"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I commi da 2 e 4 dell’art. 24 del D</w:t>
      </w:r>
      <w:r w:rsidR="00FB4EC4" w:rsidRPr="00BB44F3">
        <w:rPr>
          <w:rFonts w:ascii="Garamond" w:hAnsi="Garamond" w:cs="Times New Roman"/>
          <w:sz w:val="24"/>
          <w:szCs w:val="24"/>
        </w:rPr>
        <w:t>ecreto</w:t>
      </w:r>
      <w:r w:rsidRPr="00BB44F3">
        <w:rPr>
          <w:rFonts w:ascii="Garamond" w:hAnsi="Garamond" w:cs="Times New Roman"/>
          <w:sz w:val="24"/>
          <w:szCs w:val="24"/>
        </w:rPr>
        <w:t xml:space="preserve"> prevedono il contenuto necessario del contratto.</w:t>
      </w:r>
    </w:p>
    <w:p w14:paraId="1139CF53" w14:textId="04CCA0F8" w:rsidR="001A2495" w:rsidRPr="00BB44F3" w:rsidRDefault="008C77CE" w:rsidP="002B0099">
      <w:pPr>
        <w:spacing w:after="0" w:line="240" w:lineRule="auto"/>
        <w:ind w:firstLine="454"/>
        <w:contextualSpacing/>
        <w:jc w:val="both"/>
        <w:rPr>
          <w:rFonts w:ascii="Garamond" w:hAnsi="Garamond" w:cs="Times New Roman"/>
          <w:sz w:val="24"/>
          <w:szCs w:val="24"/>
        </w:rPr>
      </w:pPr>
      <w:bookmarkStart w:id="319" w:name="_Toc209095141"/>
      <w:bookmarkStart w:id="320" w:name="_Toc209095202"/>
      <w:bookmarkStart w:id="321" w:name="_Toc209095677"/>
      <w:bookmarkStart w:id="322" w:name="_Toc209095710"/>
      <w:bookmarkStart w:id="323" w:name="_Toc209095743"/>
      <w:bookmarkStart w:id="324" w:name="_Toc209097857"/>
      <w:bookmarkStart w:id="325" w:name="_Toc209097891"/>
      <w:bookmarkStart w:id="326" w:name="_Toc209104538"/>
      <w:bookmarkStart w:id="327" w:name="_Toc209105900"/>
      <w:bookmarkStart w:id="328" w:name="_Toc209106785"/>
      <w:bookmarkStart w:id="329" w:name="_Toc209107524"/>
      <w:bookmarkEnd w:id="319"/>
      <w:bookmarkEnd w:id="320"/>
      <w:bookmarkEnd w:id="321"/>
      <w:bookmarkEnd w:id="322"/>
      <w:bookmarkEnd w:id="323"/>
      <w:bookmarkEnd w:id="324"/>
      <w:bookmarkEnd w:id="325"/>
      <w:bookmarkEnd w:id="326"/>
      <w:bookmarkEnd w:id="327"/>
      <w:bookmarkEnd w:id="328"/>
      <w:bookmarkEnd w:id="329"/>
      <w:r w:rsidRPr="00BB44F3">
        <w:rPr>
          <w:rFonts w:ascii="Garamond" w:hAnsi="Garamond" w:cs="Times New Roman"/>
          <w:sz w:val="24"/>
          <w:szCs w:val="24"/>
        </w:rPr>
        <w:t xml:space="preserve">L’art. 25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FB4EC4" w:rsidRPr="00BB44F3">
        <w:rPr>
          <w:rFonts w:ascii="Garamond" w:hAnsi="Garamond" w:cs="Times New Roman"/>
          <w:sz w:val="24"/>
          <w:szCs w:val="24"/>
        </w:rPr>
        <w:t xml:space="preserve">n. </w:t>
      </w:r>
      <w:r w:rsidRPr="00BB44F3">
        <w:rPr>
          <w:rFonts w:ascii="Garamond" w:hAnsi="Garamond" w:cs="Times New Roman"/>
          <w:sz w:val="24"/>
          <w:szCs w:val="24"/>
        </w:rPr>
        <w:t>201/2022</w:t>
      </w:r>
      <w:r w:rsidR="00FB4EC4" w:rsidRPr="00BB44F3">
        <w:rPr>
          <w:rFonts w:ascii="Garamond" w:hAnsi="Garamond" w:cs="Times New Roman"/>
          <w:sz w:val="24"/>
          <w:szCs w:val="24"/>
        </w:rPr>
        <w:t xml:space="preserve"> si occupa poi della carta dei servizi e degli obblighi di trasparenza dei gestori. Esso</w:t>
      </w:r>
      <w:r w:rsidRPr="00BB44F3">
        <w:rPr>
          <w:rFonts w:ascii="Garamond" w:hAnsi="Garamond" w:cs="Times New Roman"/>
          <w:sz w:val="24"/>
          <w:szCs w:val="24"/>
        </w:rPr>
        <w:t xml:space="preserve"> prevede in capo al gestore del </w:t>
      </w:r>
      <w:r w:rsidR="00FB4EC4" w:rsidRPr="00BB44F3">
        <w:rPr>
          <w:rFonts w:ascii="Garamond" w:hAnsi="Garamond" w:cs="Times New Roman"/>
          <w:sz w:val="24"/>
          <w:szCs w:val="24"/>
        </w:rPr>
        <w:t>servizio l’obbligo</w:t>
      </w:r>
      <w:r w:rsidRPr="00BB44F3">
        <w:rPr>
          <w:rFonts w:ascii="Garamond" w:hAnsi="Garamond" w:cs="Times New Roman"/>
          <w:sz w:val="24"/>
          <w:szCs w:val="24"/>
        </w:rPr>
        <w:t xml:space="preserve"> di redigere ed aggiornare la carta dei servizi e di pubblicarla sul proprio sito internet, nonché di dare adeguata pubblicità del livello effettivo di qualità dei servizi offerti, del livello annuale degli investimenti effettuati e della loro programmazione fino al termine dell'affidamento</w:t>
      </w:r>
      <w:r w:rsidR="008079BD">
        <w:rPr>
          <w:rStyle w:val="Rimandonotaapidipagina"/>
          <w:rFonts w:ascii="Garamond" w:hAnsi="Garamond" w:cs="Times New Roman"/>
          <w:sz w:val="24"/>
          <w:szCs w:val="24"/>
        </w:rPr>
        <w:footnoteReference w:id="56"/>
      </w:r>
      <w:r w:rsidR="001A2495" w:rsidRPr="00BB44F3">
        <w:rPr>
          <w:rFonts w:ascii="Garamond" w:hAnsi="Garamond" w:cs="Times New Roman"/>
          <w:sz w:val="24"/>
          <w:szCs w:val="24"/>
        </w:rPr>
        <w:t>.</w:t>
      </w:r>
    </w:p>
    <w:p w14:paraId="419EE5DD" w14:textId="5C59251E" w:rsidR="00384E12" w:rsidRPr="00BB44F3" w:rsidRDefault="001A249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ordine alle modifiche del rapporto contrattuale, alla cessazione anticipata ed alla risoluzione del rapporto l’art. 27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943E2C">
        <w:rPr>
          <w:rFonts w:ascii="Garamond" w:hAnsi="Garamond" w:cs="Times New Roman"/>
          <w:sz w:val="24"/>
          <w:szCs w:val="24"/>
        </w:rPr>
        <w:t xml:space="preserve">n. </w:t>
      </w:r>
      <w:r w:rsidRPr="00BB44F3">
        <w:rPr>
          <w:rFonts w:ascii="Garamond" w:hAnsi="Garamond" w:cs="Times New Roman"/>
          <w:sz w:val="24"/>
          <w:szCs w:val="24"/>
        </w:rPr>
        <w:t>201/2022 fa rinvio a limiti e modalità previste dal diritto UE ed alla disciplina in materia di contratti pubblici.</w:t>
      </w:r>
    </w:p>
    <w:p w14:paraId="493ECFA8" w14:textId="4FF8303F" w:rsidR="001A2495" w:rsidRPr="00BB44F3" w:rsidRDefault="001A2495"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Viene espressamente sancito dal comma 3 di tale disposizione il potere dell’ente affidante di risolvere anticipatamente il rapporto in caso di grave inadempimento agli obblighi di servizio pubblico e alle obbligazioni previste dal contratto di servizio.</w:t>
      </w:r>
    </w:p>
    <w:p w14:paraId="11B7AFEE" w14:textId="0DF96518" w:rsidR="000A5EA6"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Infine, l’art. 28 del Decreto</w:t>
      </w:r>
      <w:r w:rsidR="000A5EA6" w:rsidRPr="00BB44F3">
        <w:rPr>
          <w:rFonts w:ascii="Garamond" w:hAnsi="Garamond" w:cs="Times New Roman"/>
          <w:sz w:val="24"/>
          <w:szCs w:val="24"/>
        </w:rPr>
        <w:t xml:space="preserve"> dispone che gli enti locali e gli altri enti competenti esercitino la vigilanza sulla gestione per mezzo di un programma di controlli “</w:t>
      </w:r>
      <w:r w:rsidR="000A5EA6" w:rsidRPr="00BB44F3">
        <w:rPr>
          <w:rFonts w:ascii="Garamond" w:hAnsi="Garamond" w:cs="Times New Roman"/>
          <w:i/>
          <w:sz w:val="24"/>
          <w:szCs w:val="24"/>
        </w:rPr>
        <w:t>finalizzato alla verifica del corretto svolgimento delle prestazioni affidate, tenendo conto della tipologia di attività, dell'estensione territoriale di riferimento e dell'utenza a cui i servizi sono destinati</w:t>
      </w:r>
      <w:r w:rsidR="000A5EA6" w:rsidRPr="00BB44F3">
        <w:rPr>
          <w:rFonts w:ascii="Garamond" w:hAnsi="Garamond" w:cs="Times New Roman"/>
          <w:sz w:val="24"/>
          <w:szCs w:val="24"/>
        </w:rPr>
        <w:t>”.</w:t>
      </w:r>
    </w:p>
    <w:p w14:paraId="4296A0E3" w14:textId="2BB29CF4" w:rsidR="000A5EA6" w:rsidRPr="00BB44F3" w:rsidRDefault="000A5EA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È previsto un correlativo obbligo in capo al gestore di fornire all’ente affidante tutti “</w:t>
      </w:r>
      <w:r w:rsidRPr="00BB44F3">
        <w:rPr>
          <w:rFonts w:ascii="Garamond" w:hAnsi="Garamond" w:cs="Times New Roman"/>
          <w:i/>
          <w:sz w:val="24"/>
          <w:szCs w:val="24"/>
        </w:rPr>
        <w:t>i dati e le informazioni concernenti l'assolvimento degli obblighi contenuti nel contratto di servizio</w:t>
      </w:r>
      <w:r w:rsidRPr="00BB44F3">
        <w:rPr>
          <w:rFonts w:ascii="Garamond" w:hAnsi="Garamond" w:cs="Times New Roman"/>
          <w:sz w:val="24"/>
          <w:szCs w:val="24"/>
        </w:rPr>
        <w:t xml:space="preserve">”, nonché la necessità di prevedere specifiche penalità in contratto per l’ipotesi di inadempimento da parte del gestore di tali obblighi informativi. </w:t>
      </w:r>
    </w:p>
    <w:p w14:paraId="72DB1287" w14:textId="77777777" w:rsidR="0064450E" w:rsidRPr="00BB44F3" w:rsidRDefault="0064450E" w:rsidP="002B0099">
      <w:pPr>
        <w:spacing w:after="0" w:line="240" w:lineRule="auto"/>
        <w:ind w:firstLine="454"/>
        <w:contextualSpacing/>
        <w:jc w:val="both"/>
        <w:rPr>
          <w:rFonts w:ascii="Garamond" w:hAnsi="Garamond" w:cs="Times New Roman"/>
          <w:sz w:val="24"/>
          <w:szCs w:val="24"/>
        </w:rPr>
      </w:pPr>
    </w:p>
    <w:p w14:paraId="0D87B941" w14:textId="43C59992" w:rsidR="00EF06C9" w:rsidRPr="00BB44F3" w:rsidRDefault="00FB4EC4" w:rsidP="00943E2C">
      <w:pPr>
        <w:pStyle w:val="Titolo1"/>
        <w:jc w:val="both"/>
        <w:rPr>
          <w:rFonts w:ascii="Garamond" w:hAnsi="Garamond"/>
        </w:rPr>
      </w:pPr>
      <w:bookmarkStart w:id="330" w:name="_Toc209095144"/>
      <w:bookmarkStart w:id="331" w:name="_Toc209095205"/>
      <w:bookmarkStart w:id="332" w:name="_Toc209095680"/>
      <w:bookmarkStart w:id="333" w:name="_Toc209095713"/>
      <w:bookmarkStart w:id="334" w:name="_Toc209095746"/>
      <w:bookmarkStart w:id="335" w:name="_Toc209097860"/>
      <w:bookmarkStart w:id="336" w:name="_Toc209097894"/>
      <w:bookmarkStart w:id="337" w:name="_Toc209104541"/>
      <w:bookmarkStart w:id="338" w:name="_Toc209105903"/>
      <w:bookmarkStart w:id="339" w:name="_Toc209106788"/>
      <w:bookmarkStart w:id="340" w:name="_Toc209107527"/>
      <w:bookmarkStart w:id="341" w:name="_Toc209181420"/>
      <w:bookmarkStart w:id="342" w:name="_Toc209181509"/>
      <w:bookmarkStart w:id="343" w:name="_Toc209181565"/>
      <w:bookmarkStart w:id="344" w:name="_Toc209182716"/>
      <w:bookmarkStart w:id="345" w:name="_Toc209182913"/>
      <w:r w:rsidRPr="00BB44F3">
        <w:rPr>
          <w:rFonts w:ascii="Garamond" w:hAnsi="Garamond"/>
        </w:rPr>
        <w:t>9.</w:t>
      </w:r>
      <w:r w:rsidR="008F57CC" w:rsidRPr="00BB44F3">
        <w:rPr>
          <w:rFonts w:ascii="Garamond" w:hAnsi="Garamond"/>
        </w:rPr>
        <w:t xml:space="preserve"> </w:t>
      </w:r>
      <w:r w:rsidR="00EF06C9" w:rsidRPr="00BB44F3">
        <w:rPr>
          <w:rFonts w:ascii="Garamond" w:hAnsi="Garamond"/>
        </w:rPr>
        <w:t xml:space="preserve">Gli obblighi </w:t>
      </w:r>
      <w:r w:rsidRPr="00BB44F3">
        <w:rPr>
          <w:rFonts w:ascii="Garamond" w:hAnsi="Garamond"/>
        </w:rPr>
        <w:t xml:space="preserve">di ricognizione periodica e </w:t>
      </w:r>
      <w:r w:rsidR="00EF06C9" w:rsidRPr="00BB44F3">
        <w:rPr>
          <w:rFonts w:ascii="Garamond" w:hAnsi="Garamond"/>
        </w:rPr>
        <w:t>di trasparenza</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68B6134" w14:textId="4934F798" w:rsidR="00FB4EC4"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L’art. 30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n. 201/2022 impone ai Comuni e relative forme associative con popolazione superiore ai 5000 abitanti ed agli altri enti locali competenti di porre in essere una ricognizione periodica della situazione gestionale dei servizi pubblici locali di rilevanza economica nei rispettivi territori.</w:t>
      </w:r>
    </w:p>
    <w:p w14:paraId="3C1CDA16" w14:textId="77777777" w:rsidR="00FB4EC4"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Tale ricognizione deve essere effettuata per ogni servizio affidato e deve rilevare: il concreto andamento dal punto di vista economico, dell'efficienza e della qualità del servizio e del rispetto degli obblighi indicati nel contratto di servizio, in modo analitico, tenendo conto anche degli atti e degli indicatori di cui agli articoli 7, 8 e 9 del Decreto; la misura del ricorso agli affidamenti a società </w:t>
      </w:r>
      <w:r w:rsidRPr="00BB44F3">
        <w:rPr>
          <w:rFonts w:ascii="Garamond" w:hAnsi="Garamond" w:cs="Times New Roman"/>
          <w:i/>
          <w:sz w:val="24"/>
          <w:szCs w:val="24"/>
        </w:rPr>
        <w:t xml:space="preserve">in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oltre che gli oneri e i risultati in capo agli enti affidanti.</w:t>
      </w:r>
    </w:p>
    <w:p w14:paraId="39E761CC" w14:textId="061FE13D" w:rsidR="00FB4EC4" w:rsidRPr="00BB44F3" w:rsidRDefault="00FB4EC4"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Questa ricognizione è contenuta in apposita relazione</w:t>
      </w:r>
      <w:r w:rsidRPr="00BB44F3">
        <w:rPr>
          <w:rStyle w:val="Rimandonotaapidipagina"/>
          <w:rFonts w:ascii="Garamond" w:hAnsi="Garamond" w:cs="Times New Roman"/>
          <w:sz w:val="24"/>
          <w:szCs w:val="24"/>
        </w:rPr>
        <w:footnoteReference w:id="57"/>
      </w:r>
      <w:r w:rsidRPr="00BB44F3">
        <w:rPr>
          <w:rFonts w:ascii="Garamond" w:hAnsi="Garamond" w:cs="Times New Roman"/>
          <w:sz w:val="24"/>
          <w:szCs w:val="24"/>
        </w:rPr>
        <w:t xml:space="preserve">, aggiornata con cadenza annuale, contestualmente all’analisi dell’assetto delle società partecipate di cui all’art. 20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1857D5">
        <w:rPr>
          <w:rFonts w:ascii="Garamond" w:hAnsi="Garamond" w:cs="Times New Roman"/>
          <w:sz w:val="24"/>
          <w:szCs w:val="24"/>
        </w:rPr>
        <w:t xml:space="preserve">n. </w:t>
      </w:r>
      <w:r w:rsidRPr="00BB44F3">
        <w:rPr>
          <w:rFonts w:ascii="Garamond" w:hAnsi="Garamond" w:cs="Times New Roman"/>
          <w:sz w:val="24"/>
          <w:szCs w:val="24"/>
        </w:rPr>
        <w:t>175/2016</w:t>
      </w:r>
      <w:r w:rsidR="001F0F3E">
        <w:rPr>
          <w:rStyle w:val="Rimandonotaapidipagina"/>
          <w:rFonts w:ascii="Garamond" w:hAnsi="Garamond" w:cs="Times New Roman"/>
          <w:sz w:val="24"/>
          <w:szCs w:val="24"/>
        </w:rPr>
        <w:footnoteReference w:id="58"/>
      </w:r>
      <w:r w:rsidRPr="00BB44F3">
        <w:rPr>
          <w:rFonts w:ascii="Garamond" w:hAnsi="Garamond" w:cs="Times New Roman"/>
          <w:sz w:val="24"/>
          <w:szCs w:val="24"/>
        </w:rPr>
        <w:t>.</w:t>
      </w:r>
    </w:p>
    <w:p w14:paraId="4106EAFA" w14:textId="0C933734" w:rsidR="00FB4EC4" w:rsidRPr="00BB44F3" w:rsidRDefault="00A305C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L’art. 31 del </w:t>
      </w:r>
      <w:r w:rsidR="00FB4EC4" w:rsidRPr="00BB44F3">
        <w:rPr>
          <w:rFonts w:ascii="Garamond" w:hAnsi="Garamond" w:cs="Times New Roman"/>
          <w:sz w:val="24"/>
          <w:szCs w:val="24"/>
        </w:rPr>
        <w:t xml:space="preserve">D. </w:t>
      </w:r>
      <w:proofErr w:type="spellStart"/>
      <w:r w:rsidR="00FB4EC4" w:rsidRPr="00BB44F3">
        <w:rPr>
          <w:rFonts w:ascii="Garamond" w:hAnsi="Garamond" w:cs="Times New Roman"/>
          <w:sz w:val="24"/>
          <w:szCs w:val="24"/>
        </w:rPr>
        <w:t>Lgs</w:t>
      </w:r>
      <w:proofErr w:type="spellEnd"/>
      <w:r w:rsidR="00FB4EC4" w:rsidRPr="00BB44F3">
        <w:rPr>
          <w:rFonts w:ascii="Garamond" w:hAnsi="Garamond" w:cs="Times New Roman"/>
          <w:sz w:val="24"/>
          <w:szCs w:val="24"/>
        </w:rPr>
        <w:t xml:space="preserve">. n. 201/2022 </w:t>
      </w:r>
      <w:r w:rsidR="00216BAC">
        <w:rPr>
          <w:rFonts w:ascii="Garamond" w:hAnsi="Garamond" w:cs="Times New Roman"/>
          <w:sz w:val="24"/>
          <w:szCs w:val="24"/>
        </w:rPr>
        <w:t>enuncia</w:t>
      </w:r>
      <w:r w:rsidR="00FB4EC4" w:rsidRPr="00BB44F3">
        <w:rPr>
          <w:rFonts w:ascii="Garamond" w:hAnsi="Garamond" w:cs="Times New Roman"/>
          <w:sz w:val="24"/>
          <w:szCs w:val="24"/>
        </w:rPr>
        <w:t xml:space="preserve"> poi una serie di obblighi improntati a garantire la massima trasparenza nella gestione dei servizi pubblici locali di rilevanza </w:t>
      </w:r>
      <w:r w:rsidR="00216BAC">
        <w:rPr>
          <w:rFonts w:ascii="Garamond" w:hAnsi="Garamond" w:cs="Times New Roman"/>
          <w:sz w:val="24"/>
          <w:szCs w:val="24"/>
        </w:rPr>
        <w:t xml:space="preserve">economica </w:t>
      </w:r>
      <w:r w:rsidR="00FB4EC4" w:rsidRPr="00BB44F3">
        <w:rPr>
          <w:rFonts w:ascii="Garamond" w:hAnsi="Garamond" w:cs="Times New Roman"/>
          <w:sz w:val="24"/>
          <w:szCs w:val="24"/>
        </w:rPr>
        <w:t xml:space="preserve">nell’ottica di garantire la conoscibilità </w:t>
      </w:r>
      <w:r w:rsidR="00D9235F" w:rsidRPr="00BB44F3">
        <w:rPr>
          <w:rFonts w:ascii="Garamond" w:hAnsi="Garamond" w:cs="Times New Roman"/>
          <w:sz w:val="24"/>
          <w:szCs w:val="24"/>
        </w:rPr>
        <w:t xml:space="preserve">da parte di tutti i soggetti interessati </w:t>
      </w:r>
      <w:r w:rsidR="00216BAC">
        <w:rPr>
          <w:rFonts w:ascii="Garamond" w:hAnsi="Garamond" w:cs="Times New Roman"/>
          <w:sz w:val="24"/>
          <w:szCs w:val="24"/>
        </w:rPr>
        <w:t>alle</w:t>
      </w:r>
      <w:r w:rsidR="00FB4EC4" w:rsidRPr="00BB44F3">
        <w:rPr>
          <w:rFonts w:ascii="Garamond" w:hAnsi="Garamond" w:cs="Times New Roman"/>
          <w:sz w:val="24"/>
          <w:szCs w:val="24"/>
        </w:rPr>
        <w:t xml:space="preserve"> scelte dell’ente </w:t>
      </w:r>
      <w:r w:rsidR="00216BAC">
        <w:rPr>
          <w:rFonts w:ascii="Garamond" w:hAnsi="Garamond" w:cs="Times New Roman"/>
          <w:sz w:val="24"/>
          <w:szCs w:val="24"/>
        </w:rPr>
        <w:t>in relazione a</w:t>
      </w:r>
      <w:r w:rsidR="00FB4EC4" w:rsidRPr="00BB44F3">
        <w:rPr>
          <w:rFonts w:ascii="Garamond" w:hAnsi="Garamond" w:cs="Times New Roman"/>
          <w:sz w:val="24"/>
          <w:szCs w:val="24"/>
        </w:rPr>
        <w:t>i momenti in cui l’ente locale pone in essere sc</w:t>
      </w:r>
      <w:r w:rsidR="00D9235F" w:rsidRPr="00BB44F3">
        <w:rPr>
          <w:rFonts w:ascii="Garamond" w:hAnsi="Garamond" w:cs="Times New Roman"/>
          <w:sz w:val="24"/>
          <w:szCs w:val="24"/>
        </w:rPr>
        <w:t>elte di rilievo quanto all’istituzione, alla gestione ed alla vita del servizio.</w:t>
      </w:r>
    </w:p>
    <w:p w14:paraId="2E0ADD6D" w14:textId="06B98FD9" w:rsidR="00A305C3" w:rsidRPr="00BB44F3" w:rsidRDefault="00D9235F"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 xml:space="preserve">In particolare, tale disposizione stabilisce </w:t>
      </w:r>
      <w:r w:rsidR="00A305C3" w:rsidRPr="00BB44F3">
        <w:rPr>
          <w:rFonts w:ascii="Garamond" w:hAnsi="Garamond" w:cs="Times New Roman"/>
          <w:sz w:val="24"/>
          <w:szCs w:val="24"/>
        </w:rPr>
        <w:t>che la deliberazione di istituzione del servizio, la relazione relativa alla scelta delle mo</w:t>
      </w:r>
      <w:r w:rsidR="00A826D0" w:rsidRPr="00BB44F3">
        <w:rPr>
          <w:rFonts w:ascii="Garamond" w:hAnsi="Garamond" w:cs="Times New Roman"/>
          <w:sz w:val="24"/>
          <w:szCs w:val="24"/>
        </w:rPr>
        <w:t xml:space="preserve">dalità di gestione del servizio, la deliberazione giustificativa dell’affidamento </w:t>
      </w:r>
      <w:r w:rsidR="00A826D0" w:rsidRPr="00BB44F3">
        <w:rPr>
          <w:rFonts w:ascii="Garamond" w:hAnsi="Garamond" w:cs="Times New Roman"/>
          <w:i/>
          <w:sz w:val="24"/>
          <w:szCs w:val="24"/>
        </w:rPr>
        <w:t xml:space="preserve">in </w:t>
      </w:r>
      <w:proofErr w:type="spellStart"/>
      <w:r w:rsidR="00A826D0" w:rsidRPr="00BB44F3">
        <w:rPr>
          <w:rFonts w:ascii="Garamond" w:hAnsi="Garamond" w:cs="Times New Roman"/>
          <w:i/>
          <w:sz w:val="24"/>
          <w:szCs w:val="24"/>
        </w:rPr>
        <w:t>house</w:t>
      </w:r>
      <w:proofErr w:type="spellEnd"/>
      <w:r w:rsidR="00A826D0" w:rsidRPr="00BB44F3">
        <w:rPr>
          <w:rFonts w:ascii="Garamond" w:hAnsi="Garamond" w:cs="Times New Roman"/>
          <w:sz w:val="24"/>
          <w:szCs w:val="24"/>
        </w:rPr>
        <w:t>, la relazione annuale ricognitiva della situazione gestionale dei servizi pubblici locali ed i contratti di servizio stipulati siano pubblicati sul sito istituzionale dell'ente affidante e trasmessi contestualmente all'ANAC, che provvede alla loro immediata pubblicazione sul proprio portale telematico</w:t>
      </w:r>
      <w:r w:rsidR="00216BAC">
        <w:rPr>
          <w:rStyle w:val="Rimandonotaapidipagina"/>
          <w:rFonts w:ascii="Garamond" w:hAnsi="Garamond" w:cs="Times New Roman"/>
          <w:sz w:val="24"/>
          <w:szCs w:val="24"/>
        </w:rPr>
        <w:footnoteReference w:id="59"/>
      </w:r>
      <w:r w:rsidR="00A826D0" w:rsidRPr="00BB44F3">
        <w:rPr>
          <w:rFonts w:ascii="Garamond" w:hAnsi="Garamond" w:cs="Times New Roman"/>
          <w:sz w:val="24"/>
          <w:szCs w:val="24"/>
        </w:rPr>
        <w:t>.</w:t>
      </w:r>
    </w:p>
    <w:p w14:paraId="58A23B2A" w14:textId="72A89CA4" w:rsidR="00A826D0" w:rsidRPr="00BB44F3" w:rsidRDefault="00A826D0"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Tali obblighi sono di grande rilievo, in quanto in seguito all’esame degli atti adottati dall’ente locale l’AGCM può esercitare il potere di cui al comma 2 dell’art. 21-bis della L. 287/1990 ed emettere parere motivato laddove ritenga che l’ente locale abbia adottato atti in violazione delle norme a tutela della concorrenza e del mercato</w:t>
      </w:r>
      <w:r w:rsidR="00D9235F" w:rsidRPr="00BB44F3">
        <w:rPr>
          <w:rStyle w:val="Rimandonotaapidipagina"/>
          <w:rFonts w:ascii="Garamond" w:hAnsi="Garamond" w:cs="Times New Roman"/>
          <w:sz w:val="24"/>
          <w:szCs w:val="24"/>
        </w:rPr>
        <w:footnoteReference w:id="60"/>
      </w:r>
      <w:r w:rsidRPr="00BB44F3">
        <w:rPr>
          <w:rFonts w:ascii="Garamond" w:hAnsi="Garamond" w:cs="Times New Roman"/>
          <w:sz w:val="24"/>
          <w:szCs w:val="24"/>
        </w:rPr>
        <w:t xml:space="preserve">. </w:t>
      </w:r>
    </w:p>
    <w:p w14:paraId="78ACB70B" w14:textId="5F0A3EC6" w:rsidR="00E66F53" w:rsidRPr="00BB44F3" w:rsidRDefault="00E66F5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Per un’analisi delle plurime criticità riscontrate dall’AGCM con riferimento alle relazioni pubblicate</w:t>
      </w:r>
      <w:r w:rsidR="00D9235F" w:rsidRPr="00BB44F3">
        <w:rPr>
          <w:rFonts w:ascii="Garamond" w:hAnsi="Garamond" w:cs="Times New Roman"/>
          <w:sz w:val="24"/>
          <w:szCs w:val="24"/>
        </w:rPr>
        <w:t xml:space="preserve"> dagli enti locali </w:t>
      </w:r>
      <w:r w:rsidRPr="00BB44F3">
        <w:rPr>
          <w:rFonts w:ascii="Garamond" w:hAnsi="Garamond" w:cs="Times New Roman"/>
          <w:sz w:val="24"/>
          <w:szCs w:val="24"/>
        </w:rPr>
        <w:t xml:space="preserve">ai sensi dell’art. 30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D17A7C">
        <w:rPr>
          <w:rFonts w:ascii="Garamond" w:hAnsi="Garamond" w:cs="Times New Roman"/>
          <w:sz w:val="24"/>
          <w:szCs w:val="24"/>
        </w:rPr>
        <w:t xml:space="preserve">n. </w:t>
      </w:r>
      <w:r w:rsidRPr="00BB44F3">
        <w:rPr>
          <w:rFonts w:ascii="Garamond" w:hAnsi="Garamond" w:cs="Times New Roman"/>
          <w:sz w:val="24"/>
          <w:szCs w:val="24"/>
        </w:rPr>
        <w:t>201/2022 va fatto rinvio alla segnalazione n. AS 1999/2023</w:t>
      </w:r>
      <w:r w:rsidR="00D9235F" w:rsidRPr="00BB44F3">
        <w:rPr>
          <w:rFonts w:ascii="Garamond" w:hAnsi="Garamond" w:cs="Times New Roman"/>
          <w:sz w:val="24"/>
          <w:szCs w:val="24"/>
        </w:rPr>
        <w:t xml:space="preserve"> del 17.6.2024</w:t>
      </w:r>
      <w:r w:rsidRPr="00BB44F3">
        <w:rPr>
          <w:rFonts w:ascii="Garamond" w:hAnsi="Garamond" w:cs="Times New Roman"/>
          <w:sz w:val="24"/>
          <w:szCs w:val="24"/>
        </w:rPr>
        <w:t xml:space="preserve"> relativa alla ricognizione dei servizi</w:t>
      </w:r>
      <w:r w:rsidR="00D9235F" w:rsidRPr="00BB44F3">
        <w:rPr>
          <w:rFonts w:ascii="Garamond" w:hAnsi="Garamond" w:cs="Times New Roman"/>
          <w:sz w:val="24"/>
          <w:szCs w:val="24"/>
        </w:rPr>
        <w:t xml:space="preserve"> pubblici locali dell’anno 2023</w:t>
      </w:r>
      <w:r w:rsidR="00B12D62">
        <w:rPr>
          <w:rStyle w:val="Rimandonotaapidipagina"/>
          <w:rFonts w:ascii="Garamond" w:hAnsi="Garamond" w:cs="Times New Roman"/>
          <w:sz w:val="24"/>
          <w:szCs w:val="24"/>
        </w:rPr>
        <w:footnoteReference w:id="61"/>
      </w:r>
      <w:r w:rsidR="00D9235F" w:rsidRPr="00BB44F3">
        <w:rPr>
          <w:rFonts w:ascii="Garamond" w:hAnsi="Garamond" w:cs="Times New Roman"/>
          <w:sz w:val="24"/>
          <w:szCs w:val="24"/>
        </w:rPr>
        <w:t>.</w:t>
      </w:r>
    </w:p>
    <w:p w14:paraId="5FDB4B4C" w14:textId="77777777" w:rsidR="00B907D2" w:rsidRPr="00BB44F3" w:rsidRDefault="00B907D2" w:rsidP="002B0099">
      <w:pPr>
        <w:pStyle w:val="Titolo1"/>
        <w:ind w:firstLine="454"/>
        <w:jc w:val="both"/>
        <w:rPr>
          <w:rFonts w:ascii="Garamond" w:hAnsi="Garamond"/>
        </w:rPr>
      </w:pPr>
      <w:bookmarkStart w:id="346" w:name="_Toc209095145"/>
      <w:bookmarkStart w:id="347" w:name="_Toc209095206"/>
      <w:bookmarkStart w:id="348" w:name="_Toc209095681"/>
      <w:bookmarkStart w:id="349" w:name="_Toc209095714"/>
      <w:bookmarkStart w:id="350" w:name="_Toc209095747"/>
      <w:bookmarkStart w:id="351" w:name="_Toc209097861"/>
      <w:bookmarkStart w:id="352" w:name="_Toc209097895"/>
      <w:bookmarkStart w:id="353" w:name="_Toc209104542"/>
      <w:bookmarkStart w:id="354" w:name="_Toc209105904"/>
      <w:bookmarkStart w:id="355" w:name="_Toc209106789"/>
      <w:bookmarkStart w:id="356" w:name="_Toc209107528"/>
      <w:bookmarkStart w:id="357" w:name="_Toc209181421"/>
      <w:bookmarkStart w:id="358" w:name="_Toc209181510"/>
      <w:bookmarkStart w:id="359" w:name="_Toc209181566"/>
    </w:p>
    <w:p w14:paraId="46571D7D" w14:textId="75FDA77E" w:rsidR="003B32C6" w:rsidRPr="00BB44F3" w:rsidRDefault="00FB4EC4" w:rsidP="002B0099">
      <w:pPr>
        <w:pStyle w:val="Titolo1"/>
        <w:jc w:val="both"/>
        <w:rPr>
          <w:rFonts w:ascii="Garamond" w:hAnsi="Garamond"/>
        </w:rPr>
      </w:pPr>
      <w:bookmarkStart w:id="360" w:name="_Toc209182717"/>
      <w:bookmarkStart w:id="361" w:name="_Toc209182914"/>
      <w:r w:rsidRPr="00BB44F3">
        <w:rPr>
          <w:rFonts w:ascii="Garamond" w:hAnsi="Garamond"/>
        </w:rPr>
        <w:t>10</w:t>
      </w:r>
      <w:r w:rsidR="008F57CC" w:rsidRPr="00BB44F3">
        <w:rPr>
          <w:rFonts w:ascii="Garamond" w:hAnsi="Garamond"/>
        </w:rPr>
        <w:t xml:space="preserve">. </w:t>
      </w:r>
      <w:r w:rsidR="003B32C6" w:rsidRPr="00BB44F3">
        <w:rPr>
          <w:rFonts w:ascii="Garamond" w:hAnsi="Garamond"/>
        </w:rPr>
        <w:t xml:space="preserve">Le disposizioni contenute nel D. </w:t>
      </w:r>
      <w:proofErr w:type="spellStart"/>
      <w:r w:rsidR="003B32C6" w:rsidRPr="00BB44F3">
        <w:rPr>
          <w:rFonts w:ascii="Garamond" w:hAnsi="Garamond"/>
        </w:rPr>
        <w:t>Lgs</w:t>
      </w:r>
      <w:proofErr w:type="spellEnd"/>
      <w:r w:rsidR="003B32C6" w:rsidRPr="00BB44F3">
        <w:rPr>
          <w:rFonts w:ascii="Garamond" w:hAnsi="Garamond"/>
        </w:rPr>
        <w:t xml:space="preserve">. </w:t>
      </w:r>
      <w:r w:rsidR="00B907D2" w:rsidRPr="00BB44F3">
        <w:rPr>
          <w:rFonts w:ascii="Garamond" w:hAnsi="Garamond"/>
        </w:rPr>
        <w:t xml:space="preserve">n. </w:t>
      </w:r>
      <w:r w:rsidR="003B32C6" w:rsidRPr="00BB44F3">
        <w:rPr>
          <w:rFonts w:ascii="Garamond" w:hAnsi="Garamond"/>
        </w:rPr>
        <w:t xml:space="preserve">175/2016 connesse </w:t>
      </w:r>
      <w:r w:rsidR="00B907D2" w:rsidRPr="00BB44F3">
        <w:rPr>
          <w:rFonts w:ascii="Garamond" w:hAnsi="Garamond"/>
        </w:rPr>
        <w:t xml:space="preserve">a </w:t>
      </w:r>
      <w:r w:rsidR="003B32C6" w:rsidRPr="00BB44F3">
        <w:rPr>
          <w:rFonts w:ascii="Garamond" w:hAnsi="Garamond"/>
        </w:rPr>
        <w:t>tali obblighi di trasparenza e che circondano l’auto</w:t>
      </w:r>
      <w:r w:rsidR="00D31DB3">
        <w:rPr>
          <w:rFonts w:ascii="Garamond" w:hAnsi="Garamond"/>
        </w:rPr>
        <w:t>produzione</w:t>
      </w:r>
      <w:r w:rsidR="003B32C6" w:rsidRPr="00BB44F3">
        <w:rPr>
          <w:rFonts w:ascii="Garamond" w:hAnsi="Garamond"/>
        </w:rPr>
        <w:t xml:space="preserve"> di ulteriori cautele</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E462DC8" w14:textId="4EFA04AF" w:rsidR="0038051B" w:rsidRPr="00BB44F3" w:rsidRDefault="0038051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Sono poi strettamente connesse ai suddetti obblighi di ricognizione periodica e di trasparenza le disposizioni co</w:t>
      </w:r>
      <w:r w:rsidR="00FD03B3" w:rsidRPr="00BB44F3">
        <w:rPr>
          <w:rFonts w:ascii="Garamond" w:hAnsi="Garamond" w:cs="Times New Roman"/>
          <w:sz w:val="24"/>
          <w:szCs w:val="24"/>
        </w:rPr>
        <w:t xml:space="preserve">ntenute nel D. </w:t>
      </w:r>
      <w:proofErr w:type="spellStart"/>
      <w:r w:rsidR="00FD03B3" w:rsidRPr="00BB44F3">
        <w:rPr>
          <w:rFonts w:ascii="Garamond" w:hAnsi="Garamond" w:cs="Times New Roman"/>
          <w:sz w:val="24"/>
          <w:szCs w:val="24"/>
        </w:rPr>
        <w:t>Lgs</w:t>
      </w:r>
      <w:proofErr w:type="spellEnd"/>
      <w:r w:rsidR="00FD03B3" w:rsidRPr="00BB44F3">
        <w:rPr>
          <w:rFonts w:ascii="Garamond" w:hAnsi="Garamond" w:cs="Times New Roman"/>
          <w:sz w:val="24"/>
          <w:szCs w:val="24"/>
        </w:rPr>
        <w:t xml:space="preserve">. n. 175/2016, le quali </w:t>
      </w:r>
      <w:r w:rsidRPr="00BB44F3">
        <w:rPr>
          <w:rFonts w:ascii="Garamond" w:hAnsi="Garamond" w:cs="Times New Roman"/>
          <w:sz w:val="24"/>
          <w:szCs w:val="24"/>
        </w:rPr>
        <w:t>circondano l’autoorganizzazione di ulteriori cautele</w:t>
      </w:r>
      <w:r w:rsidR="00FD03B3" w:rsidRPr="00BB44F3">
        <w:rPr>
          <w:rFonts w:ascii="Garamond" w:hAnsi="Garamond" w:cs="Times New Roman"/>
          <w:sz w:val="24"/>
          <w:szCs w:val="24"/>
        </w:rPr>
        <w:t>.</w:t>
      </w:r>
    </w:p>
    <w:p w14:paraId="213D3F22" w14:textId="72849EB0" w:rsidR="003B32C6" w:rsidRPr="00BB44F3" w:rsidRDefault="00FD03B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In particolare, l’art. 5 di tale Decreto prevede l’</w:t>
      </w:r>
      <w:r w:rsidR="003B32C6" w:rsidRPr="00BB44F3">
        <w:rPr>
          <w:rFonts w:ascii="Garamond" w:hAnsi="Garamond" w:cs="Times New Roman"/>
          <w:sz w:val="24"/>
          <w:szCs w:val="24"/>
        </w:rPr>
        <w:t xml:space="preserve">onere di motivazione analitica dell’atto deliberativo di costituzione di </w:t>
      </w:r>
      <w:r w:rsidRPr="00BB44F3">
        <w:rPr>
          <w:rFonts w:ascii="Garamond" w:hAnsi="Garamond" w:cs="Times New Roman"/>
          <w:sz w:val="24"/>
          <w:szCs w:val="24"/>
        </w:rPr>
        <w:t>s</w:t>
      </w:r>
      <w:r w:rsidR="003B32C6" w:rsidRPr="00BB44F3">
        <w:rPr>
          <w:rFonts w:ascii="Garamond" w:hAnsi="Garamond" w:cs="Times New Roman"/>
          <w:sz w:val="24"/>
          <w:szCs w:val="24"/>
        </w:rPr>
        <w:t>ocietà a partecipazione pubblica, anche nel caso di società mista</w:t>
      </w:r>
      <w:r w:rsidR="0054797D" w:rsidRPr="00BB44F3">
        <w:rPr>
          <w:rFonts w:ascii="Garamond" w:hAnsi="Garamond" w:cs="Times New Roman"/>
          <w:sz w:val="24"/>
          <w:szCs w:val="24"/>
        </w:rPr>
        <w:t>,</w:t>
      </w:r>
      <w:r w:rsidR="003B32C6" w:rsidRPr="00BB44F3">
        <w:rPr>
          <w:rFonts w:ascii="Garamond" w:hAnsi="Garamond" w:cs="Times New Roman"/>
          <w:sz w:val="24"/>
          <w:szCs w:val="24"/>
        </w:rPr>
        <w:t xml:space="preserve"> con riferimento a:</w:t>
      </w:r>
    </w:p>
    <w:p w14:paraId="5C0189C6" w14:textId="4775B0EC" w:rsidR="004E2DCC" w:rsidRPr="00BB44F3" w:rsidRDefault="003B32C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w:t>
      </w:r>
      <w:r w:rsidRPr="00BB44F3">
        <w:rPr>
          <w:rFonts w:ascii="Garamond" w:hAnsi="Garamond" w:cs="Times New Roman"/>
          <w:i/>
          <w:sz w:val="24"/>
          <w:szCs w:val="24"/>
        </w:rPr>
        <w:t>la necessità della società per il perseguimento delle finalità istituzionali di cui all'articolo 4</w:t>
      </w:r>
      <w:r w:rsidR="004E2DCC" w:rsidRPr="00BB44F3">
        <w:rPr>
          <w:rFonts w:ascii="Garamond" w:hAnsi="Garamond" w:cs="Times New Roman"/>
          <w:sz w:val="24"/>
          <w:szCs w:val="24"/>
        </w:rPr>
        <w:t>”;</w:t>
      </w:r>
    </w:p>
    <w:p w14:paraId="3B80B34C" w14:textId="77777777" w:rsidR="004E2DCC" w:rsidRPr="00BB44F3" w:rsidRDefault="004E2DCC" w:rsidP="002B0099">
      <w:pPr>
        <w:spacing w:after="0" w:line="240" w:lineRule="auto"/>
        <w:ind w:firstLine="454"/>
        <w:contextualSpacing/>
        <w:jc w:val="both"/>
        <w:rPr>
          <w:rFonts w:ascii="Garamond" w:hAnsi="Garamond" w:cs="Times New Roman"/>
          <w:i/>
          <w:sz w:val="24"/>
          <w:szCs w:val="24"/>
        </w:rPr>
      </w:pPr>
      <w:r w:rsidRPr="00BB44F3">
        <w:rPr>
          <w:rFonts w:ascii="Garamond" w:hAnsi="Garamond" w:cs="Times New Roman"/>
          <w:sz w:val="24"/>
          <w:szCs w:val="24"/>
        </w:rPr>
        <w:t>- “</w:t>
      </w:r>
      <w:r w:rsidR="003B32C6" w:rsidRPr="00BB44F3">
        <w:rPr>
          <w:rFonts w:ascii="Garamond" w:hAnsi="Garamond" w:cs="Times New Roman"/>
          <w:i/>
          <w:sz w:val="24"/>
          <w:szCs w:val="24"/>
        </w:rPr>
        <w:t>le ragioni e le finalità che giustificano tale scelta, anche sul piano della convenienza economica e della sostenibilità finanziaria, nonché di gestione diretta o esternalizzata del servizio affidato</w:t>
      </w:r>
      <w:r w:rsidRPr="00BB44F3">
        <w:rPr>
          <w:rFonts w:ascii="Garamond" w:hAnsi="Garamond" w:cs="Times New Roman"/>
          <w:sz w:val="24"/>
          <w:szCs w:val="24"/>
        </w:rPr>
        <w:t>”</w:t>
      </w:r>
      <w:r w:rsidRPr="00BB44F3">
        <w:rPr>
          <w:rFonts w:ascii="Garamond" w:hAnsi="Garamond" w:cs="Times New Roman"/>
          <w:i/>
          <w:sz w:val="24"/>
          <w:szCs w:val="24"/>
        </w:rPr>
        <w:t>;</w:t>
      </w:r>
      <w:r w:rsidR="003B32C6" w:rsidRPr="00BB44F3">
        <w:rPr>
          <w:rFonts w:ascii="Garamond" w:hAnsi="Garamond" w:cs="Times New Roman"/>
          <w:i/>
          <w:sz w:val="24"/>
          <w:szCs w:val="24"/>
        </w:rPr>
        <w:t xml:space="preserve"> </w:t>
      </w:r>
    </w:p>
    <w:p w14:paraId="17E76EB6" w14:textId="0AE33846" w:rsidR="003B32C6" w:rsidRPr="00BB44F3" w:rsidRDefault="004E2DCC"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w:t>
      </w:r>
      <w:r w:rsidR="003B32C6" w:rsidRPr="00BB44F3">
        <w:rPr>
          <w:rFonts w:ascii="Garamond" w:hAnsi="Garamond" w:cs="Times New Roman"/>
          <w:i/>
          <w:sz w:val="24"/>
          <w:szCs w:val="24"/>
        </w:rPr>
        <w:t>compatibilità della scelta con i principi di efficienza, di efficacia e di economicità dell'azione amministrativa</w:t>
      </w:r>
      <w:r w:rsidR="003B32C6" w:rsidRPr="00BB44F3">
        <w:rPr>
          <w:rFonts w:ascii="Garamond" w:hAnsi="Garamond" w:cs="Times New Roman"/>
          <w:sz w:val="24"/>
          <w:szCs w:val="24"/>
        </w:rPr>
        <w:t>”;</w:t>
      </w:r>
    </w:p>
    <w:p w14:paraId="3E49CC5C" w14:textId="77777777" w:rsidR="003B32C6" w:rsidRPr="00BB44F3" w:rsidRDefault="003B32C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la “</w:t>
      </w:r>
      <w:r w:rsidRPr="00BB44F3">
        <w:rPr>
          <w:rFonts w:ascii="Garamond" w:hAnsi="Garamond" w:cs="Times New Roman"/>
          <w:i/>
          <w:sz w:val="24"/>
          <w:szCs w:val="24"/>
        </w:rPr>
        <w:t>compatibilità dell'intervento finanziario previsto con le norme dei trattati europei e, in particolare, con la disciplina europea in materia di aiuti di Stato alle imprese</w:t>
      </w:r>
      <w:r w:rsidRPr="00BB44F3">
        <w:rPr>
          <w:rFonts w:ascii="Garamond" w:hAnsi="Garamond" w:cs="Times New Roman"/>
          <w:sz w:val="24"/>
          <w:szCs w:val="24"/>
        </w:rPr>
        <w:t>”.</w:t>
      </w:r>
    </w:p>
    <w:p w14:paraId="119BFCB8" w14:textId="7E3ABAC1" w:rsidR="003B32C6" w:rsidRPr="00BB44F3" w:rsidRDefault="003B32C6"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atto deliberativo va inviato all’AGCM ai fini dell’esercizio dei poteri di cui all’art. 21-bis della L.</w:t>
      </w:r>
      <w:r w:rsidR="00FD03B3" w:rsidRPr="00BB44F3">
        <w:rPr>
          <w:rFonts w:ascii="Garamond" w:hAnsi="Garamond" w:cs="Times New Roman"/>
          <w:sz w:val="24"/>
          <w:szCs w:val="24"/>
        </w:rPr>
        <w:t xml:space="preserve"> n.</w:t>
      </w:r>
      <w:r w:rsidRPr="00BB44F3">
        <w:rPr>
          <w:rFonts w:ascii="Garamond" w:hAnsi="Garamond" w:cs="Times New Roman"/>
          <w:sz w:val="24"/>
          <w:szCs w:val="24"/>
        </w:rPr>
        <w:t xml:space="preserve"> 287/1990 ed alla Corte dei Conti che entro il termine di 60 giorni delibera in ordine alla conformità dell'atto a quanto disposto dal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 xml:space="preserve">. </w:t>
      </w:r>
      <w:r w:rsidR="00FD03B3" w:rsidRPr="00BB44F3">
        <w:rPr>
          <w:rFonts w:ascii="Garamond" w:hAnsi="Garamond" w:cs="Times New Roman"/>
          <w:sz w:val="24"/>
          <w:szCs w:val="24"/>
        </w:rPr>
        <w:t xml:space="preserve">n. </w:t>
      </w:r>
      <w:r w:rsidRPr="00BB44F3">
        <w:rPr>
          <w:rFonts w:ascii="Garamond" w:hAnsi="Garamond" w:cs="Times New Roman"/>
          <w:sz w:val="24"/>
          <w:szCs w:val="24"/>
        </w:rPr>
        <w:t>175/2016 “</w:t>
      </w:r>
      <w:r w:rsidRPr="00BB44F3">
        <w:rPr>
          <w:rFonts w:ascii="Garamond" w:hAnsi="Garamond" w:cs="Times New Roman"/>
          <w:i/>
          <w:sz w:val="24"/>
          <w:szCs w:val="24"/>
        </w:rPr>
        <w:t>con particolare riguardo alla sostenibilità finanziaria e alla compatibilità della scelta con i principi di efficienza, di efficacia e di economicità dell'azione amministrativa</w:t>
      </w:r>
      <w:r w:rsidRPr="00BB44F3">
        <w:rPr>
          <w:rFonts w:ascii="Garamond" w:hAnsi="Garamond" w:cs="Times New Roman"/>
          <w:sz w:val="24"/>
          <w:szCs w:val="24"/>
        </w:rPr>
        <w:t>”.</w:t>
      </w:r>
    </w:p>
    <w:p w14:paraId="4DB4F085" w14:textId="53594F94" w:rsidR="00FD03B3" w:rsidRPr="00BB44F3" w:rsidRDefault="00FD03B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w:t>
      </w:r>
      <w:r w:rsidR="00AA457C" w:rsidRPr="00BB44F3">
        <w:rPr>
          <w:rFonts w:ascii="Garamond" w:hAnsi="Garamond" w:cs="Times New Roman"/>
          <w:sz w:val="24"/>
          <w:szCs w:val="24"/>
        </w:rPr>
        <w:t xml:space="preserve">art. 20 </w:t>
      </w:r>
      <w:r w:rsidR="00CB2880">
        <w:rPr>
          <w:rFonts w:ascii="Garamond" w:hAnsi="Garamond" w:cs="Times New Roman"/>
          <w:sz w:val="24"/>
          <w:szCs w:val="24"/>
        </w:rPr>
        <w:t xml:space="preserve">del </w:t>
      </w:r>
      <w:r w:rsidR="00CB2880" w:rsidRPr="00BB44F3">
        <w:rPr>
          <w:rFonts w:ascii="Garamond" w:hAnsi="Garamond" w:cs="Times New Roman"/>
          <w:sz w:val="24"/>
          <w:szCs w:val="24"/>
        </w:rPr>
        <w:t xml:space="preserve">D. </w:t>
      </w:r>
      <w:proofErr w:type="spellStart"/>
      <w:r w:rsidR="00CB2880" w:rsidRPr="00BB44F3">
        <w:rPr>
          <w:rFonts w:ascii="Garamond" w:hAnsi="Garamond" w:cs="Times New Roman"/>
          <w:sz w:val="24"/>
          <w:szCs w:val="24"/>
        </w:rPr>
        <w:t>Lgs</w:t>
      </w:r>
      <w:proofErr w:type="spellEnd"/>
      <w:r w:rsidR="00CB2880" w:rsidRPr="00BB44F3">
        <w:rPr>
          <w:rFonts w:ascii="Garamond" w:hAnsi="Garamond" w:cs="Times New Roman"/>
          <w:sz w:val="24"/>
          <w:szCs w:val="24"/>
        </w:rPr>
        <w:t>. n. 175/2016</w:t>
      </w:r>
      <w:r w:rsidR="00CB2880">
        <w:rPr>
          <w:rFonts w:ascii="Garamond" w:hAnsi="Garamond" w:cs="Times New Roman"/>
          <w:sz w:val="24"/>
          <w:szCs w:val="24"/>
        </w:rPr>
        <w:t xml:space="preserve"> </w:t>
      </w:r>
      <w:r w:rsidRPr="00BB44F3">
        <w:rPr>
          <w:rFonts w:ascii="Garamond" w:hAnsi="Garamond" w:cs="Times New Roman"/>
          <w:sz w:val="24"/>
          <w:szCs w:val="24"/>
        </w:rPr>
        <w:t>riguarda poi la</w:t>
      </w:r>
      <w:r w:rsidR="00AA457C" w:rsidRPr="00BB44F3">
        <w:rPr>
          <w:rFonts w:ascii="Garamond" w:hAnsi="Garamond" w:cs="Times New Roman"/>
          <w:sz w:val="24"/>
          <w:szCs w:val="24"/>
        </w:rPr>
        <w:t xml:space="preserve"> razionalizzazione periodica delle partecipazioni pubbliche</w:t>
      </w:r>
      <w:r w:rsidRPr="00BB44F3">
        <w:rPr>
          <w:rFonts w:ascii="Garamond" w:hAnsi="Garamond" w:cs="Times New Roman"/>
          <w:sz w:val="24"/>
          <w:szCs w:val="24"/>
        </w:rPr>
        <w:t>.</w:t>
      </w:r>
    </w:p>
    <w:p w14:paraId="0526B7D6" w14:textId="478EFEBD" w:rsidR="00AA457C" w:rsidRPr="00BB44F3" w:rsidRDefault="00FD03B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Più nel dettaglio,</w:t>
      </w:r>
      <w:r w:rsidR="00AA457C" w:rsidRPr="00BB44F3">
        <w:rPr>
          <w:rFonts w:ascii="Garamond" w:hAnsi="Garamond" w:cs="Times New Roman"/>
          <w:sz w:val="24"/>
          <w:szCs w:val="24"/>
        </w:rPr>
        <w:t xml:space="preserve"> le amministrazioni pubbliche hanno l’obbligo di effettuare annualmente con apposito provvedimento “</w:t>
      </w:r>
      <w:r w:rsidR="00AA457C" w:rsidRPr="00BB44F3">
        <w:rPr>
          <w:rFonts w:ascii="Garamond" w:hAnsi="Garamond" w:cs="Times New Roman"/>
          <w:i/>
          <w:sz w:val="24"/>
          <w:szCs w:val="24"/>
        </w:rPr>
        <w:t>un'analisi dell'assetto complessivo delle società in cui detengono partecipazioni, dirette o indirette, predisponendo, ove ricorrano i presupposti di cui al comma 2, un piano di riassetto per la loro razionalizzazione, fusione o soppressione, anche mediante messa in liquidazione o cessione</w:t>
      </w:r>
      <w:r w:rsidRPr="00BB44F3">
        <w:rPr>
          <w:rFonts w:ascii="Garamond" w:hAnsi="Garamond" w:cs="Times New Roman"/>
          <w:sz w:val="24"/>
          <w:szCs w:val="24"/>
        </w:rPr>
        <w:t>”.</w:t>
      </w:r>
    </w:p>
    <w:p w14:paraId="153B05D7" w14:textId="56FE3A77" w:rsidR="00AA457C" w:rsidRPr="00BB44F3" w:rsidRDefault="00FD03B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I</w:t>
      </w:r>
      <w:r w:rsidR="00AA457C" w:rsidRPr="00BB44F3">
        <w:rPr>
          <w:rFonts w:ascii="Garamond" w:hAnsi="Garamond" w:cs="Times New Roman"/>
          <w:sz w:val="24"/>
          <w:szCs w:val="24"/>
        </w:rPr>
        <w:t xml:space="preserve">l provvedimento recante l’analisi annuale </w:t>
      </w:r>
      <w:r w:rsidR="00650D1F" w:rsidRPr="00BB44F3">
        <w:rPr>
          <w:rFonts w:ascii="Garamond" w:hAnsi="Garamond" w:cs="Times New Roman"/>
          <w:sz w:val="24"/>
          <w:szCs w:val="24"/>
        </w:rPr>
        <w:t>(</w:t>
      </w:r>
      <w:r w:rsidR="00AA457C" w:rsidRPr="00BB44F3">
        <w:rPr>
          <w:rFonts w:ascii="Garamond" w:hAnsi="Garamond" w:cs="Times New Roman"/>
          <w:sz w:val="24"/>
          <w:szCs w:val="24"/>
        </w:rPr>
        <w:t>e l’eventuale piano di riassetto</w:t>
      </w:r>
      <w:r w:rsidR="00650D1F" w:rsidRPr="00BB44F3">
        <w:rPr>
          <w:rFonts w:ascii="Garamond" w:hAnsi="Garamond" w:cs="Times New Roman"/>
          <w:sz w:val="24"/>
          <w:szCs w:val="24"/>
        </w:rPr>
        <w:t>)</w:t>
      </w:r>
      <w:r w:rsidR="00AA457C" w:rsidRPr="00BB44F3">
        <w:rPr>
          <w:rFonts w:ascii="Garamond" w:hAnsi="Garamond" w:cs="Times New Roman"/>
          <w:sz w:val="24"/>
          <w:szCs w:val="24"/>
        </w:rPr>
        <w:t xml:space="preserve"> deve essere inviat</w:t>
      </w:r>
      <w:r w:rsidR="00650D1F" w:rsidRPr="00BB44F3">
        <w:rPr>
          <w:rFonts w:ascii="Garamond" w:hAnsi="Garamond" w:cs="Times New Roman"/>
          <w:sz w:val="24"/>
          <w:szCs w:val="24"/>
        </w:rPr>
        <w:t>o</w:t>
      </w:r>
      <w:r w:rsidR="00AA457C" w:rsidRPr="00BB44F3">
        <w:rPr>
          <w:rFonts w:ascii="Garamond" w:hAnsi="Garamond" w:cs="Times New Roman"/>
          <w:sz w:val="24"/>
          <w:szCs w:val="24"/>
        </w:rPr>
        <w:t xml:space="preserve"> alla </w:t>
      </w:r>
      <w:r w:rsidRPr="00BB44F3">
        <w:rPr>
          <w:rFonts w:ascii="Garamond" w:hAnsi="Garamond" w:cs="Times New Roman"/>
          <w:sz w:val="24"/>
          <w:szCs w:val="24"/>
        </w:rPr>
        <w:t>S</w:t>
      </w:r>
      <w:r w:rsidR="00AA457C" w:rsidRPr="00BB44F3">
        <w:rPr>
          <w:rFonts w:ascii="Garamond" w:hAnsi="Garamond" w:cs="Times New Roman"/>
          <w:sz w:val="24"/>
          <w:szCs w:val="24"/>
        </w:rPr>
        <w:t>ezione di controllo della Corte dei Conti.</w:t>
      </w:r>
    </w:p>
    <w:p w14:paraId="19974C2D" w14:textId="77777777" w:rsidR="0064450E" w:rsidRPr="00BB44F3" w:rsidRDefault="0064450E" w:rsidP="002B0099">
      <w:pPr>
        <w:spacing w:after="0" w:line="240" w:lineRule="auto"/>
        <w:ind w:firstLine="454"/>
        <w:contextualSpacing/>
        <w:jc w:val="both"/>
        <w:rPr>
          <w:rFonts w:ascii="Garamond" w:hAnsi="Garamond" w:cs="Times New Roman"/>
          <w:sz w:val="24"/>
          <w:szCs w:val="24"/>
        </w:rPr>
      </w:pPr>
    </w:p>
    <w:p w14:paraId="7E4AA11C" w14:textId="621341E0" w:rsidR="008A28DC" w:rsidRPr="00BB44F3" w:rsidRDefault="00FB4EC4" w:rsidP="002B0099">
      <w:pPr>
        <w:pStyle w:val="Titolo1"/>
        <w:jc w:val="both"/>
        <w:rPr>
          <w:rFonts w:ascii="Garamond" w:eastAsiaTheme="minorHAnsi" w:hAnsi="Garamond"/>
        </w:rPr>
      </w:pPr>
      <w:bookmarkStart w:id="362" w:name="_Toc209095146"/>
      <w:bookmarkStart w:id="363" w:name="_Toc209095207"/>
      <w:bookmarkStart w:id="364" w:name="_Toc209095682"/>
      <w:bookmarkStart w:id="365" w:name="_Toc209095715"/>
      <w:bookmarkStart w:id="366" w:name="_Toc209095748"/>
      <w:bookmarkStart w:id="367" w:name="_Toc209097862"/>
      <w:bookmarkStart w:id="368" w:name="_Toc209097896"/>
      <w:bookmarkStart w:id="369" w:name="_Toc209104543"/>
      <w:bookmarkStart w:id="370" w:name="_Toc209105905"/>
      <w:bookmarkStart w:id="371" w:name="_Toc209106790"/>
      <w:bookmarkStart w:id="372" w:name="_Toc209107529"/>
      <w:bookmarkStart w:id="373" w:name="_Toc209181422"/>
      <w:bookmarkStart w:id="374" w:name="_Toc209181511"/>
      <w:bookmarkStart w:id="375" w:name="_Toc209181567"/>
      <w:bookmarkStart w:id="376" w:name="_Toc209182718"/>
      <w:bookmarkStart w:id="377" w:name="_Toc209182915"/>
      <w:r w:rsidRPr="00BB44F3">
        <w:rPr>
          <w:rFonts w:ascii="Garamond" w:hAnsi="Garamond"/>
        </w:rPr>
        <w:t>11</w:t>
      </w:r>
      <w:r w:rsidR="008F57CC" w:rsidRPr="00BB44F3">
        <w:rPr>
          <w:rFonts w:ascii="Garamond" w:hAnsi="Garamond"/>
        </w:rPr>
        <w:t xml:space="preserve">. </w:t>
      </w:r>
      <w:r w:rsidR="008A28DC" w:rsidRPr="00BB44F3">
        <w:rPr>
          <w:rFonts w:ascii="Garamond" w:hAnsi="Garamond"/>
        </w:rPr>
        <w:t>Recenti prospettive di ulteriore riforma contenute nel d</w:t>
      </w:r>
      <w:r w:rsidR="008A28DC" w:rsidRPr="00BB44F3">
        <w:rPr>
          <w:rFonts w:ascii="Garamond" w:eastAsiaTheme="minorHAnsi" w:hAnsi="Garamond"/>
        </w:rPr>
        <w:t xml:space="preserve">isegno di </w:t>
      </w:r>
      <w:r w:rsidR="00885E3A" w:rsidRPr="00BB44F3">
        <w:rPr>
          <w:rFonts w:ascii="Garamond" w:eastAsiaTheme="minorHAnsi" w:hAnsi="Garamond"/>
        </w:rPr>
        <w:t>l</w:t>
      </w:r>
      <w:r w:rsidR="008A28DC" w:rsidRPr="00BB44F3">
        <w:rPr>
          <w:rFonts w:ascii="Garamond" w:eastAsiaTheme="minorHAnsi" w:hAnsi="Garamond"/>
        </w:rPr>
        <w:t>egge annuale per il Mercato e la Concorrenza 2025</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50C8D26" w14:textId="4FD63EA6" w:rsidR="00655B8B" w:rsidRPr="00BB44F3" w:rsidRDefault="00971FF3" w:rsidP="002B0099">
      <w:pPr>
        <w:pStyle w:val="Nessunaspaziatura"/>
        <w:ind w:firstLine="454"/>
        <w:contextualSpacing/>
        <w:jc w:val="both"/>
        <w:rPr>
          <w:rFonts w:ascii="Garamond" w:hAnsi="Garamond" w:cs="Times New Roman"/>
          <w:sz w:val="24"/>
          <w:szCs w:val="24"/>
        </w:rPr>
      </w:pPr>
      <w:r w:rsidRPr="00BB44F3">
        <w:rPr>
          <w:rFonts w:ascii="Garamond" w:hAnsi="Garamond" w:cs="Times New Roman"/>
          <w:sz w:val="24"/>
          <w:szCs w:val="24"/>
        </w:rPr>
        <w:t>Infine, va dato atto che i</w:t>
      </w:r>
      <w:r w:rsidR="00655B8B" w:rsidRPr="00BB44F3">
        <w:rPr>
          <w:rFonts w:ascii="Garamond" w:hAnsi="Garamond" w:cs="Times New Roman"/>
          <w:sz w:val="24"/>
          <w:szCs w:val="24"/>
        </w:rPr>
        <w:t xml:space="preserve">n data 10.7.2025 è stato presentato da parte del Ministro delle imprese e del made in </w:t>
      </w:r>
      <w:proofErr w:type="spellStart"/>
      <w:r w:rsidR="00655B8B" w:rsidRPr="00BB44F3">
        <w:rPr>
          <w:rFonts w:ascii="Garamond" w:hAnsi="Garamond" w:cs="Times New Roman"/>
          <w:sz w:val="24"/>
          <w:szCs w:val="24"/>
        </w:rPr>
        <w:t>Italy</w:t>
      </w:r>
      <w:proofErr w:type="spellEnd"/>
      <w:r w:rsidR="00655B8B" w:rsidRPr="00BB44F3">
        <w:rPr>
          <w:rFonts w:ascii="Garamond" w:hAnsi="Garamond" w:cs="Times New Roman"/>
          <w:sz w:val="24"/>
          <w:szCs w:val="24"/>
        </w:rPr>
        <w:t xml:space="preserve"> il disegno di legge recante la legge annuale per il mercato e la concorrenza per il 2025.</w:t>
      </w:r>
    </w:p>
    <w:p w14:paraId="0A316325" w14:textId="236EDFE0" w:rsidR="00655B8B" w:rsidRPr="00BB44F3" w:rsidRDefault="00655B8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Nella presente sede risultano di interesse gli artt. 1 e 2</w:t>
      </w:r>
      <w:r w:rsidR="00971FF3" w:rsidRPr="00BB44F3">
        <w:rPr>
          <w:rFonts w:ascii="Garamond" w:hAnsi="Garamond" w:cs="Times New Roman"/>
          <w:sz w:val="24"/>
          <w:szCs w:val="24"/>
        </w:rPr>
        <w:t xml:space="preserve"> di tale disegno di legge</w:t>
      </w:r>
      <w:r w:rsidRPr="00BB44F3">
        <w:rPr>
          <w:rFonts w:ascii="Garamond" w:hAnsi="Garamond" w:cs="Times New Roman"/>
          <w:sz w:val="24"/>
          <w:szCs w:val="24"/>
        </w:rPr>
        <w:t>.</w:t>
      </w:r>
    </w:p>
    <w:p w14:paraId="46D71A28" w14:textId="43FD4573" w:rsidR="00655B8B" w:rsidRPr="00BB44F3" w:rsidRDefault="00655B8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lastRenderedPageBreak/>
        <w:t>Tali disposizioni sono volte ad introdurre misure correttive e sanzioni in seguito a ricognizione sull’andamento gestionale dei servizi pubblici locali che</w:t>
      </w:r>
      <w:r w:rsidR="00971FF3" w:rsidRPr="00BB44F3">
        <w:rPr>
          <w:rFonts w:ascii="Garamond" w:hAnsi="Garamond" w:cs="Times New Roman"/>
          <w:sz w:val="24"/>
          <w:szCs w:val="24"/>
        </w:rPr>
        <w:t xml:space="preserve"> abbia dato atto di una gestione non</w:t>
      </w:r>
      <w:r w:rsidRPr="00BB44F3">
        <w:rPr>
          <w:rFonts w:ascii="Garamond" w:hAnsi="Garamond" w:cs="Times New Roman"/>
          <w:sz w:val="24"/>
          <w:szCs w:val="24"/>
        </w:rPr>
        <w:t xml:space="preserve"> soddisfacente</w:t>
      </w:r>
      <w:r w:rsidRPr="00BB44F3">
        <w:rPr>
          <w:rStyle w:val="Rimandonotaapidipagina"/>
          <w:rFonts w:ascii="Garamond" w:hAnsi="Garamond" w:cs="Times New Roman"/>
          <w:sz w:val="24"/>
          <w:szCs w:val="24"/>
        </w:rPr>
        <w:footnoteReference w:id="62"/>
      </w:r>
      <w:r w:rsidRPr="00BB44F3">
        <w:rPr>
          <w:rFonts w:ascii="Garamond" w:hAnsi="Garamond" w:cs="Times New Roman"/>
          <w:sz w:val="24"/>
          <w:szCs w:val="24"/>
        </w:rPr>
        <w:t>.</w:t>
      </w:r>
    </w:p>
    <w:p w14:paraId="0B6744F0" w14:textId="67EE3407" w:rsidR="00655B8B" w:rsidRPr="00BB44F3" w:rsidRDefault="00655B8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L’art. 1, rubricato “</w:t>
      </w:r>
      <w:r w:rsidRPr="00BB44F3">
        <w:rPr>
          <w:rFonts w:ascii="Garamond" w:hAnsi="Garamond" w:cs="Times New Roman"/>
          <w:i/>
          <w:sz w:val="24"/>
          <w:szCs w:val="24"/>
        </w:rPr>
        <w:t>Misure per il rafforzamento delle attività di verifica sulla situazione gestionale dei servizi pubblici locali</w:t>
      </w:r>
      <w:r w:rsidRPr="00BB44F3">
        <w:rPr>
          <w:rFonts w:ascii="Garamond" w:hAnsi="Garamond" w:cs="Times New Roman"/>
          <w:sz w:val="24"/>
          <w:szCs w:val="24"/>
        </w:rPr>
        <w:t xml:space="preserve">”, introduce tre nuovi commi all’articolo 30 del D. </w:t>
      </w:r>
      <w:proofErr w:type="spellStart"/>
      <w:r w:rsidRPr="00BB44F3">
        <w:rPr>
          <w:rFonts w:ascii="Garamond" w:hAnsi="Garamond" w:cs="Times New Roman"/>
          <w:sz w:val="24"/>
          <w:szCs w:val="24"/>
        </w:rPr>
        <w:t>Lgs</w:t>
      </w:r>
      <w:proofErr w:type="spellEnd"/>
      <w:r w:rsidRPr="00BB44F3">
        <w:rPr>
          <w:rFonts w:ascii="Garamond" w:hAnsi="Garamond" w:cs="Times New Roman"/>
          <w:sz w:val="24"/>
          <w:szCs w:val="24"/>
        </w:rPr>
        <w:t>.</w:t>
      </w:r>
      <w:r w:rsidR="00971FF3" w:rsidRPr="00BB44F3">
        <w:rPr>
          <w:rFonts w:ascii="Garamond" w:hAnsi="Garamond" w:cs="Times New Roman"/>
          <w:sz w:val="24"/>
          <w:szCs w:val="24"/>
        </w:rPr>
        <w:t xml:space="preserve"> n.</w:t>
      </w:r>
      <w:r w:rsidRPr="00BB44F3">
        <w:rPr>
          <w:rFonts w:ascii="Garamond" w:hAnsi="Garamond" w:cs="Times New Roman"/>
          <w:sz w:val="24"/>
          <w:szCs w:val="24"/>
        </w:rPr>
        <w:t xml:space="preserve"> 201/2022 nell’ottica di rafforzare la vigilanza e i controlli degli enti locali sulla situazione gestionale dei servizi pubblici locali.</w:t>
      </w:r>
    </w:p>
    <w:p w14:paraId="29642247" w14:textId="25A2BF80" w:rsidR="00655B8B" w:rsidRPr="00BB44F3" w:rsidRDefault="00655B8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Tale disposizione interviene rispetto alla criticità registratasi per cui pur in presenza di dati gestionali negativi, gli enti locali non procedo</w:t>
      </w:r>
      <w:r w:rsidR="009A20ED">
        <w:rPr>
          <w:rFonts w:ascii="Garamond" w:hAnsi="Garamond" w:cs="Times New Roman"/>
          <w:sz w:val="24"/>
          <w:szCs w:val="24"/>
        </w:rPr>
        <w:t>no</w:t>
      </w:r>
      <w:r w:rsidRPr="00BB44F3">
        <w:rPr>
          <w:rFonts w:ascii="Garamond" w:hAnsi="Garamond" w:cs="Times New Roman"/>
          <w:sz w:val="24"/>
          <w:szCs w:val="24"/>
        </w:rPr>
        <w:t xml:space="preserve"> all’assunzione di alcuna iniziativa sostanziale verso i gestori</w:t>
      </w:r>
      <w:r w:rsidR="00082BD9" w:rsidRPr="00BB44F3">
        <w:rPr>
          <w:rFonts w:ascii="Garamond" w:hAnsi="Garamond" w:cs="Times New Roman"/>
          <w:sz w:val="24"/>
          <w:szCs w:val="24"/>
        </w:rPr>
        <w:t>.</w:t>
      </w:r>
    </w:p>
    <w:p w14:paraId="2824A593" w14:textId="34A91D50" w:rsidR="007137DD" w:rsidRPr="00BB44F3" w:rsidRDefault="00655B8B"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Più nel dettaglio, </w:t>
      </w:r>
      <w:r w:rsidR="007137DD" w:rsidRPr="00BB44F3">
        <w:rPr>
          <w:rFonts w:ascii="Garamond" w:hAnsi="Garamond" w:cs="Times New Roman"/>
          <w:sz w:val="24"/>
          <w:szCs w:val="24"/>
        </w:rPr>
        <w:t xml:space="preserve">con riferimento ai nuovi commi che dovrebbero essere inseriti nell’art. 30 del D. </w:t>
      </w:r>
      <w:proofErr w:type="spellStart"/>
      <w:r w:rsidR="007137DD" w:rsidRPr="00BB44F3">
        <w:rPr>
          <w:rFonts w:ascii="Garamond" w:hAnsi="Garamond" w:cs="Times New Roman"/>
          <w:sz w:val="24"/>
          <w:szCs w:val="24"/>
        </w:rPr>
        <w:t>Lgs</w:t>
      </w:r>
      <w:proofErr w:type="spellEnd"/>
      <w:r w:rsidR="007137DD" w:rsidRPr="00BB44F3">
        <w:rPr>
          <w:rFonts w:ascii="Garamond" w:hAnsi="Garamond" w:cs="Times New Roman"/>
          <w:sz w:val="24"/>
          <w:szCs w:val="24"/>
        </w:rPr>
        <w:t xml:space="preserve">. </w:t>
      </w:r>
      <w:r w:rsidR="009A20ED">
        <w:rPr>
          <w:rFonts w:ascii="Garamond" w:hAnsi="Garamond" w:cs="Times New Roman"/>
          <w:sz w:val="24"/>
          <w:szCs w:val="24"/>
        </w:rPr>
        <w:t xml:space="preserve">n. </w:t>
      </w:r>
      <w:r w:rsidR="007137DD" w:rsidRPr="00BB44F3">
        <w:rPr>
          <w:rFonts w:ascii="Garamond" w:hAnsi="Garamond" w:cs="Times New Roman"/>
          <w:sz w:val="24"/>
          <w:szCs w:val="24"/>
        </w:rPr>
        <w:t>201/2022:</w:t>
      </w:r>
    </w:p>
    <w:p w14:paraId="781C1E79" w14:textId="29CA70FA" w:rsidR="00655B8B" w:rsidRPr="00BB44F3" w:rsidRDefault="007137DD"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 </w:t>
      </w:r>
      <w:r w:rsidR="00655B8B" w:rsidRPr="00BB44F3">
        <w:rPr>
          <w:rFonts w:ascii="Garamond" w:hAnsi="Garamond" w:cs="Times New Roman"/>
          <w:sz w:val="24"/>
          <w:szCs w:val="24"/>
        </w:rPr>
        <w:t xml:space="preserve">il comma 1-bis dell’art. 30 </w:t>
      </w:r>
      <w:r w:rsidR="00100BCE">
        <w:rPr>
          <w:rFonts w:ascii="Garamond" w:hAnsi="Garamond" w:cs="Times New Roman"/>
          <w:sz w:val="24"/>
          <w:szCs w:val="24"/>
        </w:rPr>
        <w:t>impone</w:t>
      </w:r>
      <w:r w:rsidR="00655B8B" w:rsidRPr="00BB44F3">
        <w:rPr>
          <w:rFonts w:ascii="Garamond" w:hAnsi="Garamond" w:cs="Times New Roman"/>
          <w:sz w:val="24"/>
          <w:szCs w:val="24"/>
        </w:rPr>
        <w:t xml:space="preserve"> che </w:t>
      </w:r>
      <w:r w:rsidRPr="00BB44F3">
        <w:rPr>
          <w:rFonts w:ascii="Garamond" w:hAnsi="Garamond" w:cs="Times New Roman"/>
          <w:sz w:val="24"/>
          <w:szCs w:val="24"/>
        </w:rPr>
        <w:t>“</w:t>
      </w:r>
      <w:r w:rsidR="00655B8B" w:rsidRPr="00BB44F3">
        <w:rPr>
          <w:rFonts w:ascii="Garamond" w:hAnsi="Garamond" w:cs="Times New Roman"/>
          <w:i/>
          <w:sz w:val="24"/>
          <w:szCs w:val="24"/>
        </w:rPr>
        <w:t>nella ricognizione periodica della situazione gestionale dei servizi pubblici locali l’ente locale individui le possibili cause dell'eventuale andamento negativo, tenendo conto delle valutazioni conclusive sull'andamento della gestione di ciascun servizio affidato. Se da tali valutazioni emerge un andamento gestionale</w:t>
      </w:r>
      <w:r w:rsidRPr="00BB44F3">
        <w:rPr>
          <w:rFonts w:ascii="Garamond" w:hAnsi="Garamond" w:cs="Times New Roman"/>
          <w:i/>
          <w:sz w:val="24"/>
          <w:szCs w:val="24"/>
        </w:rPr>
        <w:t xml:space="preserve"> </w:t>
      </w:r>
      <w:r w:rsidR="00655B8B" w:rsidRPr="00BB44F3">
        <w:rPr>
          <w:rFonts w:ascii="Garamond" w:hAnsi="Garamond" w:cs="Times New Roman"/>
          <w:i/>
          <w:sz w:val="24"/>
          <w:szCs w:val="24"/>
        </w:rPr>
        <w:t>insoddisfacente per cause dipendenti dall'attività del gestore, l’ente adotta un</w:t>
      </w:r>
      <w:r w:rsidRPr="00BB44F3">
        <w:rPr>
          <w:rFonts w:ascii="Garamond" w:hAnsi="Garamond" w:cs="Times New Roman"/>
          <w:i/>
          <w:sz w:val="24"/>
          <w:szCs w:val="24"/>
        </w:rPr>
        <w:t xml:space="preserve"> </w:t>
      </w:r>
      <w:r w:rsidR="00655B8B" w:rsidRPr="00BB44F3">
        <w:rPr>
          <w:rFonts w:ascii="Garamond" w:hAnsi="Garamond" w:cs="Times New Roman"/>
          <w:i/>
          <w:sz w:val="24"/>
          <w:szCs w:val="24"/>
        </w:rPr>
        <w:t>atto di indirizzo, allegato alla ricognizione, con cui impone al gestore di</w:t>
      </w:r>
      <w:r w:rsidRPr="00BB44F3">
        <w:rPr>
          <w:rFonts w:ascii="Garamond" w:hAnsi="Garamond" w:cs="Times New Roman"/>
          <w:i/>
          <w:sz w:val="24"/>
          <w:szCs w:val="24"/>
        </w:rPr>
        <w:t xml:space="preserve"> </w:t>
      </w:r>
      <w:r w:rsidR="00655B8B" w:rsidRPr="00BB44F3">
        <w:rPr>
          <w:rFonts w:ascii="Garamond" w:hAnsi="Garamond" w:cs="Times New Roman"/>
          <w:i/>
          <w:sz w:val="24"/>
          <w:szCs w:val="24"/>
        </w:rPr>
        <w:t>elaborare, entro il termine massimo di tre mesi, un piano per intraprendere le</w:t>
      </w:r>
      <w:r w:rsidRPr="00BB44F3">
        <w:rPr>
          <w:rFonts w:ascii="Garamond" w:hAnsi="Garamond" w:cs="Times New Roman"/>
          <w:i/>
          <w:sz w:val="24"/>
          <w:szCs w:val="24"/>
        </w:rPr>
        <w:t xml:space="preserve"> </w:t>
      </w:r>
      <w:r w:rsidR="00655B8B" w:rsidRPr="00BB44F3">
        <w:rPr>
          <w:rFonts w:ascii="Garamond" w:hAnsi="Garamond" w:cs="Times New Roman"/>
          <w:i/>
          <w:sz w:val="24"/>
          <w:szCs w:val="24"/>
        </w:rPr>
        <w:t>necessarie misure correttive, che include un cronoprogramma di azioni per il</w:t>
      </w:r>
      <w:r w:rsidRPr="00BB44F3">
        <w:rPr>
          <w:rFonts w:ascii="Garamond" w:hAnsi="Garamond" w:cs="Times New Roman"/>
          <w:i/>
          <w:sz w:val="24"/>
          <w:szCs w:val="24"/>
        </w:rPr>
        <w:t xml:space="preserve"> </w:t>
      </w:r>
      <w:r w:rsidR="00655B8B" w:rsidRPr="00BB44F3">
        <w:rPr>
          <w:rFonts w:ascii="Garamond" w:hAnsi="Garamond" w:cs="Times New Roman"/>
          <w:i/>
          <w:sz w:val="24"/>
          <w:szCs w:val="24"/>
        </w:rPr>
        <w:t xml:space="preserve">ripristino e il miglioramento della qualità del servizio, per </w:t>
      </w:r>
      <w:proofErr w:type="spellStart"/>
      <w:r w:rsidR="00655B8B" w:rsidRPr="00BB44F3">
        <w:rPr>
          <w:rFonts w:ascii="Garamond" w:hAnsi="Garamond" w:cs="Times New Roman"/>
          <w:i/>
          <w:sz w:val="24"/>
          <w:szCs w:val="24"/>
        </w:rPr>
        <w:t>efficientare</w:t>
      </w:r>
      <w:proofErr w:type="spellEnd"/>
      <w:r w:rsidR="00655B8B" w:rsidRPr="00BB44F3">
        <w:rPr>
          <w:rFonts w:ascii="Garamond" w:hAnsi="Garamond" w:cs="Times New Roman"/>
          <w:i/>
          <w:sz w:val="24"/>
          <w:szCs w:val="24"/>
        </w:rPr>
        <w:t xml:space="preserve"> i costi e per</w:t>
      </w:r>
      <w:r w:rsidRPr="00BB44F3">
        <w:rPr>
          <w:rFonts w:ascii="Garamond" w:hAnsi="Garamond" w:cs="Times New Roman"/>
          <w:i/>
          <w:sz w:val="24"/>
          <w:szCs w:val="24"/>
        </w:rPr>
        <w:t xml:space="preserve"> </w:t>
      </w:r>
      <w:r w:rsidR="00655B8B" w:rsidRPr="00BB44F3">
        <w:rPr>
          <w:rFonts w:ascii="Garamond" w:hAnsi="Garamond" w:cs="Times New Roman"/>
          <w:i/>
          <w:sz w:val="24"/>
          <w:szCs w:val="24"/>
        </w:rPr>
        <w:t>ripianare le eventuali perdite. L'atto di indirizzo e il piano devono essere</w:t>
      </w:r>
      <w:r w:rsidRPr="00BB44F3">
        <w:rPr>
          <w:rFonts w:ascii="Garamond" w:hAnsi="Garamond" w:cs="Times New Roman"/>
          <w:i/>
          <w:sz w:val="24"/>
          <w:szCs w:val="24"/>
        </w:rPr>
        <w:t xml:space="preserve"> </w:t>
      </w:r>
      <w:r w:rsidR="00655B8B" w:rsidRPr="00BB44F3">
        <w:rPr>
          <w:rFonts w:ascii="Garamond" w:hAnsi="Garamond" w:cs="Times New Roman"/>
          <w:i/>
          <w:sz w:val="24"/>
          <w:szCs w:val="24"/>
        </w:rPr>
        <w:t>trasmessi all'Autorità nazionale anticorruzione (ANAC) e pubblicati nella</w:t>
      </w:r>
      <w:r w:rsidRPr="00BB44F3">
        <w:rPr>
          <w:rFonts w:ascii="Garamond" w:hAnsi="Garamond" w:cs="Times New Roman"/>
          <w:i/>
          <w:sz w:val="24"/>
          <w:szCs w:val="24"/>
        </w:rPr>
        <w:t xml:space="preserve"> </w:t>
      </w:r>
      <w:r w:rsidR="00655B8B" w:rsidRPr="00BB44F3">
        <w:rPr>
          <w:rFonts w:ascii="Garamond" w:hAnsi="Garamond" w:cs="Times New Roman"/>
          <w:i/>
          <w:sz w:val="24"/>
          <w:szCs w:val="24"/>
        </w:rPr>
        <w:t>sezione «Trasparenza dei servizi pubblici locali di rilevanza economica -</w:t>
      </w:r>
      <w:r w:rsidRPr="00BB44F3">
        <w:rPr>
          <w:rFonts w:ascii="Garamond" w:hAnsi="Garamond" w:cs="Times New Roman"/>
          <w:i/>
          <w:sz w:val="24"/>
          <w:szCs w:val="24"/>
        </w:rPr>
        <w:t xml:space="preserve"> </w:t>
      </w:r>
      <w:r w:rsidR="00655B8B" w:rsidRPr="00BB44F3">
        <w:rPr>
          <w:rFonts w:ascii="Garamond" w:hAnsi="Garamond" w:cs="Times New Roman"/>
          <w:i/>
          <w:sz w:val="24"/>
          <w:szCs w:val="24"/>
        </w:rPr>
        <w:t>Trasparenza SPL» del portale telematico</w:t>
      </w:r>
      <w:r w:rsidRPr="00BB44F3">
        <w:rPr>
          <w:rFonts w:ascii="Garamond" w:hAnsi="Garamond" w:cs="Times New Roman"/>
          <w:sz w:val="24"/>
          <w:szCs w:val="24"/>
        </w:rPr>
        <w:t>”</w:t>
      </w:r>
      <w:r w:rsidR="00655B8B" w:rsidRPr="00BB44F3">
        <w:rPr>
          <w:rFonts w:ascii="Garamond" w:hAnsi="Garamond" w:cs="Times New Roman"/>
          <w:sz w:val="24"/>
          <w:szCs w:val="24"/>
        </w:rPr>
        <w:t>.</w:t>
      </w:r>
    </w:p>
    <w:p w14:paraId="69864C27" w14:textId="5922B262" w:rsidR="007137DD" w:rsidRPr="00BB44F3" w:rsidRDefault="007137DD"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il comma 1-ter “</w:t>
      </w:r>
      <w:r w:rsidRPr="00BB44F3">
        <w:rPr>
          <w:rFonts w:ascii="Garamond" w:hAnsi="Garamond" w:cs="Times New Roman"/>
          <w:i/>
          <w:sz w:val="24"/>
          <w:szCs w:val="24"/>
        </w:rPr>
        <w:t>individua in quali casi l’andamento gestionale del servizio pubblico locale si considera insoddisfacente ai sensi del comma 1-bis</w:t>
      </w:r>
      <w:r w:rsidRPr="00BB44F3">
        <w:rPr>
          <w:rFonts w:ascii="Garamond" w:hAnsi="Garamond" w:cs="Times New Roman"/>
          <w:sz w:val="24"/>
          <w:szCs w:val="24"/>
        </w:rPr>
        <w:t>”;</w:t>
      </w:r>
    </w:p>
    <w:p w14:paraId="6AEE3C50" w14:textId="206E1888" w:rsidR="007137DD" w:rsidRPr="00BB44F3" w:rsidRDefault="007137DD"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il comma 1-quater dispone</w:t>
      </w:r>
      <w:r w:rsidR="003215E3" w:rsidRPr="00BB44F3">
        <w:rPr>
          <w:rFonts w:ascii="Garamond" w:hAnsi="Garamond" w:cs="Times New Roman"/>
          <w:sz w:val="24"/>
          <w:szCs w:val="24"/>
        </w:rPr>
        <w:t xml:space="preserve"> che “</w:t>
      </w:r>
      <w:r w:rsidRPr="00BB44F3">
        <w:rPr>
          <w:rFonts w:ascii="Garamond" w:hAnsi="Garamond" w:cs="Times New Roman"/>
          <w:i/>
          <w:sz w:val="24"/>
          <w:szCs w:val="24"/>
        </w:rPr>
        <w:t>in caso di grave inadempimento da parte del</w:t>
      </w:r>
      <w:r w:rsidR="003215E3" w:rsidRPr="00BB44F3">
        <w:rPr>
          <w:rFonts w:ascii="Garamond" w:hAnsi="Garamond" w:cs="Times New Roman"/>
          <w:i/>
          <w:sz w:val="24"/>
          <w:szCs w:val="24"/>
        </w:rPr>
        <w:t xml:space="preserve"> </w:t>
      </w:r>
      <w:r w:rsidRPr="00BB44F3">
        <w:rPr>
          <w:rFonts w:ascii="Garamond" w:hAnsi="Garamond" w:cs="Times New Roman"/>
          <w:i/>
          <w:sz w:val="24"/>
          <w:szCs w:val="24"/>
        </w:rPr>
        <w:t>gestore nell’attuazione del piano di cui al comma 1-bis, si applica l’articolo 27,</w:t>
      </w:r>
      <w:r w:rsidR="003215E3" w:rsidRPr="00BB44F3">
        <w:rPr>
          <w:rFonts w:ascii="Garamond" w:hAnsi="Garamond" w:cs="Times New Roman"/>
          <w:i/>
          <w:sz w:val="24"/>
          <w:szCs w:val="24"/>
        </w:rPr>
        <w:t xml:space="preserve"> </w:t>
      </w:r>
      <w:r w:rsidRPr="00BB44F3">
        <w:rPr>
          <w:rFonts w:ascii="Garamond" w:hAnsi="Garamond" w:cs="Times New Roman"/>
          <w:i/>
          <w:sz w:val="24"/>
          <w:szCs w:val="24"/>
        </w:rPr>
        <w:t xml:space="preserve">comma 3, del </w:t>
      </w:r>
      <w:proofErr w:type="spellStart"/>
      <w:r w:rsidRPr="00BB44F3">
        <w:rPr>
          <w:rFonts w:ascii="Garamond" w:hAnsi="Garamond" w:cs="Times New Roman"/>
          <w:i/>
          <w:sz w:val="24"/>
          <w:szCs w:val="24"/>
        </w:rPr>
        <w:t>D.Lgs.</w:t>
      </w:r>
      <w:proofErr w:type="spellEnd"/>
      <w:r w:rsidRPr="00BB44F3">
        <w:rPr>
          <w:rFonts w:ascii="Garamond" w:hAnsi="Garamond" w:cs="Times New Roman"/>
          <w:i/>
          <w:sz w:val="24"/>
          <w:szCs w:val="24"/>
        </w:rPr>
        <w:t xml:space="preserve"> n. 201 del 2022, il quale fa salvo il potere dell’ente affidante</w:t>
      </w:r>
      <w:r w:rsidR="003215E3" w:rsidRPr="00BB44F3">
        <w:rPr>
          <w:rFonts w:ascii="Garamond" w:hAnsi="Garamond" w:cs="Times New Roman"/>
          <w:i/>
          <w:sz w:val="24"/>
          <w:szCs w:val="24"/>
        </w:rPr>
        <w:t xml:space="preserve"> </w:t>
      </w:r>
      <w:r w:rsidRPr="00BB44F3">
        <w:rPr>
          <w:rFonts w:ascii="Garamond" w:hAnsi="Garamond" w:cs="Times New Roman"/>
          <w:i/>
          <w:sz w:val="24"/>
          <w:szCs w:val="24"/>
        </w:rPr>
        <w:t>di risolvere anticipatamente il rapporto in caso di grave inadempimento agli</w:t>
      </w:r>
      <w:r w:rsidR="003215E3" w:rsidRPr="00BB44F3">
        <w:rPr>
          <w:rFonts w:ascii="Garamond" w:hAnsi="Garamond" w:cs="Times New Roman"/>
          <w:i/>
          <w:sz w:val="24"/>
          <w:szCs w:val="24"/>
        </w:rPr>
        <w:t xml:space="preserve"> </w:t>
      </w:r>
      <w:r w:rsidRPr="00BB44F3">
        <w:rPr>
          <w:rFonts w:ascii="Garamond" w:hAnsi="Garamond" w:cs="Times New Roman"/>
          <w:i/>
          <w:sz w:val="24"/>
          <w:szCs w:val="24"/>
        </w:rPr>
        <w:t>obblighi di servizio pubblico e alle obbligazioni previste dal contratto di servizio</w:t>
      </w:r>
      <w:r w:rsidR="003215E3" w:rsidRPr="00BB44F3">
        <w:rPr>
          <w:rFonts w:ascii="Garamond" w:hAnsi="Garamond" w:cs="Times New Roman"/>
          <w:sz w:val="24"/>
          <w:szCs w:val="24"/>
        </w:rPr>
        <w:t>”.</w:t>
      </w:r>
    </w:p>
    <w:p w14:paraId="3AAFCAA3" w14:textId="5F1CD8ED" w:rsidR="003215E3" w:rsidRPr="00BB44F3" w:rsidRDefault="003215E3" w:rsidP="002B0099">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L’art. 2, rubricato “</w:t>
      </w:r>
      <w:r w:rsidRPr="00BB44F3">
        <w:rPr>
          <w:rFonts w:ascii="Garamond" w:hAnsi="Garamond" w:cs="Times New Roman"/>
          <w:i/>
          <w:sz w:val="24"/>
          <w:szCs w:val="24"/>
        </w:rPr>
        <w:t>Sanzioni in materia di servizi pubblici locali</w:t>
      </w:r>
      <w:r w:rsidRPr="00BB44F3">
        <w:rPr>
          <w:rFonts w:ascii="Garamond" w:hAnsi="Garamond" w:cs="Times New Roman"/>
          <w:sz w:val="24"/>
          <w:szCs w:val="24"/>
        </w:rPr>
        <w:t>”, propone l’introduzione di una sanzione amministrativa da applicarsi da parte dell’ANAC</w:t>
      </w:r>
      <w:r w:rsidR="00B21386">
        <w:rPr>
          <w:rFonts w:ascii="Garamond" w:hAnsi="Garamond" w:cs="Times New Roman"/>
          <w:sz w:val="24"/>
          <w:szCs w:val="24"/>
        </w:rPr>
        <w:t>,</w:t>
      </w:r>
      <w:r w:rsidRPr="00BB44F3">
        <w:rPr>
          <w:rFonts w:ascii="Garamond" w:hAnsi="Garamond" w:cs="Times New Roman"/>
          <w:sz w:val="24"/>
          <w:szCs w:val="24"/>
        </w:rPr>
        <w:t xml:space="preserve"> </w:t>
      </w:r>
      <w:r w:rsidR="00B21386">
        <w:rPr>
          <w:rFonts w:ascii="Garamond" w:hAnsi="Garamond" w:cs="Times New Roman"/>
          <w:sz w:val="24"/>
          <w:szCs w:val="24"/>
        </w:rPr>
        <w:t>consistente n</w:t>
      </w:r>
      <w:r w:rsidRPr="00BB44F3">
        <w:rPr>
          <w:rFonts w:ascii="Garamond" w:hAnsi="Garamond" w:cs="Times New Roman"/>
          <w:sz w:val="24"/>
          <w:szCs w:val="24"/>
        </w:rPr>
        <w:t>el pagamento di una somma da un minimo di € 5.000 a un massimo di € 500.000</w:t>
      </w:r>
      <w:r w:rsidR="00B21386">
        <w:rPr>
          <w:rFonts w:ascii="Garamond" w:hAnsi="Garamond" w:cs="Times New Roman"/>
          <w:sz w:val="24"/>
          <w:szCs w:val="24"/>
        </w:rPr>
        <w:t>,</w:t>
      </w:r>
      <w:r w:rsidRPr="00BB44F3">
        <w:rPr>
          <w:rFonts w:ascii="Garamond" w:hAnsi="Garamond" w:cs="Times New Roman"/>
          <w:sz w:val="24"/>
          <w:szCs w:val="24"/>
        </w:rPr>
        <w:t xml:space="preserve"> “</w:t>
      </w:r>
      <w:r w:rsidRPr="00BB44F3">
        <w:rPr>
          <w:rFonts w:ascii="Garamond" w:hAnsi="Garamond" w:cs="Times New Roman"/>
          <w:i/>
          <w:sz w:val="24"/>
          <w:szCs w:val="24"/>
        </w:rPr>
        <w:t>all’ente locale che non abbia adottato la relazione sulla situazione gestionale dei servizi pubblici locali di rilevanza economica o che non abbia pubblicato la medesima relazione nel sito internet istituzionale</w:t>
      </w:r>
      <w:r w:rsidRPr="00BB44F3">
        <w:rPr>
          <w:rFonts w:ascii="Garamond" w:hAnsi="Garamond" w:cs="Times New Roman"/>
          <w:sz w:val="24"/>
          <w:szCs w:val="24"/>
        </w:rPr>
        <w:t>”. Tale sanzione è contemplata anche per l’ente locale “</w:t>
      </w:r>
      <w:r w:rsidRPr="00BB44F3">
        <w:rPr>
          <w:rFonts w:ascii="Garamond" w:hAnsi="Garamond" w:cs="Times New Roman"/>
          <w:i/>
          <w:sz w:val="24"/>
          <w:szCs w:val="24"/>
        </w:rPr>
        <w:t>che non abbia adottato l’atto di indirizzo richiesto dall’articolo 1 del presente disegno di legge per il caso di andamento gestionale insoddisfacente di un servizio affidato, per cause dipendenti dall'attività del gestore del servizio</w:t>
      </w:r>
      <w:r w:rsidRPr="00BB44F3">
        <w:rPr>
          <w:rFonts w:ascii="Garamond" w:hAnsi="Garamond" w:cs="Times New Roman"/>
          <w:sz w:val="24"/>
          <w:szCs w:val="24"/>
        </w:rPr>
        <w:t>”.</w:t>
      </w:r>
    </w:p>
    <w:p w14:paraId="24B309D7" w14:textId="497D114B" w:rsidR="00FB4EC4" w:rsidRPr="00BB44F3" w:rsidRDefault="00FB4EC4" w:rsidP="002B0099">
      <w:pPr>
        <w:spacing w:after="0" w:line="240" w:lineRule="auto"/>
        <w:ind w:firstLine="454"/>
        <w:contextualSpacing/>
        <w:jc w:val="both"/>
        <w:rPr>
          <w:rFonts w:ascii="Garamond" w:hAnsi="Garamond" w:cs="Times New Roman"/>
          <w:sz w:val="24"/>
          <w:szCs w:val="24"/>
        </w:rPr>
      </w:pPr>
    </w:p>
    <w:p w14:paraId="5E0D42A9" w14:textId="384EDD1D" w:rsidR="00FB4EC4" w:rsidRPr="00BB44F3" w:rsidRDefault="00FB4EC4" w:rsidP="002B0099">
      <w:pPr>
        <w:pStyle w:val="Titolo1"/>
        <w:rPr>
          <w:rFonts w:ascii="Garamond" w:hAnsi="Garamond"/>
        </w:rPr>
      </w:pPr>
      <w:bookmarkStart w:id="378" w:name="_Toc209181512"/>
      <w:bookmarkStart w:id="379" w:name="_Toc209181568"/>
      <w:bookmarkStart w:id="380" w:name="_Toc209182719"/>
      <w:bookmarkStart w:id="381" w:name="_Toc209182916"/>
      <w:r w:rsidRPr="00BB44F3">
        <w:rPr>
          <w:rFonts w:ascii="Garamond" w:hAnsi="Garamond"/>
        </w:rPr>
        <w:t>12. Osservazioni conclusive</w:t>
      </w:r>
      <w:bookmarkEnd w:id="378"/>
      <w:bookmarkEnd w:id="379"/>
      <w:bookmarkEnd w:id="380"/>
      <w:bookmarkEnd w:id="381"/>
    </w:p>
    <w:p w14:paraId="0786A7B8" w14:textId="2E7C04CE" w:rsidR="00885E3A" w:rsidRDefault="00391B43" w:rsidP="00885E3A">
      <w:pPr>
        <w:spacing w:after="0" w:line="240" w:lineRule="auto"/>
        <w:ind w:firstLine="454"/>
        <w:contextualSpacing/>
        <w:jc w:val="both"/>
        <w:rPr>
          <w:rFonts w:ascii="Garamond" w:hAnsi="Garamond" w:cs="Times New Roman"/>
          <w:sz w:val="24"/>
          <w:szCs w:val="24"/>
        </w:rPr>
      </w:pPr>
      <w:r w:rsidRPr="00BB44F3">
        <w:rPr>
          <w:rFonts w:ascii="Garamond" w:hAnsi="Garamond" w:cs="Times New Roman"/>
          <w:sz w:val="24"/>
          <w:szCs w:val="24"/>
        </w:rPr>
        <w:t xml:space="preserve">In conclusione, dal rapido esame </w:t>
      </w:r>
      <w:r w:rsidR="008A2887" w:rsidRPr="00BB44F3">
        <w:rPr>
          <w:rFonts w:ascii="Garamond" w:hAnsi="Garamond" w:cs="Times New Roman"/>
          <w:sz w:val="24"/>
          <w:szCs w:val="24"/>
        </w:rPr>
        <w:t xml:space="preserve">sopra svolto </w:t>
      </w:r>
      <w:r w:rsidRPr="00BB44F3">
        <w:rPr>
          <w:rFonts w:ascii="Garamond" w:hAnsi="Garamond" w:cs="Times New Roman"/>
          <w:sz w:val="24"/>
          <w:szCs w:val="24"/>
        </w:rPr>
        <w:t xml:space="preserve">dell’evoluzione della materia e dell’attuale assetto dei servizi pubblici locali di rilevanza economica emerge che per quanto sia stato </w:t>
      </w:r>
      <w:r w:rsidR="00701C40">
        <w:rPr>
          <w:rFonts w:ascii="Garamond" w:hAnsi="Garamond" w:cs="Times New Roman"/>
          <w:sz w:val="24"/>
          <w:szCs w:val="24"/>
        </w:rPr>
        <w:t xml:space="preserve">apparentemente </w:t>
      </w:r>
      <w:r w:rsidRPr="00BB44F3">
        <w:rPr>
          <w:rFonts w:ascii="Garamond" w:hAnsi="Garamond" w:cs="Times New Roman"/>
          <w:sz w:val="24"/>
          <w:szCs w:val="24"/>
        </w:rPr>
        <w:t xml:space="preserve">superato il rapporto di regola ad eccezione che vi era tra esternalizzazione ed autoorganizzazione prima dell’intervento del referendum </w:t>
      </w:r>
      <w:r w:rsidR="00100BCE">
        <w:rPr>
          <w:rFonts w:ascii="Garamond" w:hAnsi="Garamond" w:cs="Times New Roman"/>
          <w:sz w:val="24"/>
          <w:szCs w:val="24"/>
        </w:rPr>
        <w:t xml:space="preserve">nell’anno </w:t>
      </w:r>
      <w:r w:rsidRPr="00BB44F3">
        <w:rPr>
          <w:rFonts w:ascii="Garamond" w:hAnsi="Garamond" w:cs="Times New Roman"/>
          <w:sz w:val="24"/>
          <w:szCs w:val="24"/>
        </w:rPr>
        <w:t>2011 (e del successivo pronunciamento della Corte Costituzionale) la scelta nel senso dell’auto</w:t>
      </w:r>
      <w:r w:rsidR="00B21386">
        <w:rPr>
          <w:rFonts w:ascii="Garamond" w:hAnsi="Garamond" w:cs="Times New Roman"/>
          <w:sz w:val="24"/>
          <w:szCs w:val="24"/>
        </w:rPr>
        <w:t>produzione</w:t>
      </w:r>
      <w:r w:rsidRPr="00BB44F3">
        <w:rPr>
          <w:rFonts w:ascii="Garamond" w:hAnsi="Garamond" w:cs="Times New Roman"/>
          <w:sz w:val="24"/>
          <w:szCs w:val="24"/>
        </w:rPr>
        <w:t xml:space="preserve"> e, in particolare, </w:t>
      </w:r>
      <w:proofErr w:type="spellStart"/>
      <w:r w:rsidRPr="00BB44F3">
        <w:rPr>
          <w:rFonts w:ascii="Garamond" w:hAnsi="Garamond" w:cs="Times New Roman"/>
          <w:sz w:val="24"/>
          <w:szCs w:val="24"/>
        </w:rPr>
        <w:t>dell’</w:t>
      </w:r>
      <w:r w:rsidRPr="00BB44F3">
        <w:rPr>
          <w:rFonts w:ascii="Garamond" w:hAnsi="Garamond" w:cs="Times New Roman"/>
          <w:i/>
          <w:sz w:val="24"/>
          <w:szCs w:val="24"/>
        </w:rPr>
        <w:t>in</w:t>
      </w:r>
      <w:proofErr w:type="spellEnd"/>
      <w:r w:rsidRPr="00BB44F3">
        <w:rPr>
          <w:rFonts w:ascii="Garamond" w:hAnsi="Garamond" w:cs="Times New Roman"/>
          <w:i/>
          <w:sz w:val="24"/>
          <w:szCs w:val="24"/>
        </w:rPr>
        <w:t xml:space="preserve"> </w:t>
      </w:r>
      <w:proofErr w:type="spellStart"/>
      <w:r w:rsidRPr="00BB44F3">
        <w:rPr>
          <w:rFonts w:ascii="Garamond" w:hAnsi="Garamond" w:cs="Times New Roman"/>
          <w:i/>
          <w:sz w:val="24"/>
          <w:szCs w:val="24"/>
        </w:rPr>
        <w:t>house</w:t>
      </w:r>
      <w:proofErr w:type="spellEnd"/>
      <w:r w:rsidRPr="00BB44F3">
        <w:rPr>
          <w:rFonts w:ascii="Garamond" w:hAnsi="Garamond" w:cs="Times New Roman"/>
          <w:i/>
          <w:sz w:val="24"/>
          <w:szCs w:val="24"/>
        </w:rPr>
        <w:t xml:space="preserve"> </w:t>
      </w:r>
      <w:r w:rsidRPr="00BB44F3">
        <w:rPr>
          <w:rFonts w:ascii="Garamond" w:hAnsi="Garamond" w:cs="Times New Roman"/>
          <w:sz w:val="24"/>
          <w:szCs w:val="24"/>
        </w:rPr>
        <w:t>comporta per l’ente locale (e gli altri enti competenti)</w:t>
      </w:r>
      <w:r w:rsidR="00885E3A" w:rsidRPr="00BB44F3">
        <w:rPr>
          <w:rFonts w:ascii="Garamond" w:hAnsi="Garamond" w:cs="Times New Roman"/>
          <w:sz w:val="24"/>
          <w:szCs w:val="24"/>
        </w:rPr>
        <w:t xml:space="preserve"> oneri per null</w:t>
      </w:r>
      <w:r w:rsidR="00100BCE">
        <w:rPr>
          <w:rFonts w:ascii="Garamond" w:hAnsi="Garamond" w:cs="Times New Roman"/>
          <w:sz w:val="24"/>
          <w:szCs w:val="24"/>
        </w:rPr>
        <w:t>a</w:t>
      </w:r>
      <w:r w:rsidR="00885E3A" w:rsidRPr="00BB44F3">
        <w:rPr>
          <w:rFonts w:ascii="Garamond" w:hAnsi="Garamond" w:cs="Times New Roman"/>
          <w:sz w:val="24"/>
          <w:szCs w:val="24"/>
        </w:rPr>
        <w:t xml:space="preserve"> trascurabili in punto di istruttoria ai fini dell’opzione nel senso di tale forma gestionale, della motivazione di tale scelta</w:t>
      </w:r>
      <w:r w:rsidR="00100BCE">
        <w:rPr>
          <w:rFonts w:ascii="Garamond" w:hAnsi="Garamond" w:cs="Times New Roman"/>
          <w:sz w:val="24"/>
          <w:szCs w:val="24"/>
        </w:rPr>
        <w:t>, degli</w:t>
      </w:r>
      <w:r w:rsidR="00885E3A" w:rsidRPr="00BB44F3">
        <w:rPr>
          <w:rFonts w:ascii="Garamond" w:hAnsi="Garamond" w:cs="Times New Roman"/>
          <w:sz w:val="24"/>
          <w:szCs w:val="24"/>
        </w:rPr>
        <w:t xml:space="preserve"> obblighi di ricognizione periodica e trasparenza e d</w:t>
      </w:r>
      <w:r w:rsidR="00100BCE">
        <w:rPr>
          <w:rFonts w:ascii="Garamond" w:hAnsi="Garamond" w:cs="Times New Roman"/>
          <w:sz w:val="24"/>
          <w:szCs w:val="24"/>
        </w:rPr>
        <w:t>ell’</w:t>
      </w:r>
      <w:r w:rsidR="00885E3A" w:rsidRPr="00BB44F3">
        <w:rPr>
          <w:rFonts w:ascii="Garamond" w:hAnsi="Garamond" w:cs="Times New Roman"/>
          <w:sz w:val="24"/>
          <w:szCs w:val="24"/>
        </w:rPr>
        <w:t>assoggettamento a controlli da parte della Corte dei Conti e dell’AGCM.</w:t>
      </w:r>
    </w:p>
    <w:p w14:paraId="4C7AFC3E" w14:textId="6B9585A7" w:rsidR="005B4780" w:rsidRDefault="00100BCE" w:rsidP="00BB44F3">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Anche l’eventualità che l’ente locale sia costretto a tornare sui propri passi </w:t>
      </w:r>
      <w:r w:rsidR="00A67371">
        <w:rPr>
          <w:rFonts w:ascii="Garamond" w:hAnsi="Garamond" w:cs="Times New Roman"/>
          <w:sz w:val="24"/>
          <w:szCs w:val="24"/>
        </w:rPr>
        <w:t xml:space="preserve">quanto alla scelta </w:t>
      </w:r>
      <w:proofErr w:type="spellStart"/>
      <w:r w:rsidR="00A67371" w:rsidRPr="00A67371">
        <w:rPr>
          <w:rFonts w:ascii="Garamond" w:hAnsi="Garamond" w:cs="Times New Roman"/>
          <w:sz w:val="24"/>
          <w:szCs w:val="24"/>
        </w:rPr>
        <w:t>dell’</w:t>
      </w:r>
      <w:r w:rsidR="00A67371">
        <w:rPr>
          <w:rFonts w:ascii="Garamond" w:hAnsi="Garamond" w:cs="Times New Roman"/>
          <w:i/>
          <w:sz w:val="24"/>
          <w:szCs w:val="24"/>
        </w:rPr>
        <w:t>in</w:t>
      </w:r>
      <w:proofErr w:type="spellEnd"/>
      <w:r w:rsidR="00A67371">
        <w:rPr>
          <w:rFonts w:ascii="Garamond" w:hAnsi="Garamond" w:cs="Times New Roman"/>
          <w:i/>
          <w:sz w:val="24"/>
          <w:szCs w:val="24"/>
        </w:rPr>
        <w:t xml:space="preserve"> </w:t>
      </w:r>
      <w:proofErr w:type="spellStart"/>
      <w:r w:rsidR="00A67371">
        <w:rPr>
          <w:rFonts w:ascii="Garamond" w:hAnsi="Garamond" w:cs="Times New Roman"/>
          <w:i/>
          <w:sz w:val="24"/>
          <w:szCs w:val="24"/>
        </w:rPr>
        <w:t>house</w:t>
      </w:r>
      <w:proofErr w:type="spellEnd"/>
      <w:r w:rsidR="00A67371" w:rsidRPr="00A67371">
        <w:rPr>
          <w:rFonts w:ascii="Garamond" w:hAnsi="Garamond" w:cs="Times New Roman"/>
          <w:sz w:val="24"/>
          <w:szCs w:val="24"/>
        </w:rPr>
        <w:t xml:space="preserve"> </w:t>
      </w:r>
      <w:r w:rsidR="00B21386">
        <w:rPr>
          <w:rFonts w:ascii="Garamond" w:hAnsi="Garamond" w:cs="Times New Roman"/>
          <w:sz w:val="24"/>
          <w:szCs w:val="24"/>
        </w:rPr>
        <w:t xml:space="preserve">(anche </w:t>
      </w:r>
      <w:r w:rsidRPr="00A67371">
        <w:rPr>
          <w:rFonts w:ascii="Garamond" w:hAnsi="Garamond" w:cs="Times New Roman"/>
          <w:sz w:val="24"/>
          <w:szCs w:val="24"/>
        </w:rPr>
        <w:t>per</w:t>
      </w:r>
      <w:r>
        <w:rPr>
          <w:rFonts w:ascii="Garamond" w:hAnsi="Garamond" w:cs="Times New Roman"/>
          <w:sz w:val="24"/>
          <w:szCs w:val="24"/>
        </w:rPr>
        <w:t xml:space="preserve"> mezzo del ricorso a poteri di autotutela</w:t>
      </w:r>
      <w:r w:rsidR="00B21386">
        <w:rPr>
          <w:rFonts w:ascii="Garamond" w:hAnsi="Garamond" w:cs="Times New Roman"/>
          <w:sz w:val="24"/>
          <w:szCs w:val="24"/>
        </w:rPr>
        <w:t>)</w:t>
      </w:r>
      <w:r>
        <w:rPr>
          <w:rFonts w:ascii="Garamond" w:hAnsi="Garamond" w:cs="Times New Roman"/>
          <w:sz w:val="24"/>
          <w:szCs w:val="24"/>
        </w:rPr>
        <w:t xml:space="preserve"> </w:t>
      </w:r>
      <w:r w:rsidR="00A67371">
        <w:rPr>
          <w:rFonts w:ascii="Garamond" w:hAnsi="Garamond" w:cs="Times New Roman"/>
          <w:sz w:val="24"/>
          <w:szCs w:val="24"/>
        </w:rPr>
        <w:t xml:space="preserve">non risulta in alcun modo inverosimile. </w:t>
      </w:r>
    </w:p>
    <w:p w14:paraId="6F23AC04" w14:textId="0676A524" w:rsidR="00BB44F3" w:rsidRDefault="005B4780" w:rsidP="00BB44F3">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Sotto tale angolo visuale</w:t>
      </w:r>
      <w:r w:rsidR="00BB44F3" w:rsidRPr="00BB44F3">
        <w:rPr>
          <w:rFonts w:ascii="Garamond" w:hAnsi="Garamond" w:cs="Times New Roman"/>
          <w:sz w:val="24"/>
          <w:szCs w:val="24"/>
        </w:rPr>
        <w:t xml:space="preserve"> anche i presidi posti dal D. </w:t>
      </w:r>
      <w:proofErr w:type="spellStart"/>
      <w:r w:rsidR="00BB44F3" w:rsidRPr="00BB44F3">
        <w:rPr>
          <w:rFonts w:ascii="Garamond" w:hAnsi="Garamond" w:cs="Times New Roman"/>
          <w:sz w:val="24"/>
          <w:szCs w:val="24"/>
        </w:rPr>
        <w:t>Lgs</w:t>
      </w:r>
      <w:proofErr w:type="spellEnd"/>
      <w:r w:rsidR="00BB44F3" w:rsidRPr="00BB44F3">
        <w:rPr>
          <w:rFonts w:ascii="Garamond" w:hAnsi="Garamond" w:cs="Times New Roman"/>
          <w:sz w:val="24"/>
          <w:szCs w:val="24"/>
        </w:rPr>
        <w:t xml:space="preserve">. n. 201/2022 e dal D. </w:t>
      </w:r>
      <w:proofErr w:type="spellStart"/>
      <w:r w:rsidR="00BB44F3" w:rsidRPr="00BB44F3">
        <w:rPr>
          <w:rFonts w:ascii="Garamond" w:hAnsi="Garamond" w:cs="Times New Roman"/>
          <w:sz w:val="24"/>
          <w:szCs w:val="24"/>
        </w:rPr>
        <w:t>Lgs</w:t>
      </w:r>
      <w:proofErr w:type="spellEnd"/>
      <w:r w:rsidR="00BB44F3" w:rsidRPr="00BB44F3">
        <w:rPr>
          <w:rFonts w:ascii="Garamond" w:hAnsi="Garamond" w:cs="Times New Roman"/>
          <w:sz w:val="24"/>
          <w:szCs w:val="24"/>
        </w:rPr>
        <w:t>. n. 175/2016 in tema di verifiche periodiche e trasparenza costituiscono chiaro sintomo della perdurante tensione tra esternalizzazione dei servizi pubblici locali di rilevanza economica ed auto</w:t>
      </w:r>
      <w:r w:rsidR="00523AF2">
        <w:rPr>
          <w:rFonts w:ascii="Garamond" w:hAnsi="Garamond" w:cs="Times New Roman"/>
          <w:sz w:val="24"/>
          <w:szCs w:val="24"/>
        </w:rPr>
        <w:t>produzion</w:t>
      </w:r>
      <w:r w:rsidR="00BB44F3" w:rsidRPr="00BB44F3">
        <w:rPr>
          <w:rFonts w:ascii="Garamond" w:hAnsi="Garamond" w:cs="Times New Roman"/>
          <w:sz w:val="24"/>
          <w:szCs w:val="24"/>
        </w:rPr>
        <w:t>e degli stessi</w:t>
      </w:r>
      <w:r w:rsidR="00B21386">
        <w:rPr>
          <w:rFonts w:ascii="Garamond" w:hAnsi="Garamond" w:cs="Times New Roman"/>
          <w:sz w:val="24"/>
          <w:szCs w:val="24"/>
        </w:rPr>
        <w:t xml:space="preserve"> e di una certa diffidenza del legislatore verso quest’ultima (o quantomeno verso l’eccessivo utilizzo di tale forma gestionale)</w:t>
      </w:r>
      <w:r w:rsidR="00100BCE">
        <w:rPr>
          <w:rFonts w:ascii="Garamond" w:hAnsi="Garamond" w:cs="Times New Roman"/>
          <w:sz w:val="24"/>
          <w:szCs w:val="24"/>
        </w:rPr>
        <w:t xml:space="preserve">, con conseguente maggiore semplicità per certi versi </w:t>
      </w:r>
      <w:r w:rsidR="00090C45">
        <w:rPr>
          <w:rFonts w:ascii="Garamond" w:hAnsi="Garamond" w:cs="Times New Roman"/>
          <w:sz w:val="24"/>
          <w:szCs w:val="24"/>
        </w:rPr>
        <w:t xml:space="preserve">per l’ente locale dell’opzione nel senso </w:t>
      </w:r>
      <w:r w:rsidR="00100BCE">
        <w:rPr>
          <w:rFonts w:ascii="Garamond" w:hAnsi="Garamond" w:cs="Times New Roman"/>
          <w:sz w:val="24"/>
          <w:szCs w:val="24"/>
        </w:rPr>
        <w:t>dell’esternalizzazione</w:t>
      </w:r>
      <w:r w:rsidR="00BB44F3" w:rsidRPr="00BB44F3">
        <w:rPr>
          <w:rFonts w:ascii="Garamond" w:hAnsi="Garamond" w:cs="Times New Roman"/>
          <w:sz w:val="24"/>
          <w:szCs w:val="24"/>
        </w:rPr>
        <w:t>.</w:t>
      </w:r>
    </w:p>
    <w:p w14:paraId="58E57642" w14:textId="57FE5362" w:rsidR="00090C45" w:rsidRDefault="00090C45" w:rsidP="00BB44F3">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lastRenderedPageBreak/>
        <w:t xml:space="preserve">Del resto, indice </w:t>
      </w:r>
      <w:r w:rsidR="005B4780">
        <w:rPr>
          <w:rFonts w:ascii="Garamond" w:hAnsi="Garamond" w:cs="Times New Roman"/>
          <w:sz w:val="24"/>
          <w:szCs w:val="24"/>
        </w:rPr>
        <w:t xml:space="preserve">significativo </w:t>
      </w:r>
      <w:r>
        <w:rPr>
          <w:rFonts w:ascii="Garamond" w:hAnsi="Garamond" w:cs="Times New Roman"/>
          <w:sz w:val="24"/>
          <w:szCs w:val="24"/>
        </w:rPr>
        <w:t>di tale assetto della materia finisce per essere anche la previsione che favorisce il passaggio nell’affidamento a società mista da una logica di esternalizzazione parziale ad una di esternalizzazione totale per mezzo della cessione da parte dell’ente locale della partecipazione detenuta nella società mista.</w:t>
      </w:r>
    </w:p>
    <w:p w14:paraId="52D1B995" w14:textId="50E97AD2" w:rsidR="00523AF2" w:rsidRDefault="00523AF2" w:rsidP="00BB44F3">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Peraltro, in tale contesto il D. </w:t>
      </w:r>
      <w:proofErr w:type="spellStart"/>
      <w:r>
        <w:rPr>
          <w:rFonts w:ascii="Garamond" w:hAnsi="Garamond" w:cs="Times New Roman"/>
          <w:sz w:val="24"/>
          <w:szCs w:val="24"/>
        </w:rPr>
        <w:t>Lgs</w:t>
      </w:r>
      <w:proofErr w:type="spellEnd"/>
      <w:r>
        <w:rPr>
          <w:rFonts w:ascii="Garamond" w:hAnsi="Garamond" w:cs="Times New Roman"/>
          <w:sz w:val="24"/>
          <w:szCs w:val="24"/>
        </w:rPr>
        <w:t>. n. 201/2022</w:t>
      </w:r>
      <w:r w:rsidR="00B041FA">
        <w:rPr>
          <w:rFonts w:ascii="Garamond" w:hAnsi="Garamond" w:cs="Times New Roman"/>
          <w:sz w:val="24"/>
          <w:szCs w:val="24"/>
        </w:rPr>
        <w:t xml:space="preserve"> non deresponsabilizza l’ente affidante e</w:t>
      </w:r>
      <w:r>
        <w:rPr>
          <w:rFonts w:ascii="Garamond" w:hAnsi="Garamond" w:cs="Times New Roman"/>
          <w:sz w:val="24"/>
          <w:szCs w:val="24"/>
        </w:rPr>
        <w:t xml:space="preserve"> riconosce comunque la </w:t>
      </w:r>
      <w:r w:rsidR="0059741F">
        <w:rPr>
          <w:rFonts w:ascii="Garamond" w:hAnsi="Garamond" w:cs="Times New Roman"/>
          <w:sz w:val="24"/>
          <w:szCs w:val="24"/>
        </w:rPr>
        <w:t xml:space="preserve">perdurante </w:t>
      </w:r>
      <w:r>
        <w:rPr>
          <w:rFonts w:ascii="Garamond" w:hAnsi="Garamond" w:cs="Times New Roman"/>
          <w:sz w:val="24"/>
          <w:szCs w:val="24"/>
        </w:rPr>
        <w:t xml:space="preserve">titolarità del servizio in capo all’ente locale, limitando espressamente l’esternalizzazione alla sola gestione del servizio e </w:t>
      </w:r>
      <w:r w:rsidR="000013EE">
        <w:rPr>
          <w:rFonts w:ascii="Garamond" w:hAnsi="Garamond" w:cs="Times New Roman"/>
          <w:sz w:val="24"/>
          <w:szCs w:val="24"/>
        </w:rPr>
        <w:t>riconoscendo</w:t>
      </w:r>
      <w:r>
        <w:rPr>
          <w:rFonts w:ascii="Garamond" w:hAnsi="Garamond" w:cs="Times New Roman"/>
          <w:sz w:val="24"/>
          <w:szCs w:val="24"/>
        </w:rPr>
        <w:t xml:space="preserve"> assai rilevanti poteri dell’ente affidante nella fase dello svolgimento del rapporto di gestione (tra cui quello </w:t>
      </w:r>
      <w:r w:rsidRPr="00523AF2">
        <w:rPr>
          <w:rFonts w:ascii="Garamond" w:hAnsi="Garamond" w:cs="Times New Roman"/>
          <w:sz w:val="24"/>
          <w:szCs w:val="24"/>
        </w:rPr>
        <w:t>di risolvere anticipatamente il rapporto in caso di grave inadempimento agli obblighi di servizio pubblico e alle obbligazioni previste dal contratto di servizio</w:t>
      </w:r>
      <w:r>
        <w:rPr>
          <w:rFonts w:ascii="Garamond" w:hAnsi="Garamond" w:cs="Times New Roman"/>
          <w:sz w:val="24"/>
          <w:szCs w:val="24"/>
        </w:rPr>
        <w:t xml:space="preserve"> da parte dell’affidatario)</w:t>
      </w:r>
      <w:r w:rsidR="000013EE">
        <w:rPr>
          <w:rFonts w:ascii="Garamond" w:hAnsi="Garamond" w:cs="Times New Roman"/>
          <w:sz w:val="24"/>
          <w:szCs w:val="24"/>
        </w:rPr>
        <w:t xml:space="preserve"> nell’ottica di garantire che il servizio pubblico locale </w:t>
      </w:r>
      <w:r w:rsidR="00E4739D">
        <w:rPr>
          <w:rFonts w:ascii="Garamond" w:hAnsi="Garamond" w:cs="Times New Roman"/>
          <w:sz w:val="24"/>
          <w:szCs w:val="24"/>
        </w:rPr>
        <w:t xml:space="preserve">rimanga </w:t>
      </w:r>
      <w:r w:rsidR="00B21386">
        <w:rPr>
          <w:rFonts w:ascii="Garamond" w:hAnsi="Garamond" w:cs="Times New Roman"/>
          <w:sz w:val="24"/>
          <w:szCs w:val="24"/>
        </w:rPr>
        <w:t xml:space="preserve">sempre </w:t>
      </w:r>
      <w:r w:rsidR="00E4739D">
        <w:rPr>
          <w:rFonts w:ascii="Garamond" w:hAnsi="Garamond" w:cs="Times New Roman"/>
          <w:sz w:val="24"/>
          <w:szCs w:val="24"/>
        </w:rPr>
        <w:t xml:space="preserve">rispondente </w:t>
      </w:r>
      <w:r w:rsidR="00E4739D" w:rsidRPr="00E4739D">
        <w:rPr>
          <w:rFonts w:ascii="Garamond" w:hAnsi="Garamond" w:cs="Times New Roman"/>
          <w:sz w:val="24"/>
          <w:szCs w:val="24"/>
        </w:rPr>
        <w:t>alle esigenze delle comunità di riferimento e</w:t>
      </w:r>
      <w:r w:rsidR="00E4739D">
        <w:rPr>
          <w:rFonts w:ascii="Garamond" w:hAnsi="Garamond" w:cs="Times New Roman"/>
          <w:sz w:val="24"/>
          <w:szCs w:val="24"/>
        </w:rPr>
        <w:t>d</w:t>
      </w:r>
      <w:r w:rsidR="00E4739D" w:rsidRPr="00E4739D">
        <w:rPr>
          <w:rFonts w:ascii="Garamond" w:hAnsi="Garamond" w:cs="Times New Roman"/>
          <w:sz w:val="24"/>
          <w:szCs w:val="24"/>
        </w:rPr>
        <w:t xml:space="preserve"> alla soddisfazione dei bisogni dei cittadini e degli utenti</w:t>
      </w:r>
      <w:r w:rsidRPr="00523AF2">
        <w:rPr>
          <w:rFonts w:ascii="Garamond" w:hAnsi="Garamond" w:cs="Times New Roman"/>
          <w:sz w:val="24"/>
          <w:szCs w:val="24"/>
        </w:rPr>
        <w:t>.</w:t>
      </w:r>
    </w:p>
    <w:p w14:paraId="1932866C" w14:textId="693174DD" w:rsidR="00B21386" w:rsidRDefault="00B21386" w:rsidP="00BB44F3">
      <w:pPr>
        <w:spacing w:after="0" w:line="240" w:lineRule="auto"/>
        <w:ind w:firstLine="454"/>
        <w:contextualSpacing/>
        <w:jc w:val="both"/>
        <w:rPr>
          <w:rFonts w:ascii="Garamond" w:hAnsi="Garamond" w:cs="Times New Roman"/>
          <w:sz w:val="24"/>
          <w:szCs w:val="24"/>
        </w:rPr>
      </w:pPr>
      <w:r>
        <w:rPr>
          <w:rFonts w:ascii="Garamond" w:hAnsi="Garamond" w:cs="Times New Roman"/>
          <w:sz w:val="24"/>
          <w:szCs w:val="24"/>
        </w:rPr>
        <w:t xml:space="preserve">In questo modo in un’ottica di contemperamento della pluralità di interessi pubblici e privati esistenti in materia la scelta dell’esternalizzazione del servizio pubblico locale si presta sempre ad un ripensamento laddove tale scelta si riveli nel caso concreto contraria al soddisfacimento </w:t>
      </w:r>
      <w:r w:rsidRPr="00B21386">
        <w:rPr>
          <w:rFonts w:ascii="Garamond" w:hAnsi="Garamond" w:cs="Times New Roman"/>
          <w:sz w:val="24"/>
          <w:szCs w:val="24"/>
        </w:rPr>
        <w:t>dei bisogni dei cittadini e degli utenti.</w:t>
      </w:r>
    </w:p>
    <w:p w14:paraId="1B1EA47E" w14:textId="77777777" w:rsidR="00A67371" w:rsidRPr="00BB44F3" w:rsidRDefault="00A67371" w:rsidP="00BB44F3">
      <w:pPr>
        <w:spacing w:after="0" w:line="240" w:lineRule="auto"/>
        <w:ind w:firstLine="454"/>
        <w:contextualSpacing/>
        <w:jc w:val="both"/>
        <w:rPr>
          <w:rFonts w:ascii="Garamond" w:hAnsi="Garamond" w:cs="Times New Roman"/>
          <w:sz w:val="24"/>
          <w:szCs w:val="24"/>
        </w:rPr>
      </w:pPr>
    </w:p>
    <w:sectPr w:rsidR="00A67371" w:rsidRPr="00BB44F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6AE0" w14:textId="77777777" w:rsidR="00F247DB" w:rsidRDefault="00F247DB" w:rsidP="00DE65AF">
      <w:pPr>
        <w:spacing w:after="0" w:line="240" w:lineRule="auto"/>
      </w:pPr>
      <w:r>
        <w:separator/>
      </w:r>
    </w:p>
  </w:endnote>
  <w:endnote w:type="continuationSeparator" w:id="0">
    <w:p w14:paraId="54661CF9" w14:textId="77777777" w:rsidR="00F247DB" w:rsidRDefault="00F247DB" w:rsidP="00DE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9482" w14:textId="77777777" w:rsidR="00F247DB" w:rsidRDefault="00F247DB" w:rsidP="00DE65AF">
      <w:pPr>
        <w:spacing w:after="0" w:line="240" w:lineRule="auto"/>
      </w:pPr>
      <w:r>
        <w:separator/>
      </w:r>
    </w:p>
  </w:footnote>
  <w:footnote w:type="continuationSeparator" w:id="0">
    <w:p w14:paraId="4B339028" w14:textId="77777777" w:rsidR="00F247DB" w:rsidRDefault="00F247DB" w:rsidP="00DE65AF">
      <w:pPr>
        <w:spacing w:after="0" w:line="240" w:lineRule="auto"/>
      </w:pPr>
      <w:r>
        <w:continuationSeparator/>
      </w:r>
    </w:p>
  </w:footnote>
  <w:footnote w:id="1">
    <w:p w14:paraId="19BB14EF" w14:textId="77777777" w:rsidR="004A2F83" w:rsidRPr="003400BF" w:rsidRDefault="004A2F83" w:rsidP="004A2F83">
      <w:pPr>
        <w:pStyle w:val="Testonotaapidipagina"/>
        <w:jc w:val="both"/>
        <w:rPr>
          <w:rFonts w:ascii="Garamond" w:hAnsi="Garamond"/>
        </w:rPr>
      </w:pPr>
      <w:r w:rsidRPr="003400BF">
        <w:rPr>
          <w:rStyle w:val="Rimandonotaapidipagina"/>
          <w:rFonts w:ascii="Garamond" w:hAnsi="Garamond"/>
        </w:rPr>
        <w:t>*</w:t>
      </w:r>
      <w:r w:rsidRPr="003400BF">
        <w:rPr>
          <w:rFonts w:ascii="Garamond" w:hAnsi="Garamond"/>
        </w:rPr>
        <w:t xml:space="preserve"> Referendario in servizio presso il T.A.R. Campania – Sezione staccata di Salerno.</w:t>
      </w:r>
      <w:r>
        <w:rPr>
          <w:rFonts w:ascii="Garamond" w:hAnsi="Garamond"/>
        </w:rPr>
        <w:t xml:space="preserve"> </w:t>
      </w:r>
      <w:r w:rsidRPr="003400BF">
        <w:rPr>
          <w:rFonts w:ascii="Garamond" w:hAnsi="Garamond"/>
        </w:rPr>
        <w:t xml:space="preserve">Il presente contributo riproduce, con alcune integrazioni, il contenuto della relazione tenuta nell’ambito del corso di formazione per magistrati amministrativi organizzato dall’Ufficio studi e formazione della Giustizia amministrativa sul tema “La gestione dei servizi pubblici, tra autoorganizzazione ed esternalizzazione”, svoltosi a Salerno, presso il </w:t>
      </w:r>
      <w:proofErr w:type="spellStart"/>
      <w:r w:rsidRPr="003400BF">
        <w:rPr>
          <w:rFonts w:ascii="Garamond" w:hAnsi="Garamond"/>
        </w:rPr>
        <w:t>Grand</w:t>
      </w:r>
      <w:proofErr w:type="spellEnd"/>
      <w:r w:rsidRPr="003400BF">
        <w:rPr>
          <w:rFonts w:ascii="Garamond" w:hAnsi="Garamond"/>
        </w:rPr>
        <w:t xml:space="preserve"> Hotel Salerno, in data 25 e 26 settembre 2025.</w:t>
      </w:r>
    </w:p>
  </w:footnote>
  <w:footnote w:id="2">
    <w:p w14:paraId="37901040" w14:textId="19AE5821" w:rsidR="00F247DB" w:rsidRPr="003400BF" w:rsidRDefault="00F247DB" w:rsidP="007F2E5A">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In G.U. n. 304</w:t>
      </w:r>
      <w:r>
        <w:rPr>
          <w:rFonts w:ascii="Garamond" w:hAnsi="Garamond" w:cs="Times New Roman"/>
        </w:rPr>
        <w:t xml:space="preserve"> del </w:t>
      </w:r>
      <w:r w:rsidRPr="003400BF">
        <w:rPr>
          <w:rFonts w:ascii="Garamond" w:hAnsi="Garamond" w:cs="Times New Roman"/>
        </w:rPr>
        <w:t>30 dicembre 2022.</w:t>
      </w:r>
    </w:p>
  </w:footnote>
  <w:footnote w:id="3">
    <w:p w14:paraId="2ACB1C78" w14:textId="5A663D71" w:rsidR="00F247DB" w:rsidRPr="00A276F6" w:rsidRDefault="00F247DB">
      <w:pPr>
        <w:pStyle w:val="Testonotaapidipagina"/>
        <w:rPr>
          <w:rFonts w:ascii="Garamond" w:hAnsi="Garamond"/>
        </w:rPr>
      </w:pPr>
      <w:r w:rsidRPr="00A276F6">
        <w:rPr>
          <w:rStyle w:val="Rimandonotaapidipagina"/>
          <w:rFonts w:ascii="Garamond" w:hAnsi="Garamond"/>
        </w:rPr>
        <w:footnoteRef/>
      </w:r>
      <w:r w:rsidRPr="00A276F6">
        <w:rPr>
          <w:rFonts w:ascii="Garamond" w:hAnsi="Garamond"/>
        </w:rPr>
        <w:t xml:space="preserve"> In G.U. n. 210 dell’8 </w:t>
      </w:r>
      <w:r>
        <w:rPr>
          <w:rFonts w:ascii="Garamond" w:hAnsi="Garamond"/>
        </w:rPr>
        <w:t>s</w:t>
      </w:r>
      <w:r w:rsidRPr="00A276F6">
        <w:rPr>
          <w:rFonts w:ascii="Garamond" w:hAnsi="Garamond"/>
        </w:rPr>
        <w:t>ettembre 2016.</w:t>
      </w:r>
    </w:p>
  </w:footnote>
  <w:footnote w:id="4">
    <w:p w14:paraId="729D7BDC" w14:textId="556D44DC" w:rsidR="00F247DB" w:rsidRPr="003400BF" w:rsidRDefault="00F247DB" w:rsidP="00BE284B">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V. V</w:t>
      </w:r>
      <w:r>
        <w:rPr>
          <w:rFonts w:ascii="Garamond" w:hAnsi="Garamond" w:cs="Times New Roman"/>
        </w:rPr>
        <w:t>.</w:t>
      </w:r>
      <w:r w:rsidRPr="003400BF">
        <w:rPr>
          <w:rFonts w:ascii="Garamond" w:hAnsi="Garamond" w:cs="Times New Roman"/>
        </w:rPr>
        <w:t xml:space="preserve"> </w:t>
      </w:r>
      <w:proofErr w:type="spellStart"/>
      <w:r w:rsidRPr="003400BF">
        <w:rPr>
          <w:rFonts w:ascii="Garamond" w:hAnsi="Garamond" w:cs="Times New Roman"/>
        </w:rPr>
        <w:t>Lopilato</w:t>
      </w:r>
      <w:proofErr w:type="spellEnd"/>
      <w:r w:rsidRPr="003400BF">
        <w:rPr>
          <w:rFonts w:ascii="Garamond" w:hAnsi="Garamond" w:cs="Times New Roman"/>
        </w:rPr>
        <w:t xml:space="preserve">. Manuale di diritto amministrativo, </w:t>
      </w:r>
      <w:proofErr w:type="spellStart"/>
      <w:r w:rsidRPr="003400BF">
        <w:rPr>
          <w:rFonts w:ascii="Garamond" w:hAnsi="Garamond" w:cs="Times New Roman"/>
        </w:rPr>
        <w:t>pagg</w:t>
      </w:r>
      <w:proofErr w:type="spellEnd"/>
      <w:r w:rsidRPr="003400BF">
        <w:rPr>
          <w:rFonts w:ascii="Garamond" w:hAnsi="Garamond" w:cs="Times New Roman"/>
        </w:rPr>
        <w:t>. 968 e ss., IV ed..</w:t>
      </w:r>
    </w:p>
  </w:footnote>
  <w:footnote w:id="5">
    <w:p w14:paraId="67223FFA" w14:textId="77777777" w:rsidR="00F247DB" w:rsidRPr="003400BF" w:rsidRDefault="00F247DB" w:rsidP="00BE284B">
      <w:pPr>
        <w:pStyle w:val="Testonotaapidipagina"/>
        <w:jc w:val="both"/>
        <w:rPr>
          <w:rFonts w:ascii="Garamond" w:hAnsi="Garamond"/>
        </w:rPr>
      </w:pPr>
      <w:r w:rsidRPr="003400BF">
        <w:rPr>
          <w:rStyle w:val="Rimandonotaapidipagina"/>
          <w:rFonts w:ascii="Garamond" w:hAnsi="Garamond" w:cs="Times New Roman"/>
        </w:rPr>
        <w:footnoteRef/>
      </w:r>
      <w:r w:rsidRPr="003400BF">
        <w:rPr>
          <w:rFonts w:ascii="Garamond" w:hAnsi="Garamond" w:cs="Times New Roman"/>
        </w:rPr>
        <w:t xml:space="preserve"> In particolare, la lettera i) del comma 1 dell’art. 2 del D. </w:t>
      </w:r>
      <w:proofErr w:type="spellStart"/>
      <w:r w:rsidRPr="003400BF">
        <w:rPr>
          <w:rFonts w:ascii="Garamond" w:hAnsi="Garamond" w:cs="Times New Roman"/>
        </w:rPr>
        <w:t>Lgs</w:t>
      </w:r>
      <w:proofErr w:type="spellEnd"/>
      <w:r w:rsidRPr="003400BF">
        <w:rPr>
          <w:rFonts w:ascii="Garamond" w:hAnsi="Garamond" w:cs="Times New Roman"/>
        </w:rPr>
        <w:t>. 175/2016 definisce i servizi di interesse economico generale come “</w:t>
      </w:r>
      <w:r w:rsidRPr="003400BF">
        <w:rPr>
          <w:rFonts w:ascii="Garamond" w:hAnsi="Garamond" w:cs="Times New Roman"/>
          <w:i/>
        </w:rPr>
        <w:t>i servizi di interesse generale erogati o suscettibili di essere erogati dietro corrispettivo economico su un mercato</w:t>
      </w:r>
      <w:r w:rsidRPr="003400BF">
        <w:rPr>
          <w:rFonts w:ascii="Garamond" w:hAnsi="Garamond" w:cs="Times New Roman"/>
        </w:rPr>
        <w:t>” e la lettera h) a sua volta definisce i servizi di interesse generale come “</w:t>
      </w:r>
      <w:r w:rsidRPr="003400BF">
        <w:rPr>
          <w:rFonts w:ascii="Garamond" w:hAnsi="Garamond" w:cs="Times New Roman"/>
          <w:i/>
        </w:rPr>
        <w:t>le attività di produzione e fornitura di beni o servizi che non sarebbero svolte dal mercato senza un intervento pubblico o sarebbero svolte a condizioni differenti in termini di accessibilità fisica ed economica, continuità, non discriminazione, qualità e sicurezza, che le amministrazioni pubbliche, nell'ambito delle rispettive competenze, assumono come necessarie per assicurare la soddisfazione dei bisogni della collettività di riferimento, così da garantire l'omogeneità dello sviluppo e la coesione sociale, ivi inclusi i servizi di interesse economico generale</w:t>
      </w:r>
      <w:r w:rsidRPr="003400BF">
        <w:rPr>
          <w:rFonts w:ascii="Garamond" w:hAnsi="Garamond" w:cs="Times New Roman"/>
        </w:rPr>
        <w:t>”.</w:t>
      </w:r>
    </w:p>
  </w:footnote>
  <w:footnote w:id="6">
    <w:p w14:paraId="27FD3828" w14:textId="64631BA9" w:rsidR="00F247DB" w:rsidRPr="003400BF" w:rsidRDefault="00F247DB" w:rsidP="00F074A9">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V. P</w:t>
      </w:r>
      <w:r>
        <w:rPr>
          <w:rFonts w:ascii="Garamond" w:hAnsi="Garamond" w:cs="Times New Roman"/>
        </w:rPr>
        <w:t>.</w:t>
      </w:r>
      <w:r w:rsidRPr="003400BF">
        <w:rPr>
          <w:rFonts w:ascii="Garamond" w:hAnsi="Garamond" w:cs="Times New Roman"/>
        </w:rPr>
        <w:t xml:space="preserve"> </w:t>
      </w:r>
      <w:proofErr w:type="spellStart"/>
      <w:r w:rsidRPr="003400BF">
        <w:rPr>
          <w:rFonts w:ascii="Garamond" w:hAnsi="Garamond" w:cs="Times New Roman"/>
        </w:rPr>
        <w:t>Chirulli</w:t>
      </w:r>
      <w:proofErr w:type="spellEnd"/>
      <w:r w:rsidRPr="003400BF">
        <w:rPr>
          <w:rFonts w:ascii="Garamond" w:hAnsi="Garamond" w:cs="Times New Roman"/>
        </w:rPr>
        <w:t xml:space="preserve">, Il d.lgs. n. 201/2022 e il riordino dei servizi pubblici locali: un inquadramento, in Rivista della regolazione dei mercati, fascicolo 2/2023, </w:t>
      </w:r>
      <w:proofErr w:type="spellStart"/>
      <w:r w:rsidRPr="003400BF">
        <w:rPr>
          <w:rFonts w:ascii="Garamond" w:hAnsi="Garamond" w:cs="Times New Roman"/>
        </w:rPr>
        <w:t>pagg</w:t>
      </w:r>
      <w:proofErr w:type="spellEnd"/>
      <w:r w:rsidRPr="003400BF">
        <w:rPr>
          <w:rFonts w:ascii="Garamond" w:hAnsi="Garamond" w:cs="Times New Roman"/>
        </w:rPr>
        <w:t>. 295 e ss..</w:t>
      </w:r>
    </w:p>
  </w:footnote>
  <w:footnote w:id="7">
    <w:p w14:paraId="46E2ACEE" w14:textId="5AE271FA" w:rsidR="00F247DB" w:rsidRPr="0017066E" w:rsidRDefault="00F247DB" w:rsidP="00F074A9">
      <w:pPr>
        <w:pStyle w:val="Testonotaapidipagina"/>
        <w:jc w:val="both"/>
        <w:rPr>
          <w:rFonts w:ascii="Times New Roman" w:hAnsi="Times New Roman" w:cs="Times New Roman"/>
        </w:rPr>
      </w:pPr>
      <w:r w:rsidRPr="003400BF">
        <w:rPr>
          <w:rStyle w:val="Rimandonotaapidipagina"/>
          <w:rFonts w:ascii="Garamond" w:hAnsi="Garamond" w:cs="Times New Roman"/>
        </w:rPr>
        <w:footnoteRef/>
      </w:r>
      <w:r w:rsidRPr="003400BF">
        <w:rPr>
          <w:rFonts w:ascii="Garamond" w:hAnsi="Garamond" w:cs="Times New Roman"/>
        </w:rPr>
        <w:t xml:space="preserve"> Nel senso che la dinamicità di talune delle ci</w:t>
      </w:r>
      <w:r>
        <w:rPr>
          <w:rFonts w:ascii="Garamond" w:hAnsi="Garamond" w:cs="Times New Roman"/>
        </w:rPr>
        <w:t>ttà moderne ha posto in crisi l’</w:t>
      </w:r>
      <w:r w:rsidRPr="003400BF">
        <w:rPr>
          <w:rFonts w:ascii="Garamond" w:hAnsi="Garamond" w:cs="Times New Roman"/>
        </w:rPr>
        <w:t>equivalenza collettività locale — utenza, mostrando che gli utenti dei servizi possono essere diversi in misura sensibile rispetto ai residenti e divenire portatori di interessi in contrasto con quelli dei residenti v. M.</w:t>
      </w:r>
      <w:r>
        <w:rPr>
          <w:rFonts w:ascii="Garamond" w:hAnsi="Garamond" w:cs="Times New Roman"/>
        </w:rPr>
        <w:t xml:space="preserve"> </w:t>
      </w:r>
      <w:proofErr w:type="spellStart"/>
      <w:r w:rsidRPr="003400BF">
        <w:rPr>
          <w:rFonts w:ascii="Garamond" w:hAnsi="Garamond" w:cs="Times New Roman"/>
        </w:rPr>
        <w:t>Dugato</w:t>
      </w:r>
      <w:proofErr w:type="spellEnd"/>
      <w:r w:rsidRPr="003400BF">
        <w:rPr>
          <w:rFonts w:ascii="Garamond" w:hAnsi="Garamond" w:cs="Times New Roman"/>
        </w:rPr>
        <w:t xml:space="preserve">, La crisi del concetto di servizio pubblico locale tra apparenza e realtà, in Diritto Amministrativo, fasc. 3, 1 settembre 2020, </w:t>
      </w:r>
      <w:proofErr w:type="spellStart"/>
      <w:r w:rsidRPr="003400BF">
        <w:rPr>
          <w:rFonts w:ascii="Garamond" w:hAnsi="Garamond" w:cs="Times New Roman"/>
        </w:rPr>
        <w:t>pagg</w:t>
      </w:r>
      <w:proofErr w:type="spellEnd"/>
      <w:r w:rsidRPr="003400BF">
        <w:rPr>
          <w:rFonts w:ascii="Garamond" w:hAnsi="Garamond" w:cs="Times New Roman"/>
        </w:rPr>
        <w:t>. 510 e ss..</w:t>
      </w:r>
    </w:p>
  </w:footnote>
  <w:footnote w:id="8">
    <w:p w14:paraId="7BFA1151" w14:textId="11E6F3CD" w:rsidR="00F247DB" w:rsidRPr="003400BF" w:rsidRDefault="00F247DB" w:rsidP="00F074A9">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Lettera espressamente richiamata dalla </w:t>
      </w:r>
      <w:proofErr w:type="spellStart"/>
      <w:r w:rsidRPr="003400BF">
        <w:rPr>
          <w:rFonts w:ascii="Garamond" w:hAnsi="Garamond" w:cs="Times New Roman"/>
        </w:rPr>
        <w:t>lett</w:t>
      </w:r>
      <w:proofErr w:type="spellEnd"/>
      <w:r w:rsidRPr="003400BF">
        <w:rPr>
          <w:rFonts w:ascii="Garamond" w:hAnsi="Garamond" w:cs="Times New Roman"/>
        </w:rPr>
        <w:t>. a) del comma 2 dell’art. 8 Legge 5 agosto 2022, n. 118 nell’ambito della delega al Governo in materia di servizi pubblici locali.</w:t>
      </w:r>
    </w:p>
  </w:footnote>
  <w:footnote w:id="9">
    <w:p w14:paraId="29D482F1" w14:textId="7724ED11" w:rsidR="00F247DB" w:rsidRPr="003400BF" w:rsidRDefault="00F247DB" w:rsidP="00F074A9">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V. </w:t>
      </w:r>
      <w:r>
        <w:rPr>
          <w:rFonts w:ascii="Garamond" w:hAnsi="Garamond" w:cs="Times New Roman"/>
        </w:rPr>
        <w:t xml:space="preserve">la </w:t>
      </w:r>
      <w:r w:rsidRPr="003400BF">
        <w:rPr>
          <w:rFonts w:ascii="Garamond" w:hAnsi="Garamond" w:cs="Times New Roman"/>
        </w:rPr>
        <w:t>sentenza n. 150/2016 della Corte Costituzionale.</w:t>
      </w:r>
    </w:p>
  </w:footnote>
  <w:footnote w:id="10">
    <w:p w14:paraId="2E63DD36" w14:textId="40655C93" w:rsidR="00F247DB" w:rsidRPr="003400BF" w:rsidRDefault="00F247DB" w:rsidP="00F074A9">
      <w:pPr>
        <w:pStyle w:val="Testonotaapidipagina"/>
        <w:jc w:val="both"/>
        <w:rPr>
          <w:rFonts w:ascii="Garamond" w:hAnsi="Garamond"/>
        </w:rPr>
      </w:pPr>
      <w:r w:rsidRPr="003400BF">
        <w:rPr>
          <w:rStyle w:val="Rimandonotaapidipagina"/>
          <w:rFonts w:ascii="Garamond" w:hAnsi="Garamond" w:cs="Times New Roman"/>
        </w:rPr>
        <w:footnoteRef/>
      </w:r>
      <w:r w:rsidRPr="003400BF">
        <w:rPr>
          <w:rFonts w:ascii="Garamond" w:hAnsi="Garamond" w:cs="Times New Roman"/>
        </w:rPr>
        <w:t xml:space="preserve"> V. </w:t>
      </w:r>
      <w:r>
        <w:rPr>
          <w:rFonts w:ascii="Garamond" w:hAnsi="Garamond" w:cs="Times New Roman"/>
        </w:rPr>
        <w:t xml:space="preserve">la </w:t>
      </w:r>
      <w:r w:rsidRPr="003400BF">
        <w:rPr>
          <w:rFonts w:ascii="Garamond" w:hAnsi="Garamond" w:cs="Times New Roman"/>
        </w:rPr>
        <w:t>sentenza n. 251/2016 della Corte Costituzionale.</w:t>
      </w:r>
    </w:p>
  </w:footnote>
  <w:footnote w:id="11">
    <w:p w14:paraId="144EE6ED" w14:textId="6881D8AD" w:rsidR="00F247DB" w:rsidRPr="002C6785" w:rsidRDefault="00F247DB">
      <w:pPr>
        <w:pStyle w:val="Testonotaapidipagina"/>
        <w:rPr>
          <w:rFonts w:ascii="Garamond" w:hAnsi="Garamond"/>
        </w:rPr>
      </w:pPr>
      <w:r w:rsidRPr="002C6785">
        <w:rPr>
          <w:rStyle w:val="Rimandonotaapidipagina"/>
          <w:rFonts w:ascii="Garamond" w:hAnsi="Garamond"/>
        </w:rPr>
        <w:footnoteRef/>
      </w:r>
      <w:r w:rsidRPr="002C6785">
        <w:rPr>
          <w:rFonts w:ascii="Garamond" w:hAnsi="Garamond"/>
        </w:rPr>
        <w:t xml:space="preserve"> </w:t>
      </w:r>
      <w:r>
        <w:rPr>
          <w:rFonts w:ascii="Garamond" w:hAnsi="Garamond"/>
        </w:rPr>
        <w:t xml:space="preserve">In </w:t>
      </w:r>
      <w:r w:rsidRPr="002C6785">
        <w:rPr>
          <w:rFonts w:ascii="Garamond" w:hAnsi="Garamond"/>
        </w:rPr>
        <w:t>G</w:t>
      </w:r>
      <w:r>
        <w:rPr>
          <w:rFonts w:ascii="Garamond" w:hAnsi="Garamond"/>
        </w:rPr>
        <w:t>.</w:t>
      </w:r>
      <w:r w:rsidRPr="002C6785">
        <w:rPr>
          <w:rFonts w:ascii="Garamond" w:hAnsi="Garamond"/>
        </w:rPr>
        <w:t>U</w:t>
      </w:r>
      <w:r>
        <w:rPr>
          <w:rFonts w:ascii="Garamond" w:hAnsi="Garamond"/>
        </w:rPr>
        <w:t>.</w:t>
      </w:r>
      <w:r w:rsidRPr="002C6785">
        <w:rPr>
          <w:rFonts w:ascii="Garamond" w:hAnsi="Garamond"/>
        </w:rPr>
        <w:t xml:space="preserve"> n.</w:t>
      </w:r>
      <w:r>
        <w:rPr>
          <w:rFonts w:ascii="Garamond" w:hAnsi="Garamond"/>
        </w:rPr>
        <w:t xml:space="preserve"> </w:t>
      </w:r>
      <w:r w:rsidRPr="002C6785">
        <w:rPr>
          <w:rFonts w:ascii="Garamond" w:hAnsi="Garamond"/>
        </w:rPr>
        <w:t>227 del 28</w:t>
      </w:r>
      <w:r>
        <w:rPr>
          <w:rFonts w:ascii="Garamond" w:hAnsi="Garamond"/>
        </w:rPr>
        <w:t xml:space="preserve"> settembre 2000 - </w:t>
      </w:r>
      <w:proofErr w:type="spellStart"/>
      <w:r>
        <w:rPr>
          <w:rFonts w:ascii="Garamond" w:hAnsi="Garamond"/>
        </w:rPr>
        <w:t>Suppl</w:t>
      </w:r>
      <w:proofErr w:type="spellEnd"/>
      <w:r>
        <w:rPr>
          <w:rFonts w:ascii="Garamond" w:hAnsi="Garamond"/>
        </w:rPr>
        <w:t>. Ordinario n. 162.</w:t>
      </w:r>
    </w:p>
  </w:footnote>
  <w:footnote w:id="12">
    <w:p w14:paraId="23C3B9EE" w14:textId="77777777" w:rsidR="00F247DB" w:rsidRDefault="00F247DB" w:rsidP="00395A3B">
      <w:pPr>
        <w:pStyle w:val="Testonotaapidipagina"/>
        <w:jc w:val="both"/>
        <w:rPr>
          <w:rFonts w:ascii="Garamond" w:hAnsi="Garamond"/>
          <w:i/>
        </w:rPr>
      </w:pPr>
      <w:r w:rsidRPr="002C6785">
        <w:rPr>
          <w:rStyle w:val="Rimandonotaapidipagina"/>
          <w:rFonts w:ascii="Garamond" w:hAnsi="Garamond"/>
        </w:rPr>
        <w:footnoteRef/>
      </w:r>
      <w:r w:rsidRPr="002C6785">
        <w:rPr>
          <w:rFonts w:ascii="Garamond" w:hAnsi="Garamond"/>
        </w:rPr>
        <w:t xml:space="preserve"> In particolare, la Corte Costituzionale ha evidenziato quanto segue</w:t>
      </w:r>
      <w:r>
        <w:rPr>
          <w:rFonts w:ascii="Garamond" w:hAnsi="Garamond"/>
        </w:rPr>
        <w:t xml:space="preserve"> a proposito di tali servizi</w:t>
      </w:r>
      <w:r w:rsidRPr="002C6785">
        <w:rPr>
          <w:rFonts w:ascii="Garamond" w:hAnsi="Garamond"/>
        </w:rPr>
        <w:t>:</w:t>
      </w:r>
      <w:r>
        <w:rPr>
          <w:rFonts w:ascii="Garamond" w:hAnsi="Garamond"/>
        </w:rPr>
        <w:t xml:space="preserve"> “</w:t>
      </w:r>
      <w:r w:rsidRPr="002C6785">
        <w:rPr>
          <w:rFonts w:ascii="Garamond" w:hAnsi="Garamond"/>
          <w:i/>
        </w:rPr>
        <w:t>La nuova denominazione di questi servizi, adottata in conformità a tendenze emerse in sede di Commissione europea a decorrere dal settembre 2000, già di per sé può indicare che il titolo di legittimazione per gli interventi del legislatore statale costituito dalla tutela della concorrenza non è applicabile a questo tipo di servizi, proprio perché in riferimento ad essi non esiste un mercato concorrenziale.</w:t>
      </w:r>
    </w:p>
    <w:p w14:paraId="26C0B688" w14:textId="77777777" w:rsidR="00F247DB" w:rsidRPr="002C6785" w:rsidRDefault="00F247DB" w:rsidP="00395A3B">
      <w:pPr>
        <w:pStyle w:val="Testonotaapidipagina"/>
        <w:jc w:val="both"/>
        <w:rPr>
          <w:rFonts w:ascii="Garamond" w:hAnsi="Garamond"/>
          <w:i/>
        </w:rPr>
      </w:pPr>
      <w:r w:rsidRPr="002C6785">
        <w:rPr>
          <w:rFonts w:ascii="Garamond" w:hAnsi="Garamond"/>
          <w:i/>
        </w:rPr>
        <w:t>A questo proposito la Commissione europea, nel “Libro Verde sui servizi di interesse generale” (COM-2003-270) del 21 maggio 2003, ha affermato che le norme sulla concorrenza si applicano soltanto alle attività economiche, dopo aver precisato che la distinzione tra attività economiche e non economiche ha carattere dinamico ed evolutivo, cosicché non sarebbe possibile fissare a priori un elenco definitivo dei servizi di interesse generale di natura “non economica”. Secondo la costante giurisprudenza comunitaria spetta infatti al giudice nazionale valutare circostanze e condizioni in cui il servizio viene prestato, tenendo conto, in particolare, dell'assenza di uno scopo precipuamente lucrativo, della mancata assunzione dei rischi connessi a tale attività ed anche dell'eventuale finanziamento pubblico dell'attività in questione (Corte di giustizia CE, sentenza 22 maggio 2003, causa 18/2001). Per i servizi locali, quindi, che, in relazione al soggetto erogatore, ai caratteri ed alle modalità della prestazione, ai destinatari, appaiono privi di “rilevanza economica”, ci sarà dunque spazio per una specifica ed adeguata disciplina di fonte regionale ed anche locale</w:t>
      </w:r>
      <w:r>
        <w:rPr>
          <w:rFonts w:ascii="Garamond" w:hAnsi="Garamond"/>
        </w:rPr>
        <w:t>”</w:t>
      </w:r>
      <w:r w:rsidRPr="002C6785">
        <w:rPr>
          <w:rFonts w:ascii="Garamond" w:hAnsi="Garamond"/>
          <w:i/>
        </w:rPr>
        <w:t>.</w:t>
      </w:r>
    </w:p>
  </w:footnote>
  <w:footnote w:id="13">
    <w:p w14:paraId="6E885436" w14:textId="637ED392" w:rsidR="00F247DB" w:rsidRPr="003400BF" w:rsidRDefault="00F247DB" w:rsidP="00747162">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In particolare, si prevede quanto segue: “</w:t>
      </w:r>
      <w:r w:rsidRPr="003400BF">
        <w:rPr>
          <w:rFonts w:ascii="Garamond" w:hAnsi="Garamond" w:cs="Times New Roman"/>
          <w:i/>
        </w:rPr>
        <w:t>Fatti salvi l'articolo 4 del trattato sull'Unione europea e gli articoli 93, 106 e 107 del presente trattato, in considerazione dell'importanza dei servizi di interesse economico generale nell'ambito dei valori comuni dell'Unione, nonché del loro ruolo nella promozione della coesione sociale e territoriale, l'Unione e gli Stati membri, secondo le</w:t>
      </w:r>
      <w:r w:rsidRPr="003400BF">
        <w:rPr>
          <w:rFonts w:ascii="Garamond" w:hAnsi="Garamond"/>
        </w:rPr>
        <w:t xml:space="preserve"> </w:t>
      </w:r>
      <w:r w:rsidRPr="003400BF">
        <w:rPr>
          <w:rFonts w:ascii="Garamond" w:hAnsi="Garamond" w:cs="Times New Roman"/>
          <w:i/>
        </w:rPr>
        <w:t>rispettive competenze e nell'ambito del campo di applicazione dei trattati, provvedono affinché tali servizi funzionino in base a principi e condizioni, in particolare economiche e finanziarie, che consentano loro di assolvere i propri compiti. Il Parlamento europeo e il Consiglio, deliberando mediante regolamenti secondo la procedura legislativa ordinaria, stabiliscono tali principi e fissano tali condizioni, fatta salva la competenza degli Stati membri, nel rispetto dei trattati, di fornire, fare eseguire e finanziare tali servizi</w:t>
      </w:r>
      <w:r w:rsidRPr="003400BF">
        <w:rPr>
          <w:rFonts w:ascii="Garamond" w:hAnsi="Garamond" w:cs="Times New Roman"/>
        </w:rPr>
        <w:t>”.</w:t>
      </w:r>
    </w:p>
  </w:footnote>
  <w:footnote w:id="14">
    <w:p w14:paraId="5916BF63" w14:textId="77777777" w:rsidR="00F247DB" w:rsidRPr="003400BF" w:rsidRDefault="00F247DB" w:rsidP="00747162">
      <w:pPr>
        <w:pStyle w:val="Testonotaapidipagina"/>
        <w:jc w:val="both"/>
        <w:rPr>
          <w:rFonts w:ascii="Garamond" w:hAnsi="Garamond" w:cs="Times New Roman"/>
          <w:i/>
        </w:rPr>
      </w:pPr>
      <w:r w:rsidRPr="003400BF">
        <w:rPr>
          <w:rStyle w:val="Rimandonotaapidipagina"/>
          <w:rFonts w:ascii="Garamond" w:hAnsi="Garamond" w:cs="Times New Roman"/>
        </w:rPr>
        <w:footnoteRef/>
      </w:r>
      <w:r w:rsidRPr="003400BF">
        <w:rPr>
          <w:rFonts w:ascii="Garamond" w:hAnsi="Garamond" w:cs="Times New Roman"/>
        </w:rPr>
        <w:t xml:space="preserve"> “</w:t>
      </w:r>
      <w:r w:rsidRPr="003400BF">
        <w:rPr>
          <w:rFonts w:ascii="Garamond" w:hAnsi="Garamond" w:cs="Times New Roman"/>
          <w:i/>
        </w:rPr>
        <w:t>1.   Gli Stati membri non emanano né mantengono, nei confronti delle imprese pubbliche e delle imprese cui riconoscono diritti speciali o esclusivi, alcuna misura contraria alle norme dei trattati, specialmente a quelle contemplate dagli articoli 18 e da 101 a 109 inclusi.</w:t>
      </w:r>
    </w:p>
    <w:p w14:paraId="58B92D1A" w14:textId="77777777" w:rsidR="00F247DB" w:rsidRPr="003400BF" w:rsidRDefault="00F247DB" w:rsidP="00747162">
      <w:pPr>
        <w:pStyle w:val="Testonotaapidipagina"/>
        <w:jc w:val="both"/>
        <w:rPr>
          <w:rFonts w:ascii="Garamond" w:hAnsi="Garamond" w:cs="Times New Roman"/>
          <w:i/>
        </w:rPr>
      </w:pPr>
      <w:r w:rsidRPr="003400BF">
        <w:rPr>
          <w:rFonts w:ascii="Garamond" w:hAnsi="Garamond" w:cs="Times New Roman"/>
          <w:i/>
        </w:rPr>
        <w:t>2.   Le imprese incaricate della gestione di servizi di interesse economico generale o aventi carattere di monopolio fiscale sono sottoposte alle norme dei trattati, e in particolare alle regole di concorrenza, nei limiti in cui l'applicazione di tali norme non osti all'adempimento, in linea di diritto e di fatto, della specifica missione loro affidata. Lo sviluppo degli scambi non deve essere compromesso in misura contraria agli interessi dell'Unione.</w:t>
      </w:r>
    </w:p>
    <w:p w14:paraId="236D7C89" w14:textId="53042D1D" w:rsidR="00F247DB" w:rsidRPr="003400BF" w:rsidRDefault="00F247DB" w:rsidP="00747162">
      <w:pPr>
        <w:pStyle w:val="Testonotaapidipagina"/>
        <w:jc w:val="both"/>
        <w:rPr>
          <w:rFonts w:ascii="Garamond" w:hAnsi="Garamond"/>
        </w:rPr>
      </w:pPr>
      <w:r w:rsidRPr="003400BF">
        <w:rPr>
          <w:rFonts w:ascii="Garamond" w:hAnsi="Garamond" w:cs="Times New Roman"/>
          <w:i/>
        </w:rPr>
        <w:t>3.   La Commissione vigila sull'applicazione delle disposizioni del presente articolo rivolgendo, ove occorra, agli Stati membri, opportune direttive o decisioni</w:t>
      </w:r>
      <w:r w:rsidRPr="003400BF">
        <w:rPr>
          <w:rFonts w:ascii="Garamond" w:hAnsi="Garamond" w:cs="Times New Roman"/>
        </w:rPr>
        <w:t>”.</w:t>
      </w:r>
    </w:p>
  </w:footnote>
  <w:footnote w:id="15">
    <w:p w14:paraId="3A933A26" w14:textId="6B0D0365" w:rsidR="00F247DB" w:rsidRDefault="00F247DB" w:rsidP="00AA5DCD">
      <w:pPr>
        <w:pStyle w:val="Testonotaapidipagina"/>
        <w:jc w:val="both"/>
      </w:pPr>
      <w:r w:rsidRPr="003400BF">
        <w:rPr>
          <w:rStyle w:val="Rimandonotaapidipagina"/>
          <w:rFonts w:ascii="Garamond" w:hAnsi="Garamond"/>
        </w:rPr>
        <w:footnoteRef/>
      </w:r>
      <w:r w:rsidRPr="003400BF">
        <w:rPr>
          <w:rFonts w:ascii="Garamond" w:hAnsi="Garamond"/>
        </w:rPr>
        <w:t xml:space="preserve"> </w:t>
      </w:r>
      <w:r>
        <w:rPr>
          <w:rFonts w:ascii="Garamond" w:hAnsi="Garamond"/>
        </w:rPr>
        <w:t xml:space="preserve">M. </w:t>
      </w:r>
      <w:proofErr w:type="spellStart"/>
      <w:r w:rsidRPr="003400BF">
        <w:rPr>
          <w:rFonts w:ascii="Garamond" w:hAnsi="Garamond"/>
        </w:rPr>
        <w:t>Trimarchi</w:t>
      </w:r>
      <w:proofErr w:type="spellEnd"/>
      <w:r w:rsidRPr="003400BF">
        <w:rPr>
          <w:rFonts w:ascii="Garamond" w:hAnsi="Garamond"/>
        </w:rPr>
        <w:t>, I servizi di interesse economico generale nel prisma della concorrenza, in Rivista Italiana di Diritto Pubblico Comunitario, fasc. 1, 1 febbraio 2020</w:t>
      </w:r>
      <w:r>
        <w:rPr>
          <w:rFonts w:ascii="Garamond" w:hAnsi="Garamond"/>
        </w:rPr>
        <w:t>, pag. 26 e la dottrina ivi citata</w:t>
      </w:r>
      <w:r w:rsidRPr="003400BF">
        <w:rPr>
          <w:rFonts w:ascii="Garamond" w:hAnsi="Garamond"/>
        </w:rPr>
        <w:t>.</w:t>
      </w:r>
    </w:p>
  </w:footnote>
  <w:footnote w:id="16">
    <w:p w14:paraId="4043BEE5" w14:textId="535215D5" w:rsidR="00F247DB" w:rsidRPr="00AA5DCD" w:rsidRDefault="00F247DB">
      <w:pPr>
        <w:pStyle w:val="Testonotaapidipagina"/>
        <w:rPr>
          <w:rFonts w:ascii="Garamond" w:hAnsi="Garamond"/>
        </w:rPr>
      </w:pPr>
      <w:r w:rsidRPr="00AA5DCD">
        <w:rPr>
          <w:rStyle w:val="Rimandonotaapidipagina"/>
          <w:rFonts w:ascii="Garamond" w:hAnsi="Garamond"/>
        </w:rPr>
        <w:footnoteRef/>
      </w:r>
      <w:r w:rsidRPr="00AA5DCD">
        <w:rPr>
          <w:rFonts w:ascii="Garamond" w:hAnsi="Garamond"/>
        </w:rPr>
        <w:t xml:space="preserve"> </w:t>
      </w:r>
      <w:r>
        <w:rPr>
          <w:rFonts w:ascii="Garamond" w:hAnsi="Garamond"/>
        </w:rPr>
        <w:t>Ibid</w:t>
      </w:r>
      <w:r w:rsidRPr="00AA5DCD">
        <w:rPr>
          <w:rFonts w:ascii="Garamond" w:hAnsi="Garamond"/>
        </w:rPr>
        <w:t>.</w:t>
      </w:r>
    </w:p>
  </w:footnote>
  <w:footnote w:id="17">
    <w:p w14:paraId="679DC5A3" w14:textId="77777777" w:rsidR="00F247DB" w:rsidRPr="003400BF" w:rsidRDefault="00F247DB" w:rsidP="00747162">
      <w:pPr>
        <w:pStyle w:val="Testonotaapidipagina"/>
        <w:jc w:val="both"/>
        <w:rPr>
          <w:rFonts w:ascii="Garamond" w:hAnsi="Garamond" w:cs="Times New Roman"/>
          <w:i/>
        </w:rPr>
      </w:pPr>
      <w:r w:rsidRPr="003400BF">
        <w:rPr>
          <w:rStyle w:val="Rimandonotaapidipagina"/>
          <w:rFonts w:ascii="Garamond" w:hAnsi="Garamond" w:cs="Times New Roman"/>
        </w:rPr>
        <w:footnoteRef/>
      </w:r>
      <w:r w:rsidRPr="003400BF">
        <w:rPr>
          <w:rFonts w:ascii="Garamond" w:hAnsi="Garamond" w:cs="Times New Roman"/>
        </w:rPr>
        <w:t xml:space="preserve"> “</w:t>
      </w:r>
      <w:r w:rsidRPr="003400BF">
        <w:rPr>
          <w:rFonts w:ascii="Garamond" w:hAnsi="Garamond" w:cs="Times New Roman"/>
          <w:i/>
        </w:rPr>
        <w:t>Articolo 1</w:t>
      </w:r>
    </w:p>
    <w:p w14:paraId="2AB3E5C4" w14:textId="77777777" w:rsidR="00F247DB" w:rsidRPr="003400BF" w:rsidRDefault="00F247DB" w:rsidP="00747162">
      <w:pPr>
        <w:pStyle w:val="Testonotaapidipagina"/>
        <w:jc w:val="both"/>
        <w:rPr>
          <w:rFonts w:ascii="Garamond" w:hAnsi="Garamond" w:cs="Times New Roman"/>
          <w:i/>
        </w:rPr>
      </w:pPr>
      <w:r w:rsidRPr="003400BF">
        <w:rPr>
          <w:rFonts w:ascii="Garamond" w:hAnsi="Garamond" w:cs="Times New Roman"/>
          <w:i/>
        </w:rPr>
        <w:t>I valori comuni dell'Unione con riguardo al settore dei servizi di interesse economico generale ai sensi dell'articolo 14 del trattato sul funzionamento dell'Unione europea comprendono in particolare:</w:t>
      </w:r>
    </w:p>
    <w:p w14:paraId="52826B17" w14:textId="77777777" w:rsidR="00F247DB" w:rsidRPr="003400BF" w:rsidRDefault="00F247DB" w:rsidP="00747162">
      <w:pPr>
        <w:pStyle w:val="Testonotaapidipagina"/>
        <w:jc w:val="both"/>
        <w:rPr>
          <w:rFonts w:ascii="Garamond" w:hAnsi="Garamond" w:cs="Times New Roman"/>
          <w:i/>
        </w:rPr>
      </w:pPr>
      <w:r w:rsidRPr="003400BF">
        <w:rPr>
          <w:rFonts w:ascii="Garamond" w:hAnsi="Garamond" w:cs="Times New Roman"/>
          <w:i/>
        </w:rPr>
        <w:t>— il ruolo essenziale e l'ampio potere discrezionale delle autorità nazionali, regionali e locali di fornire, commissionare e organizzare servizi di interesse economico generale il più vicini possibile alle esigenze degli utenti;</w:t>
      </w:r>
    </w:p>
    <w:p w14:paraId="705337DB" w14:textId="77777777" w:rsidR="00F247DB" w:rsidRPr="003400BF" w:rsidRDefault="00F247DB" w:rsidP="00747162">
      <w:pPr>
        <w:pStyle w:val="Testonotaapidipagina"/>
        <w:jc w:val="both"/>
        <w:rPr>
          <w:rFonts w:ascii="Garamond" w:hAnsi="Garamond" w:cs="Times New Roman"/>
          <w:i/>
        </w:rPr>
      </w:pPr>
      <w:r w:rsidRPr="003400BF">
        <w:rPr>
          <w:rFonts w:ascii="Garamond" w:hAnsi="Garamond" w:cs="Times New Roman"/>
          <w:i/>
        </w:rPr>
        <w:t>— la diversità tra i vari servizi di interesse economico generale e le differenze delle esigenze e preferenze degli utenti che possono discendere da situazioni geografiche, sociali e culturali diverse;</w:t>
      </w:r>
    </w:p>
    <w:p w14:paraId="4392B8FB" w14:textId="77777777" w:rsidR="00F247DB" w:rsidRPr="003400BF" w:rsidRDefault="00F247DB" w:rsidP="00747162">
      <w:pPr>
        <w:pStyle w:val="Testonotaapidipagina"/>
        <w:jc w:val="both"/>
        <w:rPr>
          <w:rFonts w:ascii="Garamond" w:hAnsi="Garamond" w:cs="Times New Roman"/>
          <w:i/>
        </w:rPr>
      </w:pPr>
      <w:r w:rsidRPr="003400BF">
        <w:rPr>
          <w:rFonts w:ascii="Garamond" w:hAnsi="Garamond" w:cs="Times New Roman"/>
          <w:i/>
        </w:rPr>
        <w:t>— un alto livello di qualità, sicurezza e accessibilità economica, la parità di trattamento e la promozione dell'accesso universale e dei diritti dell'utente.</w:t>
      </w:r>
    </w:p>
    <w:p w14:paraId="2125F5B8" w14:textId="77777777" w:rsidR="00F247DB" w:rsidRPr="003400BF" w:rsidRDefault="00F247DB" w:rsidP="00747162">
      <w:pPr>
        <w:pStyle w:val="Testonotaapidipagina"/>
        <w:jc w:val="both"/>
        <w:rPr>
          <w:rFonts w:ascii="Garamond" w:hAnsi="Garamond" w:cs="Times New Roman"/>
          <w:i/>
        </w:rPr>
      </w:pPr>
      <w:r w:rsidRPr="003400BF">
        <w:rPr>
          <w:rFonts w:ascii="Garamond" w:hAnsi="Garamond" w:cs="Times New Roman"/>
          <w:i/>
        </w:rPr>
        <w:t>Articolo 2</w:t>
      </w:r>
    </w:p>
    <w:p w14:paraId="63BC93CB" w14:textId="485047EB" w:rsidR="00F247DB" w:rsidRPr="003400BF" w:rsidRDefault="00F247DB" w:rsidP="00747162">
      <w:pPr>
        <w:pStyle w:val="Testonotaapidipagina"/>
        <w:jc w:val="both"/>
        <w:rPr>
          <w:rFonts w:ascii="Garamond" w:hAnsi="Garamond"/>
        </w:rPr>
      </w:pPr>
      <w:r w:rsidRPr="003400BF">
        <w:rPr>
          <w:rFonts w:ascii="Garamond" w:hAnsi="Garamond" w:cs="Times New Roman"/>
          <w:i/>
        </w:rPr>
        <w:t>Le disposizioni dei trattati lasciano impregiudicata la competenza degli Stati membri a fornire, a commissionare e ad organizzare servizi di interesse generale non economico</w:t>
      </w:r>
      <w:r w:rsidRPr="003400BF">
        <w:rPr>
          <w:rFonts w:ascii="Garamond" w:hAnsi="Garamond" w:cs="Times New Roman"/>
        </w:rPr>
        <w:t>”.</w:t>
      </w:r>
    </w:p>
  </w:footnote>
  <w:footnote w:id="18">
    <w:p w14:paraId="0DD88828" w14:textId="19C92EBE" w:rsidR="00F247DB" w:rsidRPr="003400BF" w:rsidRDefault="00F247DB" w:rsidP="00D30168">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Comunicazione della Commissione al Parlamento Europeo, al Consiglio, al Comitato Economico e Sociale Europeo e al Comitato delle Regioni - Una disciplina di qualità per i servizi di interesse generale in Europa - 20.12.2011 COM.</w:t>
      </w:r>
    </w:p>
  </w:footnote>
  <w:footnote w:id="19">
    <w:p w14:paraId="7ED9ED5F" w14:textId="256C5AB5" w:rsidR="00F247DB" w:rsidRPr="00BF33E8" w:rsidRDefault="00F247DB" w:rsidP="00BF33E8">
      <w:pPr>
        <w:pStyle w:val="Testonotaapidipagina"/>
        <w:jc w:val="both"/>
        <w:rPr>
          <w:rFonts w:ascii="Times New Roman" w:hAnsi="Times New Roman" w:cs="Times New Roman"/>
        </w:rPr>
      </w:pPr>
      <w:r w:rsidRPr="003400BF">
        <w:rPr>
          <w:rStyle w:val="Rimandonotaapidipagina"/>
          <w:rFonts w:ascii="Garamond" w:hAnsi="Garamond" w:cs="Times New Roman"/>
        </w:rPr>
        <w:footnoteRef/>
      </w:r>
      <w:r w:rsidRPr="003400BF">
        <w:rPr>
          <w:rFonts w:ascii="Garamond" w:hAnsi="Garamond" w:cs="Times New Roman"/>
        </w:rPr>
        <w:t xml:space="preserve"> Tra gli obblighi di servizio pubblico vi sono gli obblighi di servizio universale (OSU) i quali vengono così definiti nella suddetta Comunicazione della Commissione: “</w:t>
      </w:r>
      <w:r w:rsidRPr="003400BF">
        <w:rPr>
          <w:rFonts w:ascii="Garamond" w:hAnsi="Garamond" w:cs="Times New Roman"/>
          <w:i/>
        </w:rPr>
        <w:t>sono un tipo di OSP che stabiliscono le condizioni per assicurare che taluni servizi siano messi a disposizione di tutti i consumatori e utenti di uno Stato membro, a prescindere dalla loro localizzazione geografica, a un determinato livello di qualità e, tenendo conto delle circostanze nazionali, ad un prezzo abbordabile. La definizione di OSU specifici è stabilita a livello europeo come componente essenziale della liberalizzazione del mercato nel settore dei servizi, quali le telecomunicazioni, i servizi postali e i trasporti</w:t>
      </w:r>
      <w:r w:rsidRPr="003400BF">
        <w:rPr>
          <w:rFonts w:ascii="Garamond" w:hAnsi="Garamond" w:cs="Times New Roman"/>
        </w:rPr>
        <w:t>”.</w:t>
      </w:r>
    </w:p>
  </w:footnote>
  <w:footnote w:id="20">
    <w:p w14:paraId="308606CF" w14:textId="0091523B" w:rsidR="00F247DB" w:rsidRPr="003400BF" w:rsidRDefault="00F247DB" w:rsidP="00D70260">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Quanto a quelli privi di interesse economico v. </w:t>
      </w:r>
      <w:r>
        <w:rPr>
          <w:rFonts w:ascii="Garamond" w:hAnsi="Garamond" w:cs="Times New Roman"/>
        </w:rPr>
        <w:t xml:space="preserve">F. </w:t>
      </w:r>
      <w:proofErr w:type="spellStart"/>
      <w:r w:rsidRPr="003400BF">
        <w:rPr>
          <w:rFonts w:ascii="Garamond" w:hAnsi="Garamond" w:cs="Times New Roman"/>
        </w:rPr>
        <w:t>Midiri</w:t>
      </w:r>
      <w:proofErr w:type="spellEnd"/>
      <w:r w:rsidRPr="003400BF">
        <w:rPr>
          <w:rFonts w:ascii="Garamond" w:hAnsi="Garamond" w:cs="Times New Roman"/>
        </w:rPr>
        <w:t xml:space="preserve">, I servizi pubblici locali privi di interesse economico fra legislatore nazionale e giurisprudenza europea, in </w:t>
      </w:r>
      <w:proofErr w:type="spellStart"/>
      <w:r w:rsidRPr="003400BF">
        <w:rPr>
          <w:rFonts w:ascii="Garamond" w:hAnsi="Garamond" w:cs="Times New Roman"/>
        </w:rPr>
        <w:t>Federalismi.it</w:t>
      </w:r>
      <w:proofErr w:type="spellEnd"/>
      <w:r w:rsidRPr="003400BF">
        <w:rPr>
          <w:rFonts w:ascii="Garamond" w:hAnsi="Garamond" w:cs="Times New Roman"/>
        </w:rPr>
        <w:t>.</w:t>
      </w:r>
    </w:p>
  </w:footnote>
  <w:footnote w:id="21">
    <w:p w14:paraId="40B35352" w14:textId="300270EA" w:rsidR="00F247DB" w:rsidRPr="003400BF" w:rsidRDefault="00F247DB" w:rsidP="00D70260">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w:t>
      </w:r>
      <w:r>
        <w:rPr>
          <w:rFonts w:ascii="Garamond" w:hAnsi="Garamond" w:cs="Times New Roman"/>
        </w:rPr>
        <w:t xml:space="preserve">In </w:t>
      </w:r>
      <w:r w:rsidRPr="00E42743">
        <w:rPr>
          <w:rFonts w:ascii="Garamond" w:hAnsi="Garamond" w:cs="Times New Roman"/>
        </w:rPr>
        <w:t>G</w:t>
      </w:r>
      <w:r>
        <w:rPr>
          <w:rFonts w:ascii="Garamond" w:hAnsi="Garamond" w:cs="Times New Roman"/>
        </w:rPr>
        <w:t>.</w:t>
      </w:r>
      <w:r w:rsidRPr="00E42743">
        <w:rPr>
          <w:rFonts w:ascii="Garamond" w:hAnsi="Garamond" w:cs="Times New Roman"/>
        </w:rPr>
        <w:t>U</w:t>
      </w:r>
      <w:r>
        <w:rPr>
          <w:rFonts w:ascii="Garamond" w:hAnsi="Garamond" w:cs="Times New Roman"/>
        </w:rPr>
        <w:t>.</w:t>
      </w:r>
      <w:r w:rsidRPr="00E42743">
        <w:rPr>
          <w:rFonts w:ascii="Garamond" w:hAnsi="Garamond" w:cs="Times New Roman"/>
        </w:rPr>
        <w:t xml:space="preserve"> n.</w:t>
      </w:r>
      <w:r>
        <w:rPr>
          <w:rFonts w:ascii="Garamond" w:hAnsi="Garamond" w:cs="Times New Roman"/>
        </w:rPr>
        <w:t xml:space="preserve"> </w:t>
      </w:r>
      <w:r w:rsidRPr="00E42743">
        <w:rPr>
          <w:rFonts w:ascii="Garamond" w:hAnsi="Garamond" w:cs="Times New Roman"/>
        </w:rPr>
        <w:t>147 del 25</w:t>
      </w:r>
      <w:r>
        <w:rPr>
          <w:rFonts w:ascii="Garamond" w:hAnsi="Garamond" w:cs="Times New Roman"/>
        </w:rPr>
        <w:t>.</w:t>
      </w:r>
      <w:r w:rsidRPr="00E42743">
        <w:rPr>
          <w:rFonts w:ascii="Garamond" w:hAnsi="Garamond" w:cs="Times New Roman"/>
        </w:rPr>
        <w:t>6</w:t>
      </w:r>
      <w:r>
        <w:rPr>
          <w:rFonts w:ascii="Garamond" w:hAnsi="Garamond" w:cs="Times New Roman"/>
        </w:rPr>
        <w:t xml:space="preserve">.2008 - </w:t>
      </w:r>
      <w:proofErr w:type="spellStart"/>
      <w:r>
        <w:rPr>
          <w:rFonts w:ascii="Garamond" w:hAnsi="Garamond" w:cs="Times New Roman"/>
        </w:rPr>
        <w:t>Suppl</w:t>
      </w:r>
      <w:proofErr w:type="spellEnd"/>
      <w:r>
        <w:rPr>
          <w:rFonts w:ascii="Garamond" w:hAnsi="Garamond" w:cs="Times New Roman"/>
        </w:rPr>
        <w:t>. Ordinario n. 152. Tale Decreto è stato c</w:t>
      </w:r>
      <w:r w:rsidRPr="003400BF">
        <w:rPr>
          <w:rFonts w:ascii="Garamond" w:hAnsi="Garamond" w:cs="Times New Roman"/>
        </w:rPr>
        <w:t>onvertito con modificazioni dalla L. 6 agosto 2008, n. 133 (in SO n.</w:t>
      </w:r>
      <w:r>
        <w:rPr>
          <w:rFonts w:ascii="Garamond" w:hAnsi="Garamond" w:cs="Times New Roman"/>
        </w:rPr>
        <w:t xml:space="preserve"> </w:t>
      </w:r>
      <w:r w:rsidRPr="003400BF">
        <w:rPr>
          <w:rFonts w:ascii="Garamond" w:hAnsi="Garamond" w:cs="Times New Roman"/>
        </w:rPr>
        <w:t xml:space="preserve">196, relativo alla G.U. </w:t>
      </w:r>
      <w:r>
        <w:rPr>
          <w:rFonts w:ascii="Garamond" w:hAnsi="Garamond" w:cs="Times New Roman"/>
        </w:rPr>
        <w:t xml:space="preserve">del </w:t>
      </w:r>
      <w:r w:rsidRPr="003400BF">
        <w:rPr>
          <w:rFonts w:ascii="Garamond" w:hAnsi="Garamond" w:cs="Times New Roman"/>
        </w:rPr>
        <w:t>21</w:t>
      </w:r>
      <w:r>
        <w:rPr>
          <w:rFonts w:ascii="Garamond" w:hAnsi="Garamond" w:cs="Times New Roman"/>
        </w:rPr>
        <w:t xml:space="preserve"> agosto 2</w:t>
      </w:r>
      <w:r w:rsidRPr="003400BF">
        <w:rPr>
          <w:rFonts w:ascii="Garamond" w:hAnsi="Garamond" w:cs="Times New Roman"/>
        </w:rPr>
        <w:t>008, n.</w:t>
      </w:r>
      <w:r>
        <w:rPr>
          <w:rFonts w:ascii="Garamond" w:hAnsi="Garamond" w:cs="Times New Roman"/>
        </w:rPr>
        <w:t xml:space="preserve"> </w:t>
      </w:r>
      <w:r w:rsidRPr="003400BF">
        <w:rPr>
          <w:rFonts w:ascii="Garamond" w:hAnsi="Garamond" w:cs="Times New Roman"/>
        </w:rPr>
        <w:t>195).</w:t>
      </w:r>
    </w:p>
  </w:footnote>
  <w:footnote w:id="22">
    <w:p w14:paraId="2326DAF2" w14:textId="2D80F84E" w:rsidR="00F247DB" w:rsidRPr="0017066E" w:rsidRDefault="00F247DB" w:rsidP="00D70260">
      <w:pPr>
        <w:pStyle w:val="Testonotaapidipagina"/>
        <w:jc w:val="both"/>
        <w:rPr>
          <w:rFonts w:ascii="Times New Roman" w:hAnsi="Times New Roman" w:cs="Times New Roman"/>
        </w:rPr>
      </w:pPr>
      <w:r w:rsidRPr="003400BF">
        <w:rPr>
          <w:rStyle w:val="Rimandonotaapidipagina"/>
          <w:rFonts w:ascii="Garamond" w:hAnsi="Garamond" w:cs="Times New Roman"/>
        </w:rPr>
        <w:footnoteRef/>
      </w:r>
      <w:r w:rsidRPr="003400BF">
        <w:rPr>
          <w:rFonts w:ascii="Garamond" w:hAnsi="Garamond" w:cs="Times New Roman"/>
        </w:rPr>
        <w:t xml:space="preserve"> V. sentenza della Corte di giustizia UE 11 gennaio 2005, C-26</w:t>
      </w:r>
      <w:r>
        <w:rPr>
          <w:rFonts w:ascii="Garamond" w:hAnsi="Garamond" w:cs="Times New Roman"/>
        </w:rPr>
        <w:t xml:space="preserve">/03, </w:t>
      </w:r>
      <w:proofErr w:type="spellStart"/>
      <w:r>
        <w:rPr>
          <w:rFonts w:ascii="Garamond" w:hAnsi="Garamond" w:cs="Times New Roman"/>
        </w:rPr>
        <w:t>Stadt</w:t>
      </w:r>
      <w:proofErr w:type="spellEnd"/>
      <w:r>
        <w:rPr>
          <w:rFonts w:ascii="Garamond" w:hAnsi="Garamond" w:cs="Times New Roman"/>
        </w:rPr>
        <w:t xml:space="preserve"> Halle, </w:t>
      </w:r>
      <w:r w:rsidRPr="00E42743">
        <w:rPr>
          <w:rFonts w:ascii="Garamond" w:hAnsi="Garamond" w:cs="Times New Roman"/>
        </w:rPr>
        <w:t>ECLI:EU:C:2005:5</w:t>
      </w:r>
      <w:r>
        <w:rPr>
          <w:rFonts w:ascii="Garamond" w:hAnsi="Garamond" w:cs="Times New Roman"/>
        </w:rPr>
        <w:t>, punti 48 e 49.</w:t>
      </w:r>
    </w:p>
  </w:footnote>
  <w:footnote w:id="23">
    <w:p w14:paraId="6FB1ED9A" w14:textId="522717A7" w:rsidR="00F247DB" w:rsidRPr="003400BF" w:rsidRDefault="00F247DB" w:rsidP="00B4229B">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Mediante il D.P.R. 18 luglio 2011, n. 113.</w:t>
      </w:r>
    </w:p>
  </w:footnote>
  <w:footnote w:id="24">
    <w:p w14:paraId="6BBE8E33" w14:textId="2A5F8444" w:rsidR="00F247DB" w:rsidRPr="003400BF" w:rsidRDefault="00F247DB" w:rsidP="00B4229B">
      <w:pPr>
        <w:pStyle w:val="Testonotaapidipagina"/>
        <w:jc w:val="both"/>
        <w:rPr>
          <w:rFonts w:ascii="Garamond" w:hAnsi="Garamond"/>
        </w:rPr>
      </w:pPr>
      <w:r w:rsidRPr="003400BF">
        <w:rPr>
          <w:rStyle w:val="Rimandonotaapidipagina"/>
          <w:rFonts w:ascii="Garamond" w:hAnsi="Garamond" w:cs="Times New Roman"/>
        </w:rPr>
        <w:footnoteRef/>
      </w:r>
      <w:r w:rsidRPr="003400BF">
        <w:rPr>
          <w:rFonts w:ascii="Garamond" w:hAnsi="Garamond" w:cs="Times New Roman"/>
        </w:rPr>
        <w:t xml:space="preserve"> In G.U. n. 188 del 13 agosto 2011. Tale Decreto è stato poi convertito con modificazioni dalla L. 14 settembre 2011, n. 148 (in G.U. 16/09/2011, n. 216).</w:t>
      </w:r>
    </w:p>
  </w:footnote>
  <w:footnote w:id="25">
    <w:p w14:paraId="2B2C037E" w14:textId="1367BA94" w:rsidR="00F247DB" w:rsidRPr="00641887" w:rsidRDefault="00F247DB" w:rsidP="00641887">
      <w:pPr>
        <w:pStyle w:val="Testonotaapidipagina"/>
        <w:jc w:val="both"/>
        <w:rPr>
          <w:rFonts w:ascii="Times New Roman" w:hAnsi="Times New Roman" w:cs="Times New Roman"/>
        </w:rPr>
      </w:pPr>
      <w:r w:rsidRPr="003400BF">
        <w:rPr>
          <w:rStyle w:val="Rimandonotaapidipagina"/>
          <w:rFonts w:ascii="Garamond" w:hAnsi="Garamond" w:cs="Times New Roman"/>
        </w:rPr>
        <w:footnoteRef/>
      </w:r>
      <w:r w:rsidRPr="003400BF">
        <w:rPr>
          <w:rFonts w:ascii="Garamond" w:hAnsi="Garamond" w:cs="Times New Roman"/>
        </w:rPr>
        <w:t xml:space="preserve"> In G.U. n. 245 del 19 ottobre 2012 - </w:t>
      </w:r>
      <w:proofErr w:type="spellStart"/>
      <w:r w:rsidRPr="003400BF">
        <w:rPr>
          <w:rFonts w:ascii="Garamond" w:hAnsi="Garamond" w:cs="Times New Roman"/>
        </w:rPr>
        <w:t>Suppl</w:t>
      </w:r>
      <w:proofErr w:type="spellEnd"/>
      <w:r w:rsidRPr="003400BF">
        <w:rPr>
          <w:rFonts w:ascii="Garamond" w:hAnsi="Garamond" w:cs="Times New Roman"/>
        </w:rPr>
        <w:t>. Ordinario n. 194. Tale Decreto è stato poi convertito con modificazioni dalla L. 17 dicembre 2012, n. 221 (in S.O. n. 208, relativo alla G.U. 18</w:t>
      </w:r>
      <w:r>
        <w:rPr>
          <w:rFonts w:ascii="Garamond" w:hAnsi="Garamond" w:cs="Times New Roman"/>
        </w:rPr>
        <w:t xml:space="preserve"> dicembre 201</w:t>
      </w:r>
      <w:r w:rsidRPr="003400BF">
        <w:rPr>
          <w:rFonts w:ascii="Garamond" w:hAnsi="Garamond" w:cs="Times New Roman"/>
        </w:rPr>
        <w:t>2, n. 294).</w:t>
      </w:r>
    </w:p>
  </w:footnote>
  <w:footnote w:id="26">
    <w:p w14:paraId="76309EC9" w14:textId="32251CE6" w:rsidR="00F247DB" w:rsidRPr="003400BF" w:rsidRDefault="00F247DB">
      <w:pPr>
        <w:pStyle w:val="Testonotaapidipagina"/>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In G.U. n. 187 del 13</w:t>
      </w:r>
      <w:r>
        <w:rPr>
          <w:rFonts w:ascii="Garamond" w:hAnsi="Garamond" w:cs="Times New Roman"/>
        </w:rPr>
        <w:t xml:space="preserve"> agosto </w:t>
      </w:r>
      <w:r w:rsidRPr="003400BF">
        <w:rPr>
          <w:rFonts w:ascii="Garamond" w:hAnsi="Garamond" w:cs="Times New Roman"/>
        </w:rPr>
        <w:t>2015.</w:t>
      </w:r>
    </w:p>
  </w:footnote>
  <w:footnote w:id="27">
    <w:p w14:paraId="2C907C6C" w14:textId="54D27108" w:rsidR="00F247DB" w:rsidRPr="0017066E" w:rsidRDefault="00F247DB" w:rsidP="00063789">
      <w:pPr>
        <w:pStyle w:val="Testonotaapidipagina"/>
        <w:jc w:val="both"/>
        <w:rPr>
          <w:rFonts w:ascii="Times New Roman" w:hAnsi="Times New Roman" w:cs="Times New Roman"/>
        </w:rPr>
      </w:pPr>
      <w:r w:rsidRPr="003400BF">
        <w:rPr>
          <w:rStyle w:val="Rimandonotaapidipagina"/>
          <w:rFonts w:ascii="Garamond" w:hAnsi="Garamond" w:cs="Times New Roman"/>
        </w:rPr>
        <w:footnoteRef/>
      </w:r>
      <w:r w:rsidRPr="003400BF">
        <w:rPr>
          <w:rFonts w:ascii="Garamond" w:hAnsi="Garamond" w:cs="Times New Roman"/>
        </w:rPr>
        <w:t xml:space="preserve"> In G.U. n. 188</w:t>
      </w:r>
      <w:r>
        <w:rPr>
          <w:rFonts w:ascii="Garamond" w:hAnsi="Garamond" w:cs="Times New Roman"/>
        </w:rPr>
        <w:t xml:space="preserve"> del </w:t>
      </w:r>
      <w:r w:rsidRPr="003400BF">
        <w:rPr>
          <w:rFonts w:ascii="Garamond" w:hAnsi="Garamond" w:cs="Times New Roman"/>
        </w:rPr>
        <w:t>12 agosto 2022.</w:t>
      </w:r>
    </w:p>
  </w:footnote>
  <w:footnote w:id="28">
    <w:p w14:paraId="7BFD5411" w14:textId="77777777" w:rsidR="00F247DB" w:rsidRPr="00246119" w:rsidRDefault="00F247DB" w:rsidP="00D61B01">
      <w:pPr>
        <w:pStyle w:val="Testonotaapidipagina"/>
        <w:jc w:val="both"/>
        <w:rPr>
          <w:rFonts w:ascii="Garamond" w:hAnsi="Garamond"/>
        </w:rPr>
      </w:pPr>
      <w:r w:rsidRPr="00246119">
        <w:rPr>
          <w:rStyle w:val="Rimandonotaapidipagina"/>
          <w:rFonts w:ascii="Garamond" w:hAnsi="Garamond"/>
        </w:rPr>
        <w:footnoteRef/>
      </w:r>
      <w:r w:rsidRPr="00246119">
        <w:rPr>
          <w:rFonts w:ascii="Garamond" w:hAnsi="Garamond"/>
        </w:rPr>
        <w:t xml:space="preserve"> Con riferimento ai servizi pubblici locali privi di rilevanza economica </w:t>
      </w:r>
      <w:r>
        <w:rPr>
          <w:rFonts w:ascii="Garamond" w:hAnsi="Garamond"/>
        </w:rPr>
        <w:t xml:space="preserve">come si è detto sopra in seguito all’intervento della Corte Costituzionale nell’anno 2004 </w:t>
      </w:r>
      <w:r w:rsidRPr="00246119">
        <w:rPr>
          <w:rFonts w:ascii="Garamond" w:hAnsi="Garamond"/>
        </w:rPr>
        <w:t>la</w:t>
      </w:r>
      <w:r>
        <w:rPr>
          <w:rFonts w:ascii="Garamond" w:hAnsi="Garamond"/>
        </w:rPr>
        <w:t xml:space="preserve"> relativa</w:t>
      </w:r>
      <w:r w:rsidRPr="00246119">
        <w:rPr>
          <w:rFonts w:ascii="Garamond" w:hAnsi="Garamond"/>
        </w:rPr>
        <w:t xml:space="preserve"> </w:t>
      </w:r>
      <w:r>
        <w:rPr>
          <w:rFonts w:ascii="Garamond" w:hAnsi="Garamond"/>
        </w:rPr>
        <w:t>disciplina spetta alle</w:t>
      </w:r>
      <w:r w:rsidRPr="00246119">
        <w:rPr>
          <w:rFonts w:ascii="Garamond" w:hAnsi="Garamond"/>
        </w:rPr>
        <w:t xml:space="preserve"> fonti regionali e locali</w:t>
      </w:r>
      <w:r>
        <w:rPr>
          <w:rFonts w:ascii="Garamond" w:hAnsi="Garamond"/>
        </w:rPr>
        <w:t xml:space="preserve">, fatte salve le modalità gestionali in via generale previste dal D. </w:t>
      </w:r>
      <w:proofErr w:type="spellStart"/>
      <w:r>
        <w:rPr>
          <w:rFonts w:ascii="Garamond" w:hAnsi="Garamond"/>
        </w:rPr>
        <w:t>Lgs</w:t>
      </w:r>
      <w:proofErr w:type="spellEnd"/>
      <w:r>
        <w:rPr>
          <w:rFonts w:ascii="Garamond" w:hAnsi="Garamond"/>
        </w:rPr>
        <w:t>. n. 267/2000 (v. l’art. 114)</w:t>
      </w:r>
      <w:r w:rsidRPr="00246119">
        <w:rPr>
          <w:rFonts w:ascii="Garamond" w:hAnsi="Garamond"/>
        </w:rPr>
        <w:t xml:space="preserve"> </w:t>
      </w:r>
      <w:r>
        <w:rPr>
          <w:rFonts w:ascii="Garamond" w:hAnsi="Garamond"/>
        </w:rPr>
        <w:t>e la possibilità per l’ente locale di gestire tali servizi in economia</w:t>
      </w:r>
      <w:r w:rsidRPr="00246119">
        <w:rPr>
          <w:rFonts w:ascii="Garamond" w:hAnsi="Garamond"/>
        </w:rPr>
        <w:t>.</w:t>
      </w:r>
      <w:r>
        <w:rPr>
          <w:rFonts w:ascii="Garamond" w:hAnsi="Garamond"/>
        </w:rPr>
        <w:t xml:space="preserve"> Ne consegue che gli enti locali godono di un margine di discrezionalità ai fini della decisione in ordine alla modalità gestionale per tali servizi.</w:t>
      </w:r>
    </w:p>
  </w:footnote>
  <w:footnote w:id="29">
    <w:p w14:paraId="6B0BC0F2" w14:textId="00074AFA" w:rsidR="00F247DB" w:rsidRPr="003400BF" w:rsidRDefault="00F247DB" w:rsidP="00540F12">
      <w:pPr>
        <w:pStyle w:val="Testonotaapidipagina"/>
        <w:jc w:val="both"/>
        <w:rPr>
          <w:rFonts w:ascii="Garamond" w:hAnsi="Garamond"/>
        </w:rPr>
      </w:pPr>
      <w:r w:rsidRPr="003400BF">
        <w:rPr>
          <w:rStyle w:val="Rimandonotaapidipagina"/>
          <w:rFonts w:ascii="Garamond" w:hAnsi="Garamond" w:cs="Times New Roman"/>
        </w:rPr>
        <w:footnoteRef/>
      </w:r>
      <w:r w:rsidRPr="003400BF">
        <w:rPr>
          <w:rFonts w:ascii="Garamond" w:hAnsi="Garamond" w:cs="Times New Roman"/>
        </w:rPr>
        <w:t xml:space="preserve"> Per una ricostruzione dell’evoluzione della questione della dimensione territoriale dell’organizzazione dei servizi pubblici v. A.</w:t>
      </w:r>
      <w:r>
        <w:rPr>
          <w:rFonts w:ascii="Garamond" w:hAnsi="Garamond" w:cs="Times New Roman"/>
        </w:rPr>
        <w:t xml:space="preserve"> </w:t>
      </w:r>
      <w:r w:rsidRPr="003400BF">
        <w:rPr>
          <w:rFonts w:ascii="Garamond" w:hAnsi="Garamond" w:cs="Times New Roman"/>
        </w:rPr>
        <w:t xml:space="preserve">Parisi, Organizzazione e territorio nei servizi pubblici locali a rete, in Rivista della Regolazione dei mercati, fascicolo 2/2024, </w:t>
      </w:r>
      <w:proofErr w:type="spellStart"/>
      <w:r w:rsidRPr="003400BF">
        <w:rPr>
          <w:rFonts w:ascii="Garamond" w:hAnsi="Garamond" w:cs="Times New Roman"/>
        </w:rPr>
        <w:t>pagg</w:t>
      </w:r>
      <w:proofErr w:type="spellEnd"/>
      <w:r w:rsidRPr="003400BF">
        <w:rPr>
          <w:rFonts w:ascii="Garamond" w:hAnsi="Garamond" w:cs="Times New Roman"/>
        </w:rPr>
        <w:t>. 521 e ss.</w:t>
      </w:r>
    </w:p>
  </w:footnote>
  <w:footnote w:id="30">
    <w:p w14:paraId="7A7DDD66" w14:textId="7809F559" w:rsidR="00F247DB" w:rsidRPr="003400BF" w:rsidRDefault="00F247DB" w:rsidP="00ED1482">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In sintesi, le attribuzioni vengono così ripartite:</w:t>
      </w:r>
    </w:p>
    <w:p w14:paraId="49A382E5" w14:textId="657D0956" w:rsidR="00F247DB" w:rsidRPr="003400BF" w:rsidRDefault="00F247DB" w:rsidP="00ED1482">
      <w:pPr>
        <w:pStyle w:val="Testonotaapidipagina"/>
        <w:jc w:val="both"/>
        <w:rPr>
          <w:rFonts w:ascii="Garamond" w:hAnsi="Garamond" w:cs="Times New Roman"/>
        </w:rPr>
      </w:pPr>
      <w:r w:rsidRPr="003400BF">
        <w:rPr>
          <w:rFonts w:ascii="Garamond" w:hAnsi="Garamond" w:cs="Times New Roman"/>
        </w:rPr>
        <w:t xml:space="preserve">- il Ministero dell’Economia e delle Finanze con decreto stabilisce le misure incentivanti in favore degli enti locali che aderiscono alle riorganizzazioni ed alle aggregazioni (v. comma 3 dell’art. 5 del D. </w:t>
      </w:r>
      <w:proofErr w:type="spellStart"/>
      <w:r w:rsidRPr="003400BF">
        <w:rPr>
          <w:rFonts w:ascii="Garamond" w:hAnsi="Garamond" w:cs="Times New Roman"/>
        </w:rPr>
        <w:t>Lgs</w:t>
      </w:r>
      <w:proofErr w:type="spellEnd"/>
      <w:r w:rsidRPr="003400BF">
        <w:rPr>
          <w:rFonts w:ascii="Garamond" w:hAnsi="Garamond" w:cs="Times New Roman"/>
        </w:rPr>
        <w:t>. 201/2022);</w:t>
      </w:r>
    </w:p>
    <w:p w14:paraId="20E17A50" w14:textId="54EB9473" w:rsidR="00F247DB" w:rsidRPr="003400BF" w:rsidRDefault="00F247DB" w:rsidP="00ED1482">
      <w:pPr>
        <w:pStyle w:val="Testonotaapidipagina"/>
        <w:jc w:val="both"/>
        <w:rPr>
          <w:rFonts w:ascii="Garamond" w:hAnsi="Garamond" w:cs="Times New Roman"/>
        </w:rPr>
      </w:pPr>
      <w:r w:rsidRPr="003400BF">
        <w:rPr>
          <w:rFonts w:ascii="Garamond" w:hAnsi="Garamond" w:cs="Times New Roman"/>
        </w:rPr>
        <w:t>- l’ARERA predispone una relazione semestrale destinata alle Camere sul rispetto delle prescrizioni stabilite dalla disciplina di settore per la definizione del perimetro degli ambiti territoriali e per la costituzione degli enti di governo dell'ambito (v. comma 6 dell’art. 5 del Decreto);</w:t>
      </w:r>
    </w:p>
    <w:p w14:paraId="051E10DA" w14:textId="7A8212DC" w:rsidR="00F247DB" w:rsidRPr="003400BF" w:rsidRDefault="00F247DB" w:rsidP="00ED1482">
      <w:pPr>
        <w:pStyle w:val="Testonotaapidipagina"/>
        <w:jc w:val="both"/>
        <w:rPr>
          <w:rFonts w:ascii="Garamond" w:hAnsi="Garamond" w:cs="Times New Roman"/>
        </w:rPr>
      </w:pPr>
      <w:r w:rsidRPr="003400BF">
        <w:rPr>
          <w:rFonts w:ascii="Garamond" w:hAnsi="Garamond" w:cs="Times New Roman"/>
        </w:rPr>
        <w:t>- alle Regioni spetta la riorganizzazione degli ambiti / dei bacini di riferimento preferibilmente su scala regionale o comunque in modo da consentire economie di scala o di scopo idonee a massimizzare l'efficienza del servizio (v. comma 2 dell’art. 5 del Decreto);</w:t>
      </w:r>
    </w:p>
    <w:p w14:paraId="6D79411A" w14:textId="177F6CC5" w:rsidR="00F247DB" w:rsidRPr="003400BF" w:rsidRDefault="00F247DB" w:rsidP="00ED1482">
      <w:pPr>
        <w:pStyle w:val="Testonotaapidipagina"/>
        <w:jc w:val="both"/>
        <w:rPr>
          <w:rFonts w:ascii="Garamond" w:hAnsi="Garamond" w:cs="Times New Roman"/>
        </w:rPr>
      </w:pPr>
      <w:r w:rsidRPr="003400BF">
        <w:rPr>
          <w:rFonts w:ascii="Garamond" w:hAnsi="Garamond" w:cs="Times New Roman"/>
        </w:rPr>
        <w:t>- quanto alle Città Metropolitane il Comune capoluogo può essere destinatario da parte degli altri comuni ricompresi nella città metropolitana della delega all’esercizio delle funzioni comunali in materia di servizi pubblici locali di rilevanza economica per conto e nell'interesse degli altri comuni (v. comma 1 dell’art. 5 del Decreto);</w:t>
      </w:r>
    </w:p>
    <w:p w14:paraId="3BB88CE3" w14:textId="761442DA" w:rsidR="00F247DB" w:rsidRPr="003400BF" w:rsidRDefault="00F247DB" w:rsidP="00ED1482">
      <w:pPr>
        <w:pStyle w:val="Testonotaapidipagina"/>
        <w:jc w:val="both"/>
        <w:rPr>
          <w:rFonts w:ascii="Garamond" w:hAnsi="Garamond" w:cs="Times New Roman"/>
        </w:rPr>
      </w:pPr>
      <w:r w:rsidRPr="003400BF">
        <w:rPr>
          <w:rFonts w:ascii="Garamond" w:hAnsi="Garamond" w:cs="Times New Roman"/>
        </w:rPr>
        <w:t xml:space="preserve">- </w:t>
      </w:r>
      <w:r>
        <w:rPr>
          <w:rFonts w:ascii="Garamond" w:hAnsi="Garamond" w:cs="Times New Roman"/>
        </w:rPr>
        <w:t xml:space="preserve">alle </w:t>
      </w:r>
      <w:r w:rsidRPr="003400BF">
        <w:rPr>
          <w:rFonts w:ascii="Garamond" w:hAnsi="Garamond" w:cs="Times New Roman"/>
        </w:rPr>
        <w:t xml:space="preserve">Province </w:t>
      </w:r>
      <w:r>
        <w:rPr>
          <w:rFonts w:ascii="Garamond" w:hAnsi="Garamond" w:cs="Times New Roman"/>
        </w:rPr>
        <w:t>sono attribuite</w:t>
      </w:r>
      <w:r w:rsidRPr="003400BF">
        <w:rPr>
          <w:rFonts w:ascii="Garamond" w:hAnsi="Garamond" w:cs="Times New Roman"/>
        </w:rPr>
        <w:t xml:space="preserve"> funzioni di supporto tecnico – amministrativo e coordinamento in materia (v. comma 4 dell’art. 5 del Decreto).</w:t>
      </w:r>
    </w:p>
    <w:p w14:paraId="7D9DAA99" w14:textId="03BEE937" w:rsidR="00F247DB" w:rsidRPr="003400BF" w:rsidRDefault="00F247DB" w:rsidP="00ED1482">
      <w:pPr>
        <w:pStyle w:val="Testonotaapidipagina"/>
        <w:jc w:val="both"/>
        <w:rPr>
          <w:rFonts w:ascii="Garamond" w:hAnsi="Garamond" w:cs="Times New Roman"/>
        </w:rPr>
      </w:pPr>
      <w:r w:rsidRPr="003400BF">
        <w:rPr>
          <w:rFonts w:ascii="Garamond" w:hAnsi="Garamond" w:cs="Times New Roman"/>
        </w:rPr>
        <w:t xml:space="preserve">V. sul punto </w:t>
      </w:r>
      <w:r>
        <w:rPr>
          <w:rFonts w:ascii="Garamond" w:hAnsi="Garamond" w:cs="Times New Roman"/>
        </w:rPr>
        <w:t>A. Parisi</w:t>
      </w:r>
      <w:r w:rsidRPr="003400BF">
        <w:rPr>
          <w:rFonts w:ascii="Garamond" w:hAnsi="Garamond" w:cs="Times New Roman"/>
        </w:rPr>
        <w:t>, Organizzazione e territorio nei servizi pubblici locali a rete</w:t>
      </w:r>
      <w:r>
        <w:rPr>
          <w:rFonts w:ascii="Garamond" w:hAnsi="Garamond" w:cs="Times New Roman"/>
        </w:rPr>
        <w:t xml:space="preserve"> cit.</w:t>
      </w:r>
      <w:r w:rsidRPr="003400BF">
        <w:rPr>
          <w:rFonts w:ascii="Garamond" w:hAnsi="Garamond" w:cs="Times New Roman"/>
        </w:rPr>
        <w:t xml:space="preserve">, </w:t>
      </w:r>
      <w:proofErr w:type="spellStart"/>
      <w:r w:rsidRPr="003400BF">
        <w:rPr>
          <w:rFonts w:ascii="Garamond" w:hAnsi="Garamond" w:cs="Times New Roman"/>
        </w:rPr>
        <w:t>pagg</w:t>
      </w:r>
      <w:proofErr w:type="spellEnd"/>
      <w:r w:rsidRPr="003400BF">
        <w:rPr>
          <w:rFonts w:ascii="Garamond" w:hAnsi="Garamond" w:cs="Times New Roman"/>
        </w:rPr>
        <w:t>. 529 e ss..</w:t>
      </w:r>
    </w:p>
  </w:footnote>
  <w:footnote w:id="31">
    <w:p w14:paraId="1877F7F4" w14:textId="4F98A78F" w:rsidR="00F247DB" w:rsidRDefault="00F247DB" w:rsidP="001678E0">
      <w:pPr>
        <w:pStyle w:val="Testonotaapidipagina"/>
        <w:jc w:val="both"/>
      </w:pPr>
      <w:r w:rsidRPr="003400BF">
        <w:rPr>
          <w:rStyle w:val="Rimandonotaapidipagina"/>
          <w:rFonts w:ascii="Garamond" w:hAnsi="Garamond" w:cs="Times New Roman"/>
        </w:rPr>
        <w:footnoteRef/>
      </w:r>
      <w:r w:rsidRPr="003400BF">
        <w:rPr>
          <w:rFonts w:ascii="Garamond" w:hAnsi="Garamond" w:cs="Times New Roman"/>
        </w:rPr>
        <w:t xml:space="preserve"> Più nel dettaglio, ai sensi del comma 4 dell’art. 6 del Decreto si tratta di: a) i componenti di organi di indirizzo po</w:t>
      </w:r>
      <w:r>
        <w:rPr>
          <w:rFonts w:ascii="Garamond" w:hAnsi="Garamond" w:cs="Times New Roman"/>
        </w:rPr>
        <w:t>litico dell'ente competente all’</w:t>
      </w:r>
      <w:r w:rsidRPr="003400BF">
        <w:rPr>
          <w:rFonts w:ascii="Garamond" w:hAnsi="Garamond" w:cs="Times New Roman"/>
        </w:rPr>
        <w:t xml:space="preserve">organizzazione del servizio o alla sua regolazione, vigilanza o controllo, nonché i dirigenti e i responsabili degli uffici o dei servizi direttamente preposti all'esercizio di tali funzioni; b) i componenti di organi di indirizzo politico di ogni altro organismo che espleti funzioni di stazione appaltante, di regolazione, di indirizzo o di controllo del servizio, nonché i dirigenti e i responsabili degli uffici o dei servizi direttamente preposti all'esercizio di tali </w:t>
      </w:r>
      <w:r>
        <w:rPr>
          <w:rFonts w:ascii="Garamond" w:hAnsi="Garamond" w:cs="Times New Roman"/>
        </w:rPr>
        <w:t>funzioni; c) i consulenti per l’</w:t>
      </w:r>
      <w:r w:rsidRPr="003400BF">
        <w:rPr>
          <w:rFonts w:ascii="Garamond" w:hAnsi="Garamond" w:cs="Times New Roman"/>
        </w:rPr>
        <w:t>organizzazione o regolazione del servizio.</w:t>
      </w:r>
    </w:p>
  </w:footnote>
  <w:footnote w:id="32">
    <w:p w14:paraId="22E0B6CB" w14:textId="4638A023" w:rsidR="00F247DB" w:rsidRPr="00397CB5" w:rsidRDefault="00F247DB" w:rsidP="00397CB5">
      <w:pPr>
        <w:pStyle w:val="Testonotaapidipagina"/>
        <w:jc w:val="both"/>
        <w:rPr>
          <w:rFonts w:ascii="Garamond" w:hAnsi="Garamond"/>
          <w:i/>
        </w:rPr>
      </w:pPr>
      <w:r w:rsidRPr="007A5C9A">
        <w:rPr>
          <w:rStyle w:val="Rimandonotaapidipagina"/>
          <w:rFonts w:ascii="Garamond" w:hAnsi="Garamond"/>
        </w:rPr>
        <w:footnoteRef/>
      </w:r>
      <w:r w:rsidRPr="007A5C9A">
        <w:rPr>
          <w:rFonts w:ascii="Garamond" w:hAnsi="Garamond"/>
        </w:rPr>
        <w:t xml:space="preserve"> </w:t>
      </w:r>
      <w:r>
        <w:rPr>
          <w:rFonts w:ascii="Garamond" w:hAnsi="Garamond"/>
        </w:rPr>
        <w:t xml:space="preserve">V. B.G. Di Mauro, Governo locale dei servizi pubblici ed effettività dei diritti. Profili ricostruttivi, </w:t>
      </w:r>
      <w:r w:rsidR="00A31CA3">
        <w:rPr>
          <w:rFonts w:ascii="Garamond" w:hAnsi="Garamond"/>
        </w:rPr>
        <w:t>comparativi</w:t>
      </w:r>
      <w:r>
        <w:rPr>
          <w:rFonts w:ascii="Garamond" w:hAnsi="Garamond"/>
        </w:rPr>
        <w:t xml:space="preserve"> ed evolutivi, CEDAM, maggio 2025, pag. 140. Tale autore ha ivi sottolineato che “</w:t>
      </w:r>
      <w:r w:rsidRPr="00397CB5">
        <w:rPr>
          <w:rFonts w:ascii="Garamond" w:hAnsi="Garamond"/>
          <w:i/>
        </w:rPr>
        <w:t>nonostante le carenze normative antecedenti all’introduzione del Testo Unico in materia di servizi pubblici locali, si può affermare, basandosi sulle sole prescrizioni europee e costituzionali, che</w:t>
      </w:r>
      <w:r>
        <w:rPr>
          <w:rFonts w:ascii="Garamond" w:hAnsi="Garamond"/>
          <w:i/>
        </w:rPr>
        <w:t xml:space="preserve"> </w:t>
      </w:r>
      <w:r w:rsidRPr="00397CB5">
        <w:rPr>
          <w:rFonts w:ascii="Garamond" w:hAnsi="Garamond"/>
          <w:i/>
        </w:rPr>
        <w:t>esistano fondate ragioni per affermare che i poteri decisionali degli enti locali nella fase di assunzione risultano fortemente limitati anche in assenza di una regolazione specifica sul punto</w:t>
      </w:r>
      <w:r>
        <w:rPr>
          <w:rFonts w:ascii="Garamond" w:hAnsi="Garamond"/>
        </w:rPr>
        <w:t xml:space="preserve">” (v. </w:t>
      </w:r>
      <w:proofErr w:type="spellStart"/>
      <w:r>
        <w:rPr>
          <w:rFonts w:ascii="Garamond" w:hAnsi="Garamond"/>
        </w:rPr>
        <w:t>pagg</w:t>
      </w:r>
      <w:proofErr w:type="spellEnd"/>
      <w:r>
        <w:rPr>
          <w:rFonts w:ascii="Garamond" w:hAnsi="Garamond"/>
        </w:rPr>
        <w:t>. 142 e ss.)</w:t>
      </w:r>
      <w:r w:rsidRPr="00397CB5">
        <w:rPr>
          <w:rFonts w:ascii="Garamond" w:hAnsi="Garamond"/>
          <w:i/>
        </w:rPr>
        <w:t>.</w:t>
      </w:r>
    </w:p>
  </w:footnote>
  <w:footnote w:id="33">
    <w:p w14:paraId="709F89C9" w14:textId="6665B87F" w:rsidR="00F247DB" w:rsidRPr="003400BF" w:rsidRDefault="00F247DB" w:rsidP="00D30168">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V</w:t>
      </w:r>
      <w:r w:rsidRPr="003400BF">
        <w:rPr>
          <w:rFonts w:ascii="Garamond" w:hAnsi="Garamond" w:cs="Times New Roman"/>
          <w:i/>
        </w:rPr>
        <w:t xml:space="preserve">. </w:t>
      </w:r>
      <w:r>
        <w:rPr>
          <w:rFonts w:ascii="Garamond" w:hAnsi="Garamond" w:cs="Times New Roman"/>
        </w:rPr>
        <w:t xml:space="preserve">S. </w:t>
      </w:r>
      <w:r w:rsidRPr="003400BF">
        <w:rPr>
          <w:rFonts w:ascii="Garamond" w:hAnsi="Garamond" w:cs="Times New Roman"/>
        </w:rPr>
        <w:t>Torricelli, La Istituzione del servizio pubblico e il riallineamento del sistema dei servizi pubblici locali in Rivista della Regolazione dei mercati 328, fascicolo 2/2023.</w:t>
      </w:r>
    </w:p>
  </w:footnote>
  <w:footnote w:id="34">
    <w:p w14:paraId="5FC17D57" w14:textId="708CD4BF" w:rsidR="00F247DB" w:rsidRPr="00723C4E" w:rsidRDefault="00F247DB" w:rsidP="00723C4E">
      <w:pPr>
        <w:pStyle w:val="Testonotaapidipagina"/>
        <w:jc w:val="both"/>
        <w:rPr>
          <w:rFonts w:ascii="Garamond" w:hAnsi="Garamond"/>
          <w:i/>
        </w:rPr>
      </w:pPr>
      <w:r w:rsidRPr="00723C4E">
        <w:rPr>
          <w:rStyle w:val="Rimandonotaapidipagina"/>
          <w:rFonts w:ascii="Garamond" w:hAnsi="Garamond"/>
        </w:rPr>
        <w:footnoteRef/>
      </w:r>
      <w:r w:rsidRPr="00723C4E">
        <w:rPr>
          <w:rFonts w:ascii="Garamond" w:hAnsi="Garamond"/>
        </w:rPr>
        <w:t xml:space="preserve"> B.G. Di Mauro</w:t>
      </w:r>
      <w:r>
        <w:rPr>
          <w:rFonts w:ascii="Garamond" w:hAnsi="Garamond"/>
        </w:rPr>
        <w:t xml:space="preserve"> in</w:t>
      </w:r>
      <w:r w:rsidRPr="00723C4E">
        <w:rPr>
          <w:rFonts w:ascii="Garamond" w:hAnsi="Garamond"/>
        </w:rPr>
        <w:t xml:space="preserve"> Governo locale dei servizi pubblici ed effettività dei diritti. Profili ricostruttivi, </w:t>
      </w:r>
      <w:r w:rsidR="00A31CA3">
        <w:rPr>
          <w:rFonts w:ascii="Garamond" w:hAnsi="Garamond"/>
        </w:rPr>
        <w:t>comparativi</w:t>
      </w:r>
      <w:r w:rsidRPr="00723C4E">
        <w:rPr>
          <w:rFonts w:ascii="Garamond" w:hAnsi="Garamond"/>
        </w:rPr>
        <w:t xml:space="preserve"> ed evolutivi</w:t>
      </w:r>
      <w:r>
        <w:rPr>
          <w:rFonts w:ascii="Garamond" w:hAnsi="Garamond"/>
        </w:rPr>
        <w:t xml:space="preserve"> cit. osserva a pag. 165 che “</w:t>
      </w:r>
      <w:r w:rsidRPr="00723C4E">
        <w:rPr>
          <w:rFonts w:ascii="Garamond" w:hAnsi="Garamond"/>
          <w:i/>
        </w:rPr>
        <w:t>La peculiarità dell’ipotesi in questione non deve essere ricercata solo nel suo inquadramento dogmatico e sistematico, ma anche nella prospettiva da cui muove. Si osserva, infatti, che mentre tutte le previsioni in materia di assunzione dei servizi pubblici - sia quelle che favoriscono la liberalizzazione del settore, sia quelle che sollecitano l’intervento pubblico nel rispetto delle regole di concorrenza nel e per il mercato - operano sul lato dell’offerta delle prestazioni di pubblica rilevanza, la disposizione che consente all’ente locale di riconoscere vantaggi economici o altri titoli agli utenti agisce essenzialmente sul lato della domanda.</w:t>
      </w:r>
    </w:p>
    <w:p w14:paraId="1137384C" w14:textId="1F16C5FF" w:rsidR="00F247DB" w:rsidRPr="00723C4E" w:rsidRDefault="00F247DB" w:rsidP="00723C4E">
      <w:pPr>
        <w:pStyle w:val="Testonotaapidipagina"/>
        <w:jc w:val="both"/>
        <w:rPr>
          <w:rFonts w:ascii="Garamond" w:hAnsi="Garamond"/>
        </w:rPr>
      </w:pPr>
      <w:r w:rsidRPr="00723C4E">
        <w:rPr>
          <w:rFonts w:ascii="Garamond" w:hAnsi="Garamond"/>
          <w:i/>
        </w:rPr>
        <w:t>Un esame più approfondito conduce ad affermare che, proprio perché l’art. 11 prevede la possibilità di riconoscere agevolazioni agli utenti senza necessità di procedere all’assunzione del servizio, la norma configura un’ipotesi in cui non viene in rilievo un vero e proprio servizio pubblico, poiché manca la doverosità della prestazione e della sua organizzazione</w:t>
      </w:r>
      <w:r>
        <w:rPr>
          <w:rFonts w:ascii="Garamond" w:hAnsi="Garamond"/>
        </w:rPr>
        <w:t>”</w:t>
      </w:r>
      <w:r w:rsidRPr="00723C4E">
        <w:rPr>
          <w:rFonts w:ascii="Garamond" w:hAnsi="Garamond"/>
        </w:rPr>
        <w:t>.</w:t>
      </w:r>
    </w:p>
  </w:footnote>
  <w:footnote w:id="35">
    <w:p w14:paraId="35D4136C" w14:textId="761EBE79" w:rsidR="00F247DB" w:rsidRPr="0017066E" w:rsidRDefault="00F247DB" w:rsidP="002F2400">
      <w:pPr>
        <w:pStyle w:val="Testonotaapidipagina"/>
        <w:jc w:val="both"/>
        <w:rPr>
          <w:rFonts w:ascii="Times New Roman" w:hAnsi="Times New Roman" w:cs="Times New Roman"/>
        </w:rPr>
      </w:pPr>
      <w:r w:rsidRPr="003400BF">
        <w:rPr>
          <w:rStyle w:val="Rimandonotaapidipagina"/>
          <w:rFonts w:ascii="Garamond" w:hAnsi="Garamond" w:cs="Times New Roman"/>
        </w:rPr>
        <w:footnoteRef/>
      </w:r>
      <w:r w:rsidRPr="003400BF">
        <w:rPr>
          <w:rFonts w:ascii="Garamond" w:hAnsi="Garamond" w:cs="Times New Roman"/>
        </w:rPr>
        <w:t xml:space="preserve"> Si rinvia sul punto a Torricelli S., La Istituzione del servizio pubblico e il riallineamento del sistema dei servizi pubblici locali</w:t>
      </w:r>
      <w:r>
        <w:rPr>
          <w:rFonts w:ascii="Garamond" w:hAnsi="Garamond" w:cs="Times New Roman"/>
        </w:rPr>
        <w:t xml:space="preserve"> cit.</w:t>
      </w:r>
      <w:r w:rsidRPr="003400BF">
        <w:rPr>
          <w:rFonts w:ascii="Garamond" w:hAnsi="Garamond" w:cs="Times New Roman"/>
        </w:rPr>
        <w:t>.</w:t>
      </w:r>
    </w:p>
  </w:footnote>
  <w:footnote w:id="36">
    <w:p w14:paraId="7348B359" w14:textId="294ED10D" w:rsidR="00F247DB" w:rsidRPr="00C365DA" w:rsidRDefault="00F247DB" w:rsidP="00C365DA">
      <w:pPr>
        <w:pStyle w:val="Testonotaapidipagina"/>
        <w:jc w:val="both"/>
        <w:rPr>
          <w:rFonts w:ascii="Garamond" w:hAnsi="Garamond"/>
        </w:rPr>
      </w:pPr>
      <w:r w:rsidRPr="00C365DA">
        <w:rPr>
          <w:rStyle w:val="Rimandonotaapidipagina"/>
          <w:rFonts w:ascii="Garamond" w:hAnsi="Garamond"/>
        </w:rPr>
        <w:footnoteRef/>
      </w:r>
      <w:r w:rsidRPr="00C365DA">
        <w:rPr>
          <w:rFonts w:ascii="Garamond" w:hAnsi="Garamond"/>
        </w:rPr>
        <w:t xml:space="preserve"> In tal senso B.G. Di Mauro in Governo locale dei servizi pubblici ed effettività dei diritti. Profili ricostruttivi, </w:t>
      </w:r>
      <w:r w:rsidR="00A31CA3">
        <w:rPr>
          <w:rFonts w:ascii="Garamond" w:hAnsi="Garamond"/>
        </w:rPr>
        <w:t>comparativi</w:t>
      </w:r>
      <w:r w:rsidRPr="00C365DA">
        <w:rPr>
          <w:rFonts w:ascii="Garamond" w:hAnsi="Garamond"/>
        </w:rPr>
        <w:t xml:space="preserve"> ed evolutivi cit., pag. 173.</w:t>
      </w:r>
    </w:p>
  </w:footnote>
  <w:footnote w:id="37">
    <w:p w14:paraId="630342E2" w14:textId="63E4BDB2" w:rsidR="00F247DB" w:rsidRPr="003400BF" w:rsidRDefault="00F247DB" w:rsidP="002F2400">
      <w:pPr>
        <w:pStyle w:val="Testonotaapidipagina"/>
        <w:jc w:val="both"/>
        <w:rPr>
          <w:rFonts w:ascii="Garamond" w:hAnsi="Garamond"/>
        </w:rPr>
      </w:pPr>
      <w:r w:rsidRPr="003400BF">
        <w:rPr>
          <w:rStyle w:val="Rimandonotaapidipagina"/>
          <w:rFonts w:ascii="Garamond" w:hAnsi="Garamond" w:cs="Times New Roman"/>
        </w:rPr>
        <w:footnoteRef/>
      </w:r>
      <w:r w:rsidRPr="003400BF">
        <w:rPr>
          <w:rFonts w:ascii="Garamond" w:hAnsi="Garamond" w:cs="Times New Roman"/>
        </w:rPr>
        <w:t xml:space="preserve"> V. segnalazione n. AS 1999/2023 dell’AGCM relativa alla ricognizione dei servizi pubblici locali dell’anno 2023 del 17.6.2024.</w:t>
      </w:r>
    </w:p>
  </w:footnote>
  <w:footnote w:id="38">
    <w:p w14:paraId="006CE250" w14:textId="78CB55D1" w:rsidR="00F247DB" w:rsidRPr="003400BF" w:rsidRDefault="00F247DB" w:rsidP="00B52C07">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V. Consiglio di Stato, Sez. V, 12 giugno 2009, n. 3766, nonché più di recente il parere n. AS 2030/2024 dell’AGCM.</w:t>
      </w:r>
    </w:p>
  </w:footnote>
  <w:footnote w:id="39">
    <w:p w14:paraId="6C32D986" w14:textId="77777777" w:rsidR="00F247DB" w:rsidRDefault="00F247DB" w:rsidP="00B52C07">
      <w:pPr>
        <w:pStyle w:val="Testonotaapidipagina"/>
      </w:pPr>
      <w:r w:rsidRPr="003400BF">
        <w:rPr>
          <w:rStyle w:val="Rimandonotaapidipagina"/>
          <w:rFonts w:ascii="Garamond" w:hAnsi="Garamond" w:cs="Times New Roman"/>
        </w:rPr>
        <w:footnoteRef/>
      </w:r>
      <w:r w:rsidRPr="003400BF">
        <w:rPr>
          <w:rFonts w:ascii="Garamond" w:hAnsi="Garamond" w:cs="Times New Roman"/>
        </w:rPr>
        <w:t xml:space="preserve"> V</w:t>
      </w:r>
      <w:r w:rsidRPr="003400BF">
        <w:rPr>
          <w:rFonts w:ascii="Garamond" w:hAnsi="Garamond" w:cs="Times New Roman"/>
          <w:i/>
        </w:rPr>
        <w:t xml:space="preserve">. </w:t>
      </w:r>
      <w:r w:rsidRPr="003400BF">
        <w:rPr>
          <w:rFonts w:ascii="Garamond" w:hAnsi="Garamond" w:cs="Times New Roman"/>
        </w:rPr>
        <w:t>parere n. AS 2030/2024 dell’AGCM.</w:t>
      </w:r>
    </w:p>
  </w:footnote>
  <w:footnote w:id="40">
    <w:p w14:paraId="69CD52E0" w14:textId="2DC848C3" w:rsidR="00F247DB" w:rsidRPr="003400BF" w:rsidRDefault="00F247DB" w:rsidP="00CC70AA">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Al fine di supportare gli enti affidanti nella predisposizione della documentazione richiesta dal D. </w:t>
      </w:r>
      <w:proofErr w:type="spellStart"/>
      <w:r w:rsidRPr="003400BF">
        <w:rPr>
          <w:rFonts w:ascii="Garamond" w:hAnsi="Garamond" w:cs="Times New Roman"/>
        </w:rPr>
        <w:t>Lgs</w:t>
      </w:r>
      <w:proofErr w:type="spellEnd"/>
      <w:r w:rsidRPr="003400BF">
        <w:rPr>
          <w:rFonts w:ascii="Garamond" w:hAnsi="Garamond" w:cs="Times New Roman"/>
        </w:rPr>
        <w:t xml:space="preserve">. 201/2022, semplificarne e uniformarne i contenuti e indirizzare correttamente le valutazioni che gli enti sono chiamati ad effettuare nell’affidamento dei servizi pubblici locali, l’ANAC, la Presidenza del Consiglio dei Ministri e l’Autorità Garante della Concorrenza e del Mercato hanno elaborato un possibile modello rinvenibile </w:t>
      </w:r>
      <w:r w:rsidRPr="003400BF">
        <w:rPr>
          <w:rFonts w:ascii="Garamond" w:hAnsi="Garamond" w:cs="Times New Roman"/>
          <w:i/>
        </w:rPr>
        <w:t xml:space="preserve">online </w:t>
      </w:r>
      <w:r w:rsidRPr="003400BF">
        <w:rPr>
          <w:rFonts w:ascii="Garamond" w:hAnsi="Garamond" w:cs="Times New Roman"/>
        </w:rPr>
        <w:t>al seguente link https://www.anticorruzione.it/-/trasparenza-dei-servizi-pubblici-locali-di-rilevanza-economica#p1 .</w:t>
      </w:r>
    </w:p>
    <w:p w14:paraId="2BF4BA4F" w14:textId="6C635A09" w:rsidR="00F247DB" w:rsidRPr="003400BF" w:rsidRDefault="00F247DB" w:rsidP="00CC70AA">
      <w:pPr>
        <w:pStyle w:val="Testonotaapidipagina"/>
        <w:jc w:val="both"/>
        <w:rPr>
          <w:rFonts w:ascii="Garamond" w:hAnsi="Garamond" w:cs="Times New Roman"/>
        </w:rPr>
      </w:pPr>
      <w:r w:rsidRPr="003400BF">
        <w:rPr>
          <w:rFonts w:ascii="Garamond" w:hAnsi="Garamond" w:cs="Times New Roman"/>
        </w:rPr>
        <w:t>Lo schema è suddiviso in più sezioni rispettivamente relative a: a) contesto giuridico e indicatori di riferimento: b) descrizione del servizio; c) modalità di affidamento prescelta; d) motivazione economico – finanziaria della scelta; e) strumenti per la valutazione di effic</w:t>
      </w:r>
      <w:r>
        <w:rPr>
          <w:rFonts w:ascii="Garamond" w:hAnsi="Garamond" w:cs="Times New Roman"/>
        </w:rPr>
        <w:t>ienza, efficacia ed economicità.</w:t>
      </w:r>
    </w:p>
  </w:footnote>
  <w:footnote w:id="41">
    <w:p w14:paraId="60F4D777" w14:textId="2CF45DC6" w:rsidR="00F247DB" w:rsidRDefault="00F247DB" w:rsidP="00FE30B5">
      <w:pPr>
        <w:pStyle w:val="Testonotaapidipagina"/>
        <w:jc w:val="both"/>
      </w:pPr>
      <w:r w:rsidRPr="00FE30B5">
        <w:rPr>
          <w:rStyle w:val="Rimandonotaapidipagina"/>
          <w:rFonts w:ascii="Garamond" w:hAnsi="Garamond"/>
        </w:rPr>
        <w:footnoteRef/>
      </w:r>
      <w:r w:rsidRPr="00FE30B5">
        <w:rPr>
          <w:rFonts w:ascii="Garamond" w:hAnsi="Garamond"/>
        </w:rPr>
        <w:t xml:space="preserve"> In tal senso B.G. Di Mauro in Governo locale dei servizi pubblici ed effettività dei diritti. Profili ricostruttivi, </w:t>
      </w:r>
      <w:r w:rsidR="00A31CA3">
        <w:rPr>
          <w:rFonts w:ascii="Garamond" w:hAnsi="Garamond"/>
        </w:rPr>
        <w:t>comparativi</w:t>
      </w:r>
      <w:r>
        <w:rPr>
          <w:rFonts w:ascii="Garamond" w:hAnsi="Garamond"/>
        </w:rPr>
        <w:t xml:space="preserve"> ed evolutivi cit., pag. 188</w:t>
      </w:r>
      <w:r w:rsidRPr="00FE30B5">
        <w:rPr>
          <w:rFonts w:ascii="Garamond" w:hAnsi="Garamond"/>
        </w:rPr>
        <w:t>.</w:t>
      </w:r>
    </w:p>
  </w:footnote>
  <w:footnote w:id="42">
    <w:p w14:paraId="3F9B20F0" w14:textId="794F2014" w:rsidR="00F247DB" w:rsidRDefault="00F247DB">
      <w:pPr>
        <w:pStyle w:val="Testonotaapidipagina"/>
      </w:pPr>
      <w:r w:rsidRPr="003400BF">
        <w:rPr>
          <w:rStyle w:val="Rimandonotaapidipagina"/>
          <w:rFonts w:ascii="Garamond" w:hAnsi="Garamond" w:cs="Times New Roman"/>
        </w:rPr>
        <w:footnoteRef/>
      </w:r>
      <w:r w:rsidRPr="003400BF">
        <w:rPr>
          <w:rFonts w:ascii="Garamond" w:hAnsi="Garamond" w:cs="Times New Roman"/>
        </w:rPr>
        <w:t xml:space="preserve"> Consiglio di Stato, Sez. V, 4 dicembre 2024, n. 9713.</w:t>
      </w:r>
    </w:p>
  </w:footnote>
  <w:footnote w:id="43">
    <w:p w14:paraId="270EE4C8" w14:textId="5FEFDFEB" w:rsidR="00F247DB" w:rsidRPr="00581482" w:rsidRDefault="00F247DB">
      <w:pPr>
        <w:pStyle w:val="Testonotaapidipagina"/>
        <w:rPr>
          <w:rFonts w:ascii="Garamond" w:hAnsi="Garamond"/>
        </w:rPr>
      </w:pPr>
      <w:r w:rsidRPr="00581482">
        <w:rPr>
          <w:rStyle w:val="Rimandonotaapidipagina"/>
          <w:rFonts w:ascii="Garamond" w:hAnsi="Garamond"/>
        </w:rPr>
        <w:footnoteRef/>
      </w:r>
      <w:r w:rsidRPr="00581482">
        <w:rPr>
          <w:rFonts w:ascii="Garamond" w:hAnsi="Garamond"/>
        </w:rPr>
        <w:t xml:space="preserve"> </w:t>
      </w:r>
      <w:r>
        <w:rPr>
          <w:rFonts w:ascii="Garamond" w:hAnsi="Garamond"/>
        </w:rPr>
        <w:t xml:space="preserve">In </w:t>
      </w:r>
      <w:r w:rsidRPr="00581482">
        <w:rPr>
          <w:rFonts w:ascii="Garamond" w:hAnsi="Garamond"/>
        </w:rPr>
        <w:t>G</w:t>
      </w:r>
      <w:r>
        <w:rPr>
          <w:rFonts w:ascii="Garamond" w:hAnsi="Garamond"/>
        </w:rPr>
        <w:t>.</w:t>
      </w:r>
      <w:r w:rsidRPr="00581482">
        <w:rPr>
          <w:rFonts w:ascii="Garamond" w:hAnsi="Garamond"/>
        </w:rPr>
        <w:t>U</w:t>
      </w:r>
      <w:r>
        <w:rPr>
          <w:rFonts w:ascii="Garamond" w:hAnsi="Garamond"/>
        </w:rPr>
        <w:t>.</w:t>
      </w:r>
      <w:r w:rsidRPr="00581482">
        <w:rPr>
          <w:rFonts w:ascii="Garamond" w:hAnsi="Garamond"/>
        </w:rPr>
        <w:t xml:space="preserve"> n.</w:t>
      </w:r>
      <w:r>
        <w:rPr>
          <w:rFonts w:ascii="Garamond" w:hAnsi="Garamond"/>
        </w:rPr>
        <w:t xml:space="preserve"> </w:t>
      </w:r>
      <w:r w:rsidRPr="00581482">
        <w:rPr>
          <w:rFonts w:ascii="Garamond" w:hAnsi="Garamond"/>
        </w:rPr>
        <w:t>77 del 31</w:t>
      </w:r>
      <w:r>
        <w:rPr>
          <w:rFonts w:ascii="Garamond" w:hAnsi="Garamond"/>
        </w:rPr>
        <w:t xml:space="preserve"> marzo </w:t>
      </w:r>
      <w:r w:rsidRPr="00581482">
        <w:rPr>
          <w:rFonts w:ascii="Garamond" w:hAnsi="Garamond"/>
        </w:rPr>
        <w:t>2023</w:t>
      </w:r>
      <w:r>
        <w:rPr>
          <w:rFonts w:ascii="Garamond" w:hAnsi="Garamond"/>
        </w:rPr>
        <w:t>,</w:t>
      </w:r>
      <w:r w:rsidRPr="00581482">
        <w:rPr>
          <w:rFonts w:ascii="Garamond" w:hAnsi="Garamond"/>
        </w:rPr>
        <w:t xml:space="preserve"> </w:t>
      </w:r>
      <w:proofErr w:type="spellStart"/>
      <w:r w:rsidRPr="00581482">
        <w:rPr>
          <w:rFonts w:ascii="Garamond" w:hAnsi="Garamond"/>
        </w:rPr>
        <w:t>Suppl</w:t>
      </w:r>
      <w:proofErr w:type="spellEnd"/>
      <w:r w:rsidRPr="00581482">
        <w:rPr>
          <w:rFonts w:ascii="Garamond" w:hAnsi="Garamond"/>
        </w:rPr>
        <w:t>. Ordinario n. 12).</w:t>
      </w:r>
    </w:p>
  </w:footnote>
  <w:footnote w:id="44">
    <w:p w14:paraId="6CF8A58B" w14:textId="09954B6C" w:rsidR="00F247DB" w:rsidRPr="00F913BE" w:rsidRDefault="00F247DB" w:rsidP="00F913BE">
      <w:pPr>
        <w:pStyle w:val="Testonotaapidipagina"/>
        <w:jc w:val="both"/>
        <w:rPr>
          <w:rFonts w:ascii="Garamond" w:hAnsi="Garamond"/>
        </w:rPr>
      </w:pPr>
      <w:r w:rsidRPr="00F913BE">
        <w:rPr>
          <w:rStyle w:val="Rimandonotaapidipagina"/>
          <w:rFonts w:ascii="Garamond" w:hAnsi="Garamond"/>
        </w:rPr>
        <w:footnoteRef/>
      </w:r>
      <w:r w:rsidRPr="00F913BE">
        <w:rPr>
          <w:rFonts w:ascii="Garamond" w:hAnsi="Garamond"/>
        </w:rPr>
        <w:t xml:space="preserve"> Unitamente</w:t>
      </w:r>
      <w:r>
        <w:rPr>
          <w:rFonts w:ascii="Garamond" w:hAnsi="Garamond"/>
        </w:rPr>
        <w:t xml:space="preserve"> alla</w:t>
      </w:r>
      <w:r w:rsidRPr="00F913BE">
        <w:rPr>
          <w:rFonts w:ascii="Garamond" w:hAnsi="Garamond"/>
        </w:rPr>
        <w:t xml:space="preserve"> </w:t>
      </w:r>
      <w:r>
        <w:rPr>
          <w:rFonts w:ascii="Garamond" w:hAnsi="Garamond"/>
        </w:rPr>
        <w:t>l</w:t>
      </w:r>
      <w:r w:rsidRPr="00F913BE">
        <w:rPr>
          <w:rFonts w:ascii="Garamond" w:hAnsi="Garamond"/>
        </w:rPr>
        <w:t>ocazione finanziaria</w:t>
      </w:r>
      <w:r>
        <w:rPr>
          <w:rFonts w:ascii="Garamond" w:hAnsi="Garamond"/>
        </w:rPr>
        <w:t>, a</w:t>
      </w:r>
      <w:r w:rsidRPr="00F913BE">
        <w:rPr>
          <w:rFonts w:ascii="Garamond" w:hAnsi="Garamond"/>
        </w:rPr>
        <w:t>l contratto di disponibilità</w:t>
      </w:r>
      <w:r>
        <w:rPr>
          <w:rFonts w:ascii="Garamond" w:hAnsi="Garamond"/>
        </w:rPr>
        <w:t xml:space="preserve"> ed</w:t>
      </w:r>
      <w:r w:rsidRPr="00F913BE">
        <w:rPr>
          <w:rFonts w:ascii="Garamond" w:hAnsi="Garamond"/>
        </w:rPr>
        <w:t xml:space="preserve"> </w:t>
      </w:r>
      <w:r>
        <w:rPr>
          <w:rFonts w:ascii="Garamond" w:hAnsi="Garamond"/>
        </w:rPr>
        <w:t>a</w:t>
      </w:r>
      <w:r w:rsidRPr="00F913BE">
        <w:rPr>
          <w:rFonts w:ascii="Garamond" w:hAnsi="Garamond"/>
        </w:rPr>
        <w:t xml:space="preserve">gli altri contratti stipulati dalla pubblica amministrazione con operatori economici privati che abbiano i contenuti di cui al comma 1 </w:t>
      </w:r>
      <w:r>
        <w:rPr>
          <w:rFonts w:ascii="Garamond" w:hAnsi="Garamond"/>
        </w:rPr>
        <w:t xml:space="preserve">dell’art. 174 del D. </w:t>
      </w:r>
      <w:proofErr w:type="spellStart"/>
      <w:r>
        <w:rPr>
          <w:rFonts w:ascii="Garamond" w:hAnsi="Garamond"/>
        </w:rPr>
        <w:t>Lgs</w:t>
      </w:r>
      <w:proofErr w:type="spellEnd"/>
      <w:r>
        <w:rPr>
          <w:rFonts w:ascii="Garamond" w:hAnsi="Garamond"/>
        </w:rPr>
        <w:t xml:space="preserve">. n. 36/2023 </w:t>
      </w:r>
      <w:r w:rsidRPr="00F913BE">
        <w:rPr>
          <w:rFonts w:ascii="Garamond" w:hAnsi="Garamond"/>
        </w:rPr>
        <w:t>e siano diretti a realizzare interessi meritevoli di tutela.</w:t>
      </w:r>
    </w:p>
  </w:footnote>
  <w:footnote w:id="45">
    <w:p w14:paraId="3B98B173" w14:textId="77777777" w:rsidR="00F247DB" w:rsidRPr="00F913BE" w:rsidRDefault="00F247DB" w:rsidP="00F913BE">
      <w:pPr>
        <w:pStyle w:val="Testonotaapidipagina"/>
        <w:jc w:val="both"/>
        <w:rPr>
          <w:rFonts w:ascii="Garamond" w:hAnsi="Garamond"/>
        </w:rPr>
      </w:pPr>
      <w:r w:rsidRPr="00F913BE">
        <w:rPr>
          <w:rStyle w:val="Rimandonotaapidipagina"/>
          <w:rFonts w:ascii="Garamond" w:hAnsi="Garamond"/>
        </w:rPr>
        <w:footnoteRef/>
      </w:r>
      <w:r w:rsidRPr="00F913BE">
        <w:rPr>
          <w:rFonts w:ascii="Garamond" w:hAnsi="Garamond"/>
        </w:rPr>
        <w:t xml:space="preserve"> L’art. 181 del D. </w:t>
      </w:r>
      <w:proofErr w:type="spellStart"/>
      <w:r w:rsidRPr="00F913BE">
        <w:rPr>
          <w:rFonts w:ascii="Garamond" w:hAnsi="Garamond"/>
        </w:rPr>
        <w:t>Lgs</w:t>
      </w:r>
      <w:proofErr w:type="spellEnd"/>
      <w:r w:rsidRPr="00F913BE">
        <w:rPr>
          <w:rFonts w:ascii="Garamond" w:hAnsi="Garamond"/>
        </w:rPr>
        <w:t>. n. 36/2023 esclude poi espressamente i servizi non economici di interesse generale dall’ambito applicativo della parte II del libro IV del Codice dei contratti pubblici.</w:t>
      </w:r>
    </w:p>
  </w:footnote>
  <w:footnote w:id="46">
    <w:p w14:paraId="4CCDFD52" w14:textId="268D8AB0" w:rsidR="00F247DB" w:rsidRPr="005C463E" w:rsidRDefault="00F247DB" w:rsidP="005C463E">
      <w:pPr>
        <w:pStyle w:val="Testonotaapidipagina"/>
        <w:jc w:val="both"/>
        <w:rPr>
          <w:rFonts w:ascii="Garamond" w:hAnsi="Garamond"/>
        </w:rPr>
      </w:pPr>
      <w:r w:rsidRPr="005C463E">
        <w:rPr>
          <w:rStyle w:val="Rimandonotaapidipagina"/>
          <w:rFonts w:ascii="Garamond" w:hAnsi="Garamond"/>
        </w:rPr>
        <w:footnoteRef/>
      </w:r>
      <w:r w:rsidRPr="005C463E">
        <w:rPr>
          <w:rFonts w:ascii="Garamond" w:hAnsi="Garamond"/>
        </w:rPr>
        <w:t xml:space="preserve"> Quanto alla procedura di alienazione delle partecipazioni da parte dell’ente locale andrà osservata la disciplina di cui </w:t>
      </w:r>
      <w:r>
        <w:rPr>
          <w:rFonts w:ascii="Garamond" w:hAnsi="Garamond"/>
        </w:rPr>
        <w:t xml:space="preserve">all’art. 10 </w:t>
      </w:r>
      <w:r w:rsidRPr="005C463E">
        <w:rPr>
          <w:rFonts w:ascii="Garamond" w:hAnsi="Garamond"/>
        </w:rPr>
        <w:t xml:space="preserve">del D. </w:t>
      </w:r>
      <w:proofErr w:type="spellStart"/>
      <w:r w:rsidRPr="005C463E">
        <w:rPr>
          <w:rFonts w:ascii="Garamond" w:hAnsi="Garamond"/>
        </w:rPr>
        <w:t>Lgs</w:t>
      </w:r>
      <w:proofErr w:type="spellEnd"/>
      <w:r w:rsidRPr="005C463E">
        <w:rPr>
          <w:rFonts w:ascii="Garamond" w:hAnsi="Garamond"/>
        </w:rPr>
        <w:t xml:space="preserve">. n. 175/2016. </w:t>
      </w:r>
    </w:p>
  </w:footnote>
  <w:footnote w:id="47">
    <w:p w14:paraId="6E8013C0" w14:textId="101F12A0" w:rsidR="00F247DB" w:rsidRPr="003400BF" w:rsidRDefault="00F247DB" w:rsidP="00F913BE">
      <w:pPr>
        <w:pStyle w:val="Testonotaapidipagina"/>
        <w:jc w:val="both"/>
        <w:rPr>
          <w:rFonts w:ascii="Garamond" w:hAnsi="Garamond" w:cs="Times New Roman"/>
        </w:rPr>
      </w:pPr>
      <w:r w:rsidRPr="00F913BE">
        <w:rPr>
          <w:rStyle w:val="Rimandonotaapidipagina"/>
          <w:rFonts w:ascii="Garamond" w:hAnsi="Garamond" w:cs="Times New Roman"/>
        </w:rPr>
        <w:footnoteRef/>
      </w:r>
      <w:r w:rsidRPr="00F913BE">
        <w:rPr>
          <w:rFonts w:ascii="Garamond" w:hAnsi="Garamond" w:cs="Times New Roman"/>
        </w:rPr>
        <w:t xml:space="preserve"> Consiglio di Stato, Sez. V, 17 ottobre 2023, n. 9034.</w:t>
      </w:r>
    </w:p>
  </w:footnote>
  <w:footnote w:id="48">
    <w:p w14:paraId="4E444BC8" w14:textId="5DC4557E" w:rsidR="007948E9" w:rsidRPr="007948E9" w:rsidRDefault="007948E9" w:rsidP="007948E9">
      <w:pPr>
        <w:pStyle w:val="Testonotaapidipagina"/>
        <w:jc w:val="both"/>
        <w:rPr>
          <w:rFonts w:ascii="Garamond" w:hAnsi="Garamond"/>
        </w:rPr>
      </w:pPr>
      <w:r w:rsidRPr="007948E9">
        <w:rPr>
          <w:rStyle w:val="Rimandonotaapidipagina"/>
          <w:rFonts w:ascii="Garamond" w:hAnsi="Garamond"/>
        </w:rPr>
        <w:footnoteRef/>
      </w:r>
      <w:r w:rsidRPr="007948E9">
        <w:rPr>
          <w:rFonts w:ascii="Garamond" w:hAnsi="Garamond"/>
        </w:rPr>
        <w:t xml:space="preserve"> </w:t>
      </w:r>
      <w:r>
        <w:rPr>
          <w:rFonts w:ascii="Garamond" w:hAnsi="Garamond"/>
        </w:rPr>
        <w:t xml:space="preserve">In </w:t>
      </w:r>
      <w:r w:rsidRPr="007948E9">
        <w:rPr>
          <w:rFonts w:ascii="Garamond" w:hAnsi="Garamond"/>
        </w:rPr>
        <w:t>G</w:t>
      </w:r>
      <w:r>
        <w:rPr>
          <w:rFonts w:ascii="Garamond" w:hAnsi="Garamond"/>
        </w:rPr>
        <w:t>.</w:t>
      </w:r>
      <w:r w:rsidRPr="007948E9">
        <w:rPr>
          <w:rFonts w:ascii="Garamond" w:hAnsi="Garamond"/>
        </w:rPr>
        <w:t>U</w:t>
      </w:r>
      <w:r>
        <w:rPr>
          <w:rFonts w:ascii="Garamond" w:hAnsi="Garamond"/>
        </w:rPr>
        <w:t>.</w:t>
      </w:r>
      <w:r w:rsidRPr="007948E9">
        <w:rPr>
          <w:rFonts w:ascii="Garamond" w:hAnsi="Garamond"/>
        </w:rPr>
        <w:t xml:space="preserve"> n.</w:t>
      </w:r>
      <w:r>
        <w:rPr>
          <w:rFonts w:ascii="Garamond" w:hAnsi="Garamond"/>
        </w:rPr>
        <w:t xml:space="preserve"> </w:t>
      </w:r>
      <w:r w:rsidRPr="007948E9">
        <w:rPr>
          <w:rFonts w:ascii="Garamond" w:hAnsi="Garamond"/>
        </w:rPr>
        <w:t>153 del 4</w:t>
      </w:r>
      <w:r>
        <w:rPr>
          <w:rFonts w:ascii="Garamond" w:hAnsi="Garamond"/>
        </w:rPr>
        <w:t xml:space="preserve"> luglio 2006. Tale Decreto è stato </w:t>
      </w:r>
      <w:r w:rsidRPr="007948E9">
        <w:rPr>
          <w:rFonts w:ascii="Garamond" w:hAnsi="Garamond"/>
        </w:rPr>
        <w:t>convertito con modificazioni dalla L. 4 agosto 2006, n. 248 (in S</w:t>
      </w:r>
      <w:r>
        <w:rPr>
          <w:rFonts w:ascii="Garamond" w:hAnsi="Garamond"/>
        </w:rPr>
        <w:t>.</w:t>
      </w:r>
      <w:r w:rsidRPr="007948E9">
        <w:rPr>
          <w:rFonts w:ascii="Garamond" w:hAnsi="Garamond"/>
        </w:rPr>
        <w:t>O</w:t>
      </w:r>
      <w:r>
        <w:rPr>
          <w:rFonts w:ascii="Garamond" w:hAnsi="Garamond"/>
        </w:rPr>
        <w:t>.</w:t>
      </w:r>
      <w:r w:rsidRPr="007948E9">
        <w:rPr>
          <w:rFonts w:ascii="Garamond" w:hAnsi="Garamond"/>
        </w:rPr>
        <w:t xml:space="preserve"> n.</w:t>
      </w:r>
      <w:r>
        <w:rPr>
          <w:rFonts w:ascii="Garamond" w:hAnsi="Garamond"/>
        </w:rPr>
        <w:t xml:space="preserve"> </w:t>
      </w:r>
      <w:r w:rsidRPr="007948E9">
        <w:rPr>
          <w:rFonts w:ascii="Garamond" w:hAnsi="Garamond"/>
        </w:rPr>
        <w:t xml:space="preserve">183, relativo alla G.U. </w:t>
      </w:r>
      <w:r>
        <w:rPr>
          <w:rFonts w:ascii="Garamond" w:hAnsi="Garamond"/>
        </w:rPr>
        <w:t>dell’</w:t>
      </w:r>
      <w:r w:rsidRPr="007948E9">
        <w:rPr>
          <w:rFonts w:ascii="Garamond" w:hAnsi="Garamond"/>
        </w:rPr>
        <w:t>11</w:t>
      </w:r>
      <w:r>
        <w:rPr>
          <w:rFonts w:ascii="Garamond" w:hAnsi="Garamond"/>
        </w:rPr>
        <w:t xml:space="preserve"> agosto </w:t>
      </w:r>
      <w:r w:rsidRPr="007948E9">
        <w:rPr>
          <w:rFonts w:ascii="Garamond" w:hAnsi="Garamond"/>
        </w:rPr>
        <w:t>2006, n.</w:t>
      </w:r>
      <w:r>
        <w:rPr>
          <w:rFonts w:ascii="Garamond" w:hAnsi="Garamond"/>
        </w:rPr>
        <w:t xml:space="preserve"> </w:t>
      </w:r>
      <w:r w:rsidRPr="007948E9">
        <w:rPr>
          <w:rFonts w:ascii="Garamond" w:hAnsi="Garamond"/>
        </w:rPr>
        <w:t>186)</w:t>
      </w:r>
      <w:r>
        <w:rPr>
          <w:rFonts w:ascii="Garamond" w:hAnsi="Garamond"/>
        </w:rPr>
        <w:t>.</w:t>
      </w:r>
    </w:p>
  </w:footnote>
  <w:footnote w:id="49">
    <w:p w14:paraId="4D84C40A" w14:textId="79D1DC60" w:rsidR="00F247DB" w:rsidRPr="003400BF" w:rsidRDefault="00F247DB" w:rsidP="000028E0">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Sul punto v. il comma 1 dell’art. 16 del D. </w:t>
      </w:r>
      <w:proofErr w:type="spellStart"/>
      <w:r w:rsidRPr="003400BF">
        <w:rPr>
          <w:rFonts w:ascii="Garamond" w:hAnsi="Garamond" w:cs="Times New Roman"/>
        </w:rPr>
        <w:t>Lgs</w:t>
      </w:r>
      <w:proofErr w:type="spellEnd"/>
      <w:r w:rsidRPr="003400BF">
        <w:rPr>
          <w:rFonts w:ascii="Garamond" w:hAnsi="Garamond" w:cs="Times New Roman"/>
        </w:rPr>
        <w:t>. 175/2016 in base al quale “</w:t>
      </w:r>
      <w:r w:rsidRPr="003400BF">
        <w:rPr>
          <w:rFonts w:ascii="Garamond" w:hAnsi="Garamond" w:cs="Times New Roman"/>
          <w:i/>
        </w:rPr>
        <w:t xml:space="preserve">Le società in </w:t>
      </w:r>
      <w:proofErr w:type="spellStart"/>
      <w:r w:rsidRPr="003400BF">
        <w:rPr>
          <w:rFonts w:ascii="Garamond" w:hAnsi="Garamond" w:cs="Times New Roman"/>
          <w:i/>
        </w:rPr>
        <w:t>house</w:t>
      </w:r>
      <w:proofErr w:type="spellEnd"/>
      <w:r w:rsidRPr="003400BF">
        <w:rPr>
          <w:rFonts w:ascii="Garamond" w:hAnsi="Garamond" w:cs="Times New Roman"/>
          <w:i/>
        </w:rPr>
        <w:t xml:space="preserve"> ricevono affidamenti diretti di contratti pubblici dalle amministrazioni che esercitano su di esse il controllo analogo o da ciascuna delle amministrazioni che esercitano su di esse il controllo analogo congiunto solo se non vi sia partecipazione di capitali privati, ad eccezione di quella prescritta da norme di legge e che avvenga in forme che non comportino controllo o potere di veto, né l'esercizio di un'influenza determinante sulla società controllata</w:t>
      </w:r>
      <w:r w:rsidRPr="003400BF">
        <w:rPr>
          <w:rFonts w:ascii="Garamond" w:hAnsi="Garamond" w:cs="Times New Roman"/>
        </w:rPr>
        <w:t>”, nonché le previsioni contenute nei commi successivi.</w:t>
      </w:r>
    </w:p>
  </w:footnote>
  <w:footnote w:id="50">
    <w:p w14:paraId="284A114E" w14:textId="1DB16220" w:rsidR="00F247DB" w:rsidRPr="003400BF" w:rsidRDefault="00F247DB" w:rsidP="000028E0">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Al fine di supportare gli enti affidanti nella predisposizione della documentazione richiesta dal D. </w:t>
      </w:r>
      <w:proofErr w:type="spellStart"/>
      <w:r w:rsidRPr="003400BF">
        <w:rPr>
          <w:rFonts w:ascii="Garamond" w:hAnsi="Garamond" w:cs="Times New Roman"/>
        </w:rPr>
        <w:t>Lgs</w:t>
      </w:r>
      <w:proofErr w:type="spellEnd"/>
      <w:r w:rsidRPr="003400BF">
        <w:rPr>
          <w:rFonts w:ascii="Garamond" w:hAnsi="Garamond" w:cs="Times New Roman"/>
        </w:rPr>
        <w:t xml:space="preserve">. </w:t>
      </w:r>
      <w:r w:rsidR="00C103BA">
        <w:rPr>
          <w:rFonts w:ascii="Garamond" w:hAnsi="Garamond" w:cs="Times New Roman"/>
        </w:rPr>
        <w:t xml:space="preserve">n. </w:t>
      </w:r>
      <w:r w:rsidRPr="003400BF">
        <w:rPr>
          <w:rFonts w:ascii="Garamond" w:hAnsi="Garamond" w:cs="Times New Roman"/>
        </w:rPr>
        <w:t>201/2022, semplificarne e uniformarne i contenuti e indirizzare correttamente le valutazioni che gli enti sono chiamati ad effettuare nell’affidamento dei servizi pubblici locali, l’ANAC, la Presidenza del Consiglio dei Ministri e l’Autorità Garante della Concorrenza e del Mercato hanno elaborato un possibile schema tipo per tale relazione rinvenibile online al seguente link https://www.anticorruzione.it/-/trasparenza-dei-servizi-pubblici-locali-di-rilevanza-economica#p1 .</w:t>
      </w:r>
    </w:p>
    <w:p w14:paraId="6E296F7A" w14:textId="74A18E0F" w:rsidR="00F247DB" w:rsidRPr="003400BF" w:rsidRDefault="00F247DB" w:rsidP="000028E0">
      <w:pPr>
        <w:pStyle w:val="Testonotaapidipagina"/>
        <w:jc w:val="both"/>
        <w:rPr>
          <w:rFonts w:ascii="Garamond" w:hAnsi="Garamond" w:cs="Times New Roman"/>
        </w:rPr>
      </w:pPr>
      <w:r w:rsidRPr="003400BF">
        <w:rPr>
          <w:rFonts w:ascii="Garamond" w:hAnsi="Garamond" w:cs="Times New Roman"/>
        </w:rPr>
        <w:t xml:space="preserve">In particolare, tale schema è suddiviso in diverse Sezioni relative a: a) sussistenza dei requisiti previsti dall’ordinamento europeo e nazionale per l’affidamento a società </w:t>
      </w:r>
      <w:r w:rsidRPr="003400BF">
        <w:rPr>
          <w:rFonts w:ascii="Garamond" w:hAnsi="Garamond" w:cs="Times New Roman"/>
          <w:i/>
        </w:rPr>
        <w:t xml:space="preserve">in </w:t>
      </w:r>
      <w:proofErr w:type="spellStart"/>
      <w:r w:rsidRPr="003400BF">
        <w:rPr>
          <w:rFonts w:ascii="Garamond" w:hAnsi="Garamond" w:cs="Times New Roman"/>
          <w:i/>
        </w:rPr>
        <w:t>house</w:t>
      </w:r>
      <w:proofErr w:type="spellEnd"/>
      <w:r w:rsidRPr="003400BF">
        <w:rPr>
          <w:rFonts w:ascii="Garamond" w:hAnsi="Garamond" w:cs="Times New Roman"/>
        </w:rPr>
        <w:t>; b) motivazione qualificata suddivisa in: b.1) impostazione dell’analisi del mercato; b2) ragioni del mancato ricorso al mercato specificando: b.2.1.): analisi del mercato; b.2.2.) efficiente gestione del servizio (va</w:t>
      </w:r>
      <w:r w:rsidR="00A31CA3">
        <w:rPr>
          <w:rFonts w:ascii="Garamond" w:hAnsi="Garamond" w:cs="Times New Roman"/>
        </w:rPr>
        <w:t>lutazione comparativa); b.2.3.)</w:t>
      </w:r>
      <w:r w:rsidRPr="003400BF">
        <w:rPr>
          <w:rFonts w:ascii="Garamond" w:hAnsi="Garamond" w:cs="Times New Roman"/>
        </w:rPr>
        <w:t xml:space="preserve"> </w:t>
      </w:r>
      <w:r w:rsidR="00A31CA3">
        <w:rPr>
          <w:rFonts w:ascii="Garamond" w:hAnsi="Garamond" w:cs="Times New Roman"/>
        </w:rPr>
        <w:t>b</w:t>
      </w:r>
      <w:r w:rsidRPr="003400BF">
        <w:rPr>
          <w:rFonts w:ascii="Garamond" w:hAnsi="Garamond" w:cs="Times New Roman"/>
        </w:rPr>
        <w:t xml:space="preserve">enefici attesi per la collettività (valutazione comparativa). </w:t>
      </w:r>
    </w:p>
  </w:footnote>
  <w:footnote w:id="51">
    <w:p w14:paraId="68D63671" w14:textId="7F6C7194" w:rsidR="00F247DB" w:rsidRDefault="00F247DB" w:rsidP="000028E0">
      <w:pPr>
        <w:pStyle w:val="Testonotaapidipagina"/>
        <w:jc w:val="both"/>
      </w:pPr>
      <w:r w:rsidRPr="003400BF">
        <w:rPr>
          <w:rStyle w:val="Rimandonotaapidipagina"/>
          <w:rFonts w:ascii="Garamond" w:hAnsi="Garamond" w:cs="Times New Roman"/>
        </w:rPr>
        <w:footnoteRef/>
      </w:r>
      <w:r w:rsidRPr="003400BF">
        <w:rPr>
          <w:rFonts w:ascii="Garamond" w:hAnsi="Garamond" w:cs="Times New Roman"/>
        </w:rPr>
        <w:t xml:space="preserve"> V. parere n. AS 2082/2025 dell’AGCM.</w:t>
      </w:r>
    </w:p>
  </w:footnote>
  <w:footnote w:id="52">
    <w:p w14:paraId="0DB2876B" w14:textId="603714DE" w:rsidR="00F247DB" w:rsidRPr="00A41D7C" w:rsidRDefault="00F247DB" w:rsidP="00A41D7C">
      <w:pPr>
        <w:pStyle w:val="Testonotaapidipagina"/>
        <w:jc w:val="both"/>
        <w:rPr>
          <w:rFonts w:ascii="Garamond" w:hAnsi="Garamond"/>
        </w:rPr>
      </w:pPr>
      <w:r w:rsidRPr="00A41D7C">
        <w:rPr>
          <w:rStyle w:val="Rimandonotaapidipagina"/>
          <w:rFonts w:ascii="Garamond" w:hAnsi="Garamond"/>
        </w:rPr>
        <w:footnoteRef/>
      </w:r>
      <w:r w:rsidRPr="00A41D7C">
        <w:rPr>
          <w:rFonts w:ascii="Garamond" w:hAnsi="Garamond"/>
        </w:rPr>
        <w:t xml:space="preserve"> In tal senso B.G. Di Mauro in Governo locale dei servizi pubblici ed effettività dei diritti. Profili ricostruttivi, </w:t>
      </w:r>
      <w:r w:rsidR="00A31CA3">
        <w:rPr>
          <w:rFonts w:ascii="Garamond" w:hAnsi="Garamond"/>
        </w:rPr>
        <w:t>comparativi</w:t>
      </w:r>
      <w:r w:rsidRPr="00A41D7C">
        <w:rPr>
          <w:rFonts w:ascii="Garamond" w:hAnsi="Garamond"/>
        </w:rPr>
        <w:t xml:space="preserve"> ed </w:t>
      </w:r>
      <w:r w:rsidRPr="00A41D7C">
        <w:rPr>
          <w:rFonts w:ascii="Garamond" w:hAnsi="Garamond"/>
          <w:color w:val="000000" w:themeColor="text1"/>
        </w:rPr>
        <w:t>evolutivi cit., pag. 206 e ss..</w:t>
      </w:r>
    </w:p>
  </w:footnote>
  <w:footnote w:id="53">
    <w:p w14:paraId="0796F762" w14:textId="7637317B" w:rsidR="00F247DB" w:rsidRPr="00AF29F7" w:rsidRDefault="00F247DB" w:rsidP="00AF29F7">
      <w:pPr>
        <w:pStyle w:val="Testonotaapidipagina"/>
        <w:jc w:val="both"/>
        <w:rPr>
          <w:rFonts w:ascii="Garamond" w:hAnsi="Garamond"/>
        </w:rPr>
      </w:pPr>
      <w:r w:rsidRPr="00AF29F7">
        <w:rPr>
          <w:rStyle w:val="Rimandonotaapidipagina"/>
          <w:rFonts w:ascii="Garamond" w:hAnsi="Garamond"/>
        </w:rPr>
        <w:footnoteRef/>
      </w:r>
      <w:r w:rsidRPr="00AF29F7">
        <w:rPr>
          <w:rFonts w:ascii="Garamond" w:hAnsi="Garamond"/>
        </w:rPr>
        <w:t xml:space="preserve"> In tal senso B.G. Di Mauro in Governo locale dei servizi pubblici ed effettività dei diritti. Profili ricostruttivi, </w:t>
      </w:r>
      <w:r w:rsidR="00A31CA3">
        <w:rPr>
          <w:rFonts w:ascii="Garamond" w:hAnsi="Garamond"/>
        </w:rPr>
        <w:t>comparativi</w:t>
      </w:r>
      <w:r w:rsidRPr="00AF29F7">
        <w:rPr>
          <w:rFonts w:ascii="Garamond" w:hAnsi="Garamond"/>
        </w:rPr>
        <w:t xml:space="preserve"> ed evolutivi cit., pag. </w:t>
      </w:r>
      <w:r>
        <w:rPr>
          <w:rFonts w:ascii="Garamond" w:hAnsi="Garamond"/>
        </w:rPr>
        <w:t>202</w:t>
      </w:r>
      <w:r w:rsidRPr="00AF29F7">
        <w:rPr>
          <w:rFonts w:ascii="Garamond" w:hAnsi="Garamond"/>
        </w:rPr>
        <w:t>.</w:t>
      </w:r>
    </w:p>
  </w:footnote>
  <w:footnote w:id="54">
    <w:p w14:paraId="58EBB952" w14:textId="40FDAE84" w:rsidR="00F247DB" w:rsidRPr="003400BF" w:rsidRDefault="00F247DB" w:rsidP="000028E0">
      <w:pPr>
        <w:pStyle w:val="Testonotaapidipagina"/>
        <w:jc w:val="both"/>
        <w:rPr>
          <w:rFonts w:ascii="Garamond" w:hAnsi="Garamond"/>
        </w:rPr>
      </w:pPr>
      <w:r w:rsidRPr="003400BF">
        <w:rPr>
          <w:rStyle w:val="Rimandonotaapidipagina"/>
          <w:rFonts w:ascii="Garamond" w:hAnsi="Garamond"/>
        </w:rPr>
        <w:footnoteRef/>
      </w:r>
      <w:r w:rsidRPr="003400BF">
        <w:rPr>
          <w:rFonts w:ascii="Garamond" w:hAnsi="Garamond"/>
        </w:rPr>
        <w:t xml:space="preserve"> V. </w:t>
      </w:r>
      <w:r>
        <w:rPr>
          <w:rFonts w:ascii="Garamond" w:hAnsi="Garamond"/>
        </w:rPr>
        <w:t xml:space="preserve">M. </w:t>
      </w:r>
      <w:r w:rsidRPr="003400BF">
        <w:rPr>
          <w:rFonts w:ascii="Garamond" w:hAnsi="Garamond"/>
        </w:rPr>
        <w:t>Casati, I Servizi pubblici locali a rilevanza economica – Cap. 3 Le forme di gestione, in Pratica Amministrativa, 5 agosto 2024, n. 8.</w:t>
      </w:r>
    </w:p>
  </w:footnote>
  <w:footnote w:id="55">
    <w:p w14:paraId="16844CA2" w14:textId="303E500E" w:rsidR="00F247DB" w:rsidRDefault="00F247DB" w:rsidP="000028E0">
      <w:pPr>
        <w:pStyle w:val="Testonotaapidipagina"/>
        <w:jc w:val="both"/>
      </w:pPr>
      <w:r w:rsidRPr="003400BF">
        <w:rPr>
          <w:rStyle w:val="Rimandonotaapidipagina"/>
          <w:rFonts w:ascii="Garamond" w:hAnsi="Garamond"/>
        </w:rPr>
        <w:footnoteRef/>
      </w:r>
      <w:r w:rsidRPr="003400BF">
        <w:rPr>
          <w:rFonts w:ascii="Garamond" w:hAnsi="Garamond"/>
        </w:rPr>
        <w:t xml:space="preserve"> Consiglio di Stato, Sez. V, 3 febbraio 2025, n. 803.</w:t>
      </w:r>
    </w:p>
  </w:footnote>
  <w:footnote w:id="56">
    <w:p w14:paraId="46AB1301" w14:textId="01F40722" w:rsidR="008079BD" w:rsidRPr="008079BD" w:rsidRDefault="008079BD" w:rsidP="008079BD">
      <w:pPr>
        <w:pStyle w:val="Testonotaapidipagina"/>
        <w:jc w:val="both"/>
        <w:rPr>
          <w:rFonts w:ascii="Garamond" w:hAnsi="Garamond"/>
          <w:i/>
        </w:rPr>
      </w:pPr>
      <w:r w:rsidRPr="008079BD">
        <w:rPr>
          <w:rStyle w:val="Rimandonotaapidipagina"/>
          <w:rFonts w:ascii="Garamond" w:hAnsi="Garamond"/>
        </w:rPr>
        <w:footnoteRef/>
      </w:r>
      <w:r w:rsidRPr="008079BD">
        <w:rPr>
          <w:rFonts w:ascii="Garamond" w:hAnsi="Garamond"/>
        </w:rPr>
        <w:t xml:space="preserve"> In particolare, l’art. 25 dispone:</w:t>
      </w:r>
      <w:r>
        <w:rPr>
          <w:rFonts w:ascii="Garamond" w:hAnsi="Garamond"/>
        </w:rPr>
        <w:t xml:space="preserve"> </w:t>
      </w:r>
      <w:r w:rsidRPr="008079BD">
        <w:rPr>
          <w:rFonts w:ascii="Garamond" w:hAnsi="Garamond"/>
        </w:rPr>
        <w:t>“</w:t>
      </w:r>
      <w:r w:rsidRPr="008079BD">
        <w:rPr>
          <w:rFonts w:ascii="Garamond" w:hAnsi="Garamond"/>
          <w:i/>
        </w:rPr>
        <w:t>1. Il gestore del servizio pubblico locale di rilevanza economica redige e aggiorna la carta corredata altresì delle informazioni relative alla composizione della tariffa, e la pubblica sul proprio sito internet.</w:t>
      </w:r>
    </w:p>
    <w:p w14:paraId="3947FDB8" w14:textId="034AD6C1" w:rsidR="008079BD" w:rsidRPr="008079BD" w:rsidRDefault="008079BD" w:rsidP="008079BD">
      <w:pPr>
        <w:pStyle w:val="Testonotaapidipagina"/>
        <w:jc w:val="both"/>
        <w:rPr>
          <w:rFonts w:ascii="Garamond" w:hAnsi="Garamond"/>
        </w:rPr>
      </w:pPr>
      <w:r w:rsidRPr="008079BD">
        <w:rPr>
          <w:rFonts w:ascii="Garamond" w:hAnsi="Garamond"/>
          <w:i/>
        </w:rPr>
        <w:t>2. Il gestore dà adeguata pubblicità, anche a mezzo del proprio sito internet, nel rispetto delle regole sui segreti commerciali e le informazioni confidenziali delle imprese, del livello effettivo di qualità dei servizi offerti, del livello annuale degli investimenti effettuati e della loro programmazione fino al termine dell'affidamento, con modalità che assicurino la comprensibilità dei relativi atti e dati</w:t>
      </w:r>
      <w:r>
        <w:rPr>
          <w:rFonts w:ascii="Garamond" w:hAnsi="Garamond"/>
        </w:rPr>
        <w:t>”</w:t>
      </w:r>
      <w:r w:rsidRPr="008079BD">
        <w:rPr>
          <w:rFonts w:ascii="Garamond" w:hAnsi="Garamond"/>
        </w:rPr>
        <w:t>.</w:t>
      </w:r>
    </w:p>
  </w:footnote>
  <w:footnote w:id="57">
    <w:p w14:paraId="7C9FA6D9" w14:textId="77777777" w:rsidR="00F247DB" w:rsidRPr="003400BF" w:rsidRDefault="00F247DB" w:rsidP="00FB4EC4">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Per la compilazione della relazione annuale è possibile utilizzare lo schema predisposto da ANCI (Associazione Nazionale Comuni Italiani), disponibile al seguente link https://www.anci.it/wp-content/uploads/Quaderno-n-46-ricognizione-spl-art.-30-dlgs-201-22.pdf .</w:t>
      </w:r>
    </w:p>
  </w:footnote>
  <w:footnote w:id="58">
    <w:p w14:paraId="391428FF" w14:textId="609E1960" w:rsidR="001F0F3E" w:rsidRPr="001F0F3E" w:rsidRDefault="001F0F3E" w:rsidP="001F0F3E">
      <w:pPr>
        <w:pStyle w:val="Testonotaapidipagina"/>
        <w:jc w:val="both"/>
        <w:rPr>
          <w:rFonts w:ascii="Garamond" w:hAnsi="Garamond"/>
        </w:rPr>
      </w:pPr>
      <w:r w:rsidRPr="001F0F3E">
        <w:rPr>
          <w:rStyle w:val="Rimandonotaapidipagina"/>
          <w:rFonts w:ascii="Garamond" w:hAnsi="Garamond"/>
        </w:rPr>
        <w:footnoteRef/>
      </w:r>
      <w:r w:rsidRPr="001F0F3E">
        <w:rPr>
          <w:rFonts w:ascii="Garamond" w:hAnsi="Garamond"/>
        </w:rPr>
        <w:t xml:space="preserve"> In</w:t>
      </w:r>
      <w:r>
        <w:rPr>
          <w:rFonts w:ascii="Garamond" w:hAnsi="Garamond"/>
        </w:rPr>
        <w:t xml:space="preserve"> sede di prima applicazione del D. </w:t>
      </w:r>
      <w:proofErr w:type="spellStart"/>
      <w:r>
        <w:rPr>
          <w:rFonts w:ascii="Garamond" w:hAnsi="Garamond"/>
        </w:rPr>
        <w:t>Lgs</w:t>
      </w:r>
      <w:proofErr w:type="spellEnd"/>
      <w:r>
        <w:rPr>
          <w:rFonts w:ascii="Garamond" w:hAnsi="Garamond"/>
        </w:rPr>
        <w:t>. n. 201/2022 il comma 3 dell’art. 30 di tale Decreto ha previsto l’effettuazione del</w:t>
      </w:r>
      <w:r w:rsidRPr="001F0F3E">
        <w:rPr>
          <w:rFonts w:ascii="Garamond" w:hAnsi="Garamond"/>
        </w:rPr>
        <w:t>la ricognizione entro</w:t>
      </w:r>
      <w:r>
        <w:rPr>
          <w:rFonts w:ascii="Garamond" w:hAnsi="Garamond"/>
        </w:rPr>
        <w:t xml:space="preserve"> </w:t>
      </w:r>
      <w:r w:rsidRPr="001F0F3E">
        <w:rPr>
          <w:rFonts w:ascii="Garamond" w:hAnsi="Garamond"/>
        </w:rPr>
        <w:t xml:space="preserve">dodici mesi dalla data di entrata in vigore del </w:t>
      </w:r>
      <w:r>
        <w:rPr>
          <w:rFonts w:ascii="Garamond" w:hAnsi="Garamond"/>
        </w:rPr>
        <w:t>D</w:t>
      </w:r>
      <w:r w:rsidRPr="001F0F3E">
        <w:rPr>
          <w:rFonts w:ascii="Garamond" w:hAnsi="Garamond"/>
        </w:rPr>
        <w:t>ecreto</w:t>
      </w:r>
      <w:r>
        <w:rPr>
          <w:rFonts w:ascii="Garamond" w:hAnsi="Garamond"/>
        </w:rPr>
        <w:t>.</w:t>
      </w:r>
    </w:p>
  </w:footnote>
  <w:footnote w:id="59">
    <w:p w14:paraId="17D03606" w14:textId="6D61D93F" w:rsidR="00216BAC" w:rsidRPr="00216BAC" w:rsidRDefault="00216BAC" w:rsidP="00216BAC">
      <w:pPr>
        <w:pStyle w:val="Testonotaapidipagina"/>
        <w:jc w:val="both"/>
        <w:rPr>
          <w:rFonts w:ascii="Garamond" w:hAnsi="Garamond"/>
        </w:rPr>
      </w:pPr>
      <w:r w:rsidRPr="00216BAC">
        <w:rPr>
          <w:rStyle w:val="Rimandonotaapidipagina"/>
          <w:rFonts w:ascii="Garamond" w:hAnsi="Garamond"/>
        </w:rPr>
        <w:footnoteRef/>
      </w:r>
      <w:r w:rsidRPr="00216BAC">
        <w:rPr>
          <w:rFonts w:ascii="Garamond" w:hAnsi="Garamond"/>
        </w:rPr>
        <w:t xml:space="preserve"> </w:t>
      </w:r>
      <w:r>
        <w:rPr>
          <w:rFonts w:ascii="Garamond" w:hAnsi="Garamond"/>
        </w:rPr>
        <w:t>All’interno di in un’</w:t>
      </w:r>
      <w:r w:rsidRPr="00216BAC">
        <w:rPr>
          <w:rFonts w:ascii="Garamond" w:hAnsi="Garamond"/>
        </w:rPr>
        <w:t>apposita sezione</w:t>
      </w:r>
      <w:r>
        <w:rPr>
          <w:rFonts w:ascii="Garamond" w:hAnsi="Garamond"/>
        </w:rPr>
        <w:t xml:space="preserve"> </w:t>
      </w:r>
      <w:r w:rsidRPr="00216BAC">
        <w:rPr>
          <w:rFonts w:ascii="Garamond" w:hAnsi="Garamond"/>
        </w:rPr>
        <w:t xml:space="preserve">denominata «Trasparenza dei servizi pubblici locali di rilevanza economica </w:t>
      </w:r>
      <w:r>
        <w:rPr>
          <w:rFonts w:ascii="Garamond" w:hAnsi="Garamond"/>
        </w:rPr>
        <w:t>–</w:t>
      </w:r>
      <w:r w:rsidRPr="00216BAC">
        <w:rPr>
          <w:rFonts w:ascii="Garamond" w:hAnsi="Garamond"/>
        </w:rPr>
        <w:t xml:space="preserve"> Trasparenza</w:t>
      </w:r>
      <w:r>
        <w:rPr>
          <w:rFonts w:ascii="Garamond" w:hAnsi="Garamond"/>
        </w:rPr>
        <w:t xml:space="preserve"> </w:t>
      </w:r>
      <w:r w:rsidRPr="00216BAC">
        <w:rPr>
          <w:rFonts w:ascii="Garamond" w:hAnsi="Garamond"/>
        </w:rPr>
        <w:t>SPL», dando evidenza della data di pubblicazione.</w:t>
      </w:r>
    </w:p>
  </w:footnote>
  <w:footnote w:id="60">
    <w:p w14:paraId="53BA15A0" w14:textId="5822FF06" w:rsidR="00F247DB" w:rsidRPr="003400BF" w:rsidRDefault="00F247DB" w:rsidP="00D9235F">
      <w:pPr>
        <w:pStyle w:val="Testonotaapidipagina"/>
        <w:jc w:val="both"/>
        <w:rPr>
          <w:rFonts w:ascii="Garamond" w:hAnsi="Garamond" w:cs="Times New Roman"/>
        </w:rPr>
      </w:pPr>
      <w:r w:rsidRPr="003400BF">
        <w:rPr>
          <w:rStyle w:val="Rimandonotaapidipagina"/>
          <w:rFonts w:ascii="Garamond" w:hAnsi="Garamond" w:cs="Times New Roman"/>
        </w:rPr>
        <w:footnoteRef/>
      </w:r>
      <w:r w:rsidRPr="003400BF">
        <w:rPr>
          <w:rFonts w:ascii="Garamond" w:hAnsi="Garamond" w:cs="Times New Roman"/>
        </w:rPr>
        <w:t xml:space="preserve"> Com’è noto l’AGCM potrà altresì presentare ricorso in caso di mancata conformazione dell’ente locale al parere entro 60 giorni successi</w:t>
      </w:r>
      <w:r w:rsidR="00A31CA3">
        <w:rPr>
          <w:rFonts w:ascii="Garamond" w:hAnsi="Garamond" w:cs="Times New Roman"/>
        </w:rPr>
        <w:t>vi alla comunicazione del parere</w:t>
      </w:r>
      <w:r w:rsidRPr="003400BF">
        <w:rPr>
          <w:rFonts w:ascii="Garamond" w:hAnsi="Garamond" w:cs="Times New Roman"/>
        </w:rPr>
        <w:t>.</w:t>
      </w:r>
    </w:p>
  </w:footnote>
  <w:footnote w:id="61">
    <w:p w14:paraId="66AEB33F" w14:textId="167EE97D" w:rsidR="00F247DB" w:rsidRPr="00B12D62" w:rsidRDefault="00F247DB" w:rsidP="00B12D62">
      <w:pPr>
        <w:pStyle w:val="Testonotaapidipagina"/>
        <w:jc w:val="both"/>
        <w:rPr>
          <w:rFonts w:ascii="Garamond" w:hAnsi="Garamond"/>
        </w:rPr>
      </w:pPr>
      <w:r w:rsidRPr="00B12D62">
        <w:rPr>
          <w:rStyle w:val="Rimandonotaapidipagina"/>
          <w:rFonts w:ascii="Garamond" w:hAnsi="Garamond"/>
        </w:rPr>
        <w:footnoteRef/>
      </w:r>
      <w:r w:rsidRPr="00B12D62">
        <w:rPr>
          <w:rFonts w:ascii="Garamond" w:hAnsi="Garamond"/>
        </w:rPr>
        <w:t xml:space="preserve"> </w:t>
      </w:r>
      <w:r>
        <w:rPr>
          <w:rFonts w:ascii="Garamond" w:hAnsi="Garamond"/>
        </w:rPr>
        <w:t>In particolare, in tale segnalazione l’Autorità ha riscontrato “</w:t>
      </w:r>
      <w:r w:rsidRPr="00B12D62">
        <w:rPr>
          <w:rFonts w:ascii="Garamond" w:hAnsi="Garamond"/>
          <w:i/>
        </w:rPr>
        <w:t>un insufficiente livello di ottemperanza all’obbligo di pubblicazione delle ricognizioni, previsto dall’articolo 31, comma 2, del d.lgs. n. 201/2022</w:t>
      </w:r>
      <w:r>
        <w:rPr>
          <w:rFonts w:ascii="Garamond" w:hAnsi="Garamond"/>
        </w:rPr>
        <w:t>” con un “</w:t>
      </w:r>
      <w:r w:rsidRPr="00B12D62">
        <w:rPr>
          <w:rFonts w:ascii="Garamond" w:hAnsi="Garamond"/>
          <w:i/>
        </w:rPr>
        <w:t>tasso di ottemperanza da parte dei soli Comuni, al 15 maggio 2024</w:t>
      </w:r>
      <w:r>
        <w:rPr>
          <w:rFonts w:ascii="Garamond" w:hAnsi="Garamond"/>
          <w:i/>
        </w:rPr>
        <w:t xml:space="preserve"> …</w:t>
      </w:r>
      <w:r w:rsidRPr="00B12D62">
        <w:rPr>
          <w:rFonts w:ascii="Garamond" w:hAnsi="Garamond"/>
          <w:i/>
        </w:rPr>
        <w:t xml:space="preserve"> pari al 58%</w:t>
      </w:r>
      <w:r>
        <w:rPr>
          <w:rFonts w:ascii="Garamond" w:hAnsi="Garamond"/>
        </w:rPr>
        <w:t xml:space="preserve">”, una maggiore ottemperanza complessiva per i Comuni del Nord e del Centro ed un’ottemperanza in media pari al 36% per i Comuni del Sud e delle Isole. </w:t>
      </w:r>
    </w:p>
  </w:footnote>
  <w:footnote w:id="62">
    <w:p w14:paraId="22167FA9" w14:textId="19664370" w:rsidR="00F247DB" w:rsidRPr="00171A7B" w:rsidRDefault="00F247DB" w:rsidP="00655B8B">
      <w:pPr>
        <w:pStyle w:val="Testonotaapidipagina"/>
        <w:jc w:val="both"/>
        <w:rPr>
          <w:rFonts w:ascii="Times New Roman" w:hAnsi="Times New Roman" w:cs="Times New Roman"/>
        </w:rPr>
      </w:pPr>
      <w:r w:rsidRPr="003400BF">
        <w:rPr>
          <w:rStyle w:val="Rimandonotaapidipagina"/>
          <w:rFonts w:ascii="Garamond" w:hAnsi="Garamond" w:cs="Times New Roman"/>
        </w:rPr>
        <w:footnoteRef/>
      </w:r>
      <w:r w:rsidRPr="003400BF">
        <w:rPr>
          <w:rFonts w:ascii="Garamond" w:hAnsi="Garamond" w:cs="Times New Roman"/>
        </w:rPr>
        <w:t xml:space="preserve"> Quanto segue, ivi comprese le citazioni di seguito riportate, è tratto dal dossier redatto dal Servizio Studi del Senato della Repubblica e della Camera dei deputati </w:t>
      </w:r>
      <w:r>
        <w:rPr>
          <w:rFonts w:ascii="Garamond" w:hAnsi="Garamond" w:cs="Times New Roman"/>
        </w:rPr>
        <w:t xml:space="preserve">e </w:t>
      </w:r>
      <w:r w:rsidRPr="003400BF">
        <w:rPr>
          <w:rFonts w:ascii="Garamond" w:hAnsi="Garamond" w:cs="Times New Roman"/>
        </w:rPr>
        <w:t>datato 21.7.2025.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17DE3"/>
    <w:multiLevelType w:val="hybridMultilevel"/>
    <w:tmpl w:val="073E425E"/>
    <w:lvl w:ilvl="0" w:tplc="14A0B81E">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055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E70"/>
    <w:rsid w:val="000013EE"/>
    <w:rsid w:val="000028E0"/>
    <w:rsid w:val="00002A66"/>
    <w:rsid w:val="00006F32"/>
    <w:rsid w:val="00012DE1"/>
    <w:rsid w:val="000241B8"/>
    <w:rsid w:val="00035218"/>
    <w:rsid w:val="00057E8A"/>
    <w:rsid w:val="00063789"/>
    <w:rsid w:val="00073743"/>
    <w:rsid w:val="0007499E"/>
    <w:rsid w:val="00082BD9"/>
    <w:rsid w:val="00085B20"/>
    <w:rsid w:val="00090C45"/>
    <w:rsid w:val="000911C9"/>
    <w:rsid w:val="000957BF"/>
    <w:rsid w:val="00097A6A"/>
    <w:rsid w:val="000A23E2"/>
    <w:rsid w:val="000A5EA6"/>
    <w:rsid w:val="000B2A88"/>
    <w:rsid w:val="000B3CCD"/>
    <w:rsid w:val="000B6773"/>
    <w:rsid w:val="000C366A"/>
    <w:rsid w:val="000C7CDA"/>
    <w:rsid w:val="000D1093"/>
    <w:rsid w:val="000D2D42"/>
    <w:rsid w:val="000D3BA7"/>
    <w:rsid w:val="000E578B"/>
    <w:rsid w:val="000F3EBE"/>
    <w:rsid w:val="000F5C11"/>
    <w:rsid w:val="00100BCE"/>
    <w:rsid w:val="001065FA"/>
    <w:rsid w:val="001123E8"/>
    <w:rsid w:val="001128EC"/>
    <w:rsid w:val="00122159"/>
    <w:rsid w:val="0012281C"/>
    <w:rsid w:val="00125FE6"/>
    <w:rsid w:val="001324AE"/>
    <w:rsid w:val="001332AF"/>
    <w:rsid w:val="0014184C"/>
    <w:rsid w:val="00144E12"/>
    <w:rsid w:val="00146DD9"/>
    <w:rsid w:val="00151488"/>
    <w:rsid w:val="00157118"/>
    <w:rsid w:val="001678E0"/>
    <w:rsid w:val="0017066E"/>
    <w:rsid w:val="00170BD1"/>
    <w:rsid w:val="001714FF"/>
    <w:rsid w:val="00171A7B"/>
    <w:rsid w:val="001745DD"/>
    <w:rsid w:val="001748FD"/>
    <w:rsid w:val="001751BF"/>
    <w:rsid w:val="001857D5"/>
    <w:rsid w:val="00191993"/>
    <w:rsid w:val="001A2495"/>
    <w:rsid w:val="001A5C60"/>
    <w:rsid w:val="001C2AC1"/>
    <w:rsid w:val="001C7BE7"/>
    <w:rsid w:val="001D03C6"/>
    <w:rsid w:val="001D5311"/>
    <w:rsid w:val="001E174B"/>
    <w:rsid w:val="001E21EB"/>
    <w:rsid w:val="001E2ED9"/>
    <w:rsid w:val="001E4ED1"/>
    <w:rsid w:val="001E728C"/>
    <w:rsid w:val="001F0F3E"/>
    <w:rsid w:val="001F1402"/>
    <w:rsid w:val="001F6117"/>
    <w:rsid w:val="00216BAC"/>
    <w:rsid w:val="00217928"/>
    <w:rsid w:val="00221BDA"/>
    <w:rsid w:val="002229BE"/>
    <w:rsid w:val="00223497"/>
    <w:rsid w:val="002241D5"/>
    <w:rsid w:val="0023072B"/>
    <w:rsid w:val="00241E58"/>
    <w:rsid w:val="00242FC4"/>
    <w:rsid w:val="0024484D"/>
    <w:rsid w:val="00246119"/>
    <w:rsid w:val="00251C5F"/>
    <w:rsid w:val="00252E80"/>
    <w:rsid w:val="00254D52"/>
    <w:rsid w:val="00273629"/>
    <w:rsid w:val="002802FD"/>
    <w:rsid w:val="00284954"/>
    <w:rsid w:val="002922CC"/>
    <w:rsid w:val="002A1A9F"/>
    <w:rsid w:val="002A234E"/>
    <w:rsid w:val="002A6FAE"/>
    <w:rsid w:val="002B0099"/>
    <w:rsid w:val="002B3510"/>
    <w:rsid w:val="002B5EFF"/>
    <w:rsid w:val="002C0A12"/>
    <w:rsid w:val="002C2110"/>
    <w:rsid w:val="002C59AE"/>
    <w:rsid w:val="002C6785"/>
    <w:rsid w:val="002D09CB"/>
    <w:rsid w:val="002D13B1"/>
    <w:rsid w:val="002D6192"/>
    <w:rsid w:val="002D7623"/>
    <w:rsid w:val="002E1251"/>
    <w:rsid w:val="002F2400"/>
    <w:rsid w:val="00301182"/>
    <w:rsid w:val="00301C2F"/>
    <w:rsid w:val="003040E4"/>
    <w:rsid w:val="0030657B"/>
    <w:rsid w:val="003065CE"/>
    <w:rsid w:val="003215E3"/>
    <w:rsid w:val="0032232A"/>
    <w:rsid w:val="00326417"/>
    <w:rsid w:val="003318F7"/>
    <w:rsid w:val="0033252A"/>
    <w:rsid w:val="003400BF"/>
    <w:rsid w:val="00340A8C"/>
    <w:rsid w:val="0034183A"/>
    <w:rsid w:val="00344AEF"/>
    <w:rsid w:val="003476DC"/>
    <w:rsid w:val="00361AF9"/>
    <w:rsid w:val="00367A5C"/>
    <w:rsid w:val="00371CFB"/>
    <w:rsid w:val="0038051B"/>
    <w:rsid w:val="00382154"/>
    <w:rsid w:val="003846D7"/>
    <w:rsid w:val="00384E12"/>
    <w:rsid w:val="00391B43"/>
    <w:rsid w:val="00394399"/>
    <w:rsid w:val="0039532D"/>
    <w:rsid w:val="00395A3B"/>
    <w:rsid w:val="00397CB5"/>
    <w:rsid w:val="003B32C6"/>
    <w:rsid w:val="003B47CF"/>
    <w:rsid w:val="003B6111"/>
    <w:rsid w:val="003B7993"/>
    <w:rsid w:val="003C2068"/>
    <w:rsid w:val="003C6779"/>
    <w:rsid w:val="003C6EA0"/>
    <w:rsid w:val="003D7DCB"/>
    <w:rsid w:val="003E0DCE"/>
    <w:rsid w:val="003E1283"/>
    <w:rsid w:val="003E1573"/>
    <w:rsid w:val="003E2C61"/>
    <w:rsid w:val="003E42AD"/>
    <w:rsid w:val="003E632D"/>
    <w:rsid w:val="003F2A71"/>
    <w:rsid w:val="003F4814"/>
    <w:rsid w:val="003F6A45"/>
    <w:rsid w:val="004102BC"/>
    <w:rsid w:val="00415219"/>
    <w:rsid w:val="0041568C"/>
    <w:rsid w:val="0043718F"/>
    <w:rsid w:val="00437316"/>
    <w:rsid w:val="00445BE9"/>
    <w:rsid w:val="00446FB7"/>
    <w:rsid w:val="0046408A"/>
    <w:rsid w:val="0047307F"/>
    <w:rsid w:val="004818E0"/>
    <w:rsid w:val="004842FD"/>
    <w:rsid w:val="00487F56"/>
    <w:rsid w:val="004928AD"/>
    <w:rsid w:val="00495032"/>
    <w:rsid w:val="004A2F83"/>
    <w:rsid w:val="004B091A"/>
    <w:rsid w:val="004C1795"/>
    <w:rsid w:val="004C79C5"/>
    <w:rsid w:val="004D142E"/>
    <w:rsid w:val="004D173B"/>
    <w:rsid w:val="004D6AFE"/>
    <w:rsid w:val="004E2DCC"/>
    <w:rsid w:val="004E5242"/>
    <w:rsid w:val="004E5F66"/>
    <w:rsid w:val="00502554"/>
    <w:rsid w:val="005032F4"/>
    <w:rsid w:val="00512866"/>
    <w:rsid w:val="00517636"/>
    <w:rsid w:val="00522A83"/>
    <w:rsid w:val="00523AF2"/>
    <w:rsid w:val="00524080"/>
    <w:rsid w:val="00530E73"/>
    <w:rsid w:val="00540F12"/>
    <w:rsid w:val="00541346"/>
    <w:rsid w:val="00544CF6"/>
    <w:rsid w:val="005476EF"/>
    <w:rsid w:val="0054797D"/>
    <w:rsid w:val="00552AED"/>
    <w:rsid w:val="00552D82"/>
    <w:rsid w:val="00561E7A"/>
    <w:rsid w:val="00562D40"/>
    <w:rsid w:val="005654A9"/>
    <w:rsid w:val="00572CC0"/>
    <w:rsid w:val="00577208"/>
    <w:rsid w:val="00580928"/>
    <w:rsid w:val="00581482"/>
    <w:rsid w:val="0059741F"/>
    <w:rsid w:val="005A3C46"/>
    <w:rsid w:val="005B03B7"/>
    <w:rsid w:val="005B1D06"/>
    <w:rsid w:val="005B4115"/>
    <w:rsid w:val="005B4780"/>
    <w:rsid w:val="005B7A63"/>
    <w:rsid w:val="005C3A67"/>
    <w:rsid w:val="005C463E"/>
    <w:rsid w:val="005C5DA9"/>
    <w:rsid w:val="005D0D65"/>
    <w:rsid w:val="005D2309"/>
    <w:rsid w:val="005D447F"/>
    <w:rsid w:val="005D46A3"/>
    <w:rsid w:val="005E1FB7"/>
    <w:rsid w:val="005E2935"/>
    <w:rsid w:val="005E6FED"/>
    <w:rsid w:val="005F3489"/>
    <w:rsid w:val="00603C68"/>
    <w:rsid w:val="006043C7"/>
    <w:rsid w:val="00612768"/>
    <w:rsid w:val="00614A9B"/>
    <w:rsid w:val="00621767"/>
    <w:rsid w:val="00626884"/>
    <w:rsid w:val="00632C13"/>
    <w:rsid w:val="00637B09"/>
    <w:rsid w:val="00641887"/>
    <w:rsid w:val="0064450E"/>
    <w:rsid w:val="00650D1F"/>
    <w:rsid w:val="00655B8B"/>
    <w:rsid w:val="006600B0"/>
    <w:rsid w:val="0066760D"/>
    <w:rsid w:val="006712FB"/>
    <w:rsid w:val="00685ECE"/>
    <w:rsid w:val="006A4872"/>
    <w:rsid w:val="006C0095"/>
    <w:rsid w:val="006C6158"/>
    <w:rsid w:val="006D339F"/>
    <w:rsid w:val="006D5C5E"/>
    <w:rsid w:val="006D65B8"/>
    <w:rsid w:val="006E3411"/>
    <w:rsid w:val="006E4DFA"/>
    <w:rsid w:val="006F1902"/>
    <w:rsid w:val="006F345B"/>
    <w:rsid w:val="006F73DC"/>
    <w:rsid w:val="00701963"/>
    <w:rsid w:val="00701C40"/>
    <w:rsid w:val="007047EE"/>
    <w:rsid w:val="00711557"/>
    <w:rsid w:val="007137DD"/>
    <w:rsid w:val="007145AC"/>
    <w:rsid w:val="00723A63"/>
    <w:rsid w:val="00723C4E"/>
    <w:rsid w:val="007275A5"/>
    <w:rsid w:val="00727881"/>
    <w:rsid w:val="00735EBE"/>
    <w:rsid w:val="00737847"/>
    <w:rsid w:val="00744338"/>
    <w:rsid w:val="00746911"/>
    <w:rsid w:val="00747162"/>
    <w:rsid w:val="007475BF"/>
    <w:rsid w:val="0075448A"/>
    <w:rsid w:val="00754BA6"/>
    <w:rsid w:val="00756737"/>
    <w:rsid w:val="00782169"/>
    <w:rsid w:val="007826A4"/>
    <w:rsid w:val="00783CA5"/>
    <w:rsid w:val="00791E5A"/>
    <w:rsid w:val="007948E9"/>
    <w:rsid w:val="007A51DF"/>
    <w:rsid w:val="007A5C9A"/>
    <w:rsid w:val="007B5B74"/>
    <w:rsid w:val="007C2C1B"/>
    <w:rsid w:val="007C4C16"/>
    <w:rsid w:val="007C7EE6"/>
    <w:rsid w:val="007E12F7"/>
    <w:rsid w:val="007F0366"/>
    <w:rsid w:val="007F2E5A"/>
    <w:rsid w:val="007F6F1E"/>
    <w:rsid w:val="00802D30"/>
    <w:rsid w:val="00803A14"/>
    <w:rsid w:val="00805E95"/>
    <w:rsid w:val="0080721B"/>
    <w:rsid w:val="008079BD"/>
    <w:rsid w:val="00813272"/>
    <w:rsid w:val="008132D8"/>
    <w:rsid w:val="00825F51"/>
    <w:rsid w:val="00831235"/>
    <w:rsid w:val="00834841"/>
    <w:rsid w:val="008425A8"/>
    <w:rsid w:val="008459AB"/>
    <w:rsid w:val="00852615"/>
    <w:rsid w:val="00852AE3"/>
    <w:rsid w:val="00855F74"/>
    <w:rsid w:val="0086660A"/>
    <w:rsid w:val="008669AD"/>
    <w:rsid w:val="0086734F"/>
    <w:rsid w:val="00874071"/>
    <w:rsid w:val="00885E3A"/>
    <w:rsid w:val="0088756C"/>
    <w:rsid w:val="00887B6F"/>
    <w:rsid w:val="0089192C"/>
    <w:rsid w:val="008A1F90"/>
    <w:rsid w:val="008A2887"/>
    <w:rsid w:val="008A28DC"/>
    <w:rsid w:val="008B5E0A"/>
    <w:rsid w:val="008C46C5"/>
    <w:rsid w:val="008C77CE"/>
    <w:rsid w:val="008D3953"/>
    <w:rsid w:val="008D3FA2"/>
    <w:rsid w:val="008D435D"/>
    <w:rsid w:val="008E570F"/>
    <w:rsid w:val="008E785D"/>
    <w:rsid w:val="008E7A00"/>
    <w:rsid w:val="008F222A"/>
    <w:rsid w:val="008F36BD"/>
    <w:rsid w:val="008F57CC"/>
    <w:rsid w:val="008F5869"/>
    <w:rsid w:val="00910FF0"/>
    <w:rsid w:val="0092044E"/>
    <w:rsid w:val="0092169E"/>
    <w:rsid w:val="009305E0"/>
    <w:rsid w:val="009319ED"/>
    <w:rsid w:val="009424BE"/>
    <w:rsid w:val="00943320"/>
    <w:rsid w:val="009439B6"/>
    <w:rsid w:val="00943E2C"/>
    <w:rsid w:val="009450BA"/>
    <w:rsid w:val="009477E3"/>
    <w:rsid w:val="00951269"/>
    <w:rsid w:val="0096078A"/>
    <w:rsid w:val="00966269"/>
    <w:rsid w:val="00967ECE"/>
    <w:rsid w:val="00971FF3"/>
    <w:rsid w:val="009750D6"/>
    <w:rsid w:val="009753FD"/>
    <w:rsid w:val="00995B7A"/>
    <w:rsid w:val="009A20ED"/>
    <w:rsid w:val="009B0C88"/>
    <w:rsid w:val="009B1FAF"/>
    <w:rsid w:val="009C2086"/>
    <w:rsid w:val="009D3292"/>
    <w:rsid w:val="009D5B4B"/>
    <w:rsid w:val="009E2071"/>
    <w:rsid w:val="009F5E7B"/>
    <w:rsid w:val="009F799C"/>
    <w:rsid w:val="00A01730"/>
    <w:rsid w:val="00A039FD"/>
    <w:rsid w:val="00A03B5B"/>
    <w:rsid w:val="00A11624"/>
    <w:rsid w:val="00A12713"/>
    <w:rsid w:val="00A12EC7"/>
    <w:rsid w:val="00A15224"/>
    <w:rsid w:val="00A21890"/>
    <w:rsid w:val="00A21AD7"/>
    <w:rsid w:val="00A276F6"/>
    <w:rsid w:val="00A305C3"/>
    <w:rsid w:val="00A30ABD"/>
    <w:rsid w:val="00A3173A"/>
    <w:rsid w:val="00A31CA3"/>
    <w:rsid w:val="00A404DB"/>
    <w:rsid w:val="00A41D7C"/>
    <w:rsid w:val="00A43CD3"/>
    <w:rsid w:val="00A50B73"/>
    <w:rsid w:val="00A5194D"/>
    <w:rsid w:val="00A67371"/>
    <w:rsid w:val="00A67570"/>
    <w:rsid w:val="00A826D0"/>
    <w:rsid w:val="00A8615D"/>
    <w:rsid w:val="00A914A0"/>
    <w:rsid w:val="00A96C26"/>
    <w:rsid w:val="00A97DBF"/>
    <w:rsid w:val="00AA457C"/>
    <w:rsid w:val="00AA5DCD"/>
    <w:rsid w:val="00AB00CD"/>
    <w:rsid w:val="00AB7087"/>
    <w:rsid w:val="00AC36AA"/>
    <w:rsid w:val="00AC409D"/>
    <w:rsid w:val="00AD7195"/>
    <w:rsid w:val="00AE6AAA"/>
    <w:rsid w:val="00AE7A7A"/>
    <w:rsid w:val="00AF1EFD"/>
    <w:rsid w:val="00AF29F7"/>
    <w:rsid w:val="00B041FA"/>
    <w:rsid w:val="00B0493B"/>
    <w:rsid w:val="00B12D62"/>
    <w:rsid w:val="00B167E4"/>
    <w:rsid w:val="00B20FF6"/>
    <w:rsid w:val="00B2126F"/>
    <w:rsid w:val="00B21386"/>
    <w:rsid w:val="00B26BFD"/>
    <w:rsid w:val="00B31787"/>
    <w:rsid w:val="00B32AE8"/>
    <w:rsid w:val="00B35F6B"/>
    <w:rsid w:val="00B36FCB"/>
    <w:rsid w:val="00B372C8"/>
    <w:rsid w:val="00B40FF6"/>
    <w:rsid w:val="00B4229B"/>
    <w:rsid w:val="00B5099F"/>
    <w:rsid w:val="00B52C07"/>
    <w:rsid w:val="00B54B70"/>
    <w:rsid w:val="00B67BA8"/>
    <w:rsid w:val="00B700FA"/>
    <w:rsid w:val="00B736CB"/>
    <w:rsid w:val="00B84B5E"/>
    <w:rsid w:val="00B86672"/>
    <w:rsid w:val="00B907D2"/>
    <w:rsid w:val="00B90B0F"/>
    <w:rsid w:val="00B942FA"/>
    <w:rsid w:val="00BB2D70"/>
    <w:rsid w:val="00BB44F3"/>
    <w:rsid w:val="00BC1E2D"/>
    <w:rsid w:val="00BE284B"/>
    <w:rsid w:val="00BE6F8C"/>
    <w:rsid w:val="00BF00FF"/>
    <w:rsid w:val="00BF0659"/>
    <w:rsid w:val="00BF33E8"/>
    <w:rsid w:val="00C103BA"/>
    <w:rsid w:val="00C2168B"/>
    <w:rsid w:val="00C365DA"/>
    <w:rsid w:val="00C37408"/>
    <w:rsid w:val="00C45D34"/>
    <w:rsid w:val="00C4614F"/>
    <w:rsid w:val="00C6162C"/>
    <w:rsid w:val="00C63B85"/>
    <w:rsid w:val="00C6464C"/>
    <w:rsid w:val="00C6562D"/>
    <w:rsid w:val="00C76A9C"/>
    <w:rsid w:val="00C8069A"/>
    <w:rsid w:val="00C83D49"/>
    <w:rsid w:val="00C870C6"/>
    <w:rsid w:val="00C877C0"/>
    <w:rsid w:val="00C91387"/>
    <w:rsid w:val="00C913E5"/>
    <w:rsid w:val="00C92A04"/>
    <w:rsid w:val="00C92E70"/>
    <w:rsid w:val="00CB2880"/>
    <w:rsid w:val="00CB347A"/>
    <w:rsid w:val="00CB7D1C"/>
    <w:rsid w:val="00CC70AA"/>
    <w:rsid w:val="00CD48CA"/>
    <w:rsid w:val="00CD5598"/>
    <w:rsid w:val="00CE1DA0"/>
    <w:rsid w:val="00CE3DBA"/>
    <w:rsid w:val="00CE5874"/>
    <w:rsid w:val="00D005D3"/>
    <w:rsid w:val="00D10123"/>
    <w:rsid w:val="00D17A7C"/>
    <w:rsid w:val="00D22C8F"/>
    <w:rsid w:val="00D23988"/>
    <w:rsid w:val="00D23C44"/>
    <w:rsid w:val="00D24263"/>
    <w:rsid w:val="00D25CD4"/>
    <w:rsid w:val="00D30168"/>
    <w:rsid w:val="00D31DB3"/>
    <w:rsid w:val="00D467A3"/>
    <w:rsid w:val="00D51D82"/>
    <w:rsid w:val="00D5387E"/>
    <w:rsid w:val="00D54554"/>
    <w:rsid w:val="00D61B01"/>
    <w:rsid w:val="00D70260"/>
    <w:rsid w:val="00D713E2"/>
    <w:rsid w:val="00D757DB"/>
    <w:rsid w:val="00D83092"/>
    <w:rsid w:val="00D83916"/>
    <w:rsid w:val="00D9235F"/>
    <w:rsid w:val="00DA502B"/>
    <w:rsid w:val="00DA74CF"/>
    <w:rsid w:val="00DB500F"/>
    <w:rsid w:val="00DB6274"/>
    <w:rsid w:val="00DD1579"/>
    <w:rsid w:val="00DD4C16"/>
    <w:rsid w:val="00DD796C"/>
    <w:rsid w:val="00DE65AF"/>
    <w:rsid w:val="00DF087A"/>
    <w:rsid w:val="00E036B0"/>
    <w:rsid w:val="00E10518"/>
    <w:rsid w:val="00E15ABC"/>
    <w:rsid w:val="00E167A2"/>
    <w:rsid w:val="00E244F4"/>
    <w:rsid w:val="00E35FFE"/>
    <w:rsid w:val="00E403A7"/>
    <w:rsid w:val="00E426A6"/>
    <w:rsid w:val="00E42743"/>
    <w:rsid w:val="00E4739D"/>
    <w:rsid w:val="00E479F5"/>
    <w:rsid w:val="00E5701D"/>
    <w:rsid w:val="00E60409"/>
    <w:rsid w:val="00E60831"/>
    <w:rsid w:val="00E609D8"/>
    <w:rsid w:val="00E66F53"/>
    <w:rsid w:val="00E75107"/>
    <w:rsid w:val="00E76FF3"/>
    <w:rsid w:val="00E832CF"/>
    <w:rsid w:val="00E91DB9"/>
    <w:rsid w:val="00E93F78"/>
    <w:rsid w:val="00E94830"/>
    <w:rsid w:val="00E964CF"/>
    <w:rsid w:val="00EA046A"/>
    <w:rsid w:val="00EB0ABB"/>
    <w:rsid w:val="00EC3F74"/>
    <w:rsid w:val="00EC56A8"/>
    <w:rsid w:val="00ED1482"/>
    <w:rsid w:val="00EF06C9"/>
    <w:rsid w:val="00EF3B24"/>
    <w:rsid w:val="00F014FF"/>
    <w:rsid w:val="00F038F1"/>
    <w:rsid w:val="00F03A61"/>
    <w:rsid w:val="00F074A9"/>
    <w:rsid w:val="00F120BC"/>
    <w:rsid w:val="00F12EE7"/>
    <w:rsid w:val="00F222FA"/>
    <w:rsid w:val="00F247DB"/>
    <w:rsid w:val="00F25C0C"/>
    <w:rsid w:val="00F26C78"/>
    <w:rsid w:val="00F735D7"/>
    <w:rsid w:val="00F76591"/>
    <w:rsid w:val="00F77BBE"/>
    <w:rsid w:val="00F90D45"/>
    <w:rsid w:val="00F911F7"/>
    <w:rsid w:val="00F913BE"/>
    <w:rsid w:val="00FA4C08"/>
    <w:rsid w:val="00FB4EC4"/>
    <w:rsid w:val="00FD03B3"/>
    <w:rsid w:val="00FD0C4B"/>
    <w:rsid w:val="00FD3EC6"/>
    <w:rsid w:val="00FE30B5"/>
    <w:rsid w:val="00FE7A91"/>
    <w:rsid w:val="00FE7F2F"/>
    <w:rsid w:val="00FF3CCF"/>
    <w:rsid w:val="00FF50F3"/>
    <w:rsid w:val="00FF52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3685"/>
  <w15:chartTrackingRefBased/>
  <w15:docId w15:val="{00F3E232-A343-4043-9B33-F8F2278A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4EC4"/>
  </w:style>
  <w:style w:type="paragraph" w:styleId="Titolo1">
    <w:name w:val="heading 1"/>
    <w:basedOn w:val="Normale"/>
    <w:next w:val="Normale"/>
    <w:link w:val="Titolo1Carattere"/>
    <w:uiPriority w:val="9"/>
    <w:qFormat/>
    <w:rsid w:val="00DA502B"/>
    <w:pPr>
      <w:keepNext/>
      <w:keepLines/>
      <w:spacing w:after="0" w:line="240" w:lineRule="auto"/>
      <w:contextualSpacing/>
      <w:outlineLvl w:val="0"/>
    </w:pPr>
    <w:rPr>
      <w:rFonts w:ascii="Times New Roman" w:eastAsiaTheme="majorEastAsia" w:hAnsi="Times New Roman" w:cs="Times New Roman"/>
      <w:b/>
      <w:color w:val="000000" w:themeColor="text1"/>
      <w:sz w:val="24"/>
      <w:szCs w:val="24"/>
    </w:rPr>
  </w:style>
  <w:style w:type="paragraph" w:styleId="Titolo2">
    <w:name w:val="heading 2"/>
    <w:basedOn w:val="Normale"/>
    <w:next w:val="Normale"/>
    <w:link w:val="Titolo2Carattere"/>
    <w:uiPriority w:val="9"/>
    <w:unhideWhenUsed/>
    <w:qFormat/>
    <w:rsid w:val="0043718F"/>
    <w:pPr>
      <w:keepNext/>
      <w:keepLines/>
      <w:spacing w:before="40" w:after="0"/>
      <w:outlineLvl w:val="1"/>
    </w:pPr>
    <w:rPr>
      <w:rFonts w:ascii="Garamond" w:eastAsiaTheme="majorEastAsia" w:hAnsi="Garamond" w:cs="Times New Roman"/>
      <w:b/>
      <w:color w:val="000000" w:themeColor="text1"/>
      <w:sz w:val="24"/>
      <w:szCs w:val="24"/>
    </w:rPr>
  </w:style>
  <w:style w:type="paragraph" w:styleId="Titolo3">
    <w:name w:val="heading 3"/>
    <w:basedOn w:val="Normale"/>
    <w:next w:val="Normale"/>
    <w:link w:val="Titolo3Carattere"/>
    <w:uiPriority w:val="9"/>
    <w:unhideWhenUsed/>
    <w:qFormat/>
    <w:rsid w:val="000737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3718F"/>
    <w:rPr>
      <w:rFonts w:ascii="Garamond" w:eastAsiaTheme="majorEastAsia" w:hAnsi="Garamond" w:cs="Times New Roman"/>
      <w:b/>
      <w:color w:val="000000" w:themeColor="text1"/>
      <w:sz w:val="24"/>
      <w:szCs w:val="24"/>
    </w:rPr>
  </w:style>
  <w:style w:type="paragraph" w:styleId="Paragrafoelenco">
    <w:name w:val="List Paragraph"/>
    <w:basedOn w:val="Normale"/>
    <w:uiPriority w:val="34"/>
    <w:qFormat/>
    <w:rsid w:val="00CE3DBA"/>
    <w:pPr>
      <w:ind w:left="720"/>
      <w:contextualSpacing/>
    </w:pPr>
  </w:style>
  <w:style w:type="character" w:customStyle="1" w:styleId="Titolo1Carattere">
    <w:name w:val="Titolo 1 Carattere"/>
    <w:basedOn w:val="Carpredefinitoparagrafo"/>
    <w:link w:val="Titolo1"/>
    <w:uiPriority w:val="9"/>
    <w:rsid w:val="00DA502B"/>
    <w:rPr>
      <w:rFonts w:ascii="Times New Roman" w:eastAsiaTheme="majorEastAsia" w:hAnsi="Times New Roman" w:cs="Times New Roman"/>
      <w:b/>
      <w:color w:val="000000" w:themeColor="text1"/>
      <w:sz w:val="24"/>
      <w:szCs w:val="24"/>
    </w:rPr>
  </w:style>
  <w:style w:type="paragraph" w:styleId="Nessunaspaziatura">
    <w:name w:val="No Spacing"/>
    <w:uiPriority w:val="1"/>
    <w:qFormat/>
    <w:rsid w:val="00EC3F74"/>
    <w:pPr>
      <w:spacing w:after="0" w:line="240" w:lineRule="auto"/>
    </w:pPr>
  </w:style>
  <w:style w:type="character" w:customStyle="1" w:styleId="Titolo3Carattere">
    <w:name w:val="Titolo 3 Carattere"/>
    <w:basedOn w:val="Carpredefinitoparagrafo"/>
    <w:link w:val="Titolo3"/>
    <w:uiPriority w:val="9"/>
    <w:rsid w:val="00073743"/>
    <w:rPr>
      <w:rFonts w:asciiTheme="majorHAnsi" w:eastAsiaTheme="majorEastAsia" w:hAnsiTheme="majorHAnsi" w:cstheme="majorBidi"/>
      <w:color w:val="1F4D78" w:themeColor="accent1" w:themeShade="7F"/>
      <w:sz w:val="24"/>
      <w:szCs w:val="24"/>
    </w:rPr>
  </w:style>
  <w:style w:type="paragraph" w:styleId="Testonotaapidipagina">
    <w:name w:val="footnote text"/>
    <w:basedOn w:val="Normale"/>
    <w:link w:val="TestonotaapidipaginaCarattere"/>
    <w:uiPriority w:val="99"/>
    <w:semiHidden/>
    <w:unhideWhenUsed/>
    <w:rsid w:val="00DE65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E65AF"/>
    <w:rPr>
      <w:sz w:val="20"/>
      <w:szCs w:val="20"/>
    </w:rPr>
  </w:style>
  <w:style w:type="character" w:styleId="Rimandonotaapidipagina">
    <w:name w:val="footnote reference"/>
    <w:basedOn w:val="Carpredefinitoparagrafo"/>
    <w:uiPriority w:val="99"/>
    <w:semiHidden/>
    <w:unhideWhenUsed/>
    <w:rsid w:val="00DE65AF"/>
    <w:rPr>
      <w:vertAlign w:val="superscript"/>
    </w:rPr>
  </w:style>
  <w:style w:type="character" w:styleId="Collegamentoipertestuale">
    <w:name w:val="Hyperlink"/>
    <w:basedOn w:val="Carpredefinitoparagrafo"/>
    <w:uiPriority w:val="99"/>
    <w:unhideWhenUsed/>
    <w:rsid w:val="00CC70AA"/>
    <w:rPr>
      <w:color w:val="0563C1" w:themeColor="hyperlink"/>
      <w:u w:val="single"/>
    </w:rPr>
  </w:style>
  <w:style w:type="paragraph" w:styleId="Sommario1">
    <w:name w:val="toc 1"/>
    <w:basedOn w:val="Normale"/>
    <w:next w:val="Normale"/>
    <w:autoRedefine/>
    <w:uiPriority w:val="39"/>
    <w:unhideWhenUsed/>
    <w:rsid w:val="003400BF"/>
    <w:pPr>
      <w:tabs>
        <w:tab w:val="right" w:leader="dot" w:pos="9628"/>
      </w:tabs>
      <w:spacing w:before="120" w:after="0"/>
      <w:jc w:val="both"/>
    </w:pPr>
    <w:rPr>
      <w:rFonts w:ascii="Garamond" w:hAnsi="Garamond" w:cs="Times New Roman"/>
      <w:bCs/>
      <w:iCs/>
      <w:sz w:val="24"/>
      <w:szCs w:val="24"/>
    </w:rPr>
  </w:style>
  <w:style w:type="paragraph" w:styleId="Sommario2">
    <w:name w:val="toc 2"/>
    <w:basedOn w:val="Normale"/>
    <w:next w:val="Normale"/>
    <w:autoRedefine/>
    <w:uiPriority w:val="39"/>
    <w:unhideWhenUsed/>
    <w:rsid w:val="008459AB"/>
    <w:pPr>
      <w:spacing w:before="120" w:after="0"/>
      <w:ind w:left="220"/>
    </w:pPr>
    <w:rPr>
      <w:rFonts w:cstheme="minorHAnsi"/>
      <w:b/>
      <w:bCs/>
    </w:rPr>
  </w:style>
  <w:style w:type="paragraph" w:styleId="Sommario3">
    <w:name w:val="toc 3"/>
    <w:basedOn w:val="Normale"/>
    <w:next w:val="Normale"/>
    <w:autoRedefine/>
    <w:uiPriority w:val="39"/>
    <w:unhideWhenUsed/>
    <w:rsid w:val="008459AB"/>
    <w:pPr>
      <w:spacing w:after="0"/>
      <w:ind w:left="440"/>
    </w:pPr>
    <w:rPr>
      <w:rFonts w:cstheme="minorHAnsi"/>
      <w:sz w:val="20"/>
      <w:szCs w:val="20"/>
    </w:rPr>
  </w:style>
  <w:style w:type="paragraph" w:styleId="Sommario4">
    <w:name w:val="toc 4"/>
    <w:basedOn w:val="Normale"/>
    <w:next w:val="Normale"/>
    <w:autoRedefine/>
    <w:uiPriority w:val="39"/>
    <w:unhideWhenUsed/>
    <w:rsid w:val="008459AB"/>
    <w:pPr>
      <w:spacing w:after="0"/>
      <w:ind w:left="660"/>
    </w:pPr>
    <w:rPr>
      <w:rFonts w:cstheme="minorHAnsi"/>
      <w:sz w:val="20"/>
      <w:szCs w:val="20"/>
    </w:rPr>
  </w:style>
  <w:style w:type="paragraph" w:styleId="Sommario5">
    <w:name w:val="toc 5"/>
    <w:basedOn w:val="Normale"/>
    <w:next w:val="Normale"/>
    <w:autoRedefine/>
    <w:uiPriority w:val="39"/>
    <w:unhideWhenUsed/>
    <w:rsid w:val="008459AB"/>
    <w:pPr>
      <w:spacing w:after="0"/>
      <w:ind w:left="880"/>
    </w:pPr>
    <w:rPr>
      <w:rFonts w:cstheme="minorHAnsi"/>
      <w:sz w:val="20"/>
      <w:szCs w:val="20"/>
    </w:rPr>
  </w:style>
  <w:style w:type="paragraph" w:styleId="Sommario6">
    <w:name w:val="toc 6"/>
    <w:basedOn w:val="Normale"/>
    <w:next w:val="Normale"/>
    <w:autoRedefine/>
    <w:uiPriority w:val="39"/>
    <w:unhideWhenUsed/>
    <w:rsid w:val="008459AB"/>
    <w:pPr>
      <w:spacing w:after="0"/>
      <w:ind w:left="1100"/>
    </w:pPr>
    <w:rPr>
      <w:rFonts w:cstheme="minorHAnsi"/>
      <w:sz w:val="20"/>
      <w:szCs w:val="20"/>
    </w:rPr>
  </w:style>
  <w:style w:type="paragraph" w:styleId="Sommario7">
    <w:name w:val="toc 7"/>
    <w:basedOn w:val="Normale"/>
    <w:next w:val="Normale"/>
    <w:autoRedefine/>
    <w:uiPriority w:val="39"/>
    <w:unhideWhenUsed/>
    <w:rsid w:val="008459AB"/>
    <w:pPr>
      <w:spacing w:after="0"/>
      <w:ind w:left="1320"/>
    </w:pPr>
    <w:rPr>
      <w:rFonts w:cstheme="minorHAnsi"/>
      <w:sz w:val="20"/>
      <w:szCs w:val="20"/>
    </w:rPr>
  </w:style>
  <w:style w:type="paragraph" w:styleId="Sommario8">
    <w:name w:val="toc 8"/>
    <w:basedOn w:val="Normale"/>
    <w:next w:val="Normale"/>
    <w:autoRedefine/>
    <w:uiPriority w:val="39"/>
    <w:unhideWhenUsed/>
    <w:rsid w:val="008459AB"/>
    <w:pPr>
      <w:spacing w:after="0"/>
      <w:ind w:left="1540"/>
    </w:pPr>
    <w:rPr>
      <w:rFonts w:cstheme="minorHAnsi"/>
      <w:sz w:val="20"/>
      <w:szCs w:val="20"/>
    </w:rPr>
  </w:style>
  <w:style w:type="paragraph" w:styleId="Sommario9">
    <w:name w:val="toc 9"/>
    <w:basedOn w:val="Normale"/>
    <w:next w:val="Normale"/>
    <w:autoRedefine/>
    <w:uiPriority w:val="39"/>
    <w:unhideWhenUsed/>
    <w:rsid w:val="008459AB"/>
    <w:pPr>
      <w:spacing w:after="0"/>
      <w:ind w:left="1760"/>
    </w:pPr>
    <w:rPr>
      <w:rFonts w:cstheme="minorHAnsi"/>
      <w:sz w:val="20"/>
      <w:szCs w:val="20"/>
    </w:rPr>
  </w:style>
  <w:style w:type="paragraph" w:styleId="Testonotadichiusura">
    <w:name w:val="endnote text"/>
    <w:basedOn w:val="Normale"/>
    <w:link w:val="TestonotadichiusuraCarattere"/>
    <w:uiPriority w:val="99"/>
    <w:semiHidden/>
    <w:unhideWhenUsed/>
    <w:rsid w:val="0007499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7499E"/>
    <w:rPr>
      <w:sz w:val="20"/>
      <w:szCs w:val="20"/>
    </w:rPr>
  </w:style>
  <w:style w:type="character" w:styleId="Rimandonotadichiusura">
    <w:name w:val="endnote reference"/>
    <w:basedOn w:val="Carpredefinitoparagrafo"/>
    <w:uiPriority w:val="99"/>
    <w:semiHidden/>
    <w:unhideWhenUsed/>
    <w:rsid w:val="000749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0e5598-27dc-44fa-a149-764b3ab7cf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2250F6F10BB314E978C7ACC39CE5A7E" ma:contentTypeVersion="11" ma:contentTypeDescription="Creare un nuovo documento." ma:contentTypeScope="" ma:versionID="5e7cce0ad9cbf43c76076c8ff3d5cd4a">
  <xsd:schema xmlns:xsd="http://www.w3.org/2001/XMLSchema" xmlns:xs="http://www.w3.org/2001/XMLSchema" xmlns:p="http://schemas.microsoft.com/office/2006/metadata/properties" xmlns:ns3="160e5598-27dc-44fa-a149-764b3ab7cf86" targetNamespace="http://schemas.microsoft.com/office/2006/metadata/properties" ma:root="true" ma:fieldsID="71929785268a4632ad0c03e631d881f6" ns3:_="">
    <xsd:import namespace="160e5598-27dc-44fa-a149-764b3ab7cf8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e5598-27dc-44fa-a149-764b3ab7c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1CDC9-030A-4309-A5C6-FF5FBDDA7560}">
  <ds:schemaRefs>
    <ds:schemaRef ds:uri="http://schemas.microsoft.com/office/2006/metadata/properties"/>
    <ds:schemaRef ds:uri="http://www.w3.org/2000/xmlns/"/>
    <ds:schemaRef ds:uri="160e5598-27dc-44fa-a149-764b3ab7cf86"/>
    <ds:schemaRef ds:uri="http://www.w3.org/2001/XMLSchema-instance"/>
  </ds:schemaRefs>
</ds:datastoreItem>
</file>

<file path=customXml/itemProps2.xml><?xml version="1.0" encoding="utf-8"?>
<ds:datastoreItem xmlns:ds="http://schemas.openxmlformats.org/officeDocument/2006/customXml" ds:itemID="{D7E0F073-D152-4AAB-9CD3-17FCC6C5EEDE}">
  <ds:schemaRefs>
    <ds:schemaRef ds:uri="http://schemas.microsoft.com/sharepoint/v3/contenttype/forms"/>
  </ds:schemaRefs>
</ds:datastoreItem>
</file>

<file path=customXml/itemProps3.xml><?xml version="1.0" encoding="utf-8"?>
<ds:datastoreItem xmlns:ds="http://schemas.openxmlformats.org/officeDocument/2006/customXml" ds:itemID="{7BB6F28E-57EC-4EED-876C-88BE386A1933}">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BF871BCD-E845-40F1-A043-6EFE72F1A1F4}">
  <ds:schemaRefs>
    <ds:schemaRef ds:uri="http://schemas.microsoft.com/office/2006/metadata/contentType"/>
    <ds:schemaRef ds:uri="http://schemas.microsoft.com/office/2006/metadata/properties/metaAttributes"/>
    <ds:schemaRef ds:uri="http://www.w3.org/2000/xmlns/"/>
    <ds:schemaRef ds:uri="http://www.w3.org/2001/XMLSchema"/>
    <ds:schemaRef ds:uri="160e5598-27dc-44fa-a149-764b3ab7cf8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13611</Words>
  <Characters>77583</Characters>
  <Application>Microsoft Office Word</Application>
  <DocSecurity>0</DocSecurity>
  <Lines>646</Lines>
  <Paragraphs>182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POLIMENO Marcello</dc:creator>
  <cp:keywords/>
  <dc:description/>
  <cp:lastModifiedBy>POLIMENO Marcello</cp:lastModifiedBy>
  <cp:revision>27</cp:revision>
  <dcterms:created xsi:type="dcterms:W3CDTF">2025-09-20T15:55:00Z</dcterms:created>
  <dcterms:modified xsi:type="dcterms:W3CDTF">2025-09-26T09:49:00Z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0x010100F2250F6F10BB314E978C7ACC39CE5A7E</vt:lpwstr>
  </property>
</Properties>
</file>