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92493" w14:textId="7DD46318" w:rsidR="00BF66DA" w:rsidRPr="00F81074" w:rsidRDefault="00C3084B" w:rsidP="001A3466">
      <w:pPr>
        <w:jc w:val="both"/>
        <w:rPr>
          <w:b/>
          <w:bCs/>
        </w:rPr>
      </w:pPr>
      <w:r w:rsidRPr="00F81074">
        <w:rPr>
          <w:b/>
          <w:bCs/>
        </w:rPr>
        <w:t>PARTENARIATO PUBBLICO PRIVATO</w:t>
      </w:r>
      <w:r w:rsidR="006B3106" w:rsidRPr="00F81074">
        <w:rPr>
          <w:b/>
          <w:bCs/>
        </w:rPr>
        <w:t xml:space="preserve"> </w:t>
      </w:r>
      <w:r w:rsidR="001539A6">
        <w:rPr>
          <w:b/>
          <w:bCs/>
        </w:rPr>
        <w:t xml:space="preserve">DI TIPO </w:t>
      </w:r>
      <w:r w:rsidR="0027027D" w:rsidRPr="00F81074">
        <w:rPr>
          <w:b/>
          <w:bCs/>
        </w:rPr>
        <w:t xml:space="preserve">CONTRATTUALE </w:t>
      </w:r>
      <w:r w:rsidR="006B3106" w:rsidRPr="00F81074">
        <w:rPr>
          <w:b/>
          <w:bCs/>
        </w:rPr>
        <w:t>E CONCESSIONE</w:t>
      </w:r>
    </w:p>
    <w:p w14:paraId="32568ACA" w14:textId="77777777" w:rsidR="0099107F" w:rsidRPr="00F81074" w:rsidRDefault="0099107F" w:rsidP="001A3466">
      <w:pPr>
        <w:jc w:val="both"/>
        <w:rPr>
          <w:b/>
          <w:bCs/>
        </w:rPr>
      </w:pPr>
    </w:p>
    <w:p w14:paraId="2338BFDA" w14:textId="583BB097" w:rsidR="0099107F" w:rsidRPr="00F81074" w:rsidRDefault="0099107F" w:rsidP="0099107F">
      <w:pPr>
        <w:jc w:val="both"/>
        <w:rPr>
          <w:iCs/>
        </w:rPr>
      </w:pPr>
      <w:r w:rsidRPr="00F81074">
        <w:rPr>
          <w:iCs/>
        </w:rPr>
        <w:t>Relazione nel Convegno</w:t>
      </w:r>
      <w:r w:rsidR="004A7C77" w:rsidRPr="00F81074">
        <w:rPr>
          <w:iCs/>
        </w:rPr>
        <w:t xml:space="preserve"> di Studi “</w:t>
      </w:r>
      <w:r w:rsidR="004A7C77" w:rsidRPr="00F81074">
        <w:rPr>
          <w:i/>
        </w:rPr>
        <w:t>I contratti pubblici alla prova del futuro: regole, innovazione e responsabilità. Dal Codice al decreto infrastrutture: sfide e prospettive per giuristi e imprese</w:t>
      </w:r>
      <w:r w:rsidR="004A7C77" w:rsidRPr="00F81074">
        <w:rPr>
          <w:iCs/>
        </w:rPr>
        <w:t>”</w:t>
      </w:r>
      <w:r w:rsidRPr="00F81074">
        <w:rPr>
          <w:iCs/>
        </w:rPr>
        <w:t>, Palazzo Spada, 29 ottobre 2025.</w:t>
      </w:r>
    </w:p>
    <w:p w14:paraId="66C8343C" w14:textId="77777777" w:rsidR="00F81074" w:rsidRPr="00F81074" w:rsidRDefault="00F81074" w:rsidP="0099107F">
      <w:pPr>
        <w:jc w:val="both"/>
        <w:rPr>
          <w:iCs/>
        </w:rPr>
      </w:pPr>
    </w:p>
    <w:p w14:paraId="27012319" w14:textId="77777777" w:rsidR="0099107F" w:rsidRPr="00F81074" w:rsidRDefault="0099107F" w:rsidP="0099107F">
      <w:pPr>
        <w:jc w:val="both"/>
        <w:rPr>
          <w:iCs/>
        </w:rPr>
      </w:pPr>
      <w:r w:rsidRPr="00F81074">
        <w:rPr>
          <w:iCs/>
        </w:rPr>
        <w:t>Francesca Dello Sbarba - Referendario TAR Lazio, Roma.</w:t>
      </w:r>
    </w:p>
    <w:p w14:paraId="42C82B9F" w14:textId="77777777" w:rsidR="0099107F" w:rsidRPr="00F81074" w:rsidRDefault="0099107F" w:rsidP="0099107F">
      <w:pPr>
        <w:jc w:val="both"/>
        <w:rPr>
          <w:b/>
          <w:bCs/>
          <w:iCs/>
        </w:rPr>
      </w:pPr>
    </w:p>
    <w:p w14:paraId="0673F460" w14:textId="1D03CE56" w:rsidR="0099107F" w:rsidRPr="00F81074" w:rsidRDefault="0099107F" w:rsidP="0099107F">
      <w:pPr>
        <w:jc w:val="both"/>
      </w:pPr>
      <w:r w:rsidRPr="00F81074">
        <w:rPr>
          <w:b/>
          <w:bCs/>
        </w:rPr>
        <w:t>SOMMARIO:</w:t>
      </w:r>
      <w:r w:rsidRPr="00F81074">
        <w:t xml:space="preserve"> Introduzione. -1. Inquadramento </w:t>
      </w:r>
      <w:r w:rsidR="00982CA8">
        <w:t>generale</w:t>
      </w:r>
      <w:r w:rsidR="001539A6">
        <w:t xml:space="preserve"> del partenariato pubblico privato.</w:t>
      </w:r>
      <w:r w:rsidRPr="00F81074">
        <w:t xml:space="preserve"> -2. </w:t>
      </w:r>
      <w:r w:rsidR="00CD7A81">
        <w:t xml:space="preserve">Il partenariato pubblico privato di tipo contrattuale. -3. </w:t>
      </w:r>
      <w:r w:rsidR="00110992" w:rsidRPr="00F81074">
        <w:t xml:space="preserve">Partenariato pubblico privato </w:t>
      </w:r>
      <w:r w:rsidR="00CD7A81">
        <w:t xml:space="preserve">contrattuale </w:t>
      </w:r>
      <w:r w:rsidR="00110992" w:rsidRPr="00F81074">
        <w:t>e concessione</w:t>
      </w:r>
      <w:r w:rsidR="001539A6">
        <w:t>.</w:t>
      </w:r>
      <w:r w:rsidRPr="00F81074">
        <w:t xml:space="preserve"> - </w:t>
      </w:r>
      <w:r w:rsidR="00CD7A81">
        <w:t>4</w:t>
      </w:r>
      <w:r w:rsidRPr="00F81074">
        <w:t xml:space="preserve">. </w:t>
      </w:r>
      <w:r w:rsidR="00F474F8" w:rsidRPr="00F81074">
        <w:t xml:space="preserve">Evoluzione storica della concessione nell’affidamento dei lavori e dei servizi pubblici. </w:t>
      </w:r>
      <w:r w:rsidRPr="00F81074">
        <w:t xml:space="preserve">- </w:t>
      </w:r>
      <w:r w:rsidR="00CD7A81">
        <w:t>5</w:t>
      </w:r>
      <w:r w:rsidRPr="00F81074">
        <w:t xml:space="preserve">. </w:t>
      </w:r>
      <w:r w:rsidR="00A05EFC" w:rsidRPr="00F81074">
        <w:t xml:space="preserve">Evoluzione </w:t>
      </w:r>
      <w:r w:rsidR="00F81074">
        <w:t xml:space="preserve">giuridica </w:t>
      </w:r>
      <w:r w:rsidR="00A05EFC" w:rsidRPr="00F81074">
        <w:t xml:space="preserve">della concessione nel rapporto con l’appalto. – </w:t>
      </w:r>
      <w:r w:rsidR="00CD7A81">
        <w:t>6</w:t>
      </w:r>
      <w:r w:rsidR="00A05EFC" w:rsidRPr="00F81074">
        <w:t xml:space="preserve">. </w:t>
      </w:r>
      <w:r w:rsidR="00DE5B53" w:rsidRPr="00F81074">
        <w:t xml:space="preserve">La concessione nell’attuale Codice dei contratti pubblici. - </w:t>
      </w:r>
      <w:r w:rsidR="00CD7A81">
        <w:t>7</w:t>
      </w:r>
      <w:r w:rsidR="00DE5B53" w:rsidRPr="00F81074">
        <w:t>.</w:t>
      </w:r>
      <w:r w:rsidR="00DE5B53" w:rsidRPr="00F81074">
        <w:rPr>
          <w:b/>
          <w:bCs/>
        </w:rPr>
        <w:t xml:space="preserve"> </w:t>
      </w:r>
      <w:r w:rsidR="00F81074" w:rsidRPr="00F81074">
        <w:t>T</w:t>
      </w:r>
      <w:r w:rsidR="00DE5B53" w:rsidRPr="00F81074">
        <w:t xml:space="preserve">rasferimento e allocazione </w:t>
      </w:r>
      <w:r w:rsidR="00F81074">
        <w:t xml:space="preserve">presso l’operatore privato </w:t>
      </w:r>
      <w:r w:rsidR="00DE5B53" w:rsidRPr="00F81074">
        <w:t>del rischio</w:t>
      </w:r>
      <w:r w:rsidR="00F81074">
        <w:t xml:space="preserve"> operativo</w:t>
      </w:r>
      <w:r w:rsidR="00DE5B53" w:rsidRPr="00F81074">
        <w:t xml:space="preserve">. – </w:t>
      </w:r>
      <w:r w:rsidR="00CD7A81">
        <w:t>8</w:t>
      </w:r>
      <w:r w:rsidR="00DE5B53" w:rsidRPr="00F81074">
        <w:t xml:space="preserve">. La modifica dei contratti di concessione. – </w:t>
      </w:r>
      <w:r w:rsidR="00CD7A81">
        <w:t>9</w:t>
      </w:r>
      <w:r w:rsidR="00DE5B53" w:rsidRPr="00F81074">
        <w:t>.</w:t>
      </w:r>
      <w:r w:rsidR="00DE5B53" w:rsidRPr="00F81074">
        <w:rPr>
          <w:b/>
          <w:bCs/>
        </w:rPr>
        <w:t xml:space="preserve"> </w:t>
      </w:r>
      <w:r w:rsidR="00F81074">
        <w:t>E</w:t>
      </w:r>
      <w:r w:rsidR="00DE5B53" w:rsidRPr="00F81074">
        <w:t>lementi di distinzione tra concessione e appalto</w:t>
      </w:r>
      <w:r w:rsidR="00F81074">
        <w:t xml:space="preserve"> nell’attuale quadro normativo</w:t>
      </w:r>
      <w:r w:rsidR="00DE5B53" w:rsidRPr="00F81074">
        <w:t>.</w:t>
      </w:r>
      <w:r w:rsidR="00B80CFF" w:rsidRPr="00F81074">
        <w:t xml:space="preserve"> – </w:t>
      </w:r>
      <w:r w:rsidR="00CD7A81">
        <w:t>10</w:t>
      </w:r>
      <w:r w:rsidR="00B80CFF" w:rsidRPr="00F81074">
        <w:t>. Il bando</w:t>
      </w:r>
      <w:r w:rsidR="00F81074">
        <w:t xml:space="preserve"> nei procedimenti di aggiudicazione delle concessioni</w:t>
      </w:r>
      <w:r w:rsidR="00B80CFF" w:rsidRPr="00F81074">
        <w:t>.</w:t>
      </w:r>
    </w:p>
    <w:p w14:paraId="71AC365E" w14:textId="2972BD46" w:rsidR="0099107F" w:rsidRPr="00F81074" w:rsidRDefault="0099107F" w:rsidP="0099107F">
      <w:pPr>
        <w:jc w:val="both"/>
        <w:rPr>
          <w:b/>
          <w:bCs/>
        </w:rPr>
      </w:pPr>
    </w:p>
    <w:p w14:paraId="76AEAE81" w14:textId="77777777" w:rsidR="0099107F" w:rsidRPr="00F81074" w:rsidRDefault="0099107F" w:rsidP="0099107F">
      <w:pPr>
        <w:jc w:val="both"/>
        <w:rPr>
          <w:b/>
          <w:bCs/>
        </w:rPr>
      </w:pPr>
      <w:r w:rsidRPr="00F81074">
        <w:rPr>
          <w:b/>
          <w:bCs/>
        </w:rPr>
        <w:t>Introduzione</w:t>
      </w:r>
    </w:p>
    <w:p w14:paraId="170C7803" w14:textId="6E915EB4" w:rsidR="0099107F" w:rsidRPr="00F81074" w:rsidRDefault="0099107F" w:rsidP="0099107F">
      <w:pPr>
        <w:jc w:val="both"/>
      </w:pPr>
      <w:r w:rsidRPr="00F81074">
        <w:t xml:space="preserve">La </w:t>
      </w:r>
      <w:r w:rsidR="001539A6">
        <w:t xml:space="preserve">presente </w:t>
      </w:r>
      <w:r w:rsidRPr="00F81074">
        <w:t xml:space="preserve">relazione prende le mosse dall’inquadramento giuridico del partenariato pubblico privato </w:t>
      </w:r>
      <w:r w:rsidR="00503998" w:rsidRPr="00F81074">
        <w:t xml:space="preserve">contrattuale </w:t>
      </w:r>
      <w:r w:rsidRPr="00F81074">
        <w:t>nel contesto dell’attuale Codice dei contratti pubblici e dalla sua definizione in termini di operazione economica complessa, alla luce dei principi permeanti la materia quali, in particolare, il principio del risultato e il principio della concorrenza, quest’ultimo nella sua nuova declinazione di strumento e non più di fine dell’azione amministrativa.</w:t>
      </w:r>
    </w:p>
    <w:p w14:paraId="5464BC2B" w14:textId="5CDC2886" w:rsidR="0099107F" w:rsidRPr="00F81074" w:rsidRDefault="0099107F" w:rsidP="0099107F">
      <w:pPr>
        <w:jc w:val="both"/>
      </w:pPr>
      <w:r w:rsidRPr="00F81074">
        <w:t xml:space="preserve">L’analisi prosegue approfondendo la disamina della fattispecie contrattuale principale, ossia la concessione, trattata in chiave diacronica attraverso la ricostruzione del percorso storico giuridico attraversando il quale l’istituto è divenuto il </w:t>
      </w:r>
      <w:r w:rsidR="00766470">
        <w:t>paradigma degli strumenti</w:t>
      </w:r>
      <w:r w:rsidRPr="00F81074">
        <w:t xml:space="preserve"> di cooperazione tra </w:t>
      </w:r>
      <w:r w:rsidR="0053175F">
        <w:t>P</w:t>
      </w:r>
      <w:r w:rsidRPr="00F81074">
        <w:t xml:space="preserve">ubblica </w:t>
      </w:r>
      <w:r w:rsidR="0053175F">
        <w:t>A</w:t>
      </w:r>
      <w:r w:rsidRPr="00F81074">
        <w:t>mministrazione e operatore economico privato.</w:t>
      </w:r>
    </w:p>
    <w:p w14:paraId="5F95F608" w14:textId="1482095C" w:rsidR="0099107F" w:rsidRPr="00F81074" w:rsidRDefault="0099107F" w:rsidP="0099107F">
      <w:pPr>
        <w:jc w:val="both"/>
        <w:rPr>
          <w:b/>
          <w:bCs/>
        </w:rPr>
      </w:pPr>
      <w:r w:rsidRPr="00F81074">
        <w:t xml:space="preserve">In maniera trasversale, la trattazione è caratterizzata dalla focalizzazione del ruolo del Giudice e del sindacato giurisdizionale nel nuovo quadro normativo, alla luce dei maggiori margini di discrezionalità riconosciuti alla Stazione appaltante nella scelta di strumenti negoziali.  </w:t>
      </w:r>
    </w:p>
    <w:p w14:paraId="476EB077" w14:textId="2642C2DE" w:rsidR="001A3466" w:rsidRPr="00F81074" w:rsidRDefault="001A3466" w:rsidP="001A3466">
      <w:pPr>
        <w:jc w:val="both"/>
      </w:pPr>
    </w:p>
    <w:p w14:paraId="5C6DE93A" w14:textId="772376C0" w:rsidR="00612EFA" w:rsidRPr="00F81074" w:rsidRDefault="00110992" w:rsidP="000734BA">
      <w:pPr>
        <w:jc w:val="both"/>
        <w:rPr>
          <w:b/>
          <w:bCs/>
        </w:rPr>
      </w:pPr>
      <w:r w:rsidRPr="00F81074">
        <w:rPr>
          <w:b/>
          <w:bCs/>
        </w:rPr>
        <w:t xml:space="preserve">1. </w:t>
      </w:r>
      <w:r w:rsidR="000734BA" w:rsidRPr="00F81074">
        <w:rPr>
          <w:b/>
          <w:bCs/>
        </w:rPr>
        <w:t xml:space="preserve">Inquadramento </w:t>
      </w:r>
      <w:r w:rsidR="00982CA8">
        <w:rPr>
          <w:b/>
          <w:bCs/>
        </w:rPr>
        <w:t>generale</w:t>
      </w:r>
      <w:r w:rsidR="001539A6">
        <w:rPr>
          <w:b/>
          <w:bCs/>
        </w:rPr>
        <w:t xml:space="preserve"> del partenariato pubblico privato</w:t>
      </w:r>
    </w:p>
    <w:p w14:paraId="41D065C1" w14:textId="77777777" w:rsidR="001539A6" w:rsidRDefault="001539A6" w:rsidP="000734BA">
      <w:pPr>
        <w:jc w:val="both"/>
      </w:pPr>
    </w:p>
    <w:p w14:paraId="31DF1FE6" w14:textId="51384C3D" w:rsidR="00343531" w:rsidRDefault="00982CA8" w:rsidP="000734BA">
      <w:pPr>
        <w:jc w:val="both"/>
      </w:pPr>
      <w:r>
        <w:t xml:space="preserve">Con la definizione di “partenariato pubblico privato” viene indicato un complesso fenomeno </w:t>
      </w:r>
      <w:r w:rsidR="00343531">
        <w:t>suscettibile di assumere declinazioni diverse e di esplicarsi attraverso il ricorso a istituti giuridici eterogenei.</w:t>
      </w:r>
    </w:p>
    <w:p w14:paraId="0317475E" w14:textId="77777777" w:rsidR="00343531" w:rsidRDefault="00343531" w:rsidP="000734BA">
      <w:pPr>
        <w:jc w:val="both"/>
      </w:pPr>
    </w:p>
    <w:p w14:paraId="334475DE" w14:textId="73DBBCE8" w:rsidR="00343531" w:rsidRDefault="00343531" w:rsidP="000734BA">
      <w:pPr>
        <w:jc w:val="both"/>
      </w:pPr>
      <w:r>
        <w:t xml:space="preserve">Il minimo comune denominatore sotteso alle varie forme di espressione è costituito dalla </w:t>
      </w:r>
      <w:r w:rsidRPr="00343531">
        <w:rPr>
          <w:i/>
          <w:iCs/>
        </w:rPr>
        <w:t>ratio</w:t>
      </w:r>
      <w:r>
        <w:t xml:space="preserve"> e dai principi ispiratori.</w:t>
      </w:r>
    </w:p>
    <w:p w14:paraId="057D1279" w14:textId="77777777" w:rsidR="00343531" w:rsidRDefault="00343531" w:rsidP="000734BA">
      <w:pPr>
        <w:jc w:val="both"/>
      </w:pPr>
    </w:p>
    <w:p w14:paraId="40249B80" w14:textId="20968B87" w:rsidR="00343531" w:rsidRDefault="00343531" w:rsidP="00343531">
      <w:pPr>
        <w:jc w:val="both"/>
      </w:pPr>
      <w:r>
        <w:t xml:space="preserve">La </w:t>
      </w:r>
      <w:r w:rsidRPr="00343531">
        <w:rPr>
          <w:i/>
          <w:iCs/>
        </w:rPr>
        <w:t>ratio</w:t>
      </w:r>
      <w:r>
        <w:t xml:space="preserve"> è </w:t>
      </w:r>
      <w:r w:rsidR="00EA76D5">
        <w:t>rappresentata prioritariamente</w:t>
      </w:r>
      <w:r>
        <w:t xml:space="preserve"> dall’esigenza di </w:t>
      </w:r>
      <w:r w:rsidRPr="00343531">
        <w:t>afferma</w:t>
      </w:r>
      <w:r>
        <w:t>re</w:t>
      </w:r>
      <w:r w:rsidRPr="00343531">
        <w:t xml:space="preserve"> un modello di </w:t>
      </w:r>
      <w:r>
        <w:t>P</w:t>
      </w:r>
      <w:r w:rsidRPr="00343531">
        <w:t xml:space="preserve">ubblica Amministrazione </w:t>
      </w:r>
      <w:r>
        <w:t>che si discosti</w:t>
      </w:r>
      <w:r w:rsidRPr="00343531">
        <w:t xml:space="preserve"> da quello tradizionale</w:t>
      </w:r>
      <w:r>
        <w:t xml:space="preserve"> e che risulti </w:t>
      </w:r>
      <w:r w:rsidR="001640FF">
        <w:t xml:space="preserve">sempre più </w:t>
      </w:r>
      <w:r>
        <w:t xml:space="preserve">orientato ad </w:t>
      </w:r>
      <w:r w:rsidRPr="00343531">
        <w:t>un</w:t>
      </w:r>
      <w:r w:rsidR="001640FF">
        <w:t>’</w:t>
      </w:r>
      <w:r w:rsidRPr="00343531">
        <w:t>ampia compartecipazione del</w:t>
      </w:r>
      <w:r>
        <w:t>l’operatore</w:t>
      </w:r>
      <w:r w:rsidRPr="00343531">
        <w:t xml:space="preserve"> privato alla definizione, realizzazione e cura degli interessi generali</w:t>
      </w:r>
      <w:r>
        <w:t>, in ossequio</w:t>
      </w:r>
      <w:r w:rsidR="00EA76D5">
        <w:t xml:space="preserve"> al principio costituzionale di buon andamento dell’azione amministrativa di cui all’art. 97 Cost. </w:t>
      </w:r>
      <w:r w:rsidR="001640FF">
        <w:t>e</w:t>
      </w:r>
      <w:r w:rsidR="00EA76D5">
        <w:t xml:space="preserve"> del principio </w:t>
      </w:r>
      <w:r w:rsidRPr="00343531">
        <w:t xml:space="preserve">di sussidiarietà orizzontale </w:t>
      </w:r>
      <w:r>
        <w:t>di cui all’</w:t>
      </w:r>
      <w:r w:rsidRPr="00343531">
        <w:t xml:space="preserve">art. 118 </w:t>
      </w:r>
      <w:proofErr w:type="gramStart"/>
      <w:r w:rsidRPr="00343531">
        <w:t>Cost.</w:t>
      </w:r>
      <w:r w:rsidR="00EA76D5">
        <w:t>.</w:t>
      </w:r>
      <w:proofErr w:type="gramEnd"/>
    </w:p>
    <w:p w14:paraId="57D48180" w14:textId="77777777" w:rsidR="00343531" w:rsidRPr="00343531" w:rsidRDefault="00343531" w:rsidP="00343531">
      <w:pPr>
        <w:jc w:val="both"/>
      </w:pPr>
    </w:p>
    <w:p w14:paraId="1D54CC86" w14:textId="7A1F9483" w:rsidR="00343531" w:rsidRDefault="00316155" w:rsidP="000734BA">
      <w:pPr>
        <w:jc w:val="both"/>
      </w:pPr>
      <w:r>
        <w:t xml:space="preserve">Il partenariato pubblico privato si configura, quindi, quale modello di collaborazione tra soggetto pubblico e soggetto privato direzionato allo scopo di </w:t>
      </w:r>
      <w:r w:rsidR="00FA368B">
        <w:t>erogare</w:t>
      </w:r>
      <w:r>
        <w:t xml:space="preserve"> servizi, </w:t>
      </w:r>
      <w:r w:rsidR="00FA368B">
        <w:t xml:space="preserve">fornire </w:t>
      </w:r>
      <w:r>
        <w:t xml:space="preserve">infrastrutture e, più in generale, </w:t>
      </w:r>
      <w:r w:rsidR="00FA368B">
        <w:t xml:space="preserve">realizzare </w:t>
      </w:r>
      <w:r>
        <w:t>progett</w:t>
      </w:r>
      <w:r w:rsidR="00FA368B">
        <w:t>i</w:t>
      </w:r>
      <w:r>
        <w:t xml:space="preserve"> di interesse comune.</w:t>
      </w:r>
    </w:p>
    <w:p w14:paraId="53F0690A" w14:textId="77777777" w:rsidR="00316155" w:rsidRDefault="00316155" w:rsidP="000734BA">
      <w:pPr>
        <w:jc w:val="both"/>
      </w:pPr>
    </w:p>
    <w:p w14:paraId="4BF56396" w14:textId="6774CB8F" w:rsidR="00316155" w:rsidRDefault="00316155" w:rsidP="000734BA">
      <w:pPr>
        <w:jc w:val="both"/>
      </w:pPr>
      <w:r>
        <w:lastRenderedPageBreak/>
        <w:t xml:space="preserve">Tale modello di collaborazione consente alla parte pubblica di </w:t>
      </w:r>
      <w:r w:rsidR="00FA368B">
        <w:t>traslare i</w:t>
      </w:r>
      <w:r>
        <w:t xml:space="preserve"> rischi </w:t>
      </w:r>
      <w:r w:rsidR="00EA76D5">
        <w:t>dell’operazione</w:t>
      </w:r>
      <w:r w:rsidR="00644B89">
        <w:t xml:space="preserve"> sull’operatore economico</w:t>
      </w:r>
      <w:r w:rsidR="00EA76D5">
        <w:t xml:space="preserve"> </w:t>
      </w:r>
      <w:r>
        <w:t>e</w:t>
      </w:r>
      <w:r w:rsidR="00EA76D5">
        <w:t xml:space="preserve"> di</w:t>
      </w:r>
      <w:r>
        <w:t xml:space="preserve"> </w:t>
      </w:r>
      <w:r w:rsidR="00FA368B">
        <w:t>condivider</w:t>
      </w:r>
      <w:r w:rsidR="00EA76D5">
        <w:t>n</w:t>
      </w:r>
      <w:r w:rsidR="00FA368B">
        <w:t xml:space="preserve">e le </w:t>
      </w:r>
      <w:r>
        <w:t xml:space="preserve">responsabilità con la parte privata, </w:t>
      </w:r>
      <w:r w:rsidR="00EA76D5">
        <w:t>che</w:t>
      </w:r>
      <w:r>
        <w:t xml:space="preserve"> fornisce</w:t>
      </w:r>
      <w:r w:rsidR="00EA76D5">
        <w:t>,</w:t>
      </w:r>
      <w:r>
        <w:t xml:space="preserve"> oltre alle risorse finanziarie</w:t>
      </w:r>
      <w:r w:rsidR="00EA76D5">
        <w:t>,</w:t>
      </w:r>
      <w:r w:rsidR="00644B89">
        <w:t xml:space="preserve"> </w:t>
      </w:r>
      <w:r>
        <w:t xml:space="preserve">le competenze tecniche specificamente necessarie alla </w:t>
      </w:r>
      <w:r w:rsidR="00FA368B">
        <w:t xml:space="preserve">ideazione e </w:t>
      </w:r>
      <w:r>
        <w:t>realizzazione del progetto.</w:t>
      </w:r>
    </w:p>
    <w:p w14:paraId="5B106EA0" w14:textId="77777777" w:rsidR="00EA76D5" w:rsidRDefault="00EA76D5" w:rsidP="000734BA">
      <w:pPr>
        <w:jc w:val="both"/>
      </w:pPr>
    </w:p>
    <w:p w14:paraId="3E22B21D" w14:textId="1F1F3495" w:rsidR="00EA76D5" w:rsidRPr="00EA76D5" w:rsidRDefault="00EA76D5" w:rsidP="00EA76D5">
      <w:pPr>
        <w:jc w:val="both"/>
      </w:pPr>
      <w:r w:rsidRPr="00EA76D5">
        <w:t>Il privato compartecipa alla definizione, realizzazione e cura degli interessi generali, nell’ottica della reciproca fiducia con il soggetto pubblico</w:t>
      </w:r>
      <w:r w:rsidR="0067378F">
        <w:rPr>
          <w:rStyle w:val="Rimandonotaapidipagina"/>
        </w:rPr>
        <w:footnoteReference w:id="1"/>
      </w:r>
      <w:r w:rsidRPr="00EA76D5">
        <w:t>.</w:t>
      </w:r>
    </w:p>
    <w:p w14:paraId="1706A873" w14:textId="77777777" w:rsidR="00316155" w:rsidRDefault="00316155" w:rsidP="000734BA">
      <w:pPr>
        <w:jc w:val="both"/>
      </w:pPr>
    </w:p>
    <w:p w14:paraId="6F9E28A0" w14:textId="28B2D6BC" w:rsidR="00FA368B" w:rsidRDefault="00FA368B" w:rsidP="000734BA">
      <w:pPr>
        <w:jc w:val="both"/>
      </w:pPr>
      <w:r>
        <w:t>Nel contesto così delineato, devono essere</w:t>
      </w:r>
      <w:r w:rsidR="00EA76D5">
        <w:t>,</w:t>
      </w:r>
      <w:r>
        <w:t xml:space="preserve"> </w:t>
      </w:r>
      <w:r w:rsidR="00EA76D5">
        <w:t xml:space="preserve">in primo luogo, </w:t>
      </w:r>
      <w:r>
        <w:t>tenuti distinti il</w:t>
      </w:r>
      <w:r w:rsidR="000734BA" w:rsidRPr="00F81074">
        <w:t xml:space="preserve"> </w:t>
      </w:r>
      <w:bookmarkStart w:id="0" w:name="_Hlk213599237"/>
      <w:r w:rsidR="0027027D" w:rsidRPr="00F81074">
        <w:t>partenariato pubblico privato</w:t>
      </w:r>
      <w:bookmarkEnd w:id="0"/>
      <w:r w:rsidR="000734BA" w:rsidRPr="00F81074">
        <w:t xml:space="preserve"> </w:t>
      </w:r>
      <w:r w:rsidR="001539A6">
        <w:t xml:space="preserve">di tipo </w:t>
      </w:r>
      <w:r w:rsidR="000734BA" w:rsidRPr="00F81074">
        <w:t>contrattuale</w:t>
      </w:r>
      <w:r>
        <w:t>,</w:t>
      </w:r>
      <w:r w:rsidR="000734BA" w:rsidRPr="00F81074">
        <w:t xml:space="preserve"> </w:t>
      </w:r>
      <w:r>
        <w:t>da un lato, e il</w:t>
      </w:r>
      <w:r w:rsidR="000734BA" w:rsidRPr="00F81074">
        <w:t xml:space="preserve"> </w:t>
      </w:r>
      <w:r w:rsidR="0027027D" w:rsidRPr="00F81074">
        <w:t>partenariato pubblico privato</w:t>
      </w:r>
      <w:r w:rsidR="001539A6">
        <w:t xml:space="preserve"> di tipo</w:t>
      </w:r>
      <w:r w:rsidR="000734BA" w:rsidRPr="00F81074">
        <w:t xml:space="preserve"> istituzional</w:t>
      </w:r>
      <w:r w:rsidR="0027027D" w:rsidRPr="00F81074">
        <w:t>e</w:t>
      </w:r>
      <w:r w:rsidR="000734BA" w:rsidRPr="00F81074">
        <w:t xml:space="preserve">, </w:t>
      </w:r>
      <w:r>
        <w:t>dall’altro lato.</w:t>
      </w:r>
    </w:p>
    <w:p w14:paraId="7F3A48AB" w14:textId="77777777" w:rsidR="00FA368B" w:rsidRDefault="00FA368B" w:rsidP="000734BA">
      <w:pPr>
        <w:jc w:val="both"/>
      </w:pPr>
    </w:p>
    <w:p w14:paraId="5706B387" w14:textId="3EA83ED1" w:rsidR="000734BA" w:rsidRPr="00F81074" w:rsidRDefault="00FA368B" w:rsidP="000734BA">
      <w:pPr>
        <w:jc w:val="both"/>
      </w:pPr>
      <w:r>
        <w:t>Quest’ultimo, a differenza del primo,</w:t>
      </w:r>
      <w:r w:rsidR="001539A6">
        <w:t xml:space="preserve"> ai sensi dell’</w:t>
      </w:r>
      <w:r w:rsidR="001539A6" w:rsidRPr="00F81074">
        <w:t xml:space="preserve">art. 174, comma 4, </w:t>
      </w:r>
      <w:r w:rsidR="001539A6">
        <w:t xml:space="preserve">del Codice dei contratti pubblici, </w:t>
      </w:r>
      <w:r w:rsidR="000734BA" w:rsidRPr="00F81074">
        <w:t xml:space="preserve">presuppone la creazione </w:t>
      </w:r>
      <w:r w:rsidR="001539A6">
        <w:t>“</w:t>
      </w:r>
      <w:r w:rsidR="000734BA" w:rsidRPr="00F81074">
        <w:rPr>
          <w:i/>
          <w:iCs/>
        </w:rPr>
        <w:t>di un ente partecipato congiuntamente dalla parte privata e da quella pubblica ed è disciplinato dal testo unico in materia di società a partecipazione pubblica, di cui al decreto legislativo 19 agosto 2016, n. 175, e dalle altre norme speciali di settore</w:t>
      </w:r>
      <w:r w:rsidR="000734BA" w:rsidRPr="00F81074">
        <w:t>”.</w:t>
      </w:r>
    </w:p>
    <w:p w14:paraId="17217CCD" w14:textId="77777777" w:rsidR="0027027D" w:rsidRPr="00F81074" w:rsidRDefault="0027027D" w:rsidP="000734BA">
      <w:pPr>
        <w:jc w:val="both"/>
      </w:pPr>
    </w:p>
    <w:p w14:paraId="6C7D22A8" w14:textId="7C8462E1" w:rsidR="00BF72B7" w:rsidRPr="00F81074" w:rsidRDefault="000734BA" w:rsidP="000734BA">
      <w:pPr>
        <w:jc w:val="both"/>
      </w:pPr>
      <w:r w:rsidRPr="00F81074">
        <w:t xml:space="preserve">Il </w:t>
      </w:r>
      <w:r w:rsidR="0027027D" w:rsidRPr="00F81074">
        <w:t>partenariato pubblico privato</w:t>
      </w:r>
      <w:r w:rsidRPr="00F81074">
        <w:t xml:space="preserve"> contrattuale</w:t>
      </w:r>
      <w:r w:rsidR="00FA368B">
        <w:t>, invece, viene definito in termini</w:t>
      </w:r>
      <w:r w:rsidR="00370672" w:rsidRPr="00F81074">
        <w:t xml:space="preserve"> </w:t>
      </w:r>
      <w:r w:rsidRPr="00F81074">
        <w:t>di “operazione economica” complessa</w:t>
      </w:r>
      <w:r w:rsidR="00350F47" w:rsidRPr="00F81074">
        <w:rPr>
          <w:rStyle w:val="Rimandonotaapidipagina"/>
        </w:rPr>
        <w:footnoteReference w:id="2"/>
      </w:r>
      <w:r w:rsidRPr="00F81074">
        <w:t xml:space="preserve"> </w:t>
      </w:r>
      <w:r w:rsidR="00FA368B">
        <w:t xml:space="preserve">la cui realizzazione passa attraverso il ricorso a strumenti (non societari, ma) contrattuali </w:t>
      </w:r>
      <w:r w:rsidRPr="00F81074">
        <w:t>diversi</w:t>
      </w:r>
      <w:r w:rsidR="0027027D" w:rsidRPr="00F81074">
        <w:rPr>
          <w:rStyle w:val="Rimandonotaapidipagina"/>
        </w:rPr>
        <w:footnoteReference w:id="3"/>
      </w:r>
      <w:r w:rsidR="00BF72B7" w:rsidRPr="00F81074">
        <w:t>.</w:t>
      </w:r>
    </w:p>
    <w:p w14:paraId="216E8039" w14:textId="0215876A" w:rsidR="00BF72B7" w:rsidRPr="00F81074" w:rsidRDefault="00BF72B7" w:rsidP="000734BA">
      <w:pPr>
        <w:jc w:val="both"/>
      </w:pPr>
      <w:r w:rsidRPr="00F81074">
        <w:t xml:space="preserve"> </w:t>
      </w:r>
    </w:p>
    <w:p w14:paraId="0E32FA9F" w14:textId="54A9CCFC" w:rsidR="00BF72B7" w:rsidRPr="00F81074" w:rsidRDefault="00BF72B7" w:rsidP="000734BA">
      <w:pPr>
        <w:jc w:val="both"/>
      </w:pPr>
      <w:r w:rsidRPr="00F81074">
        <w:t xml:space="preserve">Ai sensi dell’art. 174, comma 3, </w:t>
      </w:r>
      <w:r w:rsidR="00370672" w:rsidRPr="00F81074">
        <w:t>del</w:t>
      </w:r>
      <w:r w:rsidR="00503998" w:rsidRPr="00F81074">
        <w:t>l’att</w:t>
      </w:r>
      <w:r w:rsidR="00EA76D5">
        <w:t>u</w:t>
      </w:r>
      <w:r w:rsidR="00503998" w:rsidRPr="00F81074">
        <w:t xml:space="preserve">ale </w:t>
      </w:r>
      <w:r w:rsidR="00370672" w:rsidRPr="00F81074">
        <w:t xml:space="preserve">Codice dei contratti pubblici, </w:t>
      </w:r>
      <w:r w:rsidRPr="00F81074">
        <w:t>il</w:t>
      </w:r>
      <w:r w:rsidRPr="00F81074">
        <w:rPr>
          <w:i/>
          <w:iCs/>
        </w:rPr>
        <w:t xml:space="preserve"> </w:t>
      </w:r>
      <w:r w:rsidRPr="00F81074">
        <w:t xml:space="preserve">partenariato pubblico-privato di tipo contrattuale comprende le figure della concessione, anche nelle forme della finanza di progetto, della locazione finanziaria e del contratto di disponibilità, nonché </w:t>
      </w:r>
      <w:r w:rsidR="001640FF">
        <w:t>gli</w:t>
      </w:r>
      <w:r w:rsidRPr="00F81074">
        <w:t xml:space="preserve"> </w:t>
      </w:r>
      <w:r w:rsidR="001640FF">
        <w:t xml:space="preserve">altri </w:t>
      </w:r>
      <w:r w:rsidRPr="00F81074">
        <w:t xml:space="preserve">contratti stipulati dalla pubblica amministrazione con operatori economici privati che abbiano </w:t>
      </w:r>
      <w:r w:rsidR="00370672" w:rsidRPr="00F81074">
        <w:t xml:space="preserve">gli stessi contenuti previsti per le </w:t>
      </w:r>
      <w:r w:rsidR="001640FF">
        <w:t>prima dette</w:t>
      </w:r>
      <w:r w:rsidR="00370672" w:rsidRPr="00F81074">
        <w:t xml:space="preserve"> fattispecie e che</w:t>
      </w:r>
      <w:r w:rsidRPr="00F81074">
        <w:t xml:space="preserve"> siano diretti a realizzare interessi meritevoli di tutela</w:t>
      </w:r>
      <w:r w:rsidR="00A371C3" w:rsidRPr="00F81074">
        <w:rPr>
          <w:rStyle w:val="Rimandonotaapidipagina"/>
        </w:rPr>
        <w:footnoteReference w:id="4"/>
      </w:r>
      <w:r w:rsidRPr="00F81074">
        <w:t>.</w:t>
      </w:r>
    </w:p>
    <w:p w14:paraId="30E67761" w14:textId="77777777" w:rsidR="00BF72B7" w:rsidRPr="00F81074" w:rsidRDefault="00BF72B7" w:rsidP="000734BA">
      <w:pPr>
        <w:jc w:val="both"/>
      </w:pPr>
    </w:p>
    <w:p w14:paraId="73F8498D" w14:textId="24E251FD" w:rsidR="000734BA" w:rsidRPr="00F81074" w:rsidRDefault="000734BA" w:rsidP="000734BA">
      <w:pPr>
        <w:jc w:val="both"/>
      </w:pPr>
      <w:r w:rsidRPr="00F81074">
        <w:t xml:space="preserve">È stato così sancito il principio di atipicità e di non esclusività delle forme </w:t>
      </w:r>
      <w:r w:rsidR="001640FF">
        <w:t>contrattuali di partenariato.</w:t>
      </w:r>
      <w:r w:rsidR="00EA76D5">
        <w:t xml:space="preserve"> </w:t>
      </w:r>
    </w:p>
    <w:p w14:paraId="077B5CE8" w14:textId="77777777" w:rsidR="00503998" w:rsidRPr="00F81074" w:rsidRDefault="00503998" w:rsidP="000734BA">
      <w:pPr>
        <w:jc w:val="both"/>
      </w:pPr>
    </w:p>
    <w:p w14:paraId="703540CD" w14:textId="77777777" w:rsidR="00DF0576" w:rsidRDefault="00DF0576" w:rsidP="00DF0576">
      <w:pPr>
        <w:jc w:val="both"/>
      </w:pPr>
      <w:r w:rsidRPr="00503998">
        <w:t xml:space="preserve">Sia la locazione finanziaria che il contratto di disponibilità si fondano sul principio della collaborazione tra settore pubblico e privato ma si differenziano per struttura, obiettivi e ripartizione dei rischi. </w:t>
      </w:r>
    </w:p>
    <w:p w14:paraId="4603E1D2" w14:textId="091C20E0" w:rsidR="00DF0576" w:rsidRDefault="00644B89" w:rsidP="00644B89">
      <w:pPr>
        <w:tabs>
          <w:tab w:val="left" w:pos="2289"/>
        </w:tabs>
        <w:jc w:val="both"/>
      </w:pPr>
      <w:r>
        <w:tab/>
      </w:r>
    </w:p>
    <w:p w14:paraId="40C225E8" w14:textId="22B56FF9" w:rsidR="00DF0576" w:rsidRDefault="00DF0576" w:rsidP="000734BA">
      <w:pPr>
        <w:jc w:val="both"/>
      </w:pPr>
      <w:r>
        <w:t xml:space="preserve">Il </w:t>
      </w:r>
      <w:r w:rsidRPr="00DF0576">
        <w:rPr>
          <w:i/>
          <w:iCs/>
        </w:rPr>
        <w:t>leasing</w:t>
      </w:r>
      <w:r w:rsidR="00017FAA">
        <w:rPr>
          <w:i/>
          <w:iCs/>
        </w:rPr>
        <w:t xml:space="preserve"> </w:t>
      </w:r>
      <w:r>
        <w:t>operativo</w:t>
      </w:r>
      <w:r>
        <w:rPr>
          <w:rStyle w:val="Rimandonotaapidipagina"/>
        </w:rPr>
        <w:footnoteReference w:id="5"/>
      </w:r>
      <w:r w:rsidR="00503998" w:rsidRPr="00503998">
        <w:t xml:space="preserve"> </w:t>
      </w:r>
      <w:r>
        <w:t>consente alla Pubblica Amministrazione di ottenere la disponibilità di un’opera pubblica (o destinata all’utilizzo pubblico) attraverso un finanziamento privato</w:t>
      </w:r>
      <w:r w:rsidR="00017FAA">
        <w:rPr>
          <w:rStyle w:val="Rimandonotaapidipagina"/>
          <w:i/>
          <w:iCs/>
        </w:rPr>
        <w:footnoteReference w:id="6"/>
      </w:r>
      <w:r>
        <w:t>.</w:t>
      </w:r>
    </w:p>
    <w:p w14:paraId="6E376D9B" w14:textId="77777777" w:rsidR="00184708" w:rsidRDefault="00184708" w:rsidP="000734BA">
      <w:pPr>
        <w:jc w:val="both"/>
      </w:pPr>
    </w:p>
    <w:p w14:paraId="3DDD8DBE" w14:textId="36CE1F3A" w:rsidR="00CD5AED" w:rsidRDefault="00184708" w:rsidP="000734BA">
      <w:pPr>
        <w:jc w:val="both"/>
      </w:pPr>
      <w:r>
        <w:t>Lo scopo, ai sensi dell’art. 196 dell’attuale Codice, è infatti quello di finanziare la realizzazione, l’acquisizione e il completamento di opere pubbliche o di pubblica utilità.</w:t>
      </w:r>
    </w:p>
    <w:p w14:paraId="764462D6" w14:textId="1FFC01DB" w:rsidR="00184708" w:rsidRDefault="00184708" w:rsidP="000734BA">
      <w:pPr>
        <w:jc w:val="both"/>
      </w:pPr>
    </w:p>
    <w:p w14:paraId="6FFC8AE4" w14:textId="3FEB6707" w:rsidR="00CD5AED" w:rsidRDefault="00CD5AED" w:rsidP="000734BA">
      <w:pPr>
        <w:jc w:val="both"/>
      </w:pPr>
      <w:r>
        <w:t>L</w:t>
      </w:r>
      <w:r w:rsidRPr="00CD5AED">
        <w:t>a società di locazione finanziaria acquista da</w:t>
      </w:r>
      <w:r>
        <w:t>ll’</w:t>
      </w:r>
      <w:r w:rsidRPr="00CD5AED">
        <w:t xml:space="preserve">operatore economico un bene esistente o da realizzare e lo cede in godimento, per un determinato periodo di tempo, alla </w:t>
      </w:r>
      <w:r>
        <w:t>P</w:t>
      </w:r>
      <w:r w:rsidRPr="00CD5AED">
        <w:t xml:space="preserve">ubblica </w:t>
      </w:r>
      <w:r>
        <w:t>A</w:t>
      </w:r>
      <w:r w:rsidRPr="00CD5AED">
        <w:t>mministrazione, a fronte del pagamento di un canone periodico fisso</w:t>
      </w:r>
      <w:r w:rsidR="00644B89">
        <w:t>,</w:t>
      </w:r>
      <w:r w:rsidRPr="00CD5AED">
        <w:t xml:space="preserve"> comprensivo di eventuali servizi accessori.</w:t>
      </w:r>
    </w:p>
    <w:p w14:paraId="6C134BCA" w14:textId="77777777" w:rsidR="00EA76D5" w:rsidRDefault="00EA76D5" w:rsidP="000734BA">
      <w:pPr>
        <w:jc w:val="both"/>
      </w:pPr>
    </w:p>
    <w:p w14:paraId="28842608" w14:textId="3D83446D" w:rsidR="00184708" w:rsidRPr="00184708" w:rsidRDefault="00184708" w:rsidP="00184708">
      <w:pPr>
        <w:jc w:val="both"/>
      </w:pPr>
      <w:r>
        <w:t>S</w:t>
      </w:r>
      <w:r w:rsidRPr="00184708">
        <w:t xml:space="preserve">olo se il contratto include il trasferimento al privato del rischio operativo, si applica </w:t>
      </w:r>
      <w:r>
        <w:t>la disciplina de</w:t>
      </w:r>
      <w:r w:rsidR="00644B89">
        <w:t>l</w:t>
      </w:r>
      <w:r w:rsidRPr="00184708">
        <w:t xml:space="preserve"> partenariato pubblico</w:t>
      </w:r>
      <w:r>
        <w:t xml:space="preserve"> </w:t>
      </w:r>
      <w:r w:rsidRPr="00184708">
        <w:t xml:space="preserve">privato. </w:t>
      </w:r>
      <w:r w:rsidR="00644B89">
        <w:t>Diversamente</w:t>
      </w:r>
      <w:r w:rsidRPr="00184708">
        <w:t xml:space="preserve">, il rapporto </w:t>
      </w:r>
      <w:r>
        <w:t>sarà</w:t>
      </w:r>
      <w:r w:rsidRPr="00184708">
        <w:t xml:space="preserve"> da ricondursi all’appalto pubblico di lavori.</w:t>
      </w:r>
    </w:p>
    <w:p w14:paraId="25AA1C8A" w14:textId="77777777" w:rsidR="00184708" w:rsidRDefault="00184708" w:rsidP="000734BA">
      <w:pPr>
        <w:jc w:val="both"/>
      </w:pPr>
    </w:p>
    <w:p w14:paraId="10175A51" w14:textId="65E33883" w:rsidR="00B12E50" w:rsidRDefault="00B12E50" w:rsidP="000734BA">
      <w:pPr>
        <w:jc w:val="both"/>
      </w:pPr>
      <w:r>
        <w:t>Il</w:t>
      </w:r>
      <w:r w:rsidR="00503998" w:rsidRPr="00503998">
        <w:t xml:space="preserve"> contratto di disponibilità</w:t>
      </w:r>
      <w:r>
        <w:t xml:space="preserve"> è finalizzato</w:t>
      </w:r>
      <w:r w:rsidR="00CD5AED">
        <w:t>, invece,</w:t>
      </w:r>
      <w:r>
        <w:t xml:space="preserve"> alla realizzazione </w:t>
      </w:r>
      <w:r w:rsidR="00CD5AED">
        <w:t xml:space="preserve">da parte dell’operatore economico </w:t>
      </w:r>
      <w:r>
        <w:t>e alla messa a disposizione a favore dell’Amministrazione aggiudicatrice di un’opera destinata allo svolgimento di un pubblico servizio</w:t>
      </w:r>
      <w:r w:rsidR="007F6B9D">
        <w:rPr>
          <w:rStyle w:val="Rimandonotaapidipagina"/>
        </w:rPr>
        <w:footnoteReference w:id="7"/>
      </w:r>
      <w:r w:rsidR="00503998" w:rsidRPr="00503998">
        <w:t xml:space="preserve">. </w:t>
      </w:r>
    </w:p>
    <w:p w14:paraId="28D216D1" w14:textId="77777777" w:rsidR="00B12E50" w:rsidRDefault="00B12E50" w:rsidP="000734BA">
      <w:pPr>
        <w:jc w:val="both"/>
      </w:pPr>
    </w:p>
    <w:p w14:paraId="1CA2E91E" w14:textId="4B102952" w:rsidR="00503998" w:rsidRDefault="00CD5AED" w:rsidP="000734BA">
      <w:pPr>
        <w:jc w:val="both"/>
      </w:pPr>
      <w:r>
        <w:t>I</w:t>
      </w:r>
      <w:r w:rsidR="00503998" w:rsidRPr="00503998">
        <w:t xml:space="preserve">l </w:t>
      </w:r>
      <w:r w:rsidR="00B12E50">
        <w:t>corrispettivo</w:t>
      </w:r>
      <w:r w:rsidR="00503998" w:rsidRPr="00503998">
        <w:t xml:space="preserve"> del contratto </w:t>
      </w:r>
      <w:r>
        <w:t>è costituito dal canone di disponibilità, ch</w:t>
      </w:r>
      <w:r w:rsidR="00503998" w:rsidRPr="00503998">
        <w:t>e varia a seconda del periodo di utilizzo e dell’effettivo godimento dell’opera</w:t>
      </w:r>
      <w:r w:rsidR="007F6B9D">
        <w:t xml:space="preserve">, </w:t>
      </w:r>
      <w:r w:rsidR="00644B89">
        <w:t>la quale</w:t>
      </w:r>
      <w:r w:rsidR="007F6B9D">
        <w:t xml:space="preserve"> viene gestita </w:t>
      </w:r>
      <w:r>
        <w:t xml:space="preserve">(non </w:t>
      </w:r>
      <w:r w:rsidR="007F6B9D">
        <w:t>dal privato</w:t>
      </w:r>
      <w:r>
        <w:t xml:space="preserve"> che l’ha realizzata, ma)</w:t>
      </w:r>
      <w:r w:rsidR="007F6B9D">
        <w:t xml:space="preserve"> dalla stessa Pubblica Amministrazione.</w:t>
      </w:r>
    </w:p>
    <w:p w14:paraId="16034155" w14:textId="77777777" w:rsidR="00B12E50" w:rsidRDefault="00B12E50" w:rsidP="000734BA">
      <w:pPr>
        <w:jc w:val="both"/>
      </w:pPr>
    </w:p>
    <w:p w14:paraId="68FBE84C" w14:textId="224B8739" w:rsidR="00B12E50" w:rsidRPr="00F81074" w:rsidRDefault="00B12E50" w:rsidP="000734BA">
      <w:pPr>
        <w:jc w:val="both"/>
      </w:pPr>
      <w:r>
        <w:t>L</w:t>
      </w:r>
      <w:r w:rsidR="007F6B9D">
        <w:t>a proprietà dell’opera oggetto di contratto</w:t>
      </w:r>
      <w:r w:rsidR="00CD5AED">
        <w:t>, invece,</w:t>
      </w:r>
      <w:r>
        <w:t xml:space="preserve"> </w:t>
      </w:r>
      <w:r w:rsidR="00CD5AED">
        <w:t>è prioritariamente destinata a</w:t>
      </w:r>
      <w:r w:rsidR="007F6B9D">
        <w:t xml:space="preserve"> </w:t>
      </w:r>
      <w:r>
        <w:t>non transita</w:t>
      </w:r>
      <w:r w:rsidR="00CD5AED">
        <w:t>re</w:t>
      </w:r>
      <w:r>
        <w:t xml:space="preserve"> nel patrimonio pubblico e </w:t>
      </w:r>
      <w:r w:rsidR="00CD5AED">
        <w:t xml:space="preserve">a </w:t>
      </w:r>
      <w:r>
        <w:t>rimane</w:t>
      </w:r>
      <w:r w:rsidR="00644B89">
        <w:t>re</w:t>
      </w:r>
      <w:r>
        <w:t xml:space="preserve">, pertanto, </w:t>
      </w:r>
      <w:r w:rsidR="007F6B9D">
        <w:t>nella titolarità</w:t>
      </w:r>
      <w:r>
        <w:t xml:space="preserve"> del soggetto privato affidatario.</w:t>
      </w:r>
    </w:p>
    <w:p w14:paraId="7514B407" w14:textId="77777777" w:rsidR="000734BA" w:rsidRPr="00F81074" w:rsidRDefault="000734BA" w:rsidP="000734BA">
      <w:pPr>
        <w:jc w:val="both"/>
      </w:pPr>
    </w:p>
    <w:p w14:paraId="2A207AD5" w14:textId="47F1D953" w:rsidR="00BF72B7" w:rsidRPr="00F81074" w:rsidRDefault="000734BA" w:rsidP="000734BA">
      <w:pPr>
        <w:jc w:val="both"/>
      </w:pPr>
      <w:r w:rsidRPr="00F81074">
        <w:t>L’operazione economica</w:t>
      </w:r>
      <w:r w:rsidR="00BF72B7" w:rsidRPr="00F81074">
        <w:t>, quindi,</w:t>
      </w:r>
      <w:r w:rsidRPr="00F81074">
        <w:t xml:space="preserve"> può assumere vesti giuridiche diverse, purch</w:t>
      </w:r>
      <w:r w:rsidR="00BF72B7" w:rsidRPr="00F81074">
        <w:t>é</w:t>
      </w:r>
      <w:r w:rsidRPr="00F81074">
        <w:t xml:space="preserve"> queste abbiano le caratteristiche indicate all’art. 174, comma 1, del Codice:</w:t>
      </w:r>
      <w:r w:rsidR="00BF72B7" w:rsidRPr="00F81074">
        <w:t xml:space="preserve"> </w:t>
      </w:r>
      <w:r w:rsidR="00F266DE">
        <w:t xml:space="preserve">la </w:t>
      </w:r>
      <w:r w:rsidR="00503998" w:rsidRPr="00F81074">
        <w:t xml:space="preserve">creazione di </w:t>
      </w:r>
      <w:r w:rsidR="00BF72B7" w:rsidRPr="00F81074">
        <w:t>un rapporto contrattuale di lungo periodo per raggiungere un risultato di interesse pubblico, la provenienza in misura significativa della copertura dei fabbisogni finanziari connessi alla realizzazione del progetto da risorse reperite dalla parte privata, la spettanza alla parte privata del compito di realizzare e gestire il progetto e alla parte pubblica quello di definire gli obiettivi e di verificarne l’attuazione, l’allocazione in capo al privato del rischio operativo.</w:t>
      </w:r>
    </w:p>
    <w:p w14:paraId="136A3A13" w14:textId="77777777" w:rsidR="000734BA" w:rsidRPr="00F81074" w:rsidRDefault="000734BA" w:rsidP="000734BA">
      <w:pPr>
        <w:jc w:val="both"/>
      </w:pPr>
    </w:p>
    <w:p w14:paraId="5FD66516" w14:textId="29EB8A41" w:rsidR="000734BA" w:rsidRPr="00F81074" w:rsidRDefault="00BF72B7" w:rsidP="001A3466">
      <w:pPr>
        <w:jc w:val="both"/>
      </w:pPr>
      <w:r w:rsidRPr="00F81074">
        <w:t>Si versa</w:t>
      </w:r>
      <w:r w:rsidR="000734BA" w:rsidRPr="00F81074">
        <w:t xml:space="preserve">, </w:t>
      </w:r>
      <w:r w:rsidR="00644B89">
        <w:t>dunque</w:t>
      </w:r>
      <w:r w:rsidR="000734BA" w:rsidRPr="00F81074">
        <w:t xml:space="preserve">, nell’ambito di una </w:t>
      </w:r>
      <w:r w:rsidR="004D64AF" w:rsidRPr="00F81074">
        <w:t>evoluzione</w:t>
      </w:r>
      <w:r w:rsidR="000734BA" w:rsidRPr="00F81074">
        <w:t xml:space="preserve"> in senso</w:t>
      </w:r>
      <w:r w:rsidR="004D64AF" w:rsidRPr="00F81074">
        <w:t xml:space="preserve"> negoziale dei modelli amministrativi consensuali nel </w:t>
      </w:r>
      <w:r w:rsidR="000734BA" w:rsidRPr="00F81074">
        <w:t xml:space="preserve">più generale contesto del progressivo </w:t>
      </w:r>
      <w:r w:rsidR="004D64AF" w:rsidRPr="00F81074">
        <w:t>passaggio da</w:t>
      </w:r>
      <w:r w:rsidRPr="00F81074">
        <w:t xml:space="preserve"> una</w:t>
      </w:r>
      <w:r w:rsidR="004D64AF" w:rsidRPr="00F81074">
        <w:t xml:space="preserve"> programmazione imperativa </w:t>
      </w:r>
      <w:r w:rsidRPr="00F81074">
        <w:t>a una</w:t>
      </w:r>
      <w:r w:rsidR="004D64AF" w:rsidRPr="00F81074">
        <w:t xml:space="preserve"> programmazione negoziata</w:t>
      </w:r>
      <w:r w:rsidR="00671470" w:rsidRPr="00F81074">
        <w:rPr>
          <w:rStyle w:val="Rimandonotaapidipagina"/>
        </w:rPr>
        <w:footnoteReference w:id="8"/>
      </w:r>
      <w:r w:rsidR="000734BA" w:rsidRPr="00F81074">
        <w:t>.</w:t>
      </w:r>
    </w:p>
    <w:p w14:paraId="395470B5" w14:textId="77777777" w:rsidR="000734BA" w:rsidRPr="00F81074" w:rsidRDefault="000734BA" w:rsidP="001A3466">
      <w:pPr>
        <w:jc w:val="both"/>
      </w:pPr>
    </w:p>
    <w:p w14:paraId="50DA6835" w14:textId="09A212C3" w:rsidR="000734BA" w:rsidRDefault="00EA76D5" w:rsidP="000734BA">
      <w:pPr>
        <w:jc w:val="both"/>
      </w:pPr>
      <w:r>
        <w:t>Ciò</w:t>
      </w:r>
      <w:r w:rsidR="000734BA" w:rsidRPr="00F81074">
        <w:t xml:space="preserve"> amplia la discrezionalità amministrativa, </w:t>
      </w:r>
      <w:r w:rsidR="00BF72B7" w:rsidRPr="00F81074">
        <w:t xml:space="preserve">essendo riconosciuti </w:t>
      </w:r>
      <w:r w:rsidR="00370672" w:rsidRPr="00F81074">
        <w:t>alla stazione appaltante</w:t>
      </w:r>
      <w:r w:rsidR="00BF72B7" w:rsidRPr="00F81074">
        <w:t xml:space="preserve"> </w:t>
      </w:r>
      <w:r w:rsidR="000734BA" w:rsidRPr="00F81074">
        <w:t xml:space="preserve">margini </w:t>
      </w:r>
      <w:r w:rsidR="00BF72B7" w:rsidRPr="00F81074">
        <w:t xml:space="preserve">maggiori </w:t>
      </w:r>
      <w:r w:rsidR="000734BA" w:rsidRPr="00F81074">
        <w:t>nella scelta di soluzioni negoziali.</w:t>
      </w:r>
    </w:p>
    <w:p w14:paraId="55808819" w14:textId="77777777" w:rsidR="00EA76D5" w:rsidRDefault="00EA76D5" w:rsidP="000734BA">
      <w:pPr>
        <w:jc w:val="both"/>
      </w:pPr>
    </w:p>
    <w:p w14:paraId="6D880A48" w14:textId="76273C0F" w:rsidR="00EA76D5" w:rsidRPr="00EA76D5" w:rsidRDefault="00EA76D5" w:rsidP="00EA76D5">
      <w:pPr>
        <w:jc w:val="both"/>
      </w:pPr>
      <w:r>
        <w:t>I</w:t>
      </w:r>
      <w:r w:rsidRPr="00EA76D5">
        <w:t>l Codice dei contratti pubblici si occupa</w:t>
      </w:r>
      <w:r>
        <w:t>, infine,</w:t>
      </w:r>
      <w:r w:rsidRPr="00EA76D5">
        <w:t xml:space="preserve"> </w:t>
      </w:r>
      <w:r w:rsidR="0067378F">
        <w:t xml:space="preserve">anche </w:t>
      </w:r>
      <w:r w:rsidRPr="00EA76D5">
        <w:t>del partenariato sociale prevedendo, all’art. 201, che g</w:t>
      </w:r>
      <w:r w:rsidRPr="00EA76D5">
        <w:rPr>
          <w:lang w:val="en-GB"/>
        </w:rPr>
        <w:t xml:space="preserve">li </w:t>
      </w:r>
      <w:proofErr w:type="spellStart"/>
      <w:r w:rsidRPr="00EA76D5">
        <w:rPr>
          <w:lang w:val="en-GB"/>
        </w:rPr>
        <w:t>enti</w:t>
      </w:r>
      <w:proofErr w:type="spellEnd"/>
      <w:r w:rsidRPr="00EA76D5">
        <w:rPr>
          <w:lang w:val="en-GB"/>
        </w:rPr>
        <w:t xml:space="preserve"> </w:t>
      </w:r>
      <w:proofErr w:type="spellStart"/>
      <w:r w:rsidRPr="00EA76D5">
        <w:rPr>
          <w:lang w:val="en-GB"/>
        </w:rPr>
        <w:t>concedenti</w:t>
      </w:r>
      <w:proofErr w:type="spellEnd"/>
      <w:r w:rsidRPr="00EA76D5">
        <w:rPr>
          <w:lang w:val="en-GB"/>
        </w:rPr>
        <w:t xml:space="preserve"> </w:t>
      </w:r>
      <w:proofErr w:type="spellStart"/>
      <w:r w:rsidRPr="00EA76D5">
        <w:rPr>
          <w:bCs/>
          <w:lang w:val="en-GB"/>
        </w:rPr>
        <w:t>poss</w:t>
      </w:r>
      <w:r>
        <w:rPr>
          <w:bCs/>
          <w:lang w:val="en-GB"/>
        </w:rPr>
        <w:t>a</w:t>
      </w:r>
      <w:r w:rsidRPr="00EA76D5">
        <w:rPr>
          <w:bCs/>
          <w:lang w:val="en-GB"/>
        </w:rPr>
        <w:t>no</w:t>
      </w:r>
      <w:proofErr w:type="spellEnd"/>
      <w:r w:rsidRPr="00EA76D5">
        <w:rPr>
          <w:bCs/>
          <w:lang w:val="en-GB"/>
        </w:rPr>
        <w:t xml:space="preserve"> </w:t>
      </w:r>
      <w:proofErr w:type="spellStart"/>
      <w:r w:rsidRPr="00EA76D5">
        <w:rPr>
          <w:bCs/>
          <w:lang w:val="en-GB"/>
        </w:rPr>
        <w:t>concludere</w:t>
      </w:r>
      <w:proofErr w:type="spellEnd"/>
      <w:r w:rsidRPr="00EA76D5">
        <w:rPr>
          <w:lang w:val="en-GB"/>
        </w:rPr>
        <w:t xml:space="preserve"> </w:t>
      </w:r>
      <w:proofErr w:type="spellStart"/>
      <w:r w:rsidRPr="00EA76D5">
        <w:rPr>
          <w:lang w:val="en-GB"/>
        </w:rPr>
        <w:t>contratti</w:t>
      </w:r>
      <w:proofErr w:type="spellEnd"/>
      <w:r w:rsidRPr="00EA76D5">
        <w:rPr>
          <w:vertAlign w:val="superscript"/>
          <w:lang w:val="en-GB"/>
        </w:rPr>
        <w:footnoteReference w:id="9"/>
      </w:r>
      <w:r w:rsidRPr="00EA76D5">
        <w:rPr>
          <w:lang w:val="en-GB"/>
        </w:rPr>
        <w:t xml:space="preserve"> </w:t>
      </w:r>
      <w:proofErr w:type="spellStart"/>
      <w:r w:rsidRPr="00EA76D5">
        <w:rPr>
          <w:lang w:val="en-GB"/>
        </w:rPr>
        <w:t>aventi</w:t>
      </w:r>
      <w:proofErr w:type="spellEnd"/>
      <w:r w:rsidRPr="00EA76D5">
        <w:rPr>
          <w:lang w:val="en-GB"/>
        </w:rPr>
        <w:t xml:space="preserve"> </w:t>
      </w:r>
      <w:proofErr w:type="spellStart"/>
      <w:r w:rsidRPr="00EA76D5">
        <w:rPr>
          <w:lang w:val="en-GB"/>
        </w:rPr>
        <w:t>ad</w:t>
      </w:r>
      <w:proofErr w:type="spellEnd"/>
      <w:r w:rsidRPr="00EA76D5">
        <w:rPr>
          <w:lang w:val="en-GB"/>
        </w:rPr>
        <w:t xml:space="preserve"> </w:t>
      </w:r>
      <w:proofErr w:type="spellStart"/>
      <w:r w:rsidRPr="00EA76D5">
        <w:rPr>
          <w:lang w:val="en-GB"/>
        </w:rPr>
        <w:t>oggetto</w:t>
      </w:r>
      <w:proofErr w:type="spellEnd"/>
      <w:r w:rsidRPr="00EA76D5">
        <w:rPr>
          <w:lang w:val="en-GB"/>
        </w:rPr>
        <w:t xml:space="preserve"> </w:t>
      </w:r>
      <w:proofErr w:type="spellStart"/>
      <w:r w:rsidRPr="00EA76D5">
        <w:rPr>
          <w:lang w:val="en-GB"/>
        </w:rPr>
        <w:t>una</w:t>
      </w:r>
      <w:proofErr w:type="spellEnd"/>
      <w:r w:rsidRPr="00EA76D5">
        <w:rPr>
          <w:lang w:val="en-GB"/>
        </w:rPr>
        <w:t xml:space="preserve"> o </w:t>
      </w:r>
      <w:proofErr w:type="spellStart"/>
      <w:r w:rsidRPr="00EA76D5">
        <w:rPr>
          <w:lang w:val="en-GB"/>
        </w:rPr>
        <w:t>più</w:t>
      </w:r>
      <w:proofErr w:type="spellEnd"/>
      <w:r w:rsidRPr="00EA76D5">
        <w:rPr>
          <w:lang w:val="en-GB"/>
        </w:rPr>
        <w:t xml:space="preserve"> </w:t>
      </w:r>
      <w:proofErr w:type="spellStart"/>
      <w:r w:rsidRPr="00EA76D5">
        <w:rPr>
          <w:lang w:val="en-GB"/>
        </w:rPr>
        <w:t>delle</w:t>
      </w:r>
      <w:proofErr w:type="spellEnd"/>
      <w:r w:rsidRPr="00EA76D5">
        <w:rPr>
          <w:lang w:val="en-GB"/>
        </w:rPr>
        <w:t xml:space="preserve"> </w:t>
      </w:r>
      <w:proofErr w:type="spellStart"/>
      <w:r w:rsidRPr="00EA76D5">
        <w:rPr>
          <w:lang w:val="en-GB"/>
        </w:rPr>
        <w:t>prestazioni</w:t>
      </w:r>
      <w:proofErr w:type="spellEnd"/>
      <w:r w:rsidRPr="00EA76D5">
        <w:rPr>
          <w:lang w:val="en-GB"/>
        </w:rPr>
        <w:t xml:space="preserve"> indicate, </w:t>
      </w:r>
      <w:proofErr w:type="spellStart"/>
      <w:r w:rsidRPr="00EA76D5">
        <w:rPr>
          <w:lang w:val="en-GB"/>
        </w:rPr>
        <w:t>tra</w:t>
      </w:r>
      <w:proofErr w:type="spellEnd"/>
      <w:r w:rsidRPr="00EA76D5">
        <w:rPr>
          <w:lang w:val="en-GB"/>
        </w:rPr>
        <w:t xml:space="preserve"> le </w:t>
      </w:r>
      <w:proofErr w:type="spellStart"/>
      <w:r w:rsidRPr="00EA76D5">
        <w:rPr>
          <w:lang w:val="en-GB"/>
        </w:rPr>
        <w:t>quali</w:t>
      </w:r>
      <w:proofErr w:type="spellEnd"/>
      <w:r w:rsidRPr="00EA76D5">
        <w:rPr>
          <w:lang w:val="en-GB"/>
        </w:rPr>
        <w:t xml:space="preserve">: la </w:t>
      </w:r>
      <w:r w:rsidRPr="00EA76D5">
        <w:t>gestione e manutenzione di aree riservate al verde pubblico urbano e di immobili di origine rurale destinati ad attività sociali e culturali, ceduti al Comune in esecuzione di convenzioni e di strumenti urbanistici attuativi</w:t>
      </w:r>
      <w:r w:rsidRPr="00EA76D5">
        <w:rPr>
          <w:vertAlign w:val="superscript"/>
        </w:rPr>
        <w:footnoteReference w:id="10"/>
      </w:r>
      <w:r>
        <w:t>;</w:t>
      </w:r>
      <w:r w:rsidRPr="00EA76D5">
        <w:t xml:space="preserve"> la gestione, manutenzione e valorizzazione di piazze e strade o interventi di decoro urbano e di recupero di aree e beni immobili inutilizzati, per destinarli a fini di interesse generale</w:t>
      </w:r>
      <w:r w:rsidRPr="00EA76D5">
        <w:rPr>
          <w:vertAlign w:val="superscript"/>
        </w:rPr>
        <w:footnoteReference w:id="11"/>
      </w:r>
      <w:r>
        <w:t>;</w:t>
      </w:r>
      <w:r w:rsidRPr="00EA76D5">
        <w:rPr>
          <w:i/>
          <w:iCs/>
        </w:rPr>
        <w:t xml:space="preserve"> </w:t>
      </w:r>
      <w:r w:rsidRPr="00EA76D5">
        <w:t>il compimento di opere di interesse locale, da acquisire al patrimonio indisponibile dell’ente concedente, sulla base di progetti presentati da cittadini, singoli o associati, e a spese di questi ultimi</w:t>
      </w:r>
      <w:r w:rsidRPr="00EA76D5">
        <w:rPr>
          <w:vertAlign w:val="superscript"/>
        </w:rPr>
        <w:footnoteReference w:id="12"/>
      </w:r>
      <w:r w:rsidRPr="00EA76D5">
        <w:t>.</w:t>
      </w:r>
    </w:p>
    <w:p w14:paraId="34870183" w14:textId="77777777" w:rsidR="00FA368B" w:rsidRDefault="00FA368B" w:rsidP="001A3466">
      <w:pPr>
        <w:jc w:val="both"/>
      </w:pPr>
    </w:p>
    <w:p w14:paraId="47333DD8" w14:textId="619B7887" w:rsidR="00CD7A81" w:rsidRPr="00CD7A81" w:rsidRDefault="00CD7A81" w:rsidP="0065308C">
      <w:pPr>
        <w:jc w:val="both"/>
        <w:rPr>
          <w:b/>
          <w:bCs/>
        </w:rPr>
      </w:pPr>
      <w:r w:rsidRPr="00CD7A81">
        <w:rPr>
          <w:b/>
          <w:bCs/>
        </w:rPr>
        <w:t>2. Il partenariato pubblico privato di tipo contrattuale</w:t>
      </w:r>
    </w:p>
    <w:p w14:paraId="6CD53F7E" w14:textId="77777777" w:rsidR="00CD7A81" w:rsidRPr="00CD7A81" w:rsidRDefault="00CD7A81" w:rsidP="0065308C">
      <w:pPr>
        <w:jc w:val="both"/>
        <w:rPr>
          <w:b/>
          <w:bCs/>
        </w:rPr>
      </w:pPr>
    </w:p>
    <w:p w14:paraId="26AB1D2B" w14:textId="739B947A" w:rsidR="0065308C" w:rsidRPr="00F81074" w:rsidRDefault="0065308C" w:rsidP="0065308C">
      <w:pPr>
        <w:jc w:val="both"/>
      </w:pPr>
      <w:r w:rsidRPr="00F81074">
        <w:t xml:space="preserve">Venendo </w:t>
      </w:r>
      <w:r w:rsidR="00CD7A81">
        <w:t>all’analisi della particolare fattispecie costituita dal</w:t>
      </w:r>
      <w:r w:rsidR="00CD7A81" w:rsidRPr="00CD7A81">
        <w:t xml:space="preserve"> partenariato pubblico privato di tipo contrattuale</w:t>
      </w:r>
      <w:r w:rsidR="00CD7A81">
        <w:t xml:space="preserve"> e focalizzando l’attenzione sui </w:t>
      </w:r>
      <w:r w:rsidRPr="00F81074">
        <w:t xml:space="preserve">paradigmi di riferimento, </w:t>
      </w:r>
      <w:r w:rsidR="00BF72B7" w:rsidRPr="00F81074">
        <w:t>in virtù del principio del risultato</w:t>
      </w:r>
      <w:r w:rsidR="00644362" w:rsidRPr="00F81074">
        <w:rPr>
          <w:rStyle w:val="Rimandonotaapidipagina"/>
        </w:rPr>
        <w:footnoteReference w:id="13"/>
      </w:r>
      <w:r w:rsidR="0067378F">
        <w:t>,</w:t>
      </w:r>
      <w:r w:rsidR="00BF72B7" w:rsidRPr="00F81074">
        <w:t xml:space="preserve"> ciò</w:t>
      </w:r>
      <w:r w:rsidRPr="00F81074">
        <w:t xml:space="preserve"> che l’Amministrazione ha individuato come obiettivo da raggiungere</w:t>
      </w:r>
      <w:r w:rsidR="00BF72B7" w:rsidRPr="00F81074">
        <w:t xml:space="preserve"> (in ossequio </w:t>
      </w:r>
      <w:r w:rsidR="00BF72B7" w:rsidRPr="00F81074">
        <w:lastRenderedPageBreak/>
        <w:t xml:space="preserve">all’art. 1, </w:t>
      </w:r>
      <w:r w:rsidR="00E21E8D" w:rsidRPr="00F81074">
        <w:t>l’</w:t>
      </w:r>
      <w:r w:rsidRPr="00F81074">
        <w:t>“</w:t>
      </w:r>
      <w:r w:rsidRPr="00F81074">
        <w:rPr>
          <w:i/>
          <w:iCs/>
        </w:rPr>
        <w:t>affidamento del contratto e della sua esecuzione con la massima tempestività e il migliore rapporto possibile tra qualità e prezzo</w:t>
      </w:r>
      <w:r w:rsidR="00F346CC" w:rsidRPr="00F81074">
        <w:rPr>
          <w:i/>
          <w:iCs/>
        </w:rPr>
        <w:t>, nel rispetto dei principi di legalità, trasparenza e concorrenza</w:t>
      </w:r>
      <w:r w:rsidRPr="00F81074">
        <w:t>”</w:t>
      </w:r>
      <w:r w:rsidR="00BF72B7" w:rsidRPr="00F81074">
        <w:t>)</w:t>
      </w:r>
      <w:r w:rsidRPr="00F81074">
        <w:t xml:space="preserve"> </w:t>
      </w:r>
      <w:r w:rsidR="00BF72B7" w:rsidRPr="00F81074">
        <w:t>divien</w:t>
      </w:r>
      <w:r w:rsidR="00370672" w:rsidRPr="00F81074">
        <w:t>e</w:t>
      </w:r>
      <w:r w:rsidR="00644B89">
        <w:t xml:space="preserve"> </w:t>
      </w:r>
      <w:r w:rsidRPr="00F81074">
        <w:t xml:space="preserve">il </w:t>
      </w:r>
      <w:r w:rsidR="00BF72B7" w:rsidRPr="00F81074">
        <w:t>“</w:t>
      </w:r>
      <w:r w:rsidRPr="00F81074">
        <w:t>nucleo normativo</w:t>
      </w:r>
      <w:r w:rsidR="00BF72B7" w:rsidRPr="00F81074">
        <w:t>”</w:t>
      </w:r>
      <w:r w:rsidRPr="00F81074">
        <w:t xml:space="preserve"> dell’azione amministrativa</w:t>
      </w:r>
      <w:r w:rsidR="00692962" w:rsidRPr="00F81074">
        <w:rPr>
          <w:rStyle w:val="Rimandonotaapidipagina"/>
        </w:rPr>
        <w:footnoteReference w:id="14"/>
      </w:r>
      <w:r w:rsidRPr="00F81074">
        <w:t>.</w:t>
      </w:r>
    </w:p>
    <w:p w14:paraId="2F71863E" w14:textId="77777777" w:rsidR="0065308C" w:rsidRPr="00F81074" w:rsidRDefault="0065308C" w:rsidP="0065308C">
      <w:pPr>
        <w:jc w:val="both"/>
      </w:pPr>
    </w:p>
    <w:p w14:paraId="5AD8B02F" w14:textId="3F991F78" w:rsidR="0065308C" w:rsidRPr="00F81074" w:rsidRDefault="00F346CC" w:rsidP="0065308C">
      <w:pPr>
        <w:jc w:val="both"/>
      </w:pPr>
      <w:r w:rsidRPr="00F81074">
        <w:t xml:space="preserve">Si tratta di capire come </w:t>
      </w:r>
      <w:r w:rsidR="00E21E8D" w:rsidRPr="00F81074">
        <w:t>ciò</w:t>
      </w:r>
      <w:r w:rsidRPr="00F81074">
        <w:t xml:space="preserve"> si </w:t>
      </w:r>
      <w:r w:rsidR="0065308C" w:rsidRPr="00F81074">
        <w:t>riflett</w:t>
      </w:r>
      <w:r w:rsidRPr="00F81074">
        <w:t>a</w:t>
      </w:r>
      <w:r w:rsidR="0065308C" w:rsidRPr="00F81074">
        <w:t xml:space="preserve"> sul sindacato giurisdizionale</w:t>
      </w:r>
      <w:r w:rsidRPr="00F81074">
        <w:t>.</w:t>
      </w:r>
    </w:p>
    <w:p w14:paraId="1F53A394" w14:textId="77777777" w:rsidR="0065308C" w:rsidRPr="00F81074" w:rsidRDefault="0065308C" w:rsidP="0065308C">
      <w:pPr>
        <w:jc w:val="both"/>
      </w:pPr>
    </w:p>
    <w:p w14:paraId="133D9888" w14:textId="4659F527" w:rsidR="0065308C" w:rsidRPr="00F81074" w:rsidRDefault="0065308C" w:rsidP="0065308C">
      <w:pPr>
        <w:jc w:val="both"/>
      </w:pPr>
      <w:r w:rsidRPr="00F81074">
        <w:t>Il risultato concorre ad integrare il paradigma normativo del provvedimento e dunque ad “</w:t>
      </w:r>
      <w:r w:rsidRPr="00F81074">
        <w:rPr>
          <w:i/>
          <w:iCs/>
        </w:rPr>
        <w:t>ampliare il perimetro del sindacato giurisdizionale piuttosto che diminuirlo</w:t>
      </w:r>
      <w:r w:rsidRPr="00F81074">
        <w:t>”, facendo “</w:t>
      </w:r>
      <w:r w:rsidRPr="00F81074">
        <w:rPr>
          <w:i/>
          <w:iCs/>
        </w:rPr>
        <w:t xml:space="preserve">transitare nell’area della legittimità, e quindi della </w:t>
      </w:r>
      <w:proofErr w:type="spellStart"/>
      <w:r w:rsidRPr="00F81074">
        <w:rPr>
          <w:i/>
          <w:iCs/>
        </w:rPr>
        <w:t>giustiziabilità</w:t>
      </w:r>
      <w:proofErr w:type="spellEnd"/>
      <w:r w:rsidRPr="00F81074">
        <w:rPr>
          <w:i/>
          <w:iCs/>
        </w:rPr>
        <w:t>, opzioni e scelte che sinora si pensava attenessero al merito e fossero come tali insindacabili</w:t>
      </w:r>
      <w:r w:rsidRPr="00F81074">
        <w:t>”</w:t>
      </w:r>
      <w:r w:rsidR="0027027D" w:rsidRPr="00F81074">
        <w:rPr>
          <w:rStyle w:val="Rimandonotaapidipagina"/>
        </w:rPr>
        <w:footnoteReference w:id="15"/>
      </w:r>
      <w:r w:rsidR="0027027D" w:rsidRPr="00F81074">
        <w:t>.</w:t>
      </w:r>
      <w:r w:rsidRPr="00F81074">
        <w:t xml:space="preserve"> </w:t>
      </w:r>
    </w:p>
    <w:p w14:paraId="5E79CC58" w14:textId="77777777" w:rsidR="0065308C" w:rsidRPr="00F81074" w:rsidRDefault="0065308C" w:rsidP="0065308C">
      <w:pPr>
        <w:jc w:val="both"/>
      </w:pPr>
    </w:p>
    <w:p w14:paraId="463CE63E" w14:textId="5D32947C" w:rsidR="0065308C" w:rsidRPr="00F81074" w:rsidRDefault="00370672" w:rsidP="00E57A6F">
      <w:pPr>
        <w:jc w:val="both"/>
      </w:pPr>
      <w:r w:rsidRPr="00F81074">
        <w:t>Il principio del risultato si</w:t>
      </w:r>
      <w:r w:rsidR="0065308C" w:rsidRPr="00F81074">
        <w:t xml:space="preserve"> traduce, </w:t>
      </w:r>
      <w:r w:rsidR="00E21E8D" w:rsidRPr="00F81074">
        <w:t>pertanto</w:t>
      </w:r>
      <w:r w:rsidR="0065308C" w:rsidRPr="00F81074">
        <w:t>, nell’ottica giurisdizionale, in un ulteriore strumento per la valutazione della legittimità dell’atto amministrativo, non in contrasto con il principio di legalità</w:t>
      </w:r>
      <w:r w:rsidR="00E94526">
        <w:t xml:space="preserve">: quest’ultimo, infatti, </w:t>
      </w:r>
      <w:r w:rsidR="0065308C" w:rsidRPr="00F81074">
        <w:t>non richiede un ossequio assoluto al dettato del diritto positivo</w:t>
      </w:r>
      <w:r w:rsidR="00BF72B7" w:rsidRPr="00F81074">
        <w:t>, non riuscendo sempre la legge a individuare in maniera puntuale il fine da raggiungere e il tipo di azione affidata all’Amministrazione</w:t>
      </w:r>
      <w:r w:rsidR="00F474F8" w:rsidRPr="00F81074">
        <w:rPr>
          <w:rStyle w:val="Rimandonotaapidipagina"/>
        </w:rPr>
        <w:footnoteReference w:id="16"/>
      </w:r>
      <w:r w:rsidR="00BF72B7" w:rsidRPr="00F81074">
        <w:t>.</w:t>
      </w:r>
    </w:p>
    <w:p w14:paraId="71A0A581" w14:textId="77777777" w:rsidR="0065308C" w:rsidRPr="00F81074" w:rsidRDefault="0065308C" w:rsidP="00E57A6F">
      <w:pPr>
        <w:jc w:val="both"/>
      </w:pPr>
    </w:p>
    <w:p w14:paraId="75C9CCC3" w14:textId="544AEFF1" w:rsidR="00E57A6F" w:rsidRPr="00F81074" w:rsidRDefault="00E57A6F" w:rsidP="00E57A6F">
      <w:pPr>
        <w:jc w:val="both"/>
      </w:pPr>
      <w:r w:rsidRPr="00F81074">
        <w:t xml:space="preserve">Al principio del risultato, collocato al vertice, è riconosciuta una funzione nomofilattica e ordinante. </w:t>
      </w:r>
    </w:p>
    <w:p w14:paraId="43C346BF" w14:textId="77777777" w:rsidR="0065308C" w:rsidRPr="00F81074" w:rsidRDefault="0065308C" w:rsidP="00E57A6F">
      <w:pPr>
        <w:jc w:val="both"/>
      </w:pPr>
    </w:p>
    <w:p w14:paraId="6778694B" w14:textId="77777777" w:rsidR="00E57A6F" w:rsidRPr="00F81074" w:rsidRDefault="00E57A6F" w:rsidP="00E57A6F">
      <w:pPr>
        <w:jc w:val="both"/>
      </w:pPr>
      <w:r w:rsidRPr="00F81074">
        <w:t>Sotto l’ombrello del principio del risultato, altri principi sono stati affermati o hanno assunto una nuova declinazione.</w:t>
      </w:r>
    </w:p>
    <w:p w14:paraId="3859220C" w14:textId="77777777" w:rsidR="0065308C" w:rsidRPr="00F81074" w:rsidRDefault="0065308C" w:rsidP="00E57A6F">
      <w:pPr>
        <w:jc w:val="both"/>
      </w:pPr>
    </w:p>
    <w:p w14:paraId="116C5F61" w14:textId="060500B2" w:rsidR="00E57A6F" w:rsidRPr="00F81074" w:rsidRDefault="00E57A6F" w:rsidP="00E57A6F">
      <w:pPr>
        <w:jc w:val="both"/>
      </w:pPr>
      <w:r w:rsidRPr="00F81074">
        <w:t>Tra quelli diversamente declinati, il più rilevante è il principio della tutela della concorrenza.</w:t>
      </w:r>
    </w:p>
    <w:p w14:paraId="0C6CE6D9" w14:textId="77777777" w:rsidR="00B96D8A" w:rsidRPr="00F81074" w:rsidRDefault="00B96D8A" w:rsidP="00E57A6F">
      <w:pPr>
        <w:jc w:val="both"/>
      </w:pPr>
    </w:p>
    <w:p w14:paraId="69B67CF7" w14:textId="77777777" w:rsidR="0067378F" w:rsidRDefault="00B96D8A" w:rsidP="00E57A6F">
      <w:pPr>
        <w:jc w:val="both"/>
      </w:pPr>
      <w:r w:rsidRPr="00F81074">
        <w:t xml:space="preserve">L’ordinamento europeo ha </w:t>
      </w:r>
      <w:r w:rsidR="0067378F">
        <w:t xml:space="preserve">sempre </w:t>
      </w:r>
      <w:r w:rsidRPr="00F81074">
        <w:t>imposto</w:t>
      </w:r>
      <w:r w:rsidR="0067378F">
        <w:t xml:space="preserve"> (o, almeno, così si è ritenuto)</w:t>
      </w:r>
      <w:r w:rsidRPr="00F81074">
        <w:t xml:space="preserve"> di guardare all’affidamento dei servizi e dei lavori in un’ottica necessariamente concorrenziale, quale quella che caratterizza tutte le attività economiche aventi natura imprenditoriale. </w:t>
      </w:r>
    </w:p>
    <w:p w14:paraId="238D78EF" w14:textId="77777777" w:rsidR="0067378F" w:rsidRDefault="0067378F" w:rsidP="00E57A6F">
      <w:pPr>
        <w:jc w:val="both"/>
      </w:pPr>
    </w:p>
    <w:p w14:paraId="15686BB7" w14:textId="77777777" w:rsidR="0067378F" w:rsidRDefault="00B96D8A" w:rsidP="00E57A6F">
      <w:pPr>
        <w:jc w:val="both"/>
      </w:pPr>
      <w:r w:rsidRPr="00F81074">
        <w:t xml:space="preserve">Ciò in quanto il risultato economico prodotto dal mercato in condizione di equilibrio concorrenziale è stato per lungo tempo ritenuto il migliore sotto il profilo allocativo e il più giusto sotto il profilo distributivo. </w:t>
      </w:r>
    </w:p>
    <w:p w14:paraId="271D9CE7" w14:textId="77777777" w:rsidR="0067378F" w:rsidRDefault="0067378F" w:rsidP="00E57A6F">
      <w:pPr>
        <w:jc w:val="both"/>
      </w:pPr>
    </w:p>
    <w:p w14:paraId="736967C1" w14:textId="61F8F6B6" w:rsidR="00B96D8A" w:rsidRPr="00F81074" w:rsidRDefault="00B96D8A" w:rsidP="00E57A6F">
      <w:pPr>
        <w:jc w:val="both"/>
      </w:pPr>
      <w:r w:rsidRPr="00F81074">
        <w:lastRenderedPageBreak/>
        <w:t>L’efficienza paretiana ha assunto, per questa via, il ruolo di “criterio normativo centrale”</w:t>
      </w:r>
      <w:r w:rsidRPr="00F81074">
        <w:rPr>
          <w:rStyle w:val="Rimandonotaapidipagina"/>
        </w:rPr>
        <w:t xml:space="preserve"> </w:t>
      </w:r>
      <w:r w:rsidRPr="00F81074">
        <w:rPr>
          <w:rStyle w:val="Rimandonotaapidipagina"/>
        </w:rPr>
        <w:footnoteReference w:id="17"/>
      </w:r>
      <w:r w:rsidRPr="00F81074">
        <w:t xml:space="preserve"> e da ciò è derivata la convinzione che anche l’ordinamento interno dovesse necessariamente direzionare l’intervento pubblico al primario obiettivo della liberalizzazione dei mercati e del raggiungimento, al loro interno, di equilibri concorrenziali efficienti.</w:t>
      </w:r>
    </w:p>
    <w:p w14:paraId="0548DFE7" w14:textId="77777777" w:rsidR="0065308C" w:rsidRPr="00F81074" w:rsidRDefault="0065308C" w:rsidP="00E57A6F">
      <w:pPr>
        <w:jc w:val="both"/>
      </w:pPr>
    </w:p>
    <w:p w14:paraId="6A781981" w14:textId="5263B9A5" w:rsidR="002C0CAC" w:rsidRPr="00F81074" w:rsidRDefault="002C0CAC" w:rsidP="00E57A6F">
      <w:pPr>
        <w:jc w:val="both"/>
      </w:pPr>
      <w:r w:rsidRPr="00F81074">
        <w:t>Quanto sopra</w:t>
      </w:r>
      <w:r w:rsidR="0067378F">
        <w:t xml:space="preserve"> - </w:t>
      </w:r>
      <w:r w:rsidRPr="00F81074">
        <w:t>è opportuno precisare</w:t>
      </w:r>
      <w:r w:rsidR="0067378F">
        <w:t xml:space="preserve"> -</w:t>
      </w:r>
      <w:r w:rsidRPr="00F81074">
        <w:t xml:space="preserve"> nella sempre tenuta ferma distinzione tra il concetto di concorrenza </w:t>
      </w:r>
      <w:r w:rsidR="0067378F">
        <w:t>“</w:t>
      </w:r>
      <w:r w:rsidRPr="00F81074">
        <w:t>nel</w:t>
      </w:r>
      <w:r w:rsidR="0067378F">
        <w:t>”</w:t>
      </w:r>
      <w:r w:rsidRPr="00F81074">
        <w:t xml:space="preserve"> mercato e quello, più circoscritto, di concorrenza </w:t>
      </w:r>
      <w:r w:rsidR="0067378F">
        <w:t>“</w:t>
      </w:r>
      <w:r w:rsidRPr="00F81074">
        <w:t>per</w:t>
      </w:r>
      <w:r w:rsidR="0067378F">
        <w:t>”</w:t>
      </w:r>
      <w:r w:rsidRPr="00F81074">
        <w:t xml:space="preserve"> il mercato.</w:t>
      </w:r>
    </w:p>
    <w:p w14:paraId="53BD79F6" w14:textId="77777777" w:rsidR="002C0CAC" w:rsidRPr="00F81074" w:rsidRDefault="002C0CAC" w:rsidP="00E57A6F">
      <w:pPr>
        <w:jc w:val="both"/>
      </w:pPr>
    </w:p>
    <w:p w14:paraId="68853EDC" w14:textId="65D6E1DD" w:rsidR="00F86F0F" w:rsidRPr="00F81074" w:rsidRDefault="00F86F0F" w:rsidP="00E57A6F">
      <w:pPr>
        <w:jc w:val="both"/>
      </w:pPr>
      <w:r w:rsidRPr="00F81074">
        <w:t>Lo “spirito” comunitario avrebbe richiesto di privilegiare la concorrenza nella sua accezione più piena di concorrenza “nel” mercato, intesa come libertà di azione di una pluralità di operatori in competizione tra loro nel settore economico di riferimento, piuttosto che la concorrenza “per” il mercato, concretizzantesi nell’insieme delle procedure selettive di scelta del soggetto affidatario</w:t>
      </w:r>
      <w:r w:rsidRPr="00F81074">
        <w:rPr>
          <w:rStyle w:val="Rimandonotaapidipagina"/>
        </w:rPr>
        <w:footnoteReference w:id="18"/>
      </w:r>
      <w:r w:rsidRPr="00F81074">
        <w:t xml:space="preserve">. </w:t>
      </w:r>
    </w:p>
    <w:p w14:paraId="76F2955B" w14:textId="77777777" w:rsidR="00F86F0F" w:rsidRPr="00F81074" w:rsidRDefault="00F86F0F" w:rsidP="00E57A6F">
      <w:pPr>
        <w:jc w:val="both"/>
      </w:pPr>
    </w:p>
    <w:p w14:paraId="0F59F0EC" w14:textId="6D09D8F1" w:rsidR="00F86F0F" w:rsidRPr="00F81074" w:rsidRDefault="00F86F0F" w:rsidP="00E57A6F">
      <w:pPr>
        <w:jc w:val="both"/>
      </w:pPr>
      <w:r w:rsidRPr="00F81074">
        <w:t xml:space="preserve">Le condizioni di concorrenza “nel” mercato, tuttavia, non sono perseguibili nei settori caratterizzati dalla presenza dei problemi connessi ai monopoli naturali </w:t>
      </w:r>
      <w:r w:rsidR="0067378F">
        <w:t xml:space="preserve">che </w:t>
      </w:r>
      <w:r w:rsidRPr="00F81074">
        <w:t xml:space="preserve">non </w:t>
      </w:r>
      <w:r w:rsidR="0067378F">
        <w:t xml:space="preserve">siano </w:t>
      </w:r>
      <w:r w:rsidRPr="00F81074">
        <w:t xml:space="preserve">risolvibili </w:t>
      </w:r>
      <w:r w:rsidR="00F87B17">
        <w:t xml:space="preserve">neppure </w:t>
      </w:r>
      <w:r w:rsidRPr="00F81074">
        <w:t xml:space="preserve">con il ricorso alla tecnica della “separazione verticale” dell’attività </w:t>
      </w:r>
      <w:r w:rsidR="00F87B17">
        <w:t>affidata</w:t>
      </w:r>
      <w:r w:rsidRPr="00F81074">
        <w:rPr>
          <w:rStyle w:val="Rimandonotaapidipagina"/>
        </w:rPr>
        <w:footnoteReference w:id="19"/>
      </w:r>
      <w:r w:rsidRPr="00F81074">
        <w:t xml:space="preserve">. </w:t>
      </w:r>
    </w:p>
    <w:p w14:paraId="62917067" w14:textId="77777777" w:rsidR="00F86F0F" w:rsidRPr="00F81074" w:rsidRDefault="00F86F0F" w:rsidP="00E57A6F">
      <w:pPr>
        <w:jc w:val="both"/>
      </w:pPr>
    </w:p>
    <w:p w14:paraId="7F137C9B" w14:textId="583DA573" w:rsidR="00F86F0F" w:rsidRPr="00F81074" w:rsidRDefault="00F86F0F" w:rsidP="00E57A6F">
      <w:pPr>
        <w:jc w:val="both"/>
      </w:pPr>
      <w:r w:rsidRPr="00F81074">
        <w:t>In tali casi, la concorrenza “per” il mercato</w:t>
      </w:r>
      <w:r w:rsidR="00545EE6" w:rsidRPr="00F81074">
        <w:rPr>
          <w:rStyle w:val="Rimandonotaapidipagina"/>
        </w:rPr>
        <w:footnoteReference w:id="20"/>
      </w:r>
      <w:r w:rsidRPr="00F81074">
        <w:t xml:space="preserve"> consente </w:t>
      </w:r>
      <w:r w:rsidR="00545EE6" w:rsidRPr="00F81074">
        <w:t xml:space="preserve">di traslare il momento del confronto competitivo dalla fase operativa a quella propositiva del mercato e </w:t>
      </w:r>
      <w:r w:rsidRPr="00F81074">
        <w:t xml:space="preserve">di collocare la competizione tra le imprese </w:t>
      </w:r>
      <w:r w:rsidR="00545EE6" w:rsidRPr="00F81074">
        <w:t xml:space="preserve">quanto meno </w:t>
      </w:r>
      <w:r w:rsidRPr="00F81074">
        <w:t xml:space="preserve">nella fase prodromica </w:t>
      </w:r>
      <w:r w:rsidR="00545EE6" w:rsidRPr="00F81074">
        <w:t xml:space="preserve">dell’acquisizione del diritto a condurre il servizio, sostituendo la concorrenza </w:t>
      </w:r>
      <w:r w:rsidR="00545EE6" w:rsidRPr="00F81074">
        <w:rPr>
          <w:i/>
          <w:iCs/>
        </w:rPr>
        <w:t>ex post</w:t>
      </w:r>
      <w:r w:rsidR="00545EE6" w:rsidRPr="00F81074">
        <w:t xml:space="preserve"> con </w:t>
      </w:r>
      <w:r w:rsidR="0067378F">
        <w:t>la</w:t>
      </w:r>
      <w:r w:rsidR="00545EE6" w:rsidRPr="00F81074">
        <w:t xml:space="preserve"> concorrenza </w:t>
      </w:r>
      <w:r w:rsidR="00545EE6" w:rsidRPr="00F81074">
        <w:rPr>
          <w:i/>
          <w:iCs/>
        </w:rPr>
        <w:t>ex ante</w:t>
      </w:r>
      <w:r w:rsidR="00545EE6" w:rsidRPr="00F81074">
        <w:rPr>
          <w:rStyle w:val="Rimandonotaapidipagina"/>
          <w:i/>
          <w:iCs/>
        </w:rPr>
        <w:footnoteReference w:id="21"/>
      </w:r>
      <w:r w:rsidR="00545EE6" w:rsidRPr="00F81074">
        <w:t>.</w:t>
      </w:r>
    </w:p>
    <w:p w14:paraId="7B845F08" w14:textId="18BEBDD4" w:rsidR="00F86F0F" w:rsidRPr="00F81074" w:rsidRDefault="00F86F0F" w:rsidP="00E57A6F">
      <w:pPr>
        <w:jc w:val="both"/>
      </w:pPr>
      <w:r w:rsidRPr="00F81074">
        <w:t xml:space="preserve"> </w:t>
      </w:r>
    </w:p>
    <w:p w14:paraId="006AFE80" w14:textId="4E51DE9D" w:rsidR="0065308C" w:rsidRPr="00F81074" w:rsidRDefault="00193E94" w:rsidP="00E57A6F">
      <w:pPr>
        <w:jc w:val="both"/>
      </w:pPr>
      <w:r w:rsidRPr="00F81074">
        <w:t>Fatte tali necessarie permesse, è da sottolinearsi come, n</w:t>
      </w:r>
      <w:r w:rsidR="002C0CAC" w:rsidRPr="00F81074">
        <w:t>ell’attuale contesto</w:t>
      </w:r>
      <w:r w:rsidRPr="00F81074">
        <w:t xml:space="preserve"> normativo, </w:t>
      </w:r>
      <w:r w:rsidR="002C0CAC" w:rsidRPr="00F81074">
        <w:t>l</w:t>
      </w:r>
      <w:r w:rsidR="00E57A6F" w:rsidRPr="00F81074">
        <w:t xml:space="preserve">a concorrenza tra gli operatori economici non </w:t>
      </w:r>
      <w:r w:rsidRPr="00F81074">
        <w:t>sia</w:t>
      </w:r>
      <w:r w:rsidR="00E57A6F" w:rsidRPr="00F81074">
        <w:t xml:space="preserve"> più </w:t>
      </w:r>
      <w:r w:rsidRPr="00F81074">
        <w:t>concepita</w:t>
      </w:r>
      <w:r w:rsidR="00E57A6F" w:rsidRPr="00F81074">
        <w:t xml:space="preserve"> come </w:t>
      </w:r>
      <w:r w:rsidR="002C0CAC" w:rsidRPr="00F81074">
        <w:t>il</w:t>
      </w:r>
      <w:r w:rsidR="00E57A6F" w:rsidRPr="00F81074">
        <w:t xml:space="preserve"> fine </w:t>
      </w:r>
      <w:r w:rsidR="005326BF" w:rsidRPr="00F81074">
        <w:t>dell’</w:t>
      </w:r>
      <w:proofErr w:type="spellStart"/>
      <w:r w:rsidR="005326BF" w:rsidRPr="00F81074">
        <w:rPr>
          <w:i/>
          <w:iCs/>
        </w:rPr>
        <w:t>agere</w:t>
      </w:r>
      <w:proofErr w:type="spellEnd"/>
      <w:r w:rsidR="005326BF" w:rsidRPr="00F81074">
        <w:t xml:space="preserve"> amministrativo </w:t>
      </w:r>
      <w:r w:rsidR="00E57A6F" w:rsidRPr="00F81074">
        <w:t>ma come uno strumento</w:t>
      </w:r>
      <w:r w:rsidR="005326BF" w:rsidRPr="00F81074">
        <w:t xml:space="preserve"> </w:t>
      </w:r>
      <w:r w:rsidR="00E57A6F" w:rsidRPr="00F81074">
        <w:t>direzionato al perseguimento del risultato</w:t>
      </w:r>
      <w:bookmarkStart w:id="1" w:name="_Hlk212192436"/>
      <w:r w:rsidR="00137579" w:rsidRPr="00F81074">
        <w:rPr>
          <w:rStyle w:val="Rimandonotaapidipagina"/>
        </w:rPr>
        <w:footnoteReference w:id="22"/>
      </w:r>
      <w:r w:rsidR="0065308C" w:rsidRPr="00F81074">
        <w:t>.</w:t>
      </w:r>
    </w:p>
    <w:p w14:paraId="3BAB24B8" w14:textId="77777777" w:rsidR="0065308C" w:rsidRPr="00F81074" w:rsidRDefault="0065308C" w:rsidP="00E57A6F">
      <w:pPr>
        <w:jc w:val="both"/>
      </w:pPr>
    </w:p>
    <w:bookmarkEnd w:id="1"/>
    <w:p w14:paraId="1222CAA7" w14:textId="17C1F649" w:rsidR="00E57A6F" w:rsidRPr="00F81074" w:rsidRDefault="00E57A6F" w:rsidP="00E57A6F">
      <w:pPr>
        <w:jc w:val="both"/>
      </w:pPr>
      <w:r w:rsidRPr="00F81074">
        <w:t>“</w:t>
      </w:r>
      <w:r w:rsidRPr="00F81074">
        <w:rPr>
          <w:i/>
          <w:iCs/>
        </w:rPr>
        <w:t>Ciò non significa, naturalmente, che la tutela della concorrenza e del mercato possa essere trascurata o non debba essere adeguatamente perseguita. Il “formalismo” delle procedure di gara, infatti, si impone e prevale ogni qual volta sia in discussione la partecipazione delle imprese del settore ad armi pari al concorso per conseguire le commesse pubbliche</w:t>
      </w:r>
      <w:r w:rsidRPr="00F81074">
        <w:t>”</w:t>
      </w:r>
      <w:r w:rsidR="00692962" w:rsidRPr="00F81074">
        <w:rPr>
          <w:rStyle w:val="Rimandonotaapidipagina"/>
        </w:rPr>
        <w:footnoteReference w:id="23"/>
      </w:r>
      <w:r w:rsidR="002C0CAC" w:rsidRPr="00F81074">
        <w:t>.</w:t>
      </w:r>
    </w:p>
    <w:p w14:paraId="0E18FFA7" w14:textId="77777777" w:rsidR="0065308C" w:rsidRPr="00F81074" w:rsidRDefault="0065308C" w:rsidP="00E57A6F">
      <w:pPr>
        <w:jc w:val="both"/>
      </w:pPr>
    </w:p>
    <w:p w14:paraId="4628FCF9" w14:textId="7208391F" w:rsidR="00370672" w:rsidRPr="00F81074" w:rsidRDefault="00E57A6F" w:rsidP="00E57A6F">
      <w:pPr>
        <w:jc w:val="both"/>
      </w:pPr>
      <w:r w:rsidRPr="00F81074">
        <w:t xml:space="preserve">Se l’obiettivo primario diventa </w:t>
      </w:r>
      <w:r w:rsidR="005326BF" w:rsidRPr="00F81074">
        <w:t>il</w:t>
      </w:r>
      <w:r w:rsidRPr="00F81074">
        <w:t xml:space="preserve"> risultato finale, le Amministrazioni dovranno individuare caso per caso il </w:t>
      </w:r>
      <w:r w:rsidR="005326BF" w:rsidRPr="00F81074">
        <w:t xml:space="preserve">migliore </w:t>
      </w:r>
      <w:r w:rsidRPr="00F81074">
        <w:rPr>
          <w:i/>
          <w:iCs/>
        </w:rPr>
        <w:t xml:space="preserve">modus </w:t>
      </w:r>
      <w:proofErr w:type="spellStart"/>
      <w:r w:rsidRPr="00F81074">
        <w:rPr>
          <w:i/>
          <w:iCs/>
        </w:rPr>
        <w:t>procedendi</w:t>
      </w:r>
      <w:proofErr w:type="spellEnd"/>
      <w:r w:rsidRPr="00F81074">
        <w:t xml:space="preserve"> </w:t>
      </w:r>
      <w:r w:rsidR="005326BF" w:rsidRPr="00F81074">
        <w:t xml:space="preserve">e questo non necessariamente </w:t>
      </w:r>
      <w:r w:rsidRPr="00F81074">
        <w:t>coincide</w:t>
      </w:r>
      <w:r w:rsidR="005326BF" w:rsidRPr="00F81074">
        <w:t>rà, in base alla regola del caso concreto,</w:t>
      </w:r>
      <w:r w:rsidRPr="00F81074">
        <w:t xml:space="preserve"> con lo svolgimento di una gara pubblica</w:t>
      </w:r>
      <w:r w:rsidR="006708F9" w:rsidRPr="00F81074">
        <w:rPr>
          <w:rStyle w:val="Rimandonotaapidipagina"/>
        </w:rPr>
        <w:footnoteReference w:id="24"/>
      </w:r>
      <w:r w:rsidR="005326BF" w:rsidRPr="00F81074">
        <w:t>.</w:t>
      </w:r>
    </w:p>
    <w:p w14:paraId="4CE3BAF8" w14:textId="77777777" w:rsidR="00370672" w:rsidRPr="00F81074" w:rsidRDefault="00370672" w:rsidP="00E57A6F">
      <w:pPr>
        <w:jc w:val="both"/>
      </w:pPr>
    </w:p>
    <w:p w14:paraId="1BC8D64F" w14:textId="6BD28449" w:rsidR="00E57A6F" w:rsidRPr="00F81074" w:rsidRDefault="00370672" w:rsidP="00E57A6F">
      <w:pPr>
        <w:jc w:val="both"/>
      </w:pPr>
      <w:r w:rsidRPr="00F81074">
        <w:t>La</w:t>
      </w:r>
      <w:r w:rsidR="00E57A6F" w:rsidRPr="00F81074">
        <w:t xml:space="preserve"> regola</w:t>
      </w:r>
      <w:r w:rsidRPr="00F81074">
        <w:t xml:space="preserve"> individuata per il caso concreto</w:t>
      </w:r>
      <w:r w:rsidR="00E57A6F" w:rsidRPr="00F81074">
        <w:t xml:space="preserve">, purché non </w:t>
      </w:r>
      <w:r w:rsidRPr="00F81074">
        <w:t>costituisca</w:t>
      </w:r>
      <w:r w:rsidR="00E57A6F" w:rsidRPr="00F81074">
        <w:t xml:space="preserve"> l’esito di una scelta irragionevole, </w:t>
      </w:r>
      <w:r w:rsidR="005326BF" w:rsidRPr="00F81074">
        <w:t xml:space="preserve">sarà </w:t>
      </w:r>
      <w:r w:rsidR="00E57A6F" w:rsidRPr="00F81074">
        <w:t xml:space="preserve">il parametro di verifica cui </w:t>
      </w:r>
      <w:r w:rsidRPr="00F81074">
        <w:t>dovrà</w:t>
      </w:r>
      <w:r w:rsidR="00E57A6F" w:rsidRPr="00F81074">
        <w:t xml:space="preserve"> attenersi </w:t>
      </w:r>
      <w:r w:rsidRPr="00F81074">
        <w:t>l’organo</w:t>
      </w:r>
      <w:r w:rsidR="00E57A6F" w:rsidRPr="00F81074">
        <w:t xml:space="preserve"> giurisdizional</w:t>
      </w:r>
      <w:r w:rsidRPr="00F81074">
        <w:t>e</w:t>
      </w:r>
      <w:r w:rsidR="004407B4" w:rsidRPr="00F81074">
        <w:rPr>
          <w:rStyle w:val="Rimandonotaapidipagina"/>
        </w:rPr>
        <w:footnoteReference w:id="25"/>
      </w:r>
      <w:r w:rsidR="00E57A6F" w:rsidRPr="00F81074">
        <w:t>.</w:t>
      </w:r>
    </w:p>
    <w:p w14:paraId="165FE90B" w14:textId="77777777" w:rsidR="00E57A6F" w:rsidRPr="00F81074" w:rsidRDefault="00E57A6F" w:rsidP="00E57A6F">
      <w:pPr>
        <w:jc w:val="both"/>
      </w:pPr>
    </w:p>
    <w:p w14:paraId="53728120" w14:textId="33000D9B" w:rsidR="00E57A6F" w:rsidRPr="00F81074" w:rsidRDefault="00E57A6F" w:rsidP="00E57A6F">
      <w:pPr>
        <w:jc w:val="both"/>
        <w:rPr>
          <w:i/>
          <w:iCs/>
        </w:rPr>
      </w:pPr>
      <w:r w:rsidRPr="00F81074">
        <w:t>“</w:t>
      </w:r>
      <w:r w:rsidRPr="00F81074">
        <w:rPr>
          <w:i/>
          <w:iCs/>
        </w:rPr>
        <w:t>Il richiamo alla nozione di risultato integra i parametri di legittimità dell’azione amministrativa con riguardo ad una categoria che implica verifiche sostanziali e non formali, di effettività del raggiungimento degli obiettivi (di merito, e di metodo) oltre che di astratta conformità al paradigma normativo</w:t>
      </w:r>
      <w:r w:rsidRPr="00F81074">
        <w:t>”</w:t>
      </w:r>
      <w:r w:rsidR="0099107F" w:rsidRPr="00F81074">
        <w:rPr>
          <w:rStyle w:val="Rimandonotaapidipagina"/>
        </w:rPr>
        <w:footnoteReference w:id="26"/>
      </w:r>
      <w:r w:rsidR="0099107F" w:rsidRPr="00F81074">
        <w:t>.</w:t>
      </w:r>
    </w:p>
    <w:p w14:paraId="2275731D" w14:textId="77777777" w:rsidR="002E1AA6" w:rsidRPr="00F81074" w:rsidRDefault="002E1AA6" w:rsidP="00E57A6F">
      <w:pPr>
        <w:jc w:val="both"/>
      </w:pPr>
    </w:p>
    <w:p w14:paraId="5B88E825" w14:textId="26CE8179" w:rsidR="00E57A6F" w:rsidRPr="00F81074" w:rsidRDefault="00E57A6F" w:rsidP="00E57A6F">
      <w:pPr>
        <w:jc w:val="both"/>
      </w:pPr>
      <w:r w:rsidRPr="00F81074">
        <w:t>L’eventuale abuso</w:t>
      </w:r>
      <w:r w:rsidR="00370672" w:rsidRPr="00F81074">
        <w:t>, da parte dell’Amministrazione,</w:t>
      </w:r>
      <w:r w:rsidRPr="00F81074">
        <w:t xml:space="preserve"> del principio del risultato </w:t>
      </w:r>
      <w:r w:rsidR="005326BF" w:rsidRPr="00F81074">
        <w:t>integrerà gli estremi di</w:t>
      </w:r>
      <w:r w:rsidRPr="00F81074">
        <w:t xml:space="preserve"> un esercizio non corretto della discrezionalità </w:t>
      </w:r>
      <w:r w:rsidR="005326BF" w:rsidRPr="00F81074">
        <w:t>in quanto</w:t>
      </w:r>
      <w:r w:rsidRPr="00F81074">
        <w:t xml:space="preserve"> scelta non ragionevole ed elusiva del dettato normativo.</w:t>
      </w:r>
    </w:p>
    <w:p w14:paraId="0AABDA2D" w14:textId="77777777" w:rsidR="002E1AA6" w:rsidRPr="00F81074" w:rsidRDefault="002E1AA6" w:rsidP="00E57A6F">
      <w:pPr>
        <w:jc w:val="both"/>
      </w:pPr>
    </w:p>
    <w:p w14:paraId="3595F450" w14:textId="05E94772" w:rsidR="00E57A6F" w:rsidRPr="00F81074" w:rsidRDefault="00E57A6F" w:rsidP="00E57A6F">
      <w:pPr>
        <w:jc w:val="both"/>
      </w:pPr>
      <w:r w:rsidRPr="00F81074">
        <w:t>Se esiste infatti il rischio che la sottovalutazione del principio del risultato possa dar luogo a decisioni che giudichino invalido un provvedimento amministrativo solo per violazioni che non avrebbero dovuto assumere un rilievo viziante se il principio fosse stato correttamente applicato, esiste anche il rischio</w:t>
      </w:r>
      <w:r w:rsidR="00E94526">
        <w:t xml:space="preserve"> </w:t>
      </w:r>
      <w:r w:rsidRPr="00F81074">
        <w:t>opposto</w:t>
      </w:r>
      <w:r w:rsidR="0053175F">
        <w:t>,</w:t>
      </w:r>
      <w:r w:rsidRPr="00F81074">
        <w:t xml:space="preserve"> </w:t>
      </w:r>
      <w:r w:rsidR="0053175F">
        <w:t>ovvero</w:t>
      </w:r>
      <w:r w:rsidR="0053175F">
        <w:t xml:space="preserve"> </w:t>
      </w:r>
      <w:r w:rsidRPr="00F81074">
        <w:t>che un troppo drastico uso della logica del risultato possa appiattire il sindacato giurisdizionale sulle scelte fatte dall’</w:t>
      </w:r>
      <w:r w:rsidR="00193E94" w:rsidRPr="00F81074">
        <w:t>A</w:t>
      </w:r>
      <w:r w:rsidRPr="00F81074">
        <w:t>mministrazione.</w:t>
      </w:r>
    </w:p>
    <w:p w14:paraId="21DAD0D9" w14:textId="77777777" w:rsidR="005326BF" w:rsidRPr="00F81074" w:rsidRDefault="005326BF" w:rsidP="00E57A6F">
      <w:pPr>
        <w:jc w:val="both"/>
      </w:pPr>
    </w:p>
    <w:p w14:paraId="54CA69F7" w14:textId="1BC2C498" w:rsidR="00E57A6F" w:rsidRPr="00F81074" w:rsidRDefault="00E57A6F" w:rsidP="00E57A6F">
      <w:pPr>
        <w:jc w:val="both"/>
      </w:pPr>
      <w:r w:rsidRPr="00F81074">
        <w:t xml:space="preserve">Per evitare </w:t>
      </w:r>
      <w:r w:rsidR="0053175F">
        <w:t>tale</w:t>
      </w:r>
      <w:r w:rsidRPr="00F81074">
        <w:t xml:space="preserve"> rischio, il </w:t>
      </w:r>
      <w:r w:rsidR="00370672" w:rsidRPr="00F81074">
        <w:t>Giudice amministrativo</w:t>
      </w:r>
      <w:r w:rsidRPr="00F81074">
        <w:t xml:space="preserve"> dovrà utilizzare le categorie dell’eccesso di potere (</w:t>
      </w:r>
      <w:r w:rsidR="00193E94" w:rsidRPr="00F81074">
        <w:t>in particolare, l’ir</w:t>
      </w:r>
      <w:r w:rsidRPr="00F81074">
        <w:t>ragionevolezza,</w:t>
      </w:r>
      <w:r w:rsidR="00193E94" w:rsidRPr="00F81074">
        <w:t xml:space="preserve"> l’il</w:t>
      </w:r>
      <w:r w:rsidRPr="00F81074">
        <w:t xml:space="preserve">logicità e </w:t>
      </w:r>
      <w:r w:rsidR="00193E94" w:rsidRPr="00F81074">
        <w:t xml:space="preserve">il difetto di </w:t>
      </w:r>
      <w:r w:rsidRPr="00F81074">
        <w:t>proporzionalità</w:t>
      </w:r>
      <w:r w:rsidR="00193E94" w:rsidRPr="00F81074">
        <w:t>) e dovrà porre attenzione al</w:t>
      </w:r>
      <w:r w:rsidRPr="00F81074">
        <w:t xml:space="preserve"> corretto equilibrio con i principi di legalità e trasparenza.</w:t>
      </w:r>
    </w:p>
    <w:p w14:paraId="74501ED1" w14:textId="77777777" w:rsidR="00E57A6F" w:rsidRPr="00F81074" w:rsidRDefault="00E57A6F" w:rsidP="00E57A6F">
      <w:pPr>
        <w:jc w:val="both"/>
      </w:pPr>
    </w:p>
    <w:p w14:paraId="40BB1BF5" w14:textId="66454E09" w:rsidR="00E57A6F" w:rsidRPr="00F81074" w:rsidRDefault="00E57A6F" w:rsidP="00E57A6F">
      <w:pPr>
        <w:jc w:val="both"/>
      </w:pPr>
      <w:r w:rsidRPr="00F81074">
        <w:t>Diviene particolarmente rilevante il ruolo della motivazione</w:t>
      </w:r>
      <w:r w:rsidR="00F346CC" w:rsidRPr="00F81074">
        <w:t xml:space="preserve"> del provvedimento</w:t>
      </w:r>
      <w:r w:rsidRPr="00F81074">
        <w:t xml:space="preserve">, in quanto la </w:t>
      </w:r>
      <w:r w:rsidR="00370672" w:rsidRPr="00F81074">
        <w:t>Stazione appaltante</w:t>
      </w:r>
      <w:r w:rsidRPr="00F81074">
        <w:t xml:space="preserve"> dovrà </w:t>
      </w:r>
      <w:r w:rsidR="00F346CC" w:rsidRPr="00F81074">
        <w:t xml:space="preserve">esplicitare </w:t>
      </w:r>
      <w:r w:rsidRPr="00F81074">
        <w:t xml:space="preserve">gli elementi che manifestano le circostanze che la inducono a individuare il risultato secondo certi contenuti. </w:t>
      </w:r>
    </w:p>
    <w:p w14:paraId="202D0D2A" w14:textId="77777777" w:rsidR="005326BF" w:rsidRPr="00F81074" w:rsidRDefault="005326BF" w:rsidP="00E57A6F">
      <w:pPr>
        <w:jc w:val="both"/>
      </w:pPr>
    </w:p>
    <w:p w14:paraId="706BF802" w14:textId="7CAC15AF" w:rsidR="00E57A6F" w:rsidRPr="00F81074" w:rsidRDefault="00F346CC" w:rsidP="001A3466">
      <w:pPr>
        <w:jc w:val="both"/>
      </w:pPr>
      <w:r w:rsidRPr="00F81074">
        <w:t>In ogni caso, i</w:t>
      </w:r>
      <w:r w:rsidR="00E57A6F" w:rsidRPr="00F81074">
        <w:t>l Giudice, di fronte a scelte discrezionali della P</w:t>
      </w:r>
      <w:r w:rsidR="007250FA" w:rsidRPr="00F81074">
        <w:t xml:space="preserve">ubblica </w:t>
      </w:r>
      <w:r w:rsidR="00E57A6F" w:rsidRPr="00F81074">
        <w:t>A</w:t>
      </w:r>
      <w:r w:rsidR="007250FA" w:rsidRPr="00F81074">
        <w:t>mministrazione</w:t>
      </w:r>
      <w:r w:rsidR="00E57A6F" w:rsidRPr="00F81074">
        <w:t xml:space="preserve"> che presentino macroscopici vizi di legittimità non </w:t>
      </w:r>
      <w:r w:rsidR="005326BF" w:rsidRPr="00F81074">
        <w:t>dovrà</w:t>
      </w:r>
      <w:r w:rsidR="00E57A6F" w:rsidRPr="00F81074">
        <w:t xml:space="preserve"> arretrare l’area del </w:t>
      </w:r>
      <w:r w:rsidR="007250FA" w:rsidRPr="00F81074">
        <w:t>proprio</w:t>
      </w:r>
      <w:r w:rsidR="00E57A6F" w:rsidRPr="00F81074">
        <w:t xml:space="preserve"> scrutinio</w:t>
      </w:r>
      <w:r w:rsidR="00370672" w:rsidRPr="00F81074">
        <w:t>.</w:t>
      </w:r>
    </w:p>
    <w:p w14:paraId="45E0792F" w14:textId="77777777" w:rsidR="00115270" w:rsidRPr="00F81074" w:rsidRDefault="00115270" w:rsidP="005D787B">
      <w:pPr>
        <w:jc w:val="both"/>
      </w:pPr>
    </w:p>
    <w:p w14:paraId="14767741" w14:textId="7873EDDE" w:rsidR="00115270" w:rsidRPr="00F81074" w:rsidRDefault="00CD7A81" w:rsidP="005D787B">
      <w:pPr>
        <w:jc w:val="both"/>
        <w:rPr>
          <w:b/>
          <w:bCs/>
        </w:rPr>
      </w:pPr>
      <w:r>
        <w:rPr>
          <w:b/>
          <w:bCs/>
        </w:rPr>
        <w:lastRenderedPageBreak/>
        <w:t>3</w:t>
      </w:r>
      <w:r w:rsidR="00110992" w:rsidRPr="00F81074">
        <w:rPr>
          <w:b/>
          <w:bCs/>
        </w:rPr>
        <w:t xml:space="preserve">. </w:t>
      </w:r>
      <w:r w:rsidR="00115270" w:rsidRPr="00F81074">
        <w:rPr>
          <w:b/>
          <w:bCs/>
        </w:rPr>
        <w:t xml:space="preserve">Partenariato pubblico privato </w:t>
      </w:r>
      <w:r>
        <w:rPr>
          <w:b/>
          <w:bCs/>
        </w:rPr>
        <w:t xml:space="preserve">contrattuale </w:t>
      </w:r>
      <w:r w:rsidR="00115270" w:rsidRPr="00F81074">
        <w:rPr>
          <w:b/>
          <w:bCs/>
        </w:rPr>
        <w:t>e concessione</w:t>
      </w:r>
    </w:p>
    <w:p w14:paraId="19CCDE26" w14:textId="77777777" w:rsidR="00115270" w:rsidRPr="00F81074" w:rsidRDefault="00115270" w:rsidP="005D787B">
      <w:pPr>
        <w:jc w:val="both"/>
      </w:pPr>
    </w:p>
    <w:p w14:paraId="3ACE6F6C" w14:textId="548F6549" w:rsidR="005326BF" w:rsidRPr="00F81074" w:rsidRDefault="00CE3D91" w:rsidP="005326BF">
      <w:pPr>
        <w:jc w:val="both"/>
      </w:pPr>
      <w:r w:rsidRPr="00F81074">
        <w:t>Nell’ambito come sopra definito, l</w:t>
      </w:r>
      <w:r w:rsidR="004D1DE9" w:rsidRPr="00F81074">
        <w:t xml:space="preserve">a </w:t>
      </w:r>
      <w:r w:rsidR="004D1DE9" w:rsidRPr="00F81074">
        <w:rPr>
          <w:color w:val="000000" w:themeColor="text1"/>
        </w:rPr>
        <w:t>concessione</w:t>
      </w:r>
      <w:r w:rsidR="004D1DE9" w:rsidRPr="00F81074">
        <w:t xml:space="preserve"> </w:t>
      </w:r>
      <w:r w:rsidRPr="00F81074">
        <w:t>è divenuta</w:t>
      </w:r>
      <w:r w:rsidR="004D1DE9" w:rsidRPr="00F81074">
        <w:t xml:space="preserve"> il contratto tipo</w:t>
      </w:r>
      <w:r w:rsidR="005326BF" w:rsidRPr="00F81074">
        <w:t xml:space="preserve"> </w:t>
      </w:r>
      <w:r w:rsidR="00E94526" w:rsidRPr="00E94526">
        <w:t>mentre la tipologia di finanziamento dell'operazione che con essa si attua non incide sulle sue caratteristiche</w:t>
      </w:r>
      <w:r w:rsidR="005326BF" w:rsidRPr="00F81074">
        <w:t xml:space="preserve">: il contratto di concessione può essere finanziato </w:t>
      </w:r>
      <w:r w:rsidR="006D41F2" w:rsidRPr="00F81074">
        <w:t>anche</w:t>
      </w:r>
      <w:r w:rsidR="005326BF" w:rsidRPr="00F81074">
        <w:t xml:space="preserve"> in </w:t>
      </w:r>
      <w:bookmarkStart w:id="2" w:name="_Hlk213857149"/>
      <w:r w:rsidR="005326BF" w:rsidRPr="00F81074">
        <w:rPr>
          <w:i/>
          <w:iCs/>
        </w:rPr>
        <w:t>project financing</w:t>
      </w:r>
      <w:bookmarkEnd w:id="2"/>
      <w:r w:rsidR="00F474F8" w:rsidRPr="00F81074">
        <w:rPr>
          <w:rStyle w:val="Rimandonotaapidipagina"/>
          <w:i/>
          <w:iCs/>
        </w:rPr>
        <w:footnoteReference w:id="27"/>
      </w:r>
      <w:r w:rsidR="005326BF" w:rsidRPr="00F81074">
        <w:t>.</w:t>
      </w:r>
    </w:p>
    <w:p w14:paraId="6BD2B61A" w14:textId="1C95473F" w:rsidR="005326BF" w:rsidRDefault="005326BF" w:rsidP="005D787B">
      <w:pPr>
        <w:jc w:val="both"/>
      </w:pPr>
    </w:p>
    <w:p w14:paraId="60427DD2" w14:textId="2ED38896" w:rsidR="001539A6" w:rsidRDefault="001539A6" w:rsidP="005D787B">
      <w:pPr>
        <w:jc w:val="both"/>
      </w:pPr>
      <w:r>
        <w:t xml:space="preserve">La dottrina ha sottolineato come il nuovo Codice dei contratti pubblici, abbia, così impostando il rapporto tra concessione e finanza di progetto, implicitamente definito il </w:t>
      </w:r>
      <w:r w:rsidRPr="001539A6">
        <w:rPr>
          <w:i/>
          <w:iCs/>
        </w:rPr>
        <w:t>project financing</w:t>
      </w:r>
      <w:r>
        <w:rPr>
          <w:i/>
          <w:iCs/>
        </w:rPr>
        <w:t xml:space="preserve"> </w:t>
      </w:r>
      <w:r w:rsidRPr="001539A6">
        <w:t>non più come autonomo tipo contrattuale</w:t>
      </w:r>
      <w:r>
        <w:t>, ma come specifica modalità di finanziamento</w:t>
      </w:r>
      <w:r w:rsidR="008D7B73">
        <w:t xml:space="preserve"> di talune tipologie di partenariato pubblico privato</w:t>
      </w:r>
      <w:r w:rsidR="008D7B73">
        <w:rPr>
          <w:rStyle w:val="Rimandonotaapidipagina"/>
        </w:rPr>
        <w:footnoteReference w:id="28"/>
      </w:r>
      <w:r w:rsidR="008D7B73">
        <w:t xml:space="preserve">. </w:t>
      </w:r>
    </w:p>
    <w:p w14:paraId="3EA9EA10" w14:textId="77777777" w:rsidR="008D7B73" w:rsidRPr="001539A6" w:rsidRDefault="008D7B73" w:rsidP="005D787B">
      <w:pPr>
        <w:jc w:val="both"/>
      </w:pPr>
    </w:p>
    <w:p w14:paraId="7500F68E" w14:textId="30C900D9" w:rsidR="004D1DE9" w:rsidRPr="00F81074" w:rsidRDefault="008D7B73" w:rsidP="005D787B">
      <w:pPr>
        <w:jc w:val="both"/>
      </w:pPr>
      <w:r>
        <w:t>Quanto sopra posto, l</w:t>
      </w:r>
      <w:r w:rsidR="005326BF" w:rsidRPr="00F81074">
        <w:t>a</w:t>
      </w:r>
      <w:r w:rsidR="004D1DE9" w:rsidRPr="00F81074">
        <w:t xml:space="preserve"> disciplina </w:t>
      </w:r>
      <w:r w:rsidR="005326BF" w:rsidRPr="00F81074">
        <w:t xml:space="preserve">della concessione </w:t>
      </w:r>
      <w:r w:rsidR="004D1DE9" w:rsidRPr="00F81074">
        <w:t xml:space="preserve">costituisce la normativa generale di tutte le figure </w:t>
      </w:r>
      <w:r w:rsidR="00F87B17">
        <w:t xml:space="preserve">di partenariato </w:t>
      </w:r>
      <w:r w:rsidR="004D1DE9" w:rsidRPr="00F81074">
        <w:t>tipiche e atipiche</w:t>
      </w:r>
      <w:r w:rsidR="0067378F">
        <w:t xml:space="preserve">, </w:t>
      </w:r>
      <w:r w:rsidR="004D1DE9" w:rsidRPr="00F81074">
        <w:t>applicabile in mancanza di norma speciali.</w:t>
      </w:r>
    </w:p>
    <w:p w14:paraId="0B770FE7" w14:textId="77777777" w:rsidR="00F474F8" w:rsidRPr="00F81074" w:rsidRDefault="00F474F8" w:rsidP="005D787B">
      <w:pPr>
        <w:jc w:val="both"/>
      </w:pPr>
    </w:p>
    <w:p w14:paraId="13CEE081" w14:textId="539231B4" w:rsidR="001915CF" w:rsidRPr="00F81074" w:rsidRDefault="001915CF" w:rsidP="001915CF">
      <w:pPr>
        <w:jc w:val="both"/>
      </w:pPr>
      <w:r w:rsidRPr="00F81074">
        <w:t xml:space="preserve">La regolazione del rischio operativo ha assunto, come si vedrà meglio </w:t>
      </w:r>
      <w:r w:rsidRPr="00F81074">
        <w:rPr>
          <w:i/>
          <w:iCs/>
        </w:rPr>
        <w:t>infra</w:t>
      </w:r>
      <w:r w:rsidRPr="00F81074">
        <w:t>, un ruolo determinante nella definizione di</w:t>
      </w:r>
      <w:r w:rsidR="00F87B17">
        <w:t xml:space="preserve"> tali</w:t>
      </w:r>
      <w:r w:rsidRPr="00F81074">
        <w:t xml:space="preserve"> rapporti contrattuali.</w:t>
      </w:r>
    </w:p>
    <w:p w14:paraId="369F0CF6" w14:textId="77777777" w:rsidR="001915CF" w:rsidRPr="00F81074" w:rsidRDefault="001915CF" w:rsidP="001915CF">
      <w:pPr>
        <w:jc w:val="both"/>
      </w:pPr>
    </w:p>
    <w:p w14:paraId="71A9BD33" w14:textId="6CF60B7F" w:rsidR="00F474F8" w:rsidRPr="00F81074" w:rsidRDefault="00F474F8" w:rsidP="00F474F8">
      <w:pPr>
        <w:jc w:val="both"/>
      </w:pPr>
      <w:r w:rsidRPr="00F81074">
        <w:t>La concessione è</w:t>
      </w:r>
      <w:r w:rsidR="00F87B17">
        <w:t xml:space="preserve"> </w:t>
      </w:r>
      <w:r w:rsidRPr="00F81074">
        <w:t>peculiarmente connotata dal fatto che, a differenza di qua</w:t>
      </w:r>
      <w:r w:rsidR="001915CF" w:rsidRPr="00F81074">
        <w:t xml:space="preserve">nto accade nel contratto di appalto, </w:t>
      </w:r>
      <w:r w:rsidRPr="00F81074">
        <w:t>il rischio operativo deve ricadere sull’operatore economico</w:t>
      </w:r>
      <w:r w:rsidR="001915CF" w:rsidRPr="00F81074">
        <w:rPr>
          <w:vertAlign w:val="superscript"/>
        </w:rPr>
        <w:footnoteReference w:id="29"/>
      </w:r>
      <w:r w:rsidRPr="00F81074">
        <w:t>.</w:t>
      </w:r>
    </w:p>
    <w:p w14:paraId="14E99945" w14:textId="77777777" w:rsidR="001915CF" w:rsidRPr="00F81074" w:rsidRDefault="001915CF" w:rsidP="00F474F8">
      <w:pPr>
        <w:jc w:val="both"/>
      </w:pPr>
    </w:p>
    <w:p w14:paraId="17CC34C8" w14:textId="597933E0" w:rsidR="00F474F8" w:rsidRPr="00F81074" w:rsidRDefault="00F474F8" w:rsidP="00F474F8">
      <w:pPr>
        <w:jc w:val="both"/>
      </w:pPr>
      <w:r w:rsidRPr="00F81074">
        <w:lastRenderedPageBreak/>
        <w:t xml:space="preserve">L’ente concedente dovrà </w:t>
      </w:r>
      <w:r w:rsidR="001915CF" w:rsidRPr="00F81074">
        <w:t xml:space="preserve">pertanto </w:t>
      </w:r>
      <w:r w:rsidRPr="00F81074">
        <w:t>verificare, anche durante la fase di esecuzione del progetto di partenariato, che tale rischio non sia stato</w:t>
      </w:r>
      <w:r w:rsidR="001915CF" w:rsidRPr="00F81074">
        <w:t>,</w:t>
      </w:r>
      <w:r w:rsidRPr="00F81074">
        <w:t xml:space="preserve"> in qualche modo di fatto trasferito in capo all’Amministrazione.</w:t>
      </w:r>
    </w:p>
    <w:p w14:paraId="0E93A5DA" w14:textId="77777777" w:rsidR="00F474F8" w:rsidRPr="00F81074" w:rsidRDefault="00F474F8" w:rsidP="00F474F8">
      <w:pPr>
        <w:jc w:val="both"/>
        <w:rPr>
          <w:b/>
          <w:bCs/>
        </w:rPr>
      </w:pPr>
    </w:p>
    <w:p w14:paraId="5768DE33" w14:textId="614DADE3" w:rsidR="00F474F8" w:rsidRPr="00F81074" w:rsidRDefault="00F474F8" w:rsidP="00F474F8">
      <w:pPr>
        <w:jc w:val="both"/>
      </w:pPr>
      <w:r w:rsidRPr="00F81074">
        <w:t>La concessione</w:t>
      </w:r>
      <w:r w:rsidR="001915CF" w:rsidRPr="00F81074">
        <w:t xml:space="preserve"> e, più in generale, il partenariato pubblico privato</w:t>
      </w:r>
      <w:r w:rsidRPr="00F81074">
        <w:t xml:space="preserve"> </w:t>
      </w:r>
      <w:r w:rsidR="004D0056">
        <w:t xml:space="preserve">contrattuale </w:t>
      </w:r>
      <w:r w:rsidR="001915CF" w:rsidRPr="00F81074">
        <w:t xml:space="preserve">sono ritenuti </w:t>
      </w:r>
      <w:r w:rsidRPr="00F81074">
        <w:t>alternativ</w:t>
      </w:r>
      <w:r w:rsidR="001915CF" w:rsidRPr="00F81074">
        <w:t xml:space="preserve">i, oltre che all’appalto, anche </w:t>
      </w:r>
      <w:r w:rsidRPr="00F81074">
        <w:t xml:space="preserve">alla gestione </w:t>
      </w:r>
      <w:r w:rsidRPr="00F81074">
        <w:rPr>
          <w:i/>
          <w:iCs/>
        </w:rPr>
        <w:t>in house</w:t>
      </w:r>
      <w:r w:rsidRPr="00F81074">
        <w:rPr>
          <w:vertAlign w:val="superscript"/>
        </w:rPr>
        <w:footnoteReference w:id="30"/>
      </w:r>
      <w:r w:rsidR="00921254" w:rsidRPr="00F81074">
        <w:t>:</w:t>
      </w:r>
      <w:r w:rsidR="00921254" w:rsidRPr="00F81074">
        <w:rPr>
          <w:i/>
          <w:iCs/>
        </w:rPr>
        <w:t xml:space="preserve"> </w:t>
      </w:r>
      <w:r w:rsidR="001915CF" w:rsidRPr="00F81074">
        <w:t>n</w:t>
      </w:r>
      <w:r w:rsidRPr="00F81074">
        <w:t xml:space="preserve">elle ipotesi di monopolio naturale delle infrastrutture, il </w:t>
      </w:r>
      <w:r w:rsidR="001915CF" w:rsidRPr="00F81074">
        <w:t>partenariato pubblico privato</w:t>
      </w:r>
      <w:r w:rsidRPr="00F81074">
        <w:t xml:space="preserve"> </w:t>
      </w:r>
      <w:r w:rsidR="004D0056">
        <w:t>è divenuto,</w:t>
      </w:r>
      <w:r w:rsidRPr="00F81074">
        <w:t xml:space="preserve"> in molti casi</w:t>
      </w:r>
      <w:r w:rsidR="004D0056">
        <w:t>,</w:t>
      </w:r>
      <w:r w:rsidRPr="00F81074">
        <w:t xml:space="preserve"> una risposta alternativa al modello </w:t>
      </w:r>
      <w:r w:rsidRPr="00F81074">
        <w:rPr>
          <w:i/>
          <w:iCs/>
        </w:rPr>
        <w:t>in house</w:t>
      </w:r>
      <w:r w:rsidRPr="00F81074">
        <w:t xml:space="preserve">. </w:t>
      </w:r>
    </w:p>
    <w:p w14:paraId="6F872046" w14:textId="77777777" w:rsidR="001915CF" w:rsidRPr="00F81074" w:rsidRDefault="001915CF" w:rsidP="00F474F8">
      <w:pPr>
        <w:jc w:val="both"/>
      </w:pPr>
    </w:p>
    <w:p w14:paraId="7C2036C1" w14:textId="4F13B532" w:rsidR="00C40FA9" w:rsidRPr="00F81074" w:rsidRDefault="00C40FA9" w:rsidP="00C40FA9">
      <w:pPr>
        <w:jc w:val="both"/>
      </w:pPr>
      <w:r w:rsidRPr="00F81074">
        <w:t xml:space="preserve">Quanto sopra rivela interesse, dal punto di vista dell’esame dei percorsi evolutivi che hanno caratterizzato la materia degli affidamenti pubblici, anche e soprattutto nel reciproco rapporto tra gli istituti a tali affidamenti preordinati, in quanto il modello </w:t>
      </w:r>
      <w:r w:rsidRPr="00F81074">
        <w:rPr>
          <w:i/>
          <w:iCs/>
        </w:rPr>
        <w:t>in house</w:t>
      </w:r>
      <w:r w:rsidRPr="00F81074">
        <w:t xml:space="preserve"> nasce anch’esso, come la concessione, non tanto come alternativa a quest’ultima, quanto, piuttosto, quale opzione rispetto all’appalto.</w:t>
      </w:r>
    </w:p>
    <w:p w14:paraId="3864A41B" w14:textId="77777777" w:rsidR="00C40FA9" w:rsidRPr="00F81074" w:rsidRDefault="00C40FA9" w:rsidP="00C40FA9">
      <w:pPr>
        <w:jc w:val="both"/>
      </w:pPr>
    </w:p>
    <w:p w14:paraId="3CC31D1B" w14:textId="0ADA01A8" w:rsidR="00C40FA9" w:rsidRPr="00F81074" w:rsidRDefault="00C40FA9" w:rsidP="00C40FA9">
      <w:pPr>
        <w:jc w:val="both"/>
      </w:pPr>
      <w:r w:rsidRPr="00F81074">
        <w:t xml:space="preserve">Il </w:t>
      </w:r>
      <w:r w:rsidR="00F87B17" w:rsidRPr="00017FAA">
        <w:t>L</w:t>
      </w:r>
      <w:r w:rsidRPr="00017FAA">
        <w:t>ibro bianco adottato nel 1998 dall’Unione europea utilizzò per la prima volta proprio il termine “</w:t>
      </w:r>
      <w:r w:rsidRPr="00017FAA">
        <w:rPr>
          <w:i/>
          <w:iCs/>
        </w:rPr>
        <w:t>appalto in house</w:t>
      </w:r>
      <w:r w:rsidRPr="00017FAA">
        <w:t>”</w:t>
      </w:r>
      <w:r w:rsidRPr="00F81074">
        <w:t xml:space="preserve"> e lo fece con riferimento agli appalti “</w:t>
      </w:r>
      <w:r w:rsidRPr="00F81074">
        <w:rPr>
          <w:i/>
          <w:iCs/>
        </w:rPr>
        <w:t>aggiudicati all’interno della pubblica amministrazione, ad esempio tra amministrazione centrale e locale, o, ancora, tra un’amministrazione e una società da questa interamente controllata</w:t>
      </w:r>
      <w:r w:rsidRPr="00F81074">
        <w:t>”</w:t>
      </w:r>
      <w:r w:rsidR="00C5037B" w:rsidRPr="00F81074">
        <w:rPr>
          <w:rStyle w:val="Rimandonotaapidipagina"/>
        </w:rPr>
        <w:footnoteReference w:id="31"/>
      </w:r>
      <w:r w:rsidRPr="00F81074">
        <w:t>.</w:t>
      </w:r>
    </w:p>
    <w:p w14:paraId="2440722C" w14:textId="77777777" w:rsidR="00C40FA9" w:rsidRPr="00F81074" w:rsidRDefault="00C40FA9" w:rsidP="00C40FA9">
      <w:pPr>
        <w:jc w:val="both"/>
      </w:pPr>
    </w:p>
    <w:p w14:paraId="5768C1E6" w14:textId="11849C02" w:rsidR="00C40FA9" w:rsidRPr="00F81074" w:rsidRDefault="00C5037B" w:rsidP="00C40FA9">
      <w:pPr>
        <w:jc w:val="both"/>
      </w:pPr>
      <w:r w:rsidRPr="00F81074">
        <w:t>La</w:t>
      </w:r>
      <w:r w:rsidRPr="008A32F7">
        <w:t xml:space="preserve"> Corte</w:t>
      </w:r>
      <w:r w:rsidR="00F87B17">
        <w:t xml:space="preserve"> di Giustizia</w:t>
      </w:r>
      <w:r w:rsidRPr="008A32F7">
        <w:t xml:space="preserve"> europe</w:t>
      </w:r>
      <w:r w:rsidRPr="00F81074">
        <w:t xml:space="preserve">a ritenne </w:t>
      </w:r>
      <w:r w:rsidR="004D0056">
        <w:t xml:space="preserve">che </w:t>
      </w:r>
      <w:r w:rsidRPr="00F81074">
        <w:t xml:space="preserve">non vi fosse obbligo </w:t>
      </w:r>
      <w:r w:rsidRPr="008A32F7">
        <w:t xml:space="preserve">di gara </w:t>
      </w:r>
      <w:r w:rsidRPr="00F81074">
        <w:t xml:space="preserve">nelle ipotesi di affidamento </w:t>
      </w:r>
      <w:r w:rsidRPr="00F81074">
        <w:rPr>
          <w:i/>
          <w:iCs/>
        </w:rPr>
        <w:t>in house</w:t>
      </w:r>
      <w:r w:rsidRPr="00F81074">
        <w:t xml:space="preserve"> proprio in virtù dell’insussistenza di un</w:t>
      </w:r>
      <w:r w:rsidRPr="008A32F7">
        <w:t xml:space="preserve"> rapporto contrattuale tra ente </w:t>
      </w:r>
      <w:r w:rsidR="004D0056">
        <w:t>affidante</w:t>
      </w:r>
      <w:r w:rsidRPr="008A32F7">
        <w:t xml:space="preserve"> e soggetto affidatario</w:t>
      </w:r>
      <w:r w:rsidRPr="00F81074">
        <w:t>, quale elemento che, invece, caratterizzava (e caratterizza) l’appalto</w:t>
      </w:r>
      <w:r w:rsidR="00C40FA9" w:rsidRPr="00F81074">
        <w:rPr>
          <w:rStyle w:val="Rimandonotaapidipagina"/>
        </w:rPr>
        <w:footnoteReference w:id="32"/>
      </w:r>
      <w:r w:rsidR="00C40FA9" w:rsidRPr="00F81074">
        <w:t xml:space="preserve">. </w:t>
      </w:r>
    </w:p>
    <w:p w14:paraId="6274C891" w14:textId="72DF0BCC" w:rsidR="00C5037B" w:rsidRPr="00F81074" w:rsidRDefault="00C5037B" w:rsidP="00C40FA9">
      <w:pPr>
        <w:jc w:val="both"/>
      </w:pPr>
    </w:p>
    <w:p w14:paraId="02420E14" w14:textId="36E7CD17" w:rsidR="00C5037B" w:rsidRPr="00F81074" w:rsidRDefault="00C5037B" w:rsidP="00C40FA9">
      <w:pPr>
        <w:jc w:val="both"/>
      </w:pPr>
      <w:r w:rsidRPr="00F81074">
        <w:t>Fu così elaborato</w:t>
      </w:r>
      <w:r w:rsidR="004B79A6" w:rsidRPr="00F81074">
        <w:t>, con riferimento all’</w:t>
      </w:r>
      <w:r w:rsidR="004B79A6" w:rsidRPr="00F81074">
        <w:rPr>
          <w:i/>
          <w:iCs/>
        </w:rPr>
        <w:t>in house</w:t>
      </w:r>
      <w:r w:rsidR="004B79A6" w:rsidRPr="00F81074">
        <w:t>,</w:t>
      </w:r>
      <w:r w:rsidRPr="00F81074">
        <w:t xml:space="preserve"> il concetto di “controllo analogo” quale </w:t>
      </w:r>
      <w:r w:rsidR="004D0056">
        <w:t>fattore</w:t>
      </w:r>
      <w:r w:rsidRPr="00F81074">
        <w:t xml:space="preserve"> </w:t>
      </w:r>
      <w:r w:rsidR="004D0056">
        <w:t>peculiarmente connotante</w:t>
      </w:r>
      <w:r w:rsidRPr="00F81074">
        <w:t xml:space="preserve"> il rapporto tra ente affidante e soggetto affidatario assimilabile alla relazione di subordinazione gerarchica, in quanto laddove sussiste una posizione di rilevante controllo gestionale e finanziario del primo sul secondo, quest’ultimo non può essere ritenuto </w:t>
      </w:r>
      <w:r w:rsidR="004B79A6" w:rsidRPr="00F81074">
        <w:t>in posizione di terzietà</w:t>
      </w:r>
      <w:r w:rsidRPr="00F81074">
        <w:rPr>
          <w:rStyle w:val="Rimandonotaapidipagina"/>
        </w:rPr>
        <w:footnoteReference w:id="33"/>
      </w:r>
      <w:r w:rsidRPr="00F81074">
        <w:t xml:space="preserve">. </w:t>
      </w:r>
    </w:p>
    <w:p w14:paraId="2238E0DB" w14:textId="77777777" w:rsidR="00644362" w:rsidRPr="00F81074" w:rsidRDefault="00644362" w:rsidP="00C40FA9">
      <w:pPr>
        <w:jc w:val="both"/>
      </w:pPr>
    </w:p>
    <w:p w14:paraId="6D212244" w14:textId="3A907776" w:rsidR="00F474F8" w:rsidRPr="00F81074" w:rsidRDefault="008A32F7" w:rsidP="00F474F8">
      <w:pPr>
        <w:jc w:val="both"/>
      </w:pPr>
      <w:r w:rsidRPr="00F81074">
        <w:t xml:space="preserve">Tornando al rapporto tra partenariato e </w:t>
      </w:r>
      <w:r w:rsidR="00F474F8" w:rsidRPr="00F81074">
        <w:t xml:space="preserve">affidamento </w:t>
      </w:r>
      <w:r w:rsidR="00F474F8" w:rsidRPr="00F81074">
        <w:rPr>
          <w:i/>
          <w:iCs/>
        </w:rPr>
        <w:t>in house</w:t>
      </w:r>
      <w:r w:rsidRPr="00F81074">
        <w:t xml:space="preserve">, nel secondo caso, a differenza che nel primo, </w:t>
      </w:r>
      <w:r w:rsidR="00F474F8" w:rsidRPr="00F81074">
        <w:t xml:space="preserve">l’ente pubblico non si spoglia del rischio operativo </w:t>
      </w:r>
      <w:r w:rsidRPr="00F81074">
        <w:t>e non se ne spoglia non in virtù del rapporto contrattuale</w:t>
      </w:r>
      <w:r w:rsidR="004D0056">
        <w:t xml:space="preserve"> </w:t>
      </w:r>
      <w:r w:rsidRPr="00F81074">
        <w:t xml:space="preserve">instaurato </w:t>
      </w:r>
      <w:r w:rsidR="00F87B17">
        <w:t>a valle</w:t>
      </w:r>
      <w:r w:rsidR="00F87B17" w:rsidRPr="00F81074">
        <w:t xml:space="preserve"> </w:t>
      </w:r>
      <w:r w:rsidRPr="00F81074">
        <w:t>con il soggetto affidatario</w:t>
      </w:r>
      <w:r w:rsidR="004D0056">
        <w:t>,</w:t>
      </w:r>
      <w:r w:rsidRPr="00F81074">
        <w:t xml:space="preserve"> ma in quanto </w:t>
      </w:r>
      <w:r w:rsidR="00F474F8" w:rsidRPr="00F81074">
        <w:t xml:space="preserve">non </w:t>
      </w:r>
      <w:r w:rsidRPr="00F81074">
        <w:t>si ha</w:t>
      </w:r>
      <w:r w:rsidR="004D0056">
        <w:t>, a monte,</w:t>
      </w:r>
      <w:r w:rsidR="00F474F8" w:rsidRPr="00F81074">
        <w:t xml:space="preserve"> esternalizzazione dell’attività</w:t>
      </w:r>
      <w:r w:rsidR="00DF0F1A" w:rsidRPr="00F81074">
        <w:rPr>
          <w:rStyle w:val="Rimandonotaapidipagina"/>
        </w:rPr>
        <w:footnoteReference w:id="34"/>
      </w:r>
      <w:r w:rsidR="00F474F8" w:rsidRPr="00F81074">
        <w:t xml:space="preserve">. </w:t>
      </w:r>
    </w:p>
    <w:p w14:paraId="23A8B987" w14:textId="77777777" w:rsidR="001915CF" w:rsidRPr="00F81074" w:rsidRDefault="001915CF" w:rsidP="00F474F8">
      <w:pPr>
        <w:jc w:val="both"/>
      </w:pPr>
    </w:p>
    <w:p w14:paraId="6521EBE3" w14:textId="654246B1" w:rsidR="00F474F8" w:rsidRPr="00F81074" w:rsidRDefault="00F474F8" w:rsidP="00F474F8">
      <w:pPr>
        <w:jc w:val="both"/>
      </w:pPr>
      <w:r w:rsidRPr="00F81074">
        <w:t xml:space="preserve">L’ente non trasla a terzi il rischio, </w:t>
      </w:r>
      <w:r w:rsidR="008A32F7" w:rsidRPr="00F81074">
        <w:t xml:space="preserve">perché </w:t>
      </w:r>
      <w:r w:rsidRPr="00F81074">
        <w:t xml:space="preserve">la società </w:t>
      </w:r>
      <w:r w:rsidRPr="00F81074">
        <w:rPr>
          <w:i/>
          <w:iCs/>
        </w:rPr>
        <w:t>in house</w:t>
      </w:r>
      <w:r w:rsidRPr="00F81074">
        <w:t xml:space="preserve">, che </w:t>
      </w:r>
      <w:r w:rsidR="008A32F7" w:rsidRPr="00F81074">
        <w:t xml:space="preserve">lo assume, </w:t>
      </w:r>
      <w:r w:rsidRPr="00F81074">
        <w:t>ne risponde con il proprio capitale sociale e, dunque, con gli investimenti finanziari dell’ente pubblico stesso</w:t>
      </w:r>
      <w:r w:rsidR="00921254" w:rsidRPr="00F81074">
        <w:rPr>
          <w:rStyle w:val="Rimandonotaapidipagina"/>
        </w:rPr>
        <w:footnoteReference w:id="35"/>
      </w:r>
      <w:r w:rsidR="00921254" w:rsidRPr="00F81074">
        <w:t>.</w:t>
      </w:r>
    </w:p>
    <w:p w14:paraId="5648ADF3" w14:textId="77777777" w:rsidR="00115270" w:rsidRPr="00F81074" w:rsidRDefault="00115270" w:rsidP="005D787B">
      <w:pPr>
        <w:jc w:val="both"/>
      </w:pPr>
    </w:p>
    <w:p w14:paraId="188F476D" w14:textId="55D89CF1" w:rsidR="00831484" w:rsidRPr="00F81074" w:rsidRDefault="00CD7A81" w:rsidP="00E57A6F">
      <w:pPr>
        <w:jc w:val="both"/>
        <w:rPr>
          <w:b/>
          <w:bCs/>
        </w:rPr>
      </w:pPr>
      <w:r>
        <w:rPr>
          <w:b/>
          <w:bCs/>
        </w:rPr>
        <w:t>4</w:t>
      </w:r>
      <w:r w:rsidR="00F474F8" w:rsidRPr="00F81074">
        <w:rPr>
          <w:b/>
          <w:bCs/>
        </w:rPr>
        <w:t xml:space="preserve">. </w:t>
      </w:r>
      <w:r w:rsidR="00831484" w:rsidRPr="00F81074">
        <w:rPr>
          <w:b/>
          <w:bCs/>
        </w:rPr>
        <w:t>Evoluzione storica della concessione nell’affidamento d</w:t>
      </w:r>
      <w:r w:rsidR="00474BD6" w:rsidRPr="00F81074">
        <w:rPr>
          <w:b/>
          <w:bCs/>
        </w:rPr>
        <w:t>e</w:t>
      </w:r>
      <w:r w:rsidR="00831484" w:rsidRPr="00F81074">
        <w:rPr>
          <w:b/>
          <w:bCs/>
        </w:rPr>
        <w:t xml:space="preserve">i lavori e </w:t>
      </w:r>
      <w:r w:rsidR="00474BD6" w:rsidRPr="00F81074">
        <w:rPr>
          <w:b/>
          <w:bCs/>
        </w:rPr>
        <w:t xml:space="preserve">dei </w:t>
      </w:r>
      <w:r w:rsidR="00831484" w:rsidRPr="00F81074">
        <w:rPr>
          <w:b/>
          <w:bCs/>
        </w:rPr>
        <w:t>servizi pubblici.</w:t>
      </w:r>
    </w:p>
    <w:p w14:paraId="4556AC9E" w14:textId="77777777" w:rsidR="00831484" w:rsidRPr="00F81074" w:rsidRDefault="00831484" w:rsidP="00E57A6F">
      <w:pPr>
        <w:jc w:val="both"/>
        <w:rPr>
          <w:b/>
          <w:bCs/>
        </w:rPr>
      </w:pPr>
    </w:p>
    <w:p w14:paraId="7AC2E341" w14:textId="1D106213" w:rsidR="007811BB" w:rsidRPr="00F81074" w:rsidRDefault="003401ED" w:rsidP="00E57A6F">
      <w:pPr>
        <w:jc w:val="both"/>
      </w:pPr>
      <w:r w:rsidRPr="00F81074">
        <w:t xml:space="preserve">L’istituto della concessione a terzi </w:t>
      </w:r>
      <w:r w:rsidR="005669A1" w:rsidRPr="00F81074">
        <w:t xml:space="preserve">viene originariamente in rilievo, nell’ambito oggetto della presente indagine, </w:t>
      </w:r>
      <w:r w:rsidRPr="00F81074">
        <w:t xml:space="preserve">come forma di gestione </w:t>
      </w:r>
      <w:r w:rsidR="00A8140F" w:rsidRPr="00F81074">
        <w:t xml:space="preserve">esternalizzata </w:t>
      </w:r>
      <w:r w:rsidRPr="00F81074">
        <w:t>dei servizi pubblici</w:t>
      </w:r>
      <w:r w:rsidR="007811BB" w:rsidRPr="00F81074">
        <w:t xml:space="preserve"> </w:t>
      </w:r>
      <w:r w:rsidR="005669A1" w:rsidRPr="00F81074">
        <w:t>(in particolare quelli a rilevanza locale)</w:t>
      </w:r>
      <w:r w:rsidR="007811BB" w:rsidRPr="00F81074">
        <w:t>.</w:t>
      </w:r>
    </w:p>
    <w:p w14:paraId="759096CE" w14:textId="77777777" w:rsidR="007811BB" w:rsidRPr="00F81074" w:rsidRDefault="007811BB" w:rsidP="00E57A6F">
      <w:pPr>
        <w:jc w:val="both"/>
      </w:pPr>
    </w:p>
    <w:p w14:paraId="300BD808" w14:textId="1D2875A8" w:rsidR="003401ED" w:rsidRPr="00F81074" w:rsidRDefault="005669A1" w:rsidP="00E57A6F">
      <w:pPr>
        <w:jc w:val="both"/>
      </w:pPr>
      <w:r w:rsidRPr="00F81074">
        <w:t>Come tale era</w:t>
      </w:r>
      <w:r w:rsidR="003401ED" w:rsidRPr="00F81074">
        <w:t xml:space="preserve"> </w:t>
      </w:r>
      <w:r w:rsidRPr="00F81074">
        <w:t xml:space="preserve">previsto </w:t>
      </w:r>
      <w:r w:rsidR="003401ED" w:rsidRPr="00F81074">
        <w:t xml:space="preserve">già anteriormente alla legge </w:t>
      </w:r>
      <w:r w:rsidR="00E94526" w:rsidRPr="00E94526">
        <w:t xml:space="preserve">8 giugno </w:t>
      </w:r>
      <w:r w:rsidR="00E94526" w:rsidRPr="00F81074">
        <w:t>1990</w:t>
      </w:r>
      <w:r w:rsidR="00E94526">
        <w:t>,</w:t>
      </w:r>
      <w:r w:rsidR="00E94526" w:rsidRPr="00F81074">
        <w:t xml:space="preserve"> </w:t>
      </w:r>
      <w:r w:rsidRPr="00F81074">
        <w:t>n. 142 di riforma delle autonomie locali (in cui ha trovato consacrazione)</w:t>
      </w:r>
      <w:r w:rsidR="003401ED" w:rsidRPr="00F81074">
        <w:t xml:space="preserve">, </w:t>
      </w:r>
      <w:r w:rsidR="003401ED" w:rsidRPr="00017FAA">
        <w:t>dal</w:t>
      </w:r>
      <w:r w:rsidRPr="00017FAA">
        <w:t>l’art. 26 del</w:t>
      </w:r>
      <w:r w:rsidR="003401ED" w:rsidRPr="00017FAA">
        <w:t xml:space="preserve"> </w:t>
      </w:r>
      <w:r w:rsidRPr="00017FAA">
        <w:t>R.D</w:t>
      </w:r>
      <w:r w:rsidR="003401ED" w:rsidRPr="00017FAA">
        <w:t>.</w:t>
      </w:r>
      <w:r w:rsidR="00E94526" w:rsidRPr="00017FAA">
        <w:t xml:space="preserve"> 15 ottobre 1925</w:t>
      </w:r>
      <w:r w:rsidR="00017FAA">
        <w:t>,</w:t>
      </w:r>
      <w:r w:rsidR="00E94526" w:rsidRPr="00017FAA">
        <w:t xml:space="preserve"> </w:t>
      </w:r>
      <w:r w:rsidR="003401ED" w:rsidRPr="00017FAA">
        <w:t>n. 2578</w:t>
      </w:r>
      <w:r w:rsidR="003401ED" w:rsidRPr="00F81074">
        <w:t xml:space="preserve"> (</w:t>
      </w:r>
      <w:r w:rsidRPr="00F81074">
        <w:t>Testo Unico della legge sull’assunzione diretta dei pubblici servizi da parte dei Comuni e delle Province</w:t>
      </w:r>
      <w:r w:rsidR="00F3681D" w:rsidRPr="00F81074">
        <w:t>)</w:t>
      </w:r>
      <w:r w:rsidRPr="00F81074">
        <w:t xml:space="preserve">, che </w:t>
      </w:r>
      <w:r w:rsidR="00F3681D" w:rsidRPr="00F81074">
        <w:t>aveva</w:t>
      </w:r>
      <w:r w:rsidRPr="00F81074">
        <w:t xml:space="preserve"> recepito </w:t>
      </w:r>
      <w:r w:rsidR="00E94526">
        <w:t>l</w:t>
      </w:r>
      <w:r w:rsidRPr="00F81074">
        <w:t xml:space="preserve">a legge </w:t>
      </w:r>
      <w:r w:rsidR="00E94526">
        <w:t xml:space="preserve">29 marzo </w:t>
      </w:r>
      <w:r w:rsidR="00E94526" w:rsidRPr="00F81074">
        <w:t>1903</w:t>
      </w:r>
      <w:r w:rsidR="00017FAA">
        <w:t>,</w:t>
      </w:r>
      <w:r w:rsidR="00E94526">
        <w:t xml:space="preserve"> </w:t>
      </w:r>
      <w:r w:rsidRPr="00F81074">
        <w:t>n. 103</w:t>
      </w:r>
      <w:r w:rsidR="00F3681D" w:rsidRPr="00F81074">
        <w:t>, di istituzione delle aziende municipalizzate proprio quale alternativa all’esternalizzazione tramite affidamento a impresa privata (considerata fallimentare per la ritenuta naturale propensione degli operatori economici a prediligere l’obiettivo del lucro piuttosto che quello del benessere sociale) e alla gestione diretta</w:t>
      </w:r>
      <w:r w:rsidR="00E9414F" w:rsidRPr="00F81074">
        <w:t xml:space="preserve"> (l’evoluzione della quale avrebbe poi dato vita al modello </w:t>
      </w:r>
      <w:proofErr w:type="spellStart"/>
      <w:r w:rsidR="00E9414F" w:rsidRPr="00F81074">
        <w:t>dell’</w:t>
      </w:r>
      <w:r w:rsidR="00E9414F" w:rsidRPr="00F81074">
        <w:rPr>
          <w:i/>
          <w:iCs/>
        </w:rPr>
        <w:t>in</w:t>
      </w:r>
      <w:proofErr w:type="spellEnd"/>
      <w:r w:rsidR="00E9414F" w:rsidRPr="00F81074">
        <w:rPr>
          <w:i/>
          <w:iCs/>
        </w:rPr>
        <w:t xml:space="preserve"> house </w:t>
      </w:r>
      <w:proofErr w:type="spellStart"/>
      <w:r w:rsidR="00E9414F" w:rsidRPr="00F81074">
        <w:rPr>
          <w:i/>
          <w:iCs/>
        </w:rPr>
        <w:t>providing</w:t>
      </w:r>
      <w:proofErr w:type="spellEnd"/>
      <w:r w:rsidR="00E9414F" w:rsidRPr="00F81074">
        <w:t>)</w:t>
      </w:r>
      <w:r w:rsidR="00F3681D" w:rsidRPr="00F81074">
        <w:t>.</w:t>
      </w:r>
    </w:p>
    <w:p w14:paraId="45683262" w14:textId="77777777" w:rsidR="00F3681D" w:rsidRPr="00F81074" w:rsidRDefault="00F3681D" w:rsidP="00E57A6F">
      <w:pPr>
        <w:jc w:val="both"/>
      </w:pPr>
    </w:p>
    <w:p w14:paraId="4C25219A" w14:textId="2C8FBAFB" w:rsidR="003401ED" w:rsidRPr="00F81074" w:rsidRDefault="00F3681D" w:rsidP="00E57A6F">
      <w:pPr>
        <w:jc w:val="both"/>
      </w:pPr>
      <w:r w:rsidRPr="00F81074">
        <w:t>La primitiva sfiducia nell’impresa è ciò che rende, agli albori della sua affermazione in tale contesto, la concessione uno</w:t>
      </w:r>
      <w:r w:rsidR="003401ED" w:rsidRPr="00F81074">
        <w:t xml:space="preserve"> strumento </w:t>
      </w:r>
      <w:r w:rsidRPr="00F81074">
        <w:t xml:space="preserve">in realtà </w:t>
      </w:r>
      <w:r w:rsidR="003401ED" w:rsidRPr="00F81074">
        <w:t xml:space="preserve">recessivo </w:t>
      </w:r>
      <w:r w:rsidRPr="00F81074">
        <w:t xml:space="preserve">rispetto ad altri, a cagione della privilegiata </w:t>
      </w:r>
      <w:r w:rsidR="003401ED" w:rsidRPr="00F81074">
        <w:t>esigenza</w:t>
      </w:r>
      <w:r w:rsidR="00A8140F" w:rsidRPr="00F81074">
        <w:t xml:space="preserve"> </w:t>
      </w:r>
      <w:r w:rsidR="003401ED" w:rsidRPr="00F81074">
        <w:t>di sottrarre quanto più possibile l’erogazione dei servizi alla logica del capitalismo privato.</w:t>
      </w:r>
    </w:p>
    <w:p w14:paraId="1149E9B6" w14:textId="77777777" w:rsidR="00474BD6" w:rsidRPr="00F81074" w:rsidRDefault="00474BD6" w:rsidP="00E57A6F">
      <w:pPr>
        <w:jc w:val="both"/>
      </w:pPr>
    </w:p>
    <w:p w14:paraId="4C21ACCA" w14:textId="2F07C9E6" w:rsidR="00474BD6" w:rsidRPr="00F81074" w:rsidRDefault="00474BD6" w:rsidP="00474BD6">
      <w:pPr>
        <w:jc w:val="both"/>
      </w:pPr>
      <w:r w:rsidRPr="00F81074">
        <w:t xml:space="preserve">Nella successiva evoluzione, il modello concessorio conosce una sorta di riqualificazione nell’ambito oggetto di indagine, in virtù delle sempre maggiori difficoltà riscontrate dalle Amministrazioni nel reperimento di personale specializzato e </w:t>
      </w:r>
      <w:r w:rsidR="005326BF" w:rsidRPr="00F81074">
        <w:t>ne</w:t>
      </w:r>
      <w:r w:rsidRPr="00F81074">
        <w:t>ll’adozione di appropriate tecnologie.</w:t>
      </w:r>
    </w:p>
    <w:p w14:paraId="451F117D" w14:textId="77777777" w:rsidR="00474BD6" w:rsidRPr="00F81074" w:rsidRDefault="00474BD6" w:rsidP="00474BD6">
      <w:pPr>
        <w:jc w:val="both"/>
      </w:pPr>
    </w:p>
    <w:p w14:paraId="0FF30EEC" w14:textId="31795ED2" w:rsidR="00970464" w:rsidRPr="00F81074" w:rsidRDefault="00A4258F" w:rsidP="00970464">
      <w:pPr>
        <w:jc w:val="both"/>
      </w:pPr>
      <w:r w:rsidRPr="00F81074">
        <w:t>Con l’affidamento in concessione, l’</w:t>
      </w:r>
      <w:r w:rsidR="00970464" w:rsidRPr="00F81074">
        <w:t>A</w:t>
      </w:r>
      <w:r w:rsidRPr="00F81074">
        <w:t>mministrazione locale sostituiva a sé un terzo nell’espletamento di funzioni aventi carattere pubblico</w:t>
      </w:r>
      <w:r w:rsidR="00970464" w:rsidRPr="00F81074">
        <w:t>: la titolarità del servizio veniva mantenuta in capo all’ente concedente (che esercitava sul privato concessionario le potestà di direzione e vigilanza), mentre l’esercizio veniva trasferito al concessionario privato, ad esclusivo carico del quale restava il connaturato rischio di impresa</w:t>
      </w:r>
      <w:r w:rsidR="00942161" w:rsidRPr="00F81074">
        <w:rPr>
          <w:rStyle w:val="Rimandonotaapidipagina"/>
        </w:rPr>
        <w:footnoteReference w:id="36"/>
      </w:r>
      <w:r w:rsidR="00970464" w:rsidRPr="00F81074">
        <w:t>.</w:t>
      </w:r>
    </w:p>
    <w:p w14:paraId="606EA66A" w14:textId="77777777" w:rsidR="00970464" w:rsidRPr="00F81074" w:rsidRDefault="00970464" w:rsidP="00A4258F">
      <w:pPr>
        <w:jc w:val="both"/>
      </w:pPr>
    </w:p>
    <w:p w14:paraId="0AF76540" w14:textId="6AE9FC59" w:rsidR="00A4258F" w:rsidRPr="00F81074" w:rsidRDefault="00A4258F" w:rsidP="00A4258F">
      <w:pPr>
        <w:jc w:val="both"/>
      </w:pPr>
      <w:r w:rsidRPr="00F81074">
        <w:t xml:space="preserve">Per la scelta del concessionario privato, la giurisprudenza ha sempre indicato come obbligatoria la procedura competitiva ad evidenza pubblica (così come anche </w:t>
      </w:r>
      <w:r w:rsidRPr="00017FAA">
        <w:t xml:space="preserve">previsto dall’art. 267 del </w:t>
      </w:r>
      <w:r w:rsidR="00E94526" w:rsidRPr="00017FAA">
        <w:t>R.D</w:t>
      </w:r>
      <w:r w:rsidRPr="00017FAA">
        <w:t xml:space="preserve">. </w:t>
      </w:r>
      <w:r w:rsidR="00E94526" w:rsidRPr="00017FAA">
        <w:t xml:space="preserve">14 settembre 1931, </w:t>
      </w:r>
      <w:r w:rsidRPr="00017FAA">
        <w:t>n. 1175).</w:t>
      </w:r>
    </w:p>
    <w:p w14:paraId="5FD4B498" w14:textId="77777777" w:rsidR="00A4258F" w:rsidRPr="00F81074" w:rsidRDefault="00A4258F" w:rsidP="00E57A6F">
      <w:pPr>
        <w:jc w:val="both"/>
      </w:pPr>
    </w:p>
    <w:p w14:paraId="7CB6849B" w14:textId="6CE0C699" w:rsidR="00831484" w:rsidRPr="00F81074" w:rsidRDefault="0068365C" w:rsidP="00E57A6F">
      <w:pPr>
        <w:jc w:val="both"/>
      </w:pPr>
      <w:r w:rsidRPr="00F81074">
        <w:t xml:space="preserve">Mentre muta sembianze nell’ambito, dinamico, del proprio ruolo quale strumento per l’affidamento di servizi pubblici, la concessione vede contemporaneamente modificarsi </w:t>
      </w:r>
      <w:r w:rsidR="00444290">
        <w:t>– sotto il</w:t>
      </w:r>
      <w:r w:rsidRPr="00F81074">
        <w:t xml:space="preserve"> profilo statico</w:t>
      </w:r>
      <w:r w:rsidR="00444290">
        <w:t xml:space="preserve"> </w:t>
      </w:r>
      <w:r w:rsidRPr="00F81074">
        <w:t xml:space="preserve">strutturale </w:t>
      </w:r>
      <w:r w:rsidR="00444290">
        <w:t>-</w:t>
      </w:r>
      <w:r w:rsidRPr="00F81074">
        <w:t xml:space="preserve"> la propria natura giuridica.</w:t>
      </w:r>
    </w:p>
    <w:p w14:paraId="2EE03826" w14:textId="77777777" w:rsidR="00831484" w:rsidRPr="00F81074" w:rsidRDefault="00831484" w:rsidP="00E57A6F">
      <w:pPr>
        <w:jc w:val="both"/>
      </w:pPr>
    </w:p>
    <w:p w14:paraId="763ED22F" w14:textId="0E6A7005" w:rsidR="007771ED" w:rsidRPr="00F81074" w:rsidRDefault="00A8140F" w:rsidP="00E57A6F">
      <w:pPr>
        <w:jc w:val="both"/>
      </w:pPr>
      <w:r w:rsidRPr="00F81074">
        <w:t>Nell’impostazione tradizionale</w:t>
      </w:r>
      <w:r w:rsidR="007771ED" w:rsidRPr="00F81074">
        <w:t>, la concessione è un provvedimento amministrativo unilaterale con cui</w:t>
      </w:r>
      <w:r w:rsidRPr="00F81074">
        <w:t xml:space="preserve"> l’Amministrazione amplia la sfera giuridica del destinatario attribuendo allo stesso diritti, poteri</w:t>
      </w:r>
      <w:r w:rsidR="007771ED" w:rsidRPr="00F81074">
        <w:t xml:space="preserve"> o</w:t>
      </w:r>
      <w:r w:rsidRPr="00F81074">
        <w:t xml:space="preserve"> facoltà </w:t>
      </w:r>
      <w:r w:rsidR="007771ED" w:rsidRPr="00F81074">
        <w:t>preesistenti (concessioni traslative) o non preesistenti (concessioni costitutive) nella sfera di pertinenza del soggetto pubblico</w:t>
      </w:r>
      <w:r w:rsidR="009C2CA2" w:rsidRPr="00F81074">
        <w:rPr>
          <w:rStyle w:val="Rimandonotaapidipagina"/>
        </w:rPr>
        <w:footnoteReference w:id="37"/>
      </w:r>
      <w:r w:rsidRPr="00F81074">
        <w:t xml:space="preserve">. </w:t>
      </w:r>
    </w:p>
    <w:p w14:paraId="4DB260C1" w14:textId="77777777" w:rsidR="007771ED" w:rsidRPr="00F81074" w:rsidRDefault="007771ED" w:rsidP="00E57A6F">
      <w:pPr>
        <w:jc w:val="both"/>
      </w:pPr>
    </w:p>
    <w:p w14:paraId="21CDD64C" w14:textId="68CC4E75" w:rsidR="00A8140F" w:rsidRPr="00F81074" w:rsidRDefault="00384D07" w:rsidP="00E57A6F">
      <w:pPr>
        <w:jc w:val="both"/>
      </w:pPr>
      <w:r w:rsidRPr="00F81074">
        <w:t>Tale</w:t>
      </w:r>
      <w:r w:rsidR="00A8140F" w:rsidRPr="00F81074">
        <w:t xml:space="preserve"> connotazione strutturale </w:t>
      </w:r>
      <w:r w:rsidRPr="00F81074">
        <w:t>ha giustificato per lungo tempo</w:t>
      </w:r>
      <w:r w:rsidR="00A8140F" w:rsidRPr="00F81074">
        <w:t xml:space="preserve"> </w:t>
      </w:r>
      <w:r w:rsidR="00BB7B4B" w:rsidRPr="00F81074">
        <w:t>l’inserimento dell’istituto nell’ambito della categoria dell’esercizio privato delle pubbliche funzioni.</w:t>
      </w:r>
    </w:p>
    <w:p w14:paraId="6F5EC8EC" w14:textId="77777777" w:rsidR="00384D07" w:rsidRPr="00F81074" w:rsidRDefault="00384D07" w:rsidP="00E57A6F">
      <w:pPr>
        <w:jc w:val="both"/>
      </w:pPr>
    </w:p>
    <w:p w14:paraId="0E2148BD" w14:textId="7D56CB9F" w:rsidR="00603AF7" w:rsidRPr="00F81074" w:rsidRDefault="00603AF7" w:rsidP="00E57A6F">
      <w:pPr>
        <w:jc w:val="both"/>
      </w:pPr>
      <w:r w:rsidRPr="006E02CA">
        <w:t>La Corte di Cassazione, nella sentenza 29 dicembre 1990</w:t>
      </w:r>
      <w:r w:rsidR="00517C74" w:rsidRPr="006E02CA">
        <w:t xml:space="preserve">, </w:t>
      </w:r>
      <w:r w:rsidR="006E02CA" w:rsidRPr="006E02CA">
        <w:t xml:space="preserve">n. 12221 </w:t>
      </w:r>
      <w:r w:rsidR="00517C74" w:rsidRPr="006E02CA">
        <w:t>(i cui principi sono stati poi richiamati dal Consiglio di Stato</w:t>
      </w:r>
      <w:r w:rsidRPr="006E02CA">
        <w:t>,</w:t>
      </w:r>
      <w:r w:rsidR="00517C74" w:rsidRPr="006E02CA">
        <w:t xml:space="preserve"> Sez. VI, nella sentenza 21 aprile 1995</w:t>
      </w:r>
      <w:r w:rsidR="00E94526">
        <w:t>, n.</w:t>
      </w:r>
      <w:r w:rsidR="00E94526" w:rsidRPr="00E94526">
        <w:rPr>
          <w:color w:val="FF0000"/>
        </w:rPr>
        <w:t xml:space="preserve"> </w:t>
      </w:r>
      <w:r w:rsidR="00E94526" w:rsidRPr="00E94526">
        <w:t>353</w:t>
      </w:r>
      <w:r w:rsidR="00517C74" w:rsidRPr="00F81074">
        <w:t>)</w:t>
      </w:r>
      <w:r w:rsidRPr="00F81074">
        <w:t xml:space="preserve"> </w:t>
      </w:r>
      <w:r w:rsidR="00517C74" w:rsidRPr="00F81074">
        <w:t xml:space="preserve">ebbe a qualificare il privato concessionario come organo indiretto della pubblica amministrazione: poiché la concessione </w:t>
      </w:r>
      <w:r w:rsidR="00517C74" w:rsidRPr="00F81074">
        <w:lastRenderedPageBreak/>
        <w:t xml:space="preserve">produce il trasferimento in capo al concessionario dell’esercizio di funzioni pubbliche, gli atti che lo stesso </w:t>
      </w:r>
      <w:r w:rsidR="005326BF" w:rsidRPr="00F81074">
        <w:t>pone</w:t>
      </w:r>
      <w:r w:rsidR="00517C74" w:rsidRPr="00F81074">
        <w:t xml:space="preserve"> in essere in virtù della concessione medesima non </w:t>
      </w:r>
      <w:r w:rsidR="005326BF" w:rsidRPr="00F81074">
        <w:t>possono</w:t>
      </w:r>
      <w:r w:rsidR="00517C74" w:rsidRPr="00F81074">
        <w:t xml:space="preserve"> ritenersi attività di diritto privato.</w:t>
      </w:r>
    </w:p>
    <w:p w14:paraId="787AF015" w14:textId="77777777" w:rsidR="00384D07" w:rsidRPr="00F81074" w:rsidRDefault="00384D07" w:rsidP="00E57A6F">
      <w:pPr>
        <w:jc w:val="both"/>
      </w:pPr>
    </w:p>
    <w:p w14:paraId="08440762" w14:textId="3034B2EE" w:rsidR="00517C74" w:rsidRPr="00F81074" w:rsidRDefault="00384D07" w:rsidP="00E57A6F">
      <w:pPr>
        <w:jc w:val="both"/>
      </w:pPr>
      <w:r w:rsidRPr="00F81074">
        <w:t xml:space="preserve">Tuttavia, il concessionario, </w:t>
      </w:r>
      <w:r w:rsidR="00517C74" w:rsidRPr="00F81074">
        <w:t>sebbene operante nell’interesse collettivo, non perde la propria veste di soggetto privato, in quanto agisce in base a criteri di economicità orientati al conseguimento di entrate remunerative dei fattori produttivi</w:t>
      </w:r>
      <w:r w:rsidRPr="00F81074">
        <w:t xml:space="preserve"> (</w:t>
      </w:r>
      <w:r w:rsidRPr="006E02CA">
        <w:t>Corte Cass., Sezioni Unite, sentenza n. 5528 del 12 dicembre 1989</w:t>
      </w:r>
      <w:r w:rsidRPr="00F81074">
        <w:t>).</w:t>
      </w:r>
    </w:p>
    <w:p w14:paraId="4CD96225" w14:textId="77777777" w:rsidR="00A4258F" w:rsidRPr="00F81074" w:rsidRDefault="00A4258F" w:rsidP="00E57A6F">
      <w:pPr>
        <w:jc w:val="both"/>
      </w:pPr>
    </w:p>
    <w:p w14:paraId="37F3D030" w14:textId="2B868455" w:rsidR="00594227" w:rsidRPr="00F81074" w:rsidRDefault="00594227" w:rsidP="00594227">
      <w:pPr>
        <w:jc w:val="both"/>
      </w:pPr>
      <w:r w:rsidRPr="00F81074">
        <w:t xml:space="preserve">La successiva evoluzione </w:t>
      </w:r>
      <w:r w:rsidR="005326BF" w:rsidRPr="00F81074">
        <w:t>segna</w:t>
      </w:r>
      <w:r w:rsidRPr="00F81074">
        <w:t xml:space="preserve"> un netto distacco e lo </w:t>
      </w:r>
      <w:r w:rsidR="005326BF" w:rsidRPr="00F81074">
        <w:t>segna</w:t>
      </w:r>
      <w:r w:rsidRPr="00F81074">
        <w:t xml:space="preserve"> proprio nell’ambito dell’affidamento dei lavori e dei servizi pubblici, in cui i processi di liberalizzazione economica e la regolazione sovranazionale conducono a ritenere che il profilo caratterizzante l’istituto non sia più </w:t>
      </w:r>
      <w:r w:rsidR="00970464" w:rsidRPr="00F81074">
        <w:t xml:space="preserve">(prioritariamente) </w:t>
      </w:r>
      <w:r w:rsidRPr="00F81074">
        <w:t>rappresentato dalla costituzione o dal trasferimento di funzioni pubbliche ma dallo svolgimento di attività economica di impresa.</w:t>
      </w:r>
    </w:p>
    <w:p w14:paraId="3CB843E7" w14:textId="77777777" w:rsidR="00594227" w:rsidRPr="00F81074" w:rsidRDefault="00594227" w:rsidP="00594227">
      <w:pPr>
        <w:jc w:val="both"/>
      </w:pPr>
    </w:p>
    <w:p w14:paraId="1F868639" w14:textId="09330A9C" w:rsidR="00594227" w:rsidRPr="00F81074" w:rsidRDefault="00594227" w:rsidP="00594227">
      <w:pPr>
        <w:jc w:val="both"/>
      </w:pPr>
      <w:r w:rsidRPr="00F81074">
        <w:t xml:space="preserve">Viene progressivamente abbandonata la teoria della concessione come </w:t>
      </w:r>
      <w:r w:rsidR="00970464" w:rsidRPr="00F81074">
        <w:t xml:space="preserve">provvedimento </w:t>
      </w:r>
      <w:r w:rsidR="00970464" w:rsidRPr="00444290">
        <w:rPr>
          <w:i/>
          <w:iCs/>
        </w:rPr>
        <w:t>tout court</w:t>
      </w:r>
      <w:r w:rsidRPr="00F81074">
        <w:t xml:space="preserve"> e si inizia a fare riferimento alla concessione contratto, quale modello ricostruttivo caratterizzato dalla presenza di un atto amministrativo unilaterale e di un contratto di diritto privato concluso tra l’</w:t>
      </w:r>
      <w:r w:rsidR="00E21E8D" w:rsidRPr="00F81074">
        <w:t>A</w:t>
      </w:r>
      <w:r w:rsidRPr="00F81074">
        <w:t>mministrazione concedente e il</w:t>
      </w:r>
      <w:r w:rsidR="00444290">
        <w:t xml:space="preserve"> privato</w:t>
      </w:r>
      <w:r w:rsidRPr="00F81074">
        <w:t xml:space="preserve"> concessionario.</w:t>
      </w:r>
    </w:p>
    <w:p w14:paraId="37169E1A" w14:textId="77777777" w:rsidR="00594227" w:rsidRPr="00F81074" w:rsidRDefault="00594227" w:rsidP="00594227">
      <w:pPr>
        <w:jc w:val="both"/>
      </w:pPr>
    </w:p>
    <w:p w14:paraId="06D808CF" w14:textId="2D35D4E7" w:rsidR="00594227" w:rsidRPr="00F81074" w:rsidRDefault="00594227" w:rsidP="00594227">
      <w:pPr>
        <w:jc w:val="both"/>
      </w:pPr>
      <w:r w:rsidRPr="00F81074">
        <w:t xml:space="preserve">Con l’atto di diritto amministrativo il soggetto pubblico </w:t>
      </w:r>
      <w:r w:rsidR="005326BF" w:rsidRPr="00F81074">
        <w:t>dà</w:t>
      </w:r>
      <w:r w:rsidRPr="00F81074">
        <w:t xml:space="preserve"> vita al rapporto concessorio, con il contratto di diritto privato si regolamentano gli aspetti patrimoniali e i relativi diritti e obblighi tra le parti.</w:t>
      </w:r>
    </w:p>
    <w:p w14:paraId="7F6DAEF7" w14:textId="77777777" w:rsidR="00594227" w:rsidRPr="00F81074" w:rsidRDefault="00594227" w:rsidP="00594227">
      <w:pPr>
        <w:jc w:val="both"/>
      </w:pPr>
    </w:p>
    <w:p w14:paraId="28D6A758" w14:textId="3C8C6DB5" w:rsidR="00594227" w:rsidRPr="00F81074" w:rsidRDefault="00594227" w:rsidP="00594227">
      <w:pPr>
        <w:jc w:val="both"/>
      </w:pPr>
      <w:r w:rsidRPr="00F81074">
        <w:t xml:space="preserve">Questa soluzione </w:t>
      </w:r>
      <w:r w:rsidR="005326BF" w:rsidRPr="00F81074">
        <w:t>viene</w:t>
      </w:r>
      <w:r w:rsidRPr="00F81074">
        <w:t xml:space="preserve"> proposta in ragione </w:t>
      </w:r>
      <w:r w:rsidR="005326BF" w:rsidRPr="00F81074">
        <w:t>della ritenuta inammissibilità de</w:t>
      </w:r>
      <w:r w:rsidRPr="00F81074">
        <w:t xml:space="preserve">i contratti ad oggetto pubblico, ossia </w:t>
      </w:r>
      <w:r w:rsidR="005326BF" w:rsidRPr="00F81074">
        <w:t>dei</w:t>
      </w:r>
      <w:r w:rsidRPr="00F81074">
        <w:t xml:space="preserve"> contratti connotati da</w:t>
      </w:r>
      <w:r w:rsidR="00970464" w:rsidRPr="00F81074">
        <w:t xml:space="preserve"> un</w:t>
      </w:r>
      <w:r w:rsidRPr="00F81074">
        <w:t xml:space="preserve"> oggett</w:t>
      </w:r>
      <w:r w:rsidR="00970464" w:rsidRPr="00F81074">
        <w:t>o</w:t>
      </w:r>
      <w:r w:rsidRPr="00F81074">
        <w:t xml:space="preserve"> non rientrant</w:t>
      </w:r>
      <w:r w:rsidR="00970464" w:rsidRPr="00F81074">
        <w:t>e</w:t>
      </w:r>
      <w:r w:rsidRPr="00F81074">
        <w:t xml:space="preserve"> nell’ambito del potere dispositivo delle parti.</w:t>
      </w:r>
    </w:p>
    <w:p w14:paraId="4341620C" w14:textId="77777777" w:rsidR="00594227" w:rsidRPr="00F81074" w:rsidRDefault="00594227" w:rsidP="00594227">
      <w:pPr>
        <w:jc w:val="both"/>
      </w:pPr>
    </w:p>
    <w:p w14:paraId="73863DF9" w14:textId="46BC7C89" w:rsidR="00594227" w:rsidRPr="00F81074" w:rsidRDefault="00594227" w:rsidP="00594227">
      <w:pPr>
        <w:jc w:val="both"/>
      </w:pPr>
      <w:r w:rsidRPr="00F81074">
        <w:t xml:space="preserve">L’introduzione dell’art. 11 della legge </w:t>
      </w:r>
      <w:r w:rsidR="00E94526">
        <w:t xml:space="preserve">7 agosto 1990, </w:t>
      </w:r>
      <w:r w:rsidRPr="00F81074">
        <w:t>n. 241 ha consentito il superamento dell’ostacolo</w:t>
      </w:r>
      <w:r w:rsidR="005326BF" w:rsidRPr="00F81074">
        <w:t xml:space="preserve"> e l</w:t>
      </w:r>
      <w:r w:rsidRPr="00F81074">
        <w:t xml:space="preserve">’orientamento prevalente </w:t>
      </w:r>
      <w:r w:rsidR="00E94526">
        <w:t xml:space="preserve">ha </w:t>
      </w:r>
      <w:r w:rsidR="005326BF" w:rsidRPr="00F81074">
        <w:t>inizia</w:t>
      </w:r>
      <w:r w:rsidR="00E94526">
        <w:t>to</w:t>
      </w:r>
      <w:r w:rsidR="005326BF" w:rsidRPr="00F81074">
        <w:t xml:space="preserve"> a qualificare</w:t>
      </w:r>
      <w:r w:rsidRPr="00F81074">
        <w:t xml:space="preserve"> le concessioni come contratti ad oggetto pubblico riconducibili alla categoria degli accordi pubblici di cui al predetto art. 11.</w:t>
      </w:r>
    </w:p>
    <w:p w14:paraId="50193AE9" w14:textId="77777777" w:rsidR="00594227" w:rsidRPr="00F81074" w:rsidRDefault="00594227" w:rsidP="00594227">
      <w:pPr>
        <w:jc w:val="both"/>
      </w:pPr>
    </w:p>
    <w:p w14:paraId="00046908" w14:textId="20046724" w:rsidR="00594227" w:rsidRPr="00F81074" w:rsidRDefault="00594227" w:rsidP="00594227">
      <w:pPr>
        <w:jc w:val="both"/>
      </w:pPr>
      <w:r w:rsidRPr="00F81074">
        <w:t>In sede europea si inizia a vedere nella concessione uno strumento contrattuale idoneo a garantire un’efficace collaborazione tra parte pubblica e parte privata.</w:t>
      </w:r>
    </w:p>
    <w:p w14:paraId="101A1A71" w14:textId="77777777" w:rsidR="00384D07" w:rsidRPr="00F81074" w:rsidRDefault="00384D07" w:rsidP="00E57A6F">
      <w:pPr>
        <w:jc w:val="both"/>
      </w:pPr>
    </w:p>
    <w:p w14:paraId="2CD4B75E" w14:textId="7A1DFED8" w:rsidR="00384D07" w:rsidRPr="00F81074" w:rsidRDefault="00CD7A81" w:rsidP="00E57A6F">
      <w:pPr>
        <w:jc w:val="both"/>
        <w:rPr>
          <w:b/>
          <w:bCs/>
        </w:rPr>
      </w:pPr>
      <w:r>
        <w:rPr>
          <w:b/>
          <w:bCs/>
        </w:rPr>
        <w:t>5</w:t>
      </w:r>
      <w:r w:rsidR="00A05EFC" w:rsidRPr="00F81074">
        <w:rPr>
          <w:b/>
          <w:bCs/>
        </w:rPr>
        <w:t xml:space="preserve">. </w:t>
      </w:r>
      <w:r w:rsidR="004A6DFA" w:rsidRPr="00F81074">
        <w:rPr>
          <w:b/>
          <w:bCs/>
        </w:rPr>
        <w:t xml:space="preserve">Evoluzione </w:t>
      </w:r>
      <w:r w:rsidR="00F81074">
        <w:rPr>
          <w:b/>
          <w:bCs/>
        </w:rPr>
        <w:t xml:space="preserve">giuridica </w:t>
      </w:r>
      <w:r w:rsidR="004A6DFA" w:rsidRPr="00F81074">
        <w:rPr>
          <w:b/>
          <w:bCs/>
        </w:rPr>
        <w:t>della concessione nel rapporto con l’appalto.</w:t>
      </w:r>
    </w:p>
    <w:p w14:paraId="35D1317E" w14:textId="77777777" w:rsidR="004A6DFA" w:rsidRPr="00F81074" w:rsidRDefault="004A6DFA" w:rsidP="00E57A6F">
      <w:pPr>
        <w:jc w:val="both"/>
      </w:pPr>
    </w:p>
    <w:p w14:paraId="69828A1A" w14:textId="78EA7D86" w:rsidR="004A6DFA" w:rsidRPr="00F81074" w:rsidRDefault="004A6DFA" w:rsidP="00E57A6F">
      <w:pPr>
        <w:jc w:val="both"/>
      </w:pPr>
      <w:r w:rsidRPr="00F81074">
        <w:t>L’istituto della concessione nell’ambito dei lavori e dei servizi pubblici si è evoluto anche e soprattutto nella costante contrapposizione con l’istituto dell’appalto</w:t>
      </w:r>
      <w:r w:rsidR="00E9414F" w:rsidRPr="00F81074">
        <w:t xml:space="preserve">, con il quale ha condiviso per lungo tempo la natura di strumento </w:t>
      </w:r>
      <w:r w:rsidR="005326BF" w:rsidRPr="00F81074">
        <w:t>per l’</w:t>
      </w:r>
      <w:r w:rsidR="00E9414F" w:rsidRPr="00F81074">
        <w:t xml:space="preserve">esternalizzazione dell’attività (in contrapposizione al modello </w:t>
      </w:r>
      <w:proofErr w:type="spellStart"/>
      <w:r w:rsidR="00E9414F" w:rsidRPr="00F81074">
        <w:t>dell’</w:t>
      </w:r>
      <w:r w:rsidR="00E9414F" w:rsidRPr="00F81074">
        <w:rPr>
          <w:i/>
          <w:iCs/>
        </w:rPr>
        <w:t>in</w:t>
      </w:r>
      <w:proofErr w:type="spellEnd"/>
      <w:r w:rsidR="00E9414F" w:rsidRPr="00F81074">
        <w:rPr>
          <w:i/>
          <w:iCs/>
        </w:rPr>
        <w:t xml:space="preserve"> house</w:t>
      </w:r>
      <w:r w:rsidR="00E9414F" w:rsidRPr="00F81074">
        <w:t xml:space="preserve"> che costituisce invece </w:t>
      </w:r>
      <w:r w:rsidR="004D0056">
        <w:t xml:space="preserve">un </w:t>
      </w:r>
      <w:r w:rsidR="00E9414F" w:rsidRPr="00F81074">
        <w:t xml:space="preserve">prototipo </w:t>
      </w:r>
      <w:r w:rsidR="004D0056">
        <w:t xml:space="preserve">di </w:t>
      </w:r>
      <w:r w:rsidR="00E9414F" w:rsidRPr="00F81074">
        <w:t>internalizzazione) e rispetto al quale è oggi divenuto, in ciò assumendo una propria definita “personalità”</w:t>
      </w:r>
      <w:r w:rsidR="005326BF" w:rsidRPr="00F81074">
        <w:t>,</w:t>
      </w:r>
      <w:r w:rsidR="00E9414F" w:rsidRPr="00F81074">
        <w:t xml:space="preserve"> il principale strumento di cooperazione tra privato e pubblica amministrazione.</w:t>
      </w:r>
    </w:p>
    <w:p w14:paraId="1B62EE1F" w14:textId="77777777" w:rsidR="004A6DFA" w:rsidRPr="00F81074" w:rsidRDefault="004A6DFA" w:rsidP="00E57A6F">
      <w:pPr>
        <w:jc w:val="both"/>
      </w:pPr>
    </w:p>
    <w:p w14:paraId="293AC071" w14:textId="77777777" w:rsidR="00E94526" w:rsidRPr="00E94526" w:rsidRDefault="00E9414F" w:rsidP="00E94526">
      <w:pPr>
        <w:jc w:val="both"/>
      </w:pPr>
      <w:r w:rsidRPr="00F81074">
        <w:t>A</w:t>
      </w:r>
      <w:r w:rsidR="004A6DFA" w:rsidRPr="00F81074">
        <w:t xml:space="preserve"> livello europeo</w:t>
      </w:r>
      <w:r w:rsidRPr="00F81074">
        <w:t>,</w:t>
      </w:r>
      <w:r w:rsidR="004A6DFA" w:rsidRPr="00F81074">
        <w:t xml:space="preserve"> </w:t>
      </w:r>
      <w:r w:rsidR="00E94526" w:rsidRPr="00E94526">
        <w:t xml:space="preserve">la definizione della concessione è stata data in origine solo </w:t>
      </w:r>
      <w:r w:rsidR="00E94526" w:rsidRPr="00E94526">
        <w:rPr>
          <w:i/>
          <w:iCs/>
        </w:rPr>
        <w:t xml:space="preserve">per </w:t>
      </w:r>
      <w:proofErr w:type="spellStart"/>
      <w:r w:rsidR="00E94526" w:rsidRPr="00E94526">
        <w:rPr>
          <w:i/>
          <w:iCs/>
        </w:rPr>
        <w:t>relationem</w:t>
      </w:r>
      <w:proofErr w:type="spellEnd"/>
      <w:r w:rsidR="00E94526" w:rsidRPr="00E94526">
        <w:t xml:space="preserve"> rispetto all’appalto e, in un primo momento, ciò ha caratterizzato anche l’approccio dell’ordinamento interno.</w:t>
      </w:r>
    </w:p>
    <w:p w14:paraId="4DF5666C" w14:textId="77777777" w:rsidR="00E94526" w:rsidRPr="00E94526" w:rsidRDefault="00E94526" w:rsidP="00E94526">
      <w:pPr>
        <w:jc w:val="both"/>
      </w:pPr>
    </w:p>
    <w:p w14:paraId="1B352510" w14:textId="160B7601" w:rsidR="004A6DFA" w:rsidRPr="00F81074" w:rsidRDefault="00E94526" w:rsidP="00E94526">
      <w:pPr>
        <w:jc w:val="both"/>
      </w:pPr>
      <w:r w:rsidRPr="00E94526">
        <w:t xml:space="preserve">La primigenia definizione </w:t>
      </w:r>
      <w:proofErr w:type="spellStart"/>
      <w:r w:rsidRPr="00E94526">
        <w:t>unionale</w:t>
      </w:r>
      <w:proofErr w:type="spellEnd"/>
      <w:r w:rsidRPr="00E94526">
        <w:t xml:space="preserve"> della concessione è da rinvenirsi nella Direttiva 93/37/CEE, la quale,</w:t>
      </w:r>
      <w:r w:rsidR="004A6DFA" w:rsidRPr="00F81074">
        <w:t xml:space="preserve"> tuttavia, si limitava a definire la concessione in parte per analogia e in parte per contrapposizione con il contratto d’appalto: “</w:t>
      </w:r>
      <w:r w:rsidR="004A6DFA" w:rsidRPr="00F81074">
        <w:rPr>
          <w:i/>
          <w:iCs/>
        </w:rPr>
        <w:t xml:space="preserve">un contratto che presenta le stesse caratteristiche degli </w:t>
      </w:r>
      <w:r w:rsidR="004A6DFA" w:rsidRPr="00F81074">
        <w:rPr>
          <w:i/>
          <w:iCs/>
        </w:rPr>
        <w:lastRenderedPageBreak/>
        <w:t>appalti pubblici di lavori, ad eccezione del fatto che la controprestazione dei lavori consiste unicamente nel diritto di gestire l’opera o in tale diritto accompagnato da un prezzo</w:t>
      </w:r>
      <w:r w:rsidR="004A6DFA" w:rsidRPr="00F81074">
        <w:t>”.</w:t>
      </w:r>
    </w:p>
    <w:p w14:paraId="4829A915" w14:textId="77777777" w:rsidR="004A6DFA" w:rsidRPr="00F81074" w:rsidRDefault="004A6DFA" w:rsidP="00E57A6F">
      <w:pPr>
        <w:jc w:val="both"/>
      </w:pPr>
    </w:p>
    <w:p w14:paraId="5444D113" w14:textId="2476E442" w:rsidR="00E50D1C" w:rsidRPr="00F81074" w:rsidRDefault="004A6DFA" w:rsidP="00E57A6F">
      <w:pPr>
        <w:jc w:val="both"/>
      </w:pPr>
      <w:r w:rsidRPr="00F81074">
        <w:t>Quando la Presidenza del Consiglio dei Ministri, con l</w:t>
      </w:r>
      <w:r w:rsidR="00384D07" w:rsidRPr="00F81074">
        <w:t>a</w:t>
      </w:r>
      <w:r w:rsidR="00924278" w:rsidRPr="00F81074">
        <w:t xml:space="preserve"> circolare </w:t>
      </w:r>
      <w:proofErr w:type="gramStart"/>
      <w:r w:rsidR="00924278" w:rsidRPr="00F81074">
        <w:t>1 marzo</w:t>
      </w:r>
      <w:proofErr w:type="gramEnd"/>
      <w:r w:rsidR="00924278" w:rsidRPr="00F81074">
        <w:t xml:space="preserve"> 2002, n. 3944, </w:t>
      </w:r>
      <w:r w:rsidRPr="00F81074">
        <w:t>mise mano all’indicazione de</w:t>
      </w:r>
      <w:r w:rsidR="00924278" w:rsidRPr="00F81074">
        <w:t>i principi comunitari da ritenersi vincolanti per tutte le forme di concessione</w:t>
      </w:r>
      <w:r w:rsidRPr="00F81074">
        <w:t xml:space="preserve">, non </w:t>
      </w:r>
      <w:proofErr w:type="spellStart"/>
      <w:r w:rsidRPr="00F81074">
        <w:t>potè</w:t>
      </w:r>
      <w:proofErr w:type="spellEnd"/>
      <w:r w:rsidRPr="00F81074">
        <w:t xml:space="preserve"> quindi fare altro che </w:t>
      </w:r>
      <w:r w:rsidR="00E94526">
        <w:t xml:space="preserve">limitarsi a </w:t>
      </w:r>
      <w:r w:rsidRPr="00F81074">
        <w:t xml:space="preserve">delineare </w:t>
      </w:r>
      <w:r w:rsidR="00E50D1C" w:rsidRPr="00F81074">
        <w:t>i criteri distintivi tra concessione di servizi e appalti di servizi.</w:t>
      </w:r>
    </w:p>
    <w:p w14:paraId="6B460684" w14:textId="77777777" w:rsidR="004A6DFA" w:rsidRPr="00F81074" w:rsidRDefault="004A6DFA" w:rsidP="00E57A6F">
      <w:pPr>
        <w:jc w:val="both"/>
      </w:pPr>
    </w:p>
    <w:p w14:paraId="398D1448" w14:textId="77777777" w:rsidR="004A6DFA" w:rsidRPr="00F81074" w:rsidRDefault="00B961B8" w:rsidP="00E57A6F">
      <w:pPr>
        <w:jc w:val="both"/>
      </w:pPr>
      <w:r w:rsidRPr="00F81074">
        <w:t xml:space="preserve">A differenza di ciò che accade nell’appalto, al concessionario di servizio viene riconosciuto, in luogo di un corrispettivo, il solo diritto a ottenere la remunerazione dell’attività svolta attraverso la possibilità di gestire il servizio stesso per un determinato periodo di tempo. </w:t>
      </w:r>
    </w:p>
    <w:p w14:paraId="38BD70B9" w14:textId="77777777" w:rsidR="004A6DFA" w:rsidRPr="00F81074" w:rsidRDefault="004A6DFA" w:rsidP="00E57A6F">
      <w:pPr>
        <w:jc w:val="both"/>
      </w:pPr>
    </w:p>
    <w:p w14:paraId="42697054" w14:textId="744FE97E" w:rsidR="00B961B8" w:rsidRPr="00F81074" w:rsidRDefault="00B961B8" w:rsidP="00E57A6F">
      <w:pPr>
        <w:jc w:val="both"/>
      </w:pPr>
      <w:r w:rsidRPr="00F81074">
        <w:t>Si ha dunque concessione di servizi quando l’operatore assume su di sé i rischi connessi alla gestione, rivalendosi sull’utente attraverso la riscossione di canoni.</w:t>
      </w:r>
    </w:p>
    <w:p w14:paraId="7624FF60" w14:textId="77777777" w:rsidR="004A6DFA" w:rsidRPr="00F81074" w:rsidRDefault="004A6DFA" w:rsidP="00E57A6F">
      <w:pPr>
        <w:jc w:val="both"/>
      </w:pPr>
    </w:p>
    <w:p w14:paraId="5F8EBC51" w14:textId="173F0566" w:rsidR="00B961B8" w:rsidRPr="00F81074" w:rsidRDefault="00B961B8" w:rsidP="00E57A6F">
      <w:pPr>
        <w:jc w:val="both"/>
      </w:pPr>
      <w:r w:rsidRPr="00F81074">
        <w:t>Quindi, mentre l’appalto di servizi e di lavori pubblici riguarda prestazioni rese  dall’appaltatore direttamente a favore della PA appaltante, la concessione produce un rapporto più complesso che si articola su tre soggetti: l’</w:t>
      </w:r>
      <w:r w:rsidR="004A6DFA" w:rsidRPr="00F81074">
        <w:t>A</w:t>
      </w:r>
      <w:r w:rsidRPr="00F81074">
        <w:t>mministrazione, il concessionario e gli utenti (ciò è stato affermato anche dalla Corte di Giustizia europea nella sentenza 18 luglio 2007, adottata nella causa C-382/05: i fattori determinanti ai fini della distinzione tra appalto e concessione devono essere ravvi</w:t>
      </w:r>
      <w:r w:rsidR="004A6DFA" w:rsidRPr="00F81074">
        <w:t>sa</w:t>
      </w:r>
      <w:r w:rsidRPr="00F81074">
        <w:t>ti nell’assunzione del rischio di gestione e nel meccanismo di remunerazione dell’investimento</w:t>
      </w:r>
      <w:r w:rsidR="00087751" w:rsidRPr="00F81074">
        <w:t>. La Corte ha</w:t>
      </w:r>
      <w:r w:rsidR="00E94526">
        <w:t>,</w:t>
      </w:r>
      <w:r w:rsidR="00087751" w:rsidRPr="00F81074">
        <w:t xml:space="preserve"> nell’occasione</w:t>
      </w:r>
      <w:r w:rsidR="00E94526">
        <w:t>,</w:t>
      </w:r>
      <w:r w:rsidR="00087751" w:rsidRPr="00F81074">
        <w:t xml:space="preserve"> affermato la necessità di accertare la sussistenza del rischio in modo rigoroso</w:t>
      </w:r>
      <w:r w:rsidRPr="00F81074">
        <w:t>).</w:t>
      </w:r>
    </w:p>
    <w:p w14:paraId="2C290BA9" w14:textId="77777777" w:rsidR="004A6DFA" w:rsidRPr="00F81074" w:rsidRDefault="004A6DFA" w:rsidP="00E57A6F">
      <w:pPr>
        <w:jc w:val="both"/>
      </w:pPr>
    </w:p>
    <w:p w14:paraId="2870C789" w14:textId="2E42267C" w:rsidR="00087751" w:rsidRPr="00F81074" w:rsidRDefault="00087751" w:rsidP="00E57A6F">
      <w:pPr>
        <w:jc w:val="both"/>
      </w:pPr>
      <w:r w:rsidRPr="00F81074">
        <w:t xml:space="preserve">Già negli anni 2000, la dottrina </w:t>
      </w:r>
      <w:r w:rsidR="004A6DFA" w:rsidRPr="00F81074">
        <w:t>inizia</w:t>
      </w:r>
      <w:r w:rsidRPr="00F81074">
        <w:t xml:space="preserve"> a evidenziare come la concessione di servizi pubblici fosse divenuta, grazie all’influsso dello spirito comunitario, un imprescindibile strumento di cooperazione tra soggetto pubblico e soggetto privato</w:t>
      </w:r>
      <w:r w:rsidR="00970464" w:rsidRPr="00F81074">
        <w:t xml:space="preserve"> (che pone </w:t>
      </w:r>
      <w:r w:rsidRPr="00F81074">
        <w:t>a disposizione dell’Amministrazione e, dunque, della collettività, i propri capitali e la propria capacità imprenditoriale</w:t>
      </w:r>
      <w:r w:rsidR="00970464" w:rsidRPr="00F81074">
        <w:t>)</w:t>
      </w:r>
      <w:r w:rsidRPr="00F81074">
        <w:t>, laddove l’appalto continuava</w:t>
      </w:r>
      <w:r w:rsidR="00E94526">
        <w:t>, invece,</w:t>
      </w:r>
      <w:r w:rsidRPr="00F81074">
        <w:t xml:space="preserve"> a rimanere lo strumento tipico di affidamento del servizio a terzi.</w:t>
      </w:r>
    </w:p>
    <w:p w14:paraId="385BE1DF" w14:textId="77777777" w:rsidR="00594227" w:rsidRPr="00F81074" w:rsidRDefault="00594227" w:rsidP="00E57A6F">
      <w:pPr>
        <w:jc w:val="both"/>
      </w:pPr>
    </w:p>
    <w:p w14:paraId="619BABAE" w14:textId="4062D851" w:rsidR="004A6DFA" w:rsidRPr="00F81074" w:rsidRDefault="00CD7A81" w:rsidP="00E57A6F">
      <w:pPr>
        <w:jc w:val="both"/>
        <w:rPr>
          <w:b/>
          <w:bCs/>
        </w:rPr>
      </w:pPr>
      <w:r>
        <w:rPr>
          <w:b/>
          <w:bCs/>
        </w:rPr>
        <w:t>6</w:t>
      </w:r>
      <w:r w:rsidR="00DE5B53" w:rsidRPr="00F81074">
        <w:rPr>
          <w:b/>
          <w:bCs/>
        </w:rPr>
        <w:t xml:space="preserve">. </w:t>
      </w:r>
      <w:bookmarkStart w:id="3" w:name="_Hlk213603499"/>
      <w:r w:rsidR="004A6DFA" w:rsidRPr="00F81074">
        <w:rPr>
          <w:b/>
          <w:bCs/>
        </w:rPr>
        <w:t>La concessione nell’attuale Codice dei contratti pubblici</w:t>
      </w:r>
      <w:bookmarkEnd w:id="3"/>
    </w:p>
    <w:p w14:paraId="024D203B" w14:textId="77777777" w:rsidR="00BE1085" w:rsidRPr="00F81074" w:rsidRDefault="00BE1085" w:rsidP="00E57A6F">
      <w:pPr>
        <w:jc w:val="both"/>
        <w:rPr>
          <w:b/>
          <w:bCs/>
        </w:rPr>
      </w:pPr>
    </w:p>
    <w:p w14:paraId="53428321" w14:textId="30F58370" w:rsidR="00E57A6F" w:rsidRPr="00F81074" w:rsidRDefault="00E57A6F" w:rsidP="00E57A6F">
      <w:pPr>
        <w:jc w:val="both"/>
      </w:pPr>
      <w:r w:rsidRPr="00F81074">
        <w:t>Nel</w:t>
      </w:r>
      <w:r w:rsidR="005B2E3F" w:rsidRPr="00F81074">
        <w:t xml:space="preserve">l’attuale </w:t>
      </w:r>
      <w:r w:rsidR="00970464" w:rsidRPr="00F81074">
        <w:t>C</w:t>
      </w:r>
      <w:r w:rsidRPr="00F81074">
        <w:t xml:space="preserve">odice dei contratti pubblici </w:t>
      </w:r>
      <w:r w:rsidR="002044C5" w:rsidRPr="00F81074">
        <w:t xml:space="preserve">la concessione </w:t>
      </w:r>
      <w:r w:rsidR="00E94526">
        <w:t xml:space="preserve">– come detto - </w:t>
      </w:r>
      <w:r w:rsidRPr="00F81074">
        <w:t xml:space="preserve">è </w:t>
      </w:r>
      <w:r w:rsidR="00E94526">
        <w:t xml:space="preserve">divenuta </w:t>
      </w:r>
      <w:r w:rsidRPr="00F81074">
        <w:t>la figura principale di partenariato pubblico privato</w:t>
      </w:r>
      <w:r w:rsidR="005326BF" w:rsidRPr="00F81074">
        <w:t>.</w:t>
      </w:r>
    </w:p>
    <w:p w14:paraId="39AD5976" w14:textId="5355ED95" w:rsidR="00E57A6F" w:rsidRPr="00F81074" w:rsidRDefault="00E57A6F" w:rsidP="00E57A6F">
      <w:pPr>
        <w:jc w:val="both"/>
      </w:pPr>
      <w:r w:rsidRPr="00F81074">
        <w:t xml:space="preserve"> </w:t>
      </w:r>
    </w:p>
    <w:p w14:paraId="4A4DE0DA" w14:textId="0BC5B2C3" w:rsidR="00E57A6F" w:rsidRPr="00F81074" w:rsidRDefault="00E57A6F" w:rsidP="00E57A6F">
      <w:pPr>
        <w:jc w:val="both"/>
      </w:pPr>
      <w:r w:rsidRPr="00F81074">
        <w:t xml:space="preserve">Ai sensi dell’art. 176, </w:t>
      </w:r>
      <w:r w:rsidR="00970464" w:rsidRPr="00F81074">
        <w:t xml:space="preserve">comma 2, </w:t>
      </w:r>
      <w:r w:rsidRPr="00F81074">
        <w:t>la disciplina prevista per i contratti di concessione si applica</w:t>
      </w:r>
      <w:r w:rsidR="00E94526">
        <w:t>, infatti,</w:t>
      </w:r>
      <w:r w:rsidRPr="00F81074">
        <w:t xml:space="preserve"> anche a quelli aventi ad oggetto i servizi economici di interesse generale (ferme restando le esclusioni di cui all’art. 181). </w:t>
      </w:r>
    </w:p>
    <w:p w14:paraId="5FBB996A" w14:textId="77777777" w:rsidR="002044C5" w:rsidRPr="00F81074" w:rsidRDefault="002044C5" w:rsidP="00E57A6F">
      <w:pPr>
        <w:jc w:val="both"/>
      </w:pPr>
    </w:p>
    <w:p w14:paraId="343EA065" w14:textId="2A24E207" w:rsidR="00E57A6F" w:rsidRPr="00F81074" w:rsidRDefault="00E57A6F" w:rsidP="00E57A6F">
      <w:pPr>
        <w:jc w:val="both"/>
      </w:pPr>
      <w:r w:rsidRPr="00F81074">
        <w:t xml:space="preserve">In questo modo </w:t>
      </w:r>
      <w:r w:rsidR="00E94526">
        <w:t xml:space="preserve">il Codice </w:t>
      </w:r>
      <w:r w:rsidR="00E94526" w:rsidRPr="00E94526">
        <w:t>ha voluto chiarire la questione, a fronte degli orientamenti, dottrinali e giurisprudenziali, secondo cui il contratto di concessione di servizi avrebbe dovuto distinguersi dalla concessione di servizio pubblico: oggetto del contratto di concessione, quindi, possono essere sia i servizi di interesse economico generale rivolti alla collettività, sia i servizi strumentali volti a soddisfare il fabbisogno interno dell’Amministrazione concedente, in questo ultimo caso fungendo da strumento alternativo all’appalto</w:t>
      </w:r>
      <w:r w:rsidR="00A371C3" w:rsidRPr="00F81074">
        <w:rPr>
          <w:rStyle w:val="Rimandonotaapidipagina"/>
        </w:rPr>
        <w:footnoteReference w:id="38"/>
      </w:r>
      <w:r w:rsidRPr="00F81074">
        <w:t>.</w:t>
      </w:r>
    </w:p>
    <w:p w14:paraId="00909666" w14:textId="77777777" w:rsidR="002044C5" w:rsidRPr="00F81074" w:rsidRDefault="002044C5" w:rsidP="00E57A6F">
      <w:pPr>
        <w:jc w:val="both"/>
      </w:pPr>
    </w:p>
    <w:p w14:paraId="619C20A6" w14:textId="29F12A2A" w:rsidR="00E57A6F" w:rsidRPr="00F81074" w:rsidRDefault="00E57A6F" w:rsidP="00E57A6F">
      <w:pPr>
        <w:jc w:val="both"/>
      </w:pPr>
      <w:r w:rsidRPr="00F81074">
        <w:t xml:space="preserve">Tuttavia, la disciplina della relazione contrattuale tra </w:t>
      </w:r>
      <w:r w:rsidR="002044C5" w:rsidRPr="00F81074">
        <w:t>A</w:t>
      </w:r>
      <w:r w:rsidRPr="00F81074">
        <w:t xml:space="preserve">mministrazione pubblica e gestore di un servizio di interesse economico generale risulta dalla combinazione di due corpi normativi: la contrattualistica pubblica e la regolazione dei servizi di interesse economico generale (in questo </w:t>
      </w:r>
      <w:r w:rsidRPr="00F81074">
        <w:lastRenderedPageBreak/>
        <w:t xml:space="preserve">senso, il principale riferimento è il </w:t>
      </w:r>
      <w:proofErr w:type="spellStart"/>
      <w:r w:rsidRPr="00F81074">
        <w:t>D.Lgs.</w:t>
      </w:r>
      <w:proofErr w:type="spellEnd"/>
      <w:r w:rsidRPr="00F81074">
        <w:t xml:space="preserve">  </w:t>
      </w:r>
      <w:r w:rsidR="00E94526" w:rsidRPr="00E94526">
        <w:t xml:space="preserve">23 dicembre </w:t>
      </w:r>
      <w:r w:rsidR="004A0322" w:rsidRPr="00F81074">
        <w:t>2022</w:t>
      </w:r>
      <w:r w:rsidR="004A0322">
        <w:t xml:space="preserve">, </w:t>
      </w:r>
      <w:r w:rsidRPr="00F81074">
        <w:t xml:space="preserve">n. 201 </w:t>
      </w:r>
      <w:r w:rsidR="00970464" w:rsidRPr="00F81074">
        <w:t>di “</w:t>
      </w:r>
      <w:r w:rsidR="00970464" w:rsidRPr="00F81074">
        <w:rPr>
          <w:i/>
          <w:iCs/>
        </w:rPr>
        <w:t>Riordino della disciplina dei servizi pubblici locali di rilevanza economica</w:t>
      </w:r>
      <w:r w:rsidR="00970464" w:rsidRPr="00F81074">
        <w:t>”</w:t>
      </w:r>
      <w:r w:rsidRPr="00F81074">
        <w:t xml:space="preserve">). </w:t>
      </w:r>
    </w:p>
    <w:p w14:paraId="7C4421F1" w14:textId="77777777" w:rsidR="002044C5" w:rsidRPr="00F81074" w:rsidRDefault="002044C5" w:rsidP="00E57A6F">
      <w:pPr>
        <w:jc w:val="both"/>
      </w:pPr>
    </w:p>
    <w:p w14:paraId="08D4204C" w14:textId="70935313" w:rsidR="00811B68" w:rsidRPr="00F81074" w:rsidRDefault="002044C5" w:rsidP="00E57A6F">
      <w:pPr>
        <w:jc w:val="both"/>
      </w:pPr>
      <w:r w:rsidRPr="00F81074">
        <w:t>Il</w:t>
      </w:r>
      <w:r w:rsidR="002A79C7" w:rsidRPr="00F81074">
        <w:t xml:space="preserve"> contratto di concessione è disciplinato dall’art. 177</w:t>
      </w:r>
      <w:r w:rsidR="004A0322">
        <w:t xml:space="preserve"> del Codice</w:t>
      </w:r>
      <w:r w:rsidR="00811B68" w:rsidRPr="00F81074">
        <w:t>, che</w:t>
      </w:r>
      <w:r w:rsidR="002A79C7" w:rsidRPr="00F81074">
        <w:t xml:space="preserve"> individua il trasferimento del rischio operativo come </w:t>
      </w:r>
      <w:r w:rsidR="004A0322">
        <w:t xml:space="preserve">suo </w:t>
      </w:r>
      <w:r w:rsidR="002A79C7" w:rsidRPr="00F81074">
        <w:t>elemento caratterizzante</w:t>
      </w:r>
      <w:r w:rsidR="00811B68" w:rsidRPr="00F81074">
        <w:t>: l</w:t>
      </w:r>
      <w:r w:rsidR="00E57A6F" w:rsidRPr="00F81074">
        <w:t>'aggiudicazione di una concessione comporta il trasferimento al concessionario di un rischio operativo legato alla realizzazione dei lavori o alla gestione dei servizi</w:t>
      </w:r>
      <w:r w:rsidR="00E21E8D" w:rsidRPr="00F81074">
        <w:t>, declinato sia</w:t>
      </w:r>
      <w:r w:rsidR="00E57A6F" w:rsidRPr="00F81074">
        <w:t xml:space="preserve"> dal lato della domanda </w:t>
      </w:r>
      <w:r w:rsidR="00E21E8D" w:rsidRPr="00F81074">
        <w:t>che</w:t>
      </w:r>
      <w:r w:rsidR="00E57A6F" w:rsidRPr="00F81074">
        <w:t xml:space="preserve"> dal lato dell'offerta o da entrambi. </w:t>
      </w:r>
    </w:p>
    <w:p w14:paraId="4D26C8F4" w14:textId="77777777" w:rsidR="00811B68" w:rsidRPr="00F81074" w:rsidRDefault="00811B68" w:rsidP="00E57A6F">
      <w:pPr>
        <w:jc w:val="both"/>
      </w:pPr>
    </w:p>
    <w:p w14:paraId="109FE33E" w14:textId="5BFEA6BA" w:rsidR="00811B68" w:rsidRPr="00F81074" w:rsidRDefault="00E57A6F" w:rsidP="00811B68">
      <w:pPr>
        <w:jc w:val="both"/>
      </w:pPr>
      <w:r w:rsidRPr="00F81074">
        <w:t>Per rischio dal lato della domanda si intende il rischio associato alla domanda effettiva di lavori o servizi che sono oggetto del contratto</w:t>
      </w:r>
      <w:r w:rsidR="00C05AEC" w:rsidRPr="00F81074">
        <w:t>, mentre per</w:t>
      </w:r>
      <w:r w:rsidRPr="00F81074">
        <w:t xml:space="preserve"> rischio dal lato dell'offerta si intende </w:t>
      </w:r>
      <w:r w:rsidR="00C05AEC" w:rsidRPr="00F81074">
        <w:t>quello</w:t>
      </w:r>
      <w:r w:rsidRPr="00F81074">
        <w:t xml:space="preserve"> associato all'offerta dei lavori o servizi che sono oggetto del contratto, in particolare il rischio che la fornitura di servizi non corrisponda al livello qualitativo e quantitativo dedotto in contratto. </w:t>
      </w:r>
    </w:p>
    <w:p w14:paraId="2C70C091" w14:textId="77777777" w:rsidR="00811B68" w:rsidRPr="00F81074" w:rsidRDefault="00811B68" w:rsidP="00811B68">
      <w:pPr>
        <w:jc w:val="both"/>
      </w:pPr>
    </w:p>
    <w:p w14:paraId="707C3AAA" w14:textId="4239638B" w:rsidR="00811B68" w:rsidRPr="00F81074" w:rsidRDefault="00811B68" w:rsidP="00811B68">
      <w:pPr>
        <w:jc w:val="both"/>
      </w:pPr>
      <w:r w:rsidRPr="00F81074">
        <w:t>Il rischio operativo rilevante ai fini della qualificazione dell'operazione economica come concessione è quello che deriva da fattori eccezionali non prevedibili e non imputabili alle parti</w:t>
      </w:r>
      <w:r w:rsidR="00C05AEC" w:rsidRPr="00F81074">
        <w:t xml:space="preserve"> e n</w:t>
      </w:r>
      <w:r w:rsidRPr="00F81074">
        <w:t>on rilevano</w:t>
      </w:r>
      <w:r w:rsidR="00C05AEC" w:rsidRPr="00F81074">
        <w:t>, dunque,</w:t>
      </w:r>
      <w:r w:rsidRPr="00F81074">
        <w:t xml:space="preserve"> i rischi connessi a cattiva gestione, a inadempimenti contrattuali dell'operatore economico o a cause di forza maggiore.</w:t>
      </w:r>
    </w:p>
    <w:p w14:paraId="1C8176CF" w14:textId="77777777" w:rsidR="002044C5" w:rsidRPr="00F81074" w:rsidRDefault="002044C5" w:rsidP="00E57A6F">
      <w:pPr>
        <w:jc w:val="both"/>
        <w:rPr>
          <w:i/>
          <w:iCs/>
        </w:rPr>
      </w:pPr>
    </w:p>
    <w:p w14:paraId="7E36D604" w14:textId="061A9B41" w:rsidR="003757B4" w:rsidRPr="00F81074" w:rsidRDefault="00970464" w:rsidP="003757B4">
      <w:pPr>
        <w:jc w:val="both"/>
      </w:pPr>
      <w:r w:rsidRPr="00F81074">
        <w:t>Con riferimento alla “effettività” della traslazione, s</w:t>
      </w:r>
      <w:r w:rsidR="003757B4" w:rsidRPr="00F81074">
        <w:t xml:space="preserve">i considera che il concessionario abbia assunto il rischio operativo quando, in condizioni operative normali, non sia garantito il recupero degli investimenti effettuati o dei costi sostenuti per la gestione dei lavori o dei servizi oggetto della concessione. </w:t>
      </w:r>
    </w:p>
    <w:p w14:paraId="2FD07CB3" w14:textId="77777777" w:rsidR="003757B4" w:rsidRPr="00F81074" w:rsidRDefault="003757B4" w:rsidP="003757B4">
      <w:pPr>
        <w:jc w:val="both"/>
      </w:pPr>
    </w:p>
    <w:p w14:paraId="3EE0EA48" w14:textId="6C4C992B" w:rsidR="003757B4" w:rsidRPr="00F81074" w:rsidRDefault="003757B4" w:rsidP="003757B4">
      <w:pPr>
        <w:jc w:val="both"/>
      </w:pPr>
      <w:r w:rsidRPr="00F81074">
        <w:t xml:space="preserve">La parte del rischio trasferita al concessionario deve comportare una effettiva esposizione alle fluttuazioni del mercato tale per cui ogni potenziale perdita stimata subita dal concessionario non sia puramente nominale o trascurabile. </w:t>
      </w:r>
    </w:p>
    <w:p w14:paraId="0FD6A182" w14:textId="77777777" w:rsidR="003757B4" w:rsidRPr="00F81074" w:rsidRDefault="003757B4" w:rsidP="003757B4">
      <w:pPr>
        <w:jc w:val="both"/>
      </w:pPr>
    </w:p>
    <w:p w14:paraId="4BE15A0A" w14:textId="11C58D8F" w:rsidR="004F7A5D" w:rsidRPr="00F81074" w:rsidRDefault="003757B4" w:rsidP="004F7A5D">
      <w:pPr>
        <w:jc w:val="both"/>
      </w:pPr>
      <w:r w:rsidRPr="00F81074">
        <w:t>Sono ammesse</w:t>
      </w:r>
      <w:r w:rsidR="004F7A5D" w:rsidRPr="00F81074">
        <w:t xml:space="preserve"> anche traslazioni parziali purché la parte </w:t>
      </w:r>
      <w:r w:rsidRPr="00F81074">
        <w:t xml:space="preserve">del rischio </w:t>
      </w:r>
      <w:r w:rsidR="004F7A5D" w:rsidRPr="00F81074">
        <w:t>trasferita al privato lo esponga effettivamente alle fluttuazioni di mercato.</w:t>
      </w:r>
    </w:p>
    <w:p w14:paraId="7D3C57E9" w14:textId="77777777" w:rsidR="00C05AEC" w:rsidRPr="00F81074" w:rsidRDefault="00C05AEC" w:rsidP="004F7A5D">
      <w:pPr>
        <w:jc w:val="both"/>
      </w:pPr>
    </w:p>
    <w:p w14:paraId="615A0E19" w14:textId="2101A800" w:rsidR="00C05AEC" w:rsidRPr="00F81074" w:rsidRDefault="00CD7A81" w:rsidP="004F7A5D">
      <w:pPr>
        <w:jc w:val="both"/>
        <w:rPr>
          <w:b/>
          <w:bCs/>
        </w:rPr>
      </w:pPr>
      <w:r>
        <w:rPr>
          <w:b/>
          <w:bCs/>
        </w:rPr>
        <w:t>7</w:t>
      </w:r>
      <w:r w:rsidR="00DE5B53" w:rsidRPr="00F81074">
        <w:rPr>
          <w:b/>
          <w:bCs/>
        </w:rPr>
        <w:t xml:space="preserve">. </w:t>
      </w:r>
      <w:bookmarkStart w:id="5" w:name="_Hlk213603627"/>
      <w:r w:rsidR="00F81074">
        <w:rPr>
          <w:b/>
          <w:bCs/>
        </w:rPr>
        <w:t>T</w:t>
      </w:r>
      <w:r w:rsidR="00C05AEC" w:rsidRPr="00F81074">
        <w:rPr>
          <w:b/>
          <w:bCs/>
        </w:rPr>
        <w:t xml:space="preserve">rasferimento e allocazione </w:t>
      </w:r>
      <w:r w:rsidR="00F81074">
        <w:rPr>
          <w:b/>
          <w:bCs/>
        </w:rPr>
        <w:t>presso l’operatore pr</w:t>
      </w:r>
      <w:r w:rsidR="00E94526">
        <w:rPr>
          <w:b/>
          <w:bCs/>
        </w:rPr>
        <w:t>i</w:t>
      </w:r>
      <w:r w:rsidR="00F81074">
        <w:rPr>
          <w:b/>
          <w:bCs/>
        </w:rPr>
        <w:t xml:space="preserve">vato </w:t>
      </w:r>
      <w:r w:rsidR="00C05AEC" w:rsidRPr="00F81074">
        <w:rPr>
          <w:b/>
          <w:bCs/>
        </w:rPr>
        <w:t xml:space="preserve">del rischio </w:t>
      </w:r>
      <w:r w:rsidR="00F81074">
        <w:rPr>
          <w:b/>
          <w:bCs/>
        </w:rPr>
        <w:t>operativo</w:t>
      </w:r>
    </w:p>
    <w:bookmarkEnd w:id="5"/>
    <w:p w14:paraId="3006B5A9" w14:textId="77777777" w:rsidR="002044C5" w:rsidRPr="00F81074" w:rsidRDefault="002044C5" w:rsidP="00E57A6F">
      <w:pPr>
        <w:jc w:val="both"/>
      </w:pPr>
    </w:p>
    <w:p w14:paraId="2459F13B" w14:textId="60D7C585" w:rsidR="00E57A6F" w:rsidRPr="00F81074" w:rsidRDefault="003757B4" w:rsidP="00E57A6F">
      <w:pPr>
        <w:jc w:val="both"/>
      </w:pPr>
      <w:r w:rsidRPr="00F81074">
        <w:t>Se</w:t>
      </w:r>
      <w:r w:rsidR="00E57A6F" w:rsidRPr="00F81074">
        <w:t xml:space="preserve"> il trasferimento </w:t>
      </w:r>
      <w:r w:rsidR="00C05AEC" w:rsidRPr="00F81074">
        <w:t xml:space="preserve">(momento dinamico) </w:t>
      </w:r>
      <w:r w:rsidR="00E57A6F" w:rsidRPr="00F81074">
        <w:t xml:space="preserve">del rischio deve essere </w:t>
      </w:r>
      <w:r w:rsidRPr="00F81074">
        <w:t>“</w:t>
      </w:r>
      <w:r w:rsidR="00E57A6F" w:rsidRPr="00F81074">
        <w:t>effettivo</w:t>
      </w:r>
      <w:r w:rsidRPr="00F81074">
        <w:t>”,</w:t>
      </w:r>
      <w:r w:rsidR="00E57A6F" w:rsidRPr="00F81074">
        <w:t xml:space="preserve"> </w:t>
      </w:r>
      <w:r w:rsidRPr="00F81074">
        <w:t xml:space="preserve">la sua allocazione </w:t>
      </w:r>
      <w:r w:rsidR="00C05AEC" w:rsidRPr="00F81074">
        <w:t xml:space="preserve">(momento statico) presso l’operatore privato </w:t>
      </w:r>
      <w:r w:rsidRPr="00F81074">
        <w:t>deve essere</w:t>
      </w:r>
      <w:r w:rsidR="00C05AEC" w:rsidRPr="00F81074">
        <w:t xml:space="preserve">, oltre che effettiva, anche e più propriamente </w:t>
      </w:r>
      <w:r w:rsidRPr="00F81074">
        <w:t>“</w:t>
      </w:r>
      <w:r w:rsidR="00E57A6F" w:rsidRPr="00F81074">
        <w:t>corretta</w:t>
      </w:r>
      <w:r w:rsidRPr="00F81074">
        <w:t>”</w:t>
      </w:r>
      <w:r w:rsidR="00E57A6F" w:rsidRPr="00F81074">
        <w:t>.</w:t>
      </w:r>
    </w:p>
    <w:p w14:paraId="55B57A69" w14:textId="77777777" w:rsidR="002044C5" w:rsidRPr="00F81074" w:rsidRDefault="002044C5" w:rsidP="00E57A6F">
      <w:pPr>
        <w:jc w:val="both"/>
      </w:pPr>
    </w:p>
    <w:p w14:paraId="298835F5" w14:textId="0D2F9255" w:rsidR="00E57A6F" w:rsidRPr="00F81074" w:rsidRDefault="00E57A6F" w:rsidP="00E57A6F">
      <w:pPr>
        <w:jc w:val="both"/>
      </w:pPr>
      <w:r w:rsidRPr="00F81074">
        <w:t xml:space="preserve">La corretta allocazione dei rischi è </w:t>
      </w:r>
      <w:r w:rsidR="0010592D" w:rsidRPr="00F81074">
        <w:t>imprescindibile</w:t>
      </w:r>
      <w:r w:rsidRPr="00F81074">
        <w:t xml:space="preserve"> per qualificare il contratto come concessione e </w:t>
      </w:r>
      <w:r w:rsidR="00811B68" w:rsidRPr="00F81074">
        <w:t xml:space="preserve">ciò </w:t>
      </w:r>
      <w:r w:rsidRPr="00F81074">
        <w:t>passa necessariamente dalla attenta definizione del Piano economico finanziario, quale strumento indispensabile per verificare la concreta capacità del concorrente di eseguire correttamente la prestazione per l’intero arco temporale prescelto attraverso la responsabile prospettazione di un equilibrio economico finanziario del contratto stesso.</w:t>
      </w:r>
    </w:p>
    <w:p w14:paraId="0385FBD5" w14:textId="77777777" w:rsidR="003757B4" w:rsidRPr="00F81074" w:rsidRDefault="003757B4" w:rsidP="003757B4">
      <w:pPr>
        <w:jc w:val="both"/>
        <w:rPr>
          <w:i/>
          <w:iCs/>
        </w:rPr>
      </w:pPr>
    </w:p>
    <w:p w14:paraId="0ED50DFF" w14:textId="03B30F60" w:rsidR="003757B4" w:rsidRPr="00F81074" w:rsidRDefault="003757B4" w:rsidP="003757B4">
      <w:pPr>
        <w:jc w:val="both"/>
      </w:pPr>
      <w:r w:rsidRPr="00F81074">
        <w:t xml:space="preserve">L'assetto di interessi dedotto nel contratto di concessione deve garantire la conservazione dell'equilibrio economico-finanziario, intendendosi per tale la contemporanea presenza delle condizioni di convenienza economica e </w:t>
      </w:r>
      <w:r w:rsidR="00C05AEC" w:rsidRPr="00F81074">
        <w:t xml:space="preserve">di </w:t>
      </w:r>
      <w:r w:rsidRPr="00F81074">
        <w:t>sostenibilità finanziaria</w:t>
      </w:r>
      <w:r w:rsidR="00970464" w:rsidRPr="00F81074">
        <w:t>: l</w:t>
      </w:r>
      <w:r w:rsidRPr="00F81074">
        <w:t>'equilibrio economico-finanziario sussiste quando i ricavi attesi del progetto sono in grado di coprire i costi operativi e i costi di investimento, di remunerare e rimborsare il capitale di debito e di remunerare il capitale di rischio.</w:t>
      </w:r>
    </w:p>
    <w:p w14:paraId="549CE7E6" w14:textId="77777777" w:rsidR="00610B7C" w:rsidRPr="00F81074" w:rsidRDefault="00610B7C" w:rsidP="00610B7C">
      <w:pPr>
        <w:jc w:val="both"/>
      </w:pPr>
    </w:p>
    <w:p w14:paraId="7EEC6A12" w14:textId="52C99ABC" w:rsidR="00811B68" w:rsidRPr="00F81074" w:rsidRDefault="00610B7C" w:rsidP="00610B7C">
      <w:pPr>
        <w:jc w:val="both"/>
      </w:pPr>
      <w:r w:rsidRPr="00F81074">
        <w:t>L’art. 175, comma 2</w:t>
      </w:r>
      <w:r w:rsidR="00983E49" w:rsidRPr="00F81074">
        <w:t xml:space="preserve">, </w:t>
      </w:r>
      <w:r w:rsidRPr="00F81074">
        <w:t xml:space="preserve">ha previsto in modo esplicito che il ricorso al </w:t>
      </w:r>
      <w:r w:rsidR="00DC7DCD">
        <w:t>partenariato</w:t>
      </w:r>
      <w:r w:rsidRPr="00F81074">
        <w:t xml:space="preserve"> debba essere preceduto da una valutazione preliminare di convenienza e fattibilità</w:t>
      </w:r>
      <w:r w:rsidR="00983E49" w:rsidRPr="00F81074">
        <w:t xml:space="preserve"> che si deve incentrare, oltre che </w:t>
      </w:r>
      <w:r w:rsidR="00983E49" w:rsidRPr="00F81074">
        <w:lastRenderedPageBreak/>
        <w:t>sull’idoneità del progetto ad essere finanziato con risorse private, anche sulla “efficiente allocazione del rischio operativo”</w:t>
      </w:r>
      <w:r w:rsidR="005D7256" w:rsidRPr="00F81074">
        <w:rPr>
          <w:vertAlign w:val="superscript"/>
        </w:rPr>
        <w:t xml:space="preserve"> </w:t>
      </w:r>
      <w:r w:rsidR="005D7256" w:rsidRPr="00F81074">
        <w:rPr>
          <w:vertAlign w:val="superscript"/>
        </w:rPr>
        <w:footnoteReference w:id="39"/>
      </w:r>
      <w:r w:rsidR="00983E49" w:rsidRPr="00F81074">
        <w:t>.</w:t>
      </w:r>
    </w:p>
    <w:p w14:paraId="15E7A790" w14:textId="77777777" w:rsidR="00983E49" w:rsidRPr="00F81074" w:rsidRDefault="00983E49" w:rsidP="00610B7C">
      <w:pPr>
        <w:jc w:val="both"/>
      </w:pPr>
    </w:p>
    <w:p w14:paraId="301DC07B" w14:textId="77777777" w:rsidR="00610B7C" w:rsidRPr="00F81074" w:rsidRDefault="00610B7C" w:rsidP="00610B7C">
      <w:pPr>
        <w:jc w:val="both"/>
      </w:pPr>
      <w:r w:rsidRPr="00F81074">
        <w:t>La disposizione, tuttavia, non chiarisce quando l’allocazione del rischio debba ritenersi efficientemente realizzata.</w:t>
      </w:r>
    </w:p>
    <w:p w14:paraId="0B07DBE9" w14:textId="77777777" w:rsidR="00811B68" w:rsidRPr="00F81074" w:rsidRDefault="00811B68" w:rsidP="00610B7C">
      <w:pPr>
        <w:jc w:val="both"/>
      </w:pPr>
    </w:p>
    <w:p w14:paraId="006DED54" w14:textId="4590F06C" w:rsidR="00610B7C" w:rsidRPr="00F81074" w:rsidRDefault="00C05AEC" w:rsidP="00610B7C">
      <w:pPr>
        <w:jc w:val="both"/>
      </w:pPr>
      <w:r w:rsidRPr="00F81074">
        <w:t>L’attuale</w:t>
      </w:r>
      <w:r w:rsidR="00610B7C" w:rsidRPr="00F81074">
        <w:t xml:space="preserve"> </w:t>
      </w:r>
      <w:r w:rsidRPr="00F81074">
        <w:t>C</w:t>
      </w:r>
      <w:r w:rsidR="00610B7C" w:rsidRPr="00F81074">
        <w:t xml:space="preserve">odice si </w:t>
      </w:r>
      <w:r w:rsidRPr="00F81074">
        <w:t>discosta, sotto questo profilo,</w:t>
      </w:r>
      <w:r w:rsidR="00610B7C" w:rsidRPr="00F81074">
        <w:t xml:space="preserve"> dalla scelta effettuata nel 2016, in cui si dettava una tassonomia estremamente analitica dei rischi allocabili in capo alle parti dei contratti di </w:t>
      </w:r>
      <w:r w:rsidR="00DC7DCD">
        <w:t>partenariato</w:t>
      </w:r>
      <w:r w:rsidR="00610B7C" w:rsidRPr="00F81074">
        <w:t>, e ne abbozza solo alcuni tratti generali, demandandone la specificazione ad atti amministrativi generali (bandi-tipo, capitolati-tipo, contratti-tipo redatti da ANAC), o alla prassi amministrativa</w:t>
      </w:r>
      <w:r w:rsidR="00A049EE" w:rsidRPr="00F81074">
        <w:rPr>
          <w:vertAlign w:val="superscript"/>
        </w:rPr>
        <w:footnoteReference w:id="40"/>
      </w:r>
      <w:r w:rsidR="00610B7C" w:rsidRPr="00F81074">
        <w:t>.</w:t>
      </w:r>
    </w:p>
    <w:p w14:paraId="6C12D387" w14:textId="77777777" w:rsidR="001404D0" w:rsidRPr="00F81074" w:rsidRDefault="001404D0" w:rsidP="00610B7C">
      <w:pPr>
        <w:jc w:val="both"/>
      </w:pPr>
    </w:p>
    <w:p w14:paraId="1BF8DAF2" w14:textId="750D7A80" w:rsidR="001404D0" w:rsidRPr="00F81074" w:rsidRDefault="001404D0" w:rsidP="001404D0">
      <w:pPr>
        <w:jc w:val="both"/>
      </w:pPr>
      <w:r w:rsidRPr="00F81074">
        <w:t>Uno degli elementi che concorre a determinare l’equilibrio economico finanziario del rapporto è la durata della concessione, che, ai sensi dell’art. 178, è limitata e deve essere fissata dall’ente concedente valutando le caratteristiche del caso concreto in relazione ai lavori o ai servizi richiesti al concessionario.</w:t>
      </w:r>
    </w:p>
    <w:p w14:paraId="4C78E488" w14:textId="77777777" w:rsidR="001404D0" w:rsidRPr="00F81074" w:rsidRDefault="001404D0" w:rsidP="001404D0">
      <w:pPr>
        <w:jc w:val="both"/>
      </w:pPr>
    </w:p>
    <w:p w14:paraId="4AB495AE" w14:textId="77777777" w:rsidR="001404D0" w:rsidRPr="00F81074" w:rsidRDefault="001404D0" w:rsidP="001404D0">
      <w:pPr>
        <w:jc w:val="both"/>
      </w:pPr>
      <w:r w:rsidRPr="00F81074">
        <w:t>La durata massima della concessione deve essere indicata nei documenti di gara, a meno che essa non sia utilizzata come criterio di aggiudicazione del contratto.</w:t>
      </w:r>
    </w:p>
    <w:p w14:paraId="6361A372" w14:textId="77777777" w:rsidR="001404D0" w:rsidRPr="00F81074" w:rsidRDefault="001404D0" w:rsidP="001404D0">
      <w:pPr>
        <w:jc w:val="both"/>
      </w:pPr>
    </w:p>
    <w:p w14:paraId="5CB940FC" w14:textId="23FB388D" w:rsidR="001404D0" w:rsidRPr="00F81074" w:rsidRDefault="001404D0" w:rsidP="001404D0">
      <w:pPr>
        <w:jc w:val="both"/>
      </w:pPr>
      <w:r w:rsidRPr="00F81074">
        <w:t xml:space="preserve">Per le concessioni </w:t>
      </w:r>
      <w:proofErr w:type="spellStart"/>
      <w:r w:rsidRPr="00F81074">
        <w:t>ultraquinquennali</w:t>
      </w:r>
      <w:proofErr w:type="spellEnd"/>
      <w:r w:rsidRPr="00F81074">
        <w:t xml:space="preserve">, la durata massima non </w:t>
      </w:r>
      <w:r w:rsidR="00E94526">
        <w:t xml:space="preserve">deve </w:t>
      </w:r>
      <w:r w:rsidRPr="00F81074">
        <w:t>supera</w:t>
      </w:r>
      <w:r w:rsidR="00E94526">
        <w:t>re</w:t>
      </w:r>
      <w:r w:rsidRPr="00F81074">
        <w:t xml:space="preserve"> il periodo di tempo in cui si può ragionevolmente prevedere che il concessionario recuperi gli investimenti effettuati nell’esecuzione dei lavori o dei servizi, insieme con un ritorno sul capitale investito, tenuto conto degli investimenti necessari per conseguire gli obiettivi contrattuali specifici assunti dal concessionario per rispondere alle esigenze riguardanti, ad esempio, la qualità o il prezzo per gli utenti ovvero il perseguimento di elevati standard di sostenibilità ambientale.</w:t>
      </w:r>
    </w:p>
    <w:p w14:paraId="71265C6B" w14:textId="77777777" w:rsidR="0078585C" w:rsidRPr="00F81074" w:rsidRDefault="0078585C" w:rsidP="001404D0">
      <w:pPr>
        <w:jc w:val="both"/>
      </w:pPr>
    </w:p>
    <w:p w14:paraId="474FE901" w14:textId="358A1F67" w:rsidR="0010592D" w:rsidRDefault="00CD7A81" w:rsidP="0078585C">
      <w:pPr>
        <w:jc w:val="both"/>
        <w:rPr>
          <w:b/>
          <w:bCs/>
        </w:rPr>
      </w:pPr>
      <w:r>
        <w:rPr>
          <w:b/>
          <w:bCs/>
        </w:rPr>
        <w:t>8</w:t>
      </w:r>
      <w:r w:rsidR="00DE5B53" w:rsidRPr="00F81074">
        <w:rPr>
          <w:b/>
          <w:bCs/>
        </w:rPr>
        <w:t xml:space="preserve">. </w:t>
      </w:r>
      <w:r w:rsidR="0010592D" w:rsidRPr="00F81074">
        <w:rPr>
          <w:b/>
          <w:bCs/>
        </w:rPr>
        <w:t xml:space="preserve">La modifica dei contratti di concessione </w:t>
      </w:r>
    </w:p>
    <w:p w14:paraId="4AF5CCBC" w14:textId="77777777" w:rsidR="00CD7A81" w:rsidRPr="00F81074" w:rsidRDefault="00CD7A81" w:rsidP="0078585C">
      <w:pPr>
        <w:jc w:val="both"/>
      </w:pPr>
    </w:p>
    <w:p w14:paraId="71D3C705" w14:textId="00BDFEEC" w:rsidR="004F20DF" w:rsidRPr="00F81074" w:rsidRDefault="0010592D" w:rsidP="004F20DF">
      <w:pPr>
        <w:jc w:val="both"/>
      </w:pPr>
      <w:r w:rsidRPr="00F81074">
        <w:t>Ai sensi dell’art. 189</w:t>
      </w:r>
      <w:r w:rsidR="004A0322">
        <w:t xml:space="preserve"> del Codice</w:t>
      </w:r>
      <w:r w:rsidRPr="00F81074">
        <w:t>, l</w:t>
      </w:r>
      <w:r w:rsidR="004F20DF" w:rsidRPr="00F81074">
        <w:t xml:space="preserve">e concessioni possono essere modificate senza una nuova procedura di aggiudicazione nel caso in cui le </w:t>
      </w:r>
      <w:r w:rsidRPr="00F81074">
        <w:t>variazioni</w:t>
      </w:r>
      <w:r w:rsidR="004F20DF" w:rsidRPr="00F81074">
        <w:t>, a prescindere dal loro valore monetario, siano state previste nei documenti di gara iniziali in clausole chiare, precise e inequivocabili</w:t>
      </w:r>
      <w:r w:rsidRPr="00F81074">
        <w:t xml:space="preserve"> (</w:t>
      </w:r>
      <w:r w:rsidR="004F20DF" w:rsidRPr="00F81074">
        <w:t xml:space="preserve">che possono comprendere </w:t>
      </w:r>
      <w:r w:rsidR="00E94526">
        <w:t>la</w:t>
      </w:r>
      <w:r w:rsidR="004F20DF" w:rsidRPr="00F81074">
        <w:t xml:space="preserve"> revisione dei prezzi</w:t>
      </w:r>
      <w:r w:rsidRPr="00F81074">
        <w:t>)</w:t>
      </w:r>
      <w:r w:rsidR="004F20DF" w:rsidRPr="00F81074">
        <w:t xml:space="preserve"> e nel caso in cui si tratti di lavori o servizi supplementari </w:t>
      </w:r>
      <w:r w:rsidRPr="00F81074">
        <w:t xml:space="preserve">non inclusi nella concessione iniziale ma </w:t>
      </w:r>
      <w:r w:rsidR="004F20DF" w:rsidRPr="00F81074">
        <w:t xml:space="preserve">che si siano resi </w:t>
      </w:r>
      <w:r w:rsidRPr="00F81074">
        <w:t xml:space="preserve">successivamente </w:t>
      </w:r>
      <w:r w:rsidR="004F20DF" w:rsidRPr="00F81074">
        <w:t>necessari</w:t>
      </w:r>
      <w:r w:rsidRPr="00F81074">
        <w:t>.</w:t>
      </w:r>
    </w:p>
    <w:p w14:paraId="172ED5E8" w14:textId="77777777" w:rsidR="004F20DF" w:rsidRPr="00F81074" w:rsidRDefault="004F20DF" w:rsidP="004F20DF">
      <w:pPr>
        <w:jc w:val="both"/>
      </w:pPr>
    </w:p>
    <w:p w14:paraId="309CFA3C" w14:textId="0A74F14B" w:rsidR="004F20DF" w:rsidRPr="00F81074" w:rsidRDefault="004F20DF" w:rsidP="004F20DF">
      <w:pPr>
        <w:jc w:val="both"/>
      </w:pPr>
      <w:r w:rsidRPr="00F81074">
        <w:t xml:space="preserve">In tale ultimo caso, è </w:t>
      </w:r>
      <w:r w:rsidR="0010592D" w:rsidRPr="00F81074">
        <w:t xml:space="preserve">presupposto imprescindibile </w:t>
      </w:r>
      <w:r w:rsidRPr="00F81074">
        <w:t xml:space="preserve">che il cambiamento del concessionario risulti impraticabile per motivi economici o tecnici, o che </w:t>
      </w:r>
      <w:r w:rsidR="0010592D" w:rsidRPr="00F81074">
        <w:t>tale cambiamento</w:t>
      </w:r>
      <w:r w:rsidRPr="00F81074">
        <w:t xml:space="preserve"> comporti per l’ente concedente notevoli inconvenienti </w:t>
      </w:r>
      <w:r w:rsidR="0010592D" w:rsidRPr="00F81074">
        <w:t>(</w:t>
      </w:r>
      <w:r w:rsidRPr="00F81074">
        <w:t>o una sostanziale duplicazione dei costi</w:t>
      </w:r>
      <w:r w:rsidR="0010592D" w:rsidRPr="00F81074">
        <w:t>)</w:t>
      </w:r>
      <w:r w:rsidRPr="00F81074">
        <w:t>, oppure ancora che siano soddisfatte tutte le condizioni analiticamente previste</w:t>
      </w:r>
      <w:r w:rsidR="0010592D" w:rsidRPr="00F81074">
        <w:t xml:space="preserve"> dalla disposizione</w:t>
      </w:r>
      <w:r w:rsidRPr="00F81074">
        <w:t xml:space="preserve">, tra le quali </w:t>
      </w:r>
      <w:r w:rsidR="004A0322">
        <w:t>quelle per cui</w:t>
      </w:r>
      <w:r w:rsidRPr="00F81074">
        <w:t xml:space="preserve"> la necessità di </w:t>
      </w:r>
      <w:r w:rsidRPr="00F81074">
        <w:lastRenderedPageBreak/>
        <w:t xml:space="preserve">modifica sia </w:t>
      </w:r>
      <w:r w:rsidR="0010592D" w:rsidRPr="00F81074">
        <w:t xml:space="preserve">stata </w:t>
      </w:r>
      <w:r w:rsidRPr="00F81074">
        <w:t xml:space="preserve">determinata da circostanze che un ente concedente diligente non avrebbe potuto prevedere e che la </w:t>
      </w:r>
      <w:r w:rsidR="0010592D" w:rsidRPr="00F81074">
        <w:t>variazione</w:t>
      </w:r>
      <w:r w:rsidRPr="00F81074">
        <w:t xml:space="preserve"> non alteri la natura generale della concessione.</w:t>
      </w:r>
    </w:p>
    <w:p w14:paraId="0F4A263B" w14:textId="77777777" w:rsidR="004F20DF" w:rsidRPr="00F81074" w:rsidRDefault="004F20DF" w:rsidP="004F20DF">
      <w:pPr>
        <w:jc w:val="both"/>
      </w:pPr>
    </w:p>
    <w:p w14:paraId="3D857729" w14:textId="77777777" w:rsidR="004F20DF" w:rsidRPr="00F81074" w:rsidRDefault="004F20DF" w:rsidP="004F20DF">
      <w:pPr>
        <w:jc w:val="both"/>
      </w:pPr>
      <w:r w:rsidRPr="00F81074">
        <w:t xml:space="preserve">La modifica di una concessione durante il periodo della sua validità è considerata sostanziale se la natura della concessione muta nella sua essenza rispetto a quella inizialmente conclusa. </w:t>
      </w:r>
    </w:p>
    <w:p w14:paraId="646E1BB0" w14:textId="77777777" w:rsidR="004F20DF" w:rsidRPr="00F81074" w:rsidRDefault="004F20DF" w:rsidP="004F20DF">
      <w:pPr>
        <w:jc w:val="both"/>
      </w:pPr>
    </w:p>
    <w:p w14:paraId="10048D99" w14:textId="77777777" w:rsidR="0010592D" w:rsidRPr="00F81074" w:rsidRDefault="004F20DF" w:rsidP="004F20DF">
      <w:pPr>
        <w:jc w:val="both"/>
      </w:pPr>
      <w:r w:rsidRPr="00F81074">
        <w:t xml:space="preserve">In ogni caso, una modifica è considerata sostanziale se </w:t>
      </w:r>
      <w:r w:rsidR="0010592D" w:rsidRPr="00F81074">
        <w:t xml:space="preserve">siano integrati gli estremi di </w:t>
      </w:r>
      <w:r w:rsidRPr="00F81074">
        <w:t xml:space="preserve">una o più delle </w:t>
      </w:r>
      <w:r w:rsidR="0010592D" w:rsidRPr="00F81074">
        <w:t xml:space="preserve">circostanze </w:t>
      </w:r>
      <w:r w:rsidRPr="00F81074">
        <w:t>previste dall’art. 189, tra le quali</w:t>
      </w:r>
      <w:r w:rsidR="0010592D" w:rsidRPr="00F81074">
        <w:t>:</w:t>
      </w:r>
      <w:r w:rsidRPr="00F81074">
        <w:t xml:space="preserve"> </w:t>
      </w:r>
    </w:p>
    <w:p w14:paraId="47389F38" w14:textId="77777777" w:rsidR="0010592D" w:rsidRPr="00F81074" w:rsidRDefault="0010592D" w:rsidP="004F20DF">
      <w:pPr>
        <w:jc w:val="both"/>
      </w:pPr>
      <w:r w:rsidRPr="00F81074">
        <w:t xml:space="preserve">- </w:t>
      </w:r>
      <w:r w:rsidR="004F20DF" w:rsidRPr="00F81074">
        <w:t xml:space="preserve">l’introduzione di condizioni che se fossero state contenute nella procedura iniziale di aggiudicazione avrebbero consentito l'ammissione di candidati diversi da quelli inizialmente selezionati o l'accettazione di un'offerta diversa da quella inizialmente accettata, </w:t>
      </w:r>
    </w:p>
    <w:p w14:paraId="478A0FF8" w14:textId="7532DE96" w:rsidR="003D5F28" w:rsidRPr="00F81074" w:rsidRDefault="0010592D" w:rsidP="004F20DF">
      <w:pPr>
        <w:jc w:val="both"/>
      </w:pPr>
      <w:r w:rsidRPr="00F81074">
        <w:t>-</w:t>
      </w:r>
      <w:r w:rsidR="004F20DF" w:rsidRPr="00F81074">
        <w:t xml:space="preserve"> la modifica </w:t>
      </w:r>
      <w:r w:rsidR="003D5F28" w:rsidRPr="00F81074">
        <w:t>alteri</w:t>
      </w:r>
      <w:r w:rsidR="004F20DF" w:rsidRPr="00F81074">
        <w:t xml:space="preserve"> l'equilibrio economico della concessione a favore del concessionario in modo non previsto dalla concessione iniziale</w:t>
      </w:r>
      <w:r w:rsidR="003D5F28" w:rsidRPr="00F81074">
        <w:t>.</w:t>
      </w:r>
    </w:p>
    <w:p w14:paraId="350C808E" w14:textId="77777777" w:rsidR="003D5F28" w:rsidRPr="00F81074" w:rsidRDefault="003D5F28" w:rsidP="0078585C">
      <w:pPr>
        <w:jc w:val="both"/>
      </w:pPr>
    </w:p>
    <w:p w14:paraId="51284A72" w14:textId="3816A6D8" w:rsidR="0078585C" w:rsidRPr="00F81074" w:rsidRDefault="0078585C" w:rsidP="0078585C">
      <w:pPr>
        <w:jc w:val="both"/>
      </w:pPr>
      <w:r w:rsidRPr="00F81074">
        <w:t>La stazione appaltante, nella logica del risultato e quindi nell’ottica di non cambiare operatore economico, potrebbe essere indotta, applicando la regola del caso concreto, a ritenere che l’operazione economica sottesa non sia stata alterata e che pertanto si tratti di mera variante</w:t>
      </w:r>
      <w:r w:rsidR="003D5F28" w:rsidRPr="00F81074">
        <w:t xml:space="preserve"> non soggetta a obbligo di nuova </w:t>
      </w:r>
      <w:r w:rsidR="0010592D" w:rsidRPr="00F81074">
        <w:t>procedura di aggiudicazione</w:t>
      </w:r>
      <w:r w:rsidR="003D5F28" w:rsidRPr="00F81074">
        <w:t>.</w:t>
      </w:r>
    </w:p>
    <w:p w14:paraId="49FED9CA" w14:textId="77777777" w:rsidR="001404D0" w:rsidRPr="00F81074" w:rsidRDefault="001404D0" w:rsidP="001404D0">
      <w:pPr>
        <w:jc w:val="both"/>
      </w:pPr>
    </w:p>
    <w:p w14:paraId="2611DA4F" w14:textId="15EC7099" w:rsidR="0078585C" w:rsidRPr="00F81074" w:rsidRDefault="00CD7A81" w:rsidP="001404D0">
      <w:pPr>
        <w:jc w:val="both"/>
        <w:rPr>
          <w:b/>
          <w:bCs/>
        </w:rPr>
      </w:pPr>
      <w:r>
        <w:rPr>
          <w:b/>
          <w:bCs/>
        </w:rPr>
        <w:t>9</w:t>
      </w:r>
      <w:r w:rsidR="00DE5B53" w:rsidRPr="00F81074">
        <w:rPr>
          <w:b/>
          <w:bCs/>
        </w:rPr>
        <w:t xml:space="preserve">. </w:t>
      </w:r>
      <w:r w:rsidR="00F81074">
        <w:rPr>
          <w:b/>
          <w:bCs/>
        </w:rPr>
        <w:t>E</w:t>
      </w:r>
      <w:r w:rsidR="0078585C" w:rsidRPr="00F81074">
        <w:rPr>
          <w:b/>
          <w:bCs/>
        </w:rPr>
        <w:t xml:space="preserve">lementi </w:t>
      </w:r>
      <w:r w:rsidR="00B00D13" w:rsidRPr="00F81074">
        <w:rPr>
          <w:b/>
          <w:bCs/>
        </w:rPr>
        <w:t xml:space="preserve">di </w:t>
      </w:r>
      <w:r w:rsidR="0078585C" w:rsidRPr="00F81074">
        <w:rPr>
          <w:b/>
          <w:bCs/>
        </w:rPr>
        <w:t>distinzione tra concessione e appalto</w:t>
      </w:r>
      <w:r w:rsidR="00F81074">
        <w:rPr>
          <w:b/>
          <w:bCs/>
        </w:rPr>
        <w:t xml:space="preserve"> nell’attuale quadro normativo</w:t>
      </w:r>
    </w:p>
    <w:p w14:paraId="16D243C3" w14:textId="77777777" w:rsidR="0078585C" w:rsidRPr="00F81074" w:rsidRDefault="0078585C" w:rsidP="001404D0">
      <w:pPr>
        <w:jc w:val="both"/>
      </w:pPr>
    </w:p>
    <w:p w14:paraId="6FE3B4D6" w14:textId="185259F6" w:rsidR="00BB2925" w:rsidRDefault="00BB2925" w:rsidP="00E57A6F">
      <w:pPr>
        <w:jc w:val="both"/>
      </w:pPr>
      <w:r>
        <w:t xml:space="preserve">L’attuale Codice dei contratti pubblici, come sottolineato dal Giudice amministrativo, ha compiuto la scelta </w:t>
      </w:r>
      <w:r w:rsidRPr="00BB2925">
        <w:t xml:space="preserve">di </w:t>
      </w:r>
      <w:r>
        <w:t>“</w:t>
      </w:r>
      <w:r w:rsidRPr="00BB2925">
        <w:rPr>
          <w:i/>
          <w:iCs/>
        </w:rPr>
        <w:t>regolamentare in via autonoma le concessioni, quali </w:t>
      </w:r>
      <w:proofErr w:type="spellStart"/>
      <w:r w:rsidRPr="00BB2925">
        <w:rPr>
          <w:i/>
          <w:iCs/>
        </w:rPr>
        <w:t>species</w:t>
      </w:r>
      <w:proofErr w:type="spellEnd"/>
      <w:r w:rsidRPr="00BB2925">
        <w:rPr>
          <w:i/>
          <w:iCs/>
        </w:rPr>
        <w:t> del </w:t>
      </w:r>
      <w:proofErr w:type="spellStart"/>
      <w:r w:rsidRPr="00BB2925">
        <w:rPr>
          <w:i/>
          <w:iCs/>
        </w:rPr>
        <w:t>genus</w:t>
      </w:r>
      <w:proofErr w:type="spellEnd"/>
      <w:r w:rsidRPr="00BB2925">
        <w:rPr>
          <w:i/>
          <w:iCs/>
        </w:rPr>
        <w:t> del partenariato pubblico-privato di tipo contrattuale, riconoscendone l’autonomia rispetto ai contratti di appalto non solo per quanto attiene agli aspetti sostanziali, ma anche per quanto di specifica attinenza ai profili procedurali. Si assiste, infatti, ad una autonoma regolamentazione delle procedure di affidamento delle concessioni, senza alcun rinvio alla disciplina riguardante il settore degli appalti, al fine, evidentemente ritenuto essenziale, di attribuire autonoma dignità ad una porzione ormai rilevante dei contratti pubblici</w:t>
      </w:r>
      <w:r>
        <w:t>” (TAR Emilia Romagna, Parma, Sez. I, 18 giugno 2024, n. 155).</w:t>
      </w:r>
    </w:p>
    <w:p w14:paraId="75BEFD82" w14:textId="77777777" w:rsidR="00BB2925" w:rsidRDefault="00BB2925" w:rsidP="00E57A6F">
      <w:pPr>
        <w:jc w:val="both"/>
      </w:pPr>
    </w:p>
    <w:p w14:paraId="2525DD63" w14:textId="06D7BC68" w:rsidR="00ED3F2C" w:rsidRPr="00F81074" w:rsidRDefault="0010592D" w:rsidP="00E57A6F">
      <w:pPr>
        <w:jc w:val="both"/>
      </w:pPr>
      <w:r w:rsidRPr="00F81074">
        <w:t xml:space="preserve">Nella </w:t>
      </w:r>
      <w:r w:rsidR="00E57A6F" w:rsidRPr="00F81074">
        <w:t xml:space="preserve">distinzione fra </w:t>
      </w:r>
      <w:r w:rsidR="004F7A5D" w:rsidRPr="00F81074">
        <w:t xml:space="preserve">concessione (e, per estensione, </w:t>
      </w:r>
      <w:r w:rsidR="004D0056">
        <w:t>partenariato pubblico privato contrattuale</w:t>
      </w:r>
      <w:r w:rsidR="004F7A5D" w:rsidRPr="00F81074">
        <w:t>)</w:t>
      </w:r>
      <w:r w:rsidR="00E57A6F" w:rsidRPr="00F81074">
        <w:t xml:space="preserve"> e appalto</w:t>
      </w:r>
      <w:r w:rsidRPr="00F81074">
        <w:t xml:space="preserve">, il </w:t>
      </w:r>
      <w:r w:rsidR="00ED3F2C" w:rsidRPr="00F81074">
        <w:t xml:space="preserve">profilo della corretta allocazione </w:t>
      </w:r>
      <w:r w:rsidR="00983E49" w:rsidRPr="00F81074">
        <w:t xml:space="preserve">del rischio </w:t>
      </w:r>
      <w:r w:rsidR="00ED3F2C" w:rsidRPr="00F81074">
        <w:t>e della sua effettiva traslazione presso l’operatore economico</w:t>
      </w:r>
      <w:r w:rsidRPr="00F81074">
        <w:t xml:space="preserve"> </w:t>
      </w:r>
      <w:r w:rsidR="00811B68" w:rsidRPr="00F81074">
        <w:t xml:space="preserve">pare essere rimasto l’unico elemento </w:t>
      </w:r>
      <w:r w:rsidRPr="00F81074">
        <w:t xml:space="preserve">veramente </w:t>
      </w:r>
      <w:r w:rsidR="00811B68" w:rsidRPr="00F81074">
        <w:t>discretivo tra i due istituti in quant</w:t>
      </w:r>
      <w:r w:rsidR="00690AC7" w:rsidRPr="00F81074">
        <w:t>o peraltro, da un punto di vista economico,</w:t>
      </w:r>
      <w:r w:rsidR="00E57A6F" w:rsidRPr="00F81074">
        <w:t xml:space="preserve"> indispensabile per garantire la possibilità per </w:t>
      </w:r>
      <w:r w:rsidR="00DC7DCD">
        <w:t>l’Amministrazione</w:t>
      </w:r>
      <w:r w:rsidR="00E57A6F" w:rsidRPr="00F81074">
        <w:t xml:space="preserve"> di contabilizzare l’operazione fuori bilancio e di non creare debito pubblico</w:t>
      </w:r>
      <w:r w:rsidR="00690AC7" w:rsidRPr="00F81074">
        <w:t>.</w:t>
      </w:r>
    </w:p>
    <w:p w14:paraId="10263361" w14:textId="77777777" w:rsidR="00ED3F2C" w:rsidRPr="00F81074" w:rsidRDefault="00ED3F2C" w:rsidP="00E57A6F">
      <w:pPr>
        <w:jc w:val="both"/>
      </w:pPr>
    </w:p>
    <w:p w14:paraId="202348CC" w14:textId="2DFBA74C" w:rsidR="00811B68" w:rsidRPr="00F81074" w:rsidRDefault="00ED3F2C" w:rsidP="00E57A6F">
      <w:pPr>
        <w:jc w:val="both"/>
      </w:pPr>
      <w:r w:rsidRPr="00F81074">
        <w:t>No</w:t>
      </w:r>
      <w:r w:rsidR="00811B68" w:rsidRPr="00F81074">
        <w:t xml:space="preserve">n si applicano, infatti, le disposizioni sulla concessione, ma quelle sugli appalti, se l'ente concedente attraverso clausole contrattuali o altri atti di regolazione settoriale solleva l'operatore economico da qualsiasi perdita potenziale, garantendogli un ricavo minimo pari o superiore agli investimenti effettuati e ai costi </w:t>
      </w:r>
      <w:r w:rsidR="00E21E8D" w:rsidRPr="00F81074">
        <w:t xml:space="preserve">da sostenersi </w:t>
      </w:r>
      <w:r w:rsidR="00811B68" w:rsidRPr="00F81074">
        <w:t>in relazione all'esecuzione del contratto.</w:t>
      </w:r>
    </w:p>
    <w:p w14:paraId="409BF3FA" w14:textId="77777777" w:rsidR="00612EFA" w:rsidRPr="00F81074" w:rsidRDefault="00612EFA" w:rsidP="00E57A6F">
      <w:pPr>
        <w:jc w:val="both"/>
      </w:pPr>
    </w:p>
    <w:p w14:paraId="332D8435" w14:textId="1B69C5BF" w:rsidR="00ED3F2C" w:rsidRPr="00F81074" w:rsidRDefault="00E21E8D" w:rsidP="00E57A6F">
      <w:pPr>
        <w:jc w:val="both"/>
      </w:pPr>
      <w:r w:rsidRPr="00F81074">
        <w:t>L’attuale Codice</w:t>
      </w:r>
      <w:r w:rsidR="00E57A6F" w:rsidRPr="00F81074">
        <w:t xml:space="preserve">, a differenza del precedente, non pone </w:t>
      </w:r>
      <w:r w:rsidR="00983E49" w:rsidRPr="00F81074">
        <w:t>un</w:t>
      </w:r>
      <w:r w:rsidR="00E57A6F" w:rsidRPr="00F81074">
        <w:t xml:space="preserve"> limite fisso al valore dell’eventuale contributo pubblico</w:t>
      </w:r>
      <w:r w:rsidR="004F7A5D" w:rsidRPr="00F81074">
        <w:t xml:space="preserve"> </w:t>
      </w:r>
      <w:r w:rsidR="003757B4" w:rsidRPr="00F81074">
        <w:t>(</w:t>
      </w:r>
      <w:r w:rsidR="003757B4" w:rsidRPr="00F81074">
        <w:rPr>
          <w:i/>
          <w:iCs/>
        </w:rPr>
        <w:t>“Se l'operazione economica non può da sola conseguire l'equilibrio economico-finanziario, è ammesso un intervento pubblico di sostegno. L'intervento pubblico può consistere in un contributo finanziario, nella prestazione di garanzie o nella cessione in proprietà di beni immobili o di altri diritti</w:t>
      </w:r>
      <w:r w:rsidR="003757B4" w:rsidRPr="00F81074">
        <w:t xml:space="preserve">”, </w:t>
      </w:r>
      <w:r w:rsidR="004D0056">
        <w:t>art</w:t>
      </w:r>
      <w:r w:rsidR="00184708">
        <w:t xml:space="preserve">. 177, </w:t>
      </w:r>
      <w:r w:rsidR="003757B4" w:rsidRPr="00F81074">
        <w:t>comma 6)</w:t>
      </w:r>
      <w:r w:rsidR="00ED3F2C" w:rsidRPr="00F81074">
        <w:t>.</w:t>
      </w:r>
    </w:p>
    <w:p w14:paraId="0ED5E962" w14:textId="77777777" w:rsidR="00ED3F2C" w:rsidRPr="00F81074" w:rsidRDefault="00ED3F2C" w:rsidP="00E57A6F">
      <w:pPr>
        <w:jc w:val="both"/>
      </w:pPr>
    </w:p>
    <w:p w14:paraId="404CFF7C" w14:textId="31AC91C2" w:rsidR="00612EFA" w:rsidRPr="00F81074" w:rsidRDefault="00ED3F2C" w:rsidP="00E57A6F">
      <w:pPr>
        <w:jc w:val="both"/>
      </w:pPr>
      <w:r w:rsidRPr="00F81074">
        <w:t>N</w:t>
      </w:r>
      <w:r w:rsidR="00811B68" w:rsidRPr="00F81074">
        <w:t>e</w:t>
      </w:r>
      <w:r w:rsidR="00E57A6F" w:rsidRPr="00F81074">
        <w:t xml:space="preserve">l caso in cui i criteri previsti siano violati </w:t>
      </w:r>
      <w:r w:rsidR="00811B68" w:rsidRPr="00F81074">
        <w:t>dall’</w:t>
      </w:r>
      <w:r w:rsidR="00E57A6F" w:rsidRPr="00F81074">
        <w:t>operazion</w:t>
      </w:r>
      <w:r w:rsidR="00811B68" w:rsidRPr="00F81074">
        <w:t xml:space="preserve">e </w:t>
      </w:r>
      <w:r w:rsidR="00E57A6F" w:rsidRPr="00F81074">
        <w:t>contrattual</w:t>
      </w:r>
      <w:r w:rsidR="00811B68" w:rsidRPr="00F81074">
        <w:t>e</w:t>
      </w:r>
      <w:r w:rsidR="00E57A6F" w:rsidRPr="00F81074">
        <w:t xml:space="preserve"> post</w:t>
      </w:r>
      <w:r w:rsidR="00811B68" w:rsidRPr="00F81074">
        <w:t>a</w:t>
      </w:r>
      <w:r w:rsidR="00E57A6F" w:rsidRPr="00F81074">
        <w:t xml:space="preserve"> concretamente in essere, occorre procedere alla riqualificazione del rapporto negoziale</w:t>
      </w:r>
      <w:r w:rsidR="00612EFA" w:rsidRPr="00F81074">
        <w:t>.</w:t>
      </w:r>
    </w:p>
    <w:p w14:paraId="17AE0B7D" w14:textId="77777777" w:rsidR="00983E49" w:rsidRPr="00F81074" w:rsidRDefault="00983E49" w:rsidP="00E57A6F">
      <w:pPr>
        <w:jc w:val="both"/>
      </w:pPr>
    </w:p>
    <w:p w14:paraId="2F9D10A2" w14:textId="0D50D9A4" w:rsidR="00983E49" w:rsidRPr="00F81074" w:rsidRDefault="00983E49" w:rsidP="00983E49">
      <w:pPr>
        <w:jc w:val="both"/>
      </w:pPr>
      <w:r w:rsidRPr="00F81074">
        <w:lastRenderedPageBreak/>
        <w:t xml:space="preserve">In passato, la giurisprudenza aveva postulato </w:t>
      </w:r>
      <w:r w:rsidR="004D0056">
        <w:t xml:space="preserve">anche </w:t>
      </w:r>
      <w:r w:rsidRPr="00F81074">
        <w:t>la nullità per illiceità della causa (ai sensi dell’art. 1344 c.c.) del contratto di concessione posto in essere senza una efficace allocazione dei rischi, in quanto utilizzato per perseguire uno scopo vietato dalla legge: “</w:t>
      </w:r>
      <w:r w:rsidRPr="00F81074">
        <w:rPr>
          <w:i/>
          <w:iCs/>
        </w:rPr>
        <w:t>Il contratto di concessione in esame si deve qualificare, infatti, come contratto nullo per la illiceità della causa ai sensi dell’art. 1344 (Contratto in frode alla legge) del codice civile. L’operazione negoziale ed economica conclusa all’esito della procedura di affidamento in esame, si caratterizza per costituire uno strumento con il quale si elude l’applicazione delle norme e dei principi che disciplinano la concessione di lavori pubblici e il project financing, facendo conseguire alle parti un risultato precluso dall’ordinamento. E ciò – si ribadisce – attraverso la previsione (in netto contrasto con lo schema normativo tipico) di una remunerazione degli investimenti dei privati concessionari posta interamente a carico dell’amministrazione aggiudicatrice, senza che si verifichi quella traslazione in capo ai privati del rischio economico e gestionale (elemento essenziale dello schema contrattuale del project financing) collegato alla svolgimento dei servizi erogati attraverso le opere pubbliche realizzate, in modo tale che il rientro e l’adeguata remunerazione dei capitali investiti siano assicurati dalla redditività dell’iniziativa economica intrapresa</w:t>
      </w:r>
      <w:r w:rsidRPr="00F81074">
        <w:t>” (TAR Sardegna, Sez. I, 10 marzo 2011, n. 213).</w:t>
      </w:r>
    </w:p>
    <w:p w14:paraId="351269BC" w14:textId="77777777" w:rsidR="00612EFA" w:rsidRPr="00F81074" w:rsidRDefault="00612EFA" w:rsidP="00E57A6F">
      <w:pPr>
        <w:jc w:val="both"/>
      </w:pPr>
    </w:p>
    <w:p w14:paraId="4A78C6DB" w14:textId="29732AEE" w:rsidR="00690AC7" w:rsidRPr="00F81074" w:rsidRDefault="00E46D16" w:rsidP="004E69E2">
      <w:pPr>
        <w:jc w:val="both"/>
      </w:pPr>
      <w:r w:rsidRPr="00F81074">
        <w:t>La questione diviene più complessa nel caso d</w:t>
      </w:r>
      <w:r w:rsidR="00E21E8D" w:rsidRPr="00F81074">
        <w:t>e</w:t>
      </w:r>
      <w:r w:rsidRPr="00F81074">
        <w:t>i contratti misti di concessione</w:t>
      </w:r>
      <w:r w:rsidR="00690AC7" w:rsidRPr="00F81074">
        <w:t>, disciplinati dall’art. 180</w:t>
      </w:r>
      <w:r w:rsidR="004A0322">
        <w:t xml:space="preserve"> del Codice</w:t>
      </w:r>
      <w:r w:rsidR="00690AC7" w:rsidRPr="00F81074">
        <w:t>.</w:t>
      </w:r>
    </w:p>
    <w:p w14:paraId="6C511D3E" w14:textId="77777777" w:rsidR="00690AC7" w:rsidRPr="00F81074" w:rsidRDefault="00690AC7" w:rsidP="004E69E2">
      <w:pPr>
        <w:jc w:val="both"/>
      </w:pPr>
    </w:p>
    <w:p w14:paraId="4A9BAEFA" w14:textId="1E5A121F" w:rsidR="00690AC7" w:rsidRPr="00F81074" w:rsidRDefault="00690AC7" w:rsidP="00690AC7">
      <w:pPr>
        <w:jc w:val="both"/>
      </w:pPr>
      <w:r w:rsidRPr="00F81074">
        <w:t xml:space="preserve">I contratti misti che contengono elementi della concessione ed elementi dell’appalto pubblico sono </w:t>
      </w:r>
      <w:r w:rsidR="004A0322">
        <w:t xml:space="preserve">infatti </w:t>
      </w:r>
      <w:r w:rsidRPr="00F81074">
        <w:t xml:space="preserve">aggiudicati in conformità alla disciplina degli appalti. </w:t>
      </w:r>
    </w:p>
    <w:p w14:paraId="4AED6855" w14:textId="77777777" w:rsidR="00690AC7" w:rsidRPr="00F81074" w:rsidRDefault="00690AC7" w:rsidP="00690AC7">
      <w:pPr>
        <w:jc w:val="both"/>
      </w:pPr>
    </w:p>
    <w:p w14:paraId="2B7CA117" w14:textId="3D0FC480" w:rsidR="00690AC7" w:rsidRPr="00F81074" w:rsidRDefault="00690AC7" w:rsidP="00690AC7">
      <w:pPr>
        <w:jc w:val="both"/>
      </w:pPr>
      <w:r w:rsidRPr="00F81074">
        <w:t xml:space="preserve">Più in generale, ai sensi della predetta disposizione, l’affidamento di un contratto di concessione può prevedere l’esecuzione di lavori congiuntamente alla gestione di un servizio e in tali casi, al fine di individuare la disciplina applicabile, occorre valutare il nesso di strumentalità che lega le prestazioni. </w:t>
      </w:r>
    </w:p>
    <w:p w14:paraId="50FA880A" w14:textId="673CB38A" w:rsidR="00690AC7" w:rsidRPr="00F81074" w:rsidRDefault="00690AC7" w:rsidP="004E69E2">
      <w:pPr>
        <w:jc w:val="both"/>
      </w:pPr>
    </w:p>
    <w:p w14:paraId="77E4E547" w14:textId="08F46722" w:rsidR="00811355" w:rsidRPr="00F81074" w:rsidRDefault="00811355" w:rsidP="004E69E2">
      <w:pPr>
        <w:jc w:val="both"/>
      </w:pPr>
      <w:r w:rsidRPr="00F81074">
        <w:t xml:space="preserve">Il criterio distintivo è dunque quello della valutazione del nesso di strumentalità che lega la gestione del servizio all’esecuzione dei lavori, in quanto </w:t>
      </w:r>
      <w:r w:rsidR="004A0322">
        <w:t>l’aggiudicazione avviene</w:t>
      </w:r>
      <w:r w:rsidRPr="00F81074">
        <w:t xml:space="preserve"> secondo le disposizioni che regolano l’affidamento della prestazione principale del contratto. Il criterio della prevalenza deve essere applicato adoperando un approccio sostanziale </w:t>
      </w:r>
      <w:r w:rsidR="004A0322">
        <w:t xml:space="preserve">e non </w:t>
      </w:r>
      <w:r w:rsidRPr="00F81074">
        <w:t>meramente economico</w:t>
      </w:r>
      <w:r w:rsidR="00A60B4B" w:rsidRPr="00F81074">
        <w:t>.</w:t>
      </w:r>
    </w:p>
    <w:p w14:paraId="4D232D4F" w14:textId="77777777" w:rsidR="00A60B4B" w:rsidRPr="00F81074" w:rsidRDefault="00A60B4B" w:rsidP="004E69E2">
      <w:pPr>
        <w:jc w:val="both"/>
      </w:pPr>
    </w:p>
    <w:p w14:paraId="7CA1E1BD" w14:textId="77777777" w:rsidR="00A60B4B" w:rsidRPr="00F81074" w:rsidRDefault="00A60B4B" w:rsidP="00A60B4B">
      <w:pPr>
        <w:jc w:val="both"/>
      </w:pPr>
      <w:r w:rsidRPr="00F81074">
        <w:t>In questo senso il Consiglio di Stato si era già pronunciato anche nella vigenza del vecchio codice (Sez. V, 19 giugno 2019, n. 4186): “</w:t>
      </w:r>
      <w:r w:rsidRPr="00F81074">
        <w:rPr>
          <w:i/>
          <w:iCs/>
        </w:rPr>
        <w:t xml:space="preserve">La giurisprudenza formatasi nel vigore del precedente codice dei contratti pubblici (ma estensibile a quello vigente, come è dato desumere dall’art. 169, comma 1, del d.lgs. n. 50 del 2016) afferma che qualora l’affidamento contempli l’esecuzione dei lavori congiuntamente alla gestione di un servizio, la linea di demarcazione tra i diversi istituti va individuata avendo di mira la direzione del nesso di strumentalità che lega gestione del servizio ed esecuzione dei lavori, nel senso che solo laddove la gestione del servizio sia servente rispetto alla costruzione delle opere è configurabile l’ipotesi della concessione di lavori pubblici; viceversa, l’inserimento dei lavori all’interno di un programma complesso rivolto alla gestione dei servizi volti a soddisfare esigenze primarie di rilievo sociale induce a ritenere che siano i lavori a porsi in termini obiettivamente accessori o secondari rispetto alla gestione delle strutture (Cons. Stato, Ad. </w:t>
      </w:r>
      <w:proofErr w:type="spellStart"/>
      <w:r w:rsidRPr="00F81074">
        <w:rPr>
          <w:i/>
          <w:iCs/>
        </w:rPr>
        <w:t>plen</w:t>
      </w:r>
      <w:proofErr w:type="spellEnd"/>
      <w:r w:rsidRPr="00F81074">
        <w:rPr>
          <w:i/>
          <w:iCs/>
        </w:rPr>
        <w:t>., 30 gennaio 2014, n. 7)</w:t>
      </w:r>
      <w:r w:rsidRPr="00F81074">
        <w:t>”.</w:t>
      </w:r>
    </w:p>
    <w:p w14:paraId="32B950AF" w14:textId="77777777" w:rsidR="00B00D13" w:rsidRPr="00F81074" w:rsidRDefault="00B00D13" w:rsidP="00A60B4B">
      <w:pPr>
        <w:jc w:val="both"/>
      </w:pPr>
    </w:p>
    <w:p w14:paraId="740BBC39" w14:textId="4EF7FA92" w:rsidR="00E21E8D" w:rsidRDefault="004A0322" w:rsidP="00713BCA">
      <w:pPr>
        <w:jc w:val="both"/>
      </w:pPr>
      <w:r>
        <w:t>Nel</w:t>
      </w:r>
      <w:r w:rsidR="00B00D13" w:rsidRPr="00F81074">
        <w:t xml:space="preserve"> rapporto tra appalto e partenariato pubblico privato, </w:t>
      </w:r>
      <w:r>
        <w:t>ha</w:t>
      </w:r>
      <w:r w:rsidR="00B00D13" w:rsidRPr="00F81074">
        <w:t xml:space="preserve"> perso rilevanza dirimente l’elemento della bilateralità </w:t>
      </w:r>
      <w:r>
        <w:t>o</w:t>
      </w:r>
      <w:r w:rsidR="00B00D13" w:rsidRPr="00F81074">
        <w:t xml:space="preserve"> </w:t>
      </w:r>
      <w:proofErr w:type="spellStart"/>
      <w:r w:rsidR="00B00D13" w:rsidRPr="00F81074">
        <w:t>trilateralità</w:t>
      </w:r>
      <w:proofErr w:type="spellEnd"/>
      <w:r w:rsidR="00B00D13" w:rsidRPr="00F81074">
        <w:t xml:space="preserve"> del contratto, in quanto anche le opere fredde, </w:t>
      </w:r>
      <w:r>
        <w:t xml:space="preserve">con riferimento alle </w:t>
      </w:r>
      <w:r w:rsidR="00B00D13" w:rsidRPr="00F81074">
        <w:t xml:space="preserve">quali il privato trae la propria remunerazione solo da pagamenti effettuati </w:t>
      </w:r>
      <w:r w:rsidR="00DC7DCD">
        <w:t>dall’Amministrazione</w:t>
      </w:r>
      <w:r w:rsidR="00B00D13" w:rsidRPr="00F81074">
        <w:t xml:space="preserve">, possono essere oggetto di un contratto di </w:t>
      </w:r>
      <w:r w:rsidR="00DC7DCD">
        <w:t>partenariato pubblico privato</w:t>
      </w:r>
      <w:r w:rsidR="00E21E8D" w:rsidRPr="00F81074">
        <w:t xml:space="preserve">. </w:t>
      </w:r>
    </w:p>
    <w:p w14:paraId="13FCEAA4" w14:textId="77777777" w:rsidR="004A0322" w:rsidRPr="00F81074" w:rsidRDefault="004A0322" w:rsidP="00713BCA">
      <w:pPr>
        <w:jc w:val="both"/>
      </w:pPr>
    </w:p>
    <w:p w14:paraId="363EC5E4" w14:textId="398A4A45" w:rsidR="00E21E8D" w:rsidRDefault="00E21E8D" w:rsidP="00713BCA">
      <w:pPr>
        <w:jc w:val="both"/>
      </w:pPr>
      <w:r w:rsidRPr="00F81074">
        <w:t xml:space="preserve">Le opere fredde non generano ricavi propri e necessitano di un pagamento, o canone, da parte della </w:t>
      </w:r>
      <w:r w:rsidR="004A0322">
        <w:t>P</w:t>
      </w:r>
      <w:r w:rsidRPr="00F81074">
        <w:t xml:space="preserve">ubblica </w:t>
      </w:r>
      <w:r w:rsidR="004A0322">
        <w:t>A</w:t>
      </w:r>
      <w:r w:rsidRPr="00F81074">
        <w:t>mministrazione per garantire la remunerazione del privato. </w:t>
      </w:r>
    </w:p>
    <w:p w14:paraId="5C490A1D" w14:textId="77777777" w:rsidR="004A0322" w:rsidRPr="00F81074" w:rsidRDefault="004A0322" w:rsidP="00713BCA">
      <w:pPr>
        <w:jc w:val="both"/>
      </w:pPr>
    </w:p>
    <w:p w14:paraId="5DB807DF" w14:textId="4A4ADE00" w:rsidR="00E21E8D" w:rsidRPr="00F81074" w:rsidRDefault="00E21E8D">
      <w:pPr>
        <w:jc w:val="both"/>
      </w:pPr>
      <w:r w:rsidRPr="00F81074">
        <w:t>L</w:t>
      </w:r>
      <w:r w:rsidR="000C66A7" w:rsidRPr="00F81074">
        <w:t>a fattispecie contrattuale più adatta per questa ipotesi</w:t>
      </w:r>
      <w:r w:rsidRPr="00F81074">
        <w:t xml:space="preserve"> </w:t>
      </w:r>
      <w:r w:rsidR="004A0322">
        <w:t>risulta essere</w:t>
      </w:r>
      <w:r w:rsidR="000C66A7" w:rsidRPr="00F81074">
        <w:t xml:space="preserve"> il contratto di disponibilità</w:t>
      </w:r>
      <w:r w:rsidRPr="00F81074">
        <w:t>.</w:t>
      </w:r>
    </w:p>
    <w:p w14:paraId="3FA09094" w14:textId="77777777" w:rsidR="00B80CFF" w:rsidRPr="00F81074" w:rsidRDefault="00B80CFF" w:rsidP="00B80CFF">
      <w:pPr>
        <w:jc w:val="both"/>
      </w:pPr>
    </w:p>
    <w:p w14:paraId="2323DCCF" w14:textId="3D5FE090" w:rsidR="00B80CFF" w:rsidRDefault="00CD7A81" w:rsidP="00B80CFF">
      <w:pPr>
        <w:jc w:val="both"/>
        <w:rPr>
          <w:b/>
          <w:bCs/>
        </w:rPr>
      </w:pPr>
      <w:r>
        <w:rPr>
          <w:b/>
          <w:bCs/>
        </w:rPr>
        <w:t>10</w:t>
      </w:r>
      <w:r w:rsidR="00B80CFF" w:rsidRPr="00F81074">
        <w:rPr>
          <w:b/>
          <w:bCs/>
        </w:rPr>
        <w:t>. Il bando</w:t>
      </w:r>
      <w:r w:rsidR="00F81074">
        <w:rPr>
          <w:b/>
          <w:bCs/>
        </w:rPr>
        <w:t xml:space="preserve"> nei procedimenti di aggiudicazione delle concessioni</w:t>
      </w:r>
    </w:p>
    <w:p w14:paraId="7F7733D4" w14:textId="77777777" w:rsidR="00F81074" w:rsidRPr="00F81074" w:rsidRDefault="00F81074" w:rsidP="00B80CFF">
      <w:pPr>
        <w:jc w:val="both"/>
        <w:rPr>
          <w:b/>
          <w:bCs/>
        </w:rPr>
      </w:pPr>
    </w:p>
    <w:p w14:paraId="49A3F05B" w14:textId="53329080" w:rsidR="004D0056" w:rsidRDefault="004A0322" w:rsidP="004D0056">
      <w:pPr>
        <w:jc w:val="both"/>
      </w:pPr>
      <w:r>
        <w:t>L</w:t>
      </w:r>
      <w:r w:rsidRPr="00F81074">
        <w:t xml:space="preserve">a procedura di affidamento della concessione </w:t>
      </w:r>
      <w:r>
        <w:t>è disciplinata dall</w:t>
      </w:r>
      <w:r w:rsidR="004D0056" w:rsidRPr="00F81074">
        <w:t>’art. 182</w:t>
      </w:r>
      <w:r w:rsidR="004D0056">
        <w:t xml:space="preserve"> del Codice dei contratti pubblici</w:t>
      </w:r>
      <w:r w:rsidR="004D0056" w:rsidRPr="00F81074">
        <w:t xml:space="preserve"> (“</w:t>
      </w:r>
      <w:r w:rsidR="004D0056" w:rsidRPr="00F81074">
        <w:rPr>
          <w:i/>
          <w:iCs/>
        </w:rPr>
        <w:t>Bando</w:t>
      </w:r>
      <w:r w:rsidR="004D0056" w:rsidRPr="00F81074">
        <w:t>”): gli enti concedenti che intendono aggiudicare una concessione rendono nota tale intenzione per mezzo di un bando di concessione.</w:t>
      </w:r>
    </w:p>
    <w:p w14:paraId="56B1B322" w14:textId="77777777" w:rsidR="004D0056" w:rsidRPr="00F81074" w:rsidRDefault="004D0056" w:rsidP="004D0056">
      <w:pPr>
        <w:jc w:val="both"/>
      </w:pPr>
    </w:p>
    <w:p w14:paraId="0DD74B2C" w14:textId="7DBEFE04" w:rsidR="00B80CFF" w:rsidRPr="00F81074" w:rsidRDefault="00B80CFF" w:rsidP="00B80CFF">
      <w:pPr>
        <w:jc w:val="both"/>
      </w:pPr>
      <w:r w:rsidRPr="00F81074">
        <w:t>Il bando indica i requisiti tecnici e funzionali che definiscono le caratteristiche richieste per i lavori o i servizi oggetto della concessione.</w:t>
      </w:r>
    </w:p>
    <w:p w14:paraId="176B7C74" w14:textId="77777777" w:rsidR="00B80CFF" w:rsidRPr="00F81074" w:rsidRDefault="00B80CFF" w:rsidP="00B80CFF">
      <w:pPr>
        <w:jc w:val="both"/>
      </w:pPr>
    </w:p>
    <w:p w14:paraId="11921ABA" w14:textId="6DE1C692" w:rsidR="00B80CFF" w:rsidRDefault="00B80CFF" w:rsidP="00B80CFF">
      <w:pPr>
        <w:jc w:val="both"/>
      </w:pPr>
      <w:r w:rsidRPr="00F81074">
        <w:t xml:space="preserve">Agli enti concedenti non è richiesto di pubblicare un bando di concessione quando i lavori o i servizi possono essere forniti soltanto da un determinato operatore economico per le ragioni specificamente indicate, come nel </w:t>
      </w:r>
      <w:r w:rsidR="00902C5D">
        <w:t xml:space="preserve">caso </w:t>
      </w:r>
      <w:r w:rsidRPr="00F81074">
        <w:t xml:space="preserve">di assenza di concorrenza per motivi tecnici o </w:t>
      </w:r>
      <w:r w:rsidR="00902C5D">
        <w:t xml:space="preserve">di </w:t>
      </w:r>
      <w:r w:rsidRPr="00F81074">
        <w:t>esistenza di un diritto esclusivo</w:t>
      </w:r>
      <w:r w:rsidR="00902C5D">
        <w:rPr>
          <w:rStyle w:val="Rimandonotaapidipagina"/>
        </w:rPr>
        <w:footnoteReference w:id="41"/>
      </w:r>
      <w:r w:rsidRPr="00F81074">
        <w:t>.</w:t>
      </w:r>
    </w:p>
    <w:p w14:paraId="61AE34DB" w14:textId="77777777" w:rsidR="00902C5D" w:rsidRDefault="00902C5D" w:rsidP="00B80CFF">
      <w:pPr>
        <w:jc w:val="both"/>
      </w:pPr>
    </w:p>
    <w:p w14:paraId="5DAFFD2C" w14:textId="01070596" w:rsidR="00902C5D" w:rsidRPr="00F81074" w:rsidRDefault="00902C5D" w:rsidP="00B80CFF">
      <w:pPr>
        <w:jc w:val="both"/>
      </w:pPr>
      <w:r>
        <w:t>In tali ipotesi, tuttavia, l’eccezione alla regola della necessaria pubblicazione del bando si applica</w:t>
      </w:r>
      <w:r w:rsidRPr="00902C5D">
        <w:t xml:space="preserve"> unicamente qualora non esistano alternative ragionevoli e l'assenza di concorrenza non sia il risultato di una limitazione artificiosa dei parametri per l'aggiudicazione della concessione.</w:t>
      </w:r>
    </w:p>
    <w:p w14:paraId="1101BF3D" w14:textId="77777777" w:rsidR="00B80CFF" w:rsidRDefault="00B80CFF" w:rsidP="00B80CFF">
      <w:pPr>
        <w:jc w:val="both"/>
      </w:pPr>
    </w:p>
    <w:p w14:paraId="27F25523" w14:textId="7ED2BF9F" w:rsidR="002A3580" w:rsidRPr="002A3580" w:rsidRDefault="002A3580" w:rsidP="002A3580">
      <w:pPr>
        <w:jc w:val="both"/>
      </w:pPr>
      <w:r>
        <w:t xml:space="preserve">Nel caso in cui, all’esito della pubblicazione del bando per l’aggiudicazione della concessione, </w:t>
      </w:r>
      <w:r w:rsidRPr="002A3580">
        <w:t>non sia stata presentata alcuna offerta o alcuna offerta appropriata</w:t>
      </w:r>
      <w:r>
        <w:rPr>
          <w:rStyle w:val="Rimandonotaapidipagina"/>
        </w:rPr>
        <w:footnoteReference w:id="42"/>
      </w:r>
      <w:r w:rsidRPr="002A3580">
        <w:t xml:space="preserve"> o non sia stata depositata alcuna candidatura o alcuna candidatura appropriata, </w:t>
      </w:r>
      <w:r>
        <w:t>agli enti</w:t>
      </w:r>
      <w:r w:rsidRPr="002A3580">
        <w:t xml:space="preserve"> concedent</w:t>
      </w:r>
      <w:r>
        <w:t>i</w:t>
      </w:r>
      <w:r w:rsidRPr="002A3580">
        <w:t xml:space="preserve"> non è richiesto di pubblicare un nuovo bando purché le condizioni iniziali del contratto di concessione non siano sostanzialmente modificate</w:t>
      </w:r>
      <w:r>
        <w:t>.</w:t>
      </w:r>
      <w:r w:rsidRPr="002A3580">
        <w:t xml:space="preserve"> </w:t>
      </w:r>
      <w:r>
        <w:t>I</w:t>
      </w:r>
      <w:r w:rsidRPr="002A3580">
        <w:t>n tal caso va presentata una relazione all’Autorità di regolazione del settore.</w:t>
      </w:r>
    </w:p>
    <w:p w14:paraId="6D269349" w14:textId="77777777" w:rsidR="002A3580" w:rsidRPr="00F81074" w:rsidRDefault="002A3580" w:rsidP="00B80CFF">
      <w:pPr>
        <w:jc w:val="both"/>
      </w:pPr>
    </w:p>
    <w:p w14:paraId="20C86EDE" w14:textId="77777777" w:rsidR="000D0358" w:rsidRPr="00F81074" w:rsidRDefault="00B80CFF" w:rsidP="00B80CFF">
      <w:pPr>
        <w:jc w:val="both"/>
      </w:pPr>
      <w:r w:rsidRPr="00F81074">
        <w:t>Ai sensi dell’art. 183, le concessioni sono aggiudicate sulla base dei criteri stabiliti dall’ente concedente purché siano soddisfatte tutte le condizioni</w:t>
      </w:r>
      <w:r w:rsidR="000D0358" w:rsidRPr="00F81074">
        <w:t xml:space="preserve"> </w:t>
      </w:r>
      <w:r w:rsidRPr="00F81074">
        <w:t>ind</w:t>
      </w:r>
      <w:r w:rsidR="000D0358" w:rsidRPr="00F81074">
        <w:t>i</w:t>
      </w:r>
      <w:r w:rsidRPr="00F81074">
        <w:t>cate</w:t>
      </w:r>
      <w:r w:rsidR="000D0358" w:rsidRPr="00F81074">
        <w:t>.</w:t>
      </w:r>
    </w:p>
    <w:p w14:paraId="0A56CF7E" w14:textId="77777777" w:rsidR="000D0358" w:rsidRPr="00F81074" w:rsidRDefault="000D0358" w:rsidP="00B80CFF">
      <w:pPr>
        <w:jc w:val="both"/>
      </w:pPr>
    </w:p>
    <w:p w14:paraId="4D2FFF55" w14:textId="7379D319" w:rsidR="000D0358" w:rsidRPr="00F81074" w:rsidRDefault="000D0358" w:rsidP="002A3580">
      <w:pPr>
        <w:jc w:val="both"/>
      </w:pPr>
      <w:r w:rsidRPr="00F81074">
        <w:t>Con riferimento al</w:t>
      </w:r>
      <w:r w:rsidR="00B80CFF" w:rsidRPr="00F81074">
        <w:t>l’offerta</w:t>
      </w:r>
      <w:r w:rsidRPr="00F81074">
        <w:t>, essa</w:t>
      </w:r>
      <w:r w:rsidR="00B80CFF" w:rsidRPr="00F81074">
        <w:t xml:space="preserve"> </w:t>
      </w:r>
      <w:r w:rsidRPr="00F81074">
        <w:t xml:space="preserve">deve </w:t>
      </w:r>
      <w:r w:rsidR="00B80CFF" w:rsidRPr="00F81074">
        <w:t>risponde</w:t>
      </w:r>
      <w:r w:rsidRPr="00F81074">
        <w:t>re</w:t>
      </w:r>
      <w:r w:rsidR="00B80CFF" w:rsidRPr="00F81074">
        <w:t xml:space="preserve"> ai requisiti minimi</w:t>
      </w:r>
      <w:r w:rsidR="002A3580">
        <w:rPr>
          <w:rStyle w:val="Rimandonotaapidipagina"/>
        </w:rPr>
        <w:footnoteReference w:id="43"/>
      </w:r>
      <w:r w:rsidR="00B80CFF" w:rsidRPr="00F81074">
        <w:t xml:space="preserve"> prescritti dall’ente concedente</w:t>
      </w:r>
      <w:r w:rsidRPr="00F81074">
        <w:t xml:space="preserve"> e</w:t>
      </w:r>
      <w:r w:rsidR="002A3580">
        <w:t xml:space="preserve"> </w:t>
      </w:r>
      <w:r w:rsidRPr="00F81074">
        <w:t xml:space="preserve">deve </w:t>
      </w:r>
      <w:r w:rsidR="00B80CFF" w:rsidRPr="00F81074">
        <w:t>ottempera</w:t>
      </w:r>
      <w:r w:rsidRPr="00F81074">
        <w:t>re</w:t>
      </w:r>
      <w:r w:rsidR="00B80CFF" w:rsidRPr="00F81074">
        <w:t xml:space="preserve"> alle condizioni di partecipazione relative alle capacità tecniche e professionali e alla capacità finanziaria ed economica richieste nel bando</w:t>
      </w:r>
      <w:r w:rsidRPr="00F81074">
        <w:t xml:space="preserve">. </w:t>
      </w:r>
      <w:r w:rsidR="00B80CFF" w:rsidRPr="00F81074">
        <w:br/>
      </w:r>
    </w:p>
    <w:p w14:paraId="0DF689FE" w14:textId="2E91F4A4" w:rsidR="00B80CFF" w:rsidRPr="00F81074" w:rsidRDefault="000D0358" w:rsidP="00B80CFF">
      <w:pPr>
        <w:jc w:val="both"/>
      </w:pPr>
      <w:r w:rsidRPr="00F81074">
        <w:t>Con riferimento all</w:t>
      </w:r>
      <w:r w:rsidR="00B80CFF" w:rsidRPr="00F81074">
        <w:t>’offerente</w:t>
      </w:r>
      <w:r w:rsidRPr="00F81074">
        <w:t>, questo</w:t>
      </w:r>
      <w:r w:rsidR="00B80CFF" w:rsidRPr="00F81074">
        <w:t xml:space="preserve"> non </w:t>
      </w:r>
      <w:r w:rsidRPr="00F81074">
        <w:t>deve essere</w:t>
      </w:r>
      <w:r w:rsidR="00B80CFF" w:rsidRPr="00F81074">
        <w:t xml:space="preserve"> escluso dalla partecipazione alla procedura di aggiudicazione ai sensi degli </w:t>
      </w:r>
      <w:hyperlink r:id="rId8" w:anchor="094" w:history="1">
        <w:r w:rsidR="00B80CFF" w:rsidRPr="00F81074">
          <w:rPr>
            <w:rStyle w:val="Collegamentoipertestuale"/>
            <w:color w:val="auto"/>
            <w:u w:val="none"/>
          </w:rPr>
          <w:t>articoli 94</w:t>
        </w:r>
        <w:r w:rsidR="002A3580">
          <w:rPr>
            <w:rStyle w:val="Collegamentoipertestuale"/>
            <w:color w:val="auto"/>
            <w:u w:val="none"/>
          </w:rPr>
          <w:t>,</w:t>
        </w:r>
        <w:r w:rsidR="00B80CFF" w:rsidRPr="00F81074">
          <w:rPr>
            <w:rStyle w:val="Collegamentoipertestuale"/>
            <w:color w:val="auto"/>
            <w:u w:val="none"/>
          </w:rPr>
          <w:t xml:space="preserve"> 95</w:t>
        </w:r>
      </w:hyperlink>
      <w:r w:rsidR="00B80CFF" w:rsidRPr="00F81074">
        <w:t>, con riferimento agli accordi internazionali elencati nell’</w:t>
      </w:r>
      <w:hyperlink r:id="rId9" w:anchor="ALLEGATO_X" w:history="1">
        <w:r w:rsidR="00B80CFF" w:rsidRPr="00F81074">
          <w:rPr>
            <w:rStyle w:val="Collegamentoipertestuale"/>
            <w:color w:val="auto"/>
            <w:u w:val="none"/>
          </w:rPr>
          <w:t xml:space="preserve">allegato X alla </w:t>
        </w:r>
        <w:r w:rsidR="002A3580">
          <w:rPr>
            <w:rStyle w:val="Collegamentoipertestuale"/>
            <w:color w:val="auto"/>
            <w:u w:val="none"/>
          </w:rPr>
          <w:t>D</w:t>
        </w:r>
        <w:r w:rsidR="00B80CFF" w:rsidRPr="00F81074">
          <w:rPr>
            <w:rStyle w:val="Collegamentoipertestuale"/>
            <w:color w:val="auto"/>
            <w:u w:val="none"/>
          </w:rPr>
          <w:t>irettiva 2014/23/UE del Parlamento europeo e del Consiglio, del 26 febbraio 2014, 96, 97 e 98</w:t>
        </w:r>
      </w:hyperlink>
      <w:r w:rsidR="00B80CFF" w:rsidRPr="00F81074">
        <w:t>.</w:t>
      </w:r>
    </w:p>
    <w:p w14:paraId="0CD7C06E" w14:textId="77777777" w:rsidR="000D0358" w:rsidRPr="00F81074" w:rsidRDefault="000D0358" w:rsidP="00B80CFF">
      <w:pPr>
        <w:jc w:val="both"/>
      </w:pPr>
    </w:p>
    <w:p w14:paraId="68B1E387" w14:textId="77777777" w:rsidR="000D0358" w:rsidRPr="00F81074" w:rsidRDefault="00B80CFF" w:rsidP="00B80CFF">
      <w:pPr>
        <w:jc w:val="both"/>
      </w:pPr>
      <w:r w:rsidRPr="00F81074">
        <w:t>L’ente concedente può limitare il numero di candidati o di offerenti a un livello adeguato, purché ciò avvenga in modo trasparente e sulla base di criteri oggettivi.</w:t>
      </w:r>
    </w:p>
    <w:p w14:paraId="492A3833" w14:textId="77777777" w:rsidR="000D0358" w:rsidRPr="00F81074" w:rsidRDefault="000D0358" w:rsidP="00B80CFF">
      <w:pPr>
        <w:jc w:val="both"/>
      </w:pPr>
    </w:p>
    <w:p w14:paraId="46188108" w14:textId="73BAC92D" w:rsidR="00B80CFF" w:rsidRPr="00F81074" w:rsidRDefault="00B80CFF" w:rsidP="00B80CFF">
      <w:pPr>
        <w:jc w:val="both"/>
      </w:pPr>
      <w:r w:rsidRPr="00F81074">
        <w:t>Il numero di candidati o di offerenti invitati a partecipare deve essere sufficiente a garantire un'effettiva concorrenza.</w:t>
      </w:r>
    </w:p>
    <w:p w14:paraId="19837613" w14:textId="77777777" w:rsidR="000D0358" w:rsidRPr="00F81074" w:rsidRDefault="000D0358" w:rsidP="00B80CFF">
      <w:pPr>
        <w:jc w:val="both"/>
      </w:pPr>
    </w:p>
    <w:p w14:paraId="351AECBE" w14:textId="5FC4BC94" w:rsidR="00B80CFF" w:rsidRPr="00F81074" w:rsidRDefault="00B80CFF" w:rsidP="00B80CFF">
      <w:pPr>
        <w:jc w:val="both"/>
      </w:pPr>
      <w:r w:rsidRPr="00F81074">
        <w:t xml:space="preserve">L’ente concedente può condurre liberamente negoziazioni con i candidati e gli offerenti. L'oggetto della concessione, i criteri di aggiudicazione e i requisiti minimi non sono modificati nel corso delle negoziazioni. </w:t>
      </w:r>
    </w:p>
    <w:p w14:paraId="60D5E647" w14:textId="77777777" w:rsidR="000D0358" w:rsidRPr="00F81074" w:rsidRDefault="000D0358" w:rsidP="00B80CFF">
      <w:pPr>
        <w:jc w:val="both"/>
      </w:pPr>
    </w:p>
    <w:p w14:paraId="64F910E2" w14:textId="6355777D" w:rsidR="00B80CFF" w:rsidRPr="00F81074" w:rsidRDefault="00B80CFF" w:rsidP="00B80CFF">
      <w:pPr>
        <w:jc w:val="both"/>
      </w:pPr>
      <w:r w:rsidRPr="00F81074">
        <w:t>Le condizioni di partecipazione sono correlate e proporzionali alla necessità di garantire la capacità del concessionario di eseguire la concessione, tenendo conto dell'oggetto della concessione e dell'obiettivo di assicurare la concorrenza effettiva.</w:t>
      </w:r>
    </w:p>
    <w:p w14:paraId="4A51BB8B" w14:textId="77777777" w:rsidR="00B80CFF" w:rsidRPr="00713BCA" w:rsidRDefault="00B80CFF">
      <w:pPr>
        <w:jc w:val="both"/>
      </w:pPr>
    </w:p>
    <w:sectPr w:rsidR="00B80CFF" w:rsidRPr="00713BCA">
      <w:headerReference w:type="default" r:id="rId10"/>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3C75E" w14:textId="77777777" w:rsidR="00BC1F2B" w:rsidRDefault="00BC1F2B">
      <w:r>
        <w:separator/>
      </w:r>
    </w:p>
  </w:endnote>
  <w:endnote w:type="continuationSeparator" w:id="0">
    <w:p w14:paraId="4BFCB9ED" w14:textId="77777777" w:rsidR="00BC1F2B" w:rsidRDefault="00BC1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Serif">
    <w:altName w:val="Courier New"/>
    <w:charset w:val="00"/>
    <w:family w:val="auto"/>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81197" w14:textId="77777777" w:rsidR="00D331A2" w:rsidRDefault="00D331A2">
    <w:pPr>
      <w:pStyle w:val="Pidipagina"/>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26445" w14:textId="77777777" w:rsidR="00BC1F2B" w:rsidRDefault="00BC1F2B">
      <w:r>
        <w:separator/>
      </w:r>
    </w:p>
  </w:footnote>
  <w:footnote w:type="continuationSeparator" w:id="0">
    <w:p w14:paraId="4A5D7258" w14:textId="77777777" w:rsidR="00BC1F2B" w:rsidRDefault="00BC1F2B">
      <w:r>
        <w:continuationSeparator/>
      </w:r>
    </w:p>
  </w:footnote>
  <w:footnote w:id="1">
    <w:p w14:paraId="0B30EC0F" w14:textId="5C53777F" w:rsidR="0067378F" w:rsidRDefault="0067378F" w:rsidP="0067378F">
      <w:pPr>
        <w:pStyle w:val="Testonotaapidipagina"/>
        <w:jc w:val="both"/>
      </w:pPr>
      <w:r>
        <w:rPr>
          <w:rStyle w:val="Rimandonotaapidipagina"/>
        </w:rPr>
        <w:footnoteRef/>
      </w:r>
      <w:r>
        <w:t xml:space="preserve"> </w:t>
      </w:r>
      <w:r w:rsidRPr="0067378F">
        <w:t>Nel Codice del terzo settore, il modello ispirato alla collaborazione è declinato più marcatamente nel senso dell’amministrazione “condivisa”</w:t>
      </w:r>
      <w:r>
        <w:t xml:space="preserve">. </w:t>
      </w:r>
      <w:r w:rsidRPr="0067378F">
        <w:t xml:space="preserve">Ai sensi dell’art. 55 del </w:t>
      </w:r>
      <w:proofErr w:type="spellStart"/>
      <w:r w:rsidRPr="0067378F">
        <w:t>D.Lgs.</w:t>
      </w:r>
      <w:proofErr w:type="spellEnd"/>
      <w:r w:rsidRPr="0067378F">
        <w:t xml:space="preserve"> n. 117/2017,</w:t>
      </w:r>
      <w:r w:rsidRPr="0067378F">
        <w:rPr>
          <w:b/>
          <w:bCs/>
        </w:rPr>
        <w:t> </w:t>
      </w:r>
      <w:r w:rsidRPr="0067378F">
        <w:t xml:space="preserve">in attuazione dei principi di sussidiarietà, cooperazione, efficacia, efficienza ed economicità, omogeneità, copertura finanziaria e patrimoniale, responsabilità ed unicità dell'amministrazione, autonomia organizzativa e regolamentare, le </w:t>
      </w:r>
      <w:r w:rsidR="00644B89">
        <w:t>A</w:t>
      </w:r>
      <w:r w:rsidRPr="0067378F">
        <w:t xml:space="preserve">mministrazioni </w:t>
      </w:r>
      <w:r w:rsidR="00644B89">
        <w:t>P</w:t>
      </w:r>
      <w:r w:rsidRPr="0067378F">
        <w:t>ubbliche, nell'esercizio delle proprie funzioni di programmazione e organizzazione a livello territoriale degli interventi e dei servizi nei settori di attività di cui all'articolo 5, assicurano il coinvolgimento attivo degli enti del Terzo settore, attraverso forme di co-programmazione e co-progettazione e accreditamento, poste in essere nel rispetto dei principi della </w:t>
      </w:r>
      <w:hyperlink r:id="rId1" w:tgtFrame="_blank" w:history="1">
        <w:r w:rsidRPr="0067378F">
          <w:rPr>
            <w:rStyle w:val="Collegamentoipertestuale"/>
            <w:color w:val="auto"/>
            <w:u w:val="none"/>
          </w:rPr>
          <w:t>legge 7 agosto 1990, n. 241</w:t>
        </w:r>
      </w:hyperlink>
      <w:r w:rsidRPr="0067378F">
        <w:t xml:space="preserve">, nonché delle norme che disciplinano specifici procedimenti ed in particolare di quelle relative alla programmazione sociale di zona. </w:t>
      </w:r>
      <w:r w:rsidRPr="00503998">
        <w:t xml:space="preserve">La co-programmazione è finalizzata all'individuazione, da parte della </w:t>
      </w:r>
      <w:r w:rsidR="00644B89">
        <w:t>P</w:t>
      </w:r>
      <w:r w:rsidRPr="00503998">
        <w:t xml:space="preserve">ubblica </w:t>
      </w:r>
      <w:r w:rsidR="00644B89">
        <w:t>A</w:t>
      </w:r>
      <w:r w:rsidRPr="00503998">
        <w:t>mministrazione procedente, dei bisogni da soddisfare, degli interventi a tal fine necessari, delle modalità di realizzazione degli stessi e delle risorse disponibili</w:t>
      </w:r>
      <w:r w:rsidRPr="0067378F">
        <w:t xml:space="preserve">. </w:t>
      </w:r>
      <w:r w:rsidRPr="00503998">
        <w:t>La co-progettazione è finalizzata alla definizione ed eventualmente alla realizzazione di specifici progetti di servizio o di intervento finalizzati a soddisfare bisogni definiti, alla luce degli strumenti di programmazione di cui comma 2.</w:t>
      </w:r>
      <w:r w:rsidRPr="0067378F">
        <w:t xml:space="preserve"> Per un approfondimento sul tema, si veda, tra gli atri, A. Berrettini, </w:t>
      </w:r>
      <w:r w:rsidRPr="0067378F">
        <w:rPr>
          <w:i/>
          <w:iCs/>
        </w:rPr>
        <w:t>La co-progettazione alla luce del Codice del terzo settore</w:t>
      </w:r>
      <w:r w:rsidRPr="0067378F">
        <w:t xml:space="preserve">, in </w:t>
      </w:r>
      <w:r w:rsidRPr="0067378F">
        <w:rPr>
          <w:i/>
          <w:iCs/>
        </w:rPr>
        <w:t>Federalismi.it</w:t>
      </w:r>
      <w:r w:rsidRPr="0067378F">
        <w:t>, 2022.</w:t>
      </w:r>
    </w:p>
  </w:footnote>
  <w:footnote w:id="2">
    <w:p w14:paraId="0769AB0A" w14:textId="1F7C9EBA" w:rsidR="00350F47" w:rsidRPr="00350F47" w:rsidRDefault="00350F47" w:rsidP="00350F47">
      <w:pPr>
        <w:pStyle w:val="Testonotaapidipagina"/>
        <w:jc w:val="both"/>
      </w:pPr>
      <w:r>
        <w:rPr>
          <w:rStyle w:val="Rimandonotaapidipagina"/>
        </w:rPr>
        <w:footnoteRef/>
      </w:r>
      <w:r>
        <w:t xml:space="preserve"> Tale codicistica definizione è stata criticata in dottrina, poiché ritenuta una “</w:t>
      </w:r>
      <w:r w:rsidRPr="00350F47">
        <w:rPr>
          <w:i/>
          <w:iCs/>
        </w:rPr>
        <w:t>espressione dal contenuto giuridico pressoché nullo e che si spiega solo perché il legislatore ha voluto dettare una qualificazione non generale, ma generalissima della figura, alla stessa appunto avendo voluto ricondurre anche il PPP di tipo istituzionale</w:t>
      </w:r>
      <w:r>
        <w:t xml:space="preserve">”. Così, A. Giovannini, </w:t>
      </w:r>
      <w:r w:rsidRPr="00350F47">
        <w:rPr>
          <w:i/>
          <w:iCs/>
        </w:rPr>
        <w:t>Il partenariato pubblico-privato nel nuovo codice dei contratti pubblici</w:t>
      </w:r>
      <w:r w:rsidRPr="00350F47">
        <w:t xml:space="preserve">, in </w:t>
      </w:r>
      <w:r w:rsidRPr="00350F47">
        <w:rPr>
          <w:i/>
          <w:iCs/>
        </w:rPr>
        <w:t>ww.giustiziaamministrativa.it</w:t>
      </w:r>
      <w:r>
        <w:t>.</w:t>
      </w:r>
    </w:p>
  </w:footnote>
  <w:footnote w:id="3">
    <w:p w14:paraId="64C49B29" w14:textId="0D2BE1B7" w:rsidR="0027027D" w:rsidRDefault="0027027D" w:rsidP="003969D8">
      <w:pPr>
        <w:pStyle w:val="Testonotaapidipagina"/>
        <w:jc w:val="both"/>
      </w:pPr>
      <w:r>
        <w:rPr>
          <w:rStyle w:val="Rimandonotaapidipagina"/>
        </w:rPr>
        <w:footnoteRef/>
      </w:r>
      <w:r>
        <w:t xml:space="preserve"> </w:t>
      </w:r>
      <w:r w:rsidRPr="0027027D">
        <w:t>Da un punto di vista economico, che meno pertiene alla presente indagine, il</w:t>
      </w:r>
      <w:r w:rsidR="00194D63">
        <w:t xml:space="preserve"> partenariato pubblico provato </w:t>
      </w:r>
      <w:r w:rsidRPr="0027027D">
        <w:t xml:space="preserve">è </w:t>
      </w:r>
      <w:r w:rsidR="00503998">
        <w:t>ritenuto</w:t>
      </w:r>
      <w:r w:rsidRPr="0027027D">
        <w:t xml:space="preserve"> strumento fondamentale per generare un effetto leva sul mercato, </w:t>
      </w:r>
      <w:r w:rsidR="00503998">
        <w:t>in quanto</w:t>
      </w:r>
      <w:r w:rsidRPr="0027027D">
        <w:t xml:space="preserve"> catalizzatore di risorse finanziarie private e, tendenzialmente, moltiplicatore del benessere economico e sociale</w:t>
      </w:r>
      <w:r w:rsidR="00194D63">
        <w:t>.</w:t>
      </w:r>
      <w:r w:rsidR="00503998">
        <w:t xml:space="preserve"> Così</w:t>
      </w:r>
      <w:r w:rsidR="00FE2F6C">
        <w:t xml:space="preserve">, C. </w:t>
      </w:r>
      <w:proofErr w:type="spellStart"/>
      <w:r w:rsidR="00FE2F6C" w:rsidRPr="00FE2F6C">
        <w:t>Addess</w:t>
      </w:r>
      <w:r w:rsidR="00FE2F6C">
        <w:t>o</w:t>
      </w:r>
      <w:proofErr w:type="spellEnd"/>
      <w:r w:rsidR="00FE2F6C">
        <w:t>,</w:t>
      </w:r>
      <w:r w:rsidR="00FE2F6C" w:rsidRPr="00FE2F6C">
        <w:t xml:space="preserve"> “</w:t>
      </w:r>
      <w:r w:rsidR="00FE2F6C" w:rsidRPr="00FE2F6C">
        <w:rPr>
          <w:i/>
          <w:iCs/>
        </w:rPr>
        <w:t xml:space="preserve">Strumenti di attuazione del PNRR e di rafforzamento della capacità amministrativa: il partenariato pubblico-privato e </w:t>
      </w:r>
      <w:proofErr w:type="spellStart"/>
      <w:r w:rsidR="00FE2F6C" w:rsidRPr="00FE2F6C">
        <w:rPr>
          <w:i/>
          <w:iCs/>
        </w:rPr>
        <w:t>l'in</w:t>
      </w:r>
      <w:proofErr w:type="spellEnd"/>
      <w:r w:rsidR="00FE2F6C" w:rsidRPr="00FE2F6C">
        <w:rPr>
          <w:i/>
          <w:iCs/>
        </w:rPr>
        <w:t xml:space="preserve"> house</w:t>
      </w:r>
      <w:r w:rsidR="00FE2F6C" w:rsidRPr="00FE2F6C">
        <w:t>”, Relazione in occasione del convegno “</w:t>
      </w:r>
      <w:r w:rsidR="00FE2F6C" w:rsidRPr="00FE2F6C">
        <w:rPr>
          <w:i/>
          <w:iCs/>
        </w:rPr>
        <w:t>5° rassegna di diritto pubblico dell’economia</w:t>
      </w:r>
      <w:r w:rsidR="00FE2F6C" w:rsidRPr="00FE2F6C">
        <w:t>”, Varese 17 e 18 giugno 2022.</w:t>
      </w:r>
      <w:r w:rsidR="003969D8">
        <w:t xml:space="preserve"> </w:t>
      </w:r>
      <w:r w:rsidR="003969D8" w:rsidRPr="003969D8">
        <w:t>“</w:t>
      </w:r>
      <w:r w:rsidR="003969D8">
        <w:rPr>
          <w:i/>
          <w:iCs/>
        </w:rPr>
        <w:t>L</w:t>
      </w:r>
      <w:r w:rsidR="003969D8" w:rsidRPr="003969D8">
        <w:rPr>
          <w:i/>
          <w:iCs/>
        </w:rPr>
        <w:t>a nozione di partenariato ha una duplice dimensione, negoziale ed economica, in quanto costituisce un fenomeno economico-finanziario che trova disciplina giuridica nel relativo contratto</w:t>
      </w:r>
      <w:r w:rsidR="003969D8" w:rsidRPr="003969D8">
        <w:t>” (Cons. St</w:t>
      </w:r>
      <w:r w:rsidR="003969D8">
        <w:t>ato</w:t>
      </w:r>
      <w:r w:rsidR="003969D8" w:rsidRPr="003969D8">
        <w:t>, parere della Commissione speciale, n. 855 del 21 marzo 2016</w:t>
      </w:r>
      <w:r w:rsidR="003969D8">
        <w:t>).</w:t>
      </w:r>
    </w:p>
  </w:footnote>
  <w:footnote w:id="4">
    <w:p w14:paraId="1385DE4E" w14:textId="24117617" w:rsidR="00A371C3" w:rsidRPr="00921178" w:rsidRDefault="00A371C3" w:rsidP="00921178">
      <w:pPr>
        <w:pStyle w:val="Testonotaapidipagina"/>
        <w:jc w:val="both"/>
      </w:pPr>
      <w:r>
        <w:rPr>
          <w:rStyle w:val="Rimandonotaapidipagina"/>
        </w:rPr>
        <w:footnoteRef/>
      </w:r>
      <w:r>
        <w:t xml:space="preserve"> “</w:t>
      </w:r>
      <w:r w:rsidRPr="00921178">
        <w:rPr>
          <w:i/>
          <w:iCs/>
        </w:rPr>
        <w:t>Non si tratta di un istituto giuridico a sé stante , bensì di operazioni economiche che possono assumere varie vesti giuridiche</w:t>
      </w:r>
      <w:r w:rsidR="00921178" w:rsidRPr="00921178">
        <w:rPr>
          <w:i/>
          <w:iCs/>
        </w:rPr>
        <w:t>, contraddistinte però da alcuni elementi… Attraverso questi rapporti giuridici è possibile per le pubbliche amministrazioni affrontare interventi onerosi anche in situazioni deficitarie di bilancio, ricorrendo all’apporto di imprenditori privati, sia come fi</w:t>
      </w:r>
      <w:r w:rsidR="00921178">
        <w:rPr>
          <w:i/>
          <w:iCs/>
        </w:rPr>
        <w:t>na</w:t>
      </w:r>
      <w:r w:rsidR="00921178" w:rsidRPr="00921178">
        <w:rPr>
          <w:i/>
          <w:iCs/>
        </w:rPr>
        <w:t>n</w:t>
      </w:r>
      <w:r w:rsidR="00921178">
        <w:rPr>
          <w:i/>
          <w:iCs/>
        </w:rPr>
        <w:t>zi</w:t>
      </w:r>
      <w:r w:rsidR="00921178" w:rsidRPr="00921178">
        <w:rPr>
          <w:i/>
          <w:iCs/>
        </w:rPr>
        <w:t xml:space="preserve">atori, sia come partner tecnici in grado di offrire il proprio know </w:t>
      </w:r>
      <w:proofErr w:type="spellStart"/>
      <w:r w:rsidR="00921178" w:rsidRPr="00921178">
        <w:rPr>
          <w:i/>
          <w:iCs/>
        </w:rPr>
        <w:t>how</w:t>
      </w:r>
      <w:proofErr w:type="spellEnd"/>
      <w:r w:rsidR="00921178" w:rsidRPr="00921178">
        <w:rPr>
          <w:i/>
          <w:iCs/>
        </w:rPr>
        <w:t xml:space="preserve"> per la realizzazione e la gestione di un’ope</w:t>
      </w:r>
      <w:r w:rsidR="00921178">
        <w:rPr>
          <w:i/>
          <w:iCs/>
        </w:rPr>
        <w:t>r</w:t>
      </w:r>
      <w:r w:rsidR="00921178" w:rsidRPr="00921178">
        <w:rPr>
          <w:i/>
          <w:iCs/>
        </w:rPr>
        <w:t>a o di un servizio di interesse pubblico</w:t>
      </w:r>
      <w:r w:rsidR="00921178">
        <w:t xml:space="preserve">”, così M. Giordano, </w:t>
      </w:r>
      <w:r w:rsidR="00921178" w:rsidRPr="00921178">
        <w:rPr>
          <w:i/>
          <w:iCs/>
        </w:rPr>
        <w:t>Partenariato pubblico provato, concessioni, finanza di progetto e altre figure contrattuali</w:t>
      </w:r>
      <w:r w:rsidR="00921178">
        <w:t xml:space="preserve">, in </w:t>
      </w:r>
      <w:r w:rsidR="00921178" w:rsidRPr="00921178">
        <w:rPr>
          <w:i/>
          <w:iCs/>
        </w:rPr>
        <w:t>Il codice dei contratti pubblici. Riforma e correttivo</w:t>
      </w:r>
      <w:r w:rsidR="00921178" w:rsidRPr="00921178">
        <w:t>, Napoli, 2025</w:t>
      </w:r>
      <w:r w:rsidR="00921178">
        <w:t>, pp. 635-636.</w:t>
      </w:r>
    </w:p>
  </w:footnote>
  <w:footnote w:id="5">
    <w:p w14:paraId="4AF14B4E" w14:textId="3A215AEE" w:rsidR="00DF0576" w:rsidRDefault="00DF0576" w:rsidP="00DF0576">
      <w:pPr>
        <w:pStyle w:val="Testonotaapidipagina"/>
        <w:jc w:val="both"/>
      </w:pPr>
      <w:r>
        <w:rPr>
          <w:rStyle w:val="Rimandonotaapidipagina"/>
        </w:rPr>
        <w:footnoteRef/>
      </w:r>
      <w:r>
        <w:t xml:space="preserve"> </w:t>
      </w:r>
      <w:r w:rsidRPr="00DF0576">
        <w:t xml:space="preserve">Nelle operazioni di </w:t>
      </w:r>
      <w:r w:rsidRPr="00DF0576">
        <w:rPr>
          <w:i/>
          <w:iCs/>
        </w:rPr>
        <w:t>leasing</w:t>
      </w:r>
      <w:r w:rsidRPr="00DF0576">
        <w:t xml:space="preserve"> cosiddetto operativo, tutte le condizioni per il trattamento </w:t>
      </w:r>
      <w:r w:rsidRPr="00DF0576">
        <w:rPr>
          <w:i/>
          <w:iCs/>
        </w:rPr>
        <w:t>of balance</w:t>
      </w:r>
      <w:r w:rsidRPr="00DF0576">
        <w:t> dell’investimento risultano</w:t>
      </w:r>
      <w:r>
        <w:t>, almeno in astratto,</w:t>
      </w:r>
      <w:r w:rsidRPr="00DF0576">
        <w:t xml:space="preserve"> garantite, </w:t>
      </w:r>
      <w:r>
        <w:t>a differenza di ciò che avviene</w:t>
      </w:r>
      <w:r w:rsidRPr="00DF0576">
        <w:t xml:space="preserve"> </w:t>
      </w:r>
      <w:r>
        <w:t>con il ricorso</w:t>
      </w:r>
      <w:r w:rsidRPr="00DF0576">
        <w:t xml:space="preserve"> alla formula puramente finanziaria dell’istituto</w:t>
      </w:r>
      <w:r>
        <w:t>.</w:t>
      </w:r>
      <w:r w:rsidR="00CD5AED">
        <w:t xml:space="preserve"> Il l</w:t>
      </w:r>
      <w:r w:rsidR="00CD5AED" w:rsidRPr="00CD5AED">
        <w:rPr>
          <w:i/>
          <w:iCs/>
        </w:rPr>
        <w:t>easing</w:t>
      </w:r>
      <w:r w:rsidR="00CD5AED">
        <w:t xml:space="preserve"> finanziario non è ascrivibile alle forme di partenariato pubblico privato e corrisponde ad un contratto di appalto. </w:t>
      </w:r>
      <w:r w:rsidR="00CD5AED" w:rsidRPr="00CD5AED">
        <w:t xml:space="preserve">L’articolo 196 </w:t>
      </w:r>
      <w:r w:rsidR="00CD5AED">
        <w:t>distingue, infatti,</w:t>
      </w:r>
      <w:r w:rsidR="00CD5AED" w:rsidRPr="00CD5AED">
        <w:t xml:space="preserve"> tra </w:t>
      </w:r>
      <w:r w:rsidR="00CD5AED" w:rsidRPr="00CD5AED">
        <w:rPr>
          <w:i/>
          <w:iCs/>
        </w:rPr>
        <w:t>leasing</w:t>
      </w:r>
      <w:r w:rsidR="00CD5AED" w:rsidRPr="00CD5AED">
        <w:t xml:space="preserve"> operativo, che include la gestione del progetto realizzato, e </w:t>
      </w:r>
      <w:r w:rsidR="00CD5AED" w:rsidRPr="00CD5AED">
        <w:rPr>
          <w:i/>
          <w:iCs/>
        </w:rPr>
        <w:t>leasing</w:t>
      </w:r>
      <w:r w:rsidR="00CD5AED">
        <w:t xml:space="preserve"> </w:t>
      </w:r>
      <w:r w:rsidR="00CD5AED" w:rsidRPr="00CD5AED">
        <w:t>finanziario</w:t>
      </w:r>
      <w:r w:rsidR="00CD5AED">
        <w:t>, stabilendo, al</w:t>
      </w:r>
      <w:r w:rsidR="00CD5AED" w:rsidRPr="00CD5AED">
        <w:rPr>
          <w:b/>
          <w:bCs/>
        </w:rPr>
        <w:t> </w:t>
      </w:r>
      <w:r w:rsidR="00CD5AED" w:rsidRPr="00CD5AED">
        <w:t>comma 3</w:t>
      </w:r>
      <w:r w:rsidR="00CD5AED">
        <w:t>,</w:t>
      </w:r>
      <w:r w:rsidR="00CD5AED" w:rsidRPr="00CD5AED">
        <w:t xml:space="preserve"> che</w:t>
      </w:r>
      <w:r w:rsidR="00CD5AED">
        <w:t>,</w:t>
      </w:r>
      <w:r w:rsidR="00CD5AED" w:rsidRPr="00CD5AED">
        <w:t xml:space="preserve"> solo se il contratto include il trasferimento al privato del rischio operativo, come definito in materia di concessioni, oltre alla disciplina specifica si applica quella relativ</w:t>
      </w:r>
      <w:r w:rsidR="00644B89">
        <w:t>a</w:t>
      </w:r>
      <w:r w:rsidR="00CD5AED" w:rsidRPr="00CD5AED">
        <w:t xml:space="preserve"> agli altri contratti di partenariato pubblico-privato</w:t>
      </w:r>
      <w:r w:rsidR="00CD5AED">
        <w:t>.</w:t>
      </w:r>
      <w:r w:rsidR="00CD5AED" w:rsidRPr="00CD5AED">
        <w:t xml:space="preserve"> </w:t>
      </w:r>
      <w:r w:rsidR="00CD5AED">
        <w:t>D</w:t>
      </w:r>
      <w:r w:rsidR="00CD5AED" w:rsidRPr="00CD5AED">
        <w:t>iversamente</w:t>
      </w:r>
      <w:r w:rsidR="00CD5AED">
        <w:t>,</w:t>
      </w:r>
      <w:r w:rsidR="00CD5AED" w:rsidRPr="00CD5AED">
        <w:t xml:space="preserve"> il rapporto è </w:t>
      </w:r>
      <w:r w:rsidR="00184708">
        <w:t>da ricondursi all’</w:t>
      </w:r>
      <w:r w:rsidR="00CD5AED" w:rsidRPr="00CD5AED">
        <w:t>appalto pubblico di lavori.</w:t>
      </w:r>
    </w:p>
  </w:footnote>
  <w:footnote w:id="6">
    <w:p w14:paraId="34C272A8" w14:textId="13EFE66B" w:rsidR="00017FAA" w:rsidRDefault="00017FAA" w:rsidP="00017FAA">
      <w:pPr>
        <w:pStyle w:val="Testonotaapidipagina"/>
        <w:jc w:val="both"/>
      </w:pPr>
      <w:r>
        <w:rPr>
          <w:rStyle w:val="Rimandonotaapidipagina"/>
        </w:rPr>
        <w:footnoteRef/>
      </w:r>
      <w:r>
        <w:t xml:space="preserve"> </w:t>
      </w:r>
      <w:r w:rsidRPr="007C5CB8">
        <w:t>Nella relazione del Consiglio di Stato di accompagnamento al nuovo Codice</w:t>
      </w:r>
      <w:r>
        <w:t xml:space="preserve"> compare </w:t>
      </w:r>
      <w:r w:rsidR="007C5CB8">
        <w:t>il riferimento al</w:t>
      </w:r>
      <w:r>
        <w:t xml:space="preserve"> </w:t>
      </w:r>
      <w:r w:rsidRPr="00017FAA">
        <w:rPr>
          <w:i/>
          <w:iCs/>
        </w:rPr>
        <w:t>leasing in costruendo</w:t>
      </w:r>
      <w:r>
        <w:t xml:space="preserve">, che </w:t>
      </w:r>
      <w:r w:rsidR="007C5CB8">
        <w:t xml:space="preserve">persegue lo scopo di reperire il finanziamento per la realizzazione di opere e </w:t>
      </w:r>
      <w:r w:rsidRPr="00DF0576">
        <w:t>corrisponde</w:t>
      </w:r>
      <w:r>
        <w:t xml:space="preserve"> </w:t>
      </w:r>
      <w:r w:rsidRPr="00DF0576">
        <w:t>ad una scelta operata dal legislatore fin dal 2006 volta ad introdurre una formula civilistica in grado di valorizzare il contributo del finanziamento privato per la realizzazione di opere pubbliche</w:t>
      </w:r>
      <w:r>
        <w:t xml:space="preserve"> o</w:t>
      </w:r>
      <w:r w:rsidRPr="00DF0576">
        <w:t xml:space="preserve"> destinate all’utilizzo pubblico, quale alternativa allo strumento del contraente generale.</w:t>
      </w:r>
    </w:p>
  </w:footnote>
  <w:footnote w:id="7">
    <w:p w14:paraId="0098A885" w14:textId="5FB8C39C" w:rsidR="007F6B9D" w:rsidRDefault="007F6B9D" w:rsidP="007F6B9D">
      <w:pPr>
        <w:pStyle w:val="Testonotaapidipagina"/>
        <w:jc w:val="both"/>
      </w:pPr>
      <w:r>
        <w:rPr>
          <w:rStyle w:val="Rimandonotaapidipagina"/>
        </w:rPr>
        <w:footnoteRef/>
      </w:r>
      <w:r>
        <w:t xml:space="preserve"> “</w:t>
      </w:r>
      <w:r w:rsidRPr="007F6B9D">
        <w:rPr>
          <w:i/>
          <w:iCs/>
        </w:rPr>
        <w:t>Il contratto di disponibilità appare diretto a consentire ad una Amministrazione pubblica, anche in assenza delle necessarie risorse finanziarie, di poter acquisire la disponibilità di immobili, di proprietà privata, da destinare ad un pubblico servizio, adeguati alle proprie esigenze, a seguito di un’unica procedura di gara di progettazione, realizzazione e manutenzione dell’opera. L’Amministrazione rimane libera di acquisire o meno l’immobile oggetto del contratto di disponibilità in un secondo momento. Tale contratto sembra rivolto, in modo particolare, alla realizzazione delle c.d. “opere fredde”, vale a dire delle opere per le quali il recupero del valore dell’investimento effettuato dal soggetto privato avviene, non attraverso i ricavi percepiti dagli utenti che usufruiscono del bene (es. parcheggi, ecc.), ma attraverso i ricavi percepiti dalla stessa Amministrazione pubblica (es. uffici, scuole, ospedali, ecc.). Si tratta, dunque, di uno strumento contrattuale che consente, almeno potenzialmente, di soddisfare le esigenze della collettività amministrata, riferite al reperimento e utilizzazione di opere che non sono in grado di produrre flussi finanziari positivi idonei a consentirne l’autofinanziamento, mediante l’utilizzazione di capitali privati di cui potrebbe risultare sufficientemente garantita la redditività nel tempo attraverso il pagamento, da parte della Amministrazione pubblica, quantomeno, del canone di disponibilità. Il legislatore ha manifestato, negli ultimi anni, anche per la carenza di risorse e la presenza di stringenti vincoli di finanza pubblica, un certo interesse per l’utilizzo di strumenti di partenariato pubblico-privato. Risulta avvertita, nel contempo, l’esigenza di semplificare le procedure, ridurre le occasioni di contenzioso e accorciare i tempi di realizzazione delle opere. Il contratto di disponibilità presenta alcuni aspetti che possono risultare funzionali al soddisfacimento di questa esigenza</w:t>
      </w:r>
      <w:r>
        <w:t>” (Corte dei Conti, Sezione Centrale di Controllo, Deliberazione n. 7/2020G del 20 luglio 2020).</w:t>
      </w:r>
    </w:p>
  </w:footnote>
  <w:footnote w:id="8">
    <w:p w14:paraId="6C6DFC40" w14:textId="4739BD9C" w:rsidR="00671470" w:rsidRDefault="00671470">
      <w:pPr>
        <w:pStyle w:val="Testonotaapidipagina"/>
      </w:pPr>
      <w:r>
        <w:rPr>
          <w:rStyle w:val="Rimandonotaapidipagina"/>
        </w:rPr>
        <w:footnoteRef/>
      </w:r>
      <w:r>
        <w:t xml:space="preserve"> Cfr. G. Briganti, </w:t>
      </w:r>
      <w:r w:rsidRPr="00671470">
        <w:rPr>
          <w:i/>
          <w:iCs/>
        </w:rPr>
        <w:t>Il partenariato pubblico-privato e la finanza di progetto</w:t>
      </w:r>
      <w:r>
        <w:t>, Milano, 2025, p. 37.</w:t>
      </w:r>
    </w:p>
  </w:footnote>
  <w:footnote w:id="9">
    <w:p w14:paraId="16FF69F7" w14:textId="77777777" w:rsidR="00EA76D5" w:rsidRDefault="00EA76D5" w:rsidP="00EA76D5">
      <w:pPr>
        <w:pStyle w:val="Testonotaapidipagina"/>
        <w:jc w:val="both"/>
      </w:pPr>
      <w:r>
        <w:rPr>
          <w:rStyle w:val="Rimandonotaapidipagina"/>
        </w:rPr>
        <w:footnoteRef/>
      </w:r>
      <w:r>
        <w:t xml:space="preserve"> </w:t>
      </w:r>
      <w:r>
        <w:rPr>
          <w:lang w:val="en-GB"/>
        </w:rPr>
        <w:t xml:space="preserve">Nel rispetto </w:t>
      </w:r>
      <w:proofErr w:type="spellStart"/>
      <w:r>
        <w:rPr>
          <w:lang w:val="en-GB"/>
        </w:rPr>
        <w:t>dei</w:t>
      </w:r>
      <w:proofErr w:type="spellEnd"/>
      <w:r w:rsidRPr="006825E6">
        <w:rPr>
          <w:lang w:val="en-GB"/>
        </w:rPr>
        <w:t xml:space="preserve"> </w:t>
      </w:r>
      <w:proofErr w:type="spellStart"/>
      <w:r w:rsidRPr="006825E6">
        <w:rPr>
          <w:lang w:val="en-GB"/>
        </w:rPr>
        <w:t>bandi-tipo</w:t>
      </w:r>
      <w:proofErr w:type="spellEnd"/>
      <w:r w:rsidRPr="006825E6">
        <w:rPr>
          <w:lang w:val="en-GB"/>
        </w:rPr>
        <w:t> </w:t>
      </w:r>
      <w:proofErr w:type="spellStart"/>
      <w:r w:rsidRPr="006825E6">
        <w:rPr>
          <w:bCs/>
          <w:lang w:val="en-GB"/>
        </w:rPr>
        <w:t>predisposti</w:t>
      </w:r>
      <w:proofErr w:type="spellEnd"/>
      <w:r w:rsidRPr="006825E6">
        <w:rPr>
          <w:bCs/>
          <w:lang w:val="en-GB"/>
        </w:rPr>
        <w:t xml:space="preserve"> </w:t>
      </w:r>
      <w:proofErr w:type="spellStart"/>
      <w:r w:rsidRPr="006825E6">
        <w:rPr>
          <w:bCs/>
          <w:lang w:val="en-GB"/>
        </w:rPr>
        <w:t>dall'ANAC</w:t>
      </w:r>
      <w:proofErr w:type="spellEnd"/>
      <w:r w:rsidRPr="006825E6">
        <w:rPr>
          <w:bCs/>
          <w:lang w:val="en-GB"/>
        </w:rPr>
        <w:t xml:space="preserve"> e </w:t>
      </w:r>
      <w:proofErr w:type="spellStart"/>
      <w:r w:rsidRPr="006825E6">
        <w:rPr>
          <w:bCs/>
          <w:lang w:val="en-GB"/>
        </w:rPr>
        <w:t>dei</w:t>
      </w:r>
      <w:proofErr w:type="spellEnd"/>
      <w:r w:rsidRPr="006825E6">
        <w:rPr>
          <w:bCs/>
          <w:lang w:val="en-GB"/>
        </w:rPr>
        <w:t xml:space="preserve"> </w:t>
      </w:r>
      <w:proofErr w:type="spellStart"/>
      <w:r w:rsidRPr="006825E6">
        <w:rPr>
          <w:bCs/>
          <w:lang w:val="en-GB"/>
        </w:rPr>
        <w:t>contratti-tipo</w:t>
      </w:r>
      <w:proofErr w:type="spellEnd"/>
      <w:r w:rsidRPr="006825E6">
        <w:rPr>
          <w:bCs/>
          <w:lang w:val="en-GB"/>
        </w:rPr>
        <w:t xml:space="preserve"> </w:t>
      </w:r>
      <w:proofErr w:type="spellStart"/>
      <w:r w:rsidRPr="006825E6">
        <w:rPr>
          <w:bCs/>
          <w:lang w:val="en-GB"/>
        </w:rPr>
        <w:t>predisposti</w:t>
      </w:r>
      <w:proofErr w:type="spellEnd"/>
      <w:r w:rsidRPr="006825E6">
        <w:rPr>
          <w:lang w:val="en-GB"/>
        </w:rPr>
        <w:t> </w:t>
      </w:r>
      <w:r w:rsidRPr="006825E6">
        <w:rPr>
          <w:bCs/>
          <w:lang w:val="en-GB"/>
        </w:rPr>
        <w:t>dal DIPE,</w:t>
      </w:r>
      <w:r w:rsidRPr="006825E6">
        <w:rPr>
          <w:lang w:val="en-GB"/>
        </w:rPr>
        <w:t> </w:t>
      </w:r>
      <w:r w:rsidRPr="006825E6">
        <w:rPr>
          <w:bCs/>
          <w:lang w:val="en-GB"/>
        </w:rPr>
        <w:t xml:space="preserve">di concerto con </w:t>
      </w:r>
      <w:proofErr w:type="spellStart"/>
      <w:r w:rsidRPr="006825E6">
        <w:rPr>
          <w:bCs/>
          <w:lang w:val="en-GB"/>
        </w:rPr>
        <w:t>l'Autorità</w:t>
      </w:r>
      <w:proofErr w:type="spellEnd"/>
      <w:r w:rsidRPr="006825E6">
        <w:rPr>
          <w:bCs/>
          <w:lang w:val="en-GB"/>
        </w:rPr>
        <w:t xml:space="preserve"> di </w:t>
      </w:r>
      <w:proofErr w:type="spellStart"/>
      <w:r w:rsidRPr="006825E6">
        <w:rPr>
          <w:bCs/>
          <w:lang w:val="en-GB"/>
        </w:rPr>
        <w:t>regolazione</w:t>
      </w:r>
      <w:proofErr w:type="spellEnd"/>
      <w:r w:rsidRPr="006825E6">
        <w:rPr>
          <w:bCs/>
          <w:lang w:val="en-GB"/>
        </w:rPr>
        <w:t xml:space="preserve"> del </w:t>
      </w:r>
      <w:proofErr w:type="spellStart"/>
      <w:r w:rsidRPr="006825E6">
        <w:rPr>
          <w:bCs/>
          <w:lang w:val="en-GB"/>
        </w:rPr>
        <w:t>settore</w:t>
      </w:r>
      <w:proofErr w:type="spellEnd"/>
      <w:r w:rsidRPr="006825E6">
        <w:rPr>
          <w:bCs/>
          <w:lang w:val="en-GB"/>
        </w:rPr>
        <w:t xml:space="preserve"> e con il </w:t>
      </w:r>
      <w:proofErr w:type="spellStart"/>
      <w:r w:rsidRPr="006825E6">
        <w:rPr>
          <w:bCs/>
          <w:lang w:val="en-GB"/>
        </w:rPr>
        <w:t>Ministero</w:t>
      </w:r>
      <w:proofErr w:type="spellEnd"/>
      <w:r w:rsidRPr="006825E6">
        <w:rPr>
          <w:bCs/>
          <w:lang w:val="en-GB"/>
        </w:rPr>
        <w:t xml:space="preserve"> </w:t>
      </w:r>
      <w:proofErr w:type="spellStart"/>
      <w:r w:rsidRPr="006825E6">
        <w:rPr>
          <w:bCs/>
          <w:lang w:val="en-GB"/>
        </w:rPr>
        <w:t>dell'economia</w:t>
      </w:r>
      <w:proofErr w:type="spellEnd"/>
      <w:r w:rsidRPr="006825E6">
        <w:rPr>
          <w:bCs/>
          <w:lang w:val="en-GB"/>
        </w:rPr>
        <w:t xml:space="preserve"> e </w:t>
      </w:r>
      <w:proofErr w:type="spellStart"/>
      <w:r w:rsidRPr="006825E6">
        <w:rPr>
          <w:bCs/>
          <w:lang w:val="en-GB"/>
        </w:rPr>
        <w:t>delle</w:t>
      </w:r>
      <w:proofErr w:type="spellEnd"/>
      <w:r w:rsidRPr="006825E6">
        <w:rPr>
          <w:bCs/>
          <w:lang w:val="en-GB"/>
        </w:rPr>
        <w:t xml:space="preserve"> </w:t>
      </w:r>
      <w:proofErr w:type="spellStart"/>
      <w:r w:rsidRPr="006825E6">
        <w:rPr>
          <w:bCs/>
          <w:lang w:val="en-GB"/>
        </w:rPr>
        <w:t>finanze</w:t>
      </w:r>
      <w:proofErr w:type="spellEnd"/>
      <w:r w:rsidRPr="006825E6">
        <w:rPr>
          <w:bCs/>
          <w:lang w:val="en-GB"/>
        </w:rPr>
        <w:t xml:space="preserve"> - </w:t>
      </w:r>
      <w:proofErr w:type="spellStart"/>
      <w:r w:rsidRPr="006825E6">
        <w:rPr>
          <w:bCs/>
          <w:lang w:val="en-GB"/>
        </w:rPr>
        <w:t>Dipartimento</w:t>
      </w:r>
      <w:proofErr w:type="spellEnd"/>
      <w:r w:rsidRPr="006825E6">
        <w:rPr>
          <w:bCs/>
          <w:lang w:val="en-GB"/>
        </w:rPr>
        <w:t xml:space="preserve"> della </w:t>
      </w:r>
      <w:proofErr w:type="spellStart"/>
      <w:r w:rsidRPr="006825E6">
        <w:rPr>
          <w:bCs/>
          <w:lang w:val="en-GB"/>
        </w:rPr>
        <w:t>Ragioneria</w:t>
      </w:r>
      <w:proofErr w:type="spellEnd"/>
      <w:r w:rsidRPr="006825E6">
        <w:rPr>
          <w:bCs/>
          <w:lang w:val="en-GB"/>
        </w:rPr>
        <w:t xml:space="preserve"> generale </w:t>
      </w:r>
      <w:proofErr w:type="spellStart"/>
      <w:r w:rsidRPr="006825E6">
        <w:rPr>
          <w:bCs/>
          <w:lang w:val="en-GB"/>
        </w:rPr>
        <w:t>dello</w:t>
      </w:r>
      <w:proofErr w:type="spellEnd"/>
      <w:r w:rsidRPr="006825E6">
        <w:rPr>
          <w:bCs/>
          <w:lang w:val="en-GB"/>
        </w:rPr>
        <w:t xml:space="preserve"> </w:t>
      </w:r>
      <w:proofErr w:type="spellStart"/>
      <w:r w:rsidRPr="006825E6">
        <w:rPr>
          <w:bCs/>
          <w:lang w:val="en-GB"/>
        </w:rPr>
        <w:t>Stato</w:t>
      </w:r>
      <w:proofErr w:type="spellEnd"/>
      <w:r>
        <w:rPr>
          <w:bCs/>
          <w:lang w:val="en-GB"/>
        </w:rPr>
        <w:t>.</w:t>
      </w:r>
    </w:p>
  </w:footnote>
  <w:footnote w:id="10">
    <w:p w14:paraId="5F90DB4E" w14:textId="10EF9713" w:rsidR="00EA76D5" w:rsidRDefault="00EA76D5" w:rsidP="00EA76D5">
      <w:pPr>
        <w:pStyle w:val="Testonotaapidipagina"/>
        <w:jc w:val="both"/>
      </w:pPr>
      <w:r>
        <w:rPr>
          <w:rStyle w:val="Rimandonotaapidipagina"/>
        </w:rPr>
        <w:footnoteRef/>
      </w:r>
      <w:r>
        <w:t xml:space="preserve"> </w:t>
      </w:r>
      <w:r w:rsidRPr="00CD7A81">
        <w:t>S</w:t>
      </w:r>
      <w:r w:rsidRPr="006825E6">
        <w:t>ussiste, per la conclusione di tale contratto, il diritto di prelazione dei cittadini, aventi residenza o domicilio nei comprensori ove insistono i beni e le aree, costituenti un conso</w:t>
      </w:r>
      <w:r w:rsidR="00F47C48">
        <w:t>r</w:t>
      </w:r>
      <w:r w:rsidRPr="006825E6">
        <w:t>zio del comprensorio che raggiunga almeno i due terzi della proprietà della lottizzazione</w:t>
      </w:r>
      <w:r w:rsidRPr="00CD7A81">
        <w:t xml:space="preserve"> e</w:t>
      </w:r>
      <w:r w:rsidRPr="006825E6">
        <w:t xml:space="preserve"> i cittadini costituiti in consorzio possono beneficiare</w:t>
      </w:r>
      <w:r w:rsidRPr="00CD7A81">
        <w:t xml:space="preserve"> </w:t>
      </w:r>
      <w:r w:rsidRPr="006825E6">
        <w:t>di incentivi fiscali</w:t>
      </w:r>
      <w:r>
        <w:rPr>
          <w:i/>
          <w:iCs/>
        </w:rPr>
        <w:t>.</w:t>
      </w:r>
    </w:p>
  </w:footnote>
  <w:footnote w:id="11">
    <w:p w14:paraId="533A307A" w14:textId="77777777" w:rsidR="00EA76D5" w:rsidRDefault="00EA76D5" w:rsidP="00EA76D5">
      <w:pPr>
        <w:pStyle w:val="Testonotaapidipagina"/>
        <w:jc w:val="both"/>
      </w:pPr>
      <w:r>
        <w:rPr>
          <w:rStyle w:val="Rimandonotaapidipagina"/>
        </w:rPr>
        <w:footnoteRef/>
      </w:r>
      <w:r>
        <w:t xml:space="preserve"> </w:t>
      </w:r>
      <w:r w:rsidRPr="00CD7A81">
        <w:t>S</w:t>
      </w:r>
      <w:r w:rsidRPr="006825E6">
        <w:t>ulla base di progetti presentati da cittadini, singoli o associati che, all’uopo, beneficiano di incentivi fiscali direttamente attinenti alla attività svolta dal singolo o dalla associazione, o comunque utile alla comunità territoriale di riferimento</w:t>
      </w:r>
      <w:r>
        <w:rPr>
          <w:i/>
          <w:iCs/>
        </w:rPr>
        <w:t>.</w:t>
      </w:r>
    </w:p>
  </w:footnote>
  <w:footnote w:id="12">
    <w:p w14:paraId="7A629CCC" w14:textId="77777777" w:rsidR="00EA76D5" w:rsidRPr="00CD7A81" w:rsidRDefault="00EA76D5" w:rsidP="00EA76D5">
      <w:pPr>
        <w:pStyle w:val="Testonotaapidipagina"/>
      </w:pPr>
      <w:r>
        <w:rPr>
          <w:rStyle w:val="Rimandonotaapidipagina"/>
        </w:rPr>
        <w:footnoteRef/>
      </w:r>
      <w:r>
        <w:t xml:space="preserve"> </w:t>
      </w:r>
      <w:r w:rsidRPr="00CD7A81">
        <w:t>L</w:t>
      </w:r>
      <w:r w:rsidRPr="006825E6">
        <w:t>’esecuzione delle opere è esente da oneri fiscali e amministrativi, salva l'imposta sul valore aggiunto</w:t>
      </w:r>
      <w:r w:rsidRPr="00CD7A81">
        <w:t>.</w:t>
      </w:r>
    </w:p>
  </w:footnote>
  <w:footnote w:id="13">
    <w:p w14:paraId="2896DC79" w14:textId="32D91075" w:rsidR="00644362" w:rsidRDefault="00644362" w:rsidP="00644362">
      <w:pPr>
        <w:pStyle w:val="Testonotaapidipagina"/>
        <w:jc w:val="both"/>
      </w:pPr>
      <w:r>
        <w:rPr>
          <w:rStyle w:val="Rimandonotaapidipagina"/>
        </w:rPr>
        <w:footnoteRef/>
      </w:r>
      <w:r>
        <w:t xml:space="preserve"> </w:t>
      </w:r>
      <w:r w:rsidRPr="00692962">
        <w:t>Secondo la giurisprudenza amministrativa, il principio del risultato come quello della fiducia, costitui</w:t>
      </w:r>
      <w:r w:rsidR="00644B89">
        <w:t>scon</w:t>
      </w:r>
      <w:r w:rsidRPr="00692962">
        <w:t>o valori immanenti nel nostro ordinamento, anteriori pertanto alla loro positivizzazione.</w:t>
      </w:r>
      <w:r>
        <w:t xml:space="preserve"> </w:t>
      </w:r>
      <w:r w:rsidRPr="00692962">
        <w:t>“</w:t>
      </w:r>
      <w:r w:rsidRPr="00692962">
        <w:rPr>
          <w:i/>
          <w:iCs/>
        </w:rPr>
        <w:t xml:space="preserve">La decisione del Ministero, del resto, è conforme con i principi del risultato e della fiducia, ora codificati nel nuovo codice dei contratti pubblici del 2023, ma già immanenti nel sistema, in base ai quali la tutela della concorrenza e del mercato non deve oscurare l’interesse finale della disciplina, ossia l’affidamento del contratto e la sua esecuzione in modo tempestivo e parsimonioso, restituendo, in tale ottica, alle amministrazioni e agli operatori economici, fiducia nel rispettivo operato. Fiducia che assume una portata bidirezionale, nel senso che, da un lato, si chiede all’amministrazione di risolvere le problematiche in vista del miglior perseguimento del risultato, senza rifugiarsi nei formali obblighi di gara; dall’altro lato presuppone la fiducia verso gli stessi operatori economici, ai quali è consentito, con il self </w:t>
      </w:r>
      <w:proofErr w:type="spellStart"/>
      <w:r w:rsidRPr="00692962">
        <w:rPr>
          <w:i/>
          <w:iCs/>
        </w:rPr>
        <w:t>cleaning</w:t>
      </w:r>
      <w:proofErr w:type="spellEnd"/>
      <w:r w:rsidRPr="00692962">
        <w:rPr>
          <w:i/>
          <w:iCs/>
        </w:rPr>
        <w:t>, di correggere eventuali problematiche pregresse, favorendo così un ambiente di collaborazione che rende possibile la migliore esecuzione della concessione</w:t>
      </w:r>
      <w:r w:rsidRPr="00692962">
        <w:t>” (TAR Lazio, Roma, Sez. IV, 31 marzo 2025, n. 4664).</w:t>
      </w:r>
    </w:p>
  </w:footnote>
  <w:footnote w:id="14">
    <w:p w14:paraId="35DA8CF4" w14:textId="0AE443C3" w:rsidR="00692962" w:rsidRDefault="00692962" w:rsidP="00692962">
      <w:pPr>
        <w:pStyle w:val="Testonotaapidipagina"/>
        <w:jc w:val="both"/>
      </w:pPr>
      <w:r>
        <w:rPr>
          <w:rStyle w:val="Rimandonotaapidipagina"/>
        </w:rPr>
        <w:footnoteRef/>
      </w:r>
      <w:r>
        <w:t xml:space="preserve"> </w:t>
      </w:r>
      <w:r w:rsidRPr="00692962">
        <w:t xml:space="preserve">Il Codice dei contratti </w:t>
      </w:r>
      <w:r>
        <w:t xml:space="preserve">pubblici </w:t>
      </w:r>
      <w:r w:rsidRPr="00692962">
        <w:t xml:space="preserve">enuclea i principi rilevanti della materia: </w:t>
      </w:r>
      <w:r w:rsidR="00D700D5">
        <w:t>quelli di cui dall’art. 1 all’art. 3</w:t>
      </w:r>
      <w:r w:rsidRPr="00692962">
        <w:t xml:space="preserve">, risultato, fiducia e accesso al mercato, sono </w:t>
      </w:r>
      <w:r w:rsidR="00D700D5">
        <w:t>considerati “</w:t>
      </w:r>
      <w:r w:rsidRPr="00692962">
        <w:t>principi valori</w:t>
      </w:r>
      <w:r w:rsidR="00D700D5">
        <w:t>”</w:t>
      </w:r>
      <w:r w:rsidRPr="00692962">
        <w:t>, dal contenuto pluridimensionale e aperto a una pluralità di bilanciamenti e applicazioni</w:t>
      </w:r>
      <w:r>
        <w:t xml:space="preserve">, </w:t>
      </w:r>
      <w:r w:rsidRPr="00692962">
        <w:t xml:space="preserve">gli altri </w:t>
      </w:r>
      <w:r>
        <w:t>(</w:t>
      </w:r>
      <w:r w:rsidR="00D700D5">
        <w:t>in particolare buona fede, tutela dell’affidamento, autonomia contrattuale</w:t>
      </w:r>
      <w:r w:rsidR="00414BCC">
        <w:t xml:space="preserve"> e</w:t>
      </w:r>
      <w:r w:rsidR="00671470">
        <w:t xml:space="preserve"> conservazione dell’equilibrio contrattuale</w:t>
      </w:r>
      <w:r>
        <w:t xml:space="preserve">) </w:t>
      </w:r>
      <w:r w:rsidRPr="00692962">
        <w:t xml:space="preserve">sono </w:t>
      </w:r>
      <w:r w:rsidR="00D700D5">
        <w:t xml:space="preserve">ritenuti </w:t>
      </w:r>
      <w:r w:rsidRPr="00692962">
        <w:t>principi</w:t>
      </w:r>
      <w:r w:rsidR="00D700D5">
        <w:t>-</w:t>
      </w:r>
      <w:r w:rsidRPr="00692962">
        <w:t>regole</w:t>
      </w:r>
      <w:r w:rsidR="00414BCC">
        <w:t>,</w:t>
      </w:r>
      <w:r w:rsidR="00671470">
        <w:t xml:space="preserve"> di matrice prevalentemente civilistica</w:t>
      </w:r>
      <w:r w:rsidR="00414BCC">
        <w:t>,</w:t>
      </w:r>
      <w:r w:rsidRPr="00692962">
        <w:t xml:space="preserve"> riferiti a fattispecie specifiche e direttamente applicativi</w:t>
      </w:r>
      <w:r>
        <w:t xml:space="preserve">. </w:t>
      </w:r>
      <w:r w:rsidR="00644362">
        <w:t xml:space="preserve">Cfr. G. Napolitano, </w:t>
      </w:r>
      <w:r w:rsidR="00644362" w:rsidRPr="00644362">
        <w:rPr>
          <w:i/>
          <w:iCs/>
        </w:rPr>
        <w:t>I principi del nuovo Codice dei contratti pubblici</w:t>
      </w:r>
      <w:r w:rsidR="00644362">
        <w:t xml:space="preserve">, in F. Caringella, R. Chieppa, B.G. Mattarella, </w:t>
      </w:r>
      <w:r w:rsidR="00644362" w:rsidRPr="00644362">
        <w:rPr>
          <w:i/>
          <w:iCs/>
        </w:rPr>
        <w:t>Diritto Amministrativo</w:t>
      </w:r>
      <w:r w:rsidR="00644362">
        <w:t xml:space="preserve">, Milano, 2025, p. 593. </w:t>
      </w:r>
    </w:p>
  </w:footnote>
  <w:footnote w:id="15">
    <w:p w14:paraId="1E56E6AC" w14:textId="3EF60573" w:rsidR="0027027D" w:rsidRDefault="0027027D">
      <w:pPr>
        <w:pStyle w:val="Testonotaapidipagina"/>
      </w:pPr>
      <w:r>
        <w:rPr>
          <w:rStyle w:val="Rimandonotaapidipagina"/>
        </w:rPr>
        <w:footnoteRef/>
      </w:r>
      <w:r>
        <w:t xml:space="preserve"> </w:t>
      </w:r>
      <w:r w:rsidRPr="0027027D">
        <w:t>Cons. Stato, Sez. III, 26 marzo 2024, n. 2866.</w:t>
      </w:r>
    </w:p>
  </w:footnote>
  <w:footnote w:id="16">
    <w:p w14:paraId="369F9B4E" w14:textId="17AF2E5C" w:rsidR="00F474F8" w:rsidRDefault="00F474F8" w:rsidP="00F474F8">
      <w:pPr>
        <w:pStyle w:val="Testonotaapidipagina"/>
        <w:jc w:val="both"/>
      </w:pPr>
      <w:r>
        <w:rPr>
          <w:rStyle w:val="Rimandonotaapidipagina"/>
        </w:rPr>
        <w:footnoteRef/>
      </w:r>
      <w:r>
        <w:t xml:space="preserve"> </w:t>
      </w:r>
      <w:r w:rsidRPr="00F474F8">
        <w:t>Il principio del risultato è connesso al principio della fiducia: “</w:t>
      </w:r>
      <w:r w:rsidRPr="00F474F8">
        <w:rPr>
          <w:i/>
          <w:iCs/>
        </w:rPr>
        <w:t>Il principio della fiducia di cui all’art. 2 del nuovo Codice dei contratti pubblici amplia i poteri valutativi e la discrezionalità della p.a., in chiave di funzionalizzazione verso il miglior risultato possibile. Il principio del risultato e quello della fiducia sono avvinti inestricabilmente: la gara è funzionale a portare a compimento l’intervento pubblico nel modo più rispondente agli interessi della collettività nel pieno rispetto delle regole che governano il ciclo di vita dell’intervento medesimo. Regole che l’appellante, all’evidenza, non ha rispettato</w:t>
      </w:r>
      <w:r w:rsidRPr="00F474F8">
        <w:t>” (Cons. Stato, Sez. V, 27 febbraio 2024, n. 1294).</w:t>
      </w:r>
    </w:p>
  </w:footnote>
  <w:footnote w:id="17">
    <w:p w14:paraId="3B7337EA" w14:textId="5E4D569D" w:rsidR="00B96D8A" w:rsidRDefault="00B96D8A" w:rsidP="00B96D8A">
      <w:pPr>
        <w:pStyle w:val="Testonotaapidipagina"/>
        <w:jc w:val="both"/>
      </w:pPr>
      <w:r>
        <w:rPr>
          <w:rStyle w:val="Rimandonotaapidipagina"/>
        </w:rPr>
        <w:footnoteRef/>
      </w:r>
      <w:r>
        <w:t xml:space="preserve"> Così, A. Pericu, </w:t>
      </w:r>
      <w:r w:rsidRPr="00F051FF">
        <w:rPr>
          <w:i/>
          <w:iCs/>
        </w:rPr>
        <w:t>Impresa e obblighi di servizio pubblico</w:t>
      </w:r>
      <w:r>
        <w:t>, Milano, 2001, p. 275.</w:t>
      </w:r>
    </w:p>
  </w:footnote>
  <w:footnote w:id="18">
    <w:p w14:paraId="62755DD1" w14:textId="516D112F" w:rsidR="00F86F0F" w:rsidRDefault="00F86F0F" w:rsidP="00F86F0F">
      <w:pPr>
        <w:pStyle w:val="Testonotaapidipagina"/>
        <w:jc w:val="both"/>
      </w:pPr>
      <w:r>
        <w:rPr>
          <w:rStyle w:val="Rimandonotaapidipagina"/>
        </w:rPr>
        <w:footnoteRef/>
      </w:r>
      <w:r>
        <w:t xml:space="preserve"> </w:t>
      </w:r>
      <w:r w:rsidR="00545EE6">
        <w:t xml:space="preserve">Le deroghe al principio di concorrenza “puro” avrebbero, cioè, dovuto essere il più possibile contenute e, comunque, concretamente modulate nella piena osservanza dei principi di proporzionalità e dell’effetto distorsivo minimo (art. 86, 2 Trattato). </w:t>
      </w:r>
      <w:r>
        <w:t xml:space="preserve">Per un approfondimento, sia consentito rinviare a F. Dello Sbarba, </w:t>
      </w:r>
      <w:r w:rsidRPr="00220AC5">
        <w:rPr>
          <w:i/>
          <w:iCs/>
        </w:rPr>
        <w:t>I servizi pubblici locali: la disciplina della concorrenza nel mercato e per il mercato</w:t>
      </w:r>
      <w:r>
        <w:t xml:space="preserve">, in A. Massera, </w:t>
      </w:r>
      <w:r w:rsidRPr="00220AC5">
        <w:rPr>
          <w:i/>
          <w:iCs/>
        </w:rPr>
        <w:t>Il diritto amministrativo dei servizi pubblici tra ordinamento nazionale e ordinamento comunitario</w:t>
      </w:r>
      <w:r>
        <w:t>, Pisa, 2004, p. 113.</w:t>
      </w:r>
    </w:p>
  </w:footnote>
  <w:footnote w:id="19">
    <w:p w14:paraId="41DCA6F6" w14:textId="19CAE6DD" w:rsidR="00F86F0F" w:rsidRDefault="00F86F0F">
      <w:pPr>
        <w:pStyle w:val="Testonotaapidipagina"/>
      </w:pPr>
      <w:r>
        <w:rPr>
          <w:rStyle w:val="Rimandonotaapidipagina"/>
        </w:rPr>
        <w:footnoteRef/>
      </w:r>
      <w:r>
        <w:t xml:space="preserve"> F. Spiezia, P. </w:t>
      </w:r>
      <w:proofErr w:type="spellStart"/>
      <w:r>
        <w:t>Monea</w:t>
      </w:r>
      <w:proofErr w:type="spellEnd"/>
      <w:r>
        <w:t xml:space="preserve">, E. Iorio, </w:t>
      </w:r>
      <w:r w:rsidRPr="00F86F0F">
        <w:rPr>
          <w:i/>
          <w:iCs/>
        </w:rPr>
        <w:t>I Servizi Pubblici Locali</w:t>
      </w:r>
      <w:r>
        <w:t>, Milano, 2004, p. 16.</w:t>
      </w:r>
    </w:p>
  </w:footnote>
  <w:footnote w:id="20">
    <w:p w14:paraId="081DB36F" w14:textId="47C7DA87" w:rsidR="00545EE6" w:rsidRDefault="00545EE6" w:rsidP="00D52B7B">
      <w:pPr>
        <w:pStyle w:val="Testonotaapidipagina"/>
        <w:jc w:val="both"/>
      </w:pPr>
      <w:r>
        <w:rPr>
          <w:rStyle w:val="Rimandonotaapidipagina"/>
        </w:rPr>
        <w:footnoteRef/>
      </w:r>
      <w:r>
        <w:t xml:space="preserve"> La formulazione teorica del concetto di concorrenza “per” il mercato viene fatta risalire al 1959, epoca in cui furono per la prima volta contrapposti i principi della </w:t>
      </w:r>
      <w:proofErr w:type="spellStart"/>
      <w:r w:rsidRPr="00D52B7B">
        <w:rPr>
          <w:i/>
          <w:iCs/>
        </w:rPr>
        <w:t>Competition</w:t>
      </w:r>
      <w:proofErr w:type="spellEnd"/>
      <w:r w:rsidRPr="00D52B7B">
        <w:rPr>
          <w:i/>
          <w:iCs/>
        </w:rPr>
        <w:t xml:space="preserve"> for the field</w:t>
      </w:r>
      <w:r w:rsidR="00D52B7B">
        <w:t xml:space="preserve"> e della </w:t>
      </w:r>
      <w:proofErr w:type="spellStart"/>
      <w:r w:rsidR="00D52B7B" w:rsidRPr="00D52B7B">
        <w:rPr>
          <w:i/>
          <w:iCs/>
        </w:rPr>
        <w:t>Competition</w:t>
      </w:r>
      <w:proofErr w:type="spellEnd"/>
      <w:r w:rsidR="00D52B7B" w:rsidRPr="00D52B7B">
        <w:rPr>
          <w:i/>
          <w:iCs/>
        </w:rPr>
        <w:t xml:space="preserve"> </w:t>
      </w:r>
      <w:proofErr w:type="spellStart"/>
      <w:r w:rsidR="00D52B7B" w:rsidRPr="00D52B7B">
        <w:rPr>
          <w:i/>
          <w:iCs/>
        </w:rPr>
        <w:t>within</w:t>
      </w:r>
      <w:proofErr w:type="spellEnd"/>
      <w:r w:rsidR="00D52B7B" w:rsidRPr="00D52B7B">
        <w:rPr>
          <w:i/>
          <w:iCs/>
        </w:rPr>
        <w:t xml:space="preserve"> the field</w:t>
      </w:r>
      <w:r w:rsidR="00D52B7B">
        <w:t xml:space="preserve">, con la contestuale individuazione nel primo dello strumento idoneo a promuovere l’efficienza nei settori economici caratterizzati dalla presenza di ostacoli al libero agire delle forze di mercato. Si tratta delle teorie di E. Chadwick, </w:t>
      </w:r>
      <w:proofErr w:type="spellStart"/>
      <w:r w:rsidR="00D52B7B" w:rsidRPr="00D52B7B">
        <w:rPr>
          <w:i/>
          <w:iCs/>
        </w:rPr>
        <w:t>Results</w:t>
      </w:r>
      <w:proofErr w:type="spellEnd"/>
      <w:r w:rsidR="00D52B7B" w:rsidRPr="00D52B7B">
        <w:rPr>
          <w:i/>
          <w:iCs/>
        </w:rPr>
        <w:t xml:space="preserve"> of </w:t>
      </w:r>
      <w:proofErr w:type="spellStart"/>
      <w:r w:rsidR="00D52B7B" w:rsidRPr="00D52B7B">
        <w:rPr>
          <w:i/>
          <w:iCs/>
        </w:rPr>
        <w:t>different</w:t>
      </w:r>
      <w:proofErr w:type="spellEnd"/>
      <w:r w:rsidR="00D52B7B" w:rsidRPr="00D52B7B">
        <w:rPr>
          <w:i/>
          <w:iCs/>
        </w:rPr>
        <w:t xml:space="preserve"> </w:t>
      </w:r>
      <w:proofErr w:type="spellStart"/>
      <w:r w:rsidR="00D52B7B" w:rsidRPr="00D52B7B">
        <w:rPr>
          <w:i/>
          <w:iCs/>
        </w:rPr>
        <w:t>principles</w:t>
      </w:r>
      <w:proofErr w:type="spellEnd"/>
      <w:r w:rsidR="00D52B7B" w:rsidRPr="00D52B7B">
        <w:rPr>
          <w:i/>
          <w:iCs/>
        </w:rPr>
        <w:t xml:space="preserve"> of </w:t>
      </w:r>
      <w:proofErr w:type="spellStart"/>
      <w:r w:rsidR="00D52B7B" w:rsidRPr="00D52B7B">
        <w:rPr>
          <w:i/>
          <w:iCs/>
        </w:rPr>
        <w:t>legislation</w:t>
      </w:r>
      <w:proofErr w:type="spellEnd"/>
      <w:r w:rsidR="00D52B7B" w:rsidRPr="00D52B7B">
        <w:rPr>
          <w:i/>
          <w:iCs/>
        </w:rPr>
        <w:t xml:space="preserve"> and </w:t>
      </w:r>
      <w:proofErr w:type="spellStart"/>
      <w:r w:rsidR="00D52B7B" w:rsidRPr="00D52B7B">
        <w:rPr>
          <w:i/>
          <w:iCs/>
        </w:rPr>
        <w:t>amministration</w:t>
      </w:r>
      <w:proofErr w:type="spellEnd"/>
      <w:r w:rsidR="00D52B7B" w:rsidRPr="00D52B7B">
        <w:rPr>
          <w:i/>
          <w:iCs/>
        </w:rPr>
        <w:t xml:space="preserve"> in Europe, of </w:t>
      </w:r>
      <w:proofErr w:type="spellStart"/>
      <w:r w:rsidR="00D52B7B" w:rsidRPr="00D52B7B">
        <w:rPr>
          <w:i/>
          <w:iCs/>
        </w:rPr>
        <w:t>competition</w:t>
      </w:r>
      <w:proofErr w:type="spellEnd"/>
      <w:r w:rsidR="00D52B7B" w:rsidRPr="00D52B7B">
        <w:rPr>
          <w:i/>
          <w:iCs/>
        </w:rPr>
        <w:t xml:space="preserve"> for the field, </w:t>
      </w:r>
      <w:proofErr w:type="spellStart"/>
      <w:r w:rsidR="00D52B7B" w:rsidRPr="00D52B7B">
        <w:rPr>
          <w:i/>
          <w:iCs/>
        </w:rPr>
        <w:t>as</w:t>
      </w:r>
      <w:proofErr w:type="spellEnd"/>
      <w:r w:rsidR="00D52B7B" w:rsidRPr="00D52B7B">
        <w:rPr>
          <w:i/>
          <w:iCs/>
        </w:rPr>
        <w:t xml:space="preserve"> </w:t>
      </w:r>
      <w:proofErr w:type="spellStart"/>
      <w:r w:rsidR="00D52B7B" w:rsidRPr="00D52B7B">
        <w:rPr>
          <w:i/>
          <w:iCs/>
        </w:rPr>
        <w:t>compared</w:t>
      </w:r>
      <w:proofErr w:type="spellEnd"/>
      <w:r w:rsidR="00D52B7B" w:rsidRPr="00D52B7B">
        <w:rPr>
          <w:i/>
          <w:iCs/>
        </w:rPr>
        <w:t xml:space="preserve"> with </w:t>
      </w:r>
      <w:proofErr w:type="spellStart"/>
      <w:r w:rsidR="00D52B7B" w:rsidRPr="00D52B7B">
        <w:rPr>
          <w:i/>
          <w:iCs/>
        </w:rPr>
        <w:t>competition</w:t>
      </w:r>
      <w:proofErr w:type="spellEnd"/>
      <w:r w:rsidR="00D52B7B" w:rsidRPr="00D52B7B">
        <w:rPr>
          <w:i/>
          <w:iCs/>
        </w:rPr>
        <w:t xml:space="preserve"> </w:t>
      </w:r>
      <w:proofErr w:type="spellStart"/>
      <w:r w:rsidR="00D52B7B" w:rsidRPr="00D52B7B">
        <w:rPr>
          <w:i/>
          <w:iCs/>
        </w:rPr>
        <w:t>within</w:t>
      </w:r>
      <w:proofErr w:type="spellEnd"/>
      <w:r w:rsidR="00D52B7B" w:rsidRPr="00D52B7B">
        <w:rPr>
          <w:i/>
          <w:iCs/>
        </w:rPr>
        <w:t xml:space="preserve"> the field of service</w:t>
      </w:r>
      <w:r w:rsidR="00D52B7B">
        <w:t xml:space="preserve">, in </w:t>
      </w:r>
      <w:r w:rsidR="00D52B7B" w:rsidRPr="00D52B7B">
        <w:rPr>
          <w:i/>
          <w:iCs/>
        </w:rPr>
        <w:t>22 Royal Sta.</w:t>
      </w:r>
      <w:r w:rsidR="00D52B7B">
        <w:t xml:space="preserve">, Journal n. 381. 1859. Il concetto di concorrenza per il mercato fu poi ripreso nel 1968 da H. </w:t>
      </w:r>
      <w:proofErr w:type="spellStart"/>
      <w:r w:rsidR="00D52B7B">
        <w:t>Demsetz</w:t>
      </w:r>
      <w:proofErr w:type="spellEnd"/>
      <w:r w:rsidR="00D52B7B">
        <w:t xml:space="preserve"> in un articolo dal titolo </w:t>
      </w:r>
      <w:proofErr w:type="spellStart"/>
      <w:r w:rsidR="00D52B7B" w:rsidRPr="00D52B7B">
        <w:rPr>
          <w:i/>
          <w:iCs/>
        </w:rPr>
        <w:t>Why</w:t>
      </w:r>
      <w:proofErr w:type="spellEnd"/>
      <w:r w:rsidR="00D52B7B" w:rsidRPr="00D52B7B">
        <w:rPr>
          <w:i/>
          <w:iCs/>
        </w:rPr>
        <w:t xml:space="preserve"> </w:t>
      </w:r>
      <w:proofErr w:type="spellStart"/>
      <w:r w:rsidR="00D52B7B" w:rsidRPr="00D52B7B">
        <w:rPr>
          <w:i/>
          <w:iCs/>
        </w:rPr>
        <w:t>regulate</w:t>
      </w:r>
      <w:proofErr w:type="spellEnd"/>
      <w:r w:rsidR="00D52B7B" w:rsidRPr="00D52B7B">
        <w:rPr>
          <w:i/>
          <w:iCs/>
        </w:rPr>
        <w:t xml:space="preserve"> </w:t>
      </w:r>
      <w:proofErr w:type="gramStart"/>
      <w:r w:rsidR="00D52B7B" w:rsidRPr="00D52B7B">
        <w:rPr>
          <w:i/>
          <w:iCs/>
        </w:rPr>
        <w:t>utilities?</w:t>
      </w:r>
      <w:r w:rsidR="00D52B7B" w:rsidRPr="00D52B7B">
        <w:t>,</w:t>
      </w:r>
      <w:proofErr w:type="gramEnd"/>
      <w:r w:rsidR="00D52B7B" w:rsidRPr="00D52B7B">
        <w:t xml:space="preserve"> </w:t>
      </w:r>
      <w:r w:rsidR="00D52B7B">
        <w:t xml:space="preserve">in </w:t>
      </w:r>
      <w:proofErr w:type="spellStart"/>
      <w:r w:rsidR="00D52B7B" w:rsidRPr="00D52B7B">
        <w:rPr>
          <w:i/>
          <w:iCs/>
        </w:rPr>
        <w:t>Journ</w:t>
      </w:r>
      <w:proofErr w:type="spellEnd"/>
      <w:r w:rsidR="00D52B7B" w:rsidRPr="00D52B7B">
        <w:rPr>
          <w:i/>
          <w:iCs/>
        </w:rPr>
        <w:t xml:space="preserve">. </w:t>
      </w:r>
      <w:proofErr w:type="spellStart"/>
      <w:r w:rsidR="00D52B7B" w:rsidRPr="00D52B7B">
        <w:rPr>
          <w:i/>
          <w:iCs/>
        </w:rPr>
        <w:t>Law</w:t>
      </w:r>
      <w:proofErr w:type="spellEnd"/>
      <w:r w:rsidR="00D52B7B" w:rsidRPr="00D52B7B">
        <w:rPr>
          <w:i/>
          <w:iCs/>
        </w:rPr>
        <w:t xml:space="preserve"> </w:t>
      </w:r>
      <w:proofErr w:type="spellStart"/>
      <w:r w:rsidR="00D52B7B" w:rsidRPr="00D52B7B">
        <w:rPr>
          <w:i/>
          <w:iCs/>
        </w:rPr>
        <w:t>Econ</w:t>
      </w:r>
      <w:proofErr w:type="spellEnd"/>
      <w:r w:rsidR="00D52B7B">
        <w:t>., 1968.</w:t>
      </w:r>
    </w:p>
  </w:footnote>
  <w:footnote w:id="21">
    <w:p w14:paraId="1CEC743F" w14:textId="49B2CB61" w:rsidR="00545EE6" w:rsidRDefault="00545EE6" w:rsidP="00F87B17">
      <w:pPr>
        <w:pStyle w:val="Testonotaapidipagina"/>
        <w:jc w:val="both"/>
      </w:pPr>
      <w:r>
        <w:rPr>
          <w:rStyle w:val="Rimandonotaapidipagina"/>
        </w:rPr>
        <w:footnoteRef/>
      </w:r>
      <w:r>
        <w:t xml:space="preserve"> Cfr. F. Gullì, </w:t>
      </w:r>
      <w:r w:rsidRPr="00545EE6">
        <w:rPr>
          <w:i/>
          <w:iCs/>
        </w:rPr>
        <w:t xml:space="preserve">Liberalizzazione e concorrenza per il mercato nei servizi di pubblica utilità: un caso significativo di non-price </w:t>
      </w:r>
      <w:proofErr w:type="spellStart"/>
      <w:r w:rsidRPr="00545EE6">
        <w:rPr>
          <w:i/>
          <w:iCs/>
        </w:rPr>
        <w:t>competition</w:t>
      </w:r>
      <w:proofErr w:type="spellEnd"/>
      <w:r>
        <w:t xml:space="preserve">, in </w:t>
      </w:r>
      <w:proofErr w:type="spellStart"/>
      <w:r w:rsidRPr="00545EE6">
        <w:rPr>
          <w:i/>
          <w:iCs/>
        </w:rPr>
        <w:t>Econ</w:t>
      </w:r>
      <w:proofErr w:type="spellEnd"/>
      <w:r w:rsidRPr="00545EE6">
        <w:rPr>
          <w:i/>
          <w:iCs/>
        </w:rPr>
        <w:t xml:space="preserve">. </w:t>
      </w:r>
      <w:proofErr w:type="spellStart"/>
      <w:r w:rsidRPr="00545EE6">
        <w:rPr>
          <w:i/>
          <w:iCs/>
        </w:rPr>
        <w:t>pol</w:t>
      </w:r>
      <w:proofErr w:type="spellEnd"/>
      <w:r w:rsidRPr="00545EE6">
        <w:rPr>
          <w:i/>
          <w:iCs/>
        </w:rPr>
        <w:t xml:space="preserve">. </w:t>
      </w:r>
      <w:proofErr w:type="spellStart"/>
      <w:r w:rsidRPr="00545EE6">
        <w:rPr>
          <w:i/>
          <w:iCs/>
        </w:rPr>
        <w:t>ind</w:t>
      </w:r>
      <w:proofErr w:type="spellEnd"/>
      <w:r>
        <w:t>., 1995, n. 88.</w:t>
      </w:r>
    </w:p>
  </w:footnote>
  <w:footnote w:id="22">
    <w:p w14:paraId="35D61F3A" w14:textId="677EED5D" w:rsidR="00137579" w:rsidRDefault="00137579" w:rsidP="00671470">
      <w:pPr>
        <w:pStyle w:val="Testonotaapidipagina"/>
        <w:jc w:val="both"/>
      </w:pPr>
      <w:r>
        <w:rPr>
          <w:rStyle w:val="Rimandonotaapidipagina"/>
        </w:rPr>
        <w:footnoteRef/>
      </w:r>
      <w:r>
        <w:t xml:space="preserve"> Così, A. Giovannini, </w:t>
      </w:r>
      <w:r w:rsidRPr="006F3665">
        <w:rPr>
          <w:i/>
          <w:iCs/>
        </w:rPr>
        <w:t>Il partenariato pubblico-privato nel nuovo codice dei contratti pubblici</w:t>
      </w:r>
      <w:r>
        <w:t xml:space="preserve">, in </w:t>
      </w:r>
      <w:r w:rsidRPr="006F3665">
        <w:rPr>
          <w:i/>
          <w:iCs/>
        </w:rPr>
        <w:t>ww.giustiziaamministrativa.it</w:t>
      </w:r>
      <w:r w:rsidR="006F3665">
        <w:t xml:space="preserve">: </w:t>
      </w:r>
      <w:r>
        <w:t xml:space="preserve"> </w:t>
      </w:r>
      <w:r w:rsidR="006F3665">
        <w:t>“</w:t>
      </w:r>
      <w:r w:rsidR="006F3665">
        <w:rPr>
          <w:i/>
          <w:iCs/>
        </w:rPr>
        <w:t>C</w:t>
      </w:r>
      <w:r w:rsidR="006F3665" w:rsidRPr="006F3665">
        <w:rPr>
          <w:i/>
          <w:iCs/>
        </w:rPr>
        <w:t>on questo testo normativo si supera quella visione, un po’ “provinciale” e non del tutto conforme all’impostazione pur propria dell’Unione europea, del principio di concorrenza inteso quale “fine” dell’ordinamento, riconducendolo, più prosaicamente, a “mezzo”, strumento per il perseguimento della finalità, unica ed effettiva, dell’Amministrazione in questo settore che, come oggi ricorda l’art. 1 del codice, consiste nell’“affidamento del contratto e della sua esecuzione con la massima tempestività e il migliore rapporto possibile tra qualità e prezzo</w:t>
      </w:r>
      <w:r w:rsidR="006F3665" w:rsidRPr="006F3665">
        <w:t>”.</w:t>
      </w:r>
    </w:p>
  </w:footnote>
  <w:footnote w:id="23">
    <w:p w14:paraId="0B1E7804" w14:textId="777968EA" w:rsidR="00692962" w:rsidRDefault="00692962" w:rsidP="006D41F2">
      <w:pPr>
        <w:pStyle w:val="Testonotaapidipagina"/>
        <w:jc w:val="both"/>
      </w:pPr>
      <w:r>
        <w:rPr>
          <w:rStyle w:val="Rimandonotaapidipagina"/>
        </w:rPr>
        <w:footnoteRef/>
      </w:r>
      <w:r>
        <w:t xml:space="preserve"> </w:t>
      </w:r>
      <w:r w:rsidRPr="00692962">
        <w:t>Cons. Stato, Sez. III, 15 novembre 2023, n. 9812</w:t>
      </w:r>
      <w:r w:rsidR="006D41F2">
        <w:t>: i</w:t>
      </w:r>
      <w:r w:rsidR="006D41F2" w:rsidRPr="006D41F2">
        <w:t>n base al principio del risultato,</w:t>
      </w:r>
      <w:r w:rsidR="006D41F2" w:rsidRPr="006D41F2">
        <w:rPr>
          <w:i/>
          <w:iCs/>
        </w:rPr>
        <w:t xml:space="preserve"> </w:t>
      </w:r>
      <w:r w:rsidR="006D41F2" w:rsidRPr="006D41F2">
        <w:t>“</w:t>
      </w:r>
      <w:r w:rsidR="006D41F2" w:rsidRPr="006D41F2">
        <w:rPr>
          <w:i/>
          <w:iCs/>
        </w:rPr>
        <w:t>la tutela della concorrenza e del mercato non deve trasmodare in un pregiudizio per la causa finale e per l’oggetto diretto e principale della tutela approntata dalla disciplina di settore, costituiti “dall’affidamento del contratto e della sua esecuzione con la massima tempestività e il migliore rapporto possibile tra qualità e prezzo, nel rispetto dei principi di legalità, trasparenza e concorrenza”, come recita l’attuale art. 1 del nuovo codice di cui al decreto legislativo n. 36 del 2023, in quanto “La concorrenza tra gli operatori economici è funzionale a conseguire il miglior risultato possibile nell’affidare ed eseguire i contratti”. Il principio del risultato costituisce, peraltro, attuazione, nel settore dei contratti pubblici, del principio del buon andamento e dei correlati principi di efficienza, efficacia ed economicità dell’azione amministrativa e chiarisce che la procedura e la forma sono un mezzo, non il fine della disciplina</w:t>
      </w:r>
      <w:r w:rsidR="006D41F2" w:rsidRPr="006D41F2">
        <w:t>”</w:t>
      </w:r>
      <w:r w:rsidR="006D41F2">
        <w:t>.</w:t>
      </w:r>
    </w:p>
  </w:footnote>
  <w:footnote w:id="24">
    <w:p w14:paraId="40845DB0" w14:textId="58160714" w:rsidR="006708F9" w:rsidRDefault="006708F9">
      <w:pPr>
        <w:pStyle w:val="Testonotaapidipagina"/>
      </w:pPr>
      <w:r>
        <w:rPr>
          <w:rStyle w:val="Rimandonotaapidipagina"/>
        </w:rPr>
        <w:footnoteRef/>
      </w:r>
      <w:r>
        <w:t xml:space="preserve"> Così </w:t>
      </w:r>
      <w:r w:rsidRPr="006708F9">
        <w:t xml:space="preserve">G. Napolitano, </w:t>
      </w:r>
      <w:r w:rsidRPr="006708F9">
        <w:rPr>
          <w:i/>
          <w:iCs/>
        </w:rPr>
        <w:t>I principi del nuovo Codice dei contratti pubblici</w:t>
      </w:r>
      <w:r w:rsidRPr="006708F9">
        <w:t xml:space="preserve">, in F. Caringella, R. Chieppa, B.G. Mattarella, </w:t>
      </w:r>
      <w:r w:rsidRPr="006708F9">
        <w:rPr>
          <w:i/>
          <w:iCs/>
        </w:rPr>
        <w:t>Diritto Amministrativo</w:t>
      </w:r>
      <w:r w:rsidRPr="006708F9">
        <w:t xml:space="preserve">, </w:t>
      </w:r>
      <w:r>
        <w:t>cit.</w:t>
      </w:r>
      <w:r w:rsidRPr="006708F9">
        <w:t xml:space="preserve">, p. </w:t>
      </w:r>
      <w:r w:rsidR="004407B4">
        <w:t>600</w:t>
      </w:r>
      <w:r w:rsidRPr="006708F9">
        <w:t xml:space="preserve">. </w:t>
      </w:r>
    </w:p>
  </w:footnote>
  <w:footnote w:id="25">
    <w:p w14:paraId="0629E4A7" w14:textId="662AF4B9" w:rsidR="004407B4" w:rsidRDefault="004407B4" w:rsidP="00A371C3">
      <w:pPr>
        <w:pStyle w:val="Testonotaapidipagina"/>
        <w:jc w:val="both"/>
      </w:pPr>
      <w:r>
        <w:rPr>
          <w:rStyle w:val="Rimandonotaapidipagina"/>
        </w:rPr>
        <w:footnoteRef/>
      </w:r>
      <w:r>
        <w:t xml:space="preserve"> “</w:t>
      </w:r>
      <w:r w:rsidRPr="004407B4">
        <w:rPr>
          <w:i/>
          <w:iCs/>
        </w:rPr>
        <w:t>Da questo punto di vista, è agevole percepire il collegamento tra principio della di risultato e principio della fiducia di cui all’articolo 2 del codice ... Se, da un lato, si chiede alla stazione appaltante di adoperare la discrezionalità amministrativa e di sciogliere le questioni di interpretazione del diritto positivo nel segno del risultato, dall’altro lato il legislatore manifesta la sua fiducia nell’operato dell'amministrazione, sancendo in modo espresso l’abbandono della cultura del sospetto e aggiungendo al comma 3 dell’art. 2 alcune previsioni che hanno lo scopo di circoscrivere, in particolare, la responsabilità contabile di chi assume decisioni in questo campo. Potremmo dire in proposito che se è vero che il principio della fiducia, al di fuori di tali ultime specificazioni, potrebbe sembrare collocato su un piano meramente programmatico e privo di un’immediata cogenza, peraltro proprio il suo saldarsi col principio del risultato fa sì che la forza precettiva di quest’ultimo si possa trasmette anche al concetto della fiducia</w:t>
      </w:r>
      <w:r>
        <w:t xml:space="preserve">”, così F. </w:t>
      </w:r>
      <w:proofErr w:type="spellStart"/>
      <w:r>
        <w:t>Cintioli</w:t>
      </w:r>
      <w:proofErr w:type="spellEnd"/>
      <w:r>
        <w:t xml:space="preserve">, </w:t>
      </w:r>
      <w:r w:rsidRPr="004407B4">
        <w:rPr>
          <w:i/>
          <w:iCs/>
        </w:rPr>
        <w:t>Il principio del risultato nel nuovo codice dei contratti pubblici</w:t>
      </w:r>
      <w:r w:rsidRPr="004407B4">
        <w:t>,</w:t>
      </w:r>
      <w:r w:rsidR="00A371C3">
        <w:t xml:space="preserve"> </w:t>
      </w:r>
      <w:r>
        <w:t>in</w:t>
      </w:r>
      <w:r w:rsidR="00A371C3">
        <w:t xml:space="preserve"> </w:t>
      </w:r>
      <w:r w:rsidR="00A371C3" w:rsidRPr="00A371C3">
        <w:rPr>
          <w:i/>
          <w:iCs/>
        </w:rPr>
        <w:t>www.giustizia-amministrativa.it</w:t>
      </w:r>
      <w:r w:rsidR="00A371C3">
        <w:t>,</w:t>
      </w:r>
      <w:r>
        <w:t>18 maggio 2023.</w:t>
      </w:r>
    </w:p>
  </w:footnote>
  <w:footnote w:id="26">
    <w:p w14:paraId="1519C552" w14:textId="760BFF55" w:rsidR="0099107F" w:rsidRDefault="0099107F">
      <w:pPr>
        <w:pStyle w:val="Testonotaapidipagina"/>
      </w:pPr>
      <w:r>
        <w:rPr>
          <w:rStyle w:val="Rimandonotaapidipagina"/>
        </w:rPr>
        <w:footnoteRef/>
      </w:r>
      <w:r>
        <w:t xml:space="preserve"> </w:t>
      </w:r>
      <w:r w:rsidRPr="0099107F">
        <w:t>Cons. Stato, Sez. III, 29 dicembre 2023, n. 11322.</w:t>
      </w:r>
    </w:p>
  </w:footnote>
  <w:footnote w:id="27">
    <w:p w14:paraId="148FDBD1" w14:textId="5C0031B4" w:rsidR="00F474F8" w:rsidRDefault="00F474F8">
      <w:pPr>
        <w:pStyle w:val="Testonotaapidipagina"/>
      </w:pPr>
      <w:r>
        <w:rPr>
          <w:rStyle w:val="Rimandonotaapidipagina"/>
        </w:rPr>
        <w:footnoteRef/>
      </w:r>
      <w:r>
        <w:t xml:space="preserve"> </w:t>
      </w:r>
      <w:r w:rsidRPr="00F474F8">
        <w:t xml:space="preserve">Nell’ottica del nuovo </w:t>
      </w:r>
      <w:r w:rsidR="00921254">
        <w:t>C</w:t>
      </w:r>
      <w:r w:rsidRPr="00F474F8">
        <w:t>odice, quindi, la tipologia di finanziamento non incide sulle caratteristiche della concessione.</w:t>
      </w:r>
    </w:p>
  </w:footnote>
  <w:footnote w:id="28">
    <w:p w14:paraId="042BA9D4" w14:textId="106AA69F" w:rsidR="008D7B73" w:rsidRDefault="008D7B73" w:rsidP="004D0056">
      <w:pPr>
        <w:pStyle w:val="Testonotaapidipagina"/>
        <w:jc w:val="both"/>
      </w:pPr>
      <w:r>
        <w:rPr>
          <w:rStyle w:val="Rimandonotaapidipagina"/>
        </w:rPr>
        <w:footnoteRef/>
      </w:r>
      <w:r>
        <w:t xml:space="preserve"> Cfr. G. Briganti, </w:t>
      </w:r>
      <w:r w:rsidRPr="008D7B73">
        <w:rPr>
          <w:i/>
          <w:iCs/>
        </w:rPr>
        <w:t>Il partenariato pubblico-privato e la finanza di progetto</w:t>
      </w:r>
      <w:r w:rsidRPr="008D7B73">
        <w:t xml:space="preserve">, </w:t>
      </w:r>
      <w:r>
        <w:t>cit.</w:t>
      </w:r>
      <w:r w:rsidRPr="008D7B73">
        <w:t xml:space="preserve">, </w:t>
      </w:r>
      <w:r w:rsidR="00982CA8">
        <w:t>secondo cui “</w:t>
      </w:r>
      <w:r w:rsidR="00982CA8" w:rsidRPr="00982CA8">
        <w:rPr>
          <w:i/>
          <w:iCs/>
        </w:rPr>
        <w:t>nell’ambito del nuovo Codice del 2023, la finanza di progetto, istituto da sempre in cerca di una chiara sistemazione</w:t>
      </w:r>
      <w:r w:rsidR="00982CA8">
        <w:t>” viene “</w:t>
      </w:r>
      <w:r w:rsidR="00982CA8" w:rsidRPr="00982CA8">
        <w:rPr>
          <w:i/>
          <w:iCs/>
        </w:rPr>
        <w:t>definita, per la prima volta, come modalità di finanziamento del PPP, superando la precedente ambiguità interpretativa che la vedeva come un autonomo tipo contrattuale</w:t>
      </w:r>
      <w:r w:rsidR="00982CA8">
        <w:t xml:space="preserve">”, </w:t>
      </w:r>
      <w:r w:rsidRPr="008D7B73">
        <w:t xml:space="preserve">p. </w:t>
      </w:r>
      <w:r w:rsidR="00982CA8">
        <w:t>7</w:t>
      </w:r>
      <w:r w:rsidRPr="008D7B73">
        <w:t>.</w:t>
      </w:r>
    </w:p>
  </w:footnote>
  <w:footnote w:id="29">
    <w:p w14:paraId="27A34FA1" w14:textId="0829B6FF" w:rsidR="001915CF" w:rsidRDefault="001915CF" w:rsidP="001915CF">
      <w:pPr>
        <w:pStyle w:val="Testonotaapidipagina"/>
        <w:jc w:val="both"/>
      </w:pPr>
      <w:r>
        <w:rPr>
          <w:rStyle w:val="Rimandonotaapidipagina"/>
        </w:rPr>
        <w:footnoteRef/>
      </w:r>
      <w:r>
        <w:t xml:space="preserve"> </w:t>
      </w:r>
      <w:r w:rsidRPr="00F474F8">
        <w:t>L’assunzione del rischio in capo all’operatore privato è ciò che distingue la concessione dall’appalto.</w:t>
      </w:r>
      <w:r>
        <w:t xml:space="preserve"> I</w:t>
      </w:r>
      <w:r w:rsidRPr="00D9374A">
        <w:t>l Consiglio di Stato</w:t>
      </w:r>
      <w:r w:rsidR="00F87B17">
        <w:t xml:space="preserve">, nella </w:t>
      </w:r>
      <w:r w:rsidRPr="00D9374A">
        <w:t>sentenza 10 gennaio 2025, n. 146, ha così argomentato in ordine alla distinzione tra concessione e appalto: “</w:t>
      </w:r>
      <w:r w:rsidRPr="00D9374A">
        <w:rPr>
          <w:i/>
          <w:iCs/>
        </w:rPr>
        <w:t xml:space="preserve">6. Tanto premesso in punto di fatto, la sentenza impugnata ha affermato la competenza del giudice ordinario sul presupposto che “nella c.d. fase intermedia tra l’aggiudicazione e il contratto, vi possa essere un’ampia gamma di situazioni "che possono collocarsi in una fase sì </w:t>
      </w:r>
      <w:proofErr w:type="spellStart"/>
      <w:r w:rsidRPr="00D9374A">
        <w:rPr>
          <w:i/>
          <w:iCs/>
        </w:rPr>
        <w:t>prenegoziale</w:t>
      </w:r>
      <w:proofErr w:type="spellEnd"/>
      <w:r w:rsidRPr="00D9374A">
        <w:rPr>
          <w:i/>
          <w:iCs/>
        </w:rPr>
        <w:t xml:space="preserve">, ma nella quale l’esercizio di poteri discrezionali pubblicistici non viene (più) in rilievo" e che "ove si discuta dell’affidamento di un pubblico servizio, la giurisdizione amministrativa esclusiva indicata dall’art. 133, comma 1, lett. e), n.1, cod. proc. </w:t>
      </w:r>
      <w:proofErr w:type="spellStart"/>
      <w:r w:rsidRPr="00D9374A">
        <w:rPr>
          <w:i/>
          <w:iCs/>
        </w:rPr>
        <w:t>amm</w:t>
      </w:r>
      <w:proofErr w:type="spellEnd"/>
      <w:r w:rsidRPr="00D9374A">
        <w:rPr>
          <w:i/>
          <w:iCs/>
        </w:rPr>
        <w:t>. concerne le controversie relative al procedimento di scelta del contraente fino al momento in cui acquista efficacia l’aggiudicazione definitiva, mentre le controversie vertenti sull’attività successiva, anche se precedente alla stipula del contratto, debbono di necessità seguire l’ordinario criterio di riparto"(Cassazione civile, Sezioni Unite, ordinanza 4 gennaio 2023, n. 111)”.</w:t>
      </w:r>
      <w:r>
        <w:rPr>
          <w:i/>
          <w:iCs/>
        </w:rPr>
        <w:t xml:space="preserve"> </w:t>
      </w:r>
      <w:r w:rsidRPr="00D9374A">
        <w:rPr>
          <w:i/>
          <w:iCs/>
        </w:rPr>
        <w:t>6.1. Osserva il Collegio come la questione giuridica devoluta in appello sia obiettivamente problematica dovendosi, a differenza di quanto affermato dal giudice di primo grado, ritenere che si è al cospetto di una concessione di servizi pubblici e non già di un appalto.</w:t>
      </w:r>
      <w:r>
        <w:rPr>
          <w:i/>
          <w:iCs/>
        </w:rPr>
        <w:t xml:space="preserve"> </w:t>
      </w:r>
      <w:r w:rsidRPr="00D9374A">
        <w:rPr>
          <w:i/>
          <w:iCs/>
        </w:rPr>
        <w:t xml:space="preserve">Secondo la consolidata giurisprudenza anche di questa Sezione “alla stregua della disciplina di matrice </w:t>
      </w:r>
      <w:proofErr w:type="spellStart"/>
      <w:r w:rsidRPr="00D9374A">
        <w:rPr>
          <w:i/>
          <w:iCs/>
        </w:rPr>
        <w:t>eurounitaria</w:t>
      </w:r>
      <w:proofErr w:type="spellEnd"/>
      <w:r w:rsidRPr="00D9374A">
        <w:rPr>
          <w:i/>
          <w:iCs/>
        </w:rPr>
        <w:t xml:space="preserve">, la concessione di servizi è il contratto che presenta le stesse caratteristiche di un appalto pubblico di servizi, ad eccezione del fatto che il corrispettivo della fornitura di servizi consiste unicamente nel diritto di gestire i servizi e di sfruttare economicamente il servizio od in tale diritto accompagnato da un prezzo; la distinzione attiene dunque alla struttura del rapporto, che nell’appalto di servizi intercorre tra due soggetti, essendo la prestazione a favore dell’amministrazione, mentre nella concessione di servizi pubblici intercorre tra tre soggetti, nel senso che la prestazione è diretta agli utenti (Cons. Stato, Ad. </w:t>
      </w:r>
      <w:proofErr w:type="spellStart"/>
      <w:r w:rsidRPr="00D9374A">
        <w:rPr>
          <w:i/>
          <w:iCs/>
        </w:rPr>
        <w:t>plen</w:t>
      </w:r>
      <w:proofErr w:type="spellEnd"/>
      <w:r w:rsidRPr="00D9374A">
        <w:rPr>
          <w:i/>
          <w:iCs/>
        </w:rPr>
        <w:t>., 7 maggio 2013, n. 13)” (Cons. Stato, V, n. 2348 del 2020).</w:t>
      </w:r>
      <w:r>
        <w:rPr>
          <w:i/>
          <w:iCs/>
        </w:rPr>
        <w:t xml:space="preserve"> </w:t>
      </w:r>
      <w:r w:rsidRPr="00D9374A">
        <w:rPr>
          <w:i/>
          <w:iCs/>
        </w:rPr>
        <w:t xml:space="preserve">Nel caso di specie la stessa Provincia appellata nel provvedimento di revoca dà atto del fatto che “il corrispettivo del servizio sarà costituito, ai sensi dall’articolo 3, lett. </w:t>
      </w:r>
      <w:proofErr w:type="spellStart"/>
      <w:r w:rsidRPr="00D9374A">
        <w:rPr>
          <w:i/>
          <w:iCs/>
        </w:rPr>
        <w:t>vv</w:t>
      </w:r>
      <w:proofErr w:type="spellEnd"/>
      <w:r w:rsidRPr="00D9374A">
        <w:rPr>
          <w:i/>
          <w:iCs/>
        </w:rPr>
        <w:t>) del Decreto Legislativo n.50/2016 “unicamente nel diritto di gestire funzionalmente e di sfruttare economicamente il servizio”.</w:t>
      </w:r>
      <w:r>
        <w:rPr>
          <w:i/>
          <w:iCs/>
        </w:rPr>
        <w:t xml:space="preserve"> </w:t>
      </w:r>
      <w:r w:rsidRPr="00D9374A">
        <w:rPr>
          <w:i/>
          <w:iCs/>
        </w:rPr>
        <w:t xml:space="preserve">6.2. Tanto premesso, occorre, altresì, rilevare che “è avviso della Corte regolatrice della giurisdizione che, in materia di concessioni amministrative, l’art. 133, comma 1, lett. c), Cod. proc. </w:t>
      </w:r>
      <w:proofErr w:type="spellStart"/>
      <w:r w:rsidRPr="00D9374A">
        <w:rPr>
          <w:i/>
          <w:iCs/>
        </w:rPr>
        <w:t>amm</w:t>
      </w:r>
      <w:proofErr w:type="spellEnd"/>
      <w:r w:rsidRPr="00D9374A">
        <w:rPr>
          <w:i/>
          <w:iCs/>
        </w:rPr>
        <w:t>., nell’attribuire alla giurisdizione esclusiva del giudice amministrativo ogni controversia relativa ai rapporti di concessione di beni e servizi pubblici, non implica affatto un regime di giurisdizione esclusiva del giudice amministrativo; deve piuttosto ritenersi che rientrano nella cognizione del giudice ordinario le controversie che abbiano contenuto meramente patrimoniale, senza che assuma rilievo un potere di intervento dell’amministrazione a tutela di interessi generali, mentre restano nella giurisdizione amministrativa quelle che coinvolgano l’esercizio di poteri discrezionali inerenti alla determinazione del canone, dell’indennità o di altri corrispettivi (Cass., SS.UU., 20 aprile 2018, n. 9917)” (Cons. Stato, V, n. 2348 del 2020)</w:t>
      </w:r>
      <w:r w:rsidRPr="00D9374A">
        <w:t>”</w:t>
      </w:r>
      <w:r w:rsidRPr="00D9374A">
        <w:rPr>
          <w:i/>
          <w:iCs/>
        </w:rPr>
        <w:t>.</w:t>
      </w:r>
    </w:p>
  </w:footnote>
  <w:footnote w:id="30">
    <w:p w14:paraId="61635B80" w14:textId="73D4F051" w:rsidR="00F474F8" w:rsidRDefault="00F474F8" w:rsidP="001915CF">
      <w:pPr>
        <w:pStyle w:val="Testonotaapidipagina"/>
        <w:jc w:val="both"/>
      </w:pPr>
      <w:r>
        <w:rPr>
          <w:rStyle w:val="Rimandonotaapidipagina"/>
        </w:rPr>
        <w:footnoteRef/>
      </w:r>
      <w:r>
        <w:t xml:space="preserve"> </w:t>
      </w:r>
      <w:r w:rsidRPr="00EE13F5">
        <w:t xml:space="preserve">V. Vecchi, </w:t>
      </w:r>
      <w:r w:rsidRPr="001915CF">
        <w:rPr>
          <w:i/>
          <w:iCs/>
        </w:rPr>
        <w:t>Partiamo dal nuovo codice contratti per dare nuova linfa al PPP</w:t>
      </w:r>
      <w:r w:rsidRPr="00EE13F5">
        <w:t>, in Diritto e pratica amministrativa, 2023.</w:t>
      </w:r>
    </w:p>
  </w:footnote>
  <w:footnote w:id="31">
    <w:p w14:paraId="76ABF34E" w14:textId="2ABF978A" w:rsidR="00C5037B" w:rsidRDefault="00C5037B" w:rsidP="00F47C48">
      <w:pPr>
        <w:pStyle w:val="Testonotaapidipagina"/>
        <w:jc w:val="both"/>
      </w:pPr>
      <w:r>
        <w:rPr>
          <w:rStyle w:val="Rimandonotaapidipagina"/>
        </w:rPr>
        <w:footnoteRef/>
      </w:r>
      <w:r>
        <w:t xml:space="preserve"> </w:t>
      </w:r>
      <w:r w:rsidRPr="00C5037B">
        <w:t>Successivamente, la giurisprudenza della Corte di Giustizia europea ha elaborato la più generale nozione di “</w:t>
      </w:r>
      <w:r w:rsidRPr="00C5037B">
        <w:rPr>
          <w:i/>
          <w:iCs/>
        </w:rPr>
        <w:t xml:space="preserve">in house </w:t>
      </w:r>
      <w:proofErr w:type="spellStart"/>
      <w:r w:rsidRPr="00C5037B">
        <w:rPr>
          <w:i/>
          <w:iCs/>
        </w:rPr>
        <w:t>providing</w:t>
      </w:r>
      <w:proofErr w:type="spellEnd"/>
      <w:r w:rsidRPr="00C5037B">
        <w:t>” con riferimento al fenomeno dell’autoproduzione di beni e di servizi ad opera della Pubblica Amministrazione</w:t>
      </w:r>
      <w:r>
        <w:t>.</w:t>
      </w:r>
    </w:p>
  </w:footnote>
  <w:footnote w:id="32">
    <w:p w14:paraId="68E36C12" w14:textId="74988BAE" w:rsidR="00C40FA9" w:rsidRDefault="00C40FA9" w:rsidP="00C40FA9">
      <w:pPr>
        <w:pStyle w:val="Testonotaapidipagina"/>
        <w:jc w:val="both"/>
      </w:pPr>
      <w:r>
        <w:rPr>
          <w:rStyle w:val="Rimandonotaapidipagina"/>
        </w:rPr>
        <w:footnoteRef/>
      </w:r>
      <w:r>
        <w:t xml:space="preserve"> Per un approfondimento, si vedano, G. Grieco, </w:t>
      </w:r>
      <w:r w:rsidRPr="00C40FA9">
        <w:rPr>
          <w:i/>
          <w:iCs/>
        </w:rPr>
        <w:t>Gli affidamenti in house di servizi e forniture, le concessioni di pubblico servizio e il principio della gara</w:t>
      </w:r>
      <w:r>
        <w:t xml:space="preserve">, in </w:t>
      </w:r>
      <w:r w:rsidRPr="00C40FA9">
        <w:rPr>
          <w:i/>
          <w:iCs/>
        </w:rPr>
        <w:t xml:space="preserve">Riv. </w:t>
      </w:r>
      <w:proofErr w:type="spellStart"/>
      <w:r w:rsidRPr="00C40FA9">
        <w:rPr>
          <w:i/>
          <w:iCs/>
        </w:rPr>
        <w:t>it</w:t>
      </w:r>
      <w:proofErr w:type="spellEnd"/>
      <w:r w:rsidRPr="00C40FA9">
        <w:rPr>
          <w:i/>
          <w:iCs/>
        </w:rPr>
        <w:t>. dir. pubbl. comunitario</w:t>
      </w:r>
      <w:r>
        <w:t xml:space="preserve">, 2000, pp. 1461 e ss.; M. Mazzamuto, </w:t>
      </w:r>
      <w:r w:rsidRPr="00C40FA9">
        <w:rPr>
          <w:i/>
          <w:iCs/>
        </w:rPr>
        <w:t xml:space="preserve">Brevi note su normativa comunitaria e in house </w:t>
      </w:r>
      <w:proofErr w:type="spellStart"/>
      <w:r w:rsidRPr="00C40FA9">
        <w:rPr>
          <w:i/>
          <w:iCs/>
        </w:rPr>
        <w:t>providing</w:t>
      </w:r>
      <w:proofErr w:type="spellEnd"/>
      <w:r>
        <w:t xml:space="preserve">, in </w:t>
      </w:r>
      <w:r w:rsidRPr="00C40FA9">
        <w:rPr>
          <w:i/>
          <w:iCs/>
        </w:rPr>
        <w:t>Dir. Unione europea</w:t>
      </w:r>
      <w:r>
        <w:t xml:space="preserve">, 2001, pp. 537 e ss.; C. Alberti, </w:t>
      </w:r>
      <w:r w:rsidRPr="00C40FA9">
        <w:rPr>
          <w:i/>
          <w:iCs/>
        </w:rPr>
        <w:t>Appalti in house, concessioni in house ed esternalizzazione</w:t>
      </w:r>
      <w:r>
        <w:t xml:space="preserve">, in </w:t>
      </w:r>
      <w:r w:rsidRPr="00C40FA9">
        <w:rPr>
          <w:i/>
          <w:iCs/>
        </w:rPr>
        <w:t xml:space="preserve">Riv. </w:t>
      </w:r>
      <w:proofErr w:type="spellStart"/>
      <w:r w:rsidRPr="00C40FA9">
        <w:rPr>
          <w:i/>
          <w:iCs/>
        </w:rPr>
        <w:t>it</w:t>
      </w:r>
      <w:proofErr w:type="spellEnd"/>
      <w:r w:rsidRPr="00C40FA9">
        <w:rPr>
          <w:i/>
          <w:iCs/>
        </w:rPr>
        <w:t>. dir. pubbl. comunitario</w:t>
      </w:r>
      <w:r>
        <w:t xml:space="preserve">, 2001, pp. 494 e ss. </w:t>
      </w:r>
    </w:p>
  </w:footnote>
  <w:footnote w:id="33">
    <w:p w14:paraId="63863A31" w14:textId="40C2BE48" w:rsidR="00C5037B" w:rsidRDefault="00C5037B">
      <w:pPr>
        <w:pStyle w:val="Testonotaapidipagina"/>
      </w:pPr>
      <w:r>
        <w:rPr>
          <w:rStyle w:val="Rimandonotaapidipagina"/>
        </w:rPr>
        <w:footnoteRef/>
      </w:r>
      <w:r>
        <w:t xml:space="preserve"> Questo è ciò che la Corte di Giustizia europea ebbe ad affermare nella storica decisione adottata il 18 novembre 1999 nella causa 107/98, </w:t>
      </w:r>
      <w:proofErr w:type="spellStart"/>
      <w:r>
        <w:t>Teckal</w:t>
      </w:r>
      <w:proofErr w:type="spellEnd"/>
      <w:r>
        <w:t xml:space="preserve"> s.r.l. contro Comune di Aviano.</w:t>
      </w:r>
    </w:p>
  </w:footnote>
  <w:footnote w:id="34">
    <w:p w14:paraId="7FAB22CB" w14:textId="7BFCCD40" w:rsidR="00DF0F1A" w:rsidRDefault="00DF0F1A" w:rsidP="00DF0F1A">
      <w:pPr>
        <w:pStyle w:val="Testonotaapidipagina"/>
        <w:jc w:val="both"/>
      </w:pPr>
      <w:r>
        <w:rPr>
          <w:rStyle w:val="Rimandonotaapidipagina"/>
        </w:rPr>
        <w:footnoteRef/>
      </w:r>
      <w:r>
        <w:t xml:space="preserve"> F. Dello Sbarba, </w:t>
      </w:r>
      <w:r w:rsidRPr="00DF0F1A">
        <w:rPr>
          <w:i/>
          <w:iCs/>
        </w:rPr>
        <w:t>La valutazione del grado di compatibilità degli affidamenti in house con l’art. 23 bis D.L. n. 112/2008: il G.A. anticipa l’art. 15 D.L. n. 135/2009</w:t>
      </w:r>
      <w:r>
        <w:t xml:space="preserve">, in </w:t>
      </w:r>
      <w:r w:rsidRPr="00DF0F1A">
        <w:rPr>
          <w:i/>
          <w:iCs/>
        </w:rPr>
        <w:t>Urbanistica e Appalti</w:t>
      </w:r>
      <w:r>
        <w:t>, 2010.</w:t>
      </w:r>
    </w:p>
  </w:footnote>
  <w:footnote w:id="35">
    <w:p w14:paraId="447425D4" w14:textId="52539EFC" w:rsidR="00921254" w:rsidRDefault="00921254" w:rsidP="009939C6">
      <w:pPr>
        <w:pStyle w:val="Testonotaapidipagina"/>
        <w:jc w:val="both"/>
      </w:pPr>
      <w:r>
        <w:rPr>
          <w:rStyle w:val="Rimandonotaapidipagina"/>
        </w:rPr>
        <w:footnoteRef/>
      </w:r>
      <w:r>
        <w:t xml:space="preserve"> Cfr. G. Greco, </w:t>
      </w:r>
      <w:r w:rsidRPr="009939C6">
        <w:rPr>
          <w:i/>
          <w:iCs/>
        </w:rPr>
        <w:t>Concessioni affidate alle società in house</w:t>
      </w:r>
      <w:r w:rsidR="009939C6" w:rsidRPr="009939C6">
        <w:rPr>
          <w:i/>
          <w:iCs/>
        </w:rPr>
        <w:t xml:space="preserve">: una </w:t>
      </w:r>
      <w:proofErr w:type="spellStart"/>
      <w:r w:rsidR="009939C6" w:rsidRPr="009939C6">
        <w:rPr>
          <w:i/>
          <w:iCs/>
        </w:rPr>
        <w:t>contradictio</w:t>
      </w:r>
      <w:proofErr w:type="spellEnd"/>
      <w:r w:rsidR="009939C6" w:rsidRPr="009939C6">
        <w:rPr>
          <w:i/>
          <w:iCs/>
        </w:rPr>
        <w:t xml:space="preserve"> in </w:t>
      </w:r>
      <w:proofErr w:type="spellStart"/>
      <w:r w:rsidR="009939C6" w:rsidRPr="009939C6">
        <w:rPr>
          <w:i/>
          <w:iCs/>
        </w:rPr>
        <w:t>adjecto</w:t>
      </w:r>
      <w:proofErr w:type="spellEnd"/>
      <w:r w:rsidR="009939C6">
        <w:t xml:space="preserve">, in </w:t>
      </w:r>
      <w:r w:rsidR="009939C6" w:rsidRPr="009939C6">
        <w:rPr>
          <w:i/>
          <w:iCs/>
        </w:rPr>
        <w:t>Giustizia Insieme</w:t>
      </w:r>
      <w:r w:rsidR="009939C6">
        <w:t>, 8 marzo 2021.</w:t>
      </w:r>
    </w:p>
  </w:footnote>
  <w:footnote w:id="36">
    <w:p w14:paraId="18376CD1" w14:textId="325A6EA6" w:rsidR="00942161" w:rsidRDefault="00942161">
      <w:pPr>
        <w:pStyle w:val="Testonotaapidipagina"/>
      </w:pPr>
      <w:r>
        <w:rPr>
          <w:rStyle w:val="Rimandonotaapidipagina"/>
        </w:rPr>
        <w:footnoteRef/>
      </w:r>
      <w:r>
        <w:t xml:space="preserve"> F. Dello Sbarba, </w:t>
      </w:r>
      <w:r w:rsidRPr="00E5460A">
        <w:rPr>
          <w:i/>
          <w:iCs/>
        </w:rPr>
        <w:t>I servizi pubblici locali. Modelli di organizzazione e di gestione</w:t>
      </w:r>
      <w:r>
        <w:t>, Torino, 2009</w:t>
      </w:r>
      <w:r w:rsidR="00444290">
        <w:t>.</w:t>
      </w:r>
    </w:p>
  </w:footnote>
  <w:footnote w:id="37">
    <w:p w14:paraId="245838CC" w14:textId="4FC6969B" w:rsidR="009C2CA2" w:rsidRDefault="009C2CA2" w:rsidP="009C2CA2">
      <w:pPr>
        <w:pStyle w:val="Testonotaapidipagina"/>
        <w:jc w:val="both"/>
      </w:pPr>
      <w:r>
        <w:rPr>
          <w:rStyle w:val="Rimandonotaapidipagina"/>
        </w:rPr>
        <w:footnoteRef/>
      </w:r>
      <w:r>
        <w:t xml:space="preserve"> La concessione è un istituto di derivazione settecentesca.</w:t>
      </w:r>
      <w:r w:rsidRPr="009C2CA2">
        <w:t xml:space="preserve"> </w:t>
      </w:r>
      <w:r>
        <w:t xml:space="preserve">Nasce come atto di “benevolenza sovrana” che poteva tradursi in un atto normativo di accertamento di privilegi, in un atto amministrativo derogatorio di norme, in un atto amministrativo avente ad oggetto materie di pertinenza della corona (M.S. Giannini, </w:t>
      </w:r>
      <w:r w:rsidRPr="009C2CA2">
        <w:rPr>
          <w:i/>
          <w:iCs/>
        </w:rPr>
        <w:t>Diritto amministrativo</w:t>
      </w:r>
      <w:r>
        <w:t>, 1970).</w:t>
      </w:r>
    </w:p>
  </w:footnote>
  <w:footnote w:id="38">
    <w:p w14:paraId="0BEF218C" w14:textId="5797387E" w:rsidR="00A371C3" w:rsidRDefault="00A371C3">
      <w:pPr>
        <w:pStyle w:val="Testonotaapidipagina"/>
      </w:pPr>
      <w:r>
        <w:rPr>
          <w:rStyle w:val="Rimandonotaapidipagina"/>
        </w:rPr>
        <w:footnoteRef/>
      </w:r>
      <w:r>
        <w:t xml:space="preserve">  Cfr. D. Simeoli, </w:t>
      </w:r>
      <w:r w:rsidRPr="00A371C3">
        <w:rPr>
          <w:i/>
          <w:iCs/>
        </w:rPr>
        <w:t>Il partenariato pubblico-privato come modello di cooperazione finanziaria e operativa</w:t>
      </w:r>
      <w:r>
        <w:t xml:space="preserve">, in </w:t>
      </w:r>
      <w:bookmarkStart w:id="4" w:name="_Hlk213857145"/>
      <w:r w:rsidRPr="00A371C3">
        <w:rPr>
          <w:i/>
          <w:iCs/>
        </w:rPr>
        <w:t>Il codice dei contratti pubblici. Riforma e correttivo</w:t>
      </w:r>
      <w:r>
        <w:t>, Napoli, 2025</w:t>
      </w:r>
      <w:bookmarkEnd w:id="4"/>
      <w:r>
        <w:t>, p. 619</w:t>
      </w:r>
    </w:p>
  </w:footnote>
  <w:footnote w:id="39">
    <w:p w14:paraId="3631FDAC" w14:textId="27148158" w:rsidR="005D7256" w:rsidRDefault="005D7256" w:rsidP="005D7256">
      <w:pPr>
        <w:pStyle w:val="Testonotaapidipagina"/>
        <w:jc w:val="both"/>
      </w:pPr>
      <w:r>
        <w:rPr>
          <w:rStyle w:val="Rimandonotaapidipagina"/>
        </w:rPr>
        <w:footnoteRef/>
      </w:r>
      <w:r>
        <w:t xml:space="preserve"> Ai sensi dell’art. 175, </w:t>
      </w:r>
      <w:r w:rsidRPr="00EE13F5">
        <w:t>“</w:t>
      </w:r>
      <w:r w:rsidRPr="00EE13F5">
        <w:rPr>
          <w:i/>
          <w:iCs/>
        </w:rPr>
        <w:t>1. Le pubbliche amministrazioni adottano il programma triennale delle esigenze pubbliche idonee a essere soddisfatte attraverso forme di partenariato pubblico-privato.</w:t>
      </w:r>
      <w:r w:rsidR="00E94526">
        <w:rPr>
          <w:i/>
          <w:iCs/>
        </w:rPr>
        <w:t xml:space="preserve"> </w:t>
      </w:r>
      <w:r w:rsidRPr="00EE13F5">
        <w:rPr>
          <w:i/>
          <w:iCs/>
        </w:rPr>
        <w:t>2. Il ricorso al partenariato pubblico-privato è preceduto da una valutazione preliminare di convenienza e fattibilità. La valutazione si incentra sull’idoneità del progetto a essere finanziato con risorse private, sulle condizioni necessarie a ottimizzare il rapporto tra costi e benefici, sulla efficiente allocazione del rischio operativo, sulla capacità di generare soluzioni innovative, nonché sulla capacità di indebitamento dell’ente e sulla disponibilità di risorse sul bilancio pluriennale. A tal fine, la valutazione confronta la stima dei costi e dei benefici del progetto di partenariato, nell’arco dell’intera durata del rapporto, con quella del ricorso alternativo al contratto di appalto per un arco temporale equivalente</w:t>
      </w:r>
      <w:r w:rsidRPr="00EE13F5">
        <w:t>”</w:t>
      </w:r>
      <w:r>
        <w:t xml:space="preserve">. </w:t>
      </w:r>
      <w:r w:rsidRPr="00EE13F5">
        <w:t>La disposizione prevede, quindi, che la scelta del partenariato pubblico-privato sia basata su approfondite valutazioni in ordine alla sua convenienza e fattibilità.</w:t>
      </w:r>
    </w:p>
  </w:footnote>
  <w:footnote w:id="40">
    <w:p w14:paraId="088E1B59" w14:textId="4B8B0692" w:rsidR="00A049EE" w:rsidRDefault="00A049EE" w:rsidP="00A049EE">
      <w:pPr>
        <w:pStyle w:val="Testonotaapidipagina"/>
        <w:jc w:val="both"/>
      </w:pPr>
      <w:r>
        <w:rPr>
          <w:rStyle w:val="Rimandonotaapidipagina"/>
        </w:rPr>
        <w:footnoteRef/>
      </w:r>
      <w:r>
        <w:t xml:space="preserve"> </w:t>
      </w:r>
      <w:r w:rsidRPr="00A049EE">
        <w:t>La dottrina ritiene che, trattandosi di un rischio di natura economica, l’efficienza debba essere necessariamente valutata secondo criteri economico finanziari.</w:t>
      </w:r>
      <w:r>
        <w:t xml:space="preserve"> Cfr., </w:t>
      </w:r>
      <w:r w:rsidRPr="00BD76EE">
        <w:t xml:space="preserve">G.F. </w:t>
      </w:r>
      <w:proofErr w:type="spellStart"/>
      <w:r w:rsidRPr="00BD76EE">
        <w:t>Cartei</w:t>
      </w:r>
      <w:proofErr w:type="spellEnd"/>
      <w:r w:rsidRPr="00BD76EE">
        <w:t xml:space="preserve">, </w:t>
      </w:r>
      <w:r w:rsidRPr="00BD76EE">
        <w:rPr>
          <w:i/>
          <w:iCs/>
        </w:rPr>
        <w:t>Il rischio operativo e i suoi confini</w:t>
      </w:r>
      <w:r w:rsidRPr="00BD76EE">
        <w:t xml:space="preserve">, in </w:t>
      </w:r>
      <w:r w:rsidRPr="00BD76EE">
        <w:rPr>
          <w:i/>
          <w:iCs/>
        </w:rPr>
        <w:t>Il diritto dell’economia</w:t>
      </w:r>
      <w:r w:rsidRPr="00BD76EE">
        <w:t>, 2, 2024, p. 192</w:t>
      </w:r>
      <w:r>
        <w:t>.</w:t>
      </w:r>
    </w:p>
  </w:footnote>
  <w:footnote w:id="41">
    <w:p w14:paraId="098BC4AE" w14:textId="3280106B" w:rsidR="00902C5D" w:rsidRDefault="00902C5D" w:rsidP="00902C5D">
      <w:pPr>
        <w:pStyle w:val="Testonotaapidipagina"/>
        <w:jc w:val="both"/>
      </w:pPr>
      <w:r>
        <w:rPr>
          <w:rStyle w:val="Rimandonotaapidipagina"/>
        </w:rPr>
        <w:footnoteRef/>
      </w:r>
      <w:r>
        <w:t xml:space="preserve"> Le altre ipotesi sono costituite dall’essere oggetto della concessione la creazione o l’acquisizione di un’opera o di una rappresentazione artistica unica o dalla sussistenza di esigenze connesse alla tutela dei diritti di proprietà intellettuale e di diritti esclusivi diversi da quelli definiti all’art. 5, punto 10, della Direttiva 2014/23/UE.</w:t>
      </w:r>
    </w:p>
  </w:footnote>
  <w:footnote w:id="42">
    <w:p w14:paraId="760E22BB" w14:textId="77DA122E" w:rsidR="002A3580" w:rsidRDefault="002A3580" w:rsidP="002A3580">
      <w:pPr>
        <w:pStyle w:val="Testonotaapidipagina"/>
        <w:jc w:val="both"/>
      </w:pPr>
      <w:r>
        <w:rPr>
          <w:rStyle w:val="Rimandonotaapidipagina"/>
        </w:rPr>
        <w:footnoteRef/>
      </w:r>
      <w:r>
        <w:t xml:space="preserve"> </w:t>
      </w:r>
      <w:r w:rsidRPr="002A3580">
        <w:t>Un'offerta è ritenuta non appropriata se non presenta alcuna pertinenza con la concessione ed è quindi manifestamente inadeguata, a meno di modifiche sostanziali, a rispondere alle esigenze e ai requisiti dell’ente concedente specificati nei documenti di gara.</w:t>
      </w:r>
    </w:p>
  </w:footnote>
  <w:footnote w:id="43">
    <w:p w14:paraId="6415E23D" w14:textId="4FBF3BEC" w:rsidR="002A3580" w:rsidRDefault="002A3580" w:rsidP="002A3580">
      <w:pPr>
        <w:pStyle w:val="Testonotaapidipagina"/>
        <w:jc w:val="both"/>
      </w:pPr>
      <w:r>
        <w:rPr>
          <w:rStyle w:val="Rimandonotaapidipagina"/>
        </w:rPr>
        <w:footnoteRef/>
      </w:r>
      <w:r>
        <w:t xml:space="preserve"> </w:t>
      </w:r>
      <w:r w:rsidRPr="002A3580">
        <w:t>I requisiti minimi contengono le condizioni e le caratteristiche, in particolare tecniche, fisiche, funzionali e giuridiche, che ogni offerta deve soddisfare o possedere.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CB462" w14:textId="77777777" w:rsidR="00D331A2" w:rsidRDefault="00D331A2">
    <w:pPr>
      <w:pStyle w:val="Intestazione"/>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44DBB"/>
    <w:multiLevelType w:val="hybridMultilevel"/>
    <w:tmpl w:val="6930C852"/>
    <w:lvl w:ilvl="0" w:tplc="808850BA">
      <w:start w:val="5"/>
      <w:numFmt w:val="bullet"/>
      <w:lvlText w:val="-"/>
      <w:lvlJc w:val="left"/>
      <w:pPr>
        <w:ind w:left="720" w:hanging="360"/>
      </w:pPr>
      <w:rPr>
        <w:rFonts w:ascii="Times New Roman" w:eastAsia="Times New Roman" w:hAnsi="Times New Roman" w:cs="Times New Roman" w:hint="default"/>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96C3695"/>
    <w:multiLevelType w:val="hybridMultilevel"/>
    <w:tmpl w:val="B1FC8C5C"/>
    <w:lvl w:ilvl="0" w:tplc="10144A60">
      <w:start w:val="5"/>
      <w:numFmt w:val="bullet"/>
      <w:lvlText w:val="-"/>
      <w:lvlJc w:val="left"/>
      <w:pPr>
        <w:ind w:left="720" w:hanging="360"/>
      </w:pPr>
      <w:rPr>
        <w:rFonts w:ascii="Times New Roman" w:eastAsia="Times New Roman" w:hAnsi="Times New Roman" w:cs="Times New Roman" w:hint="default"/>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3B92C55"/>
    <w:multiLevelType w:val="multilevel"/>
    <w:tmpl w:val="09E4D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6A603D"/>
    <w:multiLevelType w:val="hybridMultilevel"/>
    <w:tmpl w:val="0E702590"/>
    <w:lvl w:ilvl="0" w:tplc="4104B2AC">
      <w:start w:val="5"/>
      <w:numFmt w:val="bullet"/>
      <w:lvlText w:val="-"/>
      <w:lvlJc w:val="left"/>
      <w:pPr>
        <w:ind w:left="720" w:hanging="360"/>
      </w:pPr>
      <w:rPr>
        <w:rFonts w:ascii="Times New Roman" w:eastAsia="Times New Roman" w:hAnsi="Times New Roman" w:cs="Times New Roman" w:hint="default"/>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C402A30"/>
    <w:multiLevelType w:val="multilevel"/>
    <w:tmpl w:val="58BE0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DC4B99"/>
    <w:multiLevelType w:val="hybridMultilevel"/>
    <w:tmpl w:val="19CE6A56"/>
    <w:lvl w:ilvl="0" w:tplc="CFAEE170">
      <w:start w:val="5"/>
      <w:numFmt w:val="bullet"/>
      <w:lvlText w:val="-"/>
      <w:lvlJc w:val="left"/>
      <w:pPr>
        <w:ind w:left="720" w:hanging="360"/>
      </w:pPr>
      <w:rPr>
        <w:rFonts w:ascii="Times New Roman" w:eastAsia="Times New Roman" w:hAnsi="Times New Roman" w:cs="Times New Roman" w:hint="default"/>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0954F32"/>
    <w:multiLevelType w:val="hybridMultilevel"/>
    <w:tmpl w:val="EF729AFA"/>
    <w:lvl w:ilvl="0" w:tplc="87487034">
      <w:start w:val="5"/>
      <w:numFmt w:val="bullet"/>
      <w:lvlText w:val="-"/>
      <w:lvlJc w:val="left"/>
      <w:pPr>
        <w:ind w:left="720" w:hanging="360"/>
      </w:pPr>
      <w:rPr>
        <w:rFonts w:ascii="Times New Roman" w:eastAsia="Times New Roman" w:hAnsi="Times New Roman" w:cs="Times New Roman" w:hint="default"/>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70C3D5B"/>
    <w:multiLevelType w:val="hybridMultilevel"/>
    <w:tmpl w:val="E8A0D3B8"/>
    <w:lvl w:ilvl="0" w:tplc="9756582C">
      <w:start w:val="5"/>
      <w:numFmt w:val="bullet"/>
      <w:lvlText w:val="-"/>
      <w:lvlJc w:val="left"/>
      <w:pPr>
        <w:ind w:left="720" w:hanging="360"/>
      </w:pPr>
      <w:rPr>
        <w:rFonts w:ascii="Times New Roman" w:eastAsia="Times New Roman" w:hAnsi="Times New Roman" w:cs="Times New Roman" w:hint="default"/>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9782A40"/>
    <w:multiLevelType w:val="hybridMultilevel"/>
    <w:tmpl w:val="50DC6852"/>
    <w:lvl w:ilvl="0" w:tplc="04B863E8">
      <w:start w:val="7"/>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DA955B3"/>
    <w:multiLevelType w:val="hybridMultilevel"/>
    <w:tmpl w:val="936C22AA"/>
    <w:lvl w:ilvl="0" w:tplc="6D364F38">
      <w:start w:val="5"/>
      <w:numFmt w:val="bullet"/>
      <w:lvlText w:val="-"/>
      <w:lvlJc w:val="left"/>
      <w:pPr>
        <w:ind w:left="720" w:hanging="360"/>
      </w:pPr>
      <w:rPr>
        <w:rFonts w:ascii="Times New Roman" w:eastAsia="Times New Roman" w:hAnsi="Times New Roman" w:cs="Times New Roman" w:hint="default"/>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FF5098F"/>
    <w:multiLevelType w:val="hybridMultilevel"/>
    <w:tmpl w:val="A8FEBE84"/>
    <w:lvl w:ilvl="0" w:tplc="F19208B0">
      <w:start w:val="5"/>
      <w:numFmt w:val="bullet"/>
      <w:lvlText w:val="-"/>
      <w:lvlJc w:val="left"/>
      <w:pPr>
        <w:ind w:left="720" w:hanging="360"/>
      </w:pPr>
      <w:rPr>
        <w:rFonts w:ascii="Times New Roman" w:eastAsia="Times New Roman" w:hAnsi="Times New Roman" w:cs="Times New Roman" w:hint="default"/>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36F75AA"/>
    <w:multiLevelType w:val="hybridMultilevel"/>
    <w:tmpl w:val="5C20B6DC"/>
    <w:lvl w:ilvl="0" w:tplc="08946502">
      <w:start w:val="7"/>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4AE3928"/>
    <w:multiLevelType w:val="hybridMultilevel"/>
    <w:tmpl w:val="30800B5A"/>
    <w:lvl w:ilvl="0" w:tplc="F4725806">
      <w:start w:val="7"/>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6522861"/>
    <w:multiLevelType w:val="multilevel"/>
    <w:tmpl w:val="A7446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D37BED"/>
    <w:multiLevelType w:val="multilevel"/>
    <w:tmpl w:val="F98E5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3DA45AA"/>
    <w:multiLevelType w:val="hybridMultilevel"/>
    <w:tmpl w:val="EEE69166"/>
    <w:lvl w:ilvl="0" w:tplc="C7E6529E">
      <w:start w:val="5"/>
      <w:numFmt w:val="bullet"/>
      <w:lvlText w:val="-"/>
      <w:lvlJc w:val="left"/>
      <w:pPr>
        <w:ind w:left="720" w:hanging="360"/>
      </w:pPr>
      <w:rPr>
        <w:rFonts w:ascii="Times New Roman" w:eastAsia="Times New Roman" w:hAnsi="Times New Roman" w:cs="Times New Roman" w:hint="default"/>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3E6120A"/>
    <w:multiLevelType w:val="hybridMultilevel"/>
    <w:tmpl w:val="5E30D096"/>
    <w:lvl w:ilvl="0" w:tplc="B6AEBE98">
      <w:start w:val="5"/>
      <w:numFmt w:val="bullet"/>
      <w:lvlText w:val="-"/>
      <w:lvlJc w:val="left"/>
      <w:pPr>
        <w:ind w:left="720" w:hanging="360"/>
      </w:pPr>
      <w:rPr>
        <w:rFonts w:ascii="Times New Roman" w:eastAsia="Times New Roman" w:hAnsi="Times New Roman" w:cs="Times New Roman" w:hint="default"/>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99192604">
    <w:abstractNumId w:val="10"/>
  </w:num>
  <w:num w:numId="2" w16cid:durableId="1535457623">
    <w:abstractNumId w:val="1"/>
  </w:num>
  <w:num w:numId="3" w16cid:durableId="553010428">
    <w:abstractNumId w:val="9"/>
  </w:num>
  <w:num w:numId="4" w16cid:durableId="880746006">
    <w:abstractNumId w:val="15"/>
  </w:num>
  <w:num w:numId="5" w16cid:durableId="2706452">
    <w:abstractNumId w:val="5"/>
  </w:num>
  <w:num w:numId="6" w16cid:durableId="1943874804">
    <w:abstractNumId w:val="7"/>
  </w:num>
  <w:num w:numId="7" w16cid:durableId="1228108565">
    <w:abstractNumId w:val="6"/>
  </w:num>
  <w:num w:numId="8" w16cid:durableId="550116385">
    <w:abstractNumId w:val="16"/>
  </w:num>
  <w:num w:numId="9" w16cid:durableId="341516171">
    <w:abstractNumId w:val="0"/>
  </w:num>
  <w:num w:numId="10" w16cid:durableId="882182414">
    <w:abstractNumId w:val="3"/>
  </w:num>
  <w:num w:numId="11" w16cid:durableId="337657672">
    <w:abstractNumId w:val="12"/>
  </w:num>
  <w:num w:numId="12" w16cid:durableId="2078431614">
    <w:abstractNumId w:val="8"/>
  </w:num>
  <w:num w:numId="13" w16cid:durableId="388119051">
    <w:abstractNumId w:val="11"/>
  </w:num>
  <w:num w:numId="14" w16cid:durableId="1051997584">
    <w:abstractNumId w:val="14"/>
  </w:num>
  <w:num w:numId="15" w16cid:durableId="891692390">
    <w:abstractNumId w:val="13"/>
  </w:num>
  <w:num w:numId="16" w16cid:durableId="736780612">
    <w:abstractNumId w:val="2"/>
  </w:num>
  <w:num w:numId="17" w16cid:durableId="17146975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rovvedimento" w:val="0"/>
    <w:docVar w:name="Ricorso" w:val="0"/>
    <w:docVar w:name="Stato" w:val="1"/>
  </w:docVars>
  <w:rsids>
    <w:rsidRoot w:val="001A2E49"/>
    <w:rsid w:val="0000051F"/>
    <w:rsid w:val="00000E3D"/>
    <w:rsid w:val="00001209"/>
    <w:rsid w:val="000013A1"/>
    <w:rsid w:val="00002C43"/>
    <w:rsid w:val="00004ECB"/>
    <w:rsid w:val="0000543A"/>
    <w:rsid w:val="0000553C"/>
    <w:rsid w:val="00006737"/>
    <w:rsid w:val="00007221"/>
    <w:rsid w:val="000103E4"/>
    <w:rsid w:val="00010EC2"/>
    <w:rsid w:val="0001169D"/>
    <w:rsid w:val="00011BA3"/>
    <w:rsid w:val="00012C93"/>
    <w:rsid w:val="00012DFB"/>
    <w:rsid w:val="000136DB"/>
    <w:rsid w:val="0001372E"/>
    <w:rsid w:val="00013744"/>
    <w:rsid w:val="00013C07"/>
    <w:rsid w:val="00013FF2"/>
    <w:rsid w:val="000141D2"/>
    <w:rsid w:val="00015268"/>
    <w:rsid w:val="0001589B"/>
    <w:rsid w:val="000169D3"/>
    <w:rsid w:val="00016A64"/>
    <w:rsid w:val="00016C49"/>
    <w:rsid w:val="00017FAA"/>
    <w:rsid w:val="00022861"/>
    <w:rsid w:val="0002379B"/>
    <w:rsid w:val="00023C74"/>
    <w:rsid w:val="000247C3"/>
    <w:rsid w:val="0002491E"/>
    <w:rsid w:val="00024E59"/>
    <w:rsid w:val="000250EF"/>
    <w:rsid w:val="00025A30"/>
    <w:rsid w:val="00025E34"/>
    <w:rsid w:val="00025F27"/>
    <w:rsid w:val="00026767"/>
    <w:rsid w:val="000270F2"/>
    <w:rsid w:val="000300C0"/>
    <w:rsid w:val="00030B31"/>
    <w:rsid w:val="000310ED"/>
    <w:rsid w:val="00031A34"/>
    <w:rsid w:val="00031FBB"/>
    <w:rsid w:val="00031FBC"/>
    <w:rsid w:val="000321DD"/>
    <w:rsid w:val="000332C8"/>
    <w:rsid w:val="000346F1"/>
    <w:rsid w:val="000355C9"/>
    <w:rsid w:val="0003590A"/>
    <w:rsid w:val="000359EA"/>
    <w:rsid w:val="00035B8B"/>
    <w:rsid w:val="00036C8C"/>
    <w:rsid w:val="00037B5A"/>
    <w:rsid w:val="00041A16"/>
    <w:rsid w:val="00041D90"/>
    <w:rsid w:val="000429E4"/>
    <w:rsid w:val="00042CB8"/>
    <w:rsid w:val="00042EA6"/>
    <w:rsid w:val="00043BC9"/>
    <w:rsid w:val="00044085"/>
    <w:rsid w:val="000447E8"/>
    <w:rsid w:val="0004603F"/>
    <w:rsid w:val="00046390"/>
    <w:rsid w:val="00046847"/>
    <w:rsid w:val="00046E77"/>
    <w:rsid w:val="00050F34"/>
    <w:rsid w:val="00051C59"/>
    <w:rsid w:val="00051E22"/>
    <w:rsid w:val="00051E8F"/>
    <w:rsid w:val="0005202B"/>
    <w:rsid w:val="00053887"/>
    <w:rsid w:val="00056119"/>
    <w:rsid w:val="00056F78"/>
    <w:rsid w:val="000605ED"/>
    <w:rsid w:val="000620B6"/>
    <w:rsid w:val="00062416"/>
    <w:rsid w:val="00062BC4"/>
    <w:rsid w:val="000655B3"/>
    <w:rsid w:val="00065A39"/>
    <w:rsid w:val="00066618"/>
    <w:rsid w:val="00066E5B"/>
    <w:rsid w:val="0006793B"/>
    <w:rsid w:val="00070541"/>
    <w:rsid w:val="0007081D"/>
    <w:rsid w:val="00072E7F"/>
    <w:rsid w:val="000734BA"/>
    <w:rsid w:val="000738F1"/>
    <w:rsid w:val="00073EED"/>
    <w:rsid w:val="000740D9"/>
    <w:rsid w:val="00074316"/>
    <w:rsid w:val="000747EC"/>
    <w:rsid w:val="00074E15"/>
    <w:rsid w:val="00076461"/>
    <w:rsid w:val="00077C3D"/>
    <w:rsid w:val="00080201"/>
    <w:rsid w:val="0008152B"/>
    <w:rsid w:val="00081EDA"/>
    <w:rsid w:val="00083817"/>
    <w:rsid w:val="00083E9D"/>
    <w:rsid w:val="00083F69"/>
    <w:rsid w:val="000843C1"/>
    <w:rsid w:val="00086914"/>
    <w:rsid w:val="00087751"/>
    <w:rsid w:val="00090455"/>
    <w:rsid w:val="00091731"/>
    <w:rsid w:val="00092531"/>
    <w:rsid w:val="00092687"/>
    <w:rsid w:val="00093512"/>
    <w:rsid w:val="00094A40"/>
    <w:rsid w:val="00096B9A"/>
    <w:rsid w:val="000A05DE"/>
    <w:rsid w:val="000A086A"/>
    <w:rsid w:val="000A10AD"/>
    <w:rsid w:val="000A1A28"/>
    <w:rsid w:val="000A2201"/>
    <w:rsid w:val="000A26E9"/>
    <w:rsid w:val="000A27FD"/>
    <w:rsid w:val="000A2C6A"/>
    <w:rsid w:val="000A2EB1"/>
    <w:rsid w:val="000A36E7"/>
    <w:rsid w:val="000A490E"/>
    <w:rsid w:val="000A6DC3"/>
    <w:rsid w:val="000B1A19"/>
    <w:rsid w:val="000B1CB0"/>
    <w:rsid w:val="000B1E26"/>
    <w:rsid w:val="000B2679"/>
    <w:rsid w:val="000B3119"/>
    <w:rsid w:val="000B4FBF"/>
    <w:rsid w:val="000B53BB"/>
    <w:rsid w:val="000B554B"/>
    <w:rsid w:val="000B6298"/>
    <w:rsid w:val="000B647C"/>
    <w:rsid w:val="000B68C5"/>
    <w:rsid w:val="000B6984"/>
    <w:rsid w:val="000B6D98"/>
    <w:rsid w:val="000B6F04"/>
    <w:rsid w:val="000B6FEB"/>
    <w:rsid w:val="000B7478"/>
    <w:rsid w:val="000B7F89"/>
    <w:rsid w:val="000C0444"/>
    <w:rsid w:val="000C181A"/>
    <w:rsid w:val="000C1D9B"/>
    <w:rsid w:val="000C3A75"/>
    <w:rsid w:val="000C3DF5"/>
    <w:rsid w:val="000C4354"/>
    <w:rsid w:val="000C4D81"/>
    <w:rsid w:val="000C5042"/>
    <w:rsid w:val="000C5571"/>
    <w:rsid w:val="000C55B4"/>
    <w:rsid w:val="000C60DA"/>
    <w:rsid w:val="000C66A7"/>
    <w:rsid w:val="000C6B0C"/>
    <w:rsid w:val="000C76CD"/>
    <w:rsid w:val="000D0039"/>
    <w:rsid w:val="000D01C0"/>
    <w:rsid w:val="000D0221"/>
    <w:rsid w:val="000D0358"/>
    <w:rsid w:val="000D0A0E"/>
    <w:rsid w:val="000D0D1C"/>
    <w:rsid w:val="000D2CB6"/>
    <w:rsid w:val="000D326A"/>
    <w:rsid w:val="000D3A15"/>
    <w:rsid w:val="000D4194"/>
    <w:rsid w:val="000D43F8"/>
    <w:rsid w:val="000D5737"/>
    <w:rsid w:val="000D5AB7"/>
    <w:rsid w:val="000D6701"/>
    <w:rsid w:val="000D78EB"/>
    <w:rsid w:val="000E02A5"/>
    <w:rsid w:val="000E06F8"/>
    <w:rsid w:val="000E444E"/>
    <w:rsid w:val="000E471E"/>
    <w:rsid w:val="000E4923"/>
    <w:rsid w:val="000E5272"/>
    <w:rsid w:val="000E7866"/>
    <w:rsid w:val="000F0CC6"/>
    <w:rsid w:val="000F1A99"/>
    <w:rsid w:val="000F20A7"/>
    <w:rsid w:val="000F2EC4"/>
    <w:rsid w:val="000F2EF0"/>
    <w:rsid w:val="000F440A"/>
    <w:rsid w:val="000F518D"/>
    <w:rsid w:val="000F52BB"/>
    <w:rsid w:val="000F5938"/>
    <w:rsid w:val="000F5DC6"/>
    <w:rsid w:val="000F6171"/>
    <w:rsid w:val="000F63AD"/>
    <w:rsid w:val="000F6492"/>
    <w:rsid w:val="000F6D9D"/>
    <w:rsid w:val="000F730A"/>
    <w:rsid w:val="000F79CD"/>
    <w:rsid w:val="000F7C4C"/>
    <w:rsid w:val="00100DE9"/>
    <w:rsid w:val="001013A6"/>
    <w:rsid w:val="00101403"/>
    <w:rsid w:val="00101B01"/>
    <w:rsid w:val="00102E0D"/>
    <w:rsid w:val="00103022"/>
    <w:rsid w:val="00103871"/>
    <w:rsid w:val="00103AA8"/>
    <w:rsid w:val="0010426C"/>
    <w:rsid w:val="00104994"/>
    <w:rsid w:val="001055C6"/>
    <w:rsid w:val="0010592D"/>
    <w:rsid w:val="00105B09"/>
    <w:rsid w:val="001070A7"/>
    <w:rsid w:val="001073EF"/>
    <w:rsid w:val="001077E8"/>
    <w:rsid w:val="00110992"/>
    <w:rsid w:val="00111565"/>
    <w:rsid w:val="00111CA8"/>
    <w:rsid w:val="00112D8F"/>
    <w:rsid w:val="00113158"/>
    <w:rsid w:val="00113842"/>
    <w:rsid w:val="001142B2"/>
    <w:rsid w:val="001149B5"/>
    <w:rsid w:val="001150B9"/>
    <w:rsid w:val="00115270"/>
    <w:rsid w:val="00115485"/>
    <w:rsid w:val="00115E2F"/>
    <w:rsid w:val="00116402"/>
    <w:rsid w:val="00116EA1"/>
    <w:rsid w:val="001202FC"/>
    <w:rsid w:val="0012051C"/>
    <w:rsid w:val="001207D0"/>
    <w:rsid w:val="00120ABA"/>
    <w:rsid w:val="00120C14"/>
    <w:rsid w:val="00121CC2"/>
    <w:rsid w:val="00121E57"/>
    <w:rsid w:val="001224DF"/>
    <w:rsid w:val="00122877"/>
    <w:rsid w:val="00122B7A"/>
    <w:rsid w:val="001231D8"/>
    <w:rsid w:val="0012339D"/>
    <w:rsid w:val="00123AED"/>
    <w:rsid w:val="001242EE"/>
    <w:rsid w:val="0012513E"/>
    <w:rsid w:val="00125C50"/>
    <w:rsid w:val="00125F0B"/>
    <w:rsid w:val="001261C3"/>
    <w:rsid w:val="00126B5C"/>
    <w:rsid w:val="00126E05"/>
    <w:rsid w:val="00130689"/>
    <w:rsid w:val="00132BA1"/>
    <w:rsid w:val="00133F3D"/>
    <w:rsid w:val="001353C0"/>
    <w:rsid w:val="001354B8"/>
    <w:rsid w:val="00135786"/>
    <w:rsid w:val="00136BEA"/>
    <w:rsid w:val="00137579"/>
    <w:rsid w:val="00137A7F"/>
    <w:rsid w:val="001401F3"/>
    <w:rsid w:val="001404D0"/>
    <w:rsid w:val="00142AB6"/>
    <w:rsid w:val="00143196"/>
    <w:rsid w:val="0014380C"/>
    <w:rsid w:val="00144080"/>
    <w:rsid w:val="0014474F"/>
    <w:rsid w:val="001448E9"/>
    <w:rsid w:val="00145759"/>
    <w:rsid w:val="00145E2A"/>
    <w:rsid w:val="001501D7"/>
    <w:rsid w:val="00150DBF"/>
    <w:rsid w:val="00151780"/>
    <w:rsid w:val="00151E5E"/>
    <w:rsid w:val="001524AE"/>
    <w:rsid w:val="00152591"/>
    <w:rsid w:val="00153678"/>
    <w:rsid w:val="001539A6"/>
    <w:rsid w:val="00154477"/>
    <w:rsid w:val="001546D7"/>
    <w:rsid w:val="001549AF"/>
    <w:rsid w:val="001556D7"/>
    <w:rsid w:val="00156C67"/>
    <w:rsid w:val="0015747E"/>
    <w:rsid w:val="001605BF"/>
    <w:rsid w:val="00161B76"/>
    <w:rsid w:val="00162262"/>
    <w:rsid w:val="001623B2"/>
    <w:rsid w:val="00162B96"/>
    <w:rsid w:val="00163125"/>
    <w:rsid w:val="0016314B"/>
    <w:rsid w:val="00163C36"/>
    <w:rsid w:val="00163F01"/>
    <w:rsid w:val="001640FF"/>
    <w:rsid w:val="001643D1"/>
    <w:rsid w:val="00164AC3"/>
    <w:rsid w:val="00165DAE"/>
    <w:rsid w:val="00166023"/>
    <w:rsid w:val="001661C2"/>
    <w:rsid w:val="001664E1"/>
    <w:rsid w:val="001665A6"/>
    <w:rsid w:val="00166873"/>
    <w:rsid w:val="00166EC6"/>
    <w:rsid w:val="0016748E"/>
    <w:rsid w:val="0016763C"/>
    <w:rsid w:val="00167A36"/>
    <w:rsid w:val="00167F09"/>
    <w:rsid w:val="00167F60"/>
    <w:rsid w:val="00170B5E"/>
    <w:rsid w:val="00171331"/>
    <w:rsid w:val="00171A74"/>
    <w:rsid w:val="00171ED4"/>
    <w:rsid w:val="00172F27"/>
    <w:rsid w:val="001735CE"/>
    <w:rsid w:val="00173BB5"/>
    <w:rsid w:val="00174372"/>
    <w:rsid w:val="00174616"/>
    <w:rsid w:val="001747E5"/>
    <w:rsid w:val="00174960"/>
    <w:rsid w:val="001757B7"/>
    <w:rsid w:val="0017650F"/>
    <w:rsid w:val="00176911"/>
    <w:rsid w:val="00176B70"/>
    <w:rsid w:val="00177154"/>
    <w:rsid w:val="00177853"/>
    <w:rsid w:val="00181785"/>
    <w:rsid w:val="00182961"/>
    <w:rsid w:val="001834F5"/>
    <w:rsid w:val="0018390D"/>
    <w:rsid w:val="00183C75"/>
    <w:rsid w:val="00183D8D"/>
    <w:rsid w:val="00184708"/>
    <w:rsid w:val="00184D57"/>
    <w:rsid w:val="00185303"/>
    <w:rsid w:val="00187239"/>
    <w:rsid w:val="001879E2"/>
    <w:rsid w:val="00187E19"/>
    <w:rsid w:val="00190193"/>
    <w:rsid w:val="0019055D"/>
    <w:rsid w:val="001915CF"/>
    <w:rsid w:val="00191624"/>
    <w:rsid w:val="00191A90"/>
    <w:rsid w:val="001926AB"/>
    <w:rsid w:val="00192D33"/>
    <w:rsid w:val="00192E4B"/>
    <w:rsid w:val="00193898"/>
    <w:rsid w:val="00193E94"/>
    <w:rsid w:val="00194111"/>
    <w:rsid w:val="001945A0"/>
    <w:rsid w:val="001945EF"/>
    <w:rsid w:val="001948FE"/>
    <w:rsid w:val="00194D63"/>
    <w:rsid w:val="001958BB"/>
    <w:rsid w:val="001967E0"/>
    <w:rsid w:val="001971A0"/>
    <w:rsid w:val="00197382"/>
    <w:rsid w:val="001A00FC"/>
    <w:rsid w:val="001A0A64"/>
    <w:rsid w:val="001A16B3"/>
    <w:rsid w:val="001A2285"/>
    <w:rsid w:val="001A2907"/>
    <w:rsid w:val="001A2E49"/>
    <w:rsid w:val="001A30F9"/>
    <w:rsid w:val="001A3466"/>
    <w:rsid w:val="001A47D7"/>
    <w:rsid w:val="001A5ACB"/>
    <w:rsid w:val="001A643A"/>
    <w:rsid w:val="001A669F"/>
    <w:rsid w:val="001A679A"/>
    <w:rsid w:val="001A7FC3"/>
    <w:rsid w:val="001B0FBC"/>
    <w:rsid w:val="001B2A24"/>
    <w:rsid w:val="001B2F09"/>
    <w:rsid w:val="001B2FA9"/>
    <w:rsid w:val="001B4623"/>
    <w:rsid w:val="001B5786"/>
    <w:rsid w:val="001B61DE"/>
    <w:rsid w:val="001B621A"/>
    <w:rsid w:val="001B626D"/>
    <w:rsid w:val="001B6622"/>
    <w:rsid w:val="001B6C21"/>
    <w:rsid w:val="001B721B"/>
    <w:rsid w:val="001B7EC5"/>
    <w:rsid w:val="001C021B"/>
    <w:rsid w:val="001C0D74"/>
    <w:rsid w:val="001C1D55"/>
    <w:rsid w:val="001C2416"/>
    <w:rsid w:val="001C2AAC"/>
    <w:rsid w:val="001C3140"/>
    <w:rsid w:val="001C3D04"/>
    <w:rsid w:val="001C3F5C"/>
    <w:rsid w:val="001C5283"/>
    <w:rsid w:val="001C580D"/>
    <w:rsid w:val="001C5EE6"/>
    <w:rsid w:val="001C6F93"/>
    <w:rsid w:val="001C73FD"/>
    <w:rsid w:val="001D0A6D"/>
    <w:rsid w:val="001D14BB"/>
    <w:rsid w:val="001D1643"/>
    <w:rsid w:val="001D2D02"/>
    <w:rsid w:val="001D2F86"/>
    <w:rsid w:val="001D31FA"/>
    <w:rsid w:val="001D3883"/>
    <w:rsid w:val="001D3B9D"/>
    <w:rsid w:val="001D4946"/>
    <w:rsid w:val="001D5869"/>
    <w:rsid w:val="001D62A3"/>
    <w:rsid w:val="001D6AD1"/>
    <w:rsid w:val="001D6BFF"/>
    <w:rsid w:val="001D6E01"/>
    <w:rsid w:val="001D6F1B"/>
    <w:rsid w:val="001D7618"/>
    <w:rsid w:val="001D7F26"/>
    <w:rsid w:val="001E0F77"/>
    <w:rsid w:val="001E1133"/>
    <w:rsid w:val="001E13B6"/>
    <w:rsid w:val="001E1A03"/>
    <w:rsid w:val="001E34C0"/>
    <w:rsid w:val="001E4BDD"/>
    <w:rsid w:val="001E5B3A"/>
    <w:rsid w:val="001E5BFF"/>
    <w:rsid w:val="001E6402"/>
    <w:rsid w:val="001E73FB"/>
    <w:rsid w:val="001E7ED0"/>
    <w:rsid w:val="001F4B47"/>
    <w:rsid w:val="001F5501"/>
    <w:rsid w:val="001F5F84"/>
    <w:rsid w:val="001F687C"/>
    <w:rsid w:val="00200B92"/>
    <w:rsid w:val="00200B99"/>
    <w:rsid w:val="00200C85"/>
    <w:rsid w:val="00200F43"/>
    <w:rsid w:val="002010A2"/>
    <w:rsid w:val="0020288C"/>
    <w:rsid w:val="00202E34"/>
    <w:rsid w:val="00203504"/>
    <w:rsid w:val="00203EEA"/>
    <w:rsid w:val="002044C5"/>
    <w:rsid w:val="00204556"/>
    <w:rsid w:val="00204E95"/>
    <w:rsid w:val="002053A4"/>
    <w:rsid w:val="00205ED4"/>
    <w:rsid w:val="00206512"/>
    <w:rsid w:val="00206D1C"/>
    <w:rsid w:val="00207775"/>
    <w:rsid w:val="00211D5D"/>
    <w:rsid w:val="002130CF"/>
    <w:rsid w:val="002135C5"/>
    <w:rsid w:val="00216825"/>
    <w:rsid w:val="00216DD8"/>
    <w:rsid w:val="002171A0"/>
    <w:rsid w:val="002174B0"/>
    <w:rsid w:val="00220AC5"/>
    <w:rsid w:val="00220E62"/>
    <w:rsid w:val="00221AC0"/>
    <w:rsid w:val="00221B7B"/>
    <w:rsid w:val="00222A32"/>
    <w:rsid w:val="00223009"/>
    <w:rsid w:val="0022390C"/>
    <w:rsid w:val="00224D0B"/>
    <w:rsid w:val="00224F97"/>
    <w:rsid w:val="00225B47"/>
    <w:rsid w:val="00225CA6"/>
    <w:rsid w:val="00225E27"/>
    <w:rsid w:val="002260FA"/>
    <w:rsid w:val="0023018D"/>
    <w:rsid w:val="0023049F"/>
    <w:rsid w:val="00230CB7"/>
    <w:rsid w:val="00231452"/>
    <w:rsid w:val="00231602"/>
    <w:rsid w:val="0023161A"/>
    <w:rsid w:val="00232C97"/>
    <w:rsid w:val="00232DB6"/>
    <w:rsid w:val="00234913"/>
    <w:rsid w:val="00235422"/>
    <w:rsid w:val="002359D4"/>
    <w:rsid w:val="002361C9"/>
    <w:rsid w:val="00236345"/>
    <w:rsid w:val="00236D94"/>
    <w:rsid w:val="002373F8"/>
    <w:rsid w:val="002403D0"/>
    <w:rsid w:val="00240547"/>
    <w:rsid w:val="002407A4"/>
    <w:rsid w:val="002413EB"/>
    <w:rsid w:val="00242830"/>
    <w:rsid w:val="00242F89"/>
    <w:rsid w:val="002433B1"/>
    <w:rsid w:val="00243609"/>
    <w:rsid w:val="00243F59"/>
    <w:rsid w:val="00245CAF"/>
    <w:rsid w:val="00245E47"/>
    <w:rsid w:val="00246578"/>
    <w:rsid w:val="002470E7"/>
    <w:rsid w:val="00247B46"/>
    <w:rsid w:val="00247CCE"/>
    <w:rsid w:val="00247CE3"/>
    <w:rsid w:val="00251821"/>
    <w:rsid w:val="00252062"/>
    <w:rsid w:val="00252D37"/>
    <w:rsid w:val="0025303C"/>
    <w:rsid w:val="0025480D"/>
    <w:rsid w:val="00254BE3"/>
    <w:rsid w:val="002561CA"/>
    <w:rsid w:val="00256F50"/>
    <w:rsid w:val="00257BA4"/>
    <w:rsid w:val="00257CF1"/>
    <w:rsid w:val="0026071B"/>
    <w:rsid w:val="002607EB"/>
    <w:rsid w:val="00262BA1"/>
    <w:rsid w:val="00262F1F"/>
    <w:rsid w:val="00263569"/>
    <w:rsid w:val="00264900"/>
    <w:rsid w:val="00265570"/>
    <w:rsid w:val="00267285"/>
    <w:rsid w:val="0026744F"/>
    <w:rsid w:val="00267848"/>
    <w:rsid w:val="002678CF"/>
    <w:rsid w:val="00267D30"/>
    <w:rsid w:val="0027027D"/>
    <w:rsid w:val="00271223"/>
    <w:rsid w:val="002720A8"/>
    <w:rsid w:val="002734DF"/>
    <w:rsid w:val="002740AE"/>
    <w:rsid w:val="00274851"/>
    <w:rsid w:val="00274E9A"/>
    <w:rsid w:val="002754F6"/>
    <w:rsid w:val="002768B4"/>
    <w:rsid w:val="00276B9A"/>
    <w:rsid w:val="002772F7"/>
    <w:rsid w:val="0028139D"/>
    <w:rsid w:val="00281D9A"/>
    <w:rsid w:val="00282500"/>
    <w:rsid w:val="00282FC8"/>
    <w:rsid w:val="00283BFD"/>
    <w:rsid w:val="00284CE0"/>
    <w:rsid w:val="0028533F"/>
    <w:rsid w:val="00285BE9"/>
    <w:rsid w:val="00286E05"/>
    <w:rsid w:val="002871BE"/>
    <w:rsid w:val="00287D09"/>
    <w:rsid w:val="002913A5"/>
    <w:rsid w:val="002919C5"/>
    <w:rsid w:val="002922AE"/>
    <w:rsid w:val="00292D8E"/>
    <w:rsid w:val="0029399C"/>
    <w:rsid w:val="00293E9E"/>
    <w:rsid w:val="00294954"/>
    <w:rsid w:val="00295922"/>
    <w:rsid w:val="0029616D"/>
    <w:rsid w:val="00296210"/>
    <w:rsid w:val="0029654E"/>
    <w:rsid w:val="002965CA"/>
    <w:rsid w:val="00297329"/>
    <w:rsid w:val="00297978"/>
    <w:rsid w:val="002A2546"/>
    <w:rsid w:val="002A2CFA"/>
    <w:rsid w:val="002A2D0A"/>
    <w:rsid w:val="002A3580"/>
    <w:rsid w:val="002A41A9"/>
    <w:rsid w:val="002A4388"/>
    <w:rsid w:val="002A56BA"/>
    <w:rsid w:val="002A5D41"/>
    <w:rsid w:val="002A61AD"/>
    <w:rsid w:val="002A6265"/>
    <w:rsid w:val="002A79C7"/>
    <w:rsid w:val="002B0623"/>
    <w:rsid w:val="002B0B19"/>
    <w:rsid w:val="002B0F74"/>
    <w:rsid w:val="002B1E2F"/>
    <w:rsid w:val="002B3EA6"/>
    <w:rsid w:val="002B5279"/>
    <w:rsid w:val="002B67AF"/>
    <w:rsid w:val="002B6BE3"/>
    <w:rsid w:val="002B72A6"/>
    <w:rsid w:val="002B7D77"/>
    <w:rsid w:val="002C034F"/>
    <w:rsid w:val="002C0CAC"/>
    <w:rsid w:val="002C205B"/>
    <w:rsid w:val="002C2DB7"/>
    <w:rsid w:val="002C38D7"/>
    <w:rsid w:val="002C4D4E"/>
    <w:rsid w:val="002C4FBB"/>
    <w:rsid w:val="002C5C5B"/>
    <w:rsid w:val="002C6303"/>
    <w:rsid w:val="002C67D3"/>
    <w:rsid w:val="002C75EE"/>
    <w:rsid w:val="002C76F8"/>
    <w:rsid w:val="002C7D5E"/>
    <w:rsid w:val="002C7DF1"/>
    <w:rsid w:val="002D05AA"/>
    <w:rsid w:val="002D0760"/>
    <w:rsid w:val="002D162B"/>
    <w:rsid w:val="002D30EE"/>
    <w:rsid w:val="002D3257"/>
    <w:rsid w:val="002D3722"/>
    <w:rsid w:val="002D3E66"/>
    <w:rsid w:val="002D4747"/>
    <w:rsid w:val="002D4B3B"/>
    <w:rsid w:val="002D536F"/>
    <w:rsid w:val="002D5B39"/>
    <w:rsid w:val="002D6847"/>
    <w:rsid w:val="002D6DC2"/>
    <w:rsid w:val="002E0DC2"/>
    <w:rsid w:val="002E110F"/>
    <w:rsid w:val="002E136E"/>
    <w:rsid w:val="002E1659"/>
    <w:rsid w:val="002E1A27"/>
    <w:rsid w:val="002E1AA6"/>
    <w:rsid w:val="002E26F2"/>
    <w:rsid w:val="002E27FE"/>
    <w:rsid w:val="002E416D"/>
    <w:rsid w:val="002E4324"/>
    <w:rsid w:val="002E4652"/>
    <w:rsid w:val="002E4FEE"/>
    <w:rsid w:val="002E62E7"/>
    <w:rsid w:val="002E696F"/>
    <w:rsid w:val="002E7ABE"/>
    <w:rsid w:val="002E7C94"/>
    <w:rsid w:val="002F00F6"/>
    <w:rsid w:val="002F073B"/>
    <w:rsid w:val="002F0A7E"/>
    <w:rsid w:val="002F126E"/>
    <w:rsid w:val="002F12F1"/>
    <w:rsid w:val="002F1AA8"/>
    <w:rsid w:val="002F2EDE"/>
    <w:rsid w:val="002F40D3"/>
    <w:rsid w:val="002F4A5D"/>
    <w:rsid w:val="002F4E09"/>
    <w:rsid w:val="002F5446"/>
    <w:rsid w:val="002F54F6"/>
    <w:rsid w:val="002F5825"/>
    <w:rsid w:val="002F5A16"/>
    <w:rsid w:val="002F5D59"/>
    <w:rsid w:val="002F63C7"/>
    <w:rsid w:val="002F63E7"/>
    <w:rsid w:val="002F67F9"/>
    <w:rsid w:val="002F687F"/>
    <w:rsid w:val="002F70AD"/>
    <w:rsid w:val="002F7B4B"/>
    <w:rsid w:val="00303954"/>
    <w:rsid w:val="003039B8"/>
    <w:rsid w:val="00303EB5"/>
    <w:rsid w:val="00304F53"/>
    <w:rsid w:val="003067D4"/>
    <w:rsid w:val="00306D6E"/>
    <w:rsid w:val="00307CDB"/>
    <w:rsid w:val="00310D25"/>
    <w:rsid w:val="00311AE0"/>
    <w:rsid w:val="00311E0F"/>
    <w:rsid w:val="0031243F"/>
    <w:rsid w:val="003124DE"/>
    <w:rsid w:val="00313828"/>
    <w:rsid w:val="00314496"/>
    <w:rsid w:val="003150A3"/>
    <w:rsid w:val="003155C9"/>
    <w:rsid w:val="00315B4A"/>
    <w:rsid w:val="00316155"/>
    <w:rsid w:val="003166A8"/>
    <w:rsid w:val="0031677A"/>
    <w:rsid w:val="003174A0"/>
    <w:rsid w:val="003175ED"/>
    <w:rsid w:val="00317A33"/>
    <w:rsid w:val="00320BAB"/>
    <w:rsid w:val="003214AB"/>
    <w:rsid w:val="00321C15"/>
    <w:rsid w:val="00322E78"/>
    <w:rsid w:val="003235D2"/>
    <w:rsid w:val="003238F9"/>
    <w:rsid w:val="00323988"/>
    <w:rsid w:val="003242F2"/>
    <w:rsid w:val="003243C5"/>
    <w:rsid w:val="00324687"/>
    <w:rsid w:val="003247B7"/>
    <w:rsid w:val="00324DE8"/>
    <w:rsid w:val="0032511A"/>
    <w:rsid w:val="00327460"/>
    <w:rsid w:val="00327E27"/>
    <w:rsid w:val="003306B5"/>
    <w:rsid w:val="00331048"/>
    <w:rsid w:val="00331291"/>
    <w:rsid w:val="00331F4F"/>
    <w:rsid w:val="00332759"/>
    <w:rsid w:val="00332CE5"/>
    <w:rsid w:val="003341E6"/>
    <w:rsid w:val="00334F2E"/>
    <w:rsid w:val="00335751"/>
    <w:rsid w:val="003367AE"/>
    <w:rsid w:val="00336A78"/>
    <w:rsid w:val="00336E34"/>
    <w:rsid w:val="00340085"/>
    <w:rsid w:val="003401C4"/>
    <w:rsid w:val="003401ED"/>
    <w:rsid w:val="00340811"/>
    <w:rsid w:val="0034138B"/>
    <w:rsid w:val="00342129"/>
    <w:rsid w:val="00342D75"/>
    <w:rsid w:val="00343531"/>
    <w:rsid w:val="00343ADE"/>
    <w:rsid w:val="003451B7"/>
    <w:rsid w:val="00345E53"/>
    <w:rsid w:val="00347248"/>
    <w:rsid w:val="0034770B"/>
    <w:rsid w:val="00347ACF"/>
    <w:rsid w:val="0035051C"/>
    <w:rsid w:val="00350A09"/>
    <w:rsid w:val="00350F47"/>
    <w:rsid w:val="00351DB7"/>
    <w:rsid w:val="003539FB"/>
    <w:rsid w:val="00353F21"/>
    <w:rsid w:val="0035506E"/>
    <w:rsid w:val="003551CE"/>
    <w:rsid w:val="00355D3B"/>
    <w:rsid w:val="003564F0"/>
    <w:rsid w:val="003575CB"/>
    <w:rsid w:val="00357672"/>
    <w:rsid w:val="00357967"/>
    <w:rsid w:val="00360516"/>
    <w:rsid w:val="00360F05"/>
    <w:rsid w:val="0036151D"/>
    <w:rsid w:val="003622D0"/>
    <w:rsid w:val="003645A1"/>
    <w:rsid w:val="00364891"/>
    <w:rsid w:val="00364B90"/>
    <w:rsid w:val="00364E76"/>
    <w:rsid w:val="00365211"/>
    <w:rsid w:val="00365844"/>
    <w:rsid w:val="00365C22"/>
    <w:rsid w:val="00365CC4"/>
    <w:rsid w:val="003702B4"/>
    <w:rsid w:val="00370672"/>
    <w:rsid w:val="0037177E"/>
    <w:rsid w:val="0037191E"/>
    <w:rsid w:val="00373820"/>
    <w:rsid w:val="00373D18"/>
    <w:rsid w:val="00374003"/>
    <w:rsid w:val="0037532A"/>
    <w:rsid w:val="003757B4"/>
    <w:rsid w:val="00375B73"/>
    <w:rsid w:val="0037614E"/>
    <w:rsid w:val="0037708C"/>
    <w:rsid w:val="003776B7"/>
    <w:rsid w:val="003808B7"/>
    <w:rsid w:val="00380F7B"/>
    <w:rsid w:val="003813A5"/>
    <w:rsid w:val="003814E6"/>
    <w:rsid w:val="0038172B"/>
    <w:rsid w:val="00382EA4"/>
    <w:rsid w:val="00383B2B"/>
    <w:rsid w:val="00383F6C"/>
    <w:rsid w:val="003849B1"/>
    <w:rsid w:val="00384D07"/>
    <w:rsid w:val="00385236"/>
    <w:rsid w:val="00385445"/>
    <w:rsid w:val="00385666"/>
    <w:rsid w:val="0038628C"/>
    <w:rsid w:val="00386BAF"/>
    <w:rsid w:val="00386BBB"/>
    <w:rsid w:val="00387F37"/>
    <w:rsid w:val="003903CB"/>
    <w:rsid w:val="0039053E"/>
    <w:rsid w:val="003906D3"/>
    <w:rsid w:val="00392E3E"/>
    <w:rsid w:val="00393036"/>
    <w:rsid w:val="0039400E"/>
    <w:rsid w:val="00394832"/>
    <w:rsid w:val="00394CD9"/>
    <w:rsid w:val="003969D8"/>
    <w:rsid w:val="003A046B"/>
    <w:rsid w:val="003A23F1"/>
    <w:rsid w:val="003A2A44"/>
    <w:rsid w:val="003A2AC5"/>
    <w:rsid w:val="003A2EF7"/>
    <w:rsid w:val="003A34DF"/>
    <w:rsid w:val="003A361C"/>
    <w:rsid w:val="003A3728"/>
    <w:rsid w:val="003A3B1A"/>
    <w:rsid w:val="003A4024"/>
    <w:rsid w:val="003A4873"/>
    <w:rsid w:val="003A57EB"/>
    <w:rsid w:val="003A5953"/>
    <w:rsid w:val="003A70E1"/>
    <w:rsid w:val="003A74AF"/>
    <w:rsid w:val="003A7786"/>
    <w:rsid w:val="003B0ABC"/>
    <w:rsid w:val="003B0D42"/>
    <w:rsid w:val="003B20DA"/>
    <w:rsid w:val="003B33D5"/>
    <w:rsid w:val="003B42C4"/>
    <w:rsid w:val="003B436D"/>
    <w:rsid w:val="003B4FDA"/>
    <w:rsid w:val="003B55C9"/>
    <w:rsid w:val="003B6088"/>
    <w:rsid w:val="003B6459"/>
    <w:rsid w:val="003B7A4B"/>
    <w:rsid w:val="003B7EC4"/>
    <w:rsid w:val="003C13E2"/>
    <w:rsid w:val="003C1725"/>
    <w:rsid w:val="003C22F3"/>
    <w:rsid w:val="003C28F4"/>
    <w:rsid w:val="003C2E51"/>
    <w:rsid w:val="003C33B8"/>
    <w:rsid w:val="003C3635"/>
    <w:rsid w:val="003C39FC"/>
    <w:rsid w:val="003C3B39"/>
    <w:rsid w:val="003C3DF7"/>
    <w:rsid w:val="003C3E39"/>
    <w:rsid w:val="003C43B5"/>
    <w:rsid w:val="003C504B"/>
    <w:rsid w:val="003C51B1"/>
    <w:rsid w:val="003C6C40"/>
    <w:rsid w:val="003C7063"/>
    <w:rsid w:val="003C710C"/>
    <w:rsid w:val="003D01C6"/>
    <w:rsid w:val="003D0361"/>
    <w:rsid w:val="003D061A"/>
    <w:rsid w:val="003D1C46"/>
    <w:rsid w:val="003D20D9"/>
    <w:rsid w:val="003D3701"/>
    <w:rsid w:val="003D3A02"/>
    <w:rsid w:val="003D54FB"/>
    <w:rsid w:val="003D58B2"/>
    <w:rsid w:val="003D5C92"/>
    <w:rsid w:val="003D5F28"/>
    <w:rsid w:val="003D6241"/>
    <w:rsid w:val="003D6262"/>
    <w:rsid w:val="003E0466"/>
    <w:rsid w:val="003E0623"/>
    <w:rsid w:val="003E0C9C"/>
    <w:rsid w:val="003E0D67"/>
    <w:rsid w:val="003E11D9"/>
    <w:rsid w:val="003E1A2B"/>
    <w:rsid w:val="003E239F"/>
    <w:rsid w:val="003E2C6D"/>
    <w:rsid w:val="003E2E32"/>
    <w:rsid w:val="003E3A90"/>
    <w:rsid w:val="003E3C38"/>
    <w:rsid w:val="003E48A5"/>
    <w:rsid w:val="003E4D1A"/>
    <w:rsid w:val="003E67F1"/>
    <w:rsid w:val="003E6EEC"/>
    <w:rsid w:val="003E7D5F"/>
    <w:rsid w:val="003E7D90"/>
    <w:rsid w:val="003E7E66"/>
    <w:rsid w:val="003E7E6E"/>
    <w:rsid w:val="003F0250"/>
    <w:rsid w:val="003F0BE6"/>
    <w:rsid w:val="003F2307"/>
    <w:rsid w:val="003F29F7"/>
    <w:rsid w:val="003F2B2C"/>
    <w:rsid w:val="003F331A"/>
    <w:rsid w:val="003F3CAC"/>
    <w:rsid w:val="003F461D"/>
    <w:rsid w:val="003F4B32"/>
    <w:rsid w:val="00400E8A"/>
    <w:rsid w:val="00401D43"/>
    <w:rsid w:val="0040323C"/>
    <w:rsid w:val="00403836"/>
    <w:rsid w:val="00403E11"/>
    <w:rsid w:val="00404090"/>
    <w:rsid w:val="004040D4"/>
    <w:rsid w:val="004044BE"/>
    <w:rsid w:val="004047F5"/>
    <w:rsid w:val="0040596F"/>
    <w:rsid w:val="004062A7"/>
    <w:rsid w:val="00406BCD"/>
    <w:rsid w:val="004077EC"/>
    <w:rsid w:val="00410128"/>
    <w:rsid w:val="00411B8B"/>
    <w:rsid w:val="00413063"/>
    <w:rsid w:val="00413069"/>
    <w:rsid w:val="00414ABA"/>
    <w:rsid w:val="00414BCC"/>
    <w:rsid w:val="00415BE0"/>
    <w:rsid w:val="00416361"/>
    <w:rsid w:val="004206E0"/>
    <w:rsid w:val="00420B54"/>
    <w:rsid w:val="00421800"/>
    <w:rsid w:val="00424426"/>
    <w:rsid w:val="00424605"/>
    <w:rsid w:val="00424FA7"/>
    <w:rsid w:val="00425416"/>
    <w:rsid w:val="00425A59"/>
    <w:rsid w:val="0042674E"/>
    <w:rsid w:val="00426BBE"/>
    <w:rsid w:val="00427453"/>
    <w:rsid w:val="00427611"/>
    <w:rsid w:val="00430AD4"/>
    <w:rsid w:val="00431277"/>
    <w:rsid w:val="0043280E"/>
    <w:rsid w:val="0043299A"/>
    <w:rsid w:val="004331F1"/>
    <w:rsid w:val="00433622"/>
    <w:rsid w:val="004344AE"/>
    <w:rsid w:val="00434C3A"/>
    <w:rsid w:val="00436B75"/>
    <w:rsid w:val="0043785F"/>
    <w:rsid w:val="0044002D"/>
    <w:rsid w:val="004407B4"/>
    <w:rsid w:val="00442496"/>
    <w:rsid w:val="004424A2"/>
    <w:rsid w:val="00442954"/>
    <w:rsid w:val="00443431"/>
    <w:rsid w:val="0044385E"/>
    <w:rsid w:val="00443EF5"/>
    <w:rsid w:val="004441B5"/>
    <w:rsid w:val="00444290"/>
    <w:rsid w:val="00444BD5"/>
    <w:rsid w:val="00444D78"/>
    <w:rsid w:val="00445317"/>
    <w:rsid w:val="00445517"/>
    <w:rsid w:val="00445720"/>
    <w:rsid w:val="0044582A"/>
    <w:rsid w:val="00445DE6"/>
    <w:rsid w:val="00446896"/>
    <w:rsid w:val="0044786B"/>
    <w:rsid w:val="00447C9D"/>
    <w:rsid w:val="00450200"/>
    <w:rsid w:val="00450883"/>
    <w:rsid w:val="004513E1"/>
    <w:rsid w:val="00451EED"/>
    <w:rsid w:val="004522FF"/>
    <w:rsid w:val="00452732"/>
    <w:rsid w:val="00452D0D"/>
    <w:rsid w:val="00452F42"/>
    <w:rsid w:val="004536CE"/>
    <w:rsid w:val="00453B09"/>
    <w:rsid w:val="00453E4A"/>
    <w:rsid w:val="004552D3"/>
    <w:rsid w:val="004560D9"/>
    <w:rsid w:val="004565AB"/>
    <w:rsid w:val="00457EA4"/>
    <w:rsid w:val="00460775"/>
    <w:rsid w:val="00460791"/>
    <w:rsid w:val="00460BBF"/>
    <w:rsid w:val="00460D9A"/>
    <w:rsid w:val="00461789"/>
    <w:rsid w:val="00461A70"/>
    <w:rsid w:val="00461B9E"/>
    <w:rsid w:val="004622C6"/>
    <w:rsid w:val="00462674"/>
    <w:rsid w:val="004630BE"/>
    <w:rsid w:val="00463C48"/>
    <w:rsid w:val="00464008"/>
    <w:rsid w:val="00464E65"/>
    <w:rsid w:val="0046547D"/>
    <w:rsid w:val="004657D9"/>
    <w:rsid w:val="00466343"/>
    <w:rsid w:val="00466EEE"/>
    <w:rsid w:val="00467EB3"/>
    <w:rsid w:val="0047066C"/>
    <w:rsid w:val="00472F89"/>
    <w:rsid w:val="0047346E"/>
    <w:rsid w:val="00474BD6"/>
    <w:rsid w:val="00474E62"/>
    <w:rsid w:val="0047547A"/>
    <w:rsid w:val="00475C0A"/>
    <w:rsid w:val="00475F13"/>
    <w:rsid w:val="00476C99"/>
    <w:rsid w:val="004778C6"/>
    <w:rsid w:val="004802E6"/>
    <w:rsid w:val="00480685"/>
    <w:rsid w:val="00481110"/>
    <w:rsid w:val="00481800"/>
    <w:rsid w:val="00481E49"/>
    <w:rsid w:val="004822DB"/>
    <w:rsid w:val="00483718"/>
    <w:rsid w:val="00483ADA"/>
    <w:rsid w:val="00484348"/>
    <w:rsid w:val="00485257"/>
    <w:rsid w:val="0048536A"/>
    <w:rsid w:val="004854F8"/>
    <w:rsid w:val="004855A7"/>
    <w:rsid w:val="00485D97"/>
    <w:rsid w:val="00485F01"/>
    <w:rsid w:val="004863AC"/>
    <w:rsid w:val="00486AE8"/>
    <w:rsid w:val="00486F77"/>
    <w:rsid w:val="00487041"/>
    <w:rsid w:val="00487C92"/>
    <w:rsid w:val="00492187"/>
    <w:rsid w:val="00492BB3"/>
    <w:rsid w:val="00492FEE"/>
    <w:rsid w:val="00493421"/>
    <w:rsid w:val="004946F9"/>
    <w:rsid w:val="00494932"/>
    <w:rsid w:val="004958FD"/>
    <w:rsid w:val="00495F07"/>
    <w:rsid w:val="00496A92"/>
    <w:rsid w:val="00497D1A"/>
    <w:rsid w:val="00497E50"/>
    <w:rsid w:val="004A0322"/>
    <w:rsid w:val="004A0920"/>
    <w:rsid w:val="004A155D"/>
    <w:rsid w:val="004A31F6"/>
    <w:rsid w:val="004A3DEA"/>
    <w:rsid w:val="004A6DFA"/>
    <w:rsid w:val="004A6EB0"/>
    <w:rsid w:val="004A7C77"/>
    <w:rsid w:val="004A7FD0"/>
    <w:rsid w:val="004B1886"/>
    <w:rsid w:val="004B1CF4"/>
    <w:rsid w:val="004B2B39"/>
    <w:rsid w:val="004B32CA"/>
    <w:rsid w:val="004B3FE0"/>
    <w:rsid w:val="004B42C2"/>
    <w:rsid w:val="004B4BE7"/>
    <w:rsid w:val="004B62E4"/>
    <w:rsid w:val="004B7160"/>
    <w:rsid w:val="004B75F4"/>
    <w:rsid w:val="004B75FC"/>
    <w:rsid w:val="004B79A6"/>
    <w:rsid w:val="004C0103"/>
    <w:rsid w:val="004C051F"/>
    <w:rsid w:val="004C0BE2"/>
    <w:rsid w:val="004C0F08"/>
    <w:rsid w:val="004C16BE"/>
    <w:rsid w:val="004C1D84"/>
    <w:rsid w:val="004C2395"/>
    <w:rsid w:val="004C2562"/>
    <w:rsid w:val="004C2DBF"/>
    <w:rsid w:val="004C3FE2"/>
    <w:rsid w:val="004C43C8"/>
    <w:rsid w:val="004C45A6"/>
    <w:rsid w:val="004C4BFC"/>
    <w:rsid w:val="004C4F1A"/>
    <w:rsid w:val="004C659B"/>
    <w:rsid w:val="004C6D90"/>
    <w:rsid w:val="004C7557"/>
    <w:rsid w:val="004D0056"/>
    <w:rsid w:val="004D0431"/>
    <w:rsid w:val="004D05C7"/>
    <w:rsid w:val="004D0A83"/>
    <w:rsid w:val="004D0D2C"/>
    <w:rsid w:val="004D1DE9"/>
    <w:rsid w:val="004D20ED"/>
    <w:rsid w:val="004D23C7"/>
    <w:rsid w:val="004D23F8"/>
    <w:rsid w:val="004D25AE"/>
    <w:rsid w:val="004D2990"/>
    <w:rsid w:val="004D3543"/>
    <w:rsid w:val="004D420F"/>
    <w:rsid w:val="004D45C5"/>
    <w:rsid w:val="004D5ECB"/>
    <w:rsid w:val="004D60CC"/>
    <w:rsid w:val="004D6141"/>
    <w:rsid w:val="004D64AF"/>
    <w:rsid w:val="004D6B2D"/>
    <w:rsid w:val="004D742A"/>
    <w:rsid w:val="004D7B40"/>
    <w:rsid w:val="004D7EC7"/>
    <w:rsid w:val="004E0646"/>
    <w:rsid w:val="004E1FA7"/>
    <w:rsid w:val="004E209A"/>
    <w:rsid w:val="004E2934"/>
    <w:rsid w:val="004E45C4"/>
    <w:rsid w:val="004E5A9E"/>
    <w:rsid w:val="004E6203"/>
    <w:rsid w:val="004E65D4"/>
    <w:rsid w:val="004E69E2"/>
    <w:rsid w:val="004E77DF"/>
    <w:rsid w:val="004E7AD4"/>
    <w:rsid w:val="004E7C78"/>
    <w:rsid w:val="004F18F2"/>
    <w:rsid w:val="004F190D"/>
    <w:rsid w:val="004F20DF"/>
    <w:rsid w:val="004F2D53"/>
    <w:rsid w:val="004F39D6"/>
    <w:rsid w:val="004F3D13"/>
    <w:rsid w:val="004F444C"/>
    <w:rsid w:val="004F446E"/>
    <w:rsid w:val="004F540F"/>
    <w:rsid w:val="004F5B59"/>
    <w:rsid w:val="004F680F"/>
    <w:rsid w:val="004F682C"/>
    <w:rsid w:val="004F6DCB"/>
    <w:rsid w:val="004F7623"/>
    <w:rsid w:val="004F7A5D"/>
    <w:rsid w:val="005000B2"/>
    <w:rsid w:val="00500CFB"/>
    <w:rsid w:val="005012B4"/>
    <w:rsid w:val="005014E4"/>
    <w:rsid w:val="00501D95"/>
    <w:rsid w:val="005024F0"/>
    <w:rsid w:val="00503998"/>
    <w:rsid w:val="005045F6"/>
    <w:rsid w:val="005048CB"/>
    <w:rsid w:val="005051B5"/>
    <w:rsid w:val="005054AF"/>
    <w:rsid w:val="005061F4"/>
    <w:rsid w:val="00506887"/>
    <w:rsid w:val="0050692F"/>
    <w:rsid w:val="00510C9B"/>
    <w:rsid w:val="005113DC"/>
    <w:rsid w:val="005123B8"/>
    <w:rsid w:val="00512443"/>
    <w:rsid w:val="00512D8C"/>
    <w:rsid w:val="0051332B"/>
    <w:rsid w:val="00513754"/>
    <w:rsid w:val="0051487C"/>
    <w:rsid w:val="00514EBD"/>
    <w:rsid w:val="00515708"/>
    <w:rsid w:val="00515B59"/>
    <w:rsid w:val="00517C74"/>
    <w:rsid w:val="0052130F"/>
    <w:rsid w:val="0052131D"/>
    <w:rsid w:val="00522107"/>
    <w:rsid w:val="00522883"/>
    <w:rsid w:val="00522C3F"/>
    <w:rsid w:val="0052320A"/>
    <w:rsid w:val="005237ED"/>
    <w:rsid w:val="0052431B"/>
    <w:rsid w:val="005256AC"/>
    <w:rsid w:val="00525FFB"/>
    <w:rsid w:val="00526F13"/>
    <w:rsid w:val="0053027D"/>
    <w:rsid w:val="00530344"/>
    <w:rsid w:val="005304E5"/>
    <w:rsid w:val="00531093"/>
    <w:rsid w:val="005311DD"/>
    <w:rsid w:val="0053175F"/>
    <w:rsid w:val="00532293"/>
    <w:rsid w:val="005326BF"/>
    <w:rsid w:val="005327FF"/>
    <w:rsid w:val="0053281F"/>
    <w:rsid w:val="005363BE"/>
    <w:rsid w:val="00536453"/>
    <w:rsid w:val="005366F1"/>
    <w:rsid w:val="00537767"/>
    <w:rsid w:val="005405A5"/>
    <w:rsid w:val="00540CD9"/>
    <w:rsid w:val="00541EA0"/>
    <w:rsid w:val="00542AE9"/>
    <w:rsid w:val="00543B81"/>
    <w:rsid w:val="0054418C"/>
    <w:rsid w:val="005454AB"/>
    <w:rsid w:val="00545EE6"/>
    <w:rsid w:val="0054643A"/>
    <w:rsid w:val="00546F27"/>
    <w:rsid w:val="005476C6"/>
    <w:rsid w:val="00550DAD"/>
    <w:rsid w:val="005516F5"/>
    <w:rsid w:val="00551C2B"/>
    <w:rsid w:val="00552BFE"/>
    <w:rsid w:val="00552CA4"/>
    <w:rsid w:val="005534CB"/>
    <w:rsid w:val="00554FF2"/>
    <w:rsid w:val="0055511F"/>
    <w:rsid w:val="005558F4"/>
    <w:rsid w:val="00555E63"/>
    <w:rsid w:val="00556508"/>
    <w:rsid w:val="00556BD1"/>
    <w:rsid w:val="00557428"/>
    <w:rsid w:val="00557938"/>
    <w:rsid w:val="0055793A"/>
    <w:rsid w:val="005579E1"/>
    <w:rsid w:val="005602E2"/>
    <w:rsid w:val="00560782"/>
    <w:rsid w:val="005627F7"/>
    <w:rsid w:val="00562D7B"/>
    <w:rsid w:val="00564671"/>
    <w:rsid w:val="00565D40"/>
    <w:rsid w:val="005669A1"/>
    <w:rsid w:val="00567795"/>
    <w:rsid w:val="00570B73"/>
    <w:rsid w:val="00570D64"/>
    <w:rsid w:val="00570F68"/>
    <w:rsid w:val="005712CC"/>
    <w:rsid w:val="0057226F"/>
    <w:rsid w:val="005723A6"/>
    <w:rsid w:val="005729EE"/>
    <w:rsid w:val="00574BDA"/>
    <w:rsid w:val="00574F60"/>
    <w:rsid w:val="00574F75"/>
    <w:rsid w:val="00576AB8"/>
    <w:rsid w:val="00580543"/>
    <w:rsid w:val="0058262B"/>
    <w:rsid w:val="00583112"/>
    <w:rsid w:val="00583501"/>
    <w:rsid w:val="005835EF"/>
    <w:rsid w:val="00583675"/>
    <w:rsid w:val="005841E7"/>
    <w:rsid w:val="005842B5"/>
    <w:rsid w:val="00585A2A"/>
    <w:rsid w:val="00586211"/>
    <w:rsid w:val="00586523"/>
    <w:rsid w:val="00586966"/>
    <w:rsid w:val="00586CB4"/>
    <w:rsid w:val="0058796D"/>
    <w:rsid w:val="00590426"/>
    <w:rsid w:val="00591294"/>
    <w:rsid w:val="005922AD"/>
    <w:rsid w:val="00592327"/>
    <w:rsid w:val="00592A80"/>
    <w:rsid w:val="00593915"/>
    <w:rsid w:val="00594227"/>
    <w:rsid w:val="0059484E"/>
    <w:rsid w:val="00594A63"/>
    <w:rsid w:val="005950D8"/>
    <w:rsid w:val="005951DC"/>
    <w:rsid w:val="00596F21"/>
    <w:rsid w:val="00597B56"/>
    <w:rsid w:val="005A07DF"/>
    <w:rsid w:val="005A0CA9"/>
    <w:rsid w:val="005A1273"/>
    <w:rsid w:val="005A2A14"/>
    <w:rsid w:val="005A4229"/>
    <w:rsid w:val="005A4539"/>
    <w:rsid w:val="005A4F34"/>
    <w:rsid w:val="005A5236"/>
    <w:rsid w:val="005A614B"/>
    <w:rsid w:val="005A79C4"/>
    <w:rsid w:val="005B00BA"/>
    <w:rsid w:val="005B0C4E"/>
    <w:rsid w:val="005B1258"/>
    <w:rsid w:val="005B126F"/>
    <w:rsid w:val="005B24C0"/>
    <w:rsid w:val="005B2E3F"/>
    <w:rsid w:val="005B350B"/>
    <w:rsid w:val="005B3AF0"/>
    <w:rsid w:val="005B3D9F"/>
    <w:rsid w:val="005B3DCF"/>
    <w:rsid w:val="005B4910"/>
    <w:rsid w:val="005B4BAA"/>
    <w:rsid w:val="005B5354"/>
    <w:rsid w:val="005B572B"/>
    <w:rsid w:val="005B5907"/>
    <w:rsid w:val="005B61A3"/>
    <w:rsid w:val="005B6640"/>
    <w:rsid w:val="005B6C0A"/>
    <w:rsid w:val="005B703C"/>
    <w:rsid w:val="005B76F8"/>
    <w:rsid w:val="005B78C8"/>
    <w:rsid w:val="005B7C07"/>
    <w:rsid w:val="005C0E84"/>
    <w:rsid w:val="005C3B56"/>
    <w:rsid w:val="005C4DF7"/>
    <w:rsid w:val="005C52C1"/>
    <w:rsid w:val="005C5A8E"/>
    <w:rsid w:val="005C649A"/>
    <w:rsid w:val="005C6E0A"/>
    <w:rsid w:val="005C6F06"/>
    <w:rsid w:val="005C782D"/>
    <w:rsid w:val="005C79B2"/>
    <w:rsid w:val="005C7A28"/>
    <w:rsid w:val="005C7A4F"/>
    <w:rsid w:val="005C7CB0"/>
    <w:rsid w:val="005C7D1A"/>
    <w:rsid w:val="005C7DCA"/>
    <w:rsid w:val="005D101D"/>
    <w:rsid w:val="005D1476"/>
    <w:rsid w:val="005D168D"/>
    <w:rsid w:val="005D1A13"/>
    <w:rsid w:val="005D348D"/>
    <w:rsid w:val="005D3AE7"/>
    <w:rsid w:val="005D3D31"/>
    <w:rsid w:val="005D4168"/>
    <w:rsid w:val="005D621F"/>
    <w:rsid w:val="005D7256"/>
    <w:rsid w:val="005D787B"/>
    <w:rsid w:val="005E10F0"/>
    <w:rsid w:val="005E15D0"/>
    <w:rsid w:val="005E1D93"/>
    <w:rsid w:val="005E2364"/>
    <w:rsid w:val="005E26CD"/>
    <w:rsid w:val="005E2842"/>
    <w:rsid w:val="005E3541"/>
    <w:rsid w:val="005E51BD"/>
    <w:rsid w:val="005E6203"/>
    <w:rsid w:val="005E6AF6"/>
    <w:rsid w:val="005F0167"/>
    <w:rsid w:val="005F0AAC"/>
    <w:rsid w:val="005F0C35"/>
    <w:rsid w:val="005F0F75"/>
    <w:rsid w:val="005F142B"/>
    <w:rsid w:val="005F2251"/>
    <w:rsid w:val="005F29A8"/>
    <w:rsid w:val="005F2D3D"/>
    <w:rsid w:val="005F3688"/>
    <w:rsid w:val="005F37A9"/>
    <w:rsid w:val="005F3DEA"/>
    <w:rsid w:val="005F547B"/>
    <w:rsid w:val="005F562A"/>
    <w:rsid w:val="005F5839"/>
    <w:rsid w:val="005F5F74"/>
    <w:rsid w:val="005F62D0"/>
    <w:rsid w:val="005F642A"/>
    <w:rsid w:val="005F6FBC"/>
    <w:rsid w:val="00600013"/>
    <w:rsid w:val="006019C1"/>
    <w:rsid w:val="006021C7"/>
    <w:rsid w:val="00602B78"/>
    <w:rsid w:val="00602FBE"/>
    <w:rsid w:val="006032CE"/>
    <w:rsid w:val="00603AF7"/>
    <w:rsid w:val="006046A0"/>
    <w:rsid w:val="006046FA"/>
    <w:rsid w:val="00605759"/>
    <w:rsid w:val="00606843"/>
    <w:rsid w:val="00610034"/>
    <w:rsid w:val="006108BF"/>
    <w:rsid w:val="00610B7C"/>
    <w:rsid w:val="00611A9A"/>
    <w:rsid w:val="00611BC8"/>
    <w:rsid w:val="00612AF8"/>
    <w:rsid w:val="00612EFA"/>
    <w:rsid w:val="0061335F"/>
    <w:rsid w:val="006140A0"/>
    <w:rsid w:val="00614B15"/>
    <w:rsid w:val="0061531A"/>
    <w:rsid w:val="00615B6B"/>
    <w:rsid w:val="00616666"/>
    <w:rsid w:val="00616C46"/>
    <w:rsid w:val="006173FC"/>
    <w:rsid w:val="00617B2F"/>
    <w:rsid w:val="00617FEC"/>
    <w:rsid w:val="00620210"/>
    <w:rsid w:val="00620803"/>
    <w:rsid w:val="00620944"/>
    <w:rsid w:val="0062196C"/>
    <w:rsid w:val="00622589"/>
    <w:rsid w:val="00623457"/>
    <w:rsid w:val="006234F6"/>
    <w:rsid w:val="00624149"/>
    <w:rsid w:val="006241F1"/>
    <w:rsid w:val="00624338"/>
    <w:rsid w:val="006248EF"/>
    <w:rsid w:val="00624BB8"/>
    <w:rsid w:val="00624CB4"/>
    <w:rsid w:val="006251ED"/>
    <w:rsid w:val="00625EF7"/>
    <w:rsid w:val="006261B3"/>
    <w:rsid w:val="006264F6"/>
    <w:rsid w:val="00626562"/>
    <w:rsid w:val="006275E4"/>
    <w:rsid w:val="00627DC0"/>
    <w:rsid w:val="00630D80"/>
    <w:rsid w:val="00631401"/>
    <w:rsid w:val="006316E8"/>
    <w:rsid w:val="00631982"/>
    <w:rsid w:val="00632B84"/>
    <w:rsid w:val="006333FC"/>
    <w:rsid w:val="006336CB"/>
    <w:rsid w:val="00634FF4"/>
    <w:rsid w:val="00635718"/>
    <w:rsid w:val="006366F3"/>
    <w:rsid w:val="00636A9C"/>
    <w:rsid w:val="00637140"/>
    <w:rsid w:val="0064101F"/>
    <w:rsid w:val="0064108C"/>
    <w:rsid w:val="0064117C"/>
    <w:rsid w:val="00642595"/>
    <w:rsid w:val="00642819"/>
    <w:rsid w:val="0064424A"/>
    <w:rsid w:val="00644362"/>
    <w:rsid w:val="006444F9"/>
    <w:rsid w:val="00644B89"/>
    <w:rsid w:val="006465E1"/>
    <w:rsid w:val="00646635"/>
    <w:rsid w:val="00647A12"/>
    <w:rsid w:val="00650F16"/>
    <w:rsid w:val="00651313"/>
    <w:rsid w:val="0065281C"/>
    <w:rsid w:val="00652FAD"/>
    <w:rsid w:val="0065304E"/>
    <w:rsid w:val="0065308C"/>
    <w:rsid w:val="0065343A"/>
    <w:rsid w:val="00653797"/>
    <w:rsid w:val="0065388D"/>
    <w:rsid w:val="0065542E"/>
    <w:rsid w:val="006572C3"/>
    <w:rsid w:val="006577BE"/>
    <w:rsid w:val="00657B8C"/>
    <w:rsid w:val="0066165F"/>
    <w:rsid w:val="00661E65"/>
    <w:rsid w:val="00661FEF"/>
    <w:rsid w:val="00661FFA"/>
    <w:rsid w:val="006626C8"/>
    <w:rsid w:val="006630EF"/>
    <w:rsid w:val="00663CD3"/>
    <w:rsid w:val="0066449D"/>
    <w:rsid w:val="00664D13"/>
    <w:rsid w:val="006655DC"/>
    <w:rsid w:val="00665B01"/>
    <w:rsid w:val="00665D6E"/>
    <w:rsid w:val="00665EBA"/>
    <w:rsid w:val="0066663F"/>
    <w:rsid w:val="006669D7"/>
    <w:rsid w:val="00666DAE"/>
    <w:rsid w:val="00667869"/>
    <w:rsid w:val="006705EE"/>
    <w:rsid w:val="006708F9"/>
    <w:rsid w:val="00671470"/>
    <w:rsid w:val="006714C7"/>
    <w:rsid w:val="00671916"/>
    <w:rsid w:val="00671D14"/>
    <w:rsid w:val="00673220"/>
    <w:rsid w:val="0067378F"/>
    <w:rsid w:val="00673F0B"/>
    <w:rsid w:val="00674E12"/>
    <w:rsid w:val="00675198"/>
    <w:rsid w:val="006766FB"/>
    <w:rsid w:val="00676D02"/>
    <w:rsid w:val="00676E37"/>
    <w:rsid w:val="006776C9"/>
    <w:rsid w:val="00677CD1"/>
    <w:rsid w:val="0068020C"/>
    <w:rsid w:val="00680C1B"/>
    <w:rsid w:val="00681599"/>
    <w:rsid w:val="00681713"/>
    <w:rsid w:val="0068204B"/>
    <w:rsid w:val="006825E6"/>
    <w:rsid w:val="00682CB9"/>
    <w:rsid w:val="0068365C"/>
    <w:rsid w:val="00685A5E"/>
    <w:rsid w:val="00686063"/>
    <w:rsid w:val="006860D4"/>
    <w:rsid w:val="00686C79"/>
    <w:rsid w:val="006874D8"/>
    <w:rsid w:val="00687FF5"/>
    <w:rsid w:val="00690125"/>
    <w:rsid w:val="00690AC7"/>
    <w:rsid w:val="00692962"/>
    <w:rsid w:val="00692988"/>
    <w:rsid w:val="006931CE"/>
    <w:rsid w:val="00693F22"/>
    <w:rsid w:val="00693F37"/>
    <w:rsid w:val="00694D59"/>
    <w:rsid w:val="00696760"/>
    <w:rsid w:val="00696A04"/>
    <w:rsid w:val="00696C5F"/>
    <w:rsid w:val="006975D4"/>
    <w:rsid w:val="00697941"/>
    <w:rsid w:val="006A0400"/>
    <w:rsid w:val="006A21D8"/>
    <w:rsid w:val="006A21DF"/>
    <w:rsid w:val="006A27FB"/>
    <w:rsid w:val="006A2B4F"/>
    <w:rsid w:val="006A3099"/>
    <w:rsid w:val="006A35FE"/>
    <w:rsid w:val="006A3859"/>
    <w:rsid w:val="006A3DFF"/>
    <w:rsid w:val="006A5103"/>
    <w:rsid w:val="006A568F"/>
    <w:rsid w:val="006A56BB"/>
    <w:rsid w:val="006A5B93"/>
    <w:rsid w:val="006A642F"/>
    <w:rsid w:val="006A7904"/>
    <w:rsid w:val="006A7A3D"/>
    <w:rsid w:val="006A7B4F"/>
    <w:rsid w:val="006B08DE"/>
    <w:rsid w:val="006B1381"/>
    <w:rsid w:val="006B2A7C"/>
    <w:rsid w:val="006B3106"/>
    <w:rsid w:val="006B3A52"/>
    <w:rsid w:val="006B41D7"/>
    <w:rsid w:val="006B5BC9"/>
    <w:rsid w:val="006B6A46"/>
    <w:rsid w:val="006B7776"/>
    <w:rsid w:val="006B7953"/>
    <w:rsid w:val="006C0841"/>
    <w:rsid w:val="006C0CD7"/>
    <w:rsid w:val="006C1C9D"/>
    <w:rsid w:val="006C1D74"/>
    <w:rsid w:val="006C1DEA"/>
    <w:rsid w:val="006C36B7"/>
    <w:rsid w:val="006C4627"/>
    <w:rsid w:val="006C5740"/>
    <w:rsid w:val="006C5E8B"/>
    <w:rsid w:val="006C6058"/>
    <w:rsid w:val="006C66F4"/>
    <w:rsid w:val="006C7444"/>
    <w:rsid w:val="006C78A4"/>
    <w:rsid w:val="006D01F0"/>
    <w:rsid w:val="006D0B98"/>
    <w:rsid w:val="006D0E10"/>
    <w:rsid w:val="006D1113"/>
    <w:rsid w:val="006D1CAE"/>
    <w:rsid w:val="006D3515"/>
    <w:rsid w:val="006D36A8"/>
    <w:rsid w:val="006D3E22"/>
    <w:rsid w:val="006D41F2"/>
    <w:rsid w:val="006D484D"/>
    <w:rsid w:val="006D4AD5"/>
    <w:rsid w:val="006D519F"/>
    <w:rsid w:val="006D5D1B"/>
    <w:rsid w:val="006D665B"/>
    <w:rsid w:val="006D69C6"/>
    <w:rsid w:val="006D7728"/>
    <w:rsid w:val="006D79B1"/>
    <w:rsid w:val="006E02CA"/>
    <w:rsid w:val="006E26C8"/>
    <w:rsid w:val="006E27D4"/>
    <w:rsid w:val="006E2FBA"/>
    <w:rsid w:val="006E33AE"/>
    <w:rsid w:val="006E3E48"/>
    <w:rsid w:val="006E5107"/>
    <w:rsid w:val="006E5541"/>
    <w:rsid w:val="006E5FB4"/>
    <w:rsid w:val="006E6BDF"/>
    <w:rsid w:val="006F0706"/>
    <w:rsid w:val="006F1BBB"/>
    <w:rsid w:val="006F1D67"/>
    <w:rsid w:val="006F2648"/>
    <w:rsid w:val="006F3472"/>
    <w:rsid w:val="006F3665"/>
    <w:rsid w:val="006F3CC0"/>
    <w:rsid w:val="006F3E45"/>
    <w:rsid w:val="006F4C9A"/>
    <w:rsid w:val="006F5A68"/>
    <w:rsid w:val="006F5E84"/>
    <w:rsid w:val="006F6410"/>
    <w:rsid w:val="006F767F"/>
    <w:rsid w:val="00700028"/>
    <w:rsid w:val="00700069"/>
    <w:rsid w:val="00700A12"/>
    <w:rsid w:val="00700D22"/>
    <w:rsid w:val="00701391"/>
    <w:rsid w:val="00701B92"/>
    <w:rsid w:val="00701D72"/>
    <w:rsid w:val="00705D4B"/>
    <w:rsid w:val="007072CA"/>
    <w:rsid w:val="00707640"/>
    <w:rsid w:val="007105E3"/>
    <w:rsid w:val="00711074"/>
    <w:rsid w:val="00712E7F"/>
    <w:rsid w:val="0071353D"/>
    <w:rsid w:val="00713BCA"/>
    <w:rsid w:val="00713F61"/>
    <w:rsid w:val="00714000"/>
    <w:rsid w:val="00716B9B"/>
    <w:rsid w:val="00717B5B"/>
    <w:rsid w:val="00717D8F"/>
    <w:rsid w:val="007211A8"/>
    <w:rsid w:val="007230E4"/>
    <w:rsid w:val="00723294"/>
    <w:rsid w:val="007235F2"/>
    <w:rsid w:val="007248ED"/>
    <w:rsid w:val="007250FA"/>
    <w:rsid w:val="00725DDA"/>
    <w:rsid w:val="00726148"/>
    <w:rsid w:val="007265E3"/>
    <w:rsid w:val="00730463"/>
    <w:rsid w:val="0073126B"/>
    <w:rsid w:val="007335B7"/>
    <w:rsid w:val="00733858"/>
    <w:rsid w:val="00734162"/>
    <w:rsid w:val="00734E42"/>
    <w:rsid w:val="007350AE"/>
    <w:rsid w:val="00735210"/>
    <w:rsid w:val="00735E90"/>
    <w:rsid w:val="00736F3D"/>
    <w:rsid w:val="007407D1"/>
    <w:rsid w:val="00740DC0"/>
    <w:rsid w:val="00741B68"/>
    <w:rsid w:val="0074219B"/>
    <w:rsid w:val="00742722"/>
    <w:rsid w:val="00742B85"/>
    <w:rsid w:val="00743477"/>
    <w:rsid w:val="007436B1"/>
    <w:rsid w:val="007436FE"/>
    <w:rsid w:val="00744872"/>
    <w:rsid w:val="00745161"/>
    <w:rsid w:val="007467F5"/>
    <w:rsid w:val="00746B21"/>
    <w:rsid w:val="00747624"/>
    <w:rsid w:val="0074765D"/>
    <w:rsid w:val="007478E0"/>
    <w:rsid w:val="00751EBE"/>
    <w:rsid w:val="00751EF9"/>
    <w:rsid w:val="007545AD"/>
    <w:rsid w:val="007566D9"/>
    <w:rsid w:val="00757F75"/>
    <w:rsid w:val="00760C6D"/>
    <w:rsid w:val="00762B30"/>
    <w:rsid w:val="00763FDB"/>
    <w:rsid w:val="00764248"/>
    <w:rsid w:val="00764B46"/>
    <w:rsid w:val="00764BF5"/>
    <w:rsid w:val="0076587F"/>
    <w:rsid w:val="00765C62"/>
    <w:rsid w:val="00765E8C"/>
    <w:rsid w:val="00766470"/>
    <w:rsid w:val="007664F9"/>
    <w:rsid w:val="007667F5"/>
    <w:rsid w:val="00766BF7"/>
    <w:rsid w:val="00772963"/>
    <w:rsid w:val="00773145"/>
    <w:rsid w:val="007734AF"/>
    <w:rsid w:val="00774F56"/>
    <w:rsid w:val="00775DD8"/>
    <w:rsid w:val="0077642A"/>
    <w:rsid w:val="007771ED"/>
    <w:rsid w:val="007776F4"/>
    <w:rsid w:val="0078092D"/>
    <w:rsid w:val="007811BB"/>
    <w:rsid w:val="007812B5"/>
    <w:rsid w:val="007812FE"/>
    <w:rsid w:val="007816E0"/>
    <w:rsid w:val="007817CE"/>
    <w:rsid w:val="00781AEB"/>
    <w:rsid w:val="00781C73"/>
    <w:rsid w:val="007822BB"/>
    <w:rsid w:val="0078270F"/>
    <w:rsid w:val="00783017"/>
    <w:rsid w:val="00783280"/>
    <w:rsid w:val="007839B5"/>
    <w:rsid w:val="00785626"/>
    <w:rsid w:val="0078585C"/>
    <w:rsid w:val="00785DE9"/>
    <w:rsid w:val="00786A73"/>
    <w:rsid w:val="00787362"/>
    <w:rsid w:val="00787819"/>
    <w:rsid w:val="00787DE7"/>
    <w:rsid w:val="00790759"/>
    <w:rsid w:val="00791202"/>
    <w:rsid w:val="0079246B"/>
    <w:rsid w:val="00792F58"/>
    <w:rsid w:val="0079445A"/>
    <w:rsid w:val="00794555"/>
    <w:rsid w:val="00795344"/>
    <w:rsid w:val="007957DD"/>
    <w:rsid w:val="00795E93"/>
    <w:rsid w:val="007A07C0"/>
    <w:rsid w:val="007A10E5"/>
    <w:rsid w:val="007A1E09"/>
    <w:rsid w:val="007A295D"/>
    <w:rsid w:val="007A2A48"/>
    <w:rsid w:val="007A2BBA"/>
    <w:rsid w:val="007A3015"/>
    <w:rsid w:val="007A313F"/>
    <w:rsid w:val="007A35E3"/>
    <w:rsid w:val="007A3B5E"/>
    <w:rsid w:val="007A49E6"/>
    <w:rsid w:val="007A4AC7"/>
    <w:rsid w:val="007A4E29"/>
    <w:rsid w:val="007A4EB8"/>
    <w:rsid w:val="007A56CD"/>
    <w:rsid w:val="007A5EDD"/>
    <w:rsid w:val="007A6963"/>
    <w:rsid w:val="007A6EA8"/>
    <w:rsid w:val="007A7F48"/>
    <w:rsid w:val="007B019D"/>
    <w:rsid w:val="007B0208"/>
    <w:rsid w:val="007B07CA"/>
    <w:rsid w:val="007B225D"/>
    <w:rsid w:val="007B2509"/>
    <w:rsid w:val="007B3463"/>
    <w:rsid w:val="007B3FD4"/>
    <w:rsid w:val="007B4C2F"/>
    <w:rsid w:val="007C1D78"/>
    <w:rsid w:val="007C2CD5"/>
    <w:rsid w:val="007C4D9D"/>
    <w:rsid w:val="007C5612"/>
    <w:rsid w:val="007C58E4"/>
    <w:rsid w:val="007C59BB"/>
    <w:rsid w:val="007C5BE8"/>
    <w:rsid w:val="007C5CB8"/>
    <w:rsid w:val="007C663F"/>
    <w:rsid w:val="007C7DA4"/>
    <w:rsid w:val="007C7E59"/>
    <w:rsid w:val="007D04AB"/>
    <w:rsid w:val="007D21E2"/>
    <w:rsid w:val="007D2BC5"/>
    <w:rsid w:val="007D33F5"/>
    <w:rsid w:val="007D3A54"/>
    <w:rsid w:val="007D3A9E"/>
    <w:rsid w:val="007D4249"/>
    <w:rsid w:val="007D4597"/>
    <w:rsid w:val="007D51DB"/>
    <w:rsid w:val="007D530F"/>
    <w:rsid w:val="007D57C5"/>
    <w:rsid w:val="007D6657"/>
    <w:rsid w:val="007D6F99"/>
    <w:rsid w:val="007D7E13"/>
    <w:rsid w:val="007E007B"/>
    <w:rsid w:val="007E0791"/>
    <w:rsid w:val="007E1464"/>
    <w:rsid w:val="007E1CF6"/>
    <w:rsid w:val="007E206E"/>
    <w:rsid w:val="007E2CA6"/>
    <w:rsid w:val="007E41FC"/>
    <w:rsid w:val="007E462D"/>
    <w:rsid w:val="007E4C06"/>
    <w:rsid w:val="007E4F2E"/>
    <w:rsid w:val="007E50F3"/>
    <w:rsid w:val="007E53CE"/>
    <w:rsid w:val="007E54D1"/>
    <w:rsid w:val="007E5CFA"/>
    <w:rsid w:val="007E5D7A"/>
    <w:rsid w:val="007E6CFF"/>
    <w:rsid w:val="007E6EA8"/>
    <w:rsid w:val="007E7445"/>
    <w:rsid w:val="007E7572"/>
    <w:rsid w:val="007F03F6"/>
    <w:rsid w:val="007F0757"/>
    <w:rsid w:val="007F1415"/>
    <w:rsid w:val="007F169B"/>
    <w:rsid w:val="007F1DD3"/>
    <w:rsid w:val="007F2DD2"/>
    <w:rsid w:val="007F2DFD"/>
    <w:rsid w:val="007F3B16"/>
    <w:rsid w:val="007F3DD5"/>
    <w:rsid w:val="007F494A"/>
    <w:rsid w:val="007F4AE4"/>
    <w:rsid w:val="007F4CCE"/>
    <w:rsid w:val="007F4F49"/>
    <w:rsid w:val="007F520B"/>
    <w:rsid w:val="007F63A8"/>
    <w:rsid w:val="007F665D"/>
    <w:rsid w:val="007F6B9D"/>
    <w:rsid w:val="007F73AF"/>
    <w:rsid w:val="007F7422"/>
    <w:rsid w:val="00800A90"/>
    <w:rsid w:val="008017E7"/>
    <w:rsid w:val="00801CD3"/>
    <w:rsid w:val="00801FAF"/>
    <w:rsid w:val="00802180"/>
    <w:rsid w:val="008025F8"/>
    <w:rsid w:val="008026C1"/>
    <w:rsid w:val="00802B09"/>
    <w:rsid w:val="00803592"/>
    <w:rsid w:val="00803D96"/>
    <w:rsid w:val="00805E2A"/>
    <w:rsid w:val="00806E4A"/>
    <w:rsid w:val="008108AE"/>
    <w:rsid w:val="00811131"/>
    <w:rsid w:val="00811355"/>
    <w:rsid w:val="00811B68"/>
    <w:rsid w:val="00811B83"/>
    <w:rsid w:val="00811E44"/>
    <w:rsid w:val="0081200D"/>
    <w:rsid w:val="00812084"/>
    <w:rsid w:val="0081235A"/>
    <w:rsid w:val="008124D0"/>
    <w:rsid w:val="00812AD4"/>
    <w:rsid w:val="0081379B"/>
    <w:rsid w:val="008142C0"/>
    <w:rsid w:val="0081475F"/>
    <w:rsid w:val="00815214"/>
    <w:rsid w:val="00815719"/>
    <w:rsid w:val="00815F57"/>
    <w:rsid w:val="00816B30"/>
    <w:rsid w:val="00817451"/>
    <w:rsid w:val="0081798F"/>
    <w:rsid w:val="0082029C"/>
    <w:rsid w:val="00820AF4"/>
    <w:rsid w:val="0082196F"/>
    <w:rsid w:val="008227E1"/>
    <w:rsid w:val="0082565D"/>
    <w:rsid w:val="00825BF2"/>
    <w:rsid w:val="00825EA5"/>
    <w:rsid w:val="0082665B"/>
    <w:rsid w:val="0082667C"/>
    <w:rsid w:val="00827487"/>
    <w:rsid w:val="00827FB5"/>
    <w:rsid w:val="00827FE9"/>
    <w:rsid w:val="00830CBB"/>
    <w:rsid w:val="00831484"/>
    <w:rsid w:val="008316B2"/>
    <w:rsid w:val="008325D2"/>
    <w:rsid w:val="00832AC5"/>
    <w:rsid w:val="00832E4E"/>
    <w:rsid w:val="00832FFC"/>
    <w:rsid w:val="00833025"/>
    <w:rsid w:val="00833907"/>
    <w:rsid w:val="00833D16"/>
    <w:rsid w:val="008340E0"/>
    <w:rsid w:val="00834543"/>
    <w:rsid w:val="00835733"/>
    <w:rsid w:val="00835BB3"/>
    <w:rsid w:val="00835C7A"/>
    <w:rsid w:val="00836B33"/>
    <w:rsid w:val="00837883"/>
    <w:rsid w:val="00837A5C"/>
    <w:rsid w:val="00837BEE"/>
    <w:rsid w:val="00840386"/>
    <w:rsid w:val="00840DAB"/>
    <w:rsid w:val="00841566"/>
    <w:rsid w:val="00841F9D"/>
    <w:rsid w:val="00842027"/>
    <w:rsid w:val="0084339A"/>
    <w:rsid w:val="00843CE0"/>
    <w:rsid w:val="0084555B"/>
    <w:rsid w:val="0084654C"/>
    <w:rsid w:val="008465A9"/>
    <w:rsid w:val="00846A50"/>
    <w:rsid w:val="0084704F"/>
    <w:rsid w:val="00847726"/>
    <w:rsid w:val="00850706"/>
    <w:rsid w:val="00850E9E"/>
    <w:rsid w:val="00851358"/>
    <w:rsid w:val="008519AE"/>
    <w:rsid w:val="00851E69"/>
    <w:rsid w:val="0085216F"/>
    <w:rsid w:val="008524BA"/>
    <w:rsid w:val="00853E9B"/>
    <w:rsid w:val="0085431D"/>
    <w:rsid w:val="0085448C"/>
    <w:rsid w:val="00854819"/>
    <w:rsid w:val="00855EDD"/>
    <w:rsid w:val="008566D4"/>
    <w:rsid w:val="00856DF2"/>
    <w:rsid w:val="00857A4F"/>
    <w:rsid w:val="00857E2B"/>
    <w:rsid w:val="00857EAE"/>
    <w:rsid w:val="00860AEC"/>
    <w:rsid w:val="00861156"/>
    <w:rsid w:val="0086187D"/>
    <w:rsid w:val="00861904"/>
    <w:rsid w:val="00863B25"/>
    <w:rsid w:val="00864D02"/>
    <w:rsid w:val="0086715B"/>
    <w:rsid w:val="00867274"/>
    <w:rsid w:val="0086728D"/>
    <w:rsid w:val="00870C87"/>
    <w:rsid w:val="0087109F"/>
    <w:rsid w:val="00871C29"/>
    <w:rsid w:val="008726A8"/>
    <w:rsid w:val="00872908"/>
    <w:rsid w:val="00873C7D"/>
    <w:rsid w:val="008741B5"/>
    <w:rsid w:val="00875354"/>
    <w:rsid w:val="00875A60"/>
    <w:rsid w:val="008769FE"/>
    <w:rsid w:val="008808A1"/>
    <w:rsid w:val="00881578"/>
    <w:rsid w:val="00881B59"/>
    <w:rsid w:val="008821FB"/>
    <w:rsid w:val="00883066"/>
    <w:rsid w:val="008839F0"/>
    <w:rsid w:val="008847A7"/>
    <w:rsid w:val="008862CE"/>
    <w:rsid w:val="00886D93"/>
    <w:rsid w:val="0088723A"/>
    <w:rsid w:val="00887940"/>
    <w:rsid w:val="00887FD7"/>
    <w:rsid w:val="0089353B"/>
    <w:rsid w:val="008937E2"/>
    <w:rsid w:val="00893D14"/>
    <w:rsid w:val="00894028"/>
    <w:rsid w:val="0089457E"/>
    <w:rsid w:val="008946E4"/>
    <w:rsid w:val="00894826"/>
    <w:rsid w:val="00894A0C"/>
    <w:rsid w:val="00895BAD"/>
    <w:rsid w:val="00895C2B"/>
    <w:rsid w:val="00896278"/>
    <w:rsid w:val="008964DE"/>
    <w:rsid w:val="00896E39"/>
    <w:rsid w:val="0089709C"/>
    <w:rsid w:val="008A227B"/>
    <w:rsid w:val="008A2E64"/>
    <w:rsid w:val="008A32F7"/>
    <w:rsid w:val="008A364E"/>
    <w:rsid w:val="008A39D1"/>
    <w:rsid w:val="008A5670"/>
    <w:rsid w:val="008A6B5D"/>
    <w:rsid w:val="008A7329"/>
    <w:rsid w:val="008A7338"/>
    <w:rsid w:val="008A7908"/>
    <w:rsid w:val="008B04A5"/>
    <w:rsid w:val="008B0A43"/>
    <w:rsid w:val="008B1456"/>
    <w:rsid w:val="008B1473"/>
    <w:rsid w:val="008B2C02"/>
    <w:rsid w:val="008B2E5A"/>
    <w:rsid w:val="008B3E10"/>
    <w:rsid w:val="008B402D"/>
    <w:rsid w:val="008B4979"/>
    <w:rsid w:val="008B4EE0"/>
    <w:rsid w:val="008B502C"/>
    <w:rsid w:val="008B5C3F"/>
    <w:rsid w:val="008B5CB0"/>
    <w:rsid w:val="008B6263"/>
    <w:rsid w:val="008B6543"/>
    <w:rsid w:val="008B666F"/>
    <w:rsid w:val="008B71CE"/>
    <w:rsid w:val="008B738D"/>
    <w:rsid w:val="008B782D"/>
    <w:rsid w:val="008B79A7"/>
    <w:rsid w:val="008C0603"/>
    <w:rsid w:val="008C17BC"/>
    <w:rsid w:val="008C200C"/>
    <w:rsid w:val="008C2555"/>
    <w:rsid w:val="008C2997"/>
    <w:rsid w:val="008C2CCC"/>
    <w:rsid w:val="008C2E82"/>
    <w:rsid w:val="008C31E2"/>
    <w:rsid w:val="008C4FB0"/>
    <w:rsid w:val="008C5CFD"/>
    <w:rsid w:val="008C66ED"/>
    <w:rsid w:val="008C7DEA"/>
    <w:rsid w:val="008D00A2"/>
    <w:rsid w:val="008D0F41"/>
    <w:rsid w:val="008D2CB3"/>
    <w:rsid w:val="008D3395"/>
    <w:rsid w:val="008D41C6"/>
    <w:rsid w:val="008D6511"/>
    <w:rsid w:val="008D686B"/>
    <w:rsid w:val="008D6EAE"/>
    <w:rsid w:val="008D7830"/>
    <w:rsid w:val="008D786B"/>
    <w:rsid w:val="008D7B73"/>
    <w:rsid w:val="008D7FEE"/>
    <w:rsid w:val="008E0675"/>
    <w:rsid w:val="008E0D67"/>
    <w:rsid w:val="008E1A3F"/>
    <w:rsid w:val="008E1E82"/>
    <w:rsid w:val="008E308A"/>
    <w:rsid w:val="008E3D11"/>
    <w:rsid w:val="008E3F8D"/>
    <w:rsid w:val="008E4221"/>
    <w:rsid w:val="008E4FCD"/>
    <w:rsid w:val="008E5481"/>
    <w:rsid w:val="008E62B7"/>
    <w:rsid w:val="008E6DCF"/>
    <w:rsid w:val="008F028E"/>
    <w:rsid w:val="008F1EE3"/>
    <w:rsid w:val="008F3337"/>
    <w:rsid w:val="008F41B5"/>
    <w:rsid w:val="008F4BFD"/>
    <w:rsid w:val="008F6EE4"/>
    <w:rsid w:val="008F7B2A"/>
    <w:rsid w:val="0090004D"/>
    <w:rsid w:val="00901013"/>
    <w:rsid w:val="00902C5D"/>
    <w:rsid w:val="009035A1"/>
    <w:rsid w:val="0090378E"/>
    <w:rsid w:val="009038AD"/>
    <w:rsid w:val="00903A6E"/>
    <w:rsid w:val="009051C6"/>
    <w:rsid w:val="0090539A"/>
    <w:rsid w:val="00907646"/>
    <w:rsid w:val="009114D3"/>
    <w:rsid w:val="00911588"/>
    <w:rsid w:val="00911F2D"/>
    <w:rsid w:val="00912409"/>
    <w:rsid w:val="009129C5"/>
    <w:rsid w:val="009134F3"/>
    <w:rsid w:val="00914423"/>
    <w:rsid w:val="00914549"/>
    <w:rsid w:val="009175E8"/>
    <w:rsid w:val="0092008C"/>
    <w:rsid w:val="009200BF"/>
    <w:rsid w:val="00920B79"/>
    <w:rsid w:val="00921178"/>
    <w:rsid w:val="00921254"/>
    <w:rsid w:val="00922237"/>
    <w:rsid w:val="009222E7"/>
    <w:rsid w:val="00922BAF"/>
    <w:rsid w:val="00923C8F"/>
    <w:rsid w:val="00924278"/>
    <w:rsid w:val="009245D7"/>
    <w:rsid w:val="00924CA0"/>
    <w:rsid w:val="00925DF1"/>
    <w:rsid w:val="00925F1B"/>
    <w:rsid w:val="00930039"/>
    <w:rsid w:val="00930D89"/>
    <w:rsid w:val="00930FFE"/>
    <w:rsid w:val="0093128F"/>
    <w:rsid w:val="00932277"/>
    <w:rsid w:val="0093514D"/>
    <w:rsid w:val="00936835"/>
    <w:rsid w:val="00936E26"/>
    <w:rsid w:val="00937971"/>
    <w:rsid w:val="00937C1C"/>
    <w:rsid w:val="009402D9"/>
    <w:rsid w:val="009407EB"/>
    <w:rsid w:val="00940F4C"/>
    <w:rsid w:val="00942161"/>
    <w:rsid w:val="00942386"/>
    <w:rsid w:val="00942CA9"/>
    <w:rsid w:val="00942FF0"/>
    <w:rsid w:val="009430FE"/>
    <w:rsid w:val="00946373"/>
    <w:rsid w:val="00947D45"/>
    <w:rsid w:val="00951754"/>
    <w:rsid w:val="009517F2"/>
    <w:rsid w:val="00952ABD"/>
    <w:rsid w:val="00952D00"/>
    <w:rsid w:val="00952E8D"/>
    <w:rsid w:val="00953192"/>
    <w:rsid w:val="00953198"/>
    <w:rsid w:val="00953ECC"/>
    <w:rsid w:val="00954631"/>
    <w:rsid w:val="009554E6"/>
    <w:rsid w:val="00956299"/>
    <w:rsid w:val="00956C49"/>
    <w:rsid w:val="00957917"/>
    <w:rsid w:val="00957930"/>
    <w:rsid w:val="00960322"/>
    <w:rsid w:val="009604BD"/>
    <w:rsid w:val="0096119E"/>
    <w:rsid w:val="00962E66"/>
    <w:rsid w:val="00963401"/>
    <w:rsid w:val="00963C17"/>
    <w:rsid w:val="009642A0"/>
    <w:rsid w:val="00965184"/>
    <w:rsid w:val="009657B6"/>
    <w:rsid w:val="00965BBC"/>
    <w:rsid w:val="00965CAC"/>
    <w:rsid w:val="00966623"/>
    <w:rsid w:val="009671B6"/>
    <w:rsid w:val="00967A3C"/>
    <w:rsid w:val="00970464"/>
    <w:rsid w:val="00970B84"/>
    <w:rsid w:val="00970CAB"/>
    <w:rsid w:val="009721E7"/>
    <w:rsid w:val="00974255"/>
    <w:rsid w:val="009743FD"/>
    <w:rsid w:val="009747E2"/>
    <w:rsid w:val="00974863"/>
    <w:rsid w:val="009748B0"/>
    <w:rsid w:val="0097708E"/>
    <w:rsid w:val="00980497"/>
    <w:rsid w:val="00980A57"/>
    <w:rsid w:val="00980D39"/>
    <w:rsid w:val="0098113B"/>
    <w:rsid w:val="00981ABD"/>
    <w:rsid w:val="00982283"/>
    <w:rsid w:val="00982979"/>
    <w:rsid w:val="00982CA8"/>
    <w:rsid w:val="009833D1"/>
    <w:rsid w:val="00983E49"/>
    <w:rsid w:val="00985BCE"/>
    <w:rsid w:val="0098655C"/>
    <w:rsid w:val="009869D9"/>
    <w:rsid w:val="009876A9"/>
    <w:rsid w:val="00987C21"/>
    <w:rsid w:val="00987CED"/>
    <w:rsid w:val="0099061B"/>
    <w:rsid w:val="0099107F"/>
    <w:rsid w:val="009917E2"/>
    <w:rsid w:val="009918C5"/>
    <w:rsid w:val="00991A9F"/>
    <w:rsid w:val="009929AF"/>
    <w:rsid w:val="009930F1"/>
    <w:rsid w:val="009939C6"/>
    <w:rsid w:val="00993DF8"/>
    <w:rsid w:val="0099476F"/>
    <w:rsid w:val="00994A22"/>
    <w:rsid w:val="00994BBE"/>
    <w:rsid w:val="00994FF3"/>
    <w:rsid w:val="009961CA"/>
    <w:rsid w:val="00996685"/>
    <w:rsid w:val="00996897"/>
    <w:rsid w:val="00997779"/>
    <w:rsid w:val="00997B76"/>
    <w:rsid w:val="00997F29"/>
    <w:rsid w:val="009A02B5"/>
    <w:rsid w:val="009A1412"/>
    <w:rsid w:val="009A15B0"/>
    <w:rsid w:val="009A1A98"/>
    <w:rsid w:val="009A1E33"/>
    <w:rsid w:val="009A2FDC"/>
    <w:rsid w:val="009A330A"/>
    <w:rsid w:val="009A3998"/>
    <w:rsid w:val="009A3AE6"/>
    <w:rsid w:val="009A3E45"/>
    <w:rsid w:val="009A4086"/>
    <w:rsid w:val="009A6FED"/>
    <w:rsid w:val="009A7199"/>
    <w:rsid w:val="009A7260"/>
    <w:rsid w:val="009A73CE"/>
    <w:rsid w:val="009A798A"/>
    <w:rsid w:val="009A7BF1"/>
    <w:rsid w:val="009A7D83"/>
    <w:rsid w:val="009B0BD2"/>
    <w:rsid w:val="009B1729"/>
    <w:rsid w:val="009B1B4E"/>
    <w:rsid w:val="009B2964"/>
    <w:rsid w:val="009B2DA9"/>
    <w:rsid w:val="009B4578"/>
    <w:rsid w:val="009B51FF"/>
    <w:rsid w:val="009B5795"/>
    <w:rsid w:val="009B5BFC"/>
    <w:rsid w:val="009B6099"/>
    <w:rsid w:val="009B60BB"/>
    <w:rsid w:val="009B6FD0"/>
    <w:rsid w:val="009B70F8"/>
    <w:rsid w:val="009B73F8"/>
    <w:rsid w:val="009B77E7"/>
    <w:rsid w:val="009B798F"/>
    <w:rsid w:val="009B7C11"/>
    <w:rsid w:val="009B7DC4"/>
    <w:rsid w:val="009C1163"/>
    <w:rsid w:val="009C154E"/>
    <w:rsid w:val="009C1593"/>
    <w:rsid w:val="009C2CA2"/>
    <w:rsid w:val="009C3064"/>
    <w:rsid w:val="009C3692"/>
    <w:rsid w:val="009C3C77"/>
    <w:rsid w:val="009C56AE"/>
    <w:rsid w:val="009C5B39"/>
    <w:rsid w:val="009C65D7"/>
    <w:rsid w:val="009C6731"/>
    <w:rsid w:val="009C79BF"/>
    <w:rsid w:val="009D04F1"/>
    <w:rsid w:val="009D0854"/>
    <w:rsid w:val="009D138F"/>
    <w:rsid w:val="009D364F"/>
    <w:rsid w:val="009D3DB5"/>
    <w:rsid w:val="009D46B3"/>
    <w:rsid w:val="009D6DEA"/>
    <w:rsid w:val="009D7FD8"/>
    <w:rsid w:val="009E0810"/>
    <w:rsid w:val="009E107A"/>
    <w:rsid w:val="009E1235"/>
    <w:rsid w:val="009E1F1F"/>
    <w:rsid w:val="009E2CAC"/>
    <w:rsid w:val="009E320D"/>
    <w:rsid w:val="009E41E2"/>
    <w:rsid w:val="009E4790"/>
    <w:rsid w:val="009E48B9"/>
    <w:rsid w:val="009E58DC"/>
    <w:rsid w:val="009E5A73"/>
    <w:rsid w:val="009E6062"/>
    <w:rsid w:val="009E6319"/>
    <w:rsid w:val="009E7533"/>
    <w:rsid w:val="009F0D2D"/>
    <w:rsid w:val="009F316D"/>
    <w:rsid w:val="009F33DF"/>
    <w:rsid w:val="009F353A"/>
    <w:rsid w:val="009F3B50"/>
    <w:rsid w:val="009F430B"/>
    <w:rsid w:val="009F6077"/>
    <w:rsid w:val="009F67DE"/>
    <w:rsid w:val="009F695A"/>
    <w:rsid w:val="009F6EAD"/>
    <w:rsid w:val="009F7450"/>
    <w:rsid w:val="009F7760"/>
    <w:rsid w:val="00A00842"/>
    <w:rsid w:val="00A01241"/>
    <w:rsid w:val="00A01375"/>
    <w:rsid w:val="00A01BD6"/>
    <w:rsid w:val="00A0271A"/>
    <w:rsid w:val="00A0278F"/>
    <w:rsid w:val="00A03094"/>
    <w:rsid w:val="00A0349C"/>
    <w:rsid w:val="00A049EE"/>
    <w:rsid w:val="00A05EFC"/>
    <w:rsid w:val="00A06296"/>
    <w:rsid w:val="00A07A2E"/>
    <w:rsid w:val="00A102F7"/>
    <w:rsid w:val="00A10533"/>
    <w:rsid w:val="00A11743"/>
    <w:rsid w:val="00A12880"/>
    <w:rsid w:val="00A12FAB"/>
    <w:rsid w:val="00A13A39"/>
    <w:rsid w:val="00A1405E"/>
    <w:rsid w:val="00A14771"/>
    <w:rsid w:val="00A1552E"/>
    <w:rsid w:val="00A15B79"/>
    <w:rsid w:val="00A1605D"/>
    <w:rsid w:val="00A16661"/>
    <w:rsid w:val="00A16D94"/>
    <w:rsid w:val="00A22786"/>
    <w:rsid w:val="00A22BED"/>
    <w:rsid w:val="00A22FB4"/>
    <w:rsid w:val="00A2347F"/>
    <w:rsid w:val="00A25813"/>
    <w:rsid w:val="00A260E1"/>
    <w:rsid w:val="00A27E1F"/>
    <w:rsid w:val="00A30A82"/>
    <w:rsid w:val="00A31FDF"/>
    <w:rsid w:val="00A3302B"/>
    <w:rsid w:val="00A33CC8"/>
    <w:rsid w:val="00A34A26"/>
    <w:rsid w:val="00A35295"/>
    <w:rsid w:val="00A354EB"/>
    <w:rsid w:val="00A3688E"/>
    <w:rsid w:val="00A3695A"/>
    <w:rsid w:val="00A371C3"/>
    <w:rsid w:val="00A37EE1"/>
    <w:rsid w:val="00A37F25"/>
    <w:rsid w:val="00A402AF"/>
    <w:rsid w:val="00A40B4E"/>
    <w:rsid w:val="00A40E77"/>
    <w:rsid w:val="00A40F80"/>
    <w:rsid w:val="00A4258F"/>
    <w:rsid w:val="00A4264E"/>
    <w:rsid w:val="00A427AC"/>
    <w:rsid w:val="00A4312F"/>
    <w:rsid w:val="00A43A18"/>
    <w:rsid w:val="00A46643"/>
    <w:rsid w:val="00A46BC2"/>
    <w:rsid w:val="00A47521"/>
    <w:rsid w:val="00A47D72"/>
    <w:rsid w:val="00A47DBD"/>
    <w:rsid w:val="00A500B3"/>
    <w:rsid w:val="00A50B69"/>
    <w:rsid w:val="00A510DA"/>
    <w:rsid w:val="00A525B3"/>
    <w:rsid w:val="00A52C10"/>
    <w:rsid w:val="00A53687"/>
    <w:rsid w:val="00A53BB1"/>
    <w:rsid w:val="00A54983"/>
    <w:rsid w:val="00A55BEF"/>
    <w:rsid w:val="00A56342"/>
    <w:rsid w:val="00A574AD"/>
    <w:rsid w:val="00A600AB"/>
    <w:rsid w:val="00A6096B"/>
    <w:rsid w:val="00A60B4B"/>
    <w:rsid w:val="00A60F4E"/>
    <w:rsid w:val="00A611A3"/>
    <w:rsid w:val="00A615F2"/>
    <w:rsid w:val="00A622F3"/>
    <w:rsid w:val="00A63437"/>
    <w:rsid w:val="00A634E5"/>
    <w:rsid w:val="00A64059"/>
    <w:rsid w:val="00A65DA9"/>
    <w:rsid w:val="00A65DD1"/>
    <w:rsid w:val="00A661DB"/>
    <w:rsid w:val="00A668E0"/>
    <w:rsid w:val="00A66B7B"/>
    <w:rsid w:val="00A66C95"/>
    <w:rsid w:val="00A700F0"/>
    <w:rsid w:val="00A7081E"/>
    <w:rsid w:val="00A70C68"/>
    <w:rsid w:val="00A71274"/>
    <w:rsid w:val="00A72BC7"/>
    <w:rsid w:val="00A7304D"/>
    <w:rsid w:val="00A736EF"/>
    <w:rsid w:val="00A73D47"/>
    <w:rsid w:val="00A73F98"/>
    <w:rsid w:val="00A759E0"/>
    <w:rsid w:val="00A75D79"/>
    <w:rsid w:val="00A761D5"/>
    <w:rsid w:val="00A770CD"/>
    <w:rsid w:val="00A807CA"/>
    <w:rsid w:val="00A812C7"/>
    <w:rsid w:val="00A8140F"/>
    <w:rsid w:val="00A8320C"/>
    <w:rsid w:val="00A83377"/>
    <w:rsid w:val="00A8435E"/>
    <w:rsid w:val="00A84DD9"/>
    <w:rsid w:val="00A850ED"/>
    <w:rsid w:val="00A8556C"/>
    <w:rsid w:val="00A8616A"/>
    <w:rsid w:val="00A86197"/>
    <w:rsid w:val="00A86D94"/>
    <w:rsid w:val="00A8771F"/>
    <w:rsid w:val="00A8776B"/>
    <w:rsid w:val="00A87A1D"/>
    <w:rsid w:val="00A90846"/>
    <w:rsid w:val="00A9205F"/>
    <w:rsid w:val="00A92E8C"/>
    <w:rsid w:val="00A93333"/>
    <w:rsid w:val="00A934E2"/>
    <w:rsid w:val="00A93E84"/>
    <w:rsid w:val="00A94F2F"/>
    <w:rsid w:val="00A97054"/>
    <w:rsid w:val="00A975D9"/>
    <w:rsid w:val="00A97D6D"/>
    <w:rsid w:val="00AA10F0"/>
    <w:rsid w:val="00AA26AF"/>
    <w:rsid w:val="00AA305F"/>
    <w:rsid w:val="00AA31F6"/>
    <w:rsid w:val="00AA3D3B"/>
    <w:rsid w:val="00AA63CC"/>
    <w:rsid w:val="00AA6627"/>
    <w:rsid w:val="00AA6EA5"/>
    <w:rsid w:val="00AA6EE7"/>
    <w:rsid w:val="00AA7483"/>
    <w:rsid w:val="00AA74FD"/>
    <w:rsid w:val="00AB0297"/>
    <w:rsid w:val="00AB0512"/>
    <w:rsid w:val="00AB0D81"/>
    <w:rsid w:val="00AB0FBF"/>
    <w:rsid w:val="00AB1724"/>
    <w:rsid w:val="00AB208E"/>
    <w:rsid w:val="00AB2C6E"/>
    <w:rsid w:val="00AB38B5"/>
    <w:rsid w:val="00AB4100"/>
    <w:rsid w:val="00AB4423"/>
    <w:rsid w:val="00AB48AC"/>
    <w:rsid w:val="00AB4A0E"/>
    <w:rsid w:val="00AB59D3"/>
    <w:rsid w:val="00AB5CD7"/>
    <w:rsid w:val="00AB5DFD"/>
    <w:rsid w:val="00AB61D8"/>
    <w:rsid w:val="00AB732B"/>
    <w:rsid w:val="00AC07EA"/>
    <w:rsid w:val="00AC118D"/>
    <w:rsid w:val="00AC17AE"/>
    <w:rsid w:val="00AC25FC"/>
    <w:rsid w:val="00AC3752"/>
    <w:rsid w:val="00AC3826"/>
    <w:rsid w:val="00AC3E27"/>
    <w:rsid w:val="00AC4301"/>
    <w:rsid w:val="00AC475D"/>
    <w:rsid w:val="00AC53CE"/>
    <w:rsid w:val="00AC5640"/>
    <w:rsid w:val="00AC646F"/>
    <w:rsid w:val="00AC6560"/>
    <w:rsid w:val="00AC65C1"/>
    <w:rsid w:val="00AC6ECE"/>
    <w:rsid w:val="00AC7105"/>
    <w:rsid w:val="00AC7AED"/>
    <w:rsid w:val="00AD2014"/>
    <w:rsid w:val="00AD2647"/>
    <w:rsid w:val="00AD32F4"/>
    <w:rsid w:val="00AD3513"/>
    <w:rsid w:val="00AD4635"/>
    <w:rsid w:val="00AD4C35"/>
    <w:rsid w:val="00AD5030"/>
    <w:rsid w:val="00AD5081"/>
    <w:rsid w:val="00AD5704"/>
    <w:rsid w:val="00AD5D8A"/>
    <w:rsid w:val="00AD6CEA"/>
    <w:rsid w:val="00AE0B21"/>
    <w:rsid w:val="00AE0C03"/>
    <w:rsid w:val="00AE0DF1"/>
    <w:rsid w:val="00AE10BB"/>
    <w:rsid w:val="00AE1AFA"/>
    <w:rsid w:val="00AE1BBB"/>
    <w:rsid w:val="00AE30B6"/>
    <w:rsid w:val="00AE363E"/>
    <w:rsid w:val="00AE49F5"/>
    <w:rsid w:val="00AE4E88"/>
    <w:rsid w:val="00AE4FCD"/>
    <w:rsid w:val="00AF1C6C"/>
    <w:rsid w:val="00AF2714"/>
    <w:rsid w:val="00AF2C16"/>
    <w:rsid w:val="00AF2D2D"/>
    <w:rsid w:val="00AF3673"/>
    <w:rsid w:val="00AF3702"/>
    <w:rsid w:val="00AF3CF6"/>
    <w:rsid w:val="00AF44B1"/>
    <w:rsid w:val="00AF4F54"/>
    <w:rsid w:val="00AF54A1"/>
    <w:rsid w:val="00AF592E"/>
    <w:rsid w:val="00AF5A62"/>
    <w:rsid w:val="00AF6017"/>
    <w:rsid w:val="00AF6743"/>
    <w:rsid w:val="00AF7336"/>
    <w:rsid w:val="00B001FA"/>
    <w:rsid w:val="00B0048E"/>
    <w:rsid w:val="00B0082E"/>
    <w:rsid w:val="00B00B06"/>
    <w:rsid w:val="00B00D13"/>
    <w:rsid w:val="00B0140C"/>
    <w:rsid w:val="00B014B1"/>
    <w:rsid w:val="00B019A9"/>
    <w:rsid w:val="00B01E67"/>
    <w:rsid w:val="00B020D5"/>
    <w:rsid w:val="00B02C13"/>
    <w:rsid w:val="00B030B6"/>
    <w:rsid w:val="00B0318D"/>
    <w:rsid w:val="00B0521A"/>
    <w:rsid w:val="00B058D7"/>
    <w:rsid w:val="00B05BF8"/>
    <w:rsid w:val="00B05DCD"/>
    <w:rsid w:val="00B06C6A"/>
    <w:rsid w:val="00B0718F"/>
    <w:rsid w:val="00B07FBF"/>
    <w:rsid w:val="00B12966"/>
    <w:rsid w:val="00B12971"/>
    <w:rsid w:val="00B12E50"/>
    <w:rsid w:val="00B1378A"/>
    <w:rsid w:val="00B14CFB"/>
    <w:rsid w:val="00B15FE3"/>
    <w:rsid w:val="00B1665A"/>
    <w:rsid w:val="00B169D9"/>
    <w:rsid w:val="00B17001"/>
    <w:rsid w:val="00B170DA"/>
    <w:rsid w:val="00B22233"/>
    <w:rsid w:val="00B22430"/>
    <w:rsid w:val="00B231AB"/>
    <w:rsid w:val="00B2369E"/>
    <w:rsid w:val="00B25392"/>
    <w:rsid w:val="00B26954"/>
    <w:rsid w:val="00B275B5"/>
    <w:rsid w:val="00B277F9"/>
    <w:rsid w:val="00B302DF"/>
    <w:rsid w:val="00B30BA0"/>
    <w:rsid w:val="00B31984"/>
    <w:rsid w:val="00B31B9E"/>
    <w:rsid w:val="00B31BD2"/>
    <w:rsid w:val="00B321B7"/>
    <w:rsid w:val="00B33196"/>
    <w:rsid w:val="00B3339E"/>
    <w:rsid w:val="00B3377F"/>
    <w:rsid w:val="00B339DF"/>
    <w:rsid w:val="00B33C3C"/>
    <w:rsid w:val="00B34C87"/>
    <w:rsid w:val="00B35247"/>
    <w:rsid w:val="00B354D5"/>
    <w:rsid w:val="00B3648D"/>
    <w:rsid w:val="00B3713F"/>
    <w:rsid w:val="00B37DB9"/>
    <w:rsid w:val="00B40625"/>
    <w:rsid w:val="00B4198E"/>
    <w:rsid w:val="00B423F5"/>
    <w:rsid w:val="00B43569"/>
    <w:rsid w:val="00B43581"/>
    <w:rsid w:val="00B4708D"/>
    <w:rsid w:val="00B4796F"/>
    <w:rsid w:val="00B50511"/>
    <w:rsid w:val="00B50795"/>
    <w:rsid w:val="00B50ED0"/>
    <w:rsid w:val="00B51D3B"/>
    <w:rsid w:val="00B5244C"/>
    <w:rsid w:val="00B533AC"/>
    <w:rsid w:val="00B53507"/>
    <w:rsid w:val="00B5366A"/>
    <w:rsid w:val="00B538E6"/>
    <w:rsid w:val="00B55F5B"/>
    <w:rsid w:val="00B5705D"/>
    <w:rsid w:val="00B60B6F"/>
    <w:rsid w:val="00B610B9"/>
    <w:rsid w:val="00B612E1"/>
    <w:rsid w:val="00B612E5"/>
    <w:rsid w:val="00B6161B"/>
    <w:rsid w:val="00B62B35"/>
    <w:rsid w:val="00B62F36"/>
    <w:rsid w:val="00B6377E"/>
    <w:rsid w:val="00B650BF"/>
    <w:rsid w:val="00B65166"/>
    <w:rsid w:val="00B653B8"/>
    <w:rsid w:val="00B6580F"/>
    <w:rsid w:val="00B66780"/>
    <w:rsid w:val="00B66909"/>
    <w:rsid w:val="00B66995"/>
    <w:rsid w:val="00B66CB8"/>
    <w:rsid w:val="00B67CFD"/>
    <w:rsid w:val="00B67E03"/>
    <w:rsid w:val="00B719CF"/>
    <w:rsid w:val="00B71E4A"/>
    <w:rsid w:val="00B7229F"/>
    <w:rsid w:val="00B73BB9"/>
    <w:rsid w:val="00B7453F"/>
    <w:rsid w:val="00B747E4"/>
    <w:rsid w:val="00B74E86"/>
    <w:rsid w:val="00B7541D"/>
    <w:rsid w:val="00B76014"/>
    <w:rsid w:val="00B76A1B"/>
    <w:rsid w:val="00B77913"/>
    <w:rsid w:val="00B80832"/>
    <w:rsid w:val="00B80CFF"/>
    <w:rsid w:val="00B80E21"/>
    <w:rsid w:val="00B80FAA"/>
    <w:rsid w:val="00B81683"/>
    <w:rsid w:val="00B81DD2"/>
    <w:rsid w:val="00B825B3"/>
    <w:rsid w:val="00B82F9E"/>
    <w:rsid w:val="00B837BF"/>
    <w:rsid w:val="00B840B2"/>
    <w:rsid w:val="00B841E3"/>
    <w:rsid w:val="00B84893"/>
    <w:rsid w:val="00B84F7E"/>
    <w:rsid w:val="00B8566F"/>
    <w:rsid w:val="00B86513"/>
    <w:rsid w:val="00B86618"/>
    <w:rsid w:val="00B9014F"/>
    <w:rsid w:val="00B91528"/>
    <w:rsid w:val="00B91790"/>
    <w:rsid w:val="00B92ADD"/>
    <w:rsid w:val="00B933EE"/>
    <w:rsid w:val="00B95A03"/>
    <w:rsid w:val="00B95D00"/>
    <w:rsid w:val="00B95F5B"/>
    <w:rsid w:val="00B961B8"/>
    <w:rsid w:val="00B964BE"/>
    <w:rsid w:val="00B96795"/>
    <w:rsid w:val="00B96921"/>
    <w:rsid w:val="00B96D8A"/>
    <w:rsid w:val="00B97151"/>
    <w:rsid w:val="00BA1388"/>
    <w:rsid w:val="00BA3F45"/>
    <w:rsid w:val="00BA4822"/>
    <w:rsid w:val="00BA484A"/>
    <w:rsid w:val="00BA484C"/>
    <w:rsid w:val="00BB1242"/>
    <w:rsid w:val="00BB13C4"/>
    <w:rsid w:val="00BB197C"/>
    <w:rsid w:val="00BB2235"/>
    <w:rsid w:val="00BB2925"/>
    <w:rsid w:val="00BB3DD0"/>
    <w:rsid w:val="00BB4CEC"/>
    <w:rsid w:val="00BB4FAA"/>
    <w:rsid w:val="00BB5632"/>
    <w:rsid w:val="00BB59B8"/>
    <w:rsid w:val="00BB60BB"/>
    <w:rsid w:val="00BB63C3"/>
    <w:rsid w:val="00BB6940"/>
    <w:rsid w:val="00BB7B4B"/>
    <w:rsid w:val="00BB7D80"/>
    <w:rsid w:val="00BC00CE"/>
    <w:rsid w:val="00BC0A6A"/>
    <w:rsid w:val="00BC1F2B"/>
    <w:rsid w:val="00BC24F3"/>
    <w:rsid w:val="00BC2C68"/>
    <w:rsid w:val="00BC3D6F"/>
    <w:rsid w:val="00BC4192"/>
    <w:rsid w:val="00BC4A99"/>
    <w:rsid w:val="00BC54EF"/>
    <w:rsid w:val="00BC63D4"/>
    <w:rsid w:val="00BD0579"/>
    <w:rsid w:val="00BD0E3F"/>
    <w:rsid w:val="00BD0E4C"/>
    <w:rsid w:val="00BD14F9"/>
    <w:rsid w:val="00BD1A15"/>
    <w:rsid w:val="00BD24CF"/>
    <w:rsid w:val="00BD4D56"/>
    <w:rsid w:val="00BD5C44"/>
    <w:rsid w:val="00BD6716"/>
    <w:rsid w:val="00BD67B6"/>
    <w:rsid w:val="00BD7273"/>
    <w:rsid w:val="00BD72FE"/>
    <w:rsid w:val="00BD7423"/>
    <w:rsid w:val="00BD76EE"/>
    <w:rsid w:val="00BD7C0B"/>
    <w:rsid w:val="00BE02F6"/>
    <w:rsid w:val="00BE0A2C"/>
    <w:rsid w:val="00BE0E92"/>
    <w:rsid w:val="00BE0F46"/>
    <w:rsid w:val="00BE1085"/>
    <w:rsid w:val="00BE1887"/>
    <w:rsid w:val="00BE1A5B"/>
    <w:rsid w:val="00BE23A7"/>
    <w:rsid w:val="00BE2B59"/>
    <w:rsid w:val="00BE2D87"/>
    <w:rsid w:val="00BE357D"/>
    <w:rsid w:val="00BE371F"/>
    <w:rsid w:val="00BE3A01"/>
    <w:rsid w:val="00BE44BF"/>
    <w:rsid w:val="00BE45FE"/>
    <w:rsid w:val="00BE5062"/>
    <w:rsid w:val="00BE59B7"/>
    <w:rsid w:val="00BE617F"/>
    <w:rsid w:val="00BE6D84"/>
    <w:rsid w:val="00BE6EB8"/>
    <w:rsid w:val="00BE73D4"/>
    <w:rsid w:val="00BE7B1D"/>
    <w:rsid w:val="00BE7CE3"/>
    <w:rsid w:val="00BE7F92"/>
    <w:rsid w:val="00BF09BD"/>
    <w:rsid w:val="00BF116D"/>
    <w:rsid w:val="00BF2031"/>
    <w:rsid w:val="00BF23E8"/>
    <w:rsid w:val="00BF257B"/>
    <w:rsid w:val="00BF2DD7"/>
    <w:rsid w:val="00BF3E99"/>
    <w:rsid w:val="00BF4C7D"/>
    <w:rsid w:val="00BF4FE8"/>
    <w:rsid w:val="00BF5146"/>
    <w:rsid w:val="00BF659B"/>
    <w:rsid w:val="00BF66DA"/>
    <w:rsid w:val="00BF675F"/>
    <w:rsid w:val="00BF71F7"/>
    <w:rsid w:val="00BF72B7"/>
    <w:rsid w:val="00BF757D"/>
    <w:rsid w:val="00C004FF"/>
    <w:rsid w:val="00C02590"/>
    <w:rsid w:val="00C02E16"/>
    <w:rsid w:val="00C02EDE"/>
    <w:rsid w:val="00C031A7"/>
    <w:rsid w:val="00C039D5"/>
    <w:rsid w:val="00C04E9E"/>
    <w:rsid w:val="00C05AEC"/>
    <w:rsid w:val="00C05EF0"/>
    <w:rsid w:val="00C066AA"/>
    <w:rsid w:val="00C10DF3"/>
    <w:rsid w:val="00C130E3"/>
    <w:rsid w:val="00C13306"/>
    <w:rsid w:val="00C1414A"/>
    <w:rsid w:val="00C14682"/>
    <w:rsid w:val="00C1579D"/>
    <w:rsid w:val="00C15C97"/>
    <w:rsid w:val="00C15FF5"/>
    <w:rsid w:val="00C21130"/>
    <w:rsid w:val="00C21358"/>
    <w:rsid w:val="00C21BFD"/>
    <w:rsid w:val="00C2200A"/>
    <w:rsid w:val="00C22341"/>
    <w:rsid w:val="00C2293D"/>
    <w:rsid w:val="00C22B1C"/>
    <w:rsid w:val="00C22F9F"/>
    <w:rsid w:val="00C240C3"/>
    <w:rsid w:val="00C24157"/>
    <w:rsid w:val="00C2449D"/>
    <w:rsid w:val="00C24764"/>
    <w:rsid w:val="00C251F8"/>
    <w:rsid w:val="00C25391"/>
    <w:rsid w:val="00C255FB"/>
    <w:rsid w:val="00C25A36"/>
    <w:rsid w:val="00C26014"/>
    <w:rsid w:val="00C261B8"/>
    <w:rsid w:val="00C26AE9"/>
    <w:rsid w:val="00C2772F"/>
    <w:rsid w:val="00C27B6D"/>
    <w:rsid w:val="00C3084B"/>
    <w:rsid w:val="00C30B0C"/>
    <w:rsid w:val="00C30C49"/>
    <w:rsid w:val="00C313E7"/>
    <w:rsid w:val="00C314A0"/>
    <w:rsid w:val="00C32394"/>
    <w:rsid w:val="00C32981"/>
    <w:rsid w:val="00C36349"/>
    <w:rsid w:val="00C36A0E"/>
    <w:rsid w:val="00C37825"/>
    <w:rsid w:val="00C37B21"/>
    <w:rsid w:val="00C37ED5"/>
    <w:rsid w:val="00C40440"/>
    <w:rsid w:val="00C40DAB"/>
    <w:rsid w:val="00C40FA9"/>
    <w:rsid w:val="00C42B51"/>
    <w:rsid w:val="00C42D0E"/>
    <w:rsid w:val="00C4372A"/>
    <w:rsid w:val="00C43D27"/>
    <w:rsid w:val="00C44146"/>
    <w:rsid w:val="00C44AD8"/>
    <w:rsid w:val="00C4502E"/>
    <w:rsid w:val="00C452C1"/>
    <w:rsid w:val="00C4607B"/>
    <w:rsid w:val="00C462E4"/>
    <w:rsid w:val="00C4663C"/>
    <w:rsid w:val="00C46E8C"/>
    <w:rsid w:val="00C479D3"/>
    <w:rsid w:val="00C47B65"/>
    <w:rsid w:val="00C5037B"/>
    <w:rsid w:val="00C50CF0"/>
    <w:rsid w:val="00C51C64"/>
    <w:rsid w:val="00C5262B"/>
    <w:rsid w:val="00C53224"/>
    <w:rsid w:val="00C5480A"/>
    <w:rsid w:val="00C54FCA"/>
    <w:rsid w:val="00C552BF"/>
    <w:rsid w:val="00C55764"/>
    <w:rsid w:val="00C5613C"/>
    <w:rsid w:val="00C5757A"/>
    <w:rsid w:val="00C57B19"/>
    <w:rsid w:val="00C57C61"/>
    <w:rsid w:val="00C60606"/>
    <w:rsid w:val="00C60FD5"/>
    <w:rsid w:val="00C6130E"/>
    <w:rsid w:val="00C614DE"/>
    <w:rsid w:val="00C6151D"/>
    <w:rsid w:val="00C61547"/>
    <w:rsid w:val="00C62615"/>
    <w:rsid w:val="00C626CF"/>
    <w:rsid w:val="00C63174"/>
    <w:rsid w:val="00C63851"/>
    <w:rsid w:val="00C63FE8"/>
    <w:rsid w:val="00C65758"/>
    <w:rsid w:val="00C65B7D"/>
    <w:rsid w:val="00C660C6"/>
    <w:rsid w:val="00C66D0F"/>
    <w:rsid w:val="00C679BE"/>
    <w:rsid w:val="00C71A4F"/>
    <w:rsid w:val="00C71CB6"/>
    <w:rsid w:val="00C7252F"/>
    <w:rsid w:val="00C7342C"/>
    <w:rsid w:val="00C738D5"/>
    <w:rsid w:val="00C7430B"/>
    <w:rsid w:val="00C745F4"/>
    <w:rsid w:val="00C74888"/>
    <w:rsid w:val="00C75056"/>
    <w:rsid w:val="00C750B4"/>
    <w:rsid w:val="00C75D22"/>
    <w:rsid w:val="00C76CF8"/>
    <w:rsid w:val="00C773F0"/>
    <w:rsid w:val="00C77D17"/>
    <w:rsid w:val="00C77FFD"/>
    <w:rsid w:val="00C80094"/>
    <w:rsid w:val="00C805B6"/>
    <w:rsid w:val="00C809F5"/>
    <w:rsid w:val="00C80CC0"/>
    <w:rsid w:val="00C80F72"/>
    <w:rsid w:val="00C819FA"/>
    <w:rsid w:val="00C81C27"/>
    <w:rsid w:val="00C81DC3"/>
    <w:rsid w:val="00C827DE"/>
    <w:rsid w:val="00C83075"/>
    <w:rsid w:val="00C8374B"/>
    <w:rsid w:val="00C841C8"/>
    <w:rsid w:val="00C84459"/>
    <w:rsid w:val="00C848F7"/>
    <w:rsid w:val="00C850B1"/>
    <w:rsid w:val="00C870D7"/>
    <w:rsid w:val="00C879C2"/>
    <w:rsid w:val="00C906A4"/>
    <w:rsid w:val="00C91508"/>
    <w:rsid w:val="00C91916"/>
    <w:rsid w:val="00C91A04"/>
    <w:rsid w:val="00C92954"/>
    <w:rsid w:val="00C9448D"/>
    <w:rsid w:val="00C94B2F"/>
    <w:rsid w:val="00C94C33"/>
    <w:rsid w:val="00C94FBF"/>
    <w:rsid w:val="00C9624B"/>
    <w:rsid w:val="00C97B79"/>
    <w:rsid w:val="00C97E36"/>
    <w:rsid w:val="00C97FB7"/>
    <w:rsid w:val="00CA2037"/>
    <w:rsid w:val="00CA2528"/>
    <w:rsid w:val="00CA2590"/>
    <w:rsid w:val="00CA272D"/>
    <w:rsid w:val="00CA2A58"/>
    <w:rsid w:val="00CA2DA1"/>
    <w:rsid w:val="00CA31AF"/>
    <w:rsid w:val="00CA32CB"/>
    <w:rsid w:val="00CA3780"/>
    <w:rsid w:val="00CA7DCB"/>
    <w:rsid w:val="00CB02E4"/>
    <w:rsid w:val="00CB1245"/>
    <w:rsid w:val="00CB183F"/>
    <w:rsid w:val="00CB1D6C"/>
    <w:rsid w:val="00CB2765"/>
    <w:rsid w:val="00CB3DF0"/>
    <w:rsid w:val="00CB3E25"/>
    <w:rsid w:val="00CB4000"/>
    <w:rsid w:val="00CB499A"/>
    <w:rsid w:val="00CB562B"/>
    <w:rsid w:val="00CB59F5"/>
    <w:rsid w:val="00CB5BDF"/>
    <w:rsid w:val="00CC0488"/>
    <w:rsid w:val="00CC0547"/>
    <w:rsid w:val="00CC1A55"/>
    <w:rsid w:val="00CC1E0F"/>
    <w:rsid w:val="00CC356E"/>
    <w:rsid w:val="00CC57E3"/>
    <w:rsid w:val="00CC5FA1"/>
    <w:rsid w:val="00CC6228"/>
    <w:rsid w:val="00CC64CE"/>
    <w:rsid w:val="00CC665E"/>
    <w:rsid w:val="00CC7852"/>
    <w:rsid w:val="00CD0724"/>
    <w:rsid w:val="00CD0945"/>
    <w:rsid w:val="00CD12DD"/>
    <w:rsid w:val="00CD130C"/>
    <w:rsid w:val="00CD18ED"/>
    <w:rsid w:val="00CD1F2B"/>
    <w:rsid w:val="00CD2623"/>
    <w:rsid w:val="00CD2DEA"/>
    <w:rsid w:val="00CD31A8"/>
    <w:rsid w:val="00CD3D87"/>
    <w:rsid w:val="00CD438B"/>
    <w:rsid w:val="00CD53C3"/>
    <w:rsid w:val="00CD57AB"/>
    <w:rsid w:val="00CD5AED"/>
    <w:rsid w:val="00CD5E89"/>
    <w:rsid w:val="00CD7371"/>
    <w:rsid w:val="00CD7A81"/>
    <w:rsid w:val="00CE23DF"/>
    <w:rsid w:val="00CE30B8"/>
    <w:rsid w:val="00CE3698"/>
    <w:rsid w:val="00CE3D91"/>
    <w:rsid w:val="00CE3DC8"/>
    <w:rsid w:val="00CE443B"/>
    <w:rsid w:val="00CE496F"/>
    <w:rsid w:val="00CE507D"/>
    <w:rsid w:val="00CE55AB"/>
    <w:rsid w:val="00CE5B95"/>
    <w:rsid w:val="00CE5C2C"/>
    <w:rsid w:val="00CE6642"/>
    <w:rsid w:val="00CE6741"/>
    <w:rsid w:val="00CE6D19"/>
    <w:rsid w:val="00CE7213"/>
    <w:rsid w:val="00CE7348"/>
    <w:rsid w:val="00CF084D"/>
    <w:rsid w:val="00CF1329"/>
    <w:rsid w:val="00CF144E"/>
    <w:rsid w:val="00CF1C44"/>
    <w:rsid w:val="00CF1CA2"/>
    <w:rsid w:val="00CF27B6"/>
    <w:rsid w:val="00CF478D"/>
    <w:rsid w:val="00CF4AAB"/>
    <w:rsid w:val="00CF4E83"/>
    <w:rsid w:val="00CF51C4"/>
    <w:rsid w:val="00CF5ABB"/>
    <w:rsid w:val="00CF5BDA"/>
    <w:rsid w:val="00CF61DD"/>
    <w:rsid w:val="00CF7137"/>
    <w:rsid w:val="00CF7B49"/>
    <w:rsid w:val="00D0039B"/>
    <w:rsid w:val="00D01A1B"/>
    <w:rsid w:val="00D02525"/>
    <w:rsid w:val="00D02AA9"/>
    <w:rsid w:val="00D02C86"/>
    <w:rsid w:val="00D05306"/>
    <w:rsid w:val="00D1010D"/>
    <w:rsid w:val="00D11369"/>
    <w:rsid w:val="00D11D2F"/>
    <w:rsid w:val="00D12AC2"/>
    <w:rsid w:val="00D1506E"/>
    <w:rsid w:val="00D154B1"/>
    <w:rsid w:val="00D16910"/>
    <w:rsid w:val="00D16A39"/>
    <w:rsid w:val="00D205BF"/>
    <w:rsid w:val="00D205F5"/>
    <w:rsid w:val="00D208EC"/>
    <w:rsid w:val="00D21375"/>
    <w:rsid w:val="00D21481"/>
    <w:rsid w:val="00D21AB8"/>
    <w:rsid w:val="00D24211"/>
    <w:rsid w:val="00D255BD"/>
    <w:rsid w:val="00D25F9D"/>
    <w:rsid w:val="00D273FA"/>
    <w:rsid w:val="00D30275"/>
    <w:rsid w:val="00D30697"/>
    <w:rsid w:val="00D3134E"/>
    <w:rsid w:val="00D3229B"/>
    <w:rsid w:val="00D32D5C"/>
    <w:rsid w:val="00D331A2"/>
    <w:rsid w:val="00D33DDE"/>
    <w:rsid w:val="00D34359"/>
    <w:rsid w:val="00D35FEA"/>
    <w:rsid w:val="00D36474"/>
    <w:rsid w:val="00D37500"/>
    <w:rsid w:val="00D37EDB"/>
    <w:rsid w:val="00D4123E"/>
    <w:rsid w:val="00D41ECD"/>
    <w:rsid w:val="00D42889"/>
    <w:rsid w:val="00D42BCF"/>
    <w:rsid w:val="00D43E7A"/>
    <w:rsid w:val="00D447F9"/>
    <w:rsid w:val="00D44CD6"/>
    <w:rsid w:val="00D4595A"/>
    <w:rsid w:val="00D45C88"/>
    <w:rsid w:val="00D45F9B"/>
    <w:rsid w:val="00D460F7"/>
    <w:rsid w:val="00D469ED"/>
    <w:rsid w:val="00D46B22"/>
    <w:rsid w:val="00D46D2C"/>
    <w:rsid w:val="00D51121"/>
    <w:rsid w:val="00D51167"/>
    <w:rsid w:val="00D51500"/>
    <w:rsid w:val="00D5159F"/>
    <w:rsid w:val="00D5166B"/>
    <w:rsid w:val="00D5232F"/>
    <w:rsid w:val="00D52B7B"/>
    <w:rsid w:val="00D52CAD"/>
    <w:rsid w:val="00D5332C"/>
    <w:rsid w:val="00D54ACE"/>
    <w:rsid w:val="00D55815"/>
    <w:rsid w:val="00D55E4D"/>
    <w:rsid w:val="00D55E5F"/>
    <w:rsid w:val="00D57E4B"/>
    <w:rsid w:val="00D60436"/>
    <w:rsid w:val="00D616FF"/>
    <w:rsid w:val="00D61F57"/>
    <w:rsid w:val="00D622EA"/>
    <w:rsid w:val="00D62DF5"/>
    <w:rsid w:val="00D62F1C"/>
    <w:rsid w:val="00D63BC2"/>
    <w:rsid w:val="00D63C57"/>
    <w:rsid w:val="00D63DE9"/>
    <w:rsid w:val="00D64ED9"/>
    <w:rsid w:val="00D6572B"/>
    <w:rsid w:val="00D664CD"/>
    <w:rsid w:val="00D676A0"/>
    <w:rsid w:val="00D700D5"/>
    <w:rsid w:val="00D70C20"/>
    <w:rsid w:val="00D70D7E"/>
    <w:rsid w:val="00D70F22"/>
    <w:rsid w:val="00D71F3E"/>
    <w:rsid w:val="00D720DF"/>
    <w:rsid w:val="00D7232F"/>
    <w:rsid w:val="00D7345F"/>
    <w:rsid w:val="00D735DC"/>
    <w:rsid w:val="00D73D16"/>
    <w:rsid w:val="00D73DD9"/>
    <w:rsid w:val="00D742C9"/>
    <w:rsid w:val="00D743BE"/>
    <w:rsid w:val="00D74ECB"/>
    <w:rsid w:val="00D753FF"/>
    <w:rsid w:val="00D764E1"/>
    <w:rsid w:val="00D776FE"/>
    <w:rsid w:val="00D80729"/>
    <w:rsid w:val="00D807F0"/>
    <w:rsid w:val="00D810B8"/>
    <w:rsid w:val="00D820E0"/>
    <w:rsid w:val="00D827FD"/>
    <w:rsid w:val="00D82C58"/>
    <w:rsid w:val="00D82F59"/>
    <w:rsid w:val="00D845A4"/>
    <w:rsid w:val="00D84B24"/>
    <w:rsid w:val="00D85346"/>
    <w:rsid w:val="00D8605B"/>
    <w:rsid w:val="00D87B65"/>
    <w:rsid w:val="00D87C0B"/>
    <w:rsid w:val="00D90354"/>
    <w:rsid w:val="00D908A0"/>
    <w:rsid w:val="00D91558"/>
    <w:rsid w:val="00D91656"/>
    <w:rsid w:val="00D91BD7"/>
    <w:rsid w:val="00D91D44"/>
    <w:rsid w:val="00D9374A"/>
    <w:rsid w:val="00D9453D"/>
    <w:rsid w:val="00D94987"/>
    <w:rsid w:val="00D94AD0"/>
    <w:rsid w:val="00D95CD2"/>
    <w:rsid w:val="00D9620F"/>
    <w:rsid w:val="00D96555"/>
    <w:rsid w:val="00D96886"/>
    <w:rsid w:val="00D9792A"/>
    <w:rsid w:val="00DA238B"/>
    <w:rsid w:val="00DA30BE"/>
    <w:rsid w:val="00DA4914"/>
    <w:rsid w:val="00DA4B20"/>
    <w:rsid w:val="00DA4D2E"/>
    <w:rsid w:val="00DA5808"/>
    <w:rsid w:val="00DA61EE"/>
    <w:rsid w:val="00DA6C41"/>
    <w:rsid w:val="00DB01BC"/>
    <w:rsid w:val="00DB29C2"/>
    <w:rsid w:val="00DB2B70"/>
    <w:rsid w:val="00DB2CD5"/>
    <w:rsid w:val="00DB374F"/>
    <w:rsid w:val="00DB39D9"/>
    <w:rsid w:val="00DB3D43"/>
    <w:rsid w:val="00DB3EA5"/>
    <w:rsid w:val="00DB4EC6"/>
    <w:rsid w:val="00DB535D"/>
    <w:rsid w:val="00DB54EF"/>
    <w:rsid w:val="00DB59AC"/>
    <w:rsid w:val="00DB5CF3"/>
    <w:rsid w:val="00DB62D8"/>
    <w:rsid w:val="00DB6A73"/>
    <w:rsid w:val="00DC0AB5"/>
    <w:rsid w:val="00DC0BA5"/>
    <w:rsid w:val="00DC0E0B"/>
    <w:rsid w:val="00DC113D"/>
    <w:rsid w:val="00DC187B"/>
    <w:rsid w:val="00DC1F51"/>
    <w:rsid w:val="00DC2178"/>
    <w:rsid w:val="00DC34B8"/>
    <w:rsid w:val="00DC4688"/>
    <w:rsid w:val="00DC4CCC"/>
    <w:rsid w:val="00DC6CC1"/>
    <w:rsid w:val="00DC7669"/>
    <w:rsid w:val="00DC7DCD"/>
    <w:rsid w:val="00DD0175"/>
    <w:rsid w:val="00DD0ABE"/>
    <w:rsid w:val="00DD0AD7"/>
    <w:rsid w:val="00DD0BB6"/>
    <w:rsid w:val="00DD10EB"/>
    <w:rsid w:val="00DD1E72"/>
    <w:rsid w:val="00DD3E1F"/>
    <w:rsid w:val="00DD4860"/>
    <w:rsid w:val="00DD53FF"/>
    <w:rsid w:val="00DD54E8"/>
    <w:rsid w:val="00DD6920"/>
    <w:rsid w:val="00DD6A33"/>
    <w:rsid w:val="00DD7297"/>
    <w:rsid w:val="00DD7856"/>
    <w:rsid w:val="00DE0062"/>
    <w:rsid w:val="00DE092F"/>
    <w:rsid w:val="00DE27AE"/>
    <w:rsid w:val="00DE282D"/>
    <w:rsid w:val="00DE38A6"/>
    <w:rsid w:val="00DE4326"/>
    <w:rsid w:val="00DE4663"/>
    <w:rsid w:val="00DE5842"/>
    <w:rsid w:val="00DE5B53"/>
    <w:rsid w:val="00DE64B0"/>
    <w:rsid w:val="00DE6F66"/>
    <w:rsid w:val="00DF0576"/>
    <w:rsid w:val="00DF0F1A"/>
    <w:rsid w:val="00DF1396"/>
    <w:rsid w:val="00DF28B0"/>
    <w:rsid w:val="00DF3905"/>
    <w:rsid w:val="00DF3A18"/>
    <w:rsid w:val="00DF3C25"/>
    <w:rsid w:val="00DF423F"/>
    <w:rsid w:val="00DF580F"/>
    <w:rsid w:val="00DF5994"/>
    <w:rsid w:val="00DF6716"/>
    <w:rsid w:val="00DF72F1"/>
    <w:rsid w:val="00DF76D5"/>
    <w:rsid w:val="00E01148"/>
    <w:rsid w:val="00E019CB"/>
    <w:rsid w:val="00E044B9"/>
    <w:rsid w:val="00E048BD"/>
    <w:rsid w:val="00E0507C"/>
    <w:rsid w:val="00E056DA"/>
    <w:rsid w:val="00E0575D"/>
    <w:rsid w:val="00E0603F"/>
    <w:rsid w:val="00E10D60"/>
    <w:rsid w:val="00E11251"/>
    <w:rsid w:val="00E11933"/>
    <w:rsid w:val="00E12FF5"/>
    <w:rsid w:val="00E13175"/>
    <w:rsid w:val="00E13A3D"/>
    <w:rsid w:val="00E13DC8"/>
    <w:rsid w:val="00E14987"/>
    <w:rsid w:val="00E14CE3"/>
    <w:rsid w:val="00E1505B"/>
    <w:rsid w:val="00E154EB"/>
    <w:rsid w:val="00E168E2"/>
    <w:rsid w:val="00E20180"/>
    <w:rsid w:val="00E202C8"/>
    <w:rsid w:val="00E21E8D"/>
    <w:rsid w:val="00E22B72"/>
    <w:rsid w:val="00E23063"/>
    <w:rsid w:val="00E231CE"/>
    <w:rsid w:val="00E23A3B"/>
    <w:rsid w:val="00E23E33"/>
    <w:rsid w:val="00E24557"/>
    <w:rsid w:val="00E25360"/>
    <w:rsid w:val="00E2599F"/>
    <w:rsid w:val="00E25B6D"/>
    <w:rsid w:val="00E25C59"/>
    <w:rsid w:val="00E26022"/>
    <w:rsid w:val="00E2612A"/>
    <w:rsid w:val="00E26D80"/>
    <w:rsid w:val="00E26F56"/>
    <w:rsid w:val="00E2746C"/>
    <w:rsid w:val="00E27A94"/>
    <w:rsid w:val="00E27F5B"/>
    <w:rsid w:val="00E30343"/>
    <w:rsid w:val="00E308F0"/>
    <w:rsid w:val="00E31211"/>
    <w:rsid w:val="00E31661"/>
    <w:rsid w:val="00E31707"/>
    <w:rsid w:val="00E31710"/>
    <w:rsid w:val="00E327F1"/>
    <w:rsid w:val="00E333F7"/>
    <w:rsid w:val="00E33980"/>
    <w:rsid w:val="00E347D2"/>
    <w:rsid w:val="00E348C4"/>
    <w:rsid w:val="00E35A38"/>
    <w:rsid w:val="00E363B6"/>
    <w:rsid w:val="00E3680D"/>
    <w:rsid w:val="00E36A6D"/>
    <w:rsid w:val="00E3771F"/>
    <w:rsid w:val="00E3773C"/>
    <w:rsid w:val="00E41FFA"/>
    <w:rsid w:val="00E42323"/>
    <w:rsid w:val="00E42E1B"/>
    <w:rsid w:val="00E43B68"/>
    <w:rsid w:val="00E44366"/>
    <w:rsid w:val="00E444D0"/>
    <w:rsid w:val="00E44A84"/>
    <w:rsid w:val="00E44BD3"/>
    <w:rsid w:val="00E450E3"/>
    <w:rsid w:val="00E45371"/>
    <w:rsid w:val="00E46794"/>
    <w:rsid w:val="00E46C5C"/>
    <w:rsid w:val="00E46D16"/>
    <w:rsid w:val="00E47970"/>
    <w:rsid w:val="00E50D1C"/>
    <w:rsid w:val="00E51130"/>
    <w:rsid w:val="00E51663"/>
    <w:rsid w:val="00E51753"/>
    <w:rsid w:val="00E517D3"/>
    <w:rsid w:val="00E52389"/>
    <w:rsid w:val="00E53EAE"/>
    <w:rsid w:val="00E5460A"/>
    <w:rsid w:val="00E551AA"/>
    <w:rsid w:val="00E55BE8"/>
    <w:rsid w:val="00E55D42"/>
    <w:rsid w:val="00E5645C"/>
    <w:rsid w:val="00E56461"/>
    <w:rsid w:val="00E572B2"/>
    <w:rsid w:val="00E579AB"/>
    <w:rsid w:val="00E57A6F"/>
    <w:rsid w:val="00E60933"/>
    <w:rsid w:val="00E614B5"/>
    <w:rsid w:val="00E619AB"/>
    <w:rsid w:val="00E61BBD"/>
    <w:rsid w:val="00E62467"/>
    <w:rsid w:val="00E62655"/>
    <w:rsid w:val="00E62762"/>
    <w:rsid w:val="00E62E27"/>
    <w:rsid w:val="00E64A43"/>
    <w:rsid w:val="00E66223"/>
    <w:rsid w:val="00E66CA9"/>
    <w:rsid w:val="00E67487"/>
    <w:rsid w:val="00E71465"/>
    <w:rsid w:val="00E71935"/>
    <w:rsid w:val="00E71CAF"/>
    <w:rsid w:val="00E7223F"/>
    <w:rsid w:val="00E727EE"/>
    <w:rsid w:val="00E72B6F"/>
    <w:rsid w:val="00E73059"/>
    <w:rsid w:val="00E73C48"/>
    <w:rsid w:val="00E73E57"/>
    <w:rsid w:val="00E746F8"/>
    <w:rsid w:val="00E74C45"/>
    <w:rsid w:val="00E765F4"/>
    <w:rsid w:val="00E80166"/>
    <w:rsid w:val="00E802A1"/>
    <w:rsid w:val="00E80B2A"/>
    <w:rsid w:val="00E84023"/>
    <w:rsid w:val="00E878BD"/>
    <w:rsid w:val="00E907A1"/>
    <w:rsid w:val="00E90885"/>
    <w:rsid w:val="00E93A7D"/>
    <w:rsid w:val="00E93A88"/>
    <w:rsid w:val="00E93E22"/>
    <w:rsid w:val="00E94020"/>
    <w:rsid w:val="00E9414F"/>
    <w:rsid w:val="00E9442C"/>
    <w:rsid w:val="00E94526"/>
    <w:rsid w:val="00E95366"/>
    <w:rsid w:val="00E95EA6"/>
    <w:rsid w:val="00E964A6"/>
    <w:rsid w:val="00E96ED2"/>
    <w:rsid w:val="00E97CAF"/>
    <w:rsid w:val="00EA04BB"/>
    <w:rsid w:val="00EA19F9"/>
    <w:rsid w:val="00EA2666"/>
    <w:rsid w:val="00EA2B3F"/>
    <w:rsid w:val="00EA2C81"/>
    <w:rsid w:val="00EA2E44"/>
    <w:rsid w:val="00EA3259"/>
    <w:rsid w:val="00EA33F1"/>
    <w:rsid w:val="00EA3DC8"/>
    <w:rsid w:val="00EA40A2"/>
    <w:rsid w:val="00EA4658"/>
    <w:rsid w:val="00EA4794"/>
    <w:rsid w:val="00EA5ED4"/>
    <w:rsid w:val="00EA76D5"/>
    <w:rsid w:val="00EB0200"/>
    <w:rsid w:val="00EB0E75"/>
    <w:rsid w:val="00EB277C"/>
    <w:rsid w:val="00EB31DD"/>
    <w:rsid w:val="00EB3446"/>
    <w:rsid w:val="00EB3B8D"/>
    <w:rsid w:val="00EB480D"/>
    <w:rsid w:val="00EB5541"/>
    <w:rsid w:val="00EB5673"/>
    <w:rsid w:val="00EB5C12"/>
    <w:rsid w:val="00EB7279"/>
    <w:rsid w:val="00EC0130"/>
    <w:rsid w:val="00EC03FA"/>
    <w:rsid w:val="00EC1470"/>
    <w:rsid w:val="00EC1AE7"/>
    <w:rsid w:val="00EC1D12"/>
    <w:rsid w:val="00EC213A"/>
    <w:rsid w:val="00EC3E06"/>
    <w:rsid w:val="00EC6264"/>
    <w:rsid w:val="00EC65F8"/>
    <w:rsid w:val="00EC6B77"/>
    <w:rsid w:val="00ED1759"/>
    <w:rsid w:val="00ED254F"/>
    <w:rsid w:val="00ED2D00"/>
    <w:rsid w:val="00ED3F2C"/>
    <w:rsid w:val="00ED4FD7"/>
    <w:rsid w:val="00ED538A"/>
    <w:rsid w:val="00ED5FA6"/>
    <w:rsid w:val="00ED70B2"/>
    <w:rsid w:val="00ED7BA6"/>
    <w:rsid w:val="00ED7BC0"/>
    <w:rsid w:val="00EE06EF"/>
    <w:rsid w:val="00EE07B6"/>
    <w:rsid w:val="00EE11E7"/>
    <w:rsid w:val="00EE13F5"/>
    <w:rsid w:val="00EE1D04"/>
    <w:rsid w:val="00EE2038"/>
    <w:rsid w:val="00EE2145"/>
    <w:rsid w:val="00EE242F"/>
    <w:rsid w:val="00EE3896"/>
    <w:rsid w:val="00EE47B8"/>
    <w:rsid w:val="00EE4894"/>
    <w:rsid w:val="00EE4AB1"/>
    <w:rsid w:val="00EE57EE"/>
    <w:rsid w:val="00EE69BA"/>
    <w:rsid w:val="00EE6C37"/>
    <w:rsid w:val="00EE6CFC"/>
    <w:rsid w:val="00EE726B"/>
    <w:rsid w:val="00EE7C71"/>
    <w:rsid w:val="00EF0BEF"/>
    <w:rsid w:val="00EF1310"/>
    <w:rsid w:val="00EF224D"/>
    <w:rsid w:val="00EF2AC3"/>
    <w:rsid w:val="00EF3B7D"/>
    <w:rsid w:val="00EF3D57"/>
    <w:rsid w:val="00EF460E"/>
    <w:rsid w:val="00EF7287"/>
    <w:rsid w:val="00EF7AF0"/>
    <w:rsid w:val="00F00B14"/>
    <w:rsid w:val="00F0132E"/>
    <w:rsid w:val="00F02620"/>
    <w:rsid w:val="00F02E77"/>
    <w:rsid w:val="00F032CB"/>
    <w:rsid w:val="00F04046"/>
    <w:rsid w:val="00F051FF"/>
    <w:rsid w:val="00F05E3F"/>
    <w:rsid w:val="00F0781E"/>
    <w:rsid w:val="00F078FF"/>
    <w:rsid w:val="00F10AD3"/>
    <w:rsid w:val="00F11A01"/>
    <w:rsid w:val="00F11D1A"/>
    <w:rsid w:val="00F11F79"/>
    <w:rsid w:val="00F13315"/>
    <w:rsid w:val="00F14D79"/>
    <w:rsid w:val="00F154FC"/>
    <w:rsid w:val="00F1610D"/>
    <w:rsid w:val="00F16933"/>
    <w:rsid w:val="00F21FCE"/>
    <w:rsid w:val="00F231BA"/>
    <w:rsid w:val="00F23252"/>
    <w:rsid w:val="00F2418B"/>
    <w:rsid w:val="00F25174"/>
    <w:rsid w:val="00F25411"/>
    <w:rsid w:val="00F25AE3"/>
    <w:rsid w:val="00F264C2"/>
    <w:rsid w:val="00F266DE"/>
    <w:rsid w:val="00F26D38"/>
    <w:rsid w:val="00F27341"/>
    <w:rsid w:val="00F279C1"/>
    <w:rsid w:val="00F30C12"/>
    <w:rsid w:val="00F312F2"/>
    <w:rsid w:val="00F31D0A"/>
    <w:rsid w:val="00F32B41"/>
    <w:rsid w:val="00F332DF"/>
    <w:rsid w:val="00F33936"/>
    <w:rsid w:val="00F346CC"/>
    <w:rsid w:val="00F34B39"/>
    <w:rsid w:val="00F34ED4"/>
    <w:rsid w:val="00F352DB"/>
    <w:rsid w:val="00F35E26"/>
    <w:rsid w:val="00F3681D"/>
    <w:rsid w:val="00F376DC"/>
    <w:rsid w:val="00F37956"/>
    <w:rsid w:val="00F37D9F"/>
    <w:rsid w:val="00F40B18"/>
    <w:rsid w:val="00F43510"/>
    <w:rsid w:val="00F435B7"/>
    <w:rsid w:val="00F44656"/>
    <w:rsid w:val="00F44812"/>
    <w:rsid w:val="00F44860"/>
    <w:rsid w:val="00F448CB"/>
    <w:rsid w:val="00F46394"/>
    <w:rsid w:val="00F46C06"/>
    <w:rsid w:val="00F46CA4"/>
    <w:rsid w:val="00F474F8"/>
    <w:rsid w:val="00F47576"/>
    <w:rsid w:val="00F4757C"/>
    <w:rsid w:val="00F47C48"/>
    <w:rsid w:val="00F50126"/>
    <w:rsid w:val="00F5025F"/>
    <w:rsid w:val="00F50594"/>
    <w:rsid w:val="00F50D56"/>
    <w:rsid w:val="00F51457"/>
    <w:rsid w:val="00F5195E"/>
    <w:rsid w:val="00F53659"/>
    <w:rsid w:val="00F539FA"/>
    <w:rsid w:val="00F544FB"/>
    <w:rsid w:val="00F55287"/>
    <w:rsid w:val="00F5535B"/>
    <w:rsid w:val="00F556E2"/>
    <w:rsid w:val="00F55E0C"/>
    <w:rsid w:val="00F56A74"/>
    <w:rsid w:val="00F5791B"/>
    <w:rsid w:val="00F61568"/>
    <w:rsid w:val="00F6194F"/>
    <w:rsid w:val="00F622DC"/>
    <w:rsid w:val="00F62C55"/>
    <w:rsid w:val="00F63EF1"/>
    <w:rsid w:val="00F64C16"/>
    <w:rsid w:val="00F64E8B"/>
    <w:rsid w:val="00F65A47"/>
    <w:rsid w:val="00F6669A"/>
    <w:rsid w:val="00F67E37"/>
    <w:rsid w:val="00F702EE"/>
    <w:rsid w:val="00F722A7"/>
    <w:rsid w:val="00F72333"/>
    <w:rsid w:val="00F72BBC"/>
    <w:rsid w:val="00F730D4"/>
    <w:rsid w:val="00F7373A"/>
    <w:rsid w:val="00F73F10"/>
    <w:rsid w:val="00F74ADB"/>
    <w:rsid w:val="00F768AE"/>
    <w:rsid w:val="00F76CE6"/>
    <w:rsid w:val="00F80150"/>
    <w:rsid w:val="00F80FDE"/>
    <w:rsid w:val="00F81074"/>
    <w:rsid w:val="00F824AB"/>
    <w:rsid w:val="00F82969"/>
    <w:rsid w:val="00F82B3A"/>
    <w:rsid w:val="00F82DF1"/>
    <w:rsid w:val="00F83E6E"/>
    <w:rsid w:val="00F85728"/>
    <w:rsid w:val="00F85D68"/>
    <w:rsid w:val="00F86997"/>
    <w:rsid w:val="00F86F0F"/>
    <w:rsid w:val="00F87B17"/>
    <w:rsid w:val="00F87FBE"/>
    <w:rsid w:val="00F91D3B"/>
    <w:rsid w:val="00F94724"/>
    <w:rsid w:val="00F95A4B"/>
    <w:rsid w:val="00F96994"/>
    <w:rsid w:val="00FA0303"/>
    <w:rsid w:val="00FA09F6"/>
    <w:rsid w:val="00FA200B"/>
    <w:rsid w:val="00FA2FA8"/>
    <w:rsid w:val="00FA3590"/>
    <w:rsid w:val="00FA368B"/>
    <w:rsid w:val="00FA385D"/>
    <w:rsid w:val="00FA38D2"/>
    <w:rsid w:val="00FA3C3F"/>
    <w:rsid w:val="00FA528D"/>
    <w:rsid w:val="00FA54A6"/>
    <w:rsid w:val="00FA616D"/>
    <w:rsid w:val="00FA6660"/>
    <w:rsid w:val="00FA7D91"/>
    <w:rsid w:val="00FB002D"/>
    <w:rsid w:val="00FB0983"/>
    <w:rsid w:val="00FB09BE"/>
    <w:rsid w:val="00FB0AD5"/>
    <w:rsid w:val="00FB100C"/>
    <w:rsid w:val="00FB12E9"/>
    <w:rsid w:val="00FB1D32"/>
    <w:rsid w:val="00FB2346"/>
    <w:rsid w:val="00FB2704"/>
    <w:rsid w:val="00FB2827"/>
    <w:rsid w:val="00FB317B"/>
    <w:rsid w:val="00FB5FD5"/>
    <w:rsid w:val="00FB7234"/>
    <w:rsid w:val="00FB7268"/>
    <w:rsid w:val="00FB7C82"/>
    <w:rsid w:val="00FC0C31"/>
    <w:rsid w:val="00FC10CF"/>
    <w:rsid w:val="00FC354B"/>
    <w:rsid w:val="00FC5CD1"/>
    <w:rsid w:val="00FC696E"/>
    <w:rsid w:val="00FC6DB2"/>
    <w:rsid w:val="00FC7655"/>
    <w:rsid w:val="00FD1582"/>
    <w:rsid w:val="00FD1698"/>
    <w:rsid w:val="00FD17B0"/>
    <w:rsid w:val="00FD251B"/>
    <w:rsid w:val="00FD3437"/>
    <w:rsid w:val="00FD553A"/>
    <w:rsid w:val="00FD577C"/>
    <w:rsid w:val="00FD5FF8"/>
    <w:rsid w:val="00FD63DA"/>
    <w:rsid w:val="00FD69E2"/>
    <w:rsid w:val="00FD72BD"/>
    <w:rsid w:val="00FD7550"/>
    <w:rsid w:val="00FE0748"/>
    <w:rsid w:val="00FE099C"/>
    <w:rsid w:val="00FE1013"/>
    <w:rsid w:val="00FE196B"/>
    <w:rsid w:val="00FE1E5A"/>
    <w:rsid w:val="00FE22CC"/>
    <w:rsid w:val="00FE27BF"/>
    <w:rsid w:val="00FE2F6C"/>
    <w:rsid w:val="00FE3100"/>
    <w:rsid w:val="00FE42DF"/>
    <w:rsid w:val="00FE5A64"/>
    <w:rsid w:val="00FE5C94"/>
    <w:rsid w:val="00FE6492"/>
    <w:rsid w:val="00FE74E2"/>
    <w:rsid w:val="00FE7AA9"/>
    <w:rsid w:val="00FF13AB"/>
    <w:rsid w:val="00FF182D"/>
    <w:rsid w:val="00FF1D23"/>
    <w:rsid w:val="00FF344A"/>
    <w:rsid w:val="00FF3CB5"/>
    <w:rsid w:val="00FF3E4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53DB09"/>
  <w15:chartTrackingRefBased/>
  <w15:docId w15:val="{4270E897-66CD-4960-9DAF-EB0942857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qFormat="1"/>
    <w:lsdException w:name="footnote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CD7A81"/>
    <w:rPr>
      <w:sz w:val="24"/>
      <w:szCs w:val="24"/>
      <w:lang w:eastAsia="en-US"/>
    </w:rPr>
  </w:style>
  <w:style w:type="paragraph" w:styleId="Titolo1">
    <w:name w:val="heading 1"/>
    <w:basedOn w:val="Normale"/>
    <w:next w:val="Normale"/>
    <w:qFormat/>
    <w:pPr>
      <w:keepNext/>
      <w:tabs>
        <w:tab w:val="left" w:pos="3686"/>
        <w:tab w:val="left" w:pos="7655"/>
        <w:tab w:val="left" w:pos="8647"/>
      </w:tabs>
      <w:overflowPunct w:val="0"/>
      <w:autoSpaceDE w:val="0"/>
      <w:autoSpaceDN w:val="0"/>
      <w:adjustRightInd w:val="0"/>
      <w:ind w:firstLine="567"/>
      <w:jc w:val="both"/>
      <w:textAlignment w:val="baseline"/>
      <w:outlineLvl w:val="0"/>
    </w:pPr>
    <w:rPr>
      <w:szCs w:val="20"/>
      <w:lang w:eastAsia="it-IT"/>
    </w:rPr>
  </w:style>
  <w:style w:type="paragraph" w:styleId="Titolo2">
    <w:name w:val="heading 2"/>
    <w:basedOn w:val="Normale"/>
    <w:next w:val="Normale"/>
    <w:qFormat/>
    <w:pPr>
      <w:keepNext/>
      <w:overflowPunct w:val="0"/>
      <w:autoSpaceDE w:val="0"/>
      <w:autoSpaceDN w:val="0"/>
      <w:adjustRightInd w:val="0"/>
      <w:jc w:val="center"/>
      <w:textAlignment w:val="baseline"/>
      <w:outlineLvl w:val="1"/>
    </w:pPr>
    <w:rPr>
      <w:b/>
      <w:sz w:val="28"/>
      <w:szCs w:val="20"/>
      <w:lang w:eastAsia="it-IT"/>
    </w:rPr>
  </w:style>
  <w:style w:type="paragraph" w:styleId="Titolo8">
    <w:name w:val="heading 8"/>
    <w:basedOn w:val="Normale"/>
    <w:next w:val="Normale"/>
    <w:qFormat/>
    <w:pPr>
      <w:keepNext/>
      <w:overflowPunct w:val="0"/>
      <w:autoSpaceDE w:val="0"/>
      <w:autoSpaceDN w:val="0"/>
      <w:adjustRightInd w:val="0"/>
      <w:jc w:val="center"/>
      <w:textAlignment w:val="baseline"/>
      <w:outlineLvl w:val="7"/>
    </w:pPr>
    <w:rPr>
      <w:b/>
      <w:sz w:val="36"/>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Didascalia">
    <w:name w:val="caption"/>
    <w:aliases w:val="figura"/>
    <w:basedOn w:val="Text"/>
    <w:next w:val="Normale"/>
    <w:qFormat/>
    <w:pPr>
      <w:keepNext/>
      <w:ind w:left="3476" w:hanging="357"/>
    </w:pPr>
    <w:rPr>
      <w:b/>
    </w:rPr>
  </w:style>
  <w:style w:type="paragraph" w:customStyle="1" w:styleId="Text">
    <w:name w:val="Text"/>
    <w:basedOn w:val="Normale"/>
    <w:pPr>
      <w:keepLines/>
      <w:spacing w:before="60" w:after="180"/>
      <w:ind w:left="3096"/>
    </w:pPr>
    <w:rPr>
      <w:rFonts w:ascii="UniSerif" w:hAnsi="UniSerif"/>
      <w:szCs w:val="20"/>
    </w:rPr>
  </w:style>
  <w:style w:type="paragraph" w:styleId="Intestazione">
    <w:name w:val="header"/>
    <w:basedOn w:val="Normale"/>
    <w:pPr>
      <w:pBdr>
        <w:bottom w:val="single" w:sz="6" w:space="1" w:color="auto"/>
      </w:pBdr>
      <w:tabs>
        <w:tab w:val="center" w:pos="4153"/>
        <w:tab w:val="right" w:pos="8306"/>
      </w:tabs>
      <w:spacing w:before="60" w:after="60"/>
    </w:pPr>
    <w:rPr>
      <w:rFonts w:ascii="Arial" w:hAnsi="Arial"/>
      <w:sz w:val="20"/>
      <w:szCs w:val="20"/>
      <w:lang w:val="en-GB"/>
    </w:rPr>
  </w:style>
  <w:style w:type="paragraph" w:styleId="Pidipagina">
    <w:name w:val="footer"/>
    <w:basedOn w:val="Normale"/>
    <w:pPr>
      <w:pBdr>
        <w:top w:val="single" w:sz="6" w:space="1" w:color="auto"/>
      </w:pBdr>
      <w:tabs>
        <w:tab w:val="center" w:pos="4153"/>
        <w:tab w:val="right" w:pos="8306"/>
      </w:tabs>
      <w:spacing w:before="60" w:after="60"/>
    </w:pPr>
    <w:rPr>
      <w:sz w:val="20"/>
      <w:szCs w:val="20"/>
    </w:rPr>
  </w:style>
  <w:style w:type="paragraph" w:styleId="NormaleWeb">
    <w:name w:val="Normal (Web)"/>
    <w:basedOn w:val="Normale"/>
    <w:uiPriority w:val="99"/>
    <w:pPr>
      <w:spacing w:before="100" w:beforeAutospacing="1" w:after="100" w:afterAutospacing="1"/>
    </w:pPr>
    <w:rPr>
      <w:lang w:val="en-GB"/>
    </w:rPr>
  </w:style>
  <w:style w:type="paragraph" w:styleId="Paragrafoelenco">
    <w:name w:val="List Paragraph"/>
    <w:basedOn w:val="Normale"/>
    <w:uiPriority w:val="34"/>
    <w:qFormat/>
    <w:rsid w:val="00696C5F"/>
    <w:pPr>
      <w:ind w:left="720"/>
      <w:contextualSpacing/>
    </w:pPr>
  </w:style>
  <w:style w:type="character" w:styleId="Collegamentoipertestuale">
    <w:name w:val="Hyperlink"/>
    <w:basedOn w:val="Carpredefinitoparagrafo"/>
    <w:rsid w:val="00EA5ED4"/>
    <w:rPr>
      <w:color w:val="0563C1" w:themeColor="hyperlink"/>
      <w:u w:val="single"/>
    </w:rPr>
  </w:style>
  <w:style w:type="character" w:styleId="Menzionenonrisolta">
    <w:name w:val="Unresolved Mention"/>
    <w:basedOn w:val="Carpredefinitoparagrafo"/>
    <w:uiPriority w:val="99"/>
    <w:semiHidden/>
    <w:unhideWhenUsed/>
    <w:rsid w:val="00EA5ED4"/>
    <w:rPr>
      <w:color w:val="605E5C"/>
      <w:shd w:val="clear" w:color="auto" w:fill="E1DFDD"/>
    </w:rPr>
  </w:style>
  <w:style w:type="paragraph" w:styleId="Testonotaapidipagina">
    <w:name w:val="footnote text"/>
    <w:basedOn w:val="Normale"/>
    <w:link w:val="TestonotaapidipaginaCarattere"/>
    <w:rsid w:val="00EE13F5"/>
    <w:rPr>
      <w:sz w:val="20"/>
      <w:szCs w:val="20"/>
    </w:rPr>
  </w:style>
  <w:style w:type="character" w:customStyle="1" w:styleId="TestonotaapidipaginaCarattere">
    <w:name w:val="Testo nota a piè di pagina Carattere"/>
    <w:basedOn w:val="Carpredefinitoparagrafo"/>
    <w:link w:val="Testonotaapidipagina"/>
    <w:rsid w:val="00EE13F5"/>
    <w:rPr>
      <w:lang w:eastAsia="en-US"/>
    </w:rPr>
  </w:style>
  <w:style w:type="character" w:styleId="Rimandonotaapidipagina">
    <w:name w:val="footnote reference"/>
    <w:basedOn w:val="Carpredefinitoparagrafo"/>
    <w:uiPriority w:val="99"/>
    <w:rsid w:val="00EE13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86355">
      <w:bodyDiv w:val="1"/>
      <w:marLeft w:val="0"/>
      <w:marRight w:val="0"/>
      <w:marTop w:val="0"/>
      <w:marBottom w:val="0"/>
      <w:divBdr>
        <w:top w:val="none" w:sz="0" w:space="0" w:color="auto"/>
        <w:left w:val="none" w:sz="0" w:space="0" w:color="auto"/>
        <w:bottom w:val="none" w:sz="0" w:space="0" w:color="auto"/>
        <w:right w:val="none" w:sz="0" w:space="0" w:color="auto"/>
      </w:divBdr>
    </w:div>
    <w:div w:id="37974405">
      <w:bodyDiv w:val="1"/>
      <w:marLeft w:val="0"/>
      <w:marRight w:val="0"/>
      <w:marTop w:val="0"/>
      <w:marBottom w:val="0"/>
      <w:divBdr>
        <w:top w:val="none" w:sz="0" w:space="0" w:color="auto"/>
        <w:left w:val="none" w:sz="0" w:space="0" w:color="auto"/>
        <w:bottom w:val="none" w:sz="0" w:space="0" w:color="auto"/>
        <w:right w:val="none" w:sz="0" w:space="0" w:color="auto"/>
      </w:divBdr>
      <w:divsChild>
        <w:div w:id="1335674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978862">
      <w:bodyDiv w:val="1"/>
      <w:marLeft w:val="0"/>
      <w:marRight w:val="0"/>
      <w:marTop w:val="0"/>
      <w:marBottom w:val="0"/>
      <w:divBdr>
        <w:top w:val="none" w:sz="0" w:space="0" w:color="auto"/>
        <w:left w:val="none" w:sz="0" w:space="0" w:color="auto"/>
        <w:bottom w:val="none" w:sz="0" w:space="0" w:color="auto"/>
        <w:right w:val="none" w:sz="0" w:space="0" w:color="auto"/>
      </w:divBdr>
    </w:div>
    <w:div w:id="148598303">
      <w:bodyDiv w:val="1"/>
      <w:marLeft w:val="0"/>
      <w:marRight w:val="0"/>
      <w:marTop w:val="0"/>
      <w:marBottom w:val="0"/>
      <w:divBdr>
        <w:top w:val="none" w:sz="0" w:space="0" w:color="auto"/>
        <w:left w:val="none" w:sz="0" w:space="0" w:color="auto"/>
        <w:bottom w:val="none" w:sz="0" w:space="0" w:color="auto"/>
        <w:right w:val="none" w:sz="0" w:space="0" w:color="auto"/>
      </w:divBdr>
      <w:divsChild>
        <w:div w:id="536241748">
          <w:blockQuote w:val="1"/>
          <w:marLeft w:val="720"/>
          <w:marRight w:val="720"/>
          <w:marTop w:val="100"/>
          <w:marBottom w:val="100"/>
          <w:divBdr>
            <w:top w:val="none" w:sz="0" w:space="0" w:color="auto"/>
            <w:left w:val="none" w:sz="0" w:space="0" w:color="auto"/>
            <w:bottom w:val="none" w:sz="0" w:space="0" w:color="auto"/>
            <w:right w:val="none" w:sz="0" w:space="0" w:color="auto"/>
          </w:divBdr>
        </w:div>
        <w:div w:id="12854316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379834">
      <w:bodyDiv w:val="1"/>
      <w:marLeft w:val="0"/>
      <w:marRight w:val="0"/>
      <w:marTop w:val="0"/>
      <w:marBottom w:val="0"/>
      <w:divBdr>
        <w:top w:val="none" w:sz="0" w:space="0" w:color="auto"/>
        <w:left w:val="none" w:sz="0" w:space="0" w:color="auto"/>
        <w:bottom w:val="none" w:sz="0" w:space="0" w:color="auto"/>
        <w:right w:val="none" w:sz="0" w:space="0" w:color="auto"/>
      </w:divBdr>
    </w:div>
    <w:div w:id="208612124">
      <w:bodyDiv w:val="1"/>
      <w:marLeft w:val="0"/>
      <w:marRight w:val="0"/>
      <w:marTop w:val="0"/>
      <w:marBottom w:val="0"/>
      <w:divBdr>
        <w:top w:val="none" w:sz="0" w:space="0" w:color="auto"/>
        <w:left w:val="none" w:sz="0" w:space="0" w:color="auto"/>
        <w:bottom w:val="none" w:sz="0" w:space="0" w:color="auto"/>
        <w:right w:val="none" w:sz="0" w:space="0" w:color="auto"/>
      </w:divBdr>
    </w:div>
    <w:div w:id="227620249">
      <w:bodyDiv w:val="1"/>
      <w:marLeft w:val="0"/>
      <w:marRight w:val="0"/>
      <w:marTop w:val="0"/>
      <w:marBottom w:val="0"/>
      <w:divBdr>
        <w:top w:val="none" w:sz="0" w:space="0" w:color="auto"/>
        <w:left w:val="none" w:sz="0" w:space="0" w:color="auto"/>
        <w:bottom w:val="none" w:sz="0" w:space="0" w:color="auto"/>
        <w:right w:val="none" w:sz="0" w:space="0" w:color="auto"/>
      </w:divBdr>
    </w:div>
    <w:div w:id="261574018">
      <w:bodyDiv w:val="1"/>
      <w:marLeft w:val="0"/>
      <w:marRight w:val="0"/>
      <w:marTop w:val="0"/>
      <w:marBottom w:val="0"/>
      <w:divBdr>
        <w:top w:val="none" w:sz="0" w:space="0" w:color="auto"/>
        <w:left w:val="none" w:sz="0" w:space="0" w:color="auto"/>
        <w:bottom w:val="none" w:sz="0" w:space="0" w:color="auto"/>
        <w:right w:val="none" w:sz="0" w:space="0" w:color="auto"/>
      </w:divBdr>
    </w:div>
    <w:div w:id="344208930">
      <w:bodyDiv w:val="1"/>
      <w:marLeft w:val="0"/>
      <w:marRight w:val="0"/>
      <w:marTop w:val="0"/>
      <w:marBottom w:val="0"/>
      <w:divBdr>
        <w:top w:val="none" w:sz="0" w:space="0" w:color="auto"/>
        <w:left w:val="none" w:sz="0" w:space="0" w:color="auto"/>
        <w:bottom w:val="none" w:sz="0" w:space="0" w:color="auto"/>
        <w:right w:val="none" w:sz="0" w:space="0" w:color="auto"/>
      </w:divBdr>
    </w:div>
    <w:div w:id="357855200">
      <w:bodyDiv w:val="1"/>
      <w:marLeft w:val="0"/>
      <w:marRight w:val="0"/>
      <w:marTop w:val="0"/>
      <w:marBottom w:val="0"/>
      <w:divBdr>
        <w:top w:val="none" w:sz="0" w:space="0" w:color="auto"/>
        <w:left w:val="none" w:sz="0" w:space="0" w:color="auto"/>
        <w:bottom w:val="none" w:sz="0" w:space="0" w:color="auto"/>
        <w:right w:val="none" w:sz="0" w:space="0" w:color="auto"/>
      </w:divBdr>
    </w:div>
    <w:div w:id="433788456">
      <w:bodyDiv w:val="1"/>
      <w:marLeft w:val="0"/>
      <w:marRight w:val="0"/>
      <w:marTop w:val="0"/>
      <w:marBottom w:val="0"/>
      <w:divBdr>
        <w:top w:val="none" w:sz="0" w:space="0" w:color="auto"/>
        <w:left w:val="none" w:sz="0" w:space="0" w:color="auto"/>
        <w:bottom w:val="none" w:sz="0" w:space="0" w:color="auto"/>
        <w:right w:val="none" w:sz="0" w:space="0" w:color="auto"/>
      </w:divBdr>
    </w:div>
    <w:div w:id="450250828">
      <w:bodyDiv w:val="1"/>
      <w:marLeft w:val="0"/>
      <w:marRight w:val="0"/>
      <w:marTop w:val="0"/>
      <w:marBottom w:val="0"/>
      <w:divBdr>
        <w:top w:val="none" w:sz="0" w:space="0" w:color="auto"/>
        <w:left w:val="none" w:sz="0" w:space="0" w:color="auto"/>
        <w:bottom w:val="none" w:sz="0" w:space="0" w:color="auto"/>
        <w:right w:val="none" w:sz="0" w:space="0" w:color="auto"/>
      </w:divBdr>
      <w:divsChild>
        <w:div w:id="663897750">
          <w:marLeft w:val="0"/>
          <w:marRight w:val="0"/>
          <w:marTop w:val="0"/>
          <w:marBottom w:val="120"/>
          <w:divBdr>
            <w:top w:val="none" w:sz="0" w:space="0" w:color="auto"/>
            <w:left w:val="none" w:sz="0" w:space="0" w:color="auto"/>
            <w:bottom w:val="none" w:sz="0" w:space="0" w:color="auto"/>
            <w:right w:val="none" w:sz="0" w:space="0" w:color="auto"/>
          </w:divBdr>
        </w:div>
        <w:div w:id="176234322">
          <w:marLeft w:val="0"/>
          <w:marRight w:val="0"/>
          <w:marTop w:val="0"/>
          <w:marBottom w:val="120"/>
          <w:divBdr>
            <w:top w:val="none" w:sz="0" w:space="0" w:color="auto"/>
            <w:left w:val="none" w:sz="0" w:space="0" w:color="auto"/>
            <w:bottom w:val="none" w:sz="0" w:space="0" w:color="auto"/>
            <w:right w:val="none" w:sz="0" w:space="0" w:color="auto"/>
          </w:divBdr>
        </w:div>
      </w:divsChild>
    </w:div>
    <w:div w:id="531500640">
      <w:bodyDiv w:val="1"/>
      <w:marLeft w:val="0"/>
      <w:marRight w:val="0"/>
      <w:marTop w:val="0"/>
      <w:marBottom w:val="0"/>
      <w:divBdr>
        <w:top w:val="none" w:sz="0" w:space="0" w:color="auto"/>
        <w:left w:val="none" w:sz="0" w:space="0" w:color="auto"/>
        <w:bottom w:val="none" w:sz="0" w:space="0" w:color="auto"/>
        <w:right w:val="none" w:sz="0" w:space="0" w:color="auto"/>
      </w:divBdr>
    </w:div>
    <w:div w:id="568810455">
      <w:bodyDiv w:val="1"/>
      <w:marLeft w:val="0"/>
      <w:marRight w:val="0"/>
      <w:marTop w:val="0"/>
      <w:marBottom w:val="0"/>
      <w:divBdr>
        <w:top w:val="none" w:sz="0" w:space="0" w:color="auto"/>
        <w:left w:val="none" w:sz="0" w:space="0" w:color="auto"/>
        <w:bottom w:val="none" w:sz="0" w:space="0" w:color="auto"/>
        <w:right w:val="none" w:sz="0" w:space="0" w:color="auto"/>
      </w:divBdr>
    </w:div>
    <w:div w:id="630286731">
      <w:bodyDiv w:val="1"/>
      <w:marLeft w:val="0"/>
      <w:marRight w:val="0"/>
      <w:marTop w:val="0"/>
      <w:marBottom w:val="0"/>
      <w:divBdr>
        <w:top w:val="none" w:sz="0" w:space="0" w:color="auto"/>
        <w:left w:val="none" w:sz="0" w:space="0" w:color="auto"/>
        <w:bottom w:val="none" w:sz="0" w:space="0" w:color="auto"/>
        <w:right w:val="none" w:sz="0" w:space="0" w:color="auto"/>
      </w:divBdr>
    </w:div>
    <w:div w:id="675306268">
      <w:bodyDiv w:val="1"/>
      <w:marLeft w:val="0"/>
      <w:marRight w:val="0"/>
      <w:marTop w:val="0"/>
      <w:marBottom w:val="0"/>
      <w:divBdr>
        <w:top w:val="none" w:sz="0" w:space="0" w:color="auto"/>
        <w:left w:val="none" w:sz="0" w:space="0" w:color="auto"/>
        <w:bottom w:val="none" w:sz="0" w:space="0" w:color="auto"/>
        <w:right w:val="none" w:sz="0" w:space="0" w:color="auto"/>
      </w:divBdr>
    </w:div>
    <w:div w:id="705912983">
      <w:bodyDiv w:val="1"/>
      <w:marLeft w:val="0"/>
      <w:marRight w:val="0"/>
      <w:marTop w:val="0"/>
      <w:marBottom w:val="0"/>
      <w:divBdr>
        <w:top w:val="none" w:sz="0" w:space="0" w:color="auto"/>
        <w:left w:val="none" w:sz="0" w:space="0" w:color="auto"/>
        <w:bottom w:val="none" w:sz="0" w:space="0" w:color="auto"/>
        <w:right w:val="none" w:sz="0" w:space="0" w:color="auto"/>
      </w:divBdr>
    </w:div>
    <w:div w:id="708266440">
      <w:bodyDiv w:val="1"/>
      <w:marLeft w:val="0"/>
      <w:marRight w:val="0"/>
      <w:marTop w:val="0"/>
      <w:marBottom w:val="0"/>
      <w:divBdr>
        <w:top w:val="none" w:sz="0" w:space="0" w:color="auto"/>
        <w:left w:val="none" w:sz="0" w:space="0" w:color="auto"/>
        <w:bottom w:val="none" w:sz="0" w:space="0" w:color="auto"/>
        <w:right w:val="none" w:sz="0" w:space="0" w:color="auto"/>
      </w:divBdr>
    </w:div>
    <w:div w:id="716666051">
      <w:bodyDiv w:val="1"/>
      <w:marLeft w:val="0"/>
      <w:marRight w:val="0"/>
      <w:marTop w:val="0"/>
      <w:marBottom w:val="0"/>
      <w:divBdr>
        <w:top w:val="none" w:sz="0" w:space="0" w:color="auto"/>
        <w:left w:val="none" w:sz="0" w:space="0" w:color="auto"/>
        <w:bottom w:val="none" w:sz="0" w:space="0" w:color="auto"/>
        <w:right w:val="none" w:sz="0" w:space="0" w:color="auto"/>
      </w:divBdr>
    </w:div>
    <w:div w:id="723219786">
      <w:bodyDiv w:val="1"/>
      <w:marLeft w:val="0"/>
      <w:marRight w:val="0"/>
      <w:marTop w:val="0"/>
      <w:marBottom w:val="0"/>
      <w:divBdr>
        <w:top w:val="none" w:sz="0" w:space="0" w:color="auto"/>
        <w:left w:val="none" w:sz="0" w:space="0" w:color="auto"/>
        <w:bottom w:val="none" w:sz="0" w:space="0" w:color="auto"/>
        <w:right w:val="none" w:sz="0" w:space="0" w:color="auto"/>
      </w:divBdr>
    </w:div>
    <w:div w:id="778570536">
      <w:bodyDiv w:val="1"/>
      <w:marLeft w:val="0"/>
      <w:marRight w:val="0"/>
      <w:marTop w:val="0"/>
      <w:marBottom w:val="0"/>
      <w:divBdr>
        <w:top w:val="none" w:sz="0" w:space="0" w:color="auto"/>
        <w:left w:val="none" w:sz="0" w:space="0" w:color="auto"/>
        <w:bottom w:val="none" w:sz="0" w:space="0" w:color="auto"/>
        <w:right w:val="none" w:sz="0" w:space="0" w:color="auto"/>
      </w:divBdr>
    </w:div>
    <w:div w:id="886336481">
      <w:bodyDiv w:val="1"/>
      <w:marLeft w:val="0"/>
      <w:marRight w:val="0"/>
      <w:marTop w:val="0"/>
      <w:marBottom w:val="0"/>
      <w:divBdr>
        <w:top w:val="none" w:sz="0" w:space="0" w:color="auto"/>
        <w:left w:val="none" w:sz="0" w:space="0" w:color="auto"/>
        <w:bottom w:val="none" w:sz="0" w:space="0" w:color="auto"/>
        <w:right w:val="none" w:sz="0" w:space="0" w:color="auto"/>
      </w:divBdr>
    </w:div>
    <w:div w:id="889196198">
      <w:bodyDiv w:val="1"/>
      <w:marLeft w:val="0"/>
      <w:marRight w:val="0"/>
      <w:marTop w:val="0"/>
      <w:marBottom w:val="0"/>
      <w:divBdr>
        <w:top w:val="none" w:sz="0" w:space="0" w:color="auto"/>
        <w:left w:val="none" w:sz="0" w:space="0" w:color="auto"/>
        <w:bottom w:val="none" w:sz="0" w:space="0" w:color="auto"/>
        <w:right w:val="none" w:sz="0" w:space="0" w:color="auto"/>
      </w:divBdr>
    </w:div>
    <w:div w:id="890732237">
      <w:bodyDiv w:val="1"/>
      <w:marLeft w:val="0"/>
      <w:marRight w:val="0"/>
      <w:marTop w:val="0"/>
      <w:marBottom w:val="0"/>
      <w:divBdr>
        <w:top w:val="none" w:sz="0" w:space="0" w:color="auto"/>
        <w:left w:val="none" w:sz="0" w:space="0" w:color="auto"/>
        <w:bottom w:val="none" w:sz="0" w:space="0" w:color="auto"/>
        <w:right w:val="none" w:sz="0" w:space="0" w:color="auto"/>
      </w:divBdr>
    </w:div>
    <w:div w:id="896746519">
      <w:bodyDiv w:val="1"/>
      <w:marLeft w:val="0"/>
      <w:marRight w:val="0"/>
      <w:marTop w:val="0"/>
      <w:marBottom w:val="0"/>
      <w:divBdr>
        <w:top w:val="none" w:sz="0" w:space="0" w:color="auto"/>
        <w:left w:val="none" w:sz="0" w:space="0" w:color="auto"/>
        <w:bottom w:val="none" w:sz="0" w:space="0" w:color="auto"/>
        <w:right w:val="none" w:sz="0" w:space="0" w:color="auto"/>
      </w:divBdr>
    </w:div>
    <w:div w:id="915094292">
      <w:bodyDiv w:val="1"/>
      <w:marLeft w:val="0"/>
      <w:marRight w:val="0"/>
      <w:marTop w:val="0"/>
      <w:marBottom w:val="0"/>
      <w:divBdr>
        <w:top w:val="none" w:sz="0" w:space="0" w:color="auto"/>
        <w:left w:val="none" w:sz="0" w:space="0" w:color="auto"/>
        <w:bottom w:val="none" w:sz="0" w:space="0" w:color="auto"/>
        <w:right w:val="none" w:sz="0" w:space="0" w:color="auto"/>
      </w:divBdr>
    </w:div>
    <w:div w:id="960838240">
      <w:bodyDiv w:val="1"/>
      <w:marLeft w:val="0"/>
      <w:marRight w:val="0"/>
      <w:marTop w:val="0"/>
      <w:marBottom w:val="0"/>
      <w:divBdr>
        <w:top w:val="none" w:sz="0" w:space="0" w:color="auto"/>
        <w:left w:val="none" w:sz="0" w:space="0" w:color="auto"/>
        <w:bottom w:val="none" w:sz="0" w:space="0" w:color="auto"/>
        <w:right w:val="none" w:sz="0" w:space="0" w:color="auto"/>
      </w:divBdr>
    </w:div>
    <w:div w:id="978413275">
      <w:bodyDiv w:val="1"/>
      <w:marLeft w:val="0"/>
      <w:marRight w:val="0"/>
      <w:marTop w:val="0"/>
      <w:marBottom w:val="0"/>
      <w:divBdr>
        <w:top w:val="none" w:sz="0" w:space="0" w:color="auto"/>
        <w:left w:val="none" w:sz="0" w:space="0" w:color="auto"/>
        <w:bottom w:val="none" w:sz="0" w:space="0" w:color="auto"/>
        <w:right w:val="none" w:sz="0" w:space="0" w:color="auto"/>
      </w:divBdr>
    </w:div>
    <w:div w:id="1159495646">
      <w:bodyDiv w:val="1"/>
      <w:marLeft w:val="0"/>
      <w:marRight w:val="0"/>
      <w:marTop w:val="0"/>
      <w:marBottom w:val="0"/>
      <w:divBdr>
        <w:top w:val="none" w:sz="0" w:space="0" w:color="auto"/>
        <w:left w:val="none" w:sz="0" w:space="0" w:color="auto"/>
        <w:bottom w:val="none" w:sz="0" w:space="0" w:color="auto"/>
        <w:right w:val="none" w:sz="0" w:space="0" w:color="auto"/>
      </w:divBdr>
    </w:div>
    <w:div w:id="1257907359">
      <w:bodyDiv w:val="1"/>
      <w:marLeft w:val="0"/>
      <w:marRight w:val="0"/>
      <w:marTop w:val="0"/>
      <w:marBottom w:val="0"/>
      <w:divBdr>
        <w:top w:val="none" w:sz="0" w:space="0" w:color="auto"/>
        <w:left w:val="none" w:sz="0" w:space="0" w:color="auto"/>
        <w:bottom w:val="none" w:sz="0" w:space="0" w:color="auto"/>
        <w:right w:val="none" w:sz="0" w:space="0" w:color="auto"/>
      </w:divBdr>
    </w:div>
    <w:div w:id="1262297637">
      <w:bodyDiv w:val="1"/>
      <w:marLeft w:val="0"/>
      <w:marRight w:val="0"/>
      <w:marTop w:val="0"/>
      <w:marBottom w:val="0"/>
      <w:divBdr>
        <w:top w:val="none" w:sz="0" w:space="0" w:color="auto"/>
        <w:left w:val="none" w:sz="0" w:space="0" w:color="auto"/>
        <w:bottom w:val="none" w:sz="0" w:space="0" w:color="auto"/>
        <w:right w:val="none" w:sz="0" w:space="0" w:color="auto"/>
      </w:divBdr>
    </w:div>
    <w:div w:id="1377044341">
      <w:bodyDiv w:val="1"/>
      <w:marLeft w:val="0"/>
      <w:marRight w:val="0"/>
      <w:marTop w:val="0"/>
      <w:marBottom w:val="0"/>
      <w:divBdr>
        <w:top w:val="none" w:sz="0" w:space="0" w:color="auto"/>
        <w:left w:val="none" w:sz="0" w:space="0" w:color="auto"/>
        <w:bottom w:val="none" w:sz="0" w:space="0" w:color="auto"/>
        <w:right w:val="none" w:sz="0" w:space="0" w:color="auto"/>
      </w:divBdr>
    </w:div>
    <w:div w:id="1403484723">
      <w:bodyDiv w:val="1"/>
      <w:marLeft w:val="0"/>
      <w:marRight w:val="0"/>
      <w:marTop w:val="0"/>
      <w:marBottom w:val="0"/>
      <w:divBdr>
        <w:top w:val="none" w:sz="0" w:space="0" w:color="auto"/>
        <w:left w:val="none" w:sz="0" w:space="0" w:color="auto"/>
        <w:bottom w:val="none" w:sz="0" w:space="0" w:color="auto"/>
        <w:right w:val="none" w:sz="0" w:space="0" w:color="auto"/>
      </w:divBdr>
      <w:divsChild>
        <w:div w:id="1612784281">
          <w:marLeft w:val="0"/>
          <w:marRight w:val="0"/>
          <w:marTop w:val="0"/>
          <w:marBottom w:val="360"/>
          <w:divBdr>
            <w:top w:val="none" w:sz="0" w:space="0" w:color="auto"/>
            <w:left w:val="none" w:sz="0" w:space="0" w:color="auto"/>
            <w:bottom w:val="none" w:sz="0" w:space="0" w:color="auto"/>
            <w:right w:val="none" w:sz="0" w:space="0" w:color="auto"/>
          </w:divBdr>
        </w:div>
      </w:divsChild>
    </w:div>
    <w:div w:id="1432965595">
      <w:bodyDiv w:val="1"/>
      <w:marLeft w:val="0"/>
      <w:marRight w:val="0"/>
      <w:marTop w:val="0"/>
      <w:marBottom w:val="0"/>
      <w:divBdr>
        <w:top w:val="none" w:sz="0" w:space="0" w:color="auto"/>
        <w:left w:val="none" w:sz="0" w:space="0" w:color="auto"/>
        <w:bottom w:val="none" w:sz="0" w:space="0" w:color="auto"/>
        <w:right w:val="none" w:sz="0" w:space="0" w:color="auto"/>
      </w:divBdr>
    </w:div>
    <w:div w:id="1514026718">
      <w:bodyDiv w:val="1"/>
      <w:marLeft w:val="0"/>
      <w:marRight w:val="0"/>
      <w:marTop w:val="0"/>
      <w:marBottom w:val="0"/>
      <w:divBdr>
        <w:top w:val="none" w:sz="0" w:space="0" w:color="auto"/>
        <w:left w:val="none" w:sz="0" w:space="0" w:color="auto"/>
        <w:bottom w:val="none" w:sz="0" w:space="0" w:color="auto"/>
        <w:right w:val="none" w:sz="0" w:space="0" w:color="auto"/>
      </w:divBdr>
    </w:div>
    <w:div w:id="1554930270">
      <w:bodyDiv w:val="1"/>
      <w:marLeft w:val="0"/>
      <w:marRight w:val="0"/>
      <w:marTop w:val="0"/>
      <w:marBottom w:val="0"/>
      <w:divBdr>
        <w:top w:val="none" w:sz="0" w:space="0" w:color="auto"/>
        <w:left w:val="none" w:sz="0" w:space="0" w:color="auto"/>
        <w:bottom w:val="none" w:sz="0" w:space="0" w:color="auto"/>
        <w:right w:val="none" w:sz="0" w:space="0" w:color="auto"/>
      </w:divBdr>
    </w:div>
    <w:div w:id="1583877964">
      <w:bodyDiv w:val="1"/>
      <w:marLeft w:val="0"/>
      <w:marRight w:val="0"/>
      <w:marTop w:val="0"/>
      <w:marBottom w:val="0"/>
      <w:divBdr>
        <w:top w:val="none" w:sz="0" w:space="0" w:color="auto"/>
        <w:left w:val="none" w:sz="0" w:space="0" w:color="auto"/>
        <w:bottom w:val="none" w:sz="0" w:space="0" w:color="auto"/>
        <w:right w:val="none" w:sz="0" w:space="0" w:color="auto"/>
      </w:divBdr>
    </w:div>
    <w:div w:id="1590428041">
      <w:bodyDiv w:val="1"/>
      <w:marLeft w:val="0"/>
      <w:marRight w:val="0"/>
      <w:marTop w:val="0"/>
      <w:marBottom w:val="0"/>
      <w:divBdr>
        <w:top w:val="none" w:sz="0" w:space="0" w:color="auto"/>
        <w:left w:val="none" w:sz="0" w:space="0" w:color="auto"/>
        <w:bottom w:val="none" w:sz="0" w:space="0" w:color="auto"/>
        <w:right w:val="none" w:sz="0" w:space="0" w:color="auto"/>
      </w:divBdr>
      <w:divsChild>
        <w:div w:id="18293186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9535697">
      <w:bodyDiv w:val="1"/>
      <w:marLeft w:val="0"/>
      <w:marRight w:val="0"/>
      <w:marTop w:val="0"/>
      <w:marBottom w:val="0"/>
      <w:divBdr>
        <w:top w:val="none" w:sz="0" w:space="0" w:color="auto"/>
        <w:left w:val="none" w:sz="0" w:space="0" w:color="auto"/>
        <w:bottom w:val="none" w:sz="0" w:space="0" w:color="auto"/>
        <w:right w:val="none" w:sz="0" w:space="0" w:color="auto"/>
      </w:divBdr>
    </w:div>
    <w:div w:id="1640455772">
      <w:bodyDiv w:val="1"/>
      <w:marLeft w:val="0"/>
      <w:marRight w:val="0"/>
      <w:marTop w:val="0"/>
      <w:marBottom w:val="0"/>
      <w:divBdr>
        <w:top w:val="none" w:sz="0" w:space="0" w:color="auto"/>
        <w:left w:val="none" w:sz="0" w:space="0" w:color="auto"/>
        <w:bottom w:val="none" w:sz="0" w:space="0" w:color="auto"/>
        <w:right w:val="none" w:sz="0" w:space="0" w:color="auto"/>
      </w:divBdr>
      <w:divsChild>
        <w:div w:id="3769770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8491096">
              <w:blockQuote w:val="1"/>
              <w:marLeft w:val="720"/>
              <w:marRight w:val="720"/>
              <w:marTop w:val="100"/>
              <w:marBottom w:val="100"/>
              <w:divBdr>
                <w:top w:val="none" w:sz="0" w:space="0" w:color="auto"/>
                <w:left w:val="none" w:sz="0" w:space="0" w:color="auto"/>
                <w:bottom w:val="none" w:sz="0" w:space="0" w:color="auto"/>
                <w:right w:val="none" w:sz="0" w:space="0" w:color="auto"/>
              </w:divBdr>
            </w:div>
            <w:div w:id="1640574316">
              <w:blockQuote w:val="1"/>
              <w:marLeft w:val="720"/>
              <w:marRight w:val="720"/>
              <w:marTop w:val="100"/>
              <w:marBottom w:val="100"/>
              <w:divBdr>
                <w:top w:val="none" w:sz="0" w:space="0" w:color="auto"/>
                <w:left w:val="none" w:sz="0" w:space="0" w:color="auto"/>
                <w:bottom w:val="none" w:sz="0" w:space="0" w:color="auto"/>
                <w:right w:val="none" w:sz="0" w:space="0" w:color="auto"/>
              </w:divBdr>
            </w:div>
            <w:div w:id="3341177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2851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252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5991005">
      <w:bodyDiv w:val="1"/>
      <w:marLeft w:val="0"/>
      <w:marRight w:val="0"/>
      <w:marTop w:val="0"/>
      <w:marBottom w:val="0"/>
      <w:divBdr>
        <w:top w:val="none" w:sz="0" w:space="0" w:color="auto"/>
        <w:left w:val="none" w:sz="0" w:space="0" w:color="auto"/>
        <w:bottom w:val="none" w:sz="0" w:space="0" w:color="auto"/>
        <w:right w:val="none" w:sz="0" w:space="0" w:color="auto"/>
      </w:divBdr>
    </w:div>
    <w:div w:id="1678268538">
      <w:bodyDiv w:val="1"/>
      <w:marLeft w:val="0"/>
      <w:marRight w:val="0"/>
      <w:marTop w:val="0"/>
      <w:marBottom w:val="0"/>
      <w:divBdr>
        <w:top w:val="none" w:sz="0" w:space="0" w:color="auto"/>
        <w:left w:val="none" w:sz="0" w:space="0" w:color="auto"/>
        <w:bottom w:val="none" w:sz="0" w:space="0" w:color="auto"/>
        <w:right w:val="none" w:sz="0" w:space="0" w:color="auto"/>
      </w:divBdr>
    </w:div>
    <w:div w:id="1699961819">
      <w:bodyDiv w:val="1"/>
      <w:marLeft w:val="0"/>
      <w:marRight w:val="0"/>
      <w:marTop w:val="0"/>
      <w:marBottom w:val="0"/>
      <w:divBdr>
        <w:top w:val="none" w:sz="0" w:space="0" w:color="auto"/>
        <w:left w:val="none" w:sz="0" w:space="0" w:color="auto"/>
        <w:bottom w:val="none" w:sz="0" w:space="0" w:color="auto"/>
        <w:right w:val="none" w:sz="0" w:space="0" w:color="auto"/>
      </w:divBdr>
    </w:div>
    <w:div w:id="1921670435">
      <w:bodyDiv w:val="1"/>
      <w:marLeft w:val="0"/>
      <w:marRight w:val="0"/>
      <w:marTop w:val="0"/>
      <w:marBottom w:val="0"/>
      <w:divBdr>
        <w:top w:val="none" w:sz="0" w:space="0" w:color="auto"/>
        <w:left w:val="none" w:sz="0" w:space="0" w:color="auto"/>
        <w:bottom w:val="none" w:sz="0" w:space="0" w:color="auto"/>
        <w:right w:val="none" w:sz="0" w:space="0" w:color="auto"/>
      </w:divBdr>
    </w:div>
    <w:div w:id="1921717434">
      <w:bodyDiv w:val="1"/>
      <w:marLeft w:val="0"/>
      <w:marRight w:val="0"/>
      <w:marTop w:val="0"/>
      <w:marBottom w:val="0"/>
      <w:divBdr>
        <w:top w:val="none" w:sz="0" w:space="0" w:color="auto"/>
        <w:left w:val="none" w:sz="0" w:space="0" w:color="auto"/>
        <w:bottom w:val="none" w:sz="0" w:space="0" w:color="auto"/>
        <w:right w:val="none" w:sz="0" w:space="0" w:color="auto"/>
      </w:divBdr>
    </w:div>
    <w:div w:id="1943949178">
      <w:bodyDiv w:val="1"/>
      <w:marLeft w:val="0"/>
      <w:marRight w:val="0"/>
      <w:marTop w:val="0"/>
      <w:marBottom w:val="0"/>
      <w:divBdr>
        <w:top w:val="none" w:sz="0" w:space="0" w:color="auto"/>
        <w:left w:val="none" w:sz="0" w:space="0" w:color="auto"/>
        <w:bottom w:val="none" w:sz="0" w:space="0" w:color="auto"/>
        <w:right w:val="none" w:sz="0" w:space="0" w:color="auto"/>
      </w:divBdr>
    </w:div>
    <w:div w:id="1953394696">
      <w:bodyDiv w:val="1"/>
      <w:marLeft w:val="0"/>
      <w:marRight w:val="0"/>
      <w:marTop w:val="0"/>
      <w:marBottom w:val="0"/>
      <w:divBdr>
        <w:top w:val="none" w:sz="0" w:space="0" w:color="auto"/>
        <w:left w:val="none" w:sz="0" w:space="0" w:color="auto"/>
        <w:bottom w:val="none" w:sz="0" w:space="0" w:color="auto"/>
        <w:right w:val="none" w:sz="0" w:space="0" w:color="auto"/>
      </w:divBdr>
      <w:divsChild>
        <w:div w:id="906113861">
          <w:marLeft w:val="0"/>
          <w:marRight w:val="0"/>
          <w:marTop w:val="0"/>
          <w:marBottom w:val="0"/>
          <w:divBdr>
            <w:top w:val="none" w:sz="0" w:space="0" w:color="auto"/>
            <w:left w:val="none" w:sz="0" w:space="0" w:color="auto"/>
            <w:bottom w:val="none" w:sz="0" w:space="0" w:color="auto"/>
            <w:right w:val="none" w:sz="0" w:space="0" w:color="auto"/>
          </w:divBdr>
          <w:divsChild>
            <w:div w:id="509609539">
              <w:marLeft w:val="0"/>
              <w:marRight w:val="0"/>
              <w:marTop w:val="0"/>
              <w:marBottom w:val="0"/>
              <w:divBdr>
                <w:top w:val="none" w:sz="0" w:space="0" w:color="auto"/>
                <w:left w:val="none" w:sz="0" w:space="0" w:color="auto"/>
                <w:bottom w:val="none" w:sz="0" w:space="0" w:color="auto"/>
                <w:right w:val="none" w:sz="0" w:space="0" w:color="auto"/>
              </w:divBdr>
              <w:divsChild>
                <w:div w:id="882446431">
                  <w:marLeft w:val="0"/>
                  <w:marRight w:val="0"/>
                  <w:marTop w:val="0"/>
                  <w:marBottom w:val="0"/>
                  <w:divBdr>
                    <w:top w:val="none" w:sz="0" w:space="0" w:color="auto"/>
                    <w:left w:val="none" w:sz="0" w:space="0" w:color="auto"/>
                    <w:bottom w:val="none" w:sz="0" w:space="0" w:color="auto"/>
                    <w:right w:val="none" w:sz="0" w:space="0" w:color="auto"/>
                  </w:divBdr>
                  <w:divsChild>
                    <w:div w:id="1108424963">
                      <w:marLeft w:val="0"/>
                      <w:marRight w:val="0"/>
                      <w:marTop w:val="0"/>
                      <w:marBottom w:val="0"/>
                      <w:divBdr>
                        <w:top w:val="none" w:sz="0" w:space="0" w:color="auto"/>
                        <w:left w:val="none" w:sz="0" w:space="0" w:color="auto"/>
                        <w:bottom w:val="none" w:sz="0" w:space="0" w:color="auto"/>
                        <w:right w:val="none" w:sz="0" w:space="0" w:color="auto"/>
                      </w:divBdr>
                      <w:divsChild>
                        <w:div w:id="892544024">
                          <w:marLeft w:val="0"/>
                          <w:marRight w:val="0"/>
                          <w:marTop w:val="0"/>
                          <w:marBottom w:val="0"/>
                          <w:divBdr>
                            <w:top w:val="none" w:sz="0" w:space="0" w:color="auto"/>
                            <w:left w:val="none" w:sz="0" w:space="0" w:color="auto"/>
                            <w:bottom w:val="none" w:sz="0" w:space="0" w:color="auto"/>
                            <w:right w:val="none" w:sz="0" w:space="0" w:color="auto"/>
                          </w:divBdr>
                          <w:divsChild>
                            <w:div w:id="374701339">
                              <w:marLeft w:val="0"/>
                              <w:marRight w:val="0"/>
                              <w:marTop w:val="0"/>
                              <w:marBottom w:val="0"/>
                              <w:divBdr>
                                <w:top w:val="none" w:sz="0" w:space="0" w:color="auto"/>
                                <w:left w:val="none" w:sz="0" w:space="0" w:color="auto"/>
                                <w:bottom w:val="none" w:sz="0" w:space="0" w:color="auto"/>
                                <w:right w:val="none" w:sz="0" w:space="0" w:color="auto"/>
                              </w:divBdr>
                              <w:divsChild>
                                <w:div w:id="681276955">
                                  <w:marLeft w:val="0"/>
                                  <w:marRight w:val="0"/>
                                  <w:marTop w:val="0"/>
                                  <w:marBottom w:val="0"/>
                                  <w:divBdr>
                                    <w:top w:val="none" w:sz="0" w:space="0" w:color="auto"/>
                                    <w:left w:val="none" w:sz="0" w:space="0" w:color="auto"/>
                                    <w:bottom w:val="none" w:sz="0" w:space="0" w:color="auto"/>
                                    <w:right w:val="none" w:sz="0" w:space="0" w:color="auto"/>
                                  </w:divBdr>
                                  <w:divsChild>
                                    <w:div w:id="2128499439">
                                      <w:marLeft w:val="0"/>
                                      <w:marRight w:val="0"/>
                                      <w:marTop w:val="0"/>
                                      <w:marBottom w:val="0"/>
                                      <w:divBdr>
                                        <w:top w:val="none" w:sz="0" w:space="0" w:color="auto"/>
                                        <w:left w:val="none" w:sz="0" w:space="0" w:color="auto"/>
                                        <w:bottom w:val="none" w:sz="0" w:space="0" w:color="auto"/>
                                        <w:right w:val="none" w:sz="0" w:space="0" w:color="auto"/>
                                      </w:divBdr>
                                      <w:divsChild>
                                        <w:div w:id="5375126">
                                          <w:marLeft w:val="0"/>
                                          <w:marRight w:val="0"/>
                                          <w:marTop w:val="0"/>
                                          <w:marBottom w:val="0"/>
                                          <w:divBdr>
                                            <w:top w:val="none" w:sz="0" w:space="0" w:color="auto"/>
                                            <w:left w:val="none" w:sz="0" w:space="0" w:color="auto"/>
                                            <w:bottom w:val="none" w:sz="0" w:space="0" w:color="auto"/>
                                            <w:right w:val="none" w:sz="0" w:space="0" w:color="auto"/>
                                          </w:divBdr>
                                          <w:divsChild>
                                            <w:div w:id="278604935">
                                              <w:marLeft w:val="0"/>
                                              <w:marRight w:val="0"/>
                                              <w:marTop w:val="0"/>
                                              <w:marBottom w:val="0"/>
                                              <w:divBdr>
                                                <w:top w:val="none" w:sz="0" w:space="0" w:color="auto"/>
                                                <w:left w:val="none" w:sz="0" w:space="0" w:color="auto"/>
                                                <w:bottom w:val="none" w:sz="0" w:space="0" w:color="auto"/>
                                                <w:right w:val="none" w:sz="0" w:space="0" w:color="auto"/>
                                              </w:divBdr>
                                              <w:divsChild>
                                                <w:div w:id="1543596987">
                                                  <w:marLeft w:val="0"/>
                                                  <w:marRight w:val="0"/>
                                                  <w:marTop w:val="0"/>
                                                  <w:marBottom w:val="0"/>
                                                  <w:divBdr>
                                                    <w:top w:val="none" w:sz="0" w:space="0" w:color="auto"/>
                                                    <w:left w:val="none" w:sz="0" w:space="0" w:color="auto"/>
                                                    <w:bottom w:val="none" w:sz="0" w:space="0" w:color="auto"/>
                                                    <w:right w:val="none" w:sz="0" w:space="0" w:color="auto"/>
                                                  </w:divBdr>
                                                  <w:divsChild>
                                                    <w:div w:id="1589844909">
                                                      <w:marLeft w:val="0"/>
                                                      <w:marRight w:val="0"/>
                                                      <w:marTop w:val="0"/>
                                                      <w:marBottom w:val="0"/>
                                                      <w:divBdr>
                                                        <w:top w:val="none" w:sz="0" w:space="0" w:color="auto"/>
                                                        <w:left w:val="none" w:sz="0" w:space="0" w:color="auto"/>
                                                        <w:bottom w:val="none" w:sz="0" w:space="0" w:color="auto"/>
                                                        <w:right w:val="none" w:sz="0" w:space="0" w:color="auto"/>
                                                      </w:divBdr>
                                                      <w:divsChild>
                                                        <w:div w:id="428354902">
                                                          <w:marLeft w:val="0"/>
                                                          <w:marRight w:val="0"/>
                                                          <w:marTop w:val="0"/>
                                                          <w:marBottom w:val="0"/>
                                                          <w:divBdr>
                                                            <w:top w:val="none" w:sz="0" w:space="0" w:color="auto"/>
                                                            <w:left w:val="none" w:sz="0" w:space="0" w:color="auto"/>
                                                            <w:bottom w:val="none" w:sz="0" w:space="0" w:color="auto"/>
                                                            <w:right w:val="none" w:sz="0" w:space="0" w:color="auto"/>
                                                          </w:divBdr>
                                                          <w:divsChild>
                                                            <w:div w:id="790704532">
                                                              <w:marLeft w:val="0"/>
                                                              <w:marRight w:val="0"/>
                                                              <w:marTop w:val="0"/>
                                                              <w:marBottom w:val="0"/>
                                                              <w:divBdr>
                                                                <w:top w:val="none" w:sz="0" w:space="0" w:color="auto"/>
                                                                <w:left w:val="none" w:sz="0" w:space="0" w:color="auto"/>
                                                                <w:bottom w:val="none" w:sz="0" w:space="0" w:color="auto"/>
                                                                <w:right w:val="none" w:sz="0" w:space="0" w:color="auto"/>
                                                              </w:divBdr>
                                                              <w:divsChild>
                                                                <w:div w:id="15680275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68591961">
                                                          <w:marLeft w:val="0"/>
                                                          <w:marRight w:val="0"/>
                                                          <w:marTop w:val="0"/>
                                                          <w:marBottom w:val="0"/>
                                                          <w:divBdr>
                                                            <w:top w:val="none" w:sz="0" w:space="0" w:color="auto"/>
                                                            <w:left w:val="none" w:sz="0" w:space="0" w:color="auto"/>
                                                            <w:bottom w:val="none" w:sz="0" w:space="0" w:color="auto"/>
                                                            <w:right w:val="none" w:sz="0" w:space="0" w:color="auto"/>
                                                          </w:divBdr>
                                                          <w:divsChild>
                                                            <w:div w:id="1531188500">
                                                              <w:marLeft w:val="0"/>
                                                              <w:marRight w:val="0"/>
                                                              <w:marTop w:val="0"/>
                                                              <w:marBottom w:val="0"/>
                                                              <w:divBdr>
                                                                <w:top w:val="none" w:sz="0" w:space="0" w:color="auto"/>
                                                                <w:left w:val="none" w:sz="0" w:space="0" w:color="auto"/>
                                                                <w:bottom w:val="none" w:sz="0" w:space="0" w:color="auto"/>
                                                                <w:right w:val="none" w:sz="0" w:space="0" w:color="auto"/>
                                                              </w:divBdr>
                                                              <w:divsChild>
                                                                <w:div w:id="118266401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444304011">
                                                          <w:marLeft w:val="0"/>
                                                          <w:marRight w:val="0"/>
                                                          <w:marTop w:val="0"/>
                                                          <w:marBottom w:val="0"/>
                                                          <w:divBdr>
                                                            <w:top w:val="none" w:sz="0" w:space="0" w:color="auto"/>
                                                            <w:left w:val="none" w:sz="0" w:space="0" w:color="auto"/>
                                                            <w:bottom w:val="none" w:sz="0" w:space="0" w:color="auto"/>
                                                            <w:right w:val="none" w:sz="0" w:space="0" w:color="auto"/>
                                                          </w:divBdr>
                                                          <w:divsChild>
                                                            <w:div w:id="990135486">
                                                              <w:marLeft w:val="0"/>
                                                              <w:marRight w:val="0"/>
                                                              <w:marTop w:val="0"/>
                                                              <w:marBottom w:val="0"/>
                                                              <w:divBdr>
                                                                <w:top w:val="none" w:sz="0" w:space="0" w:color="auto"/>
                                                                <w:left w:val="none" w:sz="0" w:space="0" w:color="auto"/>
                                                                <w:bottom w:val="none" w:sz="0" w:space="0" w:color="auto"/>
                                                                <w:right w:val="none" w:sz="0" w:space="0" w:color="auto"/>
                                                              </w:divBdr>
                                                              <w:divsChild>
                                                                <w:div w:id="1248424864">
                                                                  <w:marLeft w:val="0"/>
                                                                  <w:marRight w:val="0"/>
                                                                  <w:marTop w:val="0"/>
                                                                  <w:marBottom w:val="0"/>
                                                                  <w:divBdr>
                                                                    <w:top w:val="none" w:sz="0" w:space="0" w:color="auto"/>
                                                                    <w:left w:val="none" w:sz="0" w:space="0" w:color="auto"/>
                                                                    <w:bottom w:val="none" w:sz="0" w:space="0" w:color="auto"/>
                                                                    <w:right w:val="none" w:sz="0" w:space="0" w:color="auto"/>
                                                                  </w:divBdr>
                                                                  <w:divsChild>
                                                                    <w:div w:id="1256207873">
                                                                      <w:marLeft w:val="0"/>
                                                                      <w:marRight w:val="0"/>
                                                                      <w:marTop w:val="0"/>
                                                                      <w:marBottom w:val="0"/>
                                                                      <w:divBdr>
                                                                        <w:top w:val="none" w:sz="0" w:space="0" w:color="auto"/>
                                                                        <w:left w:val="none" w:sz="0" w:space="0" w:color="auto"/>
                                                                        <w:bottom w:val="none" w:sz="0" w:space="0" w:color="auto"/>
                                                                        <w:right w:val="none" w:sz="0" w:space="0" w:color="auto"/>
                                                                      </w:divBdr>
                                                                      <w:divsChild>
                                                                        <w:div w:id="1474564699">
                                                                          <w:marLeft w:val="0"/>
                                                                          <w:marRight w:val="0"/>
                                                                          <w:marTop w:val="0"/>
                                                                          <w:marBottom w:val="0"/>
                                                                          <w:divBdr>
                                                                            <w:top w:val="none" w:sz="0" w:space="0" w:color="auto"/>
                                                                            <w:left w:val="none" w:sz="0" w:space="0" w:color="auto"/>
                                                                            <w:bottom w:val="none" w:sz="0" w:space="0" w:color="auto"/>
                                                                            <w:right w:val="none" w:sz="0" w:space="0" w:color="auto"/>
                                                                          </w:divBdr>
                                                                          <w:divsChild>
                                                                            <w:div w:id="15467770">
                                                                              <w:marLeft w:val="0"/>
                                                                              <w:marRight w:val="0"/>
                                                                              <w:marTop w:val="0"/>
                                                                              <w:marBottom w:val="0"/>
                                                                              <w:divBdr>
                                                                                <w:top w:val="none" w:sz="0" w:space="0" w:color="auto"/>
                                                                                <w:left w:val="none" w:sz="0" w:space="0" w:color="auto"/>
                                                                                <w:bottom w:val="none" w:sz="0" w:space="0" w:color="auto"/>
                                                                                <w:right w:val="none" w:sz="0" w:space="0" w:color="auto"/>
                                                                              </w:divBdr>
                                                                            </w:div>
                                                                            <w:div w:id="189192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954470">
                                                                  <w:marLeft w:val="0"/>
                                                                  <w:marRight w:val="0"/>
                                                                  <w:marTop w:val="0"/>
                                                                  <w:marBottom w:val="0"/>
                                                                  <w:divBdr>
                                                                    <w:top w:val="none" w:sz="0" w:space="0" w:color="auto"/>
                                                                    <w:left w:val="none" w:sz="0" w:space="0" w:color="auto"/>
                                                                    <w:bottom w:val="none" w:sz="0" w:space="0" w:color="auto"/>
                                                                    <w:right w:val="none" w:sz="0" w:space="0" w:color="auto"/>
                                                                  </w:divBdr>
                                                                  <w:divsChild>
                                                                    <w:div w:id="1366560412">
                                                                      <w:marLeft w:val="0"/>
                                                                      <w:marRight w:val="0"/>
                                                                      <w:marTop w:val="0"/>
                                                                      <w:marBottom w:val="0"/>
                                                                      <w:divBdr>
                                                                        <w:top w:val="none" w:sz="0" w:space="0" w:color="auto"/>
                                                                        <w:left w:val="none" w:sz="0" w:space="0" w:color="auto"/>
                                                                        <w:bottom w:val="none" w:sz="0" w:space="0" w:color="auto"/>
                                                                        <w:right w:val="none" w:sz="0" w:space="0" w:color="auto"/>
                                                                      </w:divBdr>
                                                                      <w:divsChild>
                                                                        <w:div w:id="867448141">
                                                                          <w:marLeft w:val="0"/>
                                                                          <w:marRight w:val="0"/>
                                                                          <w:marTop w:val="0"/>
                                                                          <w:marBottom w:val="0"/>
                                                                          <w:divBdr>
                                                                            <w:top w:val="none" w:sz="0" w:space="0" w:color="auto"/>
                                                                            <w:left w:val="none" w:sz="0" w:space="0" w:color="auto"/>
                                                                            <w:bottom w:val="none" w:sz="0" w:space="0" w:color="auto"/>
                                                                            <w:right w:val="none" w:sz="0" w:space="0" w:color="auto"/>
                                                                          </w:divBdr>
                                                                          <w:divsChild>
                                                                            <w:div w:id="1569463498">
                                                                              <w:marLeft w:val="0"/>
                                                                              <w:marRight w:val="0"/>
                                                                              <w:marTop w:val="0"/>
                                                                              <w:marBottom w:val="0"/>
                                                                              <w:divBdr>
                                                                                <w:top w:val="none" w:sz="0" w:space="0" w:color="auto"/>
                                                                                <w:left w:val="none" w:sz="0" w:space="0" w:color="auto"/>
                                                                                <w:bottom w:val="none" w:sz="0" w:space="0" w:color="auto"/>
                                                                                <w:right w:val="none" w:sz="0" w:space="0" w:color="auto"/>
                                                                              </w:divBdr>
                                                                            </w:div>
                                                                            <w:div w:id="29229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819735">
                                                                  <w:marLeft w:val="0"/>
                                                                  <w:marRight w:val="0"/>
                                                                  <w:marTop w:val="0"/>
                                                                  <w:marBottom w:val="0"/>
                                                                  <w:divBdr>
                                                                    <w:top w:val="none" w:sz="0" w:space="0" w:color="auto"/>
                                                                    <w:left w:val="none" w:sz="0" w:space="0" w:color="auto"/>
                                                                    <w:bottom w:val="none" w:sz="0" w:space="0" w:color="auto"/>
                                                                    <w:right w:val="none" w:sz="0" w:space="0" w:color="auto"/>
                                                                  </w:divBdr>
                                                                  <w:divsChild>
                                                                    <w:div w:id="1236158810">
                                                                      <w:marLeft w:val="0"/>
                                                                      <w:marRight w:val="0"/>
                                                                      <w:marTop w:val="0"/>
                                                                      <w:marBottom w:val="0"/>
                                                                      <w:divBdr>
                                                                        <w:top w:val="none" w:sz="0" w:space="0" w:color="auto"/>
                                                                        <w:left w:val="none" w:sz="0" w:space="0" w:color="auto"/>
                                                                        <w:bottom w:val="none" w:sz="0" w:space="0" w:color="auto"/>
                                                                        <w:right w:val="none" w:sz="0" w:space="0" w:color="auto"/>
                                                                      </w:divBdr>
                                                                      <w:divsChild>
                                                                        <w:div w:id="201792285">
                                                                          <w:marLeft w:val="0"/>
                                                                          <w:marRight w:val="0"/>
                                                                          <w:marTop w:val="0"/>
                                                                          <w:marBottom w:val="0"/>
                                                                          <w:divBdr>
                                                                            <w:top w:val="none" w:sz="0" w:space="0" w:color="auto"/>
                                                                            <w:left w:val="none" w:sz="0" w:space="0" w:color="auto"/>
                                                                            <w:bottom w:val="none" w:sz="0" w:space="0" w:color="auto"/>
                                                                            <w:right w:val="none" w:sz="0" w:space="0" w:color="auto"/>
                                                                          </w:divBdr>
                                                                          <w:divsChild>
                                                                            <w:div w:id="937177096">
                                                                              <w:marLeft w:val="0"/>
                                                                              <w:marRight w:val="0"/>
                                                                              <w:marTop w:val="0"/>
                                                                              <w:marBottom w:val="0"/>
                                                                              <w:divBdr>
                                                                                <w:top w:val="none" w:sz="0" w:space="0" w:color="auto"/>
                                                                                <w:left w:val="none" w:sz="0" w:space="0" w:color="auto"/>
                                                                                <w:bottom w:val="none" w:sz="0" w:space="0" w:color="auto"/>
                                                                                <w:right w:val="none" w:sz="0" w:space="0" w:color="auto"/>
                                                                              </w:divBdr>
                                                                            </w:div>
                                                                            <w:div w:id="73789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4215677">
                                                          <w:marLeft w:val="0"/>
                                                          <w:marRight w:val="0"/>
                                                          <w:marTop w:val="0"/>
                                                          <w:marBottom w:val="0"/>
                                                          <w:divBdr>
                                                            <w:top w:val="none" w:sz="0" w:space="0" w:color="auto"/>
                                                            <w:left w:val="none" w:sz="0" w:space="0" w:color="auto"/>
                                                            <w:bottom w:val="none" w:sz="0" w:space="0" w:color="auto"/>
                                                            <w:right w:val="none" w:sz="0" w:space="0" w:color="auto"/>
                                                          </w:divBdr>
                                                          <w:divsChild>
                                                            <w:div w:id="1422946303">
                                                              <w:marLeft w:val="0"/>
                                                              <w:marRight w:val="0"/>
                                                              <w:marTop w:val="0"/>
                                                              <w:marBottom w:val="0"/>
                                                              <w:divBdr>
                                                                <w:top w:val="none" w:sz="0" w:space="0" w:color="auto"/>
                                                                <w:left w:val="none" w:sz="0" w:space="0" w:color="auto"/>
                                                                <w:bottom w:val="none" w:sz="0" w:space="0" w:color="auto"/>
                                                                <w:right w:val="none" w:sz="0" w:space="0" w:color="auto"/>
                                                              </w:divBdr>
                                                              <w:divsChild>
                                                                <w:div w:id="174903821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93270100">
                                                          <w:marLeft w:val="0"/>
                                                          <w:marRight w:val="0"/>
                                                          <w:marTop w:val="0"/>
                                                          <w:marBottom w:val="0"/>
                                                          <w:divBdr>
                                                            <w:top w:val="none" w:sz="0" w:space="0" w:color="auto"/>
                                                            <w:left w:val="none" w:sz="0" w:space="0" w:color="auto"/>
                                                            <w:bottom w:val="none" w:sz="0" w:space="0" w:color="auto"/>
                                                            <w:right w:val="none" w:sz="0" w:space="0" w:color="auto"/>
                                                          </w:divBdr>
                                                          <w:divsChild>
                                                            <w:div w:id="847910811">
                                                              <w:marLeft w:val="0"/>
                                                              <w:marRight w:val="0"/>
                                                              <w:marTop w:val="0"/>
                                                              <w:marBottom w:val="0"/>
                                                              <w:divBdr>
                                                                <w:top w:val="none" w:sz="0" w:space="0" w:color="auto"/>
                                                                <w:left w:val="none" w:sz="0" w:space="0" w:color="auto"/>
                                                                <w:bottom w:val="none" w:sz="0" w:space="0" w:color="auto"/>
                                                                <w:right w:val="none" w:sz="0" w:space="0" w:color="auto"/>
                                                              </w:divBdr>
                                                            </w:div>
                                                          </w:divsChild>
                                                        </w:div>
                                                        <w:div w:id="22637383">
                                                          <w:marLeft w:val="0"/>
                                                          <w:marRight w:val="0"/>
                                                          <w:marTop w:val="0"/>
                                                          <w:marBottom w:val="0"/>
                                                          <w:divBdr>
                                                            <w:top w:val="none" w:sz="0" w:space="0" w:color="auto"/>
                                                            <w:left w:val="none" w:sz="0" w:space="0" w:color="auto"/>
                                                            <w:bottom w:val="none" w:sz="0" w:space="0" w:color="auto"/>
                                                            <w:right w:val="none" w:sz="0" w:space="0" w:color="auto"/>
                                                          </w:divBdr>
                                                          <w:divsChild>
                                                            <w:div w:id="732629960">
                                                              <w:marLeft w:val="0"/>
                                                              <w:marRight w:val="0"/>
                                                              <w:marTop w:val="0"/>
                                                              <w:marBottom w:val="0"/>
                                                              <w:divBdr>
                                                                <w:top w:val="none" w:sz="0" w:space="0" w:color="auto"/>
                                                                <w:left w:val="none" w:sz="0" w:space="0" w:color="auto"/>
                                                                <w:bottom w:val="none" w:sz="0" w:space="0" w:color="auto"/>
                                                                <w:right w:val="none" w:sz="0" w:space="0" w:color="auto"/>
                                                              </w:divBdr>
                                                              <w:divsChild>
                                                                <w:div w:id="28593513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24082311">
                                                          <w:marLeft w:val="0"/>
                                                          <w:marRight w:val="0"/>
                                                          <w:marTop w:val="0"/>
                                                          <w:marBottom w:val="0"/>
                                                          <w:divBdr>
                                                            <w:top w:val="none" w:sz="0" w:space="0" w:color="auto"/>
                                                            <w:left w:val="none" w:sz="0" w:space="0" w:color="auto"/>
                                                            <w:bottom w:val="none" w:sz="0" w:space="0" w:color="auto"/>
                                                            <w:right w:val="none" w:sz="0" w:space="0" w:color="auto"/>
                                                          </w:divBdr>
                                                          <w:divsChild>
                                                            <w:div w:id="1418862113">
                                                              <w:marLeft w:val="0"/>
                                                              <w:marRight w:val="0"/>
                                                              <w:marTop w:val="0"/>
                                                              <w:marBottom w:val="0"/>
                                                              <w:divBdr>
                                                                <w:top w:val="none" w:sz="0" w:space="0" w:color="auto"/>
                                                                <w:left w:val="none" w:sz="0" w:space="0" w:color="auto"/>
                                                                <w:bottom w:val="none" w:sz="0" w:space="0" w:color="auto"/>
                                                                <w:right w:val="none" w:sz="0" w:space="0" w:color="auto"/>
                                                              </w:divBdr>
                                                              <w:divsChild>
                                                                <w:div w:id="99040901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19510610">
                                              <w:marLeft w:val="0"/>
                                              <w:marRight w:val="0"/>
                                              <w:marTop w:val="0"/>
                                              <w:marBottom w:val="0"/>
                                              <w:divBdr>
                                                <w:top w:val="none" w:sz="0" w:space="0" w:color="auto"/>
                                                <w:left w:val="none" w:sz="0" w:space="0" w:color="auto"/>
                                                <w:bottom w:val="none" w:sz="0" w:space="0" w:color="auto"/>
                                                <w:right w:val="none" w:sz="0" w:space="0" w:color="auto"/>
                                              </w:divBdr>
                                              <w:divsChild>
                                                <w:div w:id="314341376">
                                                  <w:marLeft w:val="0"/>
                                                  <w:marRight w:val="0"/>
                                                  <w:marTop w:val="0"/>
                                                  <w:marBottom w:val="0"/>
                                                  <w:divBdr>
                                                    <w:top w:val="none" w:sz="0" w:space="0" w:color="auto"/>
                                                    <w:left w:val="none" w:sz="0" w:space="0" w:color="auto"/>
                                                    <w:bottom w:val="none" w:sz="0" w:space="0" w:color="auto"/>
                                                    <w:right w:val="none" w:sz="0" w:space="0" w:color="auto"/>
                                                  </w:divBdr>
                                                  <w:divsChild>
                                                    <w:div w:id="1145588261">
                                                      <w:marLeft w:val="0"/>
                                                      <w:marRight w:val="0"/>
                                                      <w:marTop w:val="0"/>
                                                      <w:marBottom w:val="0"/>
                                                      <w:divBdr>
                                                        <w:top w:val="none" w:sz="0" w:space="0" w:color="auto"/>
                                                        <w:left w:val="none" w:sz="0" w:space="0" w:color="auto"/>
                                                        <w:bottom w:val="none" w:sz="0" w:space="0" w:color="auto"/>
                                                        <w:right w:val="none" w:sz="0" w:space="0" w:color="auto"/>
                                                      </w:divBdr>
                                                      <w:divsChild>
                                                        <w:div w:id="1164784649">
                                                          <w:marLeft w:val="0"/>
                                                          <w:marRight w:val="0"/>
                                                          <w:marTop w:val="0"/>
                                                          <w:marBottom w:val="0"/>
                                                          <w:divBdr>
                                                            <w:top w:val="none" w:sz="0" w:space="0" w:color="auto"/>
                                                            <w:left w:val="none" w:sz="0" w:space="0" w:color="auto"/>
                                                            <w:bottom w:val="none" w:sz="0" w:space="0" w:color="auto"/>
                                                            <w:right w:val="none" w:sz="0" w:space="0" w:color="auto"/>
                                                          </w:divBdr>
                                                          <w:divsChild>
                                                            <w:div w:id="2094666004">
                                                              <w:marLeft w:val="0"/>
                                                              <w:marRight w:val="0"/>
                                                              <w:marTop w:val="0"/>
                                                              <w:marBottom w:val="300"/>
                                                              <w:divBdr>
                                                                <w:top w:val="none" w:sz="0" w:space="0" w:color="auto"/>
                                                                <w:left w:val="none" w:sz="0" w:space="0" w:color="auto"/>
                                                                <w:bottom w:val="none" w:sz="0" w:space="0" w:color="auto"/>
                                                                <w:right w:val="none" w:sz="0" w:space="0" w:color="auto"/>
                                                              </w:divBdr>
                                                              <w:divsChild>
                                                                <w:div w:id="1413114680">
                                                                  <w:marLeft w:val="0"/>
                                                                  <w:marRight w:val="0"/>
                                                                  <w:marTop w:val="0"/>
                                                                  <w:marBottom w:val="0"/>
                                                                  <w:divBdr>
                                                                    <w:top w:val="none" w:sz="0" w:space="0" w:color="auto"/>
                                                                    <w:left w:val="none" w:sz="0" w:space="0" w:color="auto"/>
                                                                    <w:bottom w:val="none" w:sz="0" w:space="0" w:color="auto"/>
                                                                    <w:right w:val="none" w:sz="0" w:space="0" w:color="auto"/>
                                                                  </w:divBdr>
                                                                  <w:divsChild>
                                                                    <w:div w:id="2081830504">
                                                                      <w:marLeft w:val="0"/>
                                                                      <w:marRight w:val="0"/>
                                                                      <w:marTop w:val="0"/>
                                                                      <w:marBottom w:val="0"/>
                                                                      <w:divBdr>
                                                                        <w:top w:val="none" w:sz="0" w:space="0" w:color="auto"/>
                                                                        <w:left w:val="none" w:sz="0" w:space="0" w:color="auto"/>
                                                                        <w:bottom w:val="none" w:sz="0" w:space="0" w:color="auto"/>
                                                                        <w:right w:val="none" w:sz="0" w:space="0" w:color="auto"/>
                                                                      </w:divBdr>
                                                                      <w:divsChild>
                                                                        <w:div w:id="1486359216">
                                                                          <w:marLeft w:val="0"/>
                                                                          <w:marRight w:val="0"/>
                                                                          <w:marTop w:val="0"/>
                                                                          <w:marBottom w:val="0"/>
                                                                          <w:divBdr>
                                                                            <w:top w:val="none" w:sz="0" w:space="0" w:color="auto"/>
                                                                            <w:left w:val="none" w:sz="0" w:space="0" w:color="auto"/>
                                                                            <w:bottom w:val="none" w:sz="0" w:space="0" w:color="auto"/>
                                                                            <w:right w:val="none" w:sz="0" w:space="0" w:color="auto"/>
                                                                          </w:divBdr>
                                                                          <w:divsChild>
                                                                            <w:div w:id="1896813134">
                                                                              <w:marLeft w:val="0"/>
                                                                              <w:marRight w:val="0"/>
                                                                              <w:marTop w:val="0"/>
                                                                              <w:marBottom w:val="0"/>
                                                                              <w:divBdr>
                                                                                <w:top w:val="none" w:sz="0" w:space="0" w:color="auto"/>
                                                                                <w:left w:val="none" w:sz="0" w:space="0" w:color="auto"/>
                                                                                <w:bottom w:val="none" w:sz="0" w:space="0" w:color="auto"/>
                                                                                <w:right w:val="none" w:sz="0" w:space="0" w:color="auto"/>
                                                                              </w:divBdr>
                                                                              <w:divsChild>
                                                                                <w:div w:id="231278469">
                                                                                  <w:marLeft w:val="0"/>
                                                                                  <w:marRight w:val="0"/>
                                                                                  <w:marTop w:val="0"/>
                                                                                  <w:marBottom w:val="0"/>
                                                                                  <w:divBdr>
                                                                                    <w:top w:val="none" w:sz="0" w:space="0" w:color="auto"/>
                                                                                    <w:left w:val="none" w:sz="0" w:space="0" w:color="auto"/>
                                                                                    <w:bottom w:val="none" w:sz="0" w:space="0" w:color="auto"/>
                                                                                    <w:right w:val="none" w:sz="0" w:space="0" w:color="auto"/>
                                                                                  </w:divBdr>
                                                                                  <w:divsChild>
                                                                                    <w:div w:id="1180631054">
                                                                                      <w:marLeft w:val="0"/>
                                                                                      <w:marRight w:val="0"/>
                                                                                      <w:marTop w:val="0"/>
                                                                                      <w:marBottom w:val="0"/>
                                                                                      <w:divBdr>
                                                                                        <w:top w:val="none" w:sz="0" w:space="0" w:color="auto"/>
                                                                                        <w:left w:val="none" w:sz="0" w:space="0" w:color="auto"/>
                                                                                        <w:bottom w:val="none" w:sz="0" w:space="0" w:color="auto"/>
                                                                                        <w:right w:val="none" w:sz="0" w:space="0" w:color="auto"/>
                                                                                      </w:divBdr>
                                                                                      <w:divsChild>
                                                                                        <w:div w:id="421731093">
                                                                                          <w:marLeft w:val="0"/>
                                                                                          <w:marRight w:val="0"/>
                                                                                          <w:marTop w:val="0"/>
                                                                                          <w:marBottom w:val="60"/>
                                                                                          <w:divBdr>
                                                                                            <w:top w:val="none" w:sz="0" w:space="0" w:color="auto"/>
                                                                                            <w:left w:val="none" w:sz="0" w:space="0" w:color="auto"/>
                                                                                            <w:bottom w:val="none" w:sz="0" w:space="0" w:color="auto"/>
                                                                                            <w:right w:val="none" w:sz="0" w:space="0" w:color="auto"/>
                                                                                          </w:divBdr>
                                                                                        </w:div>
                                                                                        <w:div w:id="388265813">
                                                                                          <w:marLeft w:val="0"/>
                                                                                          <w:marRight w:val="0"/>
                                                                                          <w:marTop w:val="0"/>
                                                                                          <w:marBottom w:val="120"/>
                                                                                          <w:divBdr>
                                                                                            <w:top w:val="none" w:sz="0" w:space="0" w:color="auto"/>
                                                                                            <w:left w:val="none" w:sz="0" w:space="0" w:color="auto"/>
                                                                                            <w:bottom w:val="none" w:sz="0" w:space="0" w:color="auto"/>
                                                                                            <w:right w:val="none" w:sz="0" w:space="0" w:color="auto"/>
                                                                                          </w:divBdr>
                                                                                        </w:div>
                                                                                        <w:div w:id="2144303294">
                                                                                          <w:marLeft w:val="0"/>
                                                                                          <w:marRight w:val="0"/>
                                                                                          <w:marTop w:val="0"/>
                                                                                          <w:marBottom w:val="0"/>
                                                                                          <w:divBdr>
                                                                                            <w:top w:val="none" w:sz="0" w:space="0" w:color="auto"/>
                                                                                            <w:left w:val="none" w:sz="0" w:space="0" w:color="auto"/>
                                                                                            <w:bottom w:val="none" w:sz="0" w:space="0" w:color="auto"/>
                                                                                            <w:right w:val="none" w:sz="0" w:space="0" w:color="auto"/>
                                                                                          </w:divBdr>
                                                                                          <w:divsChild>
                                                                                            <w:div w:id="1083065505">
                                                                                              <w:marLeft w:val="0"/>
                                                                                              <w:marRight w:val="0"/>
                                                                                              <w:marTop w:val="0"/>
                                                                                              <w:marBottom w:val="0"/>
                                                                                              <w:divBdr>
                                                                                                <w:top w:val="none" w:sz="0" w:space="0" w:color="auto"/>
                                                                                                <w:left w:val="none" w:sz="0" w:space="0" w:color="auto"/>
                                                                                                <w:bottom w:val="none" w:sz="0" w:space="0" w:color="auto"/>
                                                                                                <w:right w:val="none" w:sz="0" w:space="0" w:color="auto"/>
                                                                                              </w:divBdr>
                                                                                              <w:divsChild>
                                                                                                <w:div w:id="1900483447">
                                                                                                  <w:marLeft w:val="0"/>
                                                                                                  <w:marRight w:val="0"/>
                                                                                                  <w:marTop w:val="0"/>
                                                                                                  <w:marBottom w:val="0"/>
                                                                                                  <w:divBdr>
                                                                                                    <w:top w:val="none" w:sz="0" w:space="0" w:color="auto"/>
                                                                                                    <w:left w:val="none" w:sz="0" w:space="0" w:color="auto"/>
                                                                                                    <w:bottom w:val="none" w:sz="0" w:space="0" w:color="auto"/>
                                                                                                    <w:right w:val="none" w:sz="0" w:space="0" w:color="auto"/>
                                                                                                  </w:divBdr>
                                                                                                  <w:divsChild>
                                                                                                    <w:div w:id="1882131429">
                                                                                                      <w:marLeft w:val="0"/>
                                                                                                      <w:marRight w:val="0"/>
                                                                                                      <w:marTop w:val="0"/>
                                                                                                      <w:marBottom w:val="0"/>
                                                                                                      <w:divBdr>
                                                                                                        <w:top w:val="none" w:sz="0" w:space="0" w:color="auto"/>
                                                                                                        <w:left w:val="none" w:sz="0" w:space="0" w:color="auto"/>
                                                                                                        <w:bottom w:val="none" w:sz="0" w:space="0" w:color="auto"/>
                                                                                                        <w:right w:val="none" w:sz="0" w:space="0" w:color="auto"/>
                                                                                                      </w:divBdr>
                                                                                                      <w:divsChild>
                                                                                                        <w:div w:id="1416902146">
                                                                                                          <w:marLeft w:val="0"/>
                                                                                                          <w:marRight w:val="0"/>
                                                                                                          <w:marTop w:val="0"/>
                                                                                                          <w:marBottom w:val="0"/>
                                                                                                          <w:divBdr>
                                                                                                            <w:top w:val="none" w:sz="0" w:space="0" w:color="auto"/>
                                                                                                            <w:left w:val="none" w:sz="0" w:space="0" w:color="auto"/>
                                                                                                            <w:bottom w:val="none" w:sz="0" w:space="0" w:color="auto"/>
                                                                                                            <w:right w:val="none" w:sz="0" w:space="0" w:color="auto"/>
                                                                                                          </w:divBdr>
                                                                                                          <w:divsChild>
                                                                                                            <w:div w:id="76352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017947">
                                                                                                      <w:marLeft w:val="0"/>
                                                                                                      <w:marRight w:val="0"/>
                                                                                                      <w:marTop w:val="0"/>
                                                                                                      <w:marBottom w:val="0"/>
                                                                                                      <w:divBdr>
                                                                                                        <w:top w:val="none" w:sz="0" w:space="0" w:color="auto"/>
                                                                                                        <w:left w:val="none" w:sz="0" w:space="0" w:color="auto"/>
                                                                                                        <w:bottom w:val="none" w:sz="0" w:space="0" w:color="auto"/>
                                                                                                        <w:right w:val="none" w:sz="0" w:space="0" w:color="auto"/>
                                                                                                      </w:divBdr>
                                                                                                      <w:divsChild>
                                                                                                        <w:div w:id="123339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084041">
                                                                                      <w:marLeft w:val="0"/>
                                                                                      <w:marRight w:val="0"/>
                                                                                      <w:marTop w:val="0"/>
                                                                                      <w:marBottom w:val="0"/>
                                                                                      <w:divBdr>
                                                                                        <w:top w:val="none" w:sz="0" w:space="0" w:color="auto"/>
                                                                                        <w:left w:val="none" w:sz="0" w:space="0" w:color="auto"/>
                                                                                        <w:bottom w:val="none" w:sz="0" w:space="0" w:color="auto"/>
                                                                                        <w:right w:val="none" w:sz="0" w:space="0" w:color="auto"/>
                                                                                      </w:divBdr>
                                                                                      <w:divsChild>
                                                                                        <w:div w:id="2047369617">
                                                                                          <w:marLeft w:val="0"/>
                                                                                          <w:marRight w:val="0"/>
                                                                                          <w:marTop w:val="0"/>
                                                                                          <w:marBottom w:val="0"/>
                                                                                          <w:divBdr>
                                                                                            <w:top w:val="none" w:sz="0" w:space="0" w:color="auto"/>
                                                                                            <w:left w:val="none" w:sz="0" w:space="0" w:color="auto"/>
                                                                                            <w:bottom w:val="none" w:sz="0" w:space="0" w:color="auto"/>
                                                                                            <w:right w:val="none" w:sz="0" w:space="0" w:color="auto"/>
                                                                                          </w:divBdr>
                                                                                          <w:divsChild>
                                                                                            <w:div w:id="960577264">
                                                                                              <w:marLeft w:val="0"/>
                                                                                              <w:marRight w:val="0"/>
                                                                                              <w:marTop w:val="0"/>
                                                                                              <w:marBottom w:val="0"/>
                                                                                              <w:divBdr>
                                                                                                <w:top w:val="none" w:sz="0" w:space="0" w:color="auto"/>
                                                                                                <w:left w:val="none" w:sz="0" w:space="0" w:color="auto"/>
                                                                                                <w:bottom w:val="none" w:sz="0" w:space="0" w:color="auto"/>
                                                                                                <w:right w:val="none" w:sz="0" w:space="0" w:color="auto"/>
                                                                                              </w:divBdr>
                                                                                              <w:divsChild>
                                                                                                <w:div w:id="605116729">
                                                                                                  <w:marLeft w:val="0"/>
                                                                                                  <w:marRight w:val="0"/>
                                                                                                  <w:marTop w:val="0"/>
                                                                                                  <w:marBottom w:val="60"/>
                                                                                                  <w:divBdr>
                                                                                                    <w:top w:val="none" w:sz="0" w:space="0" w:color="auto"/>
                                                                                                    <w:left w:val="none" w:sz="0" w:space="0" w:color="auto"/>
                                                                                                    <w:bottom w:val="none" w:sz="0" w:space="0" w:color="auto"/>
                                                                                                    <w:right w:val="none" w:sz="0" w:space="0" w:color="auto"/>
                                                                                                  </w:divBdr>
                                                                                                </w:div>
                                                                                                <w:div w:id="2145080180">
                                                                                                  <w:marLeft w:val="0"/>
                                                                                                  <w:marRight w:val="0"/>
                                                                                                  <w:marTop w:val="0"/>
                                                                                                  <w:marBottom w:val="120"/>
                                                                                                  <w:divBdr>
                                                                                                    <w:top w:val="none" w:sz="0" w:space="0" w:color="auto"/>
                                                                                                    <w:left w:val="none" w:sz="0" w:space="0" w:color="auto"/>
                                                                                                    <w:bottom w:val="none" w:sz="0" w:space="0" w:color="auto"/>
                                                                                                    <w:right w:val="none" w:sz="0" w:space="0" w:color="auto"/>
                                                                                                  </w:divBdr>
                                                                                                </w:div>
                                                                                                <w:div w:id="230509475">
                                                                                                  <w:marLeft w:val="0"/>
                                                                                                  <w:marRight w:val="0"/>
                                                                                                  <w:marTop w:val="0"/>
                                                                                                  <w:marBottom w:val="0"/>
                                                                                                  <w:divBdr>
                                                                                                    <w:top w:val="none" w:sz="0" w:space="0" w:color="auto"/>
                                                                                                    <w:left w:val="none" w:sz="0" w:space="0" w:color="auto"/>
                                                                                                    <w:bottom w:val="none" w:sz="0" w:space="0" w:color="auto"/>
                                                                                                    <w:right w:val="none" w:sz="0" w:space="0" w:color="auto"/>
                                                                                                  </w:divBdr>
                                                                                                  <w:divsChild>
                                                                                                    <w:div w:id="119031106">
                                                                                                      <w:marLeft w:val="0"/>
                                                                                                      <w:marRight w:val="0"/>
                                                                                                      <w:marTop w:val="0"/>
                                                                                                      <w:marBottom w:val="0"/>
                                                                                                      <w:divBdr>
                                                                                                        <w:top w:val="none" w:sz="0" w:space="0" w:color="auto"/>
                                                                                                        <w:left w:val="none" w:sz="0" w:space="0" w:color="auto"/>
                                                                                                        <w:bottom w:val="none" w:sz="0" w:space="0" w:color="auto"/>
                                                                                                        <w:right w:val="none" w:sz="0" w:space="0" w:color="auto"/>
                                                                                                      </w:divBdr>
                                                                                                      <w:divsChild>
                                                                                                        <w:div w:id="1067607357">
                                                                                                          <w:marLeft w:val="0"/>
                                                                                                          <w:marRight w:val="0"/>
                                                                                                          <w:marTop w:val="0"/>
                                                                                                          <w:marBottom w:val="0"/>
                                                                                                          <w:divBdr>
                                                                                                            <w:top w:val="none" w:sz="0" w:space="0" w:color="auto"/>
                                                                                                            <w:left w:val="none" w:sz="0" w:space="0" w:color="auto"/>
                                                                                                            <w:bottom w:val="none" w:sz="0" w:space="0" w:color="auto"/>
                                                                                                            <w:right w:val="none" w:sz="0" w:space="0" w:color="auto"/>
                                                                                                          </w:divBdr>
                                                                                                          <w:divsChild>
                                                                                                            <w:div w:id="1194614159">
                                                                                                              <w:marLeft w:val="0"/>
                                                                                                              <w:marRight w:val="0"/>
                                                                                                              <w:marTop w:val="0"/>
                                                                                                              <w:marBottom w:val="0"/>
                                                                                                              <w:divBdr>
                                                                                                                <w:top w:val="none" w:sz="0" w:space="0" w:color="auto"/>
                                                                                                                <w:left w:val="none" w:sz="0" w:space="0" w:color="auto"/>
                                                                                                                <w:bottom w:val="none" w:sz="0" w:space="0" w:color="auto"/>
                                                                                                                <w:right w:val="none" w:sz="0" w:space="0" w:color="auto"/>
                                                                                                              </w:divBdr>
                                                                                                              <w:divsChild>
                                                                                                                <w:div w:id="1193882860">
                                                                                                                  <w:marLeft w:val="0"/>
                                                                                                                  <w:marRight w:val="0"/>
                                                                                                                  <w:marTop w:val="0"/>
                                                                                                                  <w:marBottom w:val="0"/>
                                                                                                                  <w:divBdr>
                                                                                                                    <w:top w:val="none" w:sz="0" w:space="0" w:color="auto"/>
                                                                                                                    <w:left w:val="none" w:sz="0" w:space="0" w:color="auto"/>
                                                                                                                    <w:bottom w:val="none" w:sz="0" w:space="0" w:color="auto"/>
                                                                                                                    <w:right w:val="none" w:sz="0" w:space="0" w:color="auto"/>
                                                                                                                  </w:divBdr>
                                                                                                                  <w:divsChild>
                                                                                                                    <w:div w:id="77549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799245">
                                                                                                              <w:marLeft w:val="0"/>
                                                                                                              <w:marRight w:val="0"/>
                                                                                                              <w:marTop w:val="0"/>
                                                                                                              <w:marBottom w:val="0"/>
                                                                                                              <w:divBdr>
                                                                                                                <w:top w:val="none" w:sz="0" w:space="0" w:color="auto"/>
                                                                                                                <w:left w:val="none" w:sz="0" w:space="0" w:color="auto"/>
                                                                                                                <w:bottom w:val="none" w:sz="0" w:space="0" w:color="auto"/>
                                                                                                                <w:right w:val="none" w:sz="0" w:space="0" w:color="auto"/>
                                                                                                              </w:divBdr>
                                                                                                              <w:divsChild>
                                                                                                                <w:div w:id="136258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629065">
                                                                                              <w:marLeft w:val="0"/>
                                                                                              <w:marRight w:val="0"/>
                                                                                              <w:marTop w:val="0"/>
                                                                                              <w:marBottom w:val="0"/>
                                                                                              <w:divBdr>
                                                                                                <w:top w:val="none" w:sz="0" w:space="0" w:color="auto"/>
                                                                                                <w:left w:val="none" w:sz="0" w:space="0" w:color="auto"/>
                                                                                                <w:bottom w:val="none" w:sz="0" w:space="0" w:color="auto"/>
                                                                                                <w:right w:val="none" w:sz="0" w:space="0" w:color="auto"/>
                                                                                              </w:divBdr>
                                                                                              <w:divsChild>
                                                                                                <w:div w:id="11143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899965">
                                                                                      <w:marLeft w:val="0"/>
                                                                                      <w:marRight w:val="0"/>
                                                                                      <w:marTop w:val="0"/>
                                                                                      <w:marBottom w:val="0"/>
                                                                                      <w:divBdr>
                                                                                        <w:top w:val="none" w:sz="0" w:space="0" w:color="auto"/>
                                                                                        <w:left w:val="none" w:sz="0" w:space="0" w:color="auto"/>
                                                                                        <w:bottom w:val="none" w:sz="0" w:space="0" w:color="auto"/>
                                                                                        <w:right w:val="none" w:sz="0" w:space="0" w:color="auto"/>
                                                                                      </w:divBdr>
                                                                                      <w:divsChild>
                                                                                        <w:div w:id="2099058418">
                                                                                          <w:marLeft w:val="0"/>
                                                                                          <w:marRight w:val="0"/>
                                                                                          <w:marTop w:val="0"/>
                                                                                          <w:marBottom w:val="60"/>
                                                                                          <w:divBdr>
                                                                                            <w:top w:val="none" w:sz="0" w:space="0" w:color="auto"/>
                                                                                            <w:left w:val="none" w:sz="0" w:space="0" w:color="auto"/>
                                                                                            <w:bottom w:val="none" w:sz="0" w:space="0" w:color="auto"/>
                                                                                            <w:right w:val="none" w:sz="0" w:space="0" w:color="auto"/>
                                                                                          </w:divBdr>
                                                                                        </w:div>
                                                                                        <w:div w:id="1124544480">
                                                                                          <w:marLeft w:val="0"/>
                                                                                          <w:marRight w:val="0"/>
                                                                                          <w:marTop w:val="0"/>
                                                                                          <w:marBottom w:val="120"/>
                                                                                          <w:divBdr>
                                                                                            <w:top w:val="none" w:sz="0" w:space="0" w:color="auto"/>
                                                                                            <w:left w:val="none" w:sz="0" w:space="0" w:color="auto"/>
                                                                                            <w:bottom w:val="none" w:sz="0" w:space="0" w:color="auto"/>
                                                                                            <w:right w:val="none" w:sz="0" w:space="0" w:color="auto"/>
                                                                                          </w:divBdr>
                                                                                        </w:div>
                                                                                        <w:div w:id="1634169656">
                                                                                          <w:marLeft w:val="0"/>
                                                                                          <w:marRight w:val="0"/>
                                                                                          <w:marTop w:val="0"/>
                                                                                          <w:marBottom w:val="0"/>
                                                                                          <w:divBdr>
                                                                                            <w:top w:val="none" w:sz="0" w:space="0" w:color="auto"/>
                                                                                            <w:left w:val="none" w:sz="0" w:space="0" w:color="auto"/>
                                                                                            <w:bottom w:val="none" w:sz="0" w:space="0" w:color="auto"/>
                                                                                            <w:right w:val="none" w:sz="0" w:space="0" w:color="auto"/>
                                                                                          </w:divBdr>
                                                                                          <w:divsChild>
                                                                                            <w:div w:id="150102619">
                                                                                              <w:marLeft w:val="0"/>
                                                                                              <w:marRight w:val="0"/>
                                                                                              <w:marTop w:val="0"/>
                                                                                              <w:marBottom w:val="0"/>
                                                                                              <w:divBdr>
                                                                                                <w:top w:val="none" w:sz="0" w:space="0" w:color="auto"/>
                                                                                                <w:left w:val="none" w:sz="0" w:space="0" w:color="auto"/>
                                                                                                <w:bottom w:val="none" w:sz="0" w:space="0" w:color="auto"/>
                                                                                                <w:right w:val="none" w:sz="0" w:space="0" w:color="auto"/>
                                                                                              </w:divBdr>
                                                                                              <w:divsChild>
                                                                                                <w:div w:id="1882591991">
                                                                                                  <w:marLeft w:val="0"/>
                                                                                                  <w:marRight w:val="0"/>
                                                                                                  <w:marTop w:val="0"/>
                                                                                                  <w:marBottom w:val="0"/>
                                                                                                  <w:divBdr>
                                                                                                    <w:top w:val="none" w:sz="0" w:space="0" w:color="auto"/>
                                                                                                    <w:left w:val="none" w:sz="0" w:space="0" w:color="auto"/>
                                                                                                    <w:bottom w:val="none" w:sz="0" w:space="0" w:color="auto"/>
                                                                                                    <w:right w:val="none" w:sz="0" w:space="0" w:color="auto"/>
                                                                                                  </w:divBdr>
                                                                                                  <w:divsChild>
                                                                                                    <w:div w:id="115951040">
                                                                                                      <w:marLeft w:val="0"/>
                                                                                                      <w:marRight w:val="0"/>
                                                                                                      <w:marTop w:val="0"/>
                                                                                                      <w:marBottom w:val="0"/>
                                                                                                      <w:divBdr>
                                                                                                        <w:top w:val="none" w:sz="0" w:space="0" w:color="auto"/>
                                                                                                        <w:left w:val="none" w:sz="0" w:space="0" w:color="auto"/>
                                                                                                        <w:bottom w:val="none" w:sz="0" w:space="0" w:color="auto"/>
                                                                                                        <w:right w:val="none" w:sz="0" w:space="0" w:color="auto"/>
                                                                                                      </w:divBdr>
                                                                                                      <w:divsChild>
                                                                                                        <w:div w:id="106699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900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3118466">
      <w:bodyDiv w:val="1"/>
      <w:marLeft w:val="0"/>
      <w:marRight w:val="0"/>
      <w:marTop w:val="0"/>
      <w:marBottom w:val="0"/>
      <w:divBdr>
        <w:top w:val="none" w:sz="0" w:space="0" w:color="auto"/>
        <w:left w:val="none" w:sz="0" w:space="0" w:color="auto"/>
        <w:bottom w:val="none" w:sz="0" w:space="0" w:color="auto"/>
        <w:right w:val="none" w:sz="0" w:space="0" w:color="auto"/>
      </w:divBdr>
    </w:div>
    <w:div w:id="2136829752">
      <w:bodyDiv w:val="1"/>
      <w:marLeft w:val="0"/>
      <w:marRight w:val="0"/>
      <w:marTop w:val="0"/>
      <w:marBottom w:val="0"/>
      <w:divBdr>
        <w:top w:val="none" w:sz="0" w:space="0" w:color="auto"/>
        <w:left w:val="none" w:sz="0" w:space="0" w:color="auto"/>
        <w:bottom w:val="none" w:sz="0" w:space="0" w:color="auto"/>
        <w:right w:val="none" w:sz="0" w:space="0" w:color="auto"/>
      </w:divBdr>
    </w:div>
    <w:div w:id="2139949921">
      <w:bodyDiv w:val="1"/>
      <w:marLeft w:val="0"/>
      <w:marRight w:val="0"/>
      <w:marTop w:val="0"/>
      <w:marBottom w:val="0"/>
      <w:divBdr>
        <w:top w:val="none" w:sz="0" w:space="0" w:color="auto"/>
        <w:left w:val="none" w:sz="0" w:space="0" w:color="auto"/>
        <w:bottom w:val="none" w:sz="0" w:space="0" w:color="auto"/>
        <w:right w:val="none" w:sz="0" w:space="0" w:color="auto"/>
      </w:divBdr>
    </w:div>
    <w:div w:id="2143766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settiegatti.eu/info/norme/statali/2023_0036.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bosettiegatti.eu/info/norme/comunitarie/2014_0023_concessioni.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normattiva.it/uri-res/N2Ls?urn:nir:stato:legge:1990-08-07;24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ScrivaniaDelMagistrato\1476%2520Francesca%2520Dello%2520Sbarba\Deploy\Scrivania.do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1C592E-FE1D-42B0-B15A-21456B915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Scrivania.dotm</Template>
  <TotalTime>32</TotalTime>
  <Pages>18</Pages>
  <Words>6980</Words>
  <Characters>39789</Characters>
  <Application>Microsoft Office Word</Application>
  <DocSecurity>0</DocSecurity>
  <Lines>331</Lines>
  <Paragraphs>93</Paragraphs>
  <ScaleCrop>false</ScaleCrop>
  <HeadingPairs>
    <vt:vector size="2" baseType="variant">
      <vt:variant>
        <vt:lpstr>Titolo</vt:lpstr>
      </vt:variant>
      <vt:variant>
        <vt:i4>1</vt:i4>
      </vt:variant>
    </vt:vector>
  </HeadingPairs>
  <TitlesOfParts>
    <vt:vector size="1" baseType="lpstr">
      <vt:lpstr/>
    </vt:vector>
  </TitlesOfParts>
  <Company>UNISYS Italia S.p.A.</Company>
  <LinksUpToDate>false</LinksUpToDate>
  <CharactersWithSpaces>46676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DELLO SBARBA Francesca</dc:creator>
  <cp:keywords/>
  <dc:description/>
  <cp:lastModifiedBy>DELLO SBARBA Francesca</cp:lastModifiedBy>
  <cp:revision>6</cp:revision>
  <cp:lastPrinted>2025-10-25T09:28:00Z</cp:lastPrinted>
  <dcterms:created xsi:type="dcterms:W3CDTF">2025-11-16T09:07:00Z</dcterms:created>
  <dcterms:modified xsi:type="dcterms:W3CDTF">2025-11-17T08:19:00Z</dcterms:modified>
</cp:coreProperties>
</file>