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A8" w:rsidRPr="000B71DF" w:rsidRDefault="006C20E1" w:rsidP="0030795A">
      <w:pPr>
        <w:spacing w:line="360" w:lineRule="auto"/>
        <w:jc w:val="center"/>
        <w:rPr>
          <w:rFonts w:ascii="Times New Roman" w:hAnsi="Times New Roman" w:cs="Times New Roman"/>
          <w:sz w:val="24"/>
          <w:szCs w:val="24"/>
        </w:rPr>
      </w:pPr>
      <w:bookmarkStart w:id="0" w:name="_GoBack"/>
      <w:bookmarkEnd w:id="0"/>
      <w:r>
        <w:rPr>
          <w:rStyle w:val="Rimandonotaapidipagina"/>
          <w:rFonts w:ascii="Times New Roman" w:hAnsi="Times New Roman" w:cs="Times New Roman"/>
          <w:sz w:val="24"/>
          <w:szCs w:val="24"/>
        </w:rPr>
        <w:t xml:space="preserve"> </w:t>
      </w:r>
      <w:r w:rsidR="00D46FEE">
        <w:rPr>
          <w:rFonts w:ascii="Times New Roman" w:hAnsi="Times New Roman" w:cs="Times New Roman"/>
          <w:sz w:val="24"/>
          <w:szCs w:val="24"/>
        </w:rPr>
        <w:t xml:space="preserve"> </w:t>
      </w:r>
    </w:p>
    <w:p w:rsidR="00304038" w:rsidRPr="00B52337" w:rsidRDefault="00FE1BFE" w:rsidP="0030795A">
      <w:pPr>
        <w:spacing w:line="360" w:lineRule="auto"/>
        <w:jc w:val="center"/>
        <w:rPr>
          <w:rFonts w:ascii="Times New Roman" w:hAnsi="Times New Roman" w:cs="Times New Roman"/>
          <w:b/>
          <w:sz w:val="24"/>
          <w:szCs w:val="24"/>
        </w:rPr>
      </w:pPr>
      <w:r w:rsidRPr="00B52337">
        <w:rPr>
          <w:rFonts w:ascii="Times New Roman" w:hAnsi="Times New Roman" w:cs="Times New Roman"/>
          <w:b/>
          <w:sz w:val="24"/>
          <w:szCs w:val="24"/>
        </w:rPr>
        <w:t xml:space="preserve">Il sindacato giurisdizionale sull’esercizio dei </w:t>
      </w:r>
      <w:proofErr w:type="spellStart"/>
      <w:r w:rsidR="001C12D9" w:rsidRPr="003E39BF">
        <w:rPr>
          <w:rFonts w:ascii="Times New Roman" w:hAnsi="Times New Roman" w:cs="Times New Roman"/>
          <w:b/>
          <w:i/>
          <w:sz w:val="24"/>
          <w:szCs w:val="24"/>
        </w:rPr>
        <w:t>golden</w:t>
      </w:r>
      <w:proofErr w:type="spellEnd"/>
      <w:r w:rsidR="001C12D9" w:rsidRPr="003E39BF">
        <w:rPr>
          <w:rFonts w:ascii="Times New Roman" w:hAnsi="Times New Roman" w:cs="Times New Roman"/>
          <w:b/>
          <w:i/>
          <w:sz w:val="24"/>
          <w:szCs w:val="24"/>
        </w:rPr>
        <w:t xml:space="preserve"> </w:t>
      </w:r>
      <w:proofErr w:type="spellStart"/>
      <w:r w:rsidR="001C12D9" w:rsidRPr="003E39BF">
        <w:rPr>
          <w:rFonts w:ascii="Times New Roman" w:hAnsi="Times New Roman" w:cs="Times New Roman"/>
          <w:b/>
          <w:i/>
          <w:sz w:val="24"/>
          <w:szCs w:val="24"/>
        </w:rPr>
        <w:t>powers</w:t>
      </w:r>
      <w:proofErr w:type="spellEnd"/>
      <w:r w:rsidR="00117ED1">
        <w:rPr>
          <w:rFonts w:ascii="Times New Roman" w:hAnsi="Times New Roman" w:cs="Times New Roman"/>
          <w:b/>
          <w:sz w:val="24"/>
          <w:szCs w:val="24"/>
        </w:rPr>
        <w:t>*</w:t>
      </w:r>
    </w:p>
    <w:p w:rsidR="00FE1BFE" w:rsidRDefault="00B93432" w:rsidP="0030795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E39BF" w:rsidRDefault="003E39BF" w:rsidP="003E39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Sommario: 1. Il </w:t>
      </w:r>
      <w:proofErr w:type="spellStart"/>
      <w:r w:rsidRPr="003E39BF">
        <w:rPr>
          <w:rFonts w:ascii="Times New Roman" w:hAnsi="Times New Roman" w:cs="Times New Roman"/>
          <w:i/>
          <w:sz w:val="24"/>
          <w:szCs w:val="24"/>
        </w:rPr>
        <w:t>golden</w:t>
      </w:r>
      <w:proofErr w:type="spellEnd"/>
      <w:r w:rsidRPr="003E39BF">
        <w:rPr>
          <w:rFonts w:ascii="Times New Roman" w:hAnsi="Times New Roman" w:cs="Times New Roman"/>
          <w:i/>
          <w:sz w:val="24"/>
          <w:szCs w:val="24"/>
        </w:rPr>
        <w:t xml:space="preserve"> </w:t>
      </w:r>
      <w:proofErr w:type="spellStart"/>
      <w:r w:rsidRPr="003E39BF">
        <w:rPr>
          <w:rFonts w:ascii="Times New Roman" w:hAnsi="Times New Roman" w:cs="Times New Roman"/>
          <w:i/>
          <w:sz w:val="24"/>
          <w:szCs w:val="24"/>
        </w:rPr>
        <w:t>power</w:t>
      </w:r>
      <w:proofErr w:type="spellEnd"/>
      <w:r>
        <w:rPr>
          <w:rFonts w:ascii="Times New Roman" w:hAnsi="Times New Roman" w:cs="Times New Roman"/>
          <w:sz w:val="24"/>
          <w:szCs w:val="24"/>
        </w:rPr>
        <w:t xml:space="preserve"> tra vecchie e nuove suggestioni. – 2. La disciplina italiana e la sua evoluzione. – 3. </w:t>
      </w:r>
      <w:r w:rsidR="00B0517D">
        <w:rPr>
          <w:rFonts w:ascii="Times New Roman" w:hAnsi="Times New Roman" w:cs="Times New Roman"/>
          <w:sz w:val="24"/>
          <w:szCs w:val="24"/>
        </w:rPr>
        <w:t>L’applicazione della disciplina</w:t>
      </w:r>
      <w:r>
        <w:rPr>
          <w:rFonts w:ascii="Times New Roman" w:hAnsi="Times New Roman" w:cs="Times New Roman"/>
          <w:sz w:val="24"/>
          <w:szCs w:val="24"/>
        </w:rPr>
        <w:t>. – 4. Una rassegna della</w:t>
      </w:r>
      <w:r w:rsidR="00B93432">
        <w:rPr>
          <w:rFonts w:ascii="Times New Roman" w:hAnsi="Times New Roman" w:cs="Times New Roman"/>
          <w:sz w:val="24"/>
          <w:szCs w:val="24"/>
        </w:rPr>
        <w:t xml:space="preserve"> prima</w:t>
      </w:r>
      <w:r>
        <w:rPr>
          <w:rFonts w:ascii="Times New Roman" w:hAnsi="Times New Roman" w:cs="Times New Roman"/>
          <w:sz w:val="24"/>
          <w:szCs w:val="24"/>
        </w:rPr>
        <w:t xml:space="preserve"> giurisprudenza in materia. – 5. Tendenze e prospettive della tutela nei confronti dei </w:t>
      </w:r>
      <w:proofErr w:type="spellStart"/>
      <w:r w:rsidRPr="003E39BF">
        <w:rPr>
          <w:rFonts w:ascii="Times New Roman" w:hAnsi="Times New Roman" w:cs="Times New Roman"/>
          <w:i/>
          <w:sz w:val="24"/>
          <w:szCs w:val="24"/>
        </w:rPr>
        <w:t>golden</w:t>
      </w:r>
      <w:proofErr w:type="spellEnd"/>
      <w:r w:rsidRPr="003E39BF">
        <w:rPr>
          <w:rFonts w:ascii="Times New Roman" w:hAnsi="Times New Roman" w:cs="Times New Roman"/>
          <w:i/>
          <w:sz w:val="24"/>
          <w:szCs w:val="24"/>
        </w:rPr>
        <w:t xml:space="preserve"> </w:t>
      </w:r>
      <w:proofErr w:type="spellStart"/>
      <w:r w:rsidRPr="003E39BF">
        <w:rPr>
          <w:rFonts w:ascii="Times New Roman" w:hAnsi="Times New Roman" w:cs="Times New Roman"/>
          <w:i/>
          <w:sz w:val="24"/>
          <w:szCs w:val="24"/>
        </w:rPr>
        <w:t>powers</w:t>
      </w:r>
      <w:proofErr w:type="spellEnd"/>
      <w:r>
        <w:rPr>
          <w:rFonts w:ascii="Times New Roman" w:hAnsi="Times New Roman" w:cs="Times New Roman"/>
          <w:sz w:val="24"/>
          <w:szCs w:val="24"/>
        </w:rPr>
        <w:t>.</w:t>
      </w:r>
    </w:p>
    <w:p w:rsidR="003E39BF" w:rsidRPr="00516565" w:rsidRDefault="003E39BF" w:rsidP="003E39BF">
      <w:pPr>
        <w:spacing w:line="360" w:lineRule="auto"/>
        <w:jc w:val="both"/>
        <w:rPr>
          <w:rFonts w:ascii="Times New Roman" w:hAnsi="Times New Roman" w:cs="Times New Roman"/>
          <w:sz w:val="24"/>
          <w:szCs w:val="24"/>
        </w:rPr>
      </w:pPr>
    </w:p>
    <w:p w:rsidR="006D36CF" w:rsidRPr="00B93432" w:rsidRDefault="00D46FEE" w:rsidP="00B93432">
      <w:pPr>
        <w:pStyle w:val="Paragrafoelenco"/>
        <w:numPr>
          <w:ilvl w:val="0"/>
          <w:numId w:val="10"/>
        </w:numPr>
        <w:spacing w:line="360" w:lineRule="auto"/>
        <w:jc w:val="both"/>
        <w:rPr>
          <w:rFonts w:ascii="Times New Roman" w:hAnsi="Times New Roman" w:cs="Times New Roman"/>
          <w:b/>
          <w:sz w:val="24"/>
          <w:szCs w:val="24"/>
        </w:rPr>
      </w:pPr>
      <w:r w:rsidRPr="00B93432">
        <w:rPr>
          <w:rFonts w:ascii="Times New Roman" w:hAnsi="Times New Roman" w:cs="Times New Roman"/>
          <w:b/>
          <w:sz w:val="24"/>
          <w:szCs w:val="24"/>
        </w:rPr>
        <w:t xml:space="preserve">Il </w:t>
      </w:r>
      <w:proofErr w:type="spellStart"/>
      <w:r w:rsidRPr="00B93432">
        <w:rPr>
          <w:rFonts w:ascii="Times New Roman" w:hAnsi="Times New Roman" w:cs="Times New Roman"/>
          <w:b/>
          <w:i/>
          <w:sz w:val="24"/>
          <w:szCs w:val="24"/>
        </w:rPr>
        <w:t>golden</w:t>
      </w:r>
      <w:proofErr w:type="spellEnd"/>
      <w:r w:rsidRPr="00B93432">
        <w:rPr>
          <w:rFonts w:ascii="Times New Roman" w:hAnsi="Times New Roman" w:cs="Times New Roman"/>
          <w:b/>
          <w:i/>
          <w:sz w:val="24"/>
          <w:szCs w:val="24"/>
        </w:rPr>
        <w:t xml:space="preserve"> </w:t>
      </w:r>
      <w:proofErr w:type="spellStart"/>
      <w:r w:rsidRPr="00B93432">
        <w:rPr>
          <w:rFonts w:ascii="Times New Roman" w:hAnsi="Times New Roman" w:cs="Times New Roman"/>
          <w:b/>
          <w:i/>
          <w:sz w:val="24"/>
          <w:szCs w:val="24"/>
        </w:rPr>
        <w:t>power</w:t>
      </w:r>
      <w:proofErr w:type="spellEnd"/>
      <w:r w:rsidRPr="00B93432">
        <w:rPr>
          <w:rFonts w:ascii="Times New Roman" w:hAnsi="Times New Roman" w:cs="Times New Roman"/>
          <w:b/>
          <w:sz w:val="24"/>
          <w:szCs w:val="24"/>
        </w:rPr>
        <w:t xml:space="preserve"> tra vecchie e nuove suggestioni</w:t>
      </w:r>
    </w:p>
    <w:p w:rsidR="00516565" w:rsidRDefault="005D435D"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565" w:rsidRPr="00516565">
        <w:rPr>
          <w:rFonts w:ascii="Times New Roman" w:hAnsi="Times New Roman" w:cs="Times New Roman"/>
          <w:sz w:val="24"/>
          <w:szCs w:val="24"/>
        </w:rPr>
        <w:t>L’a</w:t>
      </w:r>
      <w:r>
        <w:rPr>
          <w:rFonts w:ascii="Times New Roman" w:hAnsi="Times New Roman" w:cs="Times New Roman"/>
          <w:sz w:val="24"/>
          <w:szCs w:val="24"/>
        </w:rPr>
        <w:t xml:space="preserve">ttuale </w:t>
      </w:r>
      <w:proofErr w:type="spellStart"/>
      <w:r w:rsidR="00FE1BFE" w:rsidRPr="00B94C08">
        <w:rPr>
          <w:rFonts w:ascii="Times New Roman" w:hAnsi="Times New Roman" w:cs="Times New Roman"/>
          <w:i/>
          <w:sz w:val="24"/>
          <w:szCs w:val="24"/>
        </w:rPr>
        <w:t>golden</w:t>
      </w:r>
      <w:proofErr w:type="spellEnd"/>
      <w:r w:rsidR="00FE1BFE" w:rsidRPr="00B94C08">
        <w:rPr>
          <w:rFonts w:ascii="Times New Roman" w:hAnsi="Times New Roman" w:cs="Times New Roman"/>
          <w:i/>
          <w:sz w:val="24"/>
          <w:szCs w:val="24"/>
        </w:rPr>
        <w:t xml:space="preserve"> </w:t>
      </w:r>
      <w:proofErr w:type="spellStart"/>
      <w:r w:rsidR="00FE1BFE" w:rsidRPr="00B94C08">
        <w:rPr>
          <w:rFonts w:ascii="Times New Roman" w:hAnsi="Times New Roman" w:cs="Times New Roman"/>
          <w:i/>
          <w:sz w:val="24"/>
          <w:szCs w:val="24"/>
        </w:rPr>
        <w:t>power</w:t>
      </w:r>
      <w:proofErr w:type="spellEnd"/>
      <w:r w:rsidR="00516565" w:rsidRPr="00516565">
        <w:rPr>
          <w:rFonts w:ascii="Times New Roman" w:hAnsi="Times New Roman" w:cs="Times New Roman"/>
          <w:sz w:val="24"/>
          <w:szCs w:val="24"/>
        </w:rPr>
        <w:t xml:space="preserve"> </w:t>
      </w:r>
      <w:r>
        <w:rPr>
          <w:rFonts w:ascii="Times New Roman" w:hAnsi="Times New Roman" w:cs="Times New Roman"/>
          <w:sz w:val="24"/>
          <w:szCs w:val="24"/>
        </w:rPr>
        <w:t>trova</w:t>
      </w:r>
      <w:r w:rsidR="003412D7">
        <w:rPr>
          <w:rFonts w:ascii="Times New Roman" w:hAnsi="Times New Roman" w:cs="Times New Roman"/>
          <w:sz w:val="24"/>
          <w:szCs w:val="24"/>
        </w:rPr>
        <w:t>, come noto,</w:t>
      </w:r>
      <w:r>
        <w:rPr>
          <w:rFonts w:ascii="Times New Roman" w:hAnsi="Times New Roman" w:cs="Times New Roman"/>
          <w:sz w:val="24"/>
          <w:szCs w:val="24"/>
        </w:rPr>
        <w:t xml:space="preserve"> il suo </w:t>
      </w:r>
      <w:r w:rsidR="00FF78D3">
        <w:rPr>
          <w:rFonts w:ascii="Times New Roman" w:hAnsi="Times New Roman" w:cs="Times New Roman"/>
          <w:sz w:val="24"/>
          <w:szCs w:val="24"/>
        </w:rPr>
        <w:t>precedente</w:t>
      </w:r>
      <w:r>
        <w:rPr>
          <w:rFonts w:ascii="Times New Roman" w:hAnsi="Times New Roman" w:cs="Times New Roman"/>
          <w:sz w:val="24"/>
          <w:szCs w:val="24"/>
        </w:rPr>
        <w:t xml:space="preserve"> nella vecchia</w:t>
      </w:r>
      <w:r w:rsidR="00516565" w:rsidRPr="00516565">
        <w:rPr>
          <w:rFonts w:ascii="Times New Roman" w:hAnsi="Times New Roman" w:cs="Times New Roman"/>
          <w:sz w:val="24"/>
          <w:szCs w:val="24"/>
        </w:rPr>
        <w:t xml:space="preserve"> </w:t>
      </w:r>
      <w:proofErr w:type="spellStart"/>
      <w:r w:rsidR="00516565" w:rsidRPr="00B94C08">
        <w:rPr>
          <w:rFonts w:ascii="Times New Roman" w:hAnsi="Times New Roman" w:cs="Times New Roman"/>
          <w:i/>
          <w:sz w:val="24"/>
          <w:szCs w:val="24"/>
        </w:rPr>
        <w:t>golden</w:t>
      </w:r>
      <w:proofErr w:type="spellEnd"/>
      <w:r w:rsidR="00516565" w:rsidRPr="00B94C08">
        <w:rPr>
          <w:rFonts w:ascii="Times New Roman" w:hAnsi="Times New Roman" w:cs="Times New Roman"/>
          <w:i/>
          <w:sz w:val="24"/>
          <w:szCs w:val="24"/>
        </w:rPr>
        <w:t xml:space="preserve"> share</w:t>
      </w:r>
      <w:r w:rsidR="00F92CC5">
        <w:rPr>
          <w:rFonts w:ascii="Times New Roman" w:hAnsi="Times New Roman" w:cs="Times New Roman"/>
          <w:sz w:val="24"/>
          <w:szCs w:val="24"/>
        </w:rPr>
        <w:t>, un meccanismo di controllo</w:t>
      </w:r>
      <w:r w:rsidR="00B95B8B">
        <w:rPr>
          <w:rFonts w:ascii="Times New Roman" w:hAnsi="Times New Roman" w:cs="Times New Roman"/>
          <w:sz w:val="24"/>
          <w:szCs w:val="24"/>
        </w:rPr>
        <w:t xml:space="preserve"> posto</w:t>
      </w:r>
      <w:r w:rsidR="00F92CC5">
        <w:rPr>
          <w:rFonts w:ascii="Times New Roman" w:hAnsi="Times New Roman" w:cs="Times New Roman"/>
          <w:sz w:val="24"/>
          <w:szCs w:val="24"/>
        </w:rPr>
        <w:t xml:space="preserve"> in capo all’allora Ministro del Tesoro</w:t>
      </w:r>
      <w:r w:rsidR="00B95B8B">
        <w:rPr>
          <w:rFonts w:ascii="Times New Roman" w:hAnsi="Times New Roman" w:cs="Times New Roman"/>
          <w:sz w:val="24"/>
          <w:szCs w:val="24"/>
        </w:rPr>
        <w:t xml:space="preserve"> e</w:t>
      </w:r>
      <w:r w:rsidR="00F92CC5">
        <w:rPr>
          <w:rFonts w:ascii="Times New Roman" w:hAnsi="Times New Roman" w:cs="Times New Roman"/>
          <w:sz w:val="24"/>
          <w:szCs w:val="24"/>
        </w:rPr>
        <w:t xml:space="preserve"> fondato su clausole statutarie</w:t>
      </w:r>
      <w:r w:rsidR="005422B5">
        <w:rPr>
          <w:rFonts w:ascii="Times New Roman" w:hAnsi="Times New Roman" w:cs="Times New Roman"/>
          <w:sz w:val="24"/>
          <w:szCs w:val="24"/>
        </w:rPr>
        <w:t xml:space="preserve"> </w:t>
      </w:r>
      <w:r w:rsidR="00B95B8B">
        <w:rPr>
          <w:rFonts w:ascii="Times New Roman" w:hAnsi="Times New Roman" w:cs="Times New Roman"/>
          <w:sz w:val="24"/>
          <w:szCs w:val="24"/>
        </w:rPr>
        <w:t>che limitavano</w:t>
      </w:r>
      <w:r w:rsidR="005422B5">
        <w:rPr>
          <w:rFonts w:ascii="Times New Roman" w:hAnsi="Times New Roman" w:cs="Times New Roman"/>
          <w:sz w:val="24"/>
          <w:szCs w:val="24"/>
        </w:rPr>
        <w:t xml:space="preserve"> </w:t>
      </w:r>
      <w:r w:rsidR="00F92CC5">
        <w:rPr>
          <w:rFonts w:ascii="Times New Roman" w:hAnsi="Times New Roman" w:cs="Times New Roman"/>
          <w:sz w:val="24"/>
          <w:szCs w:val="24"/>
        </w:rPr>
        <w:t xml:space="preserve">il </w:t>
      </w:r>
      <w:r w:rsidR="005422B5">
        <w:rPr>
          <w:rFonts w:ascii="Times New Roman" w:hAnsi="Times New Roman" w:cs="Times New Roman"/>
          <w:sz w:val="24"/>
          <w:szCs w:val="24"/>
        </w:rPr>
        <w:t>possesso azionario</w:t>
      </w:r>
      <w:r w:rsidR="00F92CC5">
        <w:rPr>
          <w:rFonts w:ascii="Times New Roman" w:hAnsi="Times New Roman" w:cs="Times New Roman"/>
          <w:sz w:val="24"/>
          <w:szCs w:val="24"/>
        </w:rPr>
        <w:t xml:space="preserve"> e l’attività sociale</w:t>
      </w:r>
      <w:r w:rsidR="005422B5">
        <w:rPr>
          <w:rFonts w:ascii="Times New Roman" w:hAnsi="Times New Roman" w:cs="Times New Roman"/>
          <w:sz w:val="24"/>
          <w:szCs w:val="24"/>
        </w:rPr>
        <w:t xml:space="preserve"> </w:t>
      </w:r>
      <w:r w:rsidR="00E26A59">
        <w:rPr>
          <w:rFonts w:ascii="Times New Roman" w:hAnsi="Times New Roman" w:cs="Times New Roman"/>
          <w:sz w:val="24"/>
          <w:szCs w:val="24"/>
        </w:rPr>
        <w:t>delle</w:t>
      </w:r>
      <w:r w:rsidR="005422B5">
        <w:rPr>
          <w:rFonts w:ascii="Times New Roman" w:hAnsi="Times New Roman" w:cs="Times New Roman"/>
          <w:sz w:val="24"/>
          <w:szCs w:val="24"/>
        </w:rPr>
        <w:t xml:space="preserve"> società</w:t>
      </w:r>
      <w:r w:rsidR="00F92CC5">
        <w:rPr>
          <w:rFonts w:ascii="Times New Roman" w:hAnsi="Times New Roman" w:cs="Times New Roman"/>
          <w:sz w:val="24"/>
          <w:szCs w:val="24"/>
        </w:rPr>
        <w:t xml:space="preserve"> </w:t>
      </w:r>
      <w:r w:rsidR="00EF0F2B">
        <w:rPr>
          <w:rFonts w:ascii="Times New Roman" w:hAnsi="Times New Roman" w:cs="Times New Roman"/>
          <w:sz w:val="24"/>
          <w:szCs w:val="24"/>
        </w:rPr>
        <w:t>in partecipazione pubblica</w:t>
      </w:r>
      <w:r w:rsidR="005422B5" w:rsidRPr="005422B5">
        <w:rPr>
          <w:rFonts w:ascii="Times New Roman" w:hAnsi="Times New Roman" w:cs="Times New Roman"/>
          <w:sz w:val="24"/>
          <w:szCs w:val="24"/>
        </w:rPr>
        <w:t xml:space="preserve"> </w:t>
      </w:r>
      <w:r w:rsidR="00EF0F2B">
        <w:rPr>
          <w:rFonts w:ascii="Times New Roman" w:hAnsi="Times New Roman" w:cs="Times New Roman"/>
          <w:sz w:val="24"/>
          <w:szCs w:val="24"/>
        </w:rPr>
        <w:t>operanti in</w:t>
      </w:r>
      <w:r w:rsidR="00D477C1">
        <w:rPr>
          <w:rFonts w:ascii="Times New Roman" w:hAnsi="Times New Roman" w:cs="Times New Roman"/>
          <w:sz w:val="24"/>
          <w:szCs w:val="24"/>
        </w:rPr>
        <w:t xml:space="preserve"> settori “strategici</w:t>
      </w:r>
      <w:r w:rsidR="005422B5" w:rsidRPr="00516565">
        <w:rPr>
          <w:rFonts w:ascii="Times New Roman" w:hAnsi="Times New Roman" w:cs="Times New Roman"/>
          <w:sz w:val="24"/>
          <w:szCs w:val="24"/>
        </w:rPr>
        <w:t>”</w:t>
      </w:r>
      <w:r w:rsidR="006A67DE">
        <w:rPr>
          <w:rFonts w:ascii="Times New Roman" w:hAnsi="Times New Roman" w:cs="Times New Roman"/>
          <w:sz w:val="24"/>
          <w:szCs w:val="24"/>
        </w:rPr>
        <w:t xml:space="preserve">: </w:t>
      </w:r>
      <w:r w:rsidR="00831468">
        <w:rPr>
          <w:rFonts w:ascii="Times New Roman" w:hAnsi="Times New Roman" w:cs="Times New Roman"/>
          <w:sz w:val="24"/>
          <w:szCs w:val="24"/>
        </w:rPr>
        <w:t xml:space="preserve">un meccanismo </w:t>
      </w:r>
      <w:r w:rsidR="006A67DE">
        <w:rPr>
          <w:rFonts w:ascii="Times New Roman" w:hAnsi="Times New Roman" w:cs="Times New Roman"/>
          <w:sz w:val="24"/>
          <w:szCs w:val="24"/>
        </w:rPr>
        <w:t>i</w:t>
      </w:r>
      <w:r w:rsidR="00F92CC5">
        <w:rPr>
          <w:rFonts w:ascii="Times New Roman" w:hAnsi="Times New Roman" w:cs="Times New Roman"/>
          <w:sz w:val="24"/>
          <w:szCs w:val="24"/>
        </w:rPr>
        <w:t>ntrodotto</w:t>
      </w:r>
      <w:r w:rsidR="00AB0954">
        <w:rPr>
          <w:rFonts w:ascii="Times New Roman" w:hAnsi="Times New Roman" w:cs="Times New Roman"/>
          <w:sz w:val="24"/>
          <w:szCs w:val="24"/>
        </w:rPr>
        <w:t xml:space="preserve"> al principio degli anni ’90</w:t>
      </w:r>
      <w:r w:rsidR="00FF78D3">
        <w:rPr>
          <w:rFonts w:ascii="Times New Roman" w:hAnsi="Times New Roman" w:cs="Times New Roman"/>
          <w:sz w:val="24"/>
          <w:szCs w:val="24"/>
        </w:rPr>
        <w:t xml:space="preserve"> del secolo scorso</w:t>
      </w:r>
      <w:r w:rsidR="00B74F89">
        <w:rPr>
          <w:rFonts w:ascii="Times New Roman" w:hAnsi="Times New Roman" w:cs="Times New Roman"/>
          <w:sz w:val="24"/>
          <w:szCs w:val="24"/>
        </w:rPr>
        <w:t>,</w:t>
      </w:r>
      <w:r w:rsidR="00AB0954">
        <w:rPr>
          <w:rFonts w:ascii="Times New Roman" w:hAnsi="Times New Roman" w:cs="Times New Roman"/>
          <w:sz w:val="24"/>
          <w:szCs w:val="24"/>
        </w:rPr>
        <w:t xml:space="preserve"> </w:t>
      </w:r>
      <w:r w:rsidR="00EF0F2B">
        <w:rPr>
          <w:rFonts w:ascii="Times New Roman" w:hAnsi="Times New Roman" w:cs="Times New Roman"/>
          <w:sz w:val="24"/>
          <w:szCs w:val="24"/>
        </w:rPr>
        <w:t xml:space="preserve">che riconosceva allo Stato un controllo svincolato dall’ammontare della sua partecipazione sociale, </w:t>
      </w:r>
      <w:r w:rsidR="00516565" w:rsidRPr="00516565">
        <w:rPr>
          <w:rFonts w:ascii="Times New Roman" w:hAnsi="Times New Roman" w:cs="Times New Roman"/>
          <w:sz w:val="24"/>
          <w:szCs w:val="24"/>
        </w:rPr>
        <w:t xml:space="preserve">in un quadro </w:t>
      </w:r>
      <w:r>
        <w:rPr>
          <w:rFonts w:ascii="Times New Roman" w:hAnsi="Times New Roman" w:cs="Times New Roman"/>
          <w:sz w:val="24"/>
          <w:szCs w:val="24"/>
        </w:rPr>
        <w:t xml:space="preserve">che era </w:t>
      </w:r>
      <w:r w:rsidR="00EF0F2B">
        <w:rPr>
          <w:rFonts w:ascii="Times New Roman" w:hAnsi="Times New Roman" w:cs="Times New Roman"/>
          <w:sz w:val="24"/>
          <w:szCs w:val="24"/>
        </w:rPr>
        <w:t>allora</w:t>
      </w:r>
      <w:r w:rsidR="00516565" w:rsidRPr="00516565">
        <w:rPr>
          <w:rFonts w:ascii="Times New Roman" w:hAnsi="Times New Roman" w:cs="Times New Roman"/>
          <w:sz w:val="24"/>
          <w:szCs w:val="24"/>
        </w:rPr>
        <w:t xml:space="preserve"> di ritiro della mano pubblica</w:t>
      </w:r>
      <w:r w:rsidR="00516565">
        <w:rPr>
          <w:rFonts w:ascii="Times New Roman" w:hAnsi="Times New Roman" w:cs="Times New Roman"/>
          <w:sz w:val="24"/>
          <w:szCs w:val="24"/>
        </w:rPr>
        <w:t xml:space="preserve"> dall’economia</w:t>
      </w:r>
      <w:r w:rsidR="00516565" w:rsidRPr="00516565">
        <w:rPr>
          <w:rFonts w:ascii="Times New Roman" w:hAnsi="Times New Roman" w:cs="Times New Roman"/>
          <w:sz w:val="24"/>
          <w:szCs w:val="24"/>
        </w:rPr>
        <w:t xml:space="preserve">, </w:t>
      </w:r>
      <w:r w:rsidR="00B95B8B">
        <w:rPr>
          <w:rFonts w:ascii="Times New Roman" w:hAnsi="Times New Roman" w:cs="Times New Roman"/>
          <w:sz w:val="24"/>
          <w:szCs w:val="24"/>
        </w:rPr>
        <w:t xml:space="preserve">con </w:t>
      </w:r>
      <w:r w:rsidR="00F92CC5">
        <w:rPr>
          <w:rFonts w:ascii="Times New Roman" w:hAnsi="Times New Roman" w:cs="Times New Roman"/>
          <w:sz w:val="24"/>
          <w:szCs w:val="24"/>
        </w:rPr>
        <w:t>l’a</w:t>
      </w:r>
      <w:r w:rsidR="005422B5">
        <w:rPr>
          <w:rFonts w:ascii="Times New Roman" w:hAnsi="Times New Roman" w:cs="Times New Roman"/>
          <w:sz w:val="24"/>
          <w:szCs w:val="24"/>
        </w:rPr>
        <w:t xml:space="preserve">bbandono del modello delle partecipazioni statali e </w:t>
      </w:r>
      <w:r w:rsidR="00F92CC5">
        <w:rPr>
          <w:rFonts w:ascii="Times New Roman" w:hAnsi="Times New Roman" w:cs="Times New Roman"/>
          <w:sz w:val="24"/>
          <w:szCs w:val="24"/>
        </w:rPr>
        <w:t>la</w:t>
      </w:r>
      <w:r w:rsidR="005422B5">
        <w:rPr>
          <w:rFonts w:ascii="Times New Roman" w:hAnsi="Times New Roman" w:cs="Times New Roman"/>
          <w:sz w:val="24"/>
          <w:szCs w:val="24"/>
        </w:rPr>
        <w:t xml:space="preserve"> </w:t>
      </w:r>
      <w:r w:rsidR="00516565" w:rsidRPr="00516565">
        <w:rPr>
          <w:rFonts w:ascii="Times New Roman" w:hAnsi="Times New Roman" w:cs="Times New Roman"/>
          <w:sz w:val="24"/>
          <w:szCs w:val="24"/>
        </w:rPr>
        <w:t>privatiz</w:t>
      </w:r>
      <w:r w:rsidR="00831468">
        <w:rPr>
          <w:rFonts w:ascii="Times New Roman" w:hAnsi="Times New Roman" w:cs="Times New Roman"/>
          <w:sz w:val="24"/>
          <w:szCs w:val="24"/>
        </w:rPr>
        <w:t>zazione</w:t>
      </w:r>
      <w:r w:rsidR="005422B5">
        <w:rPr>
          <w:rFonts w:ascii="Times New Roman" w:hAnsi="Times New Roman" w:cs="Times New Roman"/>
          <w:sz w:val="24"/>
          <w:szCs w:val="24"/>
        </w:rPr>
        <w:t xml:space="preserve"> delle imprese pubbliche</w:t>
      </w:r>
      <w:r w:rsidR="00516565" w:rsidRPr="00516565">
        <w:rPr>
          <w:rFonts w:ascii="Times New Roman" w:hAnsi="Times New Roman" w:cs="Times New Roman"/>
          <w:sz w:val="24"/>
          <w:szCs w:val="24"/>
        </w:rPr>
        <w:t>.</w:t>
      </w:r>
    </w:p>
    <w:p w:rsidR="00516565" w:rsidRDefault="00516565"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Erano i tempi della globalizzazione, di una nuova “</w:t>
      </w:r>
      <w:r w:rsidRPr="0038612E">
        <w:rPr>
          <w:rFonts w:ascii="Times New Roman" w:hAnsi="Times New Roman" w:cs="Times New Roman"/>
          <w:i/>
          <w:sz w:val="24"/>
          <w:szCs w:val="24"/>
        </w:rPr>
        <w:t xml:space="preserve">belle </w:t>
      </w:r>
      <w:proofErr w:type="spellStart"/>
      <w:r w:rsidRPr="0038612E">
        <w:rPr>
          <w:rFonts w:ascii="Times New Roman" w:hAnsi="Times New Roman" w:cs="Times New Roman"/>
          <w:i/>
          <w:sz w:val="24"/>
          <w:szCs w:val="24"/>
        </w:rPr>
        <w:t>epoque</w:t>
      </w:r>
      <w:proofErr w:type="spellEnd"/>
      <w:r>
        <w:rPr>
          <w:rFonts w:ascii="Times New Roman" w:hAnsi="Times New Roman" w:cs="Times New Roman"/>
          <w:sz w:val="24"/>
          <w:szCs w:val="24"/>
        </w:rPr>
        <w:t>” che si traduceva in un</w:t>
      </w:r>
      <w:r w:rsidR="005D435D">
        <w:rPr>
          <w:rFonts w:ascii="Times New Roman" w:hAnsi="Times New Roman" w:cs="Times New Roman"/>
          <w:sz w:val="24"/>
          <w:szCs w:val="24"/>
        </w:rPr>
        <w:t>a</w:t>
      </w:r>
      <w:r w:rsidR="00933B30">
        <w:rPr>
          <w:rFonts w:ascii="Times New Roman" w:hAnsi="Times New Roman" w:cs="Times New Roman"/>
          <w:sz w:val="24"/>
          <w:szCs w:val="24"/>
        </w:rPr>
        <w:t xml:space="preserve"> </w:t>
      </w:r>
      <w:r>
        <w:rPr>
          <w:rFonts w:ascii="Times New Roman" w:hAnsi="Times New Roman" w:cs="Times New Roman"/>
          <w:sz w:val="24"/>
          <w:szCs w:val="24"/>
        </w:rPr>
        <w:t>altrettanto</w:t>
      </w:r>
      <w:r w:rsidR="005D435D">
        <w:rPr>
          <w:rFonts w:ascii="Times New Roman" w:hAnsi="Times New Roman" w:cs="Times New Roman"/>
          <w:sz w:val="24"/>
          <w:szCs w:val="24"/>
        </w:rPr>
        <w:t>, celebrata,</w:t>
      </w:r>
      <w:r>
        <w:rPr>
          <w:rFonts w:ascii="Times New Roman" w:hAnsi="Times New Roman" w:cs="Times New Roman"/>
          <w:sz w:val="24"/>
          <w:szCs w:val="24"/>
        </w:rPr>
        <w:t xml:space="preserve"> </w:t>
      </w:r>
      <w:r w:rsidR="005D435D">
        <w:rPr>
          <w:rFonts w:ascii="Times New Roman" w:hAnsi="Times New Roman" w:cs="Times New Roman"/>
          <w:sz w:val="24"/>
          <w:szCs w:val="24"/>
        </w:rPr>
        <w:t>“</w:t>
      </w:r>
      <w:r>
        <w:rPr>
          <w:rFonts w:ascii="Times New Roman" w:hAnsi="Times New Roman" w:cs="Times New Roman"/>
          <w:sz w:val="24"/>
          <w:szCs w:val="24"/>
        </w:rPr>
        <w:t>nuova costituzione economica</w:t>
      </w:r>
      <w:r w:rsidR="005D435D">
        <w:rPr>
          <w:rFonts w:ascii="Times New Roman" w:hAnsi="Times New Roman" w:cs="Times New Roman"/>
          <w:sz w:val="24"/>
          <w:szCs w:val="24"/>
        </w:rPr>
        <w:t>”</w:t>
      </w:r>
      <w:r>
        <w:rPr>
          <w:rFonts w:ascii="Times New Roman" w:hAnsi="Times New Roman" w:cs="Times New Roman"/>
          <w:sz w:val="24"/>
          <w:szCs w:val="24"/>
        </w:rPr>
        <w:t>.</w:t>
      </w:r>
    </w:p>
    <w:p w:rsidR="00516565" w:rsidRDefault="00516565"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Un po’ c</w:t>
      </w:r>
      <w:r w:rsidR="0038612E">
        <w:rPr>
          <w:rFonts w:ascii="Times New Roman" w:hAnsi="Times New Roman" w:cs="Times New Roman"/>
          <w:sz w:val="24"/>
          <w:szCs w:val="24"/>
        </w:rPr>
        <w:t>ome</w:t>
      </w:r>
      <w:r w:rsidR="003412D7">
        <w:rPr>
          <w:rFonts w:ascii="Times New Roman" w:hAnsi="Times New Roman" w:cs="Times New Roman"/>
          <w:sz w:val="24"/>
          <w:szCs w:val="24"/>
        </w:rPr>
        <w:t xml:space="preserve"> accadde</w:t>
      </w:r>
      <w:r w:rsidR="0038612E">
        <w:rPr>
          <w:rFonts w:ascii="Times New Roman" w:hAnsi="Times New Roman" w:cs="Times New Roman"/>
          <w:sz w:val="24"/>
          <w:szCs w:val="24"/>
        </w:rPr>
        <w:t xml:space="preserve"> </w:t>
      </w:r>
      <w:r w:rsidR="003412D7">
        <w:rPr>
          <w:rFonts w:ascii="Times New Roman" w:hAnsi="Times New Roman" w:cs="Times New Roman"/>
          <w:sz w:val="24"/>
          <w:szCs w:val="24"/>
        </w:rPr>
        <w:t>al</w:t>
      </w:r>
      <w:r w:rsidR="0038612E">
        <w:rPr>
          <w:rFonts w:ascii="Times New Roman" w:hAnsi="Times New Roman" w:cs="Times New Roman"/>
          <w:sz w:val="24"/>
          <w:szCs w:val="24"/>
        </w:rPr>
        <w:t>la</w:t>
      </w:r>
      <w:r w:rsidR="0076115B">
        <w:rPr>
          <w:rFonts w:ascii="Times New Roman" w:hAnsi="Times New Roman" w:cs="Times New Roman"/>
          <w:sz w:val="24"/>
          <w:szCs w:val="24"/>
        </w:rPr>
        <w:t xml:space="preserve"> prima</w:t>
      </w:r>
      <w:r w:rsidR="0038612E">
        <w:rPr>
          <w:rFonts w:ascii="Times New Roman" w:hAnsi="Times New Roman" w:cs="Times New Roman"/>
          <w:sz w:val="24"/>
          <w:szCs w:val="24"/>
        </w:rPr>
        <w:t xml:space="preserve"> </w:t>
      </w:r>
      <w:r w:rsidR="0038612E" w:rsidRPr="0038612E">
        <w:rPr>
          <w:rFonts w:ascii="Times New Roman" w:hAnsi="Times New Roman" w:cs="Times New Roman"/>
          <w:i/>
          <w:sz w:val="24"/>
          <w:szCs w:val="24"/>
        </w:rPr>
        <w:t>belle</w:t>
      </w:r>
      <w:r w:rsidR="009429BF">
        <w:rPr>
          <w:rFonts w:ascii="Times New Roman" w:hAnsi="Times New Roman" w:cs="Times New Roman"/>
          <w:i/>
          <w:sz w:val="24"/>
          <w:szCs w:val="24"/>
        </w:rPr>
        <w:t xml:space="preserve"> </w:t>
      </w:r>
      <w:proofErr w:type="spellStart"/>
      <w:r w:rsidR="009429BF">
        <w:rPr>
          <w:rFonts w:ascii="Times New Roman" w:hAnsi="Times New Roman" w:cs="Times New Roman"/>
          <w:i/>
          <w:sz w:val="24"/>
          <w:szCs w:val="24"/>
        </w:rPr>
        <w:t>epoque</w:t>
      </w:r>
      <w:proofErr w:type="spellEnd"/>
      <w:r>
        <w:rPr>
          <w:rFonts w:ascii="Times New Roman" w:hAnsi="Times New Roman" w:cs="Times New Roman"/>
          <w:sz w:val="24"/>
          <w:szCs w:val="24"/>
        </w:rPr>
        <w:t xml:space="preserve"> (</w:t>
      </w:r>
      <w:r w:rsidR="00BB64FC">
        <w:rPr>
          <w:rFonts w:ascii="Times New Roman" w:hAnsi="Times New Roman" w:cs="Times New Roman"/>
          <w:sz w:val="24"/>
          <w:szCs w:val="24"/>
        </w:rPr>
        <w:t xml:space="preserve">ma, certo, </w:t>
      </w:r>
      <w:r w:rsidR="00831468">
        <w:rPr>
          <w:rFonts w:ascii="Times New Roman" w:hAnsi="Times New Roman" w:cs="Times New Roman"/>
          <w:sz w:val="24"/>
          <w:szCs w:val="24"/>
        </w:rPr>
        <w:t>speriamo non</w:t>
      </w:r>
      <w:r>
        <w:rPr>
          <w:rFonts w:ascii="Times New Roman" w:hAnsi="Times New Roman" w:cs="Times New Roman"/>
          <w:sz w:val="24"/>
          <w:szCs w:val="24"/>
        </w:rPr>
        <w:t xml:space="preserve"> </w:t>
      </w:r>
      <w:r w:rsidR="00A12D62">
        <w:rPr>
          <w:rFonts w:ascii="Times New Roman" w:hAnsi="Times New Roman" w:cs="Times New Roman"/>
          <w:sz w:val="24"/>
          <w:szCs w:val="24"/>
        </w:rPr>
        <w:t>con gli effetti di</w:t>
      </w:r>
      <w:r>
        <w:rPr>
          <w:rFonts w:ascii="Times New Roman" w:hAnsi="Times New Roman" w:cs="Times New Roman"/>
          <w:sz w:val="24"/>
          <w:szCs w:val="24"/>
        </w:rPr>
        <w:t xml:space="preserve"> </w:t>
      </w:r>
      <w:r w:rsidR="003412D7">
        <w:rPr>
          <w:rFonts w:ascii="Times New Roman" w:hAnsi="Times New Roman" w:cs="Times New Roman"/>
          <w:sz w:val="24"/>
          <w:szCs w:val="24"/>
        </w:rPr>
        <w:t>allora</w:t>
      </w:r>
      <w:r>
        <w:rPr>
          <w:rFonts w:ascii="Times New Roman" w:hAnsi="Times New Roman" w:cs="Times New Roman"/>
          <w:sz w:val="24"/>
          <w:szCs w:val="24"/>
        </w:rPr>
        <w:t xml:space="preserve">) anche la globalizzazione </w:t>
      </w:r>
      <w:r w:rsidR="00BC63DE">
        <w:rPr>
          <w:rFonts w:ascii="Times New Roman" w:hAnsi="Times New Roman" w:cs="Times New Roman"/>
          <w:sz w:val="24"/>
          <w:szCs w:val="24"/>
        </w:rPr>
        <w:t xml:space="preserve">economica </w:t>
      </w:r>
      <w:r w:rsidR="005D435D">
        <w:rPr>
          <w:rFonts w:ascii="Times New Roman" w:hAnsi="Times New Roman" w:cs="Times New Roman"/>
          <w:sz w:val="24"/>
          <w:szCs w:val="24"/>
        </w:rPr>
        <w:t>segna</w:t>
      </w:r>
      <w:r>
        <w:rPr>
          <w:rFonts w:ascii="Times New Roman" w:hAnsi="Times New Roman" w:cs="Times New Roman"/>
          <w:sz w:val="24"/>
          <w:szCs w:val="24"/>
        </w:rPr>
        <w:t xml:space="preserve"> </w:t>
      </w:r>
      <w:r w:rsidR="003412D7">
        <w:rPr>
          <w:rFonts w:ascii="Times New Roman" w:hAnsi="Times New Roman" w:cs="Times New Roman"/>
          <w:sz w:val="24"/>
          <w:szCs w:val="24"/>
        </w:rPr>
        <w:t xml:space="preserve">ora </w:t>
      </w:r>
      <w:r>
        <w:rPr>
          <w:rFonts w:ascii="Times New Roman" w:hAnsi="Times New Roman" w:cs="Times New Roman"/>
          <w:sz w:val="24"/>
          <w:szCs w:val="24"/>
        </w:rPr>
        <w:t xml:space="preserve">il passo per il convergere di </w:t>
      </w:r>
      <w:r w:rsidR="00BB6591">
        <w:rPr>
          <w:rFonts w:ascii="Times New Roman" w:hAnsi="Times New Roman" w:cs="Times New Roman"/>
          <w:sz w:val="24"/>
          <w:szCs w:val="24"/>
        </w:rPr>
        <w:t xml:space="preserve">crisi economiche e finanziarie, </w:t>
      </w:r>
      <w:r>
        <w:rPr>
          <w:rFonts w:ascii="Times New Roman" w:hAnsi="Times New Roman" w:cs="Times New Roman"/>
          <w:sz w:val="24"/>
          <w:szCs w:val="24"/>
        </w:rPr>
        <w:t>guerre e pandemia</w:t>
      </w:r>
      <w:r w:rsidR="00FE1BFE">
        <w:rPr>
          <w:rFonts w:ascii="Times New Roman" w:hAnsi="Times New Roman" w:cs="Times New Roman"/>
          <w:sz w:val="24"/>
          <w:szCs w:val="24"/>
        </w:rPr>
        <w:t>. Assistiamo al r</w:t>
      </w:r>
      <w:r>
        <w:rPr>
          <w:rFonts w:ascii="Times New Roman" w:hAnsi="Times New Roman" w:cs="Times New Roman"/>
          <w:sz w:val="24"/>
          <w:szCs w:val="24"/>
        </w:rPr>
        <w:t>itorno del nazionalismo politico e del protezionismo economico; nuove e vecchie inquietudini</w:t>
      </w:r>
      <w:r w:rsidR="00831468">
        <w:rPr>
          <w:rFonts w:ascii="Times New Roman" w:hAnsi="Times New Roman" w:cs="Times New Roman"/>
          <w:sz w:val="24"/>
          <w:szCs w:val="24"/>
        </w:rPr>
        <w:t xml:space="preserve"> </w:t>
      </w:r>
      <w:r w:rsidR="000577A4">
        <w:rPr>
          <w:rFonts w:ascii="Times New Roman" w:hAnsi="Times New Roman" w:cs="Times New Roman"/>
          <w:sz w:val="24"/>
          <w:szCs w:val="24"/>
        </w:rPr>
        <w:t>si fanno strada</w:t>
      </w:r>
      <w:r w:rsidR="007F2CA6">
        <w:rPr>
          <w:rFonts w:ascii="Times New Roman" w:hAnsi="Times New Roman" w:cs="Times New Roman"/>
          <w:sz w:val="24"/>
          <w:szCs w:val="24"/>
        </w:rPr>
        <w:t xml:space="preserve"> in occidente</w:t>
      </w:r>
      <w:r w:rsidR="00B95B8B">
        <w:rPr>
          <w:rFonts w:ascii="Times New Roman" w:hAnsi="Times New Roman" w:cs="Times New Roman"/>
          <w:sz w:val="24"/>
          <w:szCs w:val="24"/>
        </w:rPr>
        <w:t xml:space="preserve"> </w:t>
      </w:r>
      <w:r w:rsidR="00A83D56">
        <w:rPr>
          <w:rFonts w:ascii="Times New Roman" w:hAnsi="Times New Roman" w:cs="Times New Roman"/>
          <w:sz w:val="24"/>
          <w:szCs w:val="24"/>
        </w:rPr>
        <w:t xml:space="preserve">senza aver trovato sin qui </w:t>
      </w:r>
      <w:r w:rsidR="00B95B8B">
        <w:rPr>
          <w:rFonts w:ascii="Times New Roman" w:hAnsi="Times New Roman" w:cs="Times New Roman"/>
          <w:sz w:val="24"/>
          <w:szCs w:val="24"/>
        </w:rPr>
        <w:t>– sembrerebbe -</w:t>
      </w:r>
      <w:r w:rsidR="00BB6591">
        <w:rPr>
          <w:rFonts w:ascii="Times New Roman" w:hAnsi="Times New Roman" w:cs="Times New Roman"/>
          <w:sz w:val="24"/>
          <w:szCs w:val="24"/>
        </w:rPr>
        <w:t xml:space="preserve"> </w:t>
      </w:r>
      <w:r w:rsidR="000577A4">
        <w:rPr>
          <w:rFonts w:ascii="Times New Roman" w:hAnsi="Times New Roman" w:cs="Times New Roman"/>
          <w:sz w:val="24"/>
          <w:szCs w:val="24"/>
        </w:rPr>
        <w:t>cantori</w:t>
      </w:r>
      <w:r>
        <w:rPr>
          <w:rFonts w:ascii="Times New Roman" w:hAnsi="Times New Roman" w:cs="Times New Roman"/>
          <w:sz w:val="24"/>
          <w:szCs w:val="24"/>
        </w:rPr>
        <w:t xml:space="preserve"> del </w:t>
      </w:r>
      <w:r w:rsidR="00A83D56">
        <w:rPr>
          <w:rFonts w:ascii="Times New Roman" w:hAnsi="Times New Roman" w:cs="Times New Roman"/>
          <w:sz w:val="24"/>
          <w:szCs w:val="24"/>
        </w:rPr>
        <w:t>calibro</w:t>
      </w:r>
      <w:r>
        <w:rPr>
          <w:rFonts w:ascii="Times New Roman" w:hAnsi="Times New Roman" w:cs="Times New Roman"/>
          <w:sz w:val="24"/>
          <w:szCs w:val="24"/>
        </w:rPr>
        <w:t xml:space="preserve"> di Joyce, Kafka e Mann.</w:t>
      </w:r>
    </w:p>
    <w:p w:rsidR="00516565" w:rsidRDefault="00FE1BFE"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w:t>
      </w:r>
      <w:r w:rsidR="00516565">
        <w:rPr>
          <w:rFonts w:ascii="Times New Roman" w:hAnsi="Times New Roman" w:cs="Times New Roman"/>
          <w:sz w:val="24"/>
          <w:szCs w:val="24"/>
        </w:rPr>
        <w:t xml:space="preserve">anorama internazionale </w:t>
      </w:r>
      <w:r>
        <w:rPr>
          <w:rFonts w:ascii="Times New Roman" w:hAnsi="Times New Roman" w:cs="Times New Roman"/>
          <w:sz w:val="24"/>
          <w:szCs w:val="24"/>
        </w:rPr>
        <w:t>è segnato dalle contrapposizioni</w:t>
      </w:r>
      <w:r w:rsidR="00516565">
        <w:rPr>
          <w:rFonts w:ascii="Times New Roman" w:hAnsi="Times New Roman" w:cs="Times New Roman"/>
          <w:sz w:val="24"/>
          <w:szCs w:val="24"/>
        </w:rPr>
        <w:t xml:space="preserve"> </w:t>
      </w:r>
      <w:r>
        <w:rPr>
          <w:rFonts w:ascii="Times New Roman" w:hAnsi="Times New Roman" w:cs="Times New Roman"/>
          <w:sz w:val="24"/>
          <w:szCs w:val="24"/>
        </w:rPr>
        <w:t>tra gli Usa e la Cina, e tra gli Usa e la Russia e l’Iran,</w:t>
      </w:r>
      <w:r w:rsidR="00516565">
        <w:rPr>
          <w:rFonts w:ascii="Times New Roman" w:hAnsi="Times New Roman" w:cs="Times New Roman"/>
          <w:sz w:val="24"/>
          <w:szCs w:val="24"/>
        </w:rPr>
        <w:t xml:space="preserve"> con un contorno di paesi</w:t>
      </w:r>
      <w:r w:rsidR="00BB64FC">
        <w:rPr>
          <w:rFonts w:ascii="Times New Roman" w:hAnsi="Times New Roman" w:cs="Times New Roman"/>
          <w:sz w:val="24"/>
          <w:szCs w:val="24"/>
        </w:rPr>
        <w:t xml:space="preserve"> che un tempo avremmo definito</w:t>
      </w:r>
      <w:r w:rsidR="00516565">
        <w:rPr>
          <w:rFonts w:ascii="Times New Roman" w:hAnsi="Times New Roman" w:cs="Times New Roman"/>
          <w:sz w:val="24"/>
          <w:szCs w:val="24"/>
        </w:rPr>
        <w:t xml:space="preserve"> emergenti e che sono ormai</w:t>
      </w:r>
      <w:r w:rsidR="00BB64FC">
        <w:rPr>
          <w:rFonts w:ascii="Times New Roman" w:hAnsi="Times New Roman" w:cs="Times New Roman"/>
          <w:sz w:val="24"/>
          <w:szCs w:val="24"/>
        </w:rPr>
        <w:t xml:space="preserve"> emersi e</w:t>
      </w:r>
      <w:r w:rsidR="00516565">
        <w:rPr>
          <w:rFonts w:ascii="Times New Roman" w:hAnsi="Times New Roman" w:cs="Times New Roman"/>
          <w:sz w:val="24"/>
          <w:szCs w:val="24"/>
        </w:rPr>
        <w:t xml:space="preserve"> protagonisti a pieno titolo</w:t>
      </w:r>
      <w:r>
        <w:rPr>
          <w:rFonts w:ascii="Times New Roman" w:hAnsi="Times New Roman" w:cs="Times New Roman"/>
          <w:sz w:val="24"/>
          <w:szCs w:val="24"/>
        </w:rPr>
        <w:t xml:space="preserve"> (Brasile,</w:t>
      </w:r>
      <w:r w:rsidR="00BB64FC">
        <w:rPr>
          <w:rFonts w:ascii="Times New Roman" w:hAnsi="Times New Roman" w:cs="Times New Roman"/>
          <w:sz w:val="24"/>
          <w:szCs w:val="24"/>
        </w:rPr>
        <w:t xml:space="preserve"> India, Turchia, i paesi del Golfo)</w:t>
      </w:r>
      <w:r w:rsidR="00516565">
        <w:rPr>
          <w:rFonts w:ascii="Times New Roman" w:hAnsi="Times New Roman" w:cs="Times New Roman"/>
          <w:sz w:val="24"/>
          <w:szCs w:val="24"/>
        </w:rPr>
        <w:t xml:space="preserve">, </w:t>
      </w:r>
      <w:r w:rsidR="005D435D">
        <w:rPr>
          <w:rFonts w:ascii="Times New Roman" w:hAnsi="Times New Roman" w:cs="Times New Roman"/>
          <w:sz w:val="24"/>
          <w:szCs w:val="24"/>
        </w:rPr>
        <w:t xml:space="preserve">ma </w:t>
      </w:r>
      <w:r w:rsidR="00516565">
        <w:rPr>
          <w:rFonts w:ascii="Times New Roman" w:hAnsi="Times New Roman" w:cs="Times New Roman"/>
          <w:sz w:val="24"/>
          <w:szCs w:val="24"/>
        </w:rPr>
        <w:t xml:space="preserve">riluttanti ad allinearsi con l’una o con l’altra </w:t>
      </w:r>
      <w:r w:rsidR="00BB6591">
        <w:rPr>
          <w:rFonts w:ascii="Times New Roman" w:hAnsi="Times New Roman" w:cs="Times New Roman"/>
          <w:sz w:val="24"/>
          <w:szCs w:val="24"/>
        </w:rPr>
        <w:t xml:space="preserve">grande </w:t>
      </w:r>
      <w:r w:rsidR="00516565">
        <w:rPr>
          <w:rFonts w:ascii="Times New Roman" w:hAnsi="Times New Roman" w:cs="Times New Roman"/>
          <w:sz w:val="24"/>
          <w:szCs w:val="24"/>
        </w:rPr>
        <w:t>potenza</w:t>
      </w:r>
      <w:r w:rsidR="00B110FE">
        <w:rPr>
          <w:rFonts w:ascii="Times New Roman" w:hAnsi="Times New Roman" w:cs="Times New Roman"/>
          <w:sz w:val="24"/>
          <w:szCs w:val="24"/>
        </w:rPr>
        <w:t xml:space="preserve">. </w:t>
      </w:r>
      <w:r w:rsidR="005D435D">
        <w:rPr>
          <w:rFonts w:ascii="Times New Roman" w:hAnsi="Times New Roman" w:cs="Times New Roman"/>
          <w:sz w:val="24"/>
          <w:szCs w:val="24"/>
        </w:rPr>
        <w:t>Si delineano gli</w:t>
      </w:r>
      <w:r>
        <w:rPr>
          <w:rFonts w:ascii="Times New Roman" w:hAnsi="Times New Roman" w:cs="Times New Roman"/>
          <w:sz w:val="24"/>
          <w:szCs w:val="24"/>
        </w:rPr>
        <w:t xml:space="preserve"> s</w:t>
      </w:r>
      <w:r w:rsidR="00B110FE">
        <w:rPr>
          <w:rFonts w:ascii="Times New Roman" w:hAnsi="Times New Roman" w:cs="Times New Roman"/>
          <w:sz w:val="24"/>
          <w:szCs w:val="24"/>
        </w:rPr>
        <w:t xml:space="preserve">cenari </w:t>
      </w:r>
      <w:r>
        <w:rPr>
          <w:rFonts w:ascii="Times New Roman" w:hAnsi="Times New Roman" w:cs="Times New Roman"/>
          <w:sz w:val="24"/>
          <w:szCs w:val="24"/>
        </w:rPr>
        <w:t>di una</w:t>
      </w:r>
      <w:r w:rsidR="00B110FE">
        <w:rPr>
          <w:rFonts w:ascii="Times New Roman" w:hAnsi="Times New Roman" w:cs="Times New Roman"/>
          <w:sz w:val="24"/>
          <w:szCs w:val="24"/>
        </w:rPr>
        <w:t xml:space="preserve"> nuova “guerra fredda”</w:t>
      </w:r>
      <w:r w:rsidR="005D435D">
        <w:rPr>
          <w:rFonts w:ascii="Times New Roman" w:hAnsi="Times New Roman" w:cs="Times New Roman"/>
          <w:sz w:val="24"/>
          <w:szCs w:val="24"/>
        </w:rPr>
        <w:t xml:space="preserve">, con blocchi contrapposti, paesi non allineati, e l’Europa oggi come ieri ancora senza una voce sola, ancora in mezzo al guado del suo </w:t>
      </w:r>
      <w:r w:rsidR="00A12D62">
        <w:rPr>
          <w:rFonts w:ascii="Times New Roman" w:hAnsi="Times New Roman" w:cs="Times New Roman"/>
          <w:sz w:val="24"/>
          <w:szCs w:val="24"/>
        </w:rPr>
        <w:t xml:space="preserve">irrisolto </w:t>
      </w:r>
      <w:r w:rsidR="005D435D">
        <w:rPr>
          <w:rFonts w:ascii="Times New Roman" w:hAnsi="Times New Roman" w:cs="Times New Roman"/>
          <w:sz w:val="24"/>
          <w:szCs w:val="24"/>
        </w:rPr>
        <w:t>processo di integrazione</w:t>
      </w:r>
      <w:r w:rsidR="00B110FE">
        <w:rPr>
          <w:rFonts w:ascii="Times New Roman" w:hAnsi="Times New Roman" w:cs="Times New Roman"/>
          <w:sz w:val="24"/>
          <w:szCs w:val="24"/>
        </w:rPr>
        <w:t>.</w:t>
      </w:r>
    </w:p>
    <w:p w:rsidR="006C20E1" w:rsidRDefault="00136CBB" w:rsidP="00B93432">
      <w:pPr>
        <w:pStyle w:val="Testonotaapidipagina"/>
        <w:ind w:firstLine="709"/>
        <w:jc w:val="both"/>
        <w:rPr>
          <w:rFonts w:ascii="Times New Roman" w:hAnsi="Times New Roman" w:cs="Times New Roman"/>
          <w:sz w:val="22"/>
          <w:szCs w:val="22"/>
        </w:rPr>
      </w:pPr>
      <w:r>
        <w:rPr>
          <w:rFonts w:ascii="Times New Roman" w:hAnsi="Times New Roman" w:cs="Times New Roman"/>
          <w:sz w:val="22"/>
          <w:szCs w:val="22"/>
        </w:rPr>
        <w:t>*</w:t>
      </w:r>
      <w:r w:rsidR="00B93432">
        <w:rPr>
          <w:rFonts w:ascii="Times New Roman" w:hAnsi="Times New Roman" w:cs="Times New Roman"/>
          <w:sz w:val="22"/>
          <w:szCs w:val="22"/>
        </w:rPr>
        <w:t>Lo scritto</w:t>
      </w:r>
      <w:r w:rsidR="006C20E1">
        <w:rPr>
          <w:rFonts w:ascii="Times New Roman" w:hAnsi="Times New Roman" w:cs="Times New Roman"/>
          <w:sz w:val="22"/>
          <w:szCs w:val="22"/>
        </w:rPr>
        <w:t xml:space="preserve"> riprende e sviluppa la relazione svolta all’Incontro di studio </w:t>
      </w:r>
      <w:r w:rsidR="006C20E1">
        <w:rPr>
          <w:rFonts w:ascii="Times New Roman" w:hAnsi="Times New Roman" w:cs="Times New Roman"/>
          <w:i/>
          <w:sz w:val="22"/>
          <w:szCs w:val="22"/>
        </w:rPr>
        <w:t xml:space="preserve">I nodi giuridici del Golden </w:t>
      </w:r>
      <w:proofErr w:type="spellStart"/>
      <w:r w:rsidR="006C20E1">
        <w:rPr>
          <w:rFonts w:ascii="Times New Roman" w:hAnsi="Times New Roman" w:cs="Times New Roman"/>
          <w:i/>
          <w:sz w:val="22"/>
          <w:szCs w:val="22"/>
        </w:rPr>
        <w:t>Power</w:t>
      </w:r>
      <w:proofErr w:type="spellEnd"/>
      <w:r w:rsidR="006C20E1">
        <w:rPr>
          <w:rFonts w:ascii="Times New Roman" w:hAnsi="Times New Roman" w:cs="Times New Roman"/>
          <w:sz w:val="22"/>
          <w:szCs w:val="22"/>
        </w:rPr>
        <w:t xml:space="preserve"> tenutosi all’Università Luiss di Roma il 23 settembre 2024.</w:t>
      </w:r>
      <w:r w:rsidR="00B93432">
        <w:rPr>
          <w:rFonts w:ascii="Times New Roman" w:hAnsi="Times New Roman" w:cs="Times New Roman"/>
          <w:sz w:val="22"/>
          <w:szCs w:val="22"/>
        </w:rPr>
        <w:t xml:space="preserve"> Una versione</w:t>
      </w:r>
      <w:r w:rsidR="00B93432" w:rsidRPr="00B93432">
        <w:rPr>
          <w:rFonts w:ascii="Times New Roman" w:hAnsi="Times New Roman" w:cs="Times New Roman"/>
          <w:sz w:val="22"/>
          <w:szCs w:val="22"/>
        </w:rPr>
        <w:t xml:space="preserve"> </w:t>
      </w:r>
      <w:r w:rsidR="00B93432">
        <w:rPr>
          <w:rFonts w:ascii="Times New Roman" w:hAnsi="Times New Roman" w:cs="Times New Roman"/>
          <w:sz w:val="22"/>
          <w:szCs w:val="22"/>
        </w:rPr>
        <w:t>più ampia cor</w:t>
      </w:r>
      <w:r w:rsidR="00B93432">
        <w:rPr>
          <w:rFonts w:ascii="Times New Roman" w:hAnsi="Times New Roman" w:cs="Times New Roman"/>
          <w:sz w:val="22"/>
          <w:szCs w:val="22"/>
        </w:rPr>
        <w:t>redata</w:t>
      </w:r>
      <w:r w:rsidR="00B93432">
        <w:rPr>
          <w:rFonts w:ascii="Times New Roman" w:hAnsi="Times New Roman" w:cs="Times New Roman"/>
          <w:sz w:val="22"/>
          <w:szCs w:val="22"/>
        </w:rPr>
        <w:t xml:space="preserve"> di note </w:t>
      </w:r>
      <w:r w:rsidR="00B93432">
        <w:rPr>
          <w:rFonts w:ascii="Times New Roman" w:hAnsi="Times New Roman" w:cs="Times New Roman"/>
          <w:sz w:val="22"/>
          <w:szCs w:val="22"/>
        </w:rPr>
        <w:t>è destinata ad essere pubblicata su</w:t>
      </w:r>
      <w:r w:rsidR="00B93432">
        <w:rPr>
          <w:rFonts w:ascii="Times New Roman" w:hAnsi="Times New Roman" w:cs="Times New Roman"/>
          <w:sz w:val="22"/>
          <w:szCs w:val="22"/>
        </w:rPr>
        <w:t xml:space="preserve">lla rivista </w:t>
      </w:r>
      <w:r w:rsidR="00B93432" w:rsidRPr="006C20E1">
        <w:rPr>
          <w:rFonts w:ascii="Times New Roman" w:hAnsi="Times New Roman" w:cs="Times New Roman"/>
          <w:i/>
          <w:sz w:val="22"/>
          <w:szCs w:val="22"/>
        </w:rPr>
        <w:t>D</w:t>
      </w:r>
      <w:r w:rsidR="00B93432">
        <w:rPr>
          <w:rFonts w:ascii="Times New Roman" w:hAnsi="Times New Roman" w:cs="Times New Roman"/>
          <w:i/>
          <w:sz w:val="22"/>
          <w:szCs w:val="22"/>
        </w:rPr>
        <w:t>iritto e processo amministrativo.</w:t>
      </w:r>
    </w:p>
    <w:p w:rsidR="006C20E1" w:rsidRDefault="006C20E1" w:rsidP="00B93432">
      <w:pPr>
        <w:spacing w:line="360" w:lineRule="auto"/>
        <w:ind w:firstLine="709"/>
        <w:jc w:val="both"/>
        <w:rPr>
          <w:rFonts w:ascii="Times New Roman" w:hAnsi="Times New Roman" w:cs="Times New Roman"/>
          <w:sz w:val="24"/>
          <w:szCs w:val="24"/>
        </w:rPr>
      </w:pPr>
    </w:p>
    <w:p w:rsidR="00B110FE" w:rsidRDefault="00FE1BFE"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 questo contesto si assiste alla p</w:t>
      </w:r>
      <w:r w:rsidR="00BB64FC">
        <w:rPr>
          <w:rFonts w:ascii="Times New Roman" w:hAnsi="Times New Roman" w:cs="Times New Roman"/>
          <w:sz w:val="24"/>
          <w:szCs w:val="24"/>
        </w:rPr>
        <w:t xml:space="preserve">rogressiva espansione delle aree di attività economiche che vengono viste </w:t>
      </w:r>
      <w:r w:rsidR="00A12D62">
        <w:rPr>
          <w:rFonts w:ascii="Times New Roman" w:hAnsi="Times New Roman" w:cs="Times New Roman"/>
          <w:sz w:val="24"/>
          <w:szCs w:val="24"/>
        </w:rPr>
        <w:t>come strategiche per i singoli S</w:t>
      </w:r>
      <w:r w:rsidR="00BB64FC">
        <w:rPr>
          <w:rFonts w:ascii="Times New Roman" w:hAnsi="Times New Roman" w:cs="Times New Roman"/>
          <w:sz w:val="24"/>
          <w:szCs w:val="24"/>
        </w:rPr>
        <w:t xml:space="preserve">tati, </w:t>
      </w:r>
      <w:r>
        <w:rPr>
          <w:rFonts w:ascii="Times New Roman" w:hAnsi="Times New Roman" w:cs="Times New Roman"/>
          <w:sz w:val="24"/>
          <w:szCs w:val="24"/>
        </w:rPr>
        <w:t>per</w:t>
      </w:r>
      <w:r w:rsidR="00BB64FC">
        <w:rPr>
          <w:rFonts w:ascii="Times New Roman" w:hAnsi="Times New Roman" w:cs="Times New Roman"/>
          <w:sz w:val="24"/>
          <w:szCs w:val="24"/>
        </w:rPr>
        <w:t xml:space="preserve"> ragioni di sicurezza e di ordine pubblico, </w:t>
      </w:r>
      <w:r>
        <w:rPr>
          <w:rFonts w:ascii="Times New Roman" w:hAnsi="Times New Roman" w:cs="Times New Roman"/>
          <w:sz w:val="24"/>
          <w:szCs w:val="24"/>
        </w:rPr>
        <w:t>e</w:t>
      </w:r>
      <w:r w:rsidR="00BB64FC">
        <w:rPr>
          <w:rFonts w:ascii="Times New Roman" w:hAnsi="Times New Roman" w:cs="Times New Roman"/>
          <w:sz w:val="24"/>
          <w:szCs w:val="24"/>
        </w:rPr>
        <w:t xml:space="preserve"> per </w:t>
      </w:r>
      <w:proofErr w:type="spellStart"/>
      <w:r w:rsidR="00BB64FC">
        <w:rPr>
          <w:rFonts w:ascii="Times New Roman" w:hAnsi="Times New Roman" w:cs="Times New Roman"/>
          <w:sz w:val="24"/>
          <w:szCs w:val="24"/>
        </w:rPr>
        <w:t>effettodell’evoluzione</w:t>
      </w:r>
      <w:proofErr w:type="spellEnd"/>
      <w:r w:rsidR="00BB64FC">
        <w:rPr>
          <w:rFonts w:ascii="Times New Roman" w:hAnsi="Times New Roman" w:cs="Times New Roman"/>
          <w:sz w:val="24"/>
          <w:szCs w:val="24"/>
        </w:rPr>
        <w:t xml:space="preserve"> tecnologica.</w:t>
      </w:r>
      <w:r>
        <w:rPr>
          <w:rFonts w:ascii="Times New Roman" w:hAnsi="Times New Roman" w:cs="Times New Roman"/>
          <w:sz w:val="24"/>
          <w:szCs w:val="24"/>
        </w:rPr>
        <w:t xml:space="preserve"> Si registra la t</w:t>
      </w:r>
      <w:r w:rsidR="00A12D62">
        <w:rPr>
          <w:rFonts w:ascii="Times New Roman" w:hAnsi="Times New Roman" w:cs="Times New Roman"/>
          <w:sz w:val="24"/>
          <w:szCs w:val="24"/>
        </w:rPr>
        <w:t>endenza degli S</w:t>
      </w:r>
      <w:r w:rsidR="00B110FE">
        <w:rPr>
          <w:rFonts w:ascii="Times New Roman" w:hAnsi="Times New Roman" w:cs="Times New Roman"/>
          <w:sz w:val="24"/>
          <w:szCs w:val="24"/>
        </w:rPr>
        <w:t xml:space="preserve">tati a chiudersi e comunque a rinserrare i confini, sia quelli fisici che quelli economici: </w:t>
      </w:r>
      <w:r>
        <w:rPr>
          <w:rFonts w:ascii="Times New Roman" w:hAnsi="Times New Roman" w:cs="Times New Roman"/>
          <w:sz w:val="24"/>
          <w:szCs w:val="24"/>
        </w:rPr>
        <w:t xml:space="preserve">si è parlato di un </w:t>
      </w:r>
      <w:r w:rsidR="00EF0F2B">
        <w:rPr>
          <w:rFonts w:ascii="Times New Roman" w:hAnsi="Times New Roman" w:cs="Times New Roman"/>
          <w:sz w:val="24"/>
          <w:szCs w:val="24"/>
        </w:rPr>
        <w:t xml:space="preserve">ritorno dello </w:t>
      </w:r>
      <w:r w:rsidR="007E64EE">
        <w:rPr>
          <w:rFonts w:ascii="Times New Roman" w:hAnsi="Times New Roman" w:cs="Times New Roman"/>
          <w:sz w:val="24"/>
          <w:szCs w:val="24"/>
        </w:rPr>
        <w:t>“</w:t>
      </w:r>
      <w:r w:rsidR="00EF0F2B">
        <w:rPr>
          <w:rFonts w:ascii="Times New Roman" w:hAnsi="Times New Roman" w:cs="Times New Roman"/>
          <w:sz w:val="24"/>
          <w:szCs w:val="24"/>
        </w:rPr>
        <w:t>S</w:t>
      </w:r>
      <w:r w:rsidR="00B110FE">
        <w:rPr>
          <w:rFonts w:ascii="Times New Roman" w:hAnsi="Times New Roman" w:cs="Times New Roman"/>
          <w:sz w:val="24"/>
          <w:szCs w:val="24"/>
        </w:rPr>
        <w:t>tato doganiere</w:t>
      </w:r>
      <w:r w:rsidR="007E64EE">
        <w:rPr>
          <w:rFonts w:ascii="Times New Roman" w:hAnsi="Times New Roman" w:cs="Times New Roman"/>
          <w:sz w:val="24"/>
          <w:szCs w:val="24"/>
        </w:rPr>
        <w:t>” (Giulio Napolitano)</w:t>
      </w:r>
      <w:r w:rsidR="006C20E1">
        <w:rPr>
          <w:rFonts w:ascii="Times New Roman" w:hAnsi="Times New Roman" w:cs="Times New Roman"/>
          <w:sz w:val="24"/>
          <w:szCs w:val="24"/>
        </w:rPr>
        <w:t xml:space="preserve"> ovvero dell’affermarsi dello “Stato stratega” (Roberto </w:t>
      </w:r>
      <w:proofErr w:type="spellStart"/>
      <w:r w:rsidR="006C20E1">
        <w:rPr>
          <w:rFonts w:ascii="Times New Roman" w:hAnsi="Times New Roman" w:cs="Times New Roman"/>
          <w:sz w:val="24"/>
          <w:szCs w:val="24"/>
        </w:rPr>
        <w:t>Garofoli</w:t>
      </w:r>
      <w:proofErr w:type="spellEnd"/>
      <w:r w:rsidR="006C20E1">
        <w:rPr>
          <w:rFonts w:ascii="Times New Roman" w:hAnsi="Times New Roman" w:cs="Times New Roman"/>
          <w:sz w:val="24"/>
          <w:szCs w:val="24"/>
        </w:rPr>
        <w:t>)</w:t>
      </w:r>
      <w:r w:rsidR="00B110FE">
        <w:rPr>
          <w:rFonts w:ascii="Times New Roman" w:hAnsi="Times New Roman" w:cs="Times New Roman"/>
          <w:sz w:val="24"/>
          <w:szCs w:val="24"/>
        </w:rPr>
        <w:t>.</w:t>
      </w:r>
    </w:p>
    <w:p w:rsidR="0038612E" w:rsidRDefault="00FE1BFE"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Si può comprendere come l</w:t>
      </w:r>
      <w:r w:rsidR="0038612E">
        <w:rPr>
          <w:rFonts w:ascii="Times New Roman" w:hAnsi="Times New Roman" w:cs="Times New Roman"/>
          <w:sz w:val="24"/>
          <w:szCs w:val="24"/>
        </w:rPr>
        <w:t xml:space="preserve">’argomento del </w:t>
      </w:r>
      <w:proofErr w:type="spellStart"/>
      <w:r w:rsidR="0038612E" w:rsidRPr="00B94C08">
        <w:rPr>
          <w:rFonts w:ascii="Times New Roman" w:hAnsi="Times New Roman" w:cs="Times New Roman"/>
          <w:i/>
          <w:sz w:val="24"/>
          <w:szCs w:val="24"/>
        </w:rPr>
        <w:t>golden</w:t>
      </w:r>
      <w:proofErr w:type="spellEnd"/>
      <w:r w:rsidR="0038612E" w:rsidRPr="00B94C08">
        <w:rPr>
          <w:rFonts w:ascii="Times New Roman" w:hAnsi="Times New Roman" w:cs="Times New Roman"/>
          <w:i/>
          <w:sz w:val="24"/>
          <w:szCs w:val="24"/>
        </w:rPr>
        <w:t xml:space="preserve"> </w:t>
      </w:r>
      <w:proofErr w:type="spellStart"/>
      <w:r w:rsidR="0038612E" w:rsidRPr="00B94C08">
        <w:rPr>
          <w:rFonts w:ascii="Times New Roman" w:hAnsi="Times New Roman" w:cs="Times New Roman"/>
          <w:i/>
          <w:sz w:val="24"/>
          <w:szCs w:val="24"/>
        </w:rPr>
        <w:t>powe</w:t>
      </w:r>
      <w:r w:rsidRPr="00B94C08">
        <w:rPr>
          <w:rFonts w:ascii="Times New Roman" w:hAnsi="Times New Roman" w:cs="Times New Roman"/>
          <w:i/>
          <w:sz w:val="24"/>
          <w:szCs w:val="24"/>
        </w:rPr>
        <w:t>r</w:t>
      </w:r>
      <w:proofErr w:type="spellEnd"/>
      <w:r>
        <w:rPr>
          <w:rFonts w:ascii="Times New Roman" w:hAnsi="Times New Roman" w:cs="Times New Roman"/>
          <w:sz w:val="24"/>
          <w:szCs w:val="24"/>
        </w:rPr>
        <w:t xml:space="preserve"> si presti quindi</w:t>
      </w:r>
      <w:r w:rsidR="0038612E">
        <w:rPr>
          <w:rFonts w:ascii="Times New Roman" w:hAnsi="Times New Roman" w:cs="Times New Roman"/>
          <w:sz w:val="24"/>
          <w:szCs w:val="24"/>
        </w:rPr>
        <w:t xml:space="preserve"> a numerose suggesti</w:t>
      </w:r>
      <w:r>
        <w:rPr>
          <w:rFonts w:ascii="Times New Roman" w:hAnsi="Times New Roman" w:cs="Times New Roman"/>
          <w:sz w:val="24"/>
          <w:szCs w:val="24"/>
        </w:rPr>
        <w:t>oni, di vario tipo, e solleciti ampie riflessioni</w:t>
      </w:r>
      <w:r w:rsidR="005D435D">
        <w:rPr>
          <w:rFonts w:ascii="Times New Roman" w:hAnsi="Times New Roman" w:cs="Times New Roman"/>
          <w:sz w:val="24"/>
          <w:szCs w:val="24"/>
        </w:rPr>
        <w:t xml:space="preserve"> di geopolitica, economia, diritto</w:t>
      </w:r>
      <w:r>
        <w:rPr>
          <w:rFonts w:ascii="Times New Roman" w:hAnsi="Times New Roman" w:cs="Times New Roman"/>
          <w:sz w:val="24"/>
          <w:szCs w:val="24"/>
        </w:rPr>
        <w:t xml:space="preserve">: </w:t>
      </w:r>
      <w:r w:rsidR="00BC63DE">
        <w:rPr>
          <w:rFonts w:ascii="Times New Roman" w:hAnsi="Times New Roman" w:cs="Times New Roman"/>
          <w:sz w:val="24"/>
          <w:szCs w:val="24"/>
        </w:rPr>
        <w:t>il decalogo tematico elaborato</w:t>
      </w:r>
      <w:r w:rsidR="0038612E">
        <w:rPr>
          <w:rFonts w:ascii="Times New Roman" w:hAnsi="Times New Roman" w:cs="Times New Roman"/>
          <w:sz w:val="24"/>
          <w:szCs w:val="24"/>
        </w:rPr>
        <w:t xml:space="preserve"> da Aldo </w:t>
      </w:r>
      <w:proofErr w:type="spellStart"/>
      <w:r w:rsidR="0038612E">
        <w:rPr>
          <w:rFonts w:ascii="Times New Roman" w:hAnsi="Times New Roman" w:cs="Times New Roman"/>
          <w:sz w:val="24"/>
          <w:szCs w:val="24"/>
        </w:rPr>
        <w:t>Sandulli</w:t>
      </w:r>
      <w:proofErr w:type="spellEnd"/>
      <w:r w:rsidR="0038612E">
        <w:rPr>
          <w:rFonts w:ascii="Times New Roman" w:hAnsi="Times New Roman" w:cs="Times New Roman"/>
          <w:sz w:val="24"/>
          <w:szCs w:val="24"/>
        </w:rPr>
        <w:t xml:space="preserve"> nel suo </w:t>
      </w:r>
      <w:r w:rsidR="00B94C08">
        <w:rPr>
          <w:rFonts w:ascii="Times New Roman" w:hAnsi="Times New Roman" w:cs="Times New Roman"/>
          <w:sz w:val="24"/>
          <w:szCs w:val="24"/>
        </w:rPr>
        <w:t xml:space="preserve">importante </w:t>
      </w:r>
      <w:r w:rsidR="0038612E">
        <w:rPr>
          <w:rFonts w:ascii="Times New Roman" w:hAnsi="Times New Roman" w:cs="Times New Roman"/>
          <w:sz w:val="24"/>
          <w:szCs w:val="24"/>
        </w:rPr>
        <w:t>saggio del 2022</w:t>
      </w:r>
      <w:r w:rsidR="007E64EE">
        <w:rPr>
          <w:rFonts w:ascii="Times New Roman" w:hAnsi="Times New Roman" w:cs="Times New Roman"/>
          <w:sz w:val="24"/>
          <w:szCs w:val="24"/>
        </w:rPr>
        <w:t xml:space="preserve"> pubblicato su </w:t>
      </w:r>
      <w:r w:rsidR="007E64EE" w:rsidRPr="007E64EE">
        <w:rPr>
          <w:rFonts w:ascii="Times New Roman" w:hAnsi="Times New Roman" w:cs="Times New Roman"/>
          <w:i/>
          <w:sz w:val="24"/>
          <w:szCs w:val="24"/>
        </w:rPr>
        <w:t>Diritto amministrativo</w:t>
      </w:r>
      <w:r>
        <w:rPr>
          <w:rFonts w:ascii="Times New Roman" w:hAnsi="Times New Roman" w:cs="Times New Roman"/>
          <w:sz w:val="24"/>
          <w:szCs w:val="24"/>
        </w:rPr>
        <w:t xml:space="preserve"> ne è la dimostrazione</w:t>
      </w:r>
      <w:r w:rsidR="00FF78D3">
        <w:rPr>
          <w:rFonts w:ascii="Times New Roman" w:hAnsi="Times New Roman" w:cs="Times New Roman"/>
          <w:sz w:val="24"/>
          <w:szCs w:val="24"/>
        </w:rPr>
        <w:t>.</w:t>
      </w:r>
      <w:r w:rsidR="00F660D9">
        <w:rPr>
          <w:rFonts w:ascii="Times New Roman" w:hAnsi="Times New Roman" w:cs="Times New Roman"/>
          <w:sz w:val="24"/>
          <w:szCs w:val="24"/>
        </w:rPr>
        <w:t xml:space="preserve"> </w:t>
      </w:r>
      <w:r w:rsidR="00730EEF">
        <w:rPr>
          <w:rFonts w:ascii="Times New Roman" w:hAnsi="Times New Roman" w:cs="Times New Roman"/>
          <w:sz w:val="24"/>
          <w:szCs w:val="24"/>
        </w:rPr>
        <w:t>Dove, per</w:t>
      </w:r>
      <w:r w:rsidR="00187DF9">
        <w:rPr>
          <w:rFonts w:ascii="Times New Roman" w:hAnsi="Times New Roman" w:cs="Times New Roman"/>
          <w:sz w:val="24"/>
          <w:szCs w:val="24"/>
        </w:rPr>
        <w:t xml:space="preserve"> restare al campo del diritto, </w:t>
      </w:r>
      <w:r w:rsidR="00FF1007">
        <w:rPr>
          <w:rFonts w:ascii="Times New Roman" w:hAnsi="Times New Roman" w:cs="Times New Roman"/>
          <w:sz w:val="24"/>
          <w:szCs w:val="24"/>
        </w:rPr>
        <w:t xml:space="preserve">e </w:t>
      </w:r>
      <w:r w:rsidR="00187DF9">
        <w:rPr>
          <w:rFonts w:ascii="Times New Roman" w:hAnsi="Times New Roman" w:cs="Times New Roman"/>
          <w:sz w:val="24"/>
          <w:szCs w:val="24"/>
        </w:rPr>
        <w:t xml:space="preserve">di un diritto certamente non confinato al solo settore amministrativo, </w:t>
      </w:r>
      <w:r w:rsidR="00F660D9">
        <w:rPr>
          <w:rFonts w:ascii="Times New Roman" w:hAnsi="Times New Roman" w:cs="Times New Roman"/>
          <w:sz w:val="24"/>
          <w:szCs w:val="24"/>
        </w:rPr>
        <w:t xml:space="preserve">il metodo da seguire, si è </w:t>
      </w:r>
      <w:r w:rsidR="00730EEF">
        <w:rPr>
          <w:rFonts w:ascii="Times New Roman" w:hAnsi="Times New Roman" w:cs="Times New Roman"/>
          <w:sz w:val="24"/>
          <w:szCs w:val="24"/>
        </w:rPr>
        <w:t>detto</w:t>
      </w:r>
      <w:r w:rsidR="00F660D9">
        <w:rPr>
          <w:rFonts w:ascii="Times New Roman" w:hAnsi="Times New Roman" w:cs="Times New Roman"/>
          <w:sz w:val="24"/>
          <w:szCs w:val="24"/>
        </w:rPr>
        <w:t>, non può essere soltanto quello esegetico ma occorre</w:t>
      </w:r>
      <w:r w:rsidR="003D29CB">
        <w:rPr>
          <w:rFonts w:ascii="Times New Roman" w:hAnsi="Times New Roman" w:cs="Times New Roman"/>
          <w:sz w:val="24"/>
          <w:szCs w:val="24"/>
        </w:rPr>
        <w:t xml:space="preserve"> piuttosto</w:t>
      </w:r>
      <w:r w:rsidR="00730EEF">
        <w:rPr>
          <w:rFonts w:ascii="Times New Roman" w:hAnsi="Times New Roman" w:cs="Times New Roman"/>
          <w:sz w:val="24"/>
          <w:szCs w:val="24"/>
        </w:rPr>
        <w:t xml:space="preserve"> un approccio multidisciplinare.</w:t>
      </w:r>
      <w:r w:rsidR="00F660D9">
        <w:rPr>
          <w:rFonts w:ascii="Times New Roman" w:hAnsi="Times New Roman" w:cs="Times New Roman"/>
          <w:sz w:val="24"/>
          <w:szCs w:val="24"/>
        </w:rPr>
        <w:t xml:space="preserve"> Alla ricerca quindi </w:t>
      </w:r>
      <w:r w:rsidR="00141D8D">
        <w:rPr>
          <w:rFonts w:ascii="Times New Roman" w:hAnsi="Times New Roman" w:cs="Times New Roman"/>
          <w:sz w:val="24"/>
          <w:szCs w:val="24"/>
        </w:rPr>
        <w:t xml:space="preserve">di </w:t>
      </w:r>
      <w:r w:rsidR="00F660D9">
        <w:rPr>
          <w:rFonts w:ascii="Times New Roman" w:hAnsi="Times New Roman" w:cs="Times New Roman"/>
          <w:sz w:val="24"/>
          <w:szCs w:val="24"/>
        </w:rPr>
        <w:t xml:space="preserve">un giurista che non sia </w:t>
      </w:r>
      <w:r w:rsidR="00730EEF">
        <w:rPr>
          <w:rFonts w:ascii="Times New Roman" w:hAnsi="Times New Roman" w:cs="Times New Roman"/>
          <w:sz w:val="24"/>
          <w:szCs w:val="24"/>
        </w:rPr>
        <w:t xml:space="preserve">quella nota “figura – a suo tempo descritta </w:t>
      </w:r>
      <w:r w:rsidR="003D29CB">
        <w:rPr>
          <w:rFonts w:ascii="Times New Roman" w:hAnsi="Times New Roman" w:cs="Times New Roman"/>
          <w:sz w:val="24"/>
          <w:szCs w:val="24"/>
        </w:rPr>
        <w:t>mirabilmente</w:t>
      </w:r>
      <w:r w:rsidR="00730EEF">
        <w:rPr>
          <w:rFonts w:ascii="Times New Roman" w:hAnsi="Times New Roman" w:cs="Times New Roman"/>
          <w:sz w:val="24"/>
          <w:szCs w:val="24"/>
        </w:rPr>
        <w:t xml:space="preserve"> da</w:t>
      </w:r>
      <w:r w:rsidR="003D29CB">
        <w:rPr>
          <w:rFonts w:ascii="Times New Roman" w:hAnsi="Times New Roman" w:cs="Times New Roman"/>
          <w:sz w:val="24"/>
          <w:szCs w:val="24"/>
        </w:rPr>
        <w:t xml:space="preserve"> Giuseppe</w:t>
      </w:r>
      <w:r w:rsidR="00573135">
        <w:rPr>
          <w:rFonts w:ascii="Times New Roman" w:hAnsi="Times New Roman" w:cs="Times New Roman"/>
          <w:sz w:val="24"/>
          <w:szCs w:val="24"/>
        </w:rPr>
        <w:t xml:space="preserve"> Guarino, sulla </w:t>
      </w:r>
      <w:r w:rsidR="00573135" w:rsidRPr="00573135">
        <w:rPr>
          <w:rFonts w:ascii="Times New Roman" w:hAnsi="Times New Roman" w:cs="Times New Roman"/>
          <w:i/>
          <w:sz w:val="24"/>
          <w:szCs w:val="24"/>
        </w:rPr>
        <w:t>Rivista trimestrale di diritto pubblico</w:t>
      </w:r>
      <w:r w:rsidR="00573135">
        <w:rPr>
          <w:rFonts w:ascii="Times New Roman" w:hAnsi="Times New Roman" w:cs="Times New Roman"/>
          <w:sz w:val="24"/>
          <w:szCs w:val="24"/>
        </w:rPr>
        <w:t>, 1970, 999</w:t>
      </w:r>
      <w:r w:rsidR="00730EEF">
        <w:rPr>
          <w:rFonts w:ascii="Garamond" w:hAnsi="Garamond"/>
        </w:rPr>
        <w:t xml:space="preserve"> - </w:t>
      </w:r>
      <w:r w:rsidR="00730EEF" w:rsidRPr="00730EEF">
        <w:rPr>
          <w:rFonts w:ascii="Times New Roman" w:hAnsi="Times New Roman" w:cs="Times New Roman"/>
          <w:sz w:val="24"/>
          <w:szCs w:val="24"/>
        </w:rPr>
        <w:t>dello studioso del diritto che a noi tutti è familiare: dietro una scrivania, riparato dalla vista altrui, da altre pile di libri che quasi lo sommergono, isolato, quindi, fisicamente, la sua mente concentrata sulle parole, sulle virgole, sulle forme sintattiche del testo”</w:t>
      </w:r>
      <w:r w:rsidR="009429BF">
        <w:rPr>
          <w:rFonts w:ascii="Times New Roman" w:hAnsi="Times New Roman" w:cs="Times New Roman"/>
          <w:sz w:val="24"/>
          <w:szCs w:val="24"/>
        </w:rPr>
        <w:t>.</w:t>
      </w:r>
    </w:p>
    <w:p w:rsidR="008C71A3" w:rsidRDefault="008C71A3" w:rsidP="00B93432">
      <w:pPr>
        <w:spacing w:line="360" w:lineRule="auto"/>
        <w:ind w:firstLine="709"/>
        <w:jc w:val="both"/>
        <w:rPr>
          <w:rFonts w:ascii="Times New Roman" w:hAnsi="Times New Roman" w:cs="Times New Roman"/>
          <w:sz w:val="24"/>
          <w:szCs w:val="24"/>
        </w:rPr>
      </w:pPr>
    </w:p>
    <w:p w:rsidR="006D36CF" w:rsidRPr="00B93432" w:rsidRDefault="00D46FEE" w:rsidP="00B93432">
      <w:pPr>
        <w:pStyle w:val="Paragrafoelenco"/>
        <w:numPr>
          <w:ilvl w:val="0"/>
          <w:numId w:val="10"/>
        </w:numPr>
        <w:spacing w:line="360" w:lineRule="auto"/>
        <w:jc w:val="both"/>
        <w:rPr>
          <w:rFonts w:ascii="Times New Roman" w:hAnsi="Times New Roman" w:cs="Times New Roman"/>
          <w:sz w:val="24"/>
          <w:szCs w:val="24"/>
        </w:rPr>
      </w:pPr>
      <w:r w:rsidRPr="00B93432">
        <w:rPr>
          <w:rFonts w:ascii="Times New Roman" w:hAnsi="Times New Roman" w:cs="Times New Roman"/>
          <w:b/>
          <w:sz w:val="24"/>
          <w:szCs w:val="24"/>
        </w:rPr>
        <w:t>La disciplina italiana e la sua evoluzione</w:t>
      </w:r>
    </w:p>
    <w:p w:rsidR="00B110FE" w:rsidRDefault="00B110FE"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 </w:t>
      </w:r>
      <w:proofErr w:type="spellStart"/>
      <w:r w:rsidRPr="00B94C08">
        <w:rPr>
          <w:rFonts w:ascii="Times New Roman" w:hAnsi="Times New Roman" w:cs="Times New Roman"/>
          <w:i/>
          <w:sz w:val="24"/>
          <w:szCs w:val="24"/>
        </w:rPr>
        <w:t>golden</w:t>
      </w:r>
      <w:proofErr w:type="spellEnd"/>
      <w:r w:rsidRPr="00B94C08">
        <w:rPr>
          <w:rFonts w:ascii="Times New Roman" w:hAnsi="Times New Roman" w:cs="Times New Roman"/>
          <w:i/>
          <w:sz w:val="24"/>
          <w:szCs w:val="24"/>
        </w:rPr>
        <w:t xml:space="preserve"> </w:t>
      </w:r>
      <w:proofErr w:type="spellStart"/>
      <w:r w:rsidRPr="00B94C08">
        <w:rPr>
          <w:rFonts w:ascii="Times New Roman" w:hAnsi="Times New Roman" w:cs="Times New Roman"/>
          <w:i/>
          <w:sz w:val="24"/>
          <w:szCs w:val="24"/>
        </w:rPr>
        <w:t>power</w:t>
      </w:r>
      <w:proofErr w:type="spellEnd"/>
      <w:r>
        <w:rPr>
          <w:rFonts w:ascii="Times New Roman" w:hAnsi="Times New Roman" w:cs="Times New Roman"/>
          <w:sz w:val="24"/>
          <w:szCs w:val="24"/>
        </w:rPr>
        <w:t xml:space="preserve"> all’italiana trova la sua origine, nel </w:t>
      </w:r>
      <w:r w:rsidR="00C17306">
        <w:rPr>
          <w:rFonts w:ascii="Times New Roman" w:hAnsi="Times New Roman" w:cs="Times New Roman"/>
          <w:sz w:val="24"/>
          <w:szCs w:val="24"/>
        </w:rPr>
        <w:t>2012</w:t>
      </w:r>
      <w:r w:rsidR="00FE1BFE">
        <w:rPr>
          <w:rFonts w:ascii="Times New Roman" w:hAnsi="Times New Roman" w:cs="Times New Roman"/>
          <w:sz w:val="24"/>
          <w:szCs w:val="24"/>
        </w:rPr>
        <w:t>, ai tempi del Governo Monti</w:t>
      </w:r>
      <w:r>
        <w:rPr>
          <w:rFonts w:ascii="Times New Roman" w:hAnsi="Times New Roman" w:cs="Times New Roman"/>
          <w:sz w:val="24"/>
          <w:szCs w:val="24"/>
        </w:rPr>
        <w:t>, sulle ceneri</w:t>
      </w:r>
      <w:r w:rsidR="005D435D">
        <w:rPr>
          <w:rFonts w:ascii="Times New Roman" w:hAnsi="Times New Roman" w:cs="Times New Roman"/>
          <w:sz w:val="24"/>
          <w:szCs w:val="24"/>
        </w:rPr>
        <w:t xml:space="preserve">, si è </w:t>
      </w:r>
      <w:r w:rsidR="00B94C08">
        <w:rPr>
          <w:rFonts w:ascii="Times New Roman" w:hAnsi="Times New Roman" w:cs="Times New Roman"/>
          <w:sz w:val="24"/>
          <w:szCs w:val="24"/>
        </w:rPr>
        <w:t xml:space="preserve">già </w:t>
      </w:r>
      <w:r w:rsidR="000577A4">
        <w:rPr>
          <w:rFonts w:ascii="Times New Roman" w:hAnsi="Times New Roman" w:cs="Times New Roman"/>
          <w:sz w:val="24"/>
          <w:szCs w:val="24"/>
        </w:rPr>
        <w:t>ricordato</w:t>
      </w:r>
      <w:r w:rsidR="005D435D">
        <w:rPr>
          <w:rFonts w:ascii="Times New Roman" w:hAnsi="Times New Roman" w:cs="Times New Roman"/>
          <w:sz w:val="24"/>
          <w:szCs w:val="24"/>
        </w:rPr>
        <w:t>,</w:t>
      </w:r>
      <w:r>
        <w:rPr>
          <w:rFonts w:ascii="Times New Roman" w:hAnsi="Times New Roman" w:cs="Times New Roman"/>
          <w:sz w:val="24"/>
          <w:szCs w:val="24"/>
        </w:rPr>
        <w:t xml:space="preserve"> della </w:t>
      </w:r>
      <w:r w:rsidR="00C17306">
        <w:rPr>
          <w:rFonts w:ascii="Times New Roman" w:hAnsi="Times New Roman" w:cs="Times New Roman"/>
          <w:sz w:val="24"/>
          <w:szCs w:val="24"/>
        </w:rPr>
        <w:t xml:space="preserve">vecchia </w:t>
      </w:r>
      <w:proofErr w:type="spellStart"/>
      <w:r w:rsidRPr="00B94C08">
        <w:rPr>
          <w:rFonts w:ascii="Times New Roman" w:hAnsi="Times New Roman" w:cs="Times New Roman"/>
          <w:i/>
          <w:sz w:val="24"/>
          <w:szCs w:val="24"/>
        </w:rPr>
        <w:t>golden</w:t>
      </w:r>
      <w:proofErr w:type="spellEnd"/>
      <w:r w:rsidRPr="00B94C08">
        <w:rPr>
          <w:rFonts w:ascii="Times New Roman" w:hAnsi="Times New Roman" w:cs="Times New Roman"/>
          <w:i/>
          <w:sz w:val="24"/>
          <w:szCs w:val="24"/>
        </w:rPr>
        <w:t xml:space="preserve"> share</w:t>
      </w:r>
      <w:r>
        <w:rPr>
          <w:rFonts w:ascii="Times New Roman" w:hAnsi="Times New Roman" w:cs="Times New Roman"/>
          <w:sz w:val="24"/>
          <w:szCs w:val="24"/>
        </w:rPr>
        <w:t xml:space="preserve">, per porre fine ad una </w:t>
      </w:r>
      <w:r w:rsidR="00347DBB">
        <w:rPr>
          <w:rFonts w:ascii="Times New Roman" w:hAnsi="Times New Roman" w:cs="Times New Roman"/>
          <w:sz w:val="24"/>
          <w:szCs w:val="24"/>
        </w:rPr>
        <w:t>lunga querelle con le istituzioni europee. Per un apparente paradosso, per un Governo che predicava più mercato e più concorrenza, il meccanismo allora introdotto, pensato in funzione di adeguamento</w:t>
      </w:r>
      <w:r w:rsidR="00BB64FC">
        <w:rPr>
          <w:rFonts w:ascii="Times New Roman" w:hAnsi="Times New Roman" w:cs="Times New Roman"/>
          <w:sz w:val="24"/>
          <w:szCs w:val="24"/>
        </w:rPr>
        <w:t xml:space="preserve"> ai rilievi della UE a tutela della libertà di stabilimento e della libera circolazione dei capitali, ha posto le basi per</w:t>
      </w:r>
      <w:r w:rsidR="00FE1BFE">
        <w:rPr>
          <w:rFonts w:ascii="Times New Roman" w:hAnsi="Times New Roman" w:cs="Times New Roman"/>
          <w:sz w:val="24"/>
          <w:szCs w:val="24"/>
        </w:rPr>
        <w:t xml:space="preserve"> quello che in seguito sarebbe divenuto il</w:t>
      </w:r>
      <w:r w:rsidR="00BB64FC">
        <w:rPr>
          <w:rFonts w:ascii="Times New Roman" w:hAnsi="Times New Roman" w:cs="Times New Roman"/>
          <w:sz w:val="24"/>
          <w:szCs w:val="24"/>
        </w:rPr>
        <w:t xml:space="preserve"> </w:t>
      </w:r>
      <w:r w:rsidR="00A12D62">
        <w:rPr>
          <w:rFonts w:ascii="Times New Roman" w:hAnsi="Times New Roman" w:cs="Times New Roman"/>
          <w:sz w:val="24"/>
          <w:szCs w:val="24"/>
        </w:rPr>
        <w:t>rafforzamento del potere dello S</w:t>
      </w:r>
      <w:r w:rsidR="00BB64FC">
        <w:rPr>
          <w:rFonts w:ascii="Times New Roman" w:hAnsi="Times New Roman" w:cs="Times New Roman"/>
          <w:sz w:val="24"/>
          <w:szCs w:val="24"/>
        </w:rPr>
        <w:t>tato sul controllo degli investimenti esteri,</w:t>
      </w:r>
      <w:r>
        <w:rPr>
          <w:rFonts w:ascii="Times New Roman" w:hAnsi="Times New Roman" w:cs="Times New Roman"/>
          <w:sz w:val="24"/>
          <w:szCs w:val="24"/>
        </w:rPr>
        <w:t xml:space="preserve"> </w:t>
      </w:r>
      <w:r w:rsidR="00EF0F2B">
        <w:rPr>
          <w:rFonts w:ascii="Times New Roman" w:hAnsi="Times New Roman" w:cs="Times New Roman"/>
          <w:sz w:val="24"/>
          <w:szCs w:val="24"/>
        </w:rPr>
        <w:t xml:space="preserve">un potere che, a differenza di </w:t>
      </w:r>
      <w:r w:rsidR="00A12D62">
        <w:rPr>
          <w:rFonts w:ascii="Times New Roman" w:hAnsi="Times New Roman" w:cs="Times New Roman"/>
          <w:sz w:val="24"/>
          <w:szCs w:val="24"/>
        </w:rPr>
        <w:t xml:space="preserve">quanto avveniva ai tempi della </w:t>
      </w:r>
      <w:proofErr w:type="spellStart"/>
      <w:r w:rsidR="00A12D62" w:rsidRPr="00FE61D1">
        <w:rPr>
          <w:rFonts w:ascii="Times New Roman" w:hAnsi="Times New Roman" w:cs="Times New Roman"/>
          <w:i/>
          <w:sz w:val="24"/>
          <w:szCs w:val="24"/>
        </w:rPr>
        <w:t>golden</w:t>
      </w:r>
      <w:proofErr w:type="spellEnd"/>
      <w:r w:rsidR="00A12D62" w:rsidRPr="00FE61D1">
        <w:rPr>
          <w:rFonts w:ascii="Times New Roman" w:hAnsi="Times New Roman" w:cs="Times New Roman"/>
          <w:i/>
          <w:sz w:val="24"/>
          <w:szCs w:val="24"/>
        </w:rPr>
        <w:t xml:space="preserve"> share</w:t>
      </w:r>
      <w:r w:rsidR="00EF0F2B">
        <w:rPr>
          <w:rFonts w:ascii="Times New Roman" w:hAnsi="Times New Roman" w:cs="Times New Roman"/>
          <w:sz w:val="24"/>
          <w:szCs w:val="24"/>
        </w:rPr>
        <w:t xml:space="preserve">, prescinde dalla partecipazione nel capitale delle imprese sulle quali si esercita, operando per così dire dall’esterno, e che </w:t>
      </w:r>
      <w:r>
        <w:rPr>
          <w:rFonts w:ascii="Times New Roman" w:hAnsi="Times New Roman" w:cs="Times New Roman"/>
          <w:sz w:val="24"/>
          <w:szCs w:val="24"/>
        </w:rPr>
        <w:t xml:space="preserve">fa leva su poteri </w:t>
      </w:r>
      <w:r w:rsidR="00C17306">
        <w:rPr>
          <w:rFonts w:ascii="Times New Roman" w:hAnsi="Times New Roman" w:cs="Times New Roman"/>
          <w:sz w:val="24"/>
          <w:szCs w:val="24"/>
        </w:rPr>
        <w:t>pubblicistici, autoritativi, sebbene declinati nel rispetto de</w:t>
      </w:r>
      <w:r w:rsidR="00347DBB">
        <w:rPr>
          <w:rFonts w:ascii="Times New Roman" w:hAnsi="Times New Roman" w:cs="Times New Roman"/>
          <w:sz w:val="24"/>
          <w:szCs w:val="24"/>
        </w:rPr>
        <w:t>l principio di proporzionalità</w:t>
      </w:r>
      <w:r w:rsidR="00C17306">
        <w:rPr>
          <w:rFonts w:ascii="Times New Roman" w:hAnsi="Times New Roman" w:cs="Times New Roman"/>
          <w:sz w:val="24"/>
          <w:szCs w:val="24"/>
        </w:rPr>
        <w:t>.</w:t>
      </w:r>
    </w:p>
    <w:p w:rsidR="00BB64FC" w:rsidRDefault="00BB64FC"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 </w:t>
      </w:r>
      <w:r w:rsidR="00B94C08">
        <w:rPr>
          <w:rFonts w:ascii="Times New Roman" w:hAnsi="Times New Roman" w:cs="Times New Roman"/>
          <w:sz w:val="24"/>
          <w:szCs w:val="24"/>
        </w:rPr>
        <w:t>punto</w:t>
      </w:r>
      <w:r>
        <w:rPr>
          <w:rFonts w:ascii="Times New Roman" w:hAnsi="Times New Roman" w:cs="Times New Roman"/>
          <w:sz w:val="24"/>
          <w:szCs w:val="24"/>
        </w:rPr>
        <w:t xml:space="preserve"> è che nel frattempo è </w:t>
      </w:r>
      <w:r w:rsidR="00FE1BFE">
        <w:rPr>
          <w:rFonts w:ascii="Times New Roman" w:hAnsi="Times New Roman" w:cs="Times New Roman"/>
          <w:sz w:val="24"/>
          <w:szCs w:val="24"/>
        </w:rPr>
        <w:t xml:space="preserve">cambiato l’approccio anche della stessa </w:t>
      </w:r>
      <w:r>
        <w:rPr>
          <w:rFonts w:ascii="Times New Roman" w:hAnsi="Times New Roman" w:cs="Times New Roman"/>
          <w:sz w:val="24"/>
          <w:szCs w:val="24"/>
        </w:rPr>
        <w:t>Unione europea, come dimostrato</w:t>
      </w:r>
      <w:r w:rsidR="00573135">
        <w:rPr>
          <w:rFonts w:ascii="Times New Roman" w:hAnsi="Times New Roman" w:cs="Times New Roman"/>
          <w:sz w:val="24"/>
          <w:szCs w:val="24"/>
        </w:rPr>
        <w:t xml:space="preserve"> (oltre che da una serie di Comunicazioni della Commissione europea</w:t>
      </w:r>
      <w:r w:rsidR="00136CBB">
        <w:rPr>
          <w:rFonts w:ascii="Times New Roman" w:hAnsi="Times New Roman" w:cs="Times New Roman"/>
          <w:sz w:val="24"/>
          <w:szCs w:val="24"/>
        </w:rPr>
        <w:t xml:space="preserve"> nel periodo della pandemia</w:t>
      </w:r>
      <w:r w:rsidR="00573135">
        <w:rPr>
          <w:rFonts w:ascii="Times New Roman" w:hAnsi="Times New Roman" w:cs="Times New Roman"/>
          <w:sz w:val="24"/>
          <w:szCs w:val="24"/>
        </w:rPr>
        <w:t>)</w:t>
      </w:r>
      <w:r>
        <w:rPr>
          <w:rFonts w:ascii="Times New Roman" w:hAnsi="Times New Roman" w:cs="Times New Roman"/>
          <w:sz w:val="24"/>
          <w:szCs w:val="24"/>
        </w:rPr>
        <w:t xml:space="preserve"> dal Regolamento n. 452 del 2019</w:t>
      </w:r>
      <w:r w:rsidR="00B94C08">
        <w:rPr>
          <w:rFonts w:ascii="Times New Roman" w:hAnsi="Times New Roman" w:cs="Times New Roman"/>
          <w:sz w:val="24"/>
          <w:szCs w:val="24"/>
        </w:rPr>
        <w:t xml:space="preserve"> sugli investimenti esteri diretti</w:t>
      </w:r>
      <w:r w:rsidR="00521A85">
        <w:rPr>
          <w:rFonts w:ascii="Times New Roman" w:hAnsi="Times New Roman" w:cs="Times New Roman"/>
          <w:sz w:val="24"/>
          <w:szCs w:val="24"/>
        </w:rPr>
        <w:t>,</w:t>
      </w:r>
      <w:r w:rsidR="00521A85" w:rsidRPr="00521A85">
        <w:rPr>
          <w:rFonts w:ascii="Times New Roman" w:hAnsi="Times New Roman" w:cs="Times New Roman"/>
          <w:sz w:val="24"/>
          <w:szCs w:val="24"/>
        </w:rPr>
        <w:t xml:space="preserve"> </w:t>
      </w:r>
      <w:r w:rsidR="00521A85">
        <w:rPr>
          <w:rFonts w:ascii="Times New Roman" w:hAnsi="Times New Roman" w:cs="Times New Roman"/>
          <w:sz w:val="24"/>
          <w:szCs w:val="24"/>
        </w:rPr>
        <w:t xml:space="preserve">che realizza un primo </w:t>
      </w:r>
      <w:r w:rsidR="00521A85">
        <w:rPr>
          <w:rFonts w:ascii="Times New Roman" w:hAnsi="Times New Roman" w:cs="Times New Roman"/>
          <w:sz w:val="24"/>
          <w:szCs w:val="24"/>
        </w:rPr>
        <w:lastRenderedPageBreak/>
        <w:t>coordinamento cui potrebbe seguire una graduale armonizzazione della materia</w:t>
      </w:r>
      <w:r w:rsidR="00521A85">
        <w:rPr>
          <w:rStyle w:val="Rimandonotaapidipagina"/>
          <w:rFonts w:ascii="Times New Roman" w:hAnsi="Times New Roman" w:cs="Times New Roman"/>
          <w:sz w:val="24"/>
          <w:szCs w:val="24"/>
        </w:rPr>
        <w:t xml:space="preserve"> </w:t>
      </w:r>
      <w:r>
        <w:rPr>
          <w:rFonts w:ascii="Times New Roman" w:hAnsi="Times New Roman" w:cs="Times New Roman"/>
          <w:sz w:val="24"/>
          <w:szCs w:val="24"/>
        </w:rPr>
        <w:t xml:space="preserve">. Sebbene si colga un certo scarto tra la posizione </w:t>
      </w:r>
      <w:r w:rsidR="00933B30">
        <w:rPr>
          <w:rFonts w:ascii="Times New Roman" w:hAnsi="Times New Roman" w:cs="Times New Roman"/>
          <w:sz w:val="24"/>
          <w:szCs w:val="24"/>
        </w:rPr>
        <w:t>del legislatore europeo</w:t>
      </w:r>
      <w:r>
        <w:rPr>
          <w:rFonts w:ascii="Times New Roman" w:hAnsi="Times New Roman" w:cs="Times New Roman"/>
          <w:sz w:val="24"/>
          <w:szCs w:val="24"/>
        </w:rPr>
        <w:t xml:space="preserve">, espressa con tale regolamento, e quella della Corte di giustizia, di cui è esempio </w:t>
      </w:r>
      <w:r w:rsidR="00B94C08">
        <w:rPr>
          <w:rFonts w:ascii="Times New Roman" w:hAnsi="Times New Roman" w:cs="Times New Roman"/>
          <w:sz w:val="24"/>
          <w:szCs w:val="24"/>
        </w:rPr>
        <w:t>una</w:t>
      </w:r>
      <w:r>
        <w:rPr>
          <w:rFonts w:ascii="Times New Roman" w:hAnsi="Times New Roman" w:cs="Times New Roman"/>
          <w:sz w:val="24"/>
          <w:szCs w:val="24"/>
        </w:rPr>
        <w:t xml:space="preserve"> sentenza del 2023</w:t>
      </w:r>
      <w:r w:rsidR="00FE1BFE">
        <w:rPr>
          <w:rFonts w:ascii="Times New Roman" w:hAnsi="Times New Roman" w:cs="Times New Roman"/>
          <w:sz w:val="24"/>
          <w:szCs w:val="24"/>
        </w:rPr>
        <w:t xml:space="preserve"> sulla quale </w:t>
      </w:r>
      <w:r w:rsidR="00B52337">
        <w:rPr>
          <w:rFonts w:ascii="Times New Roman" w:hAnsi="Times New Roman" w:cs="Times New Roman"/>
          <w:sz w:val="24"/>
          <w:szCs w:val="24"/>
        </w:rPr>
        <w:t>si tornerà</w:t>
      </w:r>
      <w:r w:rsidR="00FE1BFE">
        <w:rPr>
          <w:rFonts w:ascii="Times New Roman" w:hAnsi="Times New Roman" w:cs="Times New Roman"/>
          <w:sz w:val="24"/>
          <w:szCs w:val="24"/>
        </w:rPr>
        <w:t xml:space="preserve"> più avanti</w:t>
      </w:r>
      <w:r>
        <w:rPr>
          <w:rFonts w:ascii="Times New Roman" w:hAnsi="Times New Roman" w:cs="Times New Roman"/>
          <w:sz w:val="24"/>
          <w:szCs w:val="24"/>
        </w:rPr>
        <w:t>, rimasta più aderente all’impronta tradizionale favorevole alla libertà di circolazione.</w:t>
      </w:r>
    </w:p>
    <w:p w:rsidR="0076115B" w:rsidRDefault="0076115B"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 </w:t>
      </w:r>
      <w:proofErr w:type="spellStart"/>
      <w:r w:rsidRPr="00B94C08">
        <w:rPr>
          <w:rFonts w:ascii="Times New Roman" w:hAnsi="Times New Roman" w:cs="Times New Roman"/>
          <w:i/>
          <w:sz w:val="24"/>
          <w:szCs w:val="24"/>
        </w:rPr>
        <w:t>golden</w:t>
      </w:r>
      <w:proofErr w:type="spellEnd"/>
      <w:r w:rsidRPr="00B94C08">
        <w:rPr>
          <w:rFonts w:ascii="Times New Roman" w:hAnsi="Times New Roman" w:cs="Times New Roman"/>
          <w:i/>
          <w:sz w:val="24"/>
          <w:szCs w:val="24"/>
        </w:rPr>
        <w:t xml:space="preserve"> </w:t>
      </w:r>
      <w:proofErr w:type="spellStart"/>
      <w:r w:rsidRPr="00B94C08">
        <w:rPr>
          <w:rFonts w:ascii="Times New Roman" w:hAnsi="Times New Roman" w:cs="Times New Roman"/>
          <w:i/>
          <w:sz w:val="24"/>
          <w:szCs w:val="24"/>
        </w:rPr>
        <w:t>power</w:t>
      </w:r>
      <w:proofErr w:type="spellEnd"/>
      <w:r>
        <w:rPr>
          <w:rFonts w:ascii="Times New Roman" w:hAnsi="Times New Roman" w:cs="Times New Roman"/>
          <w:sz w:val="24"/>
          <w:szCs w:val="24"/>
        </w:rPr>
        <w:t>, che di sicuro segna</w:t>
      </w:r>
      <w:r w:rsidR="00D21910">
        <w:rPr>
          <w:rFonts w:ascii="Times New Roman" w:hAnsi="Times New Roman" w:cs="Times New Roman"/>
          <w:sz w:val="24"/>
          <w:szCs w:val="24"/>
        </w:rPr>
        <w:t xml:space="preserve"> (o conferma)</w:t>
      </w:r>
      <w:r w:rsidR="00A12D62">
        <w:rPr>
          <w:rFonts w:ascii="Times New Roman" w:hAnsi="Times New Roman" w:cs="Times New Roman"/>
          <w:sz w:val="24"/>
          <w:szCs w:val="24"/>
        </w:rPr>
        <w:t xml:space="preserve"> il ritorno</w:t>
      </w:r>
      <w:r w:rsidR="00136CBB">
        <w:rPr>
          <w:rFonts w:ascii="Times New Roman" w:hAnsi="Times New Roman" w:cs="Times New Roman"/>
          <w:sz w:val="24"/>
          <w:szCs w:val="24"/>
        </w:rPr>
        <w:t xml:space="preserve"> di un ruolo attivo</w:t>
      </w:r>
      <w:r w:rsidR="00A12D62">
        <w:rPr>
          <w:rFonts w:ascii="Times New Roman" w:hAnsi="Times New Roman" w:cs="Times New Roman"/>
          <w:sz w:val="24"/>
          <w:szCs w:val="24"/>
        </w:rPr>
        <w:t xml:space="preserve"> dello S</w:t>
      </w:r>
      <w:r>
        <w:rPr>
          <w:rFonts w:ascii="Times New Roman" w:hAnsi="Times New Roman" w:cs="Times New Roman"/>
          <w:sz w:val="24"/>
          <w:szCs w:val="24"/>
        </w:rPr>
        <w:t>tato sulla scena economica</w:t>
      </w:r>
      <w:r w:rsidR="002F06D5">
        <w:rPr>
          <w:rFonts w:ascii="Times New Roman" w:hAnsi="Times New Roman" w:cs="Times New Roman"/>
          <w:sz w:val="24"/>
          <w:szCs w:val="24"/>
        </w:rPr>
        <w:t xml:space="preserve"> e con esso anche un nuovo </w:t>
      </w:r>
      <w:r w:rsidR="00A12D62">
        <w:rPr>
          <w:rFonts w:ascii="Times New Roman" w:hAnsi="Times New Roman" w:cs="Times New Roman"/>
          <w:sz w:val="24"/>
          <w:szCs w:val="24"/>
        </w:rPr>
        <w:t>equilibrio tra il potere esecutivo e le autorità di regolazione</w:t>
      </w:r>
      <w:r w:rsidR="00136CBB">
        <w:rPr>
          <w:rFonts w:ascii="Times New Roman" w:hAnsi="Times New Roman" w:cs="Times New Roman"/>
          <w:sz w:val="24"/>
          <w:szCs w:val="24"/>
        </w:rPr>
        <w:t xml:space="preserve"> (si direbbe da un lato all’altro dell’Atlantico)</w:t>
      </w:r>
      <w:r>
        <w:rPr>
          <w:rFonts w:ascii="Times New Roman" w:hAnsi="Times New Roman" w:cs="Times New Roman"/>
          <w:sz w:val="24"/>
          <w:szCs w:val="24"/>
        </w:rPr>
        <w:t xml:space="preserve">, si </w:t>
      </w:r>
      <w:r w:rsidR="00B94C08">
        <w:rPr>
          <w:rFonts w:ascii="Times New Roman" w:hAnsi="Times New Roman" w:cs="Times New Roman"/>
          <w:sz w:val="24"/>
          <w:szCs w:val="24"/>
        </w:rPr>
        <w:t>può prestare</w:t>
      </w:r>
      <w:r>
        <w:rPr>
          <w:rFonts w:ascii="Times New Roman" w:hAnsi="Times New Roman" w:cs="Times New Roman"/>
          <w:sz w:val="24"/>
          <w:szCs w:val="24"/>
        </w:rPr>
        <w:t xml:space="preserve"> ad un uso nazionalistico</w:t>
      </w:r>
      <w:r w:rsidR="00B94C08">
        <w:rPr>
          <w:rFonts w:ascii="Times New Roman" w:hAnsi="Times New Roman" w:cs="Times New Roman"/>
          <w:sz w:val="24"/>
          <w:szCs w:val="24"/>
        </w:rPr>
        <w:t xml:space="preserve"> e protezionistico</w:t>
      </w:r>
      <w:r>
        <w:rPr>
          <w:rFonts w:ascii="Times New Roman" w:hAnsi="Times New Roman" w:cs="Times New Roman"/>
          <w:sz w:val="24"/>
          <w:szCs w:val="24"/>
        </w:rPr>
        <w:t xml:space="preserve"> ma può essere anche un’occasione di rilancio dell’integrazione europea, come dimostra</w:t>
      </w:r>
      <w:r w:rsidR="00D21910">
        <w:rPr>
          <w:rFonts w:ascii="Times New Roman" w:hAnsi="Times New Roman" w:cs="Times New Roman"/>
          <w:sz w:val="24"/>
          <w:szCs w:val="24"/>
        </w:rPr>
        <w:t xml:space="preserve"> proprio</w:t>
      </w:r>
      <w:r>
        <w:rPr>
          <w:rFonts w:ascii="Times New Roman" w:hAnsi="Times New Roman" w:cs="Times New Roman"/>
          <w:sz w:val="24"/>
          <w:szCs w:val="24"/>
        </w:rPr>
        <w:t xml:space="preserve"> il Regolamento del 2019.</w:t>
      </w:r>
    </w:p>
    <w:p w:rsidR="00B84A19" w:rsidRDefault="00280450"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 disciplina italiana a livello di fonte primaria è racchiusa</w:t>
      </w:r>
      <w:r w:rsidR="00190743">
        <w:rPr>
          <w:rFonts w:ascii="Times New Roman" w:hAnsi="Times New Roman" w:cs="Times New Roman"/>
          <w:sz w:val="24"/>
          <w:szCs w:val="24"/>
        </w:rPr>
        <w:t xml:space="preserve"> nel</w:t>
      </w:r>
      <w:r w:rsidR="00B84A19">
        <w:rPr>
          <w:rFonts w:ascii="Times New Roman" w:hAnsi="Times New Roman" w:cs="Times New Roman"/>
          <w:sz w:val="24"/>
          <w:szCs w:val="24"/>
        </w:rPr>
        <w:t xml:space="preserve"> </w:t>
      </w:r>
      <w:proofErr w:type="spellStart"/>
      <w:r w:rsidR="00B84A19">
        <w:rPr>
          <w:rFonts w:ascii="Times New Roman" w:hAnsi="Times New Roman" w:cs="Times New Roman"/>
          <w:sz w:val="24"/>
          <w:szCs w:val="24"/>
        </w:rPr>
        <w:t>d.l.</w:t>
      </w:r>
      <w:proofErr w:type="spellEnd"/>
      <w:r w:rsidR="00B84A19">
        <w:rPr>
          <w:rFonts w:ascii="Times New Roman" w:hAnsi="Times New Roman" w:cs="Times New Roman"/>
          <w:sz w:val="24"/>
          <w:szCs w:val="24"/>
        </w:rPr>
        <w:t xml:space="preserve"> 21 del 2012, </w:t>
      </w:r>
      <w:r w:rsidR="00FE1BFE">
        <w:rPr>
          <w:rFonts w:ascii="Times New Roman" w:hAnsi="Times New Roman" w:cs="Times New Roman"/>
          <w:sz w:val="24"/>
          <w:szCs w:val="24"/>
        </w:rPr>
        <w:t>contrassegnato da</w:t>
      </w:r>
      <w:r w:rsidR="00B84A19">
        <w:rPr>
          <w:rFonts w:ascii="Times New Roman" w:hAnsi="Times New Roman" w:cs="Times New Roman"/>
          <w:sz w:val="24"/>
          <w:szCs w:val="24"/>
        </w:rPr>
        <w:t xml:space="preserve"> ripetute modifiche</w:t>
      </w:r>
      <w:r w:rsidR="005572E0">
        <w:rPr>
          <w:rFonts w:ascii="Times New Roman" w:hAnsi="Times New Roman" w:cs="Times New Roman"/>
          <w:sz w:val="24"/>
          <w:szCs w:val="24"/>
        </w:rPr>
        <w:t xml:space="preserve"> e rimaneggiamenti di un testo che avrebbe bisogno, a distanza di oltre dieci anni, di una riscrittura complessiva che ne migliorasse l’intellegibilità, ponendo rimedio ad una lettura che è </w:t>
      </w:r>
      <w:r w:rsidR="00E41F3A">
        <w:rPr>
          <w:rFonts w:ascii="Times New Roman" w:hAnsi="Times New Roman" w:cs="Times New Roman"/>
          <w:sz w:val="24"/>
          <w:szCs w:val="24"/>
        </w:rPr>
        <w:t xml:space="preserve">resa </w:t>
      </w:r>
      <w:r w:rsidR="005572E0">
        <w:rPr>
          <w:rFonts w:ascii="Times New Roman" w:hAnsi="Times New Roman" w:cs="Times New Roman"/>
          <w:sz w:val="24"/>
          <w:szCs w:val="24"/>
        </w:rPr>
        <w:t xml:space="preserve">in questo </w:t>
      </w:r>
      <w:r w:rsidR="00190743">
        <w:rPr>
          <w:rFonts w:ascii="Times New Roman" w:hAnsi="Times New Roman" w:cs="Times New Roman"/>
          <w:sz w:val="24"/>
          <w:szCs w:val="24"/>
        </w:rPr>
        <w:t>momento innegabilmente faticosa</w:t>
      </w:r>
      <w:r w:rsidR="005572E0">
        <w:rPr>
          <w:rFonts w:ascii="Times New Roman" w:hAnsi="Times New Roman" w:cs="Times New Roman"/>
          <w:sz w:val="24"/>
          <w:szCs w:val="24"/>
        </w:rPr>
        <w:t>. Si potrebbe fare un d</w:t>
      </w:r>
      <w:r w:rsidR="00B84A19">
        <w:rPr>
          <w:rFonts w:ascii="Times New Roman" w:hAnsi="Times New Roman" w:cs="Times New Roman"/>
          <w:sz w:val="24"/>
          <w:szCs w:val="24"/>
        </w:rPr>
        <w:t xml:space="preserve">iscorso </w:t>
      </w:r>
      <w:r w:rsidR="005572E0">
        <w:rPr>
          <w:rFonts w:ascii="Times New Roman" w:hAnsi="Times New Roman" w:cs="Times New Roman"/>
          <w:sz w:val="24"/>
          <w:szCs w:val="24"/>
        </w:rPr>
        <w:t xml:space="preserve">più </w:t>
      </w:r>
      <w:r w:rsidR="00B84A19">
        <w:rPr>
          <w:rFonts w:ascii="Times New Roman" w:hAnsi="Times New Roman" w:cs="Times New Roman"/>
          <w:sz w:val="24"/>
          <w:szCs w:val="24"/>
        </w:rPr>
        <w:t>generale intorno alla qualità della le</w:t>
      </w:r>
      <w:r w:rsidR="005572E0">
        <w:rPr>
          <w:rFonts w:ascii="Times New Roman" w:hAnsi="Times New Roman" w:cs="Times New Roman"/>
          <w:sz w:val="24"/>
          <w:szCs w:val="24"/>
        </w:rPr>
        <w:t>gislazione, alla legge “oscura”, con riguardo alle finalità di c</w:t>
      </w:r>
      <w:r w:rsidR="00B84A19">
        <w:rPr>
          <w:rFonts w:ascii="Times New Roman" w:hAnsi="Times New Roman" w:cs="Times New Roman"/>
          <w:sz w:val="24"/>
          <w:szCs w:val="24"/>
        </w:rPr>
        <w:t>ertezza, stabilità, prevedibilità</w:t>
      </w:r>
      <w:r w:rsidR="005572E0">
        <w:rPr>
          <w:rFonts w:ascii="Times New Roman" w:hAnsi="Times New Roman" w:cs="Times New Roman"/>
          <w:sz w:val="24"/>
          <w:szCs w:val="24"/>
        </w:rPr>
        <w:t>, che non siamo più in grado di garantire come dovremmo</w:t>
      </w:r>
      <w:r w:rsidR="00B84A19">
        <w:rPr>
          <w:rFonts w:ascii="Times New Roman" w:hAnsi="Times New Roman" w:cs="Times New Roman"/>
          <w:sz w:val="24"/>
          <w:szCs w:val="24"/>
        </w:rPr>
        <w:t>.</w:t>
      </w:r>
      <w:r w:rsidR="005572E0">
        <w:rPr>
          <w:rFonts w:ascii="Times New Roman" w:hAnsi="Times New Roman" w:cs="Times New Roman"/>
          <w:sz w:val="24"/>
          <w:szCs w:val="24"/>
        </w:rPr>
        <w:t xml:space="preserve"> Consapevoli, non di meno, della obiettiva difficoltà di dover rincorrere</w:t>
      </w:r>
      <w:r w:rsidR="00E41F3A">
        <w:rPr>
          <w:rFonts w:ascii="Times New Roman" w:hAnsi="Times New Roman" w:cs="Times New Roman"/>
          <w:sz w:val="24"/>
          <w:szCs w:val="24"/>
        </w:rPr>
        <w:t xml:space="preserve"> in questo caso</w:t>
      </w:r>
      <w:r w:rsidR="005572E0">
        <w:rPr>
          <w:rFonts w:ascii="Times New Roman" w:hAnsi="Times New Roman" w:cs="Times New Roman"/>
          <w:sz w:val="24"/>
          <w:szCs w:val="24"/>
        </w:rPr>
        <w:t xml:space="preserve"> una materia in continua evoluzione, condizionata dallo sviluppo incessante della tecnica</w:t>
      </w:r>
      <w:r w:rsidR="00136CBB">
        <w:rPr>
          <w:rFonts w:ascii="Times New Roman" w:hAnsi="Times New Roman" w:cs="Times New Roman"/>
          <w:sz w:val="24"/>
          <w:szCs w:val="24"/>
        </w:rPr>
        <w:t xml:space="preserve">, </w:t>
      </w:r>
      <w:r w:rsidR="005572E0">
        <w:rPr>
          <w:rFonts w:ascii="Times New Roman" w:hAnsi="Times New Roman" w:cs="Times New Roman"/>
          <w:sz w:val="24"/>
          <w:szCs w:val="24"/>
        </w:rPr>
        <w:t>dall’influenza delle fonti sovranazionali</w:t>
      </w:r>
      <w:r w:rsidR="00136CBB">
        <w:rPr>
          <w:rFonts w:ascii="Times New Roman" w:hAnsi="Times New Roman" w:cs="Times New Roman"/>
          <w:sz w:val="24"/>
          <w:szCs w:val="24"/>
        </w:rPr>
        <w:t>, dalle ambizioni (non sempre grandi, non sempre luminose) della politica</w:t>
      </w:r>
      <w:r w:rsidR="005572E0">
        <w:rPr>
          <w:rFonts w:ascii="Times New Roman" w:hAnsi="Times New Roman" w:cs="Times New Roman"/>
          <w:sz w:val="24"/>
          <w:szCs w:val="24"/>
        </w:rPr>
        <w:t>.</w:t>
      </w:r>
    </w:p>
    <w:p w:rsidR="00B84A19" w:rsidRDefault="0089362A"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w:t>
      </w:r>
      <w:r w:rsidR="00E41F3A">
        <w:rPr>
          <w:rFonts w:ascii="Times New Roman" w:hAnsi="Times New Roman" w:cs="Times New Roman"/>
          <w:sz w:val="24"/>
          <w:szCs w:val="24"/>
        </w:rPr>
        <w:t>settori di intervento</w:t>
      </w:r>
      <w:r w:rsidR="00280450">
        <w:rPr>
          <w:rFonts w:ascii="Times New Roman" w:hAnsi="Times New Roman" w:cs="Times New Roman"/>
          <w:sz w:val="24"/>
          <w:szCs w:val="24"/>
        </w:rPr>
        <w:t xml:space="preserve"> di questa disciplina</w:t>
      </w:r>
      <w:r w:rsidR="00E41F3A">
        <w:rPr>
          <w:rFonts w:ascii="Times New Roman" w:hAnsi="Times New Roman" w:cs="Times New Roman"/>
          <w:sz w:val="24"/>
          <w:szCs w:val="24"/>
        </w:rPr>
        <w:t xml:space="preserve"> sono andati nel tempo estendendosi in maniera sempre più </w:t>
      </w:r>
      <w:r w:rsidR="00C02E1C">
        <w:rPr>
          <w:rFonts w:ascii="Times New Roman" w:hAnsi="Times New Roman" w:cs="Times New Roman"/>
          <w:sz w:val="24"/>
          <w:szCs w:val="24"/>
        </w:rPr>
        <w:t xml:space="preserve">ampia e </w:t>
      </w:r>
      <w:r w:rsidR="00E41F3A">
        <w:rPr>
          <w:rFonts w:ascii="Times New Roman" w:hAnsi="Times New Roman" w:cs="Times New Roman"/>
          <w:sz w:val="24"/>
          <w:szCs w:val="24"/>
        </w:rPr>
        <w:t>significativa: dagli iniziali ambiti della</w:t>
      </w:r>
      <w:r>
        <w:rPr>
          <w:rFonts w:ascii="Times New Roman" w:hAnsi="Times New Roman" w:cs="Times New Roman"/>
          <w:sz w:val="24"/>
          <w:szCs w:val="24"/>
        </w:rPr>
        <w:t xml:space="preserve"> difesa e sicurezza nazionale</w:t>
      </w:r>
      <w:r w:rsidR="00347DBB">
        <w:rPr>
          <w:rFonts w:ascii="Times New Roman" w:hAnsi="Times New Roman" w:cs="Times New Roman"/>
          <w:sz w:val="24"/>
          <w:szCs w:val="24"/>
        </w:rPr>
        <w:t xml:space="preserve"> (art. 1)</w:t>
      </w:r>
      <w:r w:rsidR="00E41F3A">
        <w:rPr>
          <w:rFonts w:ascii="Times New Roman" w:hAnsi="Times New Roman" w:cs="Times New Roman"/>
          <w:sz w:val="24"/>
          <w:szCs w:val="24"/>
        </w:rPr>
        <w:t xml:space="preserve"> a</w:t>
      </w:r>
      <w:r w:rsidR="00280450">
        <w:rPr>
          <w:rFonts w:ascii="Times New Roman" w:hAnsi="Times New Roman" w:cs="Times New Roman"/>
          <w:sz w:val="24"/>
          <w:szCs w:val="24"/>
        </w:rPr>
        <w:t xml:space="preserve"> quelli di</w:t>
      </w:r>
      <w:r w:rsidR="00E41F3A">
        <w:rPr>
          <w:rFonts w:ascii="Times New Roman" w:hAnsi="Times New Roman" w:cs="Times New Roman"/>
          <w:sz w:val="24"/>
          <w:szCs w:val="24"/>
        </w:rPr>
        <w:t xml:space="preserve"> en</w:t>
      </w:r>
      <w:r w:rsidR="00347DBB">
        <w:rPr>
          <w:rFonts w:ascii="Times New Roman" w:hAnsi="Times New Roman" w:cs="Times New Roman"/>
          <w:sz w:val="24"/>
          <w:szCs w:val="24"/>
        </w:rPr>
        <w:t>ergia, trasporti e comunicazioni (art. 2)</w:t>
      </w:r>
      <w:r w:rsidR="00E41F3A">
        <w:rPr>
          <w:rFonts w:ascii="Times New Roman" w:hAnsi="Times New Roman" w:cs="Times New Roman"/>
          <w:sz w:val="24"/>
          <w:szCs w:val="24"/>
        </w:rPr>
        <w:t xml:space="preserve">; </w:t>
      </w:r>
      <w:r w:rsidR="00BC54BF">
        <w:rPr>
          <w:rFonts w:ascii="Times New Roman" w:hAnsi="Times New Roman" w:cs="Times New Roman"/>
          <w:sz w:val="24"/>
          <w:szCs w:val="24"/>
        </w:rPr>
        <w:t>arricchiti nel biennio 2019-2020 d</w:t>
      </w:r>
      <w:r w:rsidR="00347DBB">
        <w:rPr>
          <w:rFonts w:ascii="Times New Roman" w:hAnsi="Times New Roman" w:cs="Times New Roman"/>
          <w:sz w:val="24"/>
          <w:szCs w:val="24"/>
        </w:rPr>
        <w:t>alle reti</w:t>
      </w:r>
      <w:r w:rsidR="00E41F3A">
        <w:rPr>
          <w:rFonts w:ascii="Times New Roman" w:hAnsi="Times New Roman" w:cs="Times New Roman"/>
          <w:sz w:val="24"/>
          <w:szCs w:val="24"/>
        </w:rPr>
        <w:t xml:space="preserve"> di comunicazione elettronica</w:t>
      </w:r>
      <w:r w:rsidR="00BC54BF">
        <w:rPr>
          <w:rFonts w:ascii="Times New Roman" w:hAnsi="Times New Roman" w:cs="Times New Roman"/>
          <w:sz w:val="24"/>
          <w:szCs w:val="24"/>
        </w:rPr>
        <w:t>,</w:t>
      </w:r>
      <w:r w:rsidR="00E41F3A">
        <w:rPr>
          <w:rFonts w:ascii="Times New Roman" w:hAnsi="Times New Roman" w:cs="Times New Roman"/>
          <w:sz w:val="24"/>
          <w:szCs w:val="24"/>
        </w:rPr>
        <w:t xml:space="preserve"> </w:t>
      </w:r>
      <w:r w:rsidR="00BC54BF">
        <w:rPr>
          <w:rFonts w:ascii="Times New Roman" w:hAnsi="Times New Roman" w:cs="Times New Roman"/>
          <w:sz w:val="24"/>
          <w:szCs w:val="24"/>
        </w:rPr>
        <w:t>d</w:t>
      </w:r>
      <w:r w:rsidR="00E41F3A">
        <w:rPr>
          <w:rFonts w:ascii="Times New Roman" w:hAnsi="Times New Roman" w:cs="Times New Roman"/>
          <w:sz w:val="24"/>
          <w:szCs w:val="24"/>
        </w:rPr>
        <w:t>alle tecnologie e infrastrutture cd. critiche, tra cui l’intelligenza artificiale</w:t>
      </w:r>
      <w:r w:rsidR="00347DBB">
        <w:rPr>
          <w:rFonts w:ascii="Times New Roman" w:hAnsi="Times New Roman" w:cs="Times New Roman"/>
          <w:sz w:val="24"/>
          <w:szCs w:val="24"/>
        </w:rPr>
        <w:t xml:space="preserve"> (art. 1-bis)</w:t>
      </w:r>
      <w:r w:rsidR="00BC54BF">
        <w:rPr>
          <w:rFonts w:ascii="Times New Roman" w:hAnsi="Times New Roman" w:cs="Times New Roman"/>
          <w:sz w:val="24"/>
          <w:szCs w:val="24"/>
        </w:rPr>
        <w:t>, dalle infrastrutture finanziarie, compresi i settori creditizio e assicurativo</w:t>
      </w:r>
      <w:r w:rsidR="00E41F3A">
        <w:rPr>
          <w:rFonts w:ascii="Times New Roman" w:hAnsi="Times New Roman" w:cs="Times New Roman"/>
          <w:sz w:val="24"/>
          <w:szCs w:val="24"/>
        </w:rPr>
        <w:t>. Anche nella definizione</w:t>
      </w:r>
      <w:r w:rsidR="00347DBB">
        <w:rPr>
          <w:rFonts w:ascii="Times New Roman" w:hAnsi="Times New Roman" w:cs="Times New Roman"/>
          <w:sz w:val="24"/>
          <w:szCs w:val="24"/>
        </w:rPr>
        <w:t xml:space="preserve"> degli </w:t>
      </w:r>
      <w:proofErr w:type="spellStart"/>
      <w:r w:rsidR="00347DBB">
        <w:rPr>
          <w:rFonts w:ascii="Times New Roman" w:hAnsi="Times New Roman" w:cs="Times New Roman"/>
          <w:sz w:val="24"/>
          <w:szCs w:val="24"/>
        </w:rPr>
        <w:t>asset</w:t>
      </w:r>
      <w:proofErr w:type="spellEnd"/>
      <w:r w:rsidR="004A6229">
        <w:rPr>
          <w:rFonts w:ascii="Times New Roman" w:hAnsi="Times New Roman" w:cs="Times New Roman"/>
          <w:sz w:val="24"/>
          <w:szCs w:val="24"/>
        </w:rPr>
        <w:t xml:space="preserve"> strategici</w:t>
      </w:r>
      <w:r w:rsidR="00347DBB">
        <w:rPr>
          <w:rFonts w:ascii="Times New Roman" w:hAnsi="Times New Roman" w:cs="Times New Roman"/>
          <w:sz w:val="24"/>
          <w:szCs w:val="24"/>
        </w:rPr>
        <w:t xml:space="preserve"> e</w:t>
      </w:r>
      <w:r w:rsidR="00E41F3A">
        <w:rPr>
          <w:rFonts w:ascii="Times New Roman" w:hAnsi="Times New Roman" w:cs="Times New Roman"/>
          <w:sz w:val="24"/>
          <w:szCs w:val="24"/>
        </w:rPr>
        <w:t xml:space="preserve"> dei presupposti, sempre di intervento, si registra una tendenza espansiva, amplificata dall’uso di concetti giuridici indeterminati quali la “minaccia di grave pregiudizio per gli interessi essenziali della difesa e della sicurezza nazionale”</w:t>
      </w:r>
      <w:r w:rsidR="008A0F93">
        <w:rPr>
          <w:rFonts w:ascii="Times New Roman" w:hAnsi="Times New Roman" w:cs="Times New Roman"/>
          <w:sz w:val="24"/>
          <w:szCs w:val="24"/>
        </w:rPr>
        <w:t xml:space="preserve"> (art. 1), o </w:t>
      </w:r>
      <w:r w:rsidR="00D1786B">
        <w:rPr>
          <w:rFonts w:ascii="Times New Roman" w:hAnsi="Times New Roman" w:cs="Times New Roman"/>
          <w:sz w:val="24"/>
          <w:szCs w:val="24"/>
        </w:rPr>
        <w:t>la</w:t>
      </w:r>
      <w:r w:rsidR="00E41F3A">
        <w:rPr>
          <w:rFonts w:ascii="Times New Roman" w:hAnsi="Times New Roman" w:cs="Times New Roman"/>
          <w:sz w:val="24"/>
          <w:szCs w:val="24"/>
        </w:rPr>
        <w:t xml:space="preserve"> “</w:t>
      </w:r>
      <w:r w:rsidR="00D1786B">
        <w:rPr>
          <w:rFonts w:ascii="Times New Roman" w:hAnsi="Times New Roman" w:cs="Times New Roman"/>
          <w:sz w:val="24"/>
          <w:szCs w:val="24"/>
        </w:rPr>
        <w:t>minaccia di grave</w:t>
      </w:r>
      <w:r w:rsidR="008A0F93">
        <w:rPr>
          <w:rFonts w:ascii="Times New Roman" w:hAnsi="Times New Roman" w:cs="Times New Roman"/>
          <w:sz w:val="24"/>
          <w:szCs w:val="24"/>
        </w:rPr>
        <w:t xml:space="preserve"> pregiudizio</w:t>
      </w:r>
      <w:r w:rsidR="00D1786B">
        <w:rPr>
          <w:rFonts w:ascii="Times New Roman" w:hAnsi="Times New Roman" w:cs="Times New Roman"/>
          <w:sz w:val="24"/>
          <w:szCs w:val="24"/>
        </w:rPr>
        <w:t xml:space="preserve"> per gli interessi pubblici relativi</w:t>
      </w:r>
      <w:r w:rsidR="00E41F3A">
        <w:rPr>
          <w:rFonts w:ascii="Times New Roman" w:hAnsi="Times New Roman" w:cs="Times New Roman"/>
          <w:sz w:val="24"/>
          <w:szCs w:val="24"/>
        </w:rPr>
        <w:t xml:space="preserve"> alla sicurezza e al funzionamento delle reti e degli impianti e alla continuità degli approvvigionamenti”</w:t>
      </w:r>
      <w:r w:rsidR="008A0F93">
        <w:rPr>
          <w:rFonts w:ascii="Times New Roman" w:hAnsi="Times New Roman" w:cs="Times New Roman"/>
          <w:sz w:val="24"/>
          <w:szCs w:val="24"/>
        </w:rPr>
        <w:t xml:space="preserve"> (art. 2)</w:t>
      </w:r>
      <w:r w:rsidR="00E41F3A">
        <w:rPr>
          <w:rFonts w:ascii="Times New Roman" w:hAnsi="Times New Roman" w:cs="Times New Roman"/>
          <w:sz w:val="24"/>
          <w:szCs w:val="24"/>
        </w:rPr>
        <w:t xml:space="preserve">. Non meno ampio è il ventaglio delle operazioni </w:t>
      </w:r>
      <w:r w:rsidR="00280450">
        <w:rPr>
          <w:rFonts w:ascii="Times New Roman" w:hAnsi="Times New Roman" w:cs="Times New Roman"/>
          <w:sz w:val="24"/>
          <w:szCs w:val="24"/>
        </w:rPr>
        <w:t>societarie</w:t>
      </w:r>
      <w:r w:rsidR="00187DF9">
        <w:rPr>
          <w:rFonts w:ascii="Times New Roman" w:hAnsi="Times New Roman" w:cs="Times New Roman"/>
          <w:sz w:val="24"/>
          <w:szCs w:val="24"/>
        </w:rPr>
        <w:t xml:space="preserve"> – non sempre e non solo extra UE</w:t>
      </w:r>
      <w:r w:rsidR="00136CBB">
        <w:rPr>
          <w:rFonts w:ascii="Times New Roman" w:hAnsi="Times New Roman" w:cs="Times New Roman"/>
          <w:sz w:val="24"/>
          <w:szCs w:val="24"/>
        </w:rPr>
        <w:t xml:space="preserve">, come nel recente caso dell’offerta pubblica </w:t>
      </w:r>
      <w:r w:rsidR="006F1252" w:rsidRPr="006F1252">
        <w:rPr>
          <w:rFonts w:ascii="Times New Roman" w:hAnsi="Times New Roman" w:cs="Times New Roman"/>
          <w:sz w:val="24"/>
          <w:szCs w:val="24"/>
        </w:rPr>
        <w:t>di scambio promossa</w:t>
      </w:r>
      <w:r w:rsidR="006F1252">
        <w:rPr>
          <w:rFonts w:ascii="Times New Roman" w:hAnsi="Times New Roman" w:cs="Times New Roman"/>
          <w:sz w:val="24"/>
          <w:szCs w:val="24"/>
        </w:rPr>
        <w:t xml:space="preserve"> da UniCredit</w:t>
      </w:r>
      <w:r w:rsidR="006F1252" w:rsidRPr="006F1252">
        <w:rPr>
          <w:rFonts w:ascii="Times New Roman" w:hAnsi="Times New Roman" w:cs="Times New Roman"/>
          <w:sz w:val="24"/>
          <w:szCs w:val="24"/>
        </w:rPr>
        <w:t xml:space="preserve"> ai sensi degli artt. 102 e </w:t>
      </w:r>
      <w:proofErr w:type="spellStart"/>
      <w:r w:rsidR="006F1252" w:rsidRPr="006F1252">
        <w:rPr>
          <w:rFonts w:ascii="Times New Roman" w:hAnsi="Times New Roman" w:cs="Times New Roman"/>
          <w:sz w:val="24"/>
          <w:szCs w:val="24"/>
        </w:rPr>
        <w:t>ss</w:t>
      </w:r>
      <w:proofErr w:type="spellEnd"/>
      <w:r w:rsidR="006F1252" w:rsidRPr="006F1252">
        <w:rPr>
          <w:rFonts w:ascii="Times New Roman" w:hAnsi="Times New Roman" w:cs="Times New Roman"/>
          <w:sz w:val="24"/>
          <w:szCs w:val="24"/>
        </w:rPr>
        <w:t xml:space="preserve"> del TUF (Testo unico sulla Finanza) sulla totalità delle azioni ordinarie della Banca Popolare di Milano</w:t>
      </w:r>
      <w:r w:rsidR="00187DF9">
        <w:rPr>
          <w:rFonts w:ascii="Times New Roman" w:hAnsi="Times New Roman" w:cs="Times New Roman"/>
          <w:sz w:val="24"/>
          <w:szCs w:val="24"/>
        </w:rPr>
        <w:t xml:space="preserve"> - che l’impresa deve notificare e che sono dunque</w:t>
      </w:r>
      <w:r w:rsidR="00280450">
        <w:rPr>
          <w:rFonts w:ascii="Times New Roman" w:hAnsi="Times New Roman" w:cs="Times New Roman"/>
          <w:sz w:val="24"/>
          <w:szCs w:val="24"/>
        </w:rPr>
        <w:t xml:space="preserve"> </w:t>
      </w:r>
      <w:r w:rsidR="00E41F3A">
        <w:rPr>
          <w:rFonts w:ascii="Times New Roman" w:hAnsi="Times New Roman" w:cs="Times New Roman"/>
          <w:sz w:val="24"/>
          <w:szCs w:val="24"/>
        </w:rPr>
        <w:t xml:space="preserve">rilevanti </w:t>
      </w:r>
      <w:r>
        <w:rPr>
          <w:rFonts w:ascii="Times New Roman" w:hAnsi="Times New Roman" w:cs="Times New Roman"/>
          <w:sz w:val="24"/>
          <w:szCs w:val="24"/>
        </w:rPr>
        <w:t>a giustificazione del</w:t>
      </w:r>
      <w:r w:rsidR="00E41F3A">
        <w:rPr>
          <w:rFonts w:ascii="Times New Roman" w:hAnsi="Times New Roman" w:cs="Times New Roman"/>
          <w:sz w:val="24"/>
          <w:szCs w:val="24"/>
        </w:rPr>
        <w:t xml:space="preserve">l’esercizio </w:t>
      </w:r>
      <w:r w:rsidR="00190743">
        <w:rPr>
          <w:rFonts w:ascii="Times New Roman" w:hAnsi="Times New Roman" w:cs="Times New Roman"/>
          <w:sz w:val="24"/>
          <w:szCs w:val="24"/>
        </w:rPr>
        <w:t>dei poteri speciali</w:t>
      </w:r>
      <w:r w:rsidR="00280450">
        <w:rPr>
          <w:rFonts w:ascii="Times New Roman" w:hAnsi="Times New Roman" w:cs="Times New Roman"/>
          <w:sz w:val="24"/>
          <w:szCs w:val="24"/>
        </w:rPr>
        <w:t>, se è vero che</w:t>
      </w:r>
      <w:r w:rsidR="00E41F3A">
        <w:rPr>
          <w:rFonts w:ascii="Times New Roman" w:hAnsi="Times New Roman" w:cs="Times New Roman"/>
          <w:sz w:val="24"/>
          <w:szCs w:val="24"/>
        </w:rPr>
        <w:t xml:space="preserve"> la formula legislativa </w:t>
      </w:r>
      <w:r w:rsidR="008A0F93">
        <w:rPr>
          <w:rFonts w:ascii="Times New Roman" w:hAnsi="Times New Roman" w:cs="Times New Roman"/>
          <w:sz w:val="24"/>
          <w:szCs w:val="24"/>
        </w:rPr>
        <w:t xml:space="preserve">ricomprende delibere, atti od operazioni che abbiano per effetto modifiche della </w:t>
      </w:r>
      <w:r w:rsidR="008A0F93">
        <w:rPr>
          <w:rFonts w:ascii="Times New Roman" w:hAnsi="Times New Roman" w:cs="Times New Roman"/>
          <w:sz w:val="24"/>
          <w:szCs w:val="24"/>
        </w:rPr>
        <w:lastRenderedPageBreak/>
        <w:t>titolarità, del controllo o della disponibilità degli attivi,</w:t>
      </w:r>
      <w:r>
        <w:rPr>
          <w:rFonts w:ascii="Times New Roman" w:hAnsi="Times New Roman" w:cs="Times New Roman"/>
          <w:sz w:val="24"/>
          <w:szCs w:val="24"/>
        </w:rPr>
        <w:t xml:space="preserve"> </w:t>
      </w:r>
      <w:r w:rsidR="008A0F93">
        <w:rPr>
          <w:rFonts w:ascii="Times New Roman" w:hAnsi="Times New Roman" w:cs="Times New Roman"/>
          <w:sz w:val="24"/>
          <w:szCs w:val="24"/>
        </w:rPr>
        <w:t>come tali</w:t>
      </w:r>
      <w:r>
        <w:rPr>
          <w:rFonts w:ascii="Times New Roman" w:hAnsi="Times New Roman" w:cs="Times New Roman"/>
          <w:sz w:val="24"/>
          <w:szCs w:val="24"/>
        </w:rPr>
        <w:t xml:space="preserve"> </w:t>
      </w:r>
      <w:r w:rsidR="00190743">
        <w:rPr>
          <w:rFonts w:ascii="Times New Roman" w:hAnsi="Times New Roman" w:cs="Times New Roman"/>
          <w:sz w:val="24"/>
          <w:szCs w:val="24"/>
        </w:rPr>
        <w:t xml:space="preserve">sia </w:t>
      </w:r>
      <w:proofErr w:type="spellStart"/>
      <w:r>
        <w:rPr>
          <w:rFonts w:ascii="Times New Roman" w:hAnsi="Times New Roman" w:cs="Times New Roman"/>
          <w:sz w:val="24"/>
          <w:szCs w:val="24"/>
        </w:rPr>
        <w:t>dismissivi</w:t>
      </w:r>
      <w:proofErr w:type="spellEnd"/>
      <w:r>
        <w:rPr>
          <w:rFonts w:ascii="Times New Roman" w:hAnsi="Times New Roman" w:cs="Times New Roman"/>
          <w:sz w:val="24"/>
          <w:szCs w:val="24"/>
        </w:rPr>
        <w:t xml:space="preserve"> </w:t>
      </w:r>
      <w:r w:rsidR="00190743">
        <w:rPr>
          <w:rFonts w:ascii="Times New Roman" w:hAnsi="Times New Roman" w:cs="Times New Roman"/>
          <w:sz w:val="24"/>
          <w:szCs w:val="24"/>
        </w:rPr>
        <w:t>che</w:t>
      </w:r>
      <w:r>
        <w:rPr>
          <w:rFonts w:ascii="Times New Roman" w:hAnsi="Times New Roman" w:cs="Times New Roman"/>
          <w:sz w:val="24"/>
          <w:szCs w:val="24"/>
        </w:rPr>
        <w:t xml:space="preserve"> acquisitivi; </w:t>
      </w:r>
      <w:r w:rsidR="008A0F93">
        <w:rPr>
          <w:rFonts w:ascii="Times New Roman" w:hAnsi="Times New Roman" w:cs="Times New Roman"/>
          <w:sz w:val="24"/>
          <w:szCs w:val="24"/>
        </w:rPr>
        <w:t>agli artt. 1 e 2 si</w:t>
      </w:r>
      <w:r w:rsidR="00E41F3A">
        <w:rPr>
          <w:rFonts w:ascii="Times New Roman" w:hAnsi="Times New Roman" w:cs="Times New Roman"/>
          <w:sz w:val="24"/>
          <w:szCs w:val="24"/>
        </w:rPr>
        <w:t xml:space="preserve"> </w:t>
      </w:r>
      <w:r>
        <w:rPr>
          <w:rFonts w:ascii="Times New Roman" w:hAnsi="Times New Roman" w:cs="Times New Roman"/>
          <w:sz w:val="24"/>
          <w:szCs w:val="24"/>
        </w:rPr>
        <w:t>menziona</w:t>
      </w:r>
      <w:r w:rsidR="008A0F93">
        <w:rPr>
          <w:rFonts w:ascii="Times New Roman" w:hAnsi="Times New Roman" w:cs="Times New Roman"/>
          <w:sz w:val="24"/>
          <w:szCs w:val="24"/>
        </w:rPr>
        <w:t>no</w:t>
      </w:r>
      <w:r>
        <w:rPr>
          <w:rFonts w:ascii="Times New Roman" w:hAnsi="Times New Roman" w:cs="Times New Roman"/>
          <w:sz w:val="24"/>
          <w:szCs w:val="24"/>
        </w:rPr>
        <w:t xml:space="preserve"> </w:t>
      </w:r>
      <w:r w:rsidR="008A0F93">
        <w:rPr>
          <w:rFonts w:ascii="Times New Roman" w:hAnsi="Times New Roman" w:cs="Times New Roman"/>
          <w:sz w:val="24"/>
          <w:szCs w:val="24"/>
        </w:rPr>
        <w:t>tra l’altro</w:t>
      </w:r>
      <w:r w:rsidR="00E41F3A">
        <w:rPr>
          <w:rFonts w:ascii="Times New Roman" w:hAnsi="Times New Roman" w:cs="Times New Roman"/>
          <w:sz w:val="24"/>
          <w:szCs w:val="24"/>
        </w:rPr>
        <w:t xml:space="preserve"> fusioni, scissioni, scioglimenti, </w:t>
      </w:r>
      <w:r w:rsidR="008A0F93">
        <w:rPr>
          <w:rFonts w:ascii="Times New Roman" w:hAnsi="Times New Roman" w:cs="Times New Roman"/>
          <w:sz w:val="24"/>
          <w:szCs w:val="24"/>
        </w:rPr>
        <w:t xml:space="preserve">modifiche dell’oggetto sociale, </w:t>
      </w:r>
      <w:r w:rsidR="00E41F3A">
        <w:rPr>
          <w:rFonts w:ascii="Times New Roman" w:hAnsi="Times New Roman" w:cs="Times New Roman"/>
          <w:sz w:val="24"/>
          <w:szCs w:val="24"/>
        </w:rPr>
        <w:t>trasferimenti della sede all’estero</w:t>
      </w:r>
      <w:r w:rsidR="008A0F93">
        <w:rPr>
          <w:rFonts w:ascii="Times New Roman" w:hAnsi="Times New Roman" w:cs="Times New Roman"/>
          <w:sz w:val="24"/>
          <w:szCs w:val="24"/>
        </w:rPr>
        <w:t>, cessioni di diritti reali o di utilizzo relative a beni materiali o immateriali.</w:t>
      </w:r>
    </w:p>
    <w:p w:rsidR="00C17306" w:rsidRDefault="00280450"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Negli ambiti e in presenza dei presupposti appena richiamati, i</w:t>
      </w:r>
      <w:r w:rsidR="0089362A">
        <w:rPr>
          <w:rFonts w:ascii="Times New Roman" w:hAnsi="Times New Roman" w:cs="Times New Roman"/>
          <w:sz w:val="24"/>
          <w:szCs w:val="24"/>
        </w:rPr>
        <w:t xml:space="preserve"> poteri a disposizione del Governo sono piuttosto articolati e vanno dal semplice non esercizio </w:t>
      </w:r>
      <w:r w:rsidR="00AB0954">
        <w:rPr>
          <w:rFonts w:ascii="Times New Roman" w:hAnsi="Times New Roman" w:cs="Times New Roman"/>
          <w:sz w:val="24"/>
          <w:szCs w:val="24"/>
        </w:rPr>
        <w:t>al non esercizio</w:t>
      </w:r>
      <w:r w:rsidR="0089362A">
        <w:rPr>
          <w:rFonts w:ascii="Times New Roman" w:hAnsi="Times New Roman" w:cs="Times New Roman"/>
          <w:sz w:val="24"/>
          <w:szCs w:val="24"/>
        </w:rPr>
        <w:t xml:space="preserve"> </w:t>
      </w:r>
      <w:r w:rsidR="00190743">
        <w:rPr>
          <w:rFonts w:ascii="Times New Roman" w:hAnsi="Times New Roman" w:cs="Times New Roman"/>
          <w:sz w:val="24"/>
          <w:szCs w:val="24"/>
        </w:rPr>
        <w:t xml:space="preserve">(ma) </w:t>
      </w:r>
      <w:r w:rsidR="0089362A">
        <w:rPr>
          <w:rFonts w:ascii="Times New Roman" w:hAnsi="Times New Roman" w:cs="Times New Roman"/>
          <w:sz w:val="24"/>
          <w:szCs w:val="24"/>
        </w:rPr>
        <w:t xml:space="preserve">accompagnato da raccomandazioni non vincolanti, </w:t>
      </w:r>
      <w:r w:rsidR="00AB0954">
        <w:rPr>
          <w:rFonts w:ascii="Times New Roman" w:hAnsi="Times New Roman" w:cs="Times New Roman"/>
          <w:sz w:val="24"/>
          <w:szCs w:val="24"/>
        </w:rPr>
        <w:t>all’esercizio</w:t>
      </w:r>
      <w:r w:rsidR="0089362A">
        <w:rPr>
          <w:rFonts w:ascii="Times New Roman" w:hAnsi="Times New Roman" w:cs="Times New Roman"/>
          <w:sz w:val="24"/>
          <w:szCs w:val="24"/>
        </w:rPr>
        <w:t xml:space="preserve"> mediante</w:t>
      </w:r>
      <w:r w:rsidR="00C17306">
        <w:rPr>
          <w:rFonts w:ascii="Times New Roman" w:hAnsi="Times New Roman" w:cs="Times New Roman"/>
          <w:sz w:val="24"/>
          <w:szCs w:val="24"/>
        </w:rPr>
        <w:t xml:space="preserve"> prescrizioni</w:t>
      </w:r>
      <w:r w:rsidR="0089362A">
        <w:rPr>
          <w:rFonts w:ascii="Times New Roman" w:hAnsi="Times New Roman" w:cs="Times New Roman"/>
          <w:sz w:val="24"/>
          <w:szCs w:val="24"/>
        </w:rPr>
        <w:t xml:space="preserve">, </w:t>
      </w:r>
      <w:r w:rsidR="006B4737">
        <w:rPr>
          <w:rFonts w:ascii="Times New Roman" w:hAnsi="Times New Roman" w:cs="Times New Roman"/>
          <w:sz w:val="24"/>
          <w:szCs w:val="24"/>
        </w:rPr>
        <w:t xml:space="preserve">recanti per lo più obblighi di </w:t>
      </w:r>
      <w:proofErr w:type="spellStart"/>
      <w:r w:rsidR="006B4737" w:rsidRPr="0076115B">
        <w:rPr>
          <w:rFonts w:ascii="Times New Roman" w:hAnsi="Times New Roman" w:cs="Times New Roman"/>
          <w:i/>
          <w:sz w:val="24"/>
          <w:szCs w:val="24"/>
        </w:rPr>
        <w:t>facere</w:t>
      </w:r>
      <w:proofErr w:type="spellEnd"/>
      <w:r w:rsidR="009624EA">
        <w:rPr>
          <w:rFonts w:ascii="Times New Roman" w:hAnsi="Times New Roman" w:cs="Times New Roman"/>
          <w:sz w:val="24"/>
          <w:szCs w:val="24"/>
        </w:rPr>
        <w:t xml:space="preserve"> il cui rispetto può essere soggetto ad un attento monitoraggio</w:t>
      </w:r>
      <w:r w:rsidR="00C87963">
        <w:rPr>
          <w:rFonts w:ascii="Times New Roman" w:hAnsi="Times New Roman" w:cs="Times New Roman"/>
          <w:sz w:val="24"/>
          <w:szCs w:val="24"/>
        </w:rPr>
        <w:t xml:space="preserve">, </w:t>
      </w:r>
      <w:r w:rsidR="0089362A">
        <w:rPr>
          <w:rFonts w:ascii="Times New Roman" w:hAnsi="Times New Roman" w:cs="Times New Roman"/>
          <w:sz w:val="24"/>
          <w:szCs w:val="24"/>
        </w:rPr>
        <w:t>oppure attraverso il</w:t>
      </w:r>
      <w:r w:rsidR="00C17306">
        <w:rPr>
          <w:rFonts w:ascii="Times New Roman" w:hAnsi="Times New Roman" w:cs="Times New Roman"/>
          <w:sz w:val="24"/>
          <w:szCs w:val="24"/>
        </w:rPr>
        <w:t xml:space="preserve"> veto</w:t>
      </w:r>
      <w:r w:rsidR="00C87963">
        <w:rPr>
          <w:rFonts w:ascii="Times New Roman" w:hAnsi="Times New Roman" w:cs="Times New Roman"/>
          <w:sz w:val="24"/>
          <w:szCs w:val="24"/>
        </w:rPr>
        <w:t xml:space="preserve"> </w:t>
      </w:r>
      <w:r w:rsidR="0089362A">
        <w:rPr>
          <w:rFonts w:ascii="Times New Roman" w:hAnsi="Times New Roman" w:cs="Times New Roman"/>
          <w:sz w:val="24"/>
          <w:szCs w:val="24"/>
        </w:rPr>
        <w:t>apposto al</w:t>
      </w:r>
      <w:r w:rsidR="00C87963">
        <w:rPr>
          <w:rFonts w:ascii="Times New Roman" w:hAnsi="Times New Roman" w:cs="Times New Roman"/>
          <w:sz w:val="24"/>
          <w:szCs w:val="24"/>
        </w:rPr>
        <w:t xml:space="preserve"> singolo atto </w:t>
      </w:r>
      <w:r w:rsidR="0089362A">
        <w:rPr>
          <w:rFonts w:ascii="Times New Roman" w:hAnsi="Times New Roman" w:cs="Times New Roman"/>
          <w:sz w:val="24"/>
          <w:szCs w:val="24"/>
        </w:rPr>
        <w:t xml:space="preserve">sino </w:t>
      </w:r>
      <w:r w:rsidR="00C87963">
        <w:rPr>
          <w:rFonts w:ascii="Times New Roman" w:hAnsi="Times New Roman" w:cs="Times New Roman"/>
          <w:sz w:val="24"/>
          <w:szCs w:val="24"/>
        </w:rPr>
        <w:t>all’opposizione all’acquisto della società target</w:t>
      </w:r>
      <w:r w:rsidR="00C17306">
        <w:rPr>
          <w:rFonts w:ascii="Times New Roman" w:hAnsi="Times New Roman" w:cs="Times New Roman"/>
          <w:sz w:val="24"/>
          <w:szCs w:val="24"/>
        </w:rPr>
        <w:t>.</w:t>
      </w:r>
      <w:r w:rsidR="006B4737">
        <w:rPr>
          <w:rFonts w:ascii="Times New Roman" w:hAnsi="Times New Roman" w:cs="Times New Roman"/>
          <w:sz w:val="24"/>
          <w:szCs w:val="24"/>
        </w:rPr>
        <w:t xml:space="preserve"> Veto e opposizione </w:t>
      </w:r>
      <w:r w:rsidR="0089362A">
        <w:rPr>
          <w:rFonts w:ascii="Times New Roman" w:hAnsi="Times New Roman" w:cs="Times New Roman"/>
          <w:sz w:val="24"/>
          <w:szCs w:val="24"/>
        </w:rPr>
        <w:t>sono indicati quali</w:t>
      </w:r>
      <w:r w:rsidR="006B4737">
        <w:rPr>
          <w:rFonts w:ascii="Times New Roman" w:hAnsi="Times New Roman" w:cs="Times New Roman"/>
          <w:sz w:val="24"/>
          <w:szCs w:val="24"/>
        </w:rPr>
        <w:t xml:space="preserve"> misure più invasive da attivare solo se le </w:t>
      </w:r>
      <w:r w:rsidR="0089362A">
        <w:rPr>
          <w:rFonts w:ascii="Times New Roman" w:hAnsi="Times New Roman" w:cs="Times New Roman"/>
          <w:sz w:val="24"/>
          <w:szCs w:val="24"/>
        </w:rPr>
        <w:t>prescrizioni</w:t>
      </w:r>
      <w:r w:rsidR="006B4737">
        <w:rPr>
          <w:rFonts w:ascii="Times New Roman" w:hAnsi="Times New Roman" w:cs="Times New Roman"/>
          <w:sz w:val="24"/>
          <w:szCs w:val="24"/>
        </w:rPr>
        <w:t xml:space="preserve"> non sono</w:t>
      </w:r>
      <w:r w:rsidR="0089362A">
        <w:rPr>
          <w:rFonts w:ascii="Times New Roman" w:hAnsi="Times New Roman" w:cs="Times New Roman"/>
          <w:sz w:val="24"/>
          <w:szCs w:val="24"/>
        </w:rPr>
        <w:t xml:space="preserve"> giudicate</w:t>
      </w:r>
      <w:r w:rsidR="006B4737">
        <w:rPr>
          <w:rFonts w:ascii="Times New Roman" w:hAnsi="Times New Roman" w:cs="Times New Roman"/>
          <w:sz w:val="24"/>
          <w:szCs w:val="24"/>
        </w:rPr>
        <w:t xml:space="preserve"> sufficienti.</w:t>
      </w:r>
    </w:p>
    <w:p w:rsidR="0089362A" w:rsidRDefault="0089362A"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Simili atti </w:t>
      </w:r>
      <w:r w:rsidR="00280450">
        <w:rPr>
          <w:rFonts w:ascii="Times New Roman" w:hAnsi="Times New Roman" w:cs="Times New Roman"/>
          <w:sz w:val="24"/>
          <w:szCs w:val="24"/>
        </w:rPr>
        <w:t>di esercizio</w:t>
      </w:r>
      <w:r w:rsidR="00AB0954">
        <w:rPr>
          <w:rFonts w:ascii="Times New Roman" w:hAnsi="Times New Roman" w:cs="Times New Roman"/>
          <w:sz w:val="24"/>
          <w:szCs w:val="24"/>
        </w:rPr>
        <w:t xml:space="preserve"> (o meno)</w:t>
      </w:r>
      <w:r w:rsidR="00280450">
        <w:rPr>
          <w:rFonts w:ascii="Times New Roman" w:hAnsi="Times New Roman" w:cs="Times New Roman"/>
          <w:sz w:val="24"/>
          <w:szCs w:val="24"/>
        </w:rPr>
        <w:t xml:space="preserve"> </w:t>
      </w:r>
      <w:r>
        <w:rPr>
          <w:rFonts w:ascii="Times New Roman" w:hAnsi="Times New Roman" w:cs="Times New Roman"/>
          <w:sz w:val="24"/>
          <w:szCs w:val="24"/>
        </w:rPr>
        <w:t xml:space="preserve">sono </w:t>
      </w:r>
      <w:r w:rsidR="00280450">
        <w:rPr>
          <w:rFonts w:ascii="Times New Roman" w:hAnsi="Times New Roman" w:cs="Times New Roman"/>
          <w:sz w:val="24"/>
          <w:szCs w:val="24"/>
        </w:rPr>
        <w:t>adottati</w:t>
      </w:r>
      <w:r>
        <w:rPr>
          <w:rFonts w:ascii="Times New Roman" w:hAnsi="Times New Roman" w:cs="Times New Roman"/>
          <w:sz w:val="24"/>
          <w:szCs w:val="24"/>
        </w:rPr>
        <w:t xml:space="preserve"> all’esito di un p</w:t>
      </w:r>
      <w:r w:rsidRPr="0089362A">
        <w:rPr>
          <w:rFonts w:ascii="Times New Roman" w:hAnsi="Times New Roman" w:cs="Times New Roman"/>
          <w:sz w:val="24"/>
          <w:szCs w:val="24"/>
        </w:rPr>
        <w:t>rocedimento</w:t>
      </w:r>
      <w:r w:rsidR="009429BF">
        <w:rPr>
          <w:rFonts w:ascii="Times New Roman" w:hAnsi="Times New Roman" w:cs="Times New Roman"/>
          <w:sz w:val="24"/>
          <w:szCs w:val="24"/>
        </w:rPr>
        <w:t xml:space="preserve">, </w:t>
      </w:r>
      <w:r w:rsidR="009429BF" w:rsidRPr="00C02E1C">
        <w:rPr>
          <w:rFonts w:ascii="Times New Roman" w:hAnsi="Times New Roman" w:cs="Times New Roman"/>
        </w:rPr>
        <w:t xml:space="preserve">disciplinato </w:t>
      </w:r>
      <w:r w:rsidR="009429BF">
        <w:rPr>
          <w:rFonts w:ascii="Times New Roman" w:hAnsi="Times New Roman" w:cs="Times New Roman"/>
        </w:rPr>
        <w:t xml:space="preserve">ora </w:t>
      </w:r>
      <w:r w:rsidR="009429BF" w:rsidRPr="00C02E1C">
        <w:rPr>
          <w:rFonts w:ascii="Times New Roman" w:hAnsi="Times New Roman" w:cs="Times New Roman"/>
        </w:rPr>
        <w:t xml:space="preserve">dal </w:t>
      </w:r>
      <w:proofErr w:type="spellStart"/>
      <w:r w:rsidR="009429BF" w:rsidRPr="00C02E1C">
        <w:rPr>
          <w:rFonts w:ascii="Times New Roman" w:hAnsi="Times New Roman" w:cs="Times New Roman"/>
        </w:rPr>
        <w:t>dPCM</w:t>
      </w:r>
      <w:proofErr w:type="spellEnd"/>
      <w:r w:rsidR="009429BF" w:rsidRPr="00C02E1C">
        <w:rPr>
          <w:rFonts w:ascii="Times New Roman" w:hAnsi="Times New Roman" w:cs="Times New Roman"/>
        </w:rPr>
        <w:t xml:space="preserve"> </w:t>
      </w:r>
      <w:r w:rsidR="009429BF" w:rsidRPr="009429BF">
        <w:rPr>
          <w:rFonts w:ascii="Times New Roman" w:hAnsi="Times New Roman" w:cs="Times New Roman"/>
          <w:sz w:val="24"/>
          <w:szCs w:val="24"/>
        </w:rPr>
        <w:t xml:space="preserve">1 agosto 2022, n. 133, </w:t>
      </w:r>
      <w:r>
        <w:rPr>
          <w:rFonts w:ascii="Times New Roman" w:hAnsi="Times New Roman" w:cs="Times New Roman"/>
          <w:sz w:val="24"/>
          <w:szCs w:val="24"/>
        </w:rPr>
        <w:t>che vede coinvolti numerosi soggetti, in particolare i ministeri interessati e soprattutto la Presidenza del Consiglio dei Ministri; quest’ultima svolge</w:t>
      </w:r>
      <w:r w:rsidR="005F1E23">
        <w:rPr>
          <w:rFonts w:ascii="Times New Roman" w:hAnsi="Times New Roman" w:cs="Times New Roman"/>
          <w:sz w:val="24"/>
          <w:szCs w:val="24"/>
        </w:rPr>
        <w:t>, anche attraverso la struttura del Gruppo di coordinamento istituita al proprio interno,</w:t>
      </w:r>
      <w:r>
        <w:rPr>
          <w:rFonts w:ascii="Times New Roman" w:hAnsi="Times New Roman" w:cs="Times New Roman"/>
          <w:sz w:val="24"/>
          <w:szCs w:val="24"/>
        </w:rPr>
        <w:t xml:space="preserve"> un ruolo </w:t>
      </w:r>
      <w:r w:rsidR="00D90067">
        <w:rPr>
          <w:rFonts w:ascii="Times New Roman" w:hAnsi="Times New Roman" w:cs="Times New Roman"/>
          <w:sz w:val="24"/>
          <w:szCs w:val="24"/>
        </w:rPr>
        <w:t>centrale</w:t>
      </w:r>
      <w:r>
        <w:rPr>
          <w:rFonts w:ascii="Times New Roman" w:hAnsi="Times New Roman" w:cs="Times New Roman"/>
          <w:sz w:val="24"/>
          <w:szCs w:val="24"/>
        </w:rPr>
        <w:t xml:space="preserve">, a differenza di quanto avveniva con la vecchia </w:t>
      </w:r>
      <w:proofErr w:type="spellStart"/>
      <w:r w:rsidRPr="005F1E23">
        <w:rPr>
          <w:rFonts w:ascii="Times New Roman" w:hAnsi="Times New Roman" w:cs="Times New Roman"/>
          <w:i/>
          <w:sz w:val="24"/>
          <w:szCs w:val="24"/>
        </w:rPr>
        <w:t>golden</w:t>
      </w:r>
      <w:proofErr w:type="spellEnd"/>
      <w:r w:rsidRPr="005F1E23">
        <w:rPr>
          <w:rFonts w:ascii="Times New Roman" w:hAnsi="Times New Roman" w:cs="Times New Roman"/>
          <w:i/>
          <w:sz w:val="24"/>
          <w:szCs w:val="24"/>
        </w:rPr>
        <w:t xml:space="preserve"> share</w:t>
      </w:r>
      <w:r>
        <w:rPr>
          <w:rFonts w:ascii="Times New Roman" w:hAnsi="Times New Roman" w:cs="Times New Roman"/>
          <w:sz w:val="24"/>
          <w:szCs w:val="24"/>
        </w:rPr>
        <w:t xml:space="preserve"> dove</w:t>
      </w:r>
      <w:r w:rsidR="00D90067">
        <w:rPr>
          <w:rFonts w:ascii="Times New Roman" w:hAnsi="Times New Roman" w:cs="Times New Roman"/>
          <w:sz w:val="24"/>
          <w:szCs w:val="24"/>
        </w:rPr>
        <w:t xml:space="preserve"> predominante era invece la posizione del Ministero dell’economia e delle finanze</w:t>
      </w:r>
      <w:r w:rsidR="005F1E23">
        <w:rPr>
          <w:rFonts w:ascii="Times New Roman" w:hAnsi="Times New Roman" w:cs="Times New Roman"/>
          <w:sz w:val="24"/>
          <w:szCs w:val="24"/>
        </w:rPr>
        <w:t xml:space="preserve"> (e prima del Ministero del Tesoro)</w:t>
      </w:r>
      <w:r w:rsidR="00D90067">
        <w:rPr>
          <w:rFonts w:ascii="Times New Roman" w:hAnsi="Times New Roman" w:cs="Times New Roman"/>
          <w:sz w:val="24"/>
          <w:szCs w:val="24"/>
        </w:rPr>
        <w:t>. La centralità della Presidenza si coglie sia</w:t>
      </w:r>
      <w:r>
        <w:rPr>
          <w:rFonts w:ascii="Times New Roman" w:hAnsi="Times New Roman" w:cs="Times New Roman"/>
          <w:sz w:val="24"/>
          <w:szCs w:val="24"/>
        </w:rPr>
        <w:t xml:space="preserve"> nella definizione delle regole</w:t>
      </w:r>
      <w:r w:rsidR="00730EEF">
        <w:rPr>
          <w:rFonts w:ascii="Times New Roman" w:hAnsi="Times New Roman" w:cs="Times New Roman"/>
          <w:sz w:val="24"/>
          <w:szCs w:val="24"/>
        </w:rPr>
        <w:t xml:space="preserve"> e nella individuazione degli </w:t>
      </w:r>
      <w:proofErr w:type="spellStart"/>
      <w:r w:rsidR="00730EEF">
        <w:rPr>
          <w:rFonts w:ascii="Times New Roman" w:hAnsi="Times New Roman" w:cs="Times New Roman"/>
          <w:sz w:val="24"/>
          <w:szCs w:val="24"/>
        </w:rPr>
        <w:t>asset</w:t>
      </w:r>
      <w:proofErr w:type="spellEnd"/>
      <w:r w:rsidR="00730EEF">
        <w:rPr>
          <w:rFonts w:ascii="Times New Roman" w:hAnsi="Times New Roman" w:cs="Times New Roman"/>
          <w:sz w:val="24"/>
          <w:szCs w:val="24"/>
        </w:rPr>
        <w:t xml:space="preserve"> strategici</w:t>
      </w:r>
      <w:r>
        <w:rPr>
          <w:rFonts w:ascii="Times New Roman" w:hAnsi="Times New Roman" w:cs="Times New Roman"/>
          <w:sz w:val="24"/>
          <w:szCs w:val="24"/>
        </w:rPr>
        <w:t xml:space="preserve">, attraverso i </w:t>
      </w:r>
      <w:proofErr w:type="spellStart"/>
      <w:r w:rsidR="00D90067">
        <w:rPr>
          <w:rFonts w:ascii="Times New Roman" w:hAnsi="Times New Roman" w:cs="Times New Roman"/>
          <w:sz w:val="24"/>
          <w:szCs w:val="24"/>
        </w:rPr>
        <w:t>dpcm</w:t>
      </w:r>
      <w:proofErr w:type="spellEnd"/>
      <w:r w:rsidR="00D90067">
        <w:rPr>
          <w:rFonts w:ascii="Times New Roman" w:hAnsi="Times New Roman" w:cs="Times New Roman"/>
          <w:sz w:val="24"/>
          <w:szCs w:val="24"/>
        </w:rPr>
        <w:t>, che nella loro applicazione ed è anche il riflesso del ruolo che più in generale la Presidenza e il Presidente del Consiglio dei Ministri son</w:t>
      </w:r>
      <w:r w:rsidR="00B52337">
        <w:rPr>
          <w:rFonts w:ascii="Times New Roman" w:hAnsi="Times New Roman" w:cs="Times New Roman"/>
          <w:sz w:val="24"/>
          <w:szCs w:val="24"/>
        </w:rPr>
        <w:t>o venuti assumendo negli ultimi</w:t>
      </w:r>
      <w:r w:rsidR="00280450">
        <w:rPr>
          <w:rFonts w:ascii="Times New Roman" w:hAnsi="Times New Roman" w:cs="Times New Roman"/>
          <w:sz w:val="24"/>
          <w:szCs w:val="24"/>
        </w:rPr>
        <w:t xml:space="preserve"> </w:t>
      </w:r>
      <w:r w:rsidR="00D90067">
        <w:rPr>
          <w:rFonts w:ascii="Times New Roman" w:hAnsi="Times New Roman" w:cs="Times New Roman"/>
          <w:sz w:val="24"/>
          <w:szCs w:val="24"/>
        </w:rPr>
        <w:t xml:space="preserve">decenni, quale principale </w:t>
      </w:r>
      <w:r w:rsidR="00280450">
        <w:rPr>
          <w:rFonts w:ascii="Times New Roman" w:hAnsi="Times New Roman" w:cs="Times New Roman"/>
          <w:sz w:val="24"/>
          <w:szCs w:val="24"/>
        </w:rPr>
        <w:t>punto</w:t>
      </w:r>
      <w:r w:rsidR="00D90067">
        <w:rPr>
          <w:rFonts w:ascii="Times New Roman" w:hAnsi="Times New Roman" w:cs="Times New Roman"/>
          <w:sz w:val="24"/>
          <w:szCs w:val="24"/>
        </w:rPr>
        <w:t xml:space="preserve"> di raccordo</w:t>
      </w:r>
      <w:r w:rsidR="00B52337">
        <w:rPr>
          <w:rFonts w:ascii="Times New Roman" w:hAnsi="Times New Roman" w:cs="Times New Roman"/>
          <w:sz w:val="24"/>
          <w:szCs w:val="24"/>
        </w:rPr>
        <w:t>, luogo di intersezione,</w:t>
      </w:r>
      <w:r w:rsidR="00D90067">
        <w:rPr>
          <w:rFonts w:ascii="Times New Roman" w:hAnsi="Times New Roman" w:cs="Times New Roman"/>
          <w:sz w:val="24"/>
          <w:szCs w:val="24"/>
        </w:rPr>
        <w:t xml:space="preserve"> </w:t>
      </w:r>
      <w:r w:rsidR="00B52337">
        <w:rPr>
          <w:rFonts w:ascii="Times New Roman" w:hAnsi="Times New Roman" w:cs="Times New Roman"/>
          <w:sz w:val="24"/>
          <w:szCs w:val="24"/>
        </w:rPr>
        <w:t>di tutti i livelli di governo, sovranazionale, nazionale, regionale</w:t>
      </w:r>
      <w:r w:rsidR="00D90067">
        <w:rPr>
          <w:rFonts w:ascii="Times New Roman" w:hAnsi="Times New Roman" w:cs="Times New Roman"/>
          <w:sz w:val="24"/>
          <w:szCs w:val="24"/>
        </w:rPr>
        <w:t>.</w:t>
      </w:r>
    </w:p>
    <w:p w:rsidR="0089362A" w:rsidRDefault="00D90067"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procedimento</w:t>
      </w:r>
      <w:r w:rsidR="00596FCB">
        <w:rPr>
          <w:rFonts w:ascii="Times New Roman" w:hAnsi="Times New Roman" w:cs="Times New Roman"/>
          <w:sz w:val="24"/>
          <w:szCs w:val="24"/>
        </w:rPr>
        <w:t>, che</w:t>
      </w:r>
      <w:r w:rsidR="005F1E23">
        <w:rPr>
          <w:rFonts w:ascii="Times New Roman" w:hAnsi="Times New Roman" w:cs="Times New Roman"/>
          <w:sz w:val="24"/>
          <w:szCs w:val="24"/>
        </w:rPr>
        <w:t xml:space="preserve"> ha tratti peculiari</w:t>
      </w:r>
      <w:r w:rsidR="00596FCB">
        <w:rPr>
          <w:rFonts w:ascii="Times New Roman" w:hAnsi="Times New Roman" w:cs="Times New Roman"/>
          <w:sz w:val="24"/>
          <w:szCs w:val="24"/>
        </w:rPr>
        <w:t xml:space="preserve">, </w:t>
      </w:r>
      <w:r>
        <w:rPr>
          <w:rFonts w:ascii="Times New Roman" w:hAnsi="Times New Roman" w:cs="Times New Roman"/>
          <w:sz w:val="24"/>
          <w:szCs w:val="24"/>
        </w:rPr>
        <w:t xml:space="preserve">si </w:t>
      </w:r>
      <w:r w:rsidR="005F1E23">
        <w:rPr>
          <w:rFonts w:ascii="Times New Roman" w:hAnsi="Times New Roman" w:cs="Times New Roman"/>
          <w:sz w:val="24"/>
          <w:szCs w:val="24"/>
        </w:rPr>
        <w:t xml:space="preserve">articola in una fase istruttoria </w:t>
      </w:r>
      <w:r>
        <w:rPr>
          <w:rFonts w:ascii="Times New Roman" w:hAnsi="Times New Roman" w:cs="Times New Roman"/>
          <w:sz w:val="24"/>
          <w:szCs w:val="24"/>
        </w:rPr>
        <w:t>affidata a tecn</w:t>
      </w:r>
      <w:r w:rsidR="00190743">
        <w:rPr>
          <w:rFonts w:ascii="Times New Roman" w:hAnsi="Times New Roman" w:cs="Times New Roman"/>
          <w:sz w:val="24"/>
          <w:szCs w:val="24"/>
        </w:rPr>
        <w:t>ici, ossia funzionari pubblici</w:t>
      </w:r>
      <w:r w:rsidR="005F1E23">
        <w:rPr>
          <w:rFonts w:ascii="Times New Roman" w:hAnsi="Times New Roman" w:cs="Times New Roman"/>
          <w:sz w:val="24"/>
          <w:szCs w:val="24"/>
        </w:rPr>
        <w:t xml:space="preserve"> della Presidenza e dei vari ministeri</w:t>
      </w:r>
      <w:r w:rsidR="00190743">
        <w:rPr>
          <w:rFonts w:ascii="Times New Roman" w:hAnsi="Times New Roman" w:cs="Times New Roman"/>
          <w:sz w:val="24"/>
          <w:szCs w:val="24"/>
        </w:rPr>
        <w:t>,</w:t>
      </w:r>
      <w:r w:rsidR="004F1318">
        <w:rPr>
          <w:rFonts w:ascii="Times New Roman" w:hAnsi="Times New Roman" w:cs="Times New Roman"/>
          <w:sz w:val="24"/>
          <w:szCs w:val="24"/>
        </w:rPr>
        <w:t xml:space="preserve"> connotata</w:t>
      </w:r>
      <w:r w:rsidR="007A47FD">
        <w:rPr>
          <w:rFonts w:ascii="Times New Roman" w:hAnsi="Times New Roman" w:cs="Times New Roman"/>
          <w:sz w:val="24"/>
          <w:szCs w:val="24"/>
        </w:rPr>
        <w:t xml:space="preserve"> almeno inizialmente</w:t>
      </w:r>
      <w:r w:rsidR="004F1318">
        <w:rPr>
          <w:rFonts w:ascii="Times New Roman" w:hAnsi="Times New Roman" w:cs="Times New Roman"/>
          <w:sz w:val="24"/>
          <w:szCs w:val="24"/>
        </w:rPr>
        <w:t xml:space="preserve"> da un forte livello di riservatezza</w:t>
      </w:r>
      <w:r>
        <w:rPr>
          <w:rFonts w:ascii="Times New Roman" w:hAnsi="Times New Roman" w:cs="Times New Roman"/>
          <w:sz w:val="24"/>
          <w:szCs w:val="24"/>
        </w:rPr>
        <w:t xml:space="preserve"> </w:t>
      </w:r>
      <w:r w:rsidR="005F1E23">
        <w:rPr>
          <w:rFonts w:ascii="Times New Roman" w:hAnsi="Times New Roman" w:cs="Times New Roman"/>
          <w:sz w:val="24"/>
          <w:szCs w:val="24"/>
        </w:rPr>
        <w:t xml:space="preserve">e in una fase decisoria che – quantomeno per i casi di esercizio dei poteri speciali - è </w:t>
      </w:r>
      <w:r>
        <w:rPr>
          <w:rFonts w:ascii="Times New Roman" w:hAnsi="Times New Roman" w:cs="Times New Roman"/>
          <w:sz w:val="24"/>
          <w:szCs w:val="24"/>
        </w:rPr>
        <w:t>sottratta al</w:t>
      </w:r>
      <w:r w:rsidR="005F1E23">
        <w:rPr>
          <w:rFonts w:ascii="Times New Roman" w:hAnsi="Times New Roman" w:cs="Times New Roman"/>
          <w:sz w:val="24"/>
          <w:szCs w:val="24"/>
        </w:rPr>
        <w:t>la dirigenza amministrativa e</w:t>
      </w:r>
      <w:r>
        <w:rPr>
          <w:rFonts w:ascii="Times New Roman" w:hAnsi="Times New Roman" w:cs="Times New Roman"/>
          <w:sz w:val="24"/>
          <w:szCs w:val="24"/>
        </w:rPr>
        <w:t xml:space="preserve"> riservata direttamente al livello politico </w:t>
      </w:r>
      <w:r w:rsidR="005F1E23">
        <w:rPr>
          <w:rFonts w:ascii="Times New Roman" w:hAnsi="Times New Roman" w:cs="Times New Roman"/>
          <w:sz w:val="24"/>
          <w:szCs w:val="24"/>
        </w:rPr>
        <w:t>al suo massimo grado</w:t>
      </w:r>
      <w:r>
        <w:rPr>
          <w:rFonts w:ascii="Times New Roman" w:hAnsi="Times New Roman" w:cs="Times New Roman"/>
          <w:sz w:val="24"/>
          <w:szCs w:val="24"/>
        </w:rPr>
        <w:t>, derogando ai principi sulla separazione tra politica ed amministrazione nell’attività amministrativa affermatisi come sappiamo all’inizio degli anni ’90</w:t>
      </w:r>
      <w:r w:rsidR="00FF1007">
        <w:rPr>
          <w:rFonts w:ascii="Times New Roman" w:hAnsi="Times New Roman" w:cs="Times New Roman"/>
          <w:sz w:val="24"/>
          <w:szCs w:val="24"/>
        </w:rPr>
        <w:t xml:space="preserve"> del secolo scorso</w:t>
      </w:r>
      <w:r>
        <w:rPr>
          <w:rFonts w:ascii="Times New Roman" w:hAnsi="Times New Roman" w:cs="Times New Roman"/>
          <w:sz w:val="24"/>
          <w:szCs w:val="24"/>
        </w:rPr>
        <w:t xml:space="preserve">. Di qui, alimentati anche da tale deroga oltre che da altre ragioni, gli interrogativi circa la </w:t>
      </w:r>
      <w:r w:rsidR="0076754A">
        <w:rPr>
          <w:rFonts w:ascii="Times New Roman" w:hAnsi="Times New Roman" w:cs="Times New Roman"/>
          <w:sz w:val="24"/>
          <w:szCs w:val="24"/>
        </w:rPr>
        <w:t xml:space="preserve">reale </w:t>
      </w:r>
      <w:r>
        <w:rPr>
          <w:rFonts w:ascii="Times New Roman" w:hAnsi="Times New Roman" w:cs="Times New Roman"/>
          <w:sz w:val="24"/>
          <w:szCs w:val="24"/>
        </w:rPr>
        <w:t xml:space="preserve">natura dei poteri e degli atti di </w:t>
      </w:r>
      <w:proofErr w:type="spellStart"/>
      <w:r w:rsidRPr="0076754A">
        <w:rPr>
          <w:rFonts w:ascii="Times New Roman" w:hAnsi="Times New Roman" w:cs="Times New Roman"/>
          <w:i/>
          <w:sz w:val="24"/>
          <w:szCs w:val="24"/>
        </w:rPr>
        <w:t>golden</w:t>
      </w:r>
      <w:proofErr w:type="spellEnd"/>
      <w:r w:rsidRPr="0076754A">
        <w:rPr>
          <w:rFonts w:ascii="Times New Roman" w:hAnsi="Times New Roman" w:cs="Times New Roman"/>
          <w:i/>
          <w:sz w:val="24"/>
          <w:szCs w:val="24"/>
        </w:rPr>
        <w:t xml:space="preserve"> </w:t>
      </w:r>
      <w:proofErr w:type="spellStart"/>
      <w:r w:rsidRPr="0076754A">
        <w:rPr>
          <w:rFonts w:ascii="Times New Roman" w:hAnsi="Times New Roman" w:cs="Times New Roman"/>
          <w:i/>
          <w:sz w:val="24"/>
          <w:szCs w:val="24"/>
        </w:rPr>
        <w:t>power</w:t>
      </w:r>
      <w:proofErr w:type="spellEnd"/>
      <w:r>
        <w:rPr>
          <w:rFonts w:ascii="Times New Roman" w:hAnsi="Times New Roman" w:cs="Times New Roman"/>
          <w:sz w:val="24"/>
          <w:szCs w:val="24"/>
        </w:rPr>
        <w:t>.</w:t>
      </w:r>
      <w:r w:rsidR="003C188B">
        <w:rPr>
          <w:rFonts w:ascii="Times New Roman" w:hAnsi="Times New Roman" w:cs="Times New Roman"/>
          <w:sz w:val="24"/>
          <w:szCs w:val="24"/>
        </w:rPr>
        <w:t xml:space="preserve"> </w:t>
      </w:r>
    </w:p>
    <w:p w:rsidR="00AB0954" w:rsidRDefault="00280450"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Le principali attenzioni</w:t>
      </w:r>
      <w:r w:rsidR="00AB0954">
        <w:rPr>
          <w:rFonts w:ascii="Times New Roman" w:hAnsi="Times New Roman" w:cs="Times New Roman"/>
          <w:sz w:val="24"/>
          <w:szCs w:val="24"/>
        </w:rPr>
        <w:t xml:space="preserve"> investono il nodo della natura politica o amministrativa dei poteri </w:t>
      </w:r>
      <w:r w:rsidR="00190743">
        <w:rPr>
          <w:rFonts w:ascii="Times New Roman" w:hAnsi="Times New Roman" w:cs="Times New Roman"/>
          <w:sz w:val="24"/>
          <w:szCs w:val="24"/>
        </w:rPr>
        <w:t>speciali</w:t>
      </w:r>
      <w:r w:rsidR="00AB0954">
        <w:rPr>
          <w:rFonts w:ascii="Times New Roman" w:hAnsi="Times New Roman" w:cs="Times New Roman"/>
          <w:sz w:val="24"/>
          <w:szCs w:val="24"/>
        </w:rPr>
        <w:t xml:space="preserve"> e sono certamente influenzate dal dato di diritto positivo per cui l’atto finale è un decreto del Presidente del Consiglio dei Ministri adottato su conforme deliberazione del Consiglio dei Ministri. </w:t>
      </w:r>
      <w:r w:rsidR="00AB0954">
        <w:rPr>
          <w:rFonts w:ascii="Times New Roman" w:hAnsi="Times New Roman" w:cs="Times New Roman"/>
          <w:sz w:val="24"/>
          <w:szCs w:val="24"/>
        </w:rPr>
        <w:lastRenderedPageBreak/>
        <w:t xml:space="preserve">La previsione della </w:t>
      </w:r>
      <w:proofErr w:type="spellStart"/>
      <w:r w:rsidR="00AB0954">
        <w:rPr>
          <w:rFonts w:ascii="Times New Roman" w:hAnsi="Times New Roman" w:cs="Times New Roman"/>
          <w:sz w:val="24"/>
          <w:szCs w:val="24"/>
        </w:rPr>
        <w:t>giustiziabilità</w:t>
      </w:r>
      <w:proofErr w:type="spellEnd"/>
      <w:r w:rsidR="00AB0954">
        <w:rPr>
          <w:rFonts w:ascii="Times New Roman" w:hAnsi="Times New Roman" w:cs="Times New Roman"/>
          <w:sz w:val="24"/>
          <w:szCs w:val="24"/>
        </w:rPr>
        <w:t xml:space="preserve"> di tale a</w:t>
      </w:r>
      <w:r w:rsidR="0076754A">
        <w:rPr>
          <w:rFonts w:ascii="Times New Roman" w:hAnsi="Times New Roman" w:cs="Times New Roman"/>
          <w:sz w:val="24"/>
          <w:szCs w:val="24"/>
        </w:rPr>
        <w:t>tto,</w:t>
      </w:r>
      <w:r w:rsidR="00190743">
        <w:rPr>
          <w:rFonts w:ascii="Times New Roman" w:hAnsi="Times New Roman" w:cs="Times New Roman"/>
          <w:sz w:val="24"/>
          <w:szCs w:val="24"/>
        </w:rPr>
        <w:t xml:space="preserve"> </w:t>
      </w:r>
      <w:r w:rsidR="00AB0954">
        <w:rPr>
          <w:rFonts w:ascii="Times New Roman" w:hAnsi="Times New Roman" w:cs="Times New Roman"/>
          <w:sz w:val="24"/>
          <w:szCs w:val="24"/>
        </w:rPr>
        <w:t>obbligata</w:t>
      </w:r>
      <w:r w:rsidR="0076754A">
        <w:rPr>
          <w:rFonts w:ascii="Times New Roman" w:hAnsi="Times New Roman" w:cs="Times New Roman"/>
          <w:sz w:val="24"/>
          <w:szCs w:val="24"/>
        </w:rPr>
        <w:t xml:space="preserve"> anche</w:t>
      </w:r>
      <w:r w:rsidR="00AB0954">
        <w:rPr>
          <w:rFonts w:ascii="Times New Roman" w:hAnsi="Times New Roman" w:cs="Times New Roman"/>
          <w:sz w:val="24"/>
          <w:szCs w:val="24"/>
        </w:rPr>
        <w:t xml:space="preserve"> sulla scorta </w:t>
      </w:r>
      <w:r w:rsidR="00B74F89">
        <w:rPr>
          <w:rFonts w:ascii="Times New Roman" w:hAnsi="Times New Roman" w:cs="Times New Roman"/>
          <w:sz w:val="24"/>
          <w:szCs w:val="24"/>
        </w:rPr>
        <w:t xml:space="preserve">ora </w:t>
      </w:r>
      <w:r w:rsidR="00AB0954">
        <w:rPr>
          <w:rFonts w:ascii="Times New Roman" w:hAnsi="Times New Roman" w:cs="Times New Roman"/>
          <w:sz w:val="24"/>
          <w:szCs w:val="24"/>
        </w:rPr>
        <w:t>del Regolamento europeo, contribuisce tuttavia a far propendere pr</w:t>
      </w:r>
      <w:r w:rsidR="0076754A">
        <w:rPr>
          <w:rFonts w:ascii="Times New Roman" w:hAnsi="Times New Roman" w:cs="Times New Roman"/>
          <w:sz w:val="24"/>
          <w:szCs w:val="24"/>
        </w:rPr>
        <w:t>essoché tutti i commenti per la</w:t>
      </w:r>
      <w:r w:rsidR="00AB0954">
        <w:rPr>
          <w:rFonts w:ascii="Times New Roman" w:hAnsi="Times New Roman" w:cs="Times New Roman"/>
          <w:sz w:val="24"/>
          <w:szCs w:val="24"/>
        </w:rPr>
        <w:t xml:space="preserve"> natura amministrativa, sebbene nella variante dell’atto di alta amministrazione ed enfatizzandone i </w:t>
      </w:r>
      <w:r w:rsidR="0076754A">
        <w:rPr>
          <w:rFonts w:ascii="Times New Roman" w:hAnsi="Times New Roman" w:cs="Times New Roman"/>
          <w:sz w:val="24"/>
          <w:szCs w:val="24"/>
        </w:rPr>
        <w:t>profili</w:t>
      </w:r>
      <w:r w:rsidR="00AB0954">
        <w:rPr>
          <w:rFonts w:ascii="Times New Roman" w:hAnsi="Times New Roman" w:cs="Times New Roman"/>
          <w:sz w:val="24"/>
          <w:szCs w:val="24"/>
        </w:rPr>
        <w:t xml:space="preserve"> di </w:t>
      </w:r>
      <w:r w:rsidR="0076754A">
        <w:rPr>
          <w:rFonts w:ascii="Times New Roman" w:hAnsi="Times New Roman" w:cs="Times New Roman"/>
          <w:sz w:val="24"/>
          <w:szCs w:val="24"/>
        </w:rPr>
        <w:t xml:space="preserve">ampia </w:t>
      </w:r>
      <w:r w:rsidR="00AB0954">
        <w:rPr>
          <w:rFonts w:ascii="Times New Roman" w:hAnsi="Times New Roman" w:cs="Times New Roman"/>
          <w:sz w:val="24"/>
          <w:szCs w:val="24"/>
        </w:rPr>
        <w:t xml:space="preserve">discrezionalità. </w:t>
      </w:r>
      <w:r w:rsidR="00306C96">
        <w:rPr>
          <w:rFonts w:ascii="Times New Roman" w:hAnsi="Times New Roman" w:cs="Times New Roman"/>
          <w:sz w:val="24"/>
          <w:szCs w:val="24"/>
        </w:rPr>
        <w:t>Come si vedrà nel prosieguo, la formula</w:t>
      </w:r>
      <w:r w:rsidR="00573135">
        <w:rPr>
          <w:rFonts w:ascii="Times New Roman" w:hAnsi="Times New Roman" w:cs="Times New Roman"/>
          <w:sz w:val="24"/>
          <w:szCs w:val="24"/>
        </w:rPr>
        <w:t xml:space="preserve">, a tratti </w:t>
      </w:r>
      <w:r w:rsidR="00136CBB">
        <w:rPr>
          <w:rFonts w:ascii="Times New Roman" w:hAnsi="Times New Roman" w:cs="Times New Roman"/>
          <w:sz w:val="24"/>
          <w:szCs w:val="24"/>
        </w:rPr>
        <w:t>incerta</w:t>
      </w:r>
      <w:r w:rsidR="00573135">
        <w:rPr>
          <w:rFonts w:ascii="Times New Roman" w:hAnsi="Times New Roman" w:cs="Times New Roman"/>
          <w:sz w:val="24"/>
          <w:szCs w:val="24"/>
        </w:rPr>
        <w:t xml:space="preserve"> e reticente,</w:t>
      </w:r>
      <w:r w:rsidR="00306C96">
        <w:rPr>
          <w:rFonts w:ascii="Times New Roman" w:hAnsi="Times New Roman" w:cs="Times New Roman"/>
          <w:sz w:val="24"/>
          <w:szCs w:val="24"/>
        </w:rPr>
        <w:t xml:space="preserve"> dell’atto di alta amministrazione non vale peraltro ad allontanare del tutto </w:t>
      </w:r>
      <w:r w:rsidR="00190743">
        <w:rPr>
          <w:rFonts w:ascii="Times New Roman" w:hAnsi="Times New Roman" w:cs="Times New Roman"/>
          <w:sz w:val="24"/>
          <w:szCs w:val="24"/>
        </w:rPr>
        <w:t>dal</w:t>
      </w:r>
      <w:r w:rsidR="00306C96">
        <w:rPr>
          <w:rFonts w:ascii="Times New Roman" w:hAnsi="Times New Roman" w:cs="Times New Roman"/>
          <w:sz w:val="24"/>
          <w:szCs w:val="24"/>
        </w:rPr>
        <w:t xml:space="preserve">l’orizzonte </w:t>
      </w:r>
      <w:r w:rsidR="00190743">
        <w:rPr>
          <w:rFonts w:ascii="Times New Roman" w:hAnsi="Times New Roman" w:cs="Times New Roman"/>
          <w:sz w:val="24"/>
          <w:szCs w:val="24"/>
        </w:rPr>
        <w:t xml:space="preserve">dell’interprete la figura (o il fantasma) </w:t>
      </w:r>
      <w:r w:rsidR="00306C96">
        <w:rPr>
          <w:rFonts w:ascii="Times New Roman" w:hAnsi="Times New Roman" w:cs="Times New Roman"/>
          <w:sz w:val="24"/>
          <w:szCs w:val="24"/>
        </w:rPr>
        <w:t>dell’atto politico.</w:t>
      </w:r>
    </w:p>
    <w:p w:rsidR="00AB0954" w:rsidRDefault="00306C96"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Meno indagata e</w:t>
      </w:r>
      <w:r w:rsidR="00AB0954">
        <w:rPr>
          <w:rFonts w:ascii="Times New Roman" w:hAnsi="Times New Roman" w:cs="Times New Roman"/>
          <w:sz w:val="24"/>
          <w:szCs w:val="24"/>
        </w:rPr>
        <w:t xml:space="preserve"> più incerta è </w:t>
      </w:r>
      <w:r>
        <w:rPr>
          <w:rFonts w:ascii="Times New Roman" w:hAnsi="Times New Roman" w:cs="Times New Roman"/>
          <w:sz w:val="24"/>
          <w:szCs w:val="24"/>
        </w:rPr>
        <w:t xml:space="preserve">la questione dell’inquadramento dei poteri e dei procedimenti del </w:t>
      </w:r>
      <w:proofErr w:type="spellStart"/>
      <w:r w:rsidRPr="0076754A">
        <w:rPr>
          <w:rFonts w:ascii="Times New Roman" w:hAnsi="Times New Roman" w:cs="Times New Roman"/>
          <w:i/>
          <w:sz w:val="24"/>
          <w:szCs w:val="24"/>
        </w:rPr>
        <w:t>golden</w:t>
      </w:r>
      <w:proofErr w:type="spellEnd"/>
      <w:r w:rsidRPr="0076754A">
        <w:rPr>
          <w:rFonts w:ascii="Times New Roman" w:hAnsi="Times New Roman" w:cs="Times New Roman"/>
          <w:i/>
          <w:sz w:val="24"/>
          <w:szCs w:val="24"/>
        </w:rPr>
        <w:t xml:space="preserve"> </w:t>
      </w:r>
      <w:proofErr w:type="spellStart"/>
      <w:r w:rsidRPr="0076754A">
        <w:rPr>
          <w:rFonts w:ascii="Times New Roman" w:hAnsi="Times New Roman" w:cs="Times New Roman"/>
          <w:i/>
          <w:sz w:val="24"/>
          <w:szCs w:val="24"/>
        </w:rPr>
        <w:t>power</w:t>
      </w:r>
      <w:proofErr w:type="spellEnd"/>
      <w:r>
        <w:rPr>
          <w:rFonts w:ascii="Times New Roman" w:hAnsi="Times New Roman" w:cs="Times New Roman"/>
          <w:sz w:val="24"/>
          <w:szCs w:val="24"/>
        </w:rPr>
        <w:t xml:space="preserve"> secondo le tassonomie e gli schemi del nostro di</w:t>
      </w:r>
      <w:r w:rsidR="00FF1007">
        <w:rPr>
          <w:rFonts w:ascii="Times New Roman" w:hAnsi="Times New Roman" w:cs="Times New Roman"/>
          <w:sz w:val="24"/>
          <w:szCs w:val="24"/>
        </w:rPr>
        <w:t>ritto amministrativo</w:t>
      </w:r>
      <w:r>
        <w:rPr>
          <w:rFonts w:ascii="Times New Roman" w:hAnsi="Times New Roman" w:cs="Times New Roman"/>
          <w:sz w:val="24"/>
          <w:szCs w:val="24"/>
        </w:rPr>
        <w:t xml:space="preserve">. </w:t>
      </w:r>
      <w:r w:rsidR="0076754A">
        <w:rPr>
          <w:rFonts w:ascii="Times New Roman" w:hAnsi="Times New Roman" w:cs="Times New Roman"/>
          <w:sz w:val="24"/>
          <w:szCs w:val="24"/>
        </w:rPr>
        <w:t>Taluni aspetti farebbero propendere per lo</w:t>
      </w:r>
      <w:r>
        <w:rPr>
          <w:rFonts w:ascii="Times New Roman" w:hAnsi="Times New Roman" w:cs="Times New Roman"/>
          <w:sz w:val="24"/>
          <w:szCs w:val="24"/>
        </w:rPr>
        <w:t xml:space="preserve"> schema del potere </w:t>
      </w:r>
      <w:proofErr w:type="spellStart"/>
      <w:r>
        <w:rPr>
          <w:rFonts w:ascii="Times New Roman" w:hAnsi="Times New Roman" w:cs="Times New Roman"/>
          <w:sz w:val="24"/>
          <w:szCs w:val="24"/>
        </w:rPr>
        <w:t>autorizzatorio</w:t>
      </w:r>
      <w:proofErr w:type="spellEnd"/>
      <w:r w:rsidR="0076754A">
        <w:rPr>
          <w:rFonts w:ascii="Times New Roman" w:hAnsi="Times New Roman" w:cs="Times New Roman"/>
          <w:sz w:val="24"/>
          <w:szCs w:val="24"/>
        </w:rPr>
        <w:t>, altri per quello del potere</w:t>
      </w:r>
      <w:r>
        <w:rPr>
          <w:rFonts w:ascii="Times New Roman" w:hAnsi="Times New Roman" w:cs="Times New Roman"/>
          <w:sz w:val="24"/>
          <w:szCs w:val="24"/>
        </w:rPr>
        <w:t xml:space="preserve"> ablatorio.</w:t>
      </w:r>
      <w:r w:rsidR="00296926">
        <w:rPr>
          <w:rFonts w:ascii="Times New Roman" w:hAnsi="Times New Roman" w:cs="Times New Roman"/>
          <w:sz w:val="24"/>
          <w:szCs w:val="24"/>
        </w:rPr>
        <w:t xml:space="preserve"> Questo perché la disciplina del </w:t>
      </w:r>
      <w:proofErr w:type="spellStart"/>
      <w:r w:rsidR="00296926">
        <w:rPr>
          <w:rFonts w:ascii="Times New Roman" w:hAnsi="Times New Roman" w:cs="Times New Roman"/>
          <w:sz w:val="24"/>
          <w:szCs w:val="24"/>
        </w:rPr>
        <w:t>d.l.</w:t>
      </w:r>
      <w:proofErr w:type="spellEnd"/>
      <w:r w:rsidR="00296926">
        <w:rPr>
          <w:rFonts w:ascii="Times New Roman" w:hAnsi="Times New Roman" w:cs="Times New Roman"/>
          <w:sz w:val="24"/>
          <w:szCs w:val="24"/>
        </w:rPr>
        <w:t xml:space="preserve"> 21 prevede da un lato un obbligo di notifica in capo all’impresa che intenda avviare un’operazione rilevante, simile </w:t>
      </w:r>
      <w:r w:rsidR="0076754A">
        <w:rPr>
          <w:rFonts w:ascii="Times New Roman" w:hAnsi="Times New Roman" w:cs="Times New Roman"/>
          <w:sz w:val="24"/>
          <w:szCs w:val="24"/>
        </w:rPr>
        <w:t>all’apparenza</w:t>
      </w:r>
      <w:r w:rsidR="00296926">
        <w:rPr>
          <w:rFonts w:ascii="Times New Roman" w:hAnsi="Times New Roman" w:cs="Times New Roman"/>
          <w:sz w:val="24"/>
          <w:szCs w:val="24"/>
        </w:rPr>
        <w:t xml:space="preserve"> ad una istanza di parte, sulla quale oltre tutto è previsto che si </w:t>
      </w:r>
      <w:r w:rsidR="0076754A">
        <w:rPr>
          <w:rFonts w:ascii="Times New Roman" w:hAnsi="Times New Roman" w:cs="Times New Roman"/>
          <w:sz w:val="24"/>
          <w:szCs w:val="24"/>
        </w:rPr>
        <w:t>possa formare</w:t>
      </w:r>
      <w:r w:rsidR="00296926">
        <w:rPr>
          <w:rFonts w:ascii="Times New Roman" w:hAnsi="Times New Roman" w:cs="Times New Roman"/>
          <w:sz w:val="24"/>
          <w:szCs w:val="24"/>
        </w:rPr>
        <w:t xml:space="preserve"> il silenzio-assenso; ma, dall’altro lato, </w:t>
      </w:r>
      <w:r w:rsidR="004F1318">
        <w:rPr>
          <w:rFonts w:ascii="Times New Roman" w:hAnsi="Times New Roman" w:cs="Times New Roman"/>
          <w:sz w:val="24"/>
          <w:szCs w:val="24"/>
        </w:rPr>
        <w:t>ha poi previsto</w:t>
      </w:r>
      <w:r w:rsidR="0076754A">
        <w:rPr>
          <w:rFonts w:ascii="Times New Roman" w:hAnsi="Times New Roman" w:cs="Times New Roman"/>
          <w:sz w:val="24"/>
          <w:szCs w:val="24"/>
        </w:rPr>
        <w:t xml:space="preserve"> che</w:t>
      </w:r>
      <w:r w:rsidR="00296926">
        <w:rPr>
          <w:rFonts w:ascii="Times New Roman" w:hAnsi="Times New Roman" w:cs="Times New Roman"/>
          <w:sz w:val="24"/>
          <w:szCs w:val="24"/>
        </w:rPr>
        <w:t xml:space="preserve"> i poteri speciali possano essere esercitati</w:t>
      </w:r>
      <w:r w:rsidR="004F1318">
        <w:rPr>
          <w:rFonts w:ascii="Times New Roman" w:hAnsi="Times New Roman" w:cs="Times New Roman"/>
          <w:sz w:val="24"/>
          <w:szCs w:val="24"/>
        </w:rPr>
        <w:t xml:space="preserve"> comunque anche</w:t>
      </w:r>
      <w:r w:rsidR="00296926">
        <w:rPr>
          <w:rFonts w:ascii="Times New Roman" w:hAnsi="Times New Roman" w:cs="Times New Roman"/>
          <w:sz w:val="24"/>
          <w:szCs w:val="24"/>
        </w:rPr>
        <w:t xml:space="preserve"> d’ufficio</w:t>
      </w:r>
      <w:r w:rsidR="00B74F89">
        <w:rPr>
          <w:rFonts w:ascii="Times New Roman" w:hAnsi="Times New Roman" w:cs="Times New Roman"/>
          <w:sz w:val="24"/>
          <w:szCs w:val="24"/>
        </w:rPr>
        <w:t>,</w:t>
      </w:r>
      <w:r w:rsidR="004F1318">
        <w:rPr>
          <w:rFonts w:ascii="Times New Roman" w:hAnsi="Times New Roman" w:cs="Times New Roman"/>
          <w:sz w:val="24"/>
          <w:szCs w:val="24"/>
        </w:rPr>
        <w:t xml:space="preserve"> in assenza della notifica,</w:t>
      </w:r>
      <w:r w:rsidR="00296926">
        <w:rPr>
          <w:rFonts w:ascii="Times New Roman" w:hAnsi="Times New Roman" w:cs="Times New Roman"/>
          <w:sz w:val="24"/>
          <w:szCs w:val="24"/>
        </w:rPr>
        <w:t xml:space="preserve"> la cui </w:t>
      </w:r>
      <w:r w:rsidR="00AC0985">
        <w:rPr>
          <w:rFonts w:ascii="Times New Roman" w:hAnsi="Times New Roman" w:cs="Times New Roman"/>
          <w:sz w:val="24"/>
          <w:szCs w:val="24"/>
        </w:rPr>
        <w:t>omessa presentazione</w:t>
      </w:r>
      <w:r w:rsidR="0076754A">
        <w:rPr>
          <w:rFonts w:ascii="Times New Roman" w:hAnsi="Times New Roman" w:cs="Times New Roman"/>
          <w:sz w:val="24"/>
          <w:szCs w:val="24"/>
        </w:rPr>
        <w:t xml:space="preserve"> integra</w:t>
      </w:r>
      <w:r w:rsidR="00296926">
        <w:rPr>
          <w:rFonts w:ascii="Times New Roman" w:hAnsi="Times New Roman" w:cs="Times New Roman"/>
          <w:sz w:val="24"/>
          <w:szCs w:val="24"/>
        </w:rPr>
        <w:t xml:space="preserve"> un illecito amministrativo e comporta l’assoggettamento ad una sanzione pecuniaria significativa. Nella prima prospettiva </w:t>
      </w:r>
      <w:r w:rsidR="004F1318">
        <w:rPr>
          <w:rFonts w:ascii="Times New Roman" w:hAnsi="Times New Roman" w:cs="Times New Roman"/>
          <w:sz w:val="24"/>
          <w:szCs w:val="24"/>
        </w:rPr>
        <w:t>vengono</w:t>
      </w:r>
      <w:r w:rsidR="00296926">
        <w:rPr>
          <w:rFonts w:ascii="Times New Roman" w:hAnsi="Times New Roman" w:cs="Times New Roman"/>
          <w:sz w:val="24"/>
          <w:szCs w:val="24"/>
        </w:rPr>
        <w:t xml:space="preserve"> in evidenza la libertà</w:t>
      </w:r>
      <w:r w:rsidR="0076754A">
        <w:rPr>
          <w:rFonts w:ascii="Times New Roman" w:hAnsi="Times New Roman" w:cs="Times New Roman"/>
          <w:sz w:val="24"/>
          <w:szCs w:val="24"/>
        </w:rPr>
        <w:t xml:space="preserve"> e i diritti</w:t>
      </w:r>
      <w:r w:rsidR="00296926">
        <w:rPr>
          <w:rFonts w:ascii="Times New Roman" w:hAnsi="Times New Roman" w:cs="Times New Roman"/>
          <w:sz w:val="24"/>
          <w:szCs w:val="24"/>
        </w:rPr>
        <w:t xml:space="preserve"> d’impresa di chi notifica</w:t>
      </w:r>
      <w:r w:rsidR="0076754A">
        <w:rPr>
          <w:rFonts w:ascii="Times New Roman" w:hAnsi="Times New Roman" w:cs="Times New Roman"/>
          <w:sz w:val="24"/>
          <w:szCs w:val="24"/>
        </w:rPr>
        <w:t>, sottoposti</w:t>
      </w:r>
      <w:r w:rsidR="00296926">
        <w:rPr>
          <w:rFonts w:ascii="Times New Roman" w:hAnsi="Times New Roman" w:cs="Times New Roman"/>
          <w:sz w:val="24"/>
          <w:szCs w:val="24"/>
        </w:rPr>
        <w:t xml:space="preserve"> a limitazioni che l’assenso espresso o il silenzio-assenso del Governo varrebbero a rimuovere,</w:t>
      </w:r>
      <w:r w:rsidR="00EF0F2B">
        <w:rPr>
          <w:rFonts w:ascii="Times New Roman" w:hAnsi="Times New Roman" w:cs="Times New Roman"/>
          <w:sz w:val="24"/>
          <w:szCs w:val="24"/>
        </w:rPr>
        <w:t xml:space="preserve"> in ultima analisi autorizzando, con o senza prescrizioni</w:t>
      </w:r>
      <w:r w:rsidR="006F7F13">
        <w:rPr>
          <w:rFonts w:ascii="Times New Roman" w:hAnsi="Times New Roman" w:cs="Times New Roman"/>
          <w:sz w:val="24"/>
          <w:szCs w:val="24"/>
        </w:rPr>
        <w:t xml:space="preserve"> o raccomandazioni</w:t>
      </w:r>
      <w:r w:rsidR="00EF0F2B">
        <w:rPr>
          <w:rFonts w:ascii="Times New Roman" w:hAnsi="Times New Roman" w:cs="Times New Roman"/>
          <w:sz w:val="24"/>
          <w:szCs w:val="24"/>
        </w:rPr>
        <w:t>,</w:t>
      </w:r>
      <w:r w:rsidR="00296926">
        <w:rPr>
          <w:rFonts w:ascii="Times New Roman" w:hAnsi="Times New Roman" w:cs="Times New Roman"/>
          <w:sz w:val="24"/>
          <w:szCs w:val="24"/>
        </w:rPr>
        <w:t xml:space="preserve"> l’attività</w:t>
      </w:r>
      <w:r w:rsidR="0076754A">
        <w:rPr>
          <w:rFonts w:ascii="Times New Roman" w:hAnsi="Times New Roman" w:cs="Times New Roman"/>
          <w:sz w:val="24"/>
          <w:szCs w:val="24"/>
        </w:rPr>
        <w:t xml:space="preserve"> economica che si vuole compiere</w:t>
      </w:r>
      <w:r w:rsidR="00296926">
        <w:rPr>
          <w:rFonts w:ascii="Times New Roman" w:hAnsi="Times New Roman" w:cs="Times New Roman"/>
          <w:sz w:val="24"/>
          <w:szCs w:val="24"/>
        </w:rPr>
        <w:t xml:space="preserve">. Mentre </w:t>
      </w:r>
      <w:r w:rsidR="0076754A">
        <w:rPr>
          <w:rFonts w:ascii="Times New Roman" w:hAnsi="Times New Roman" w:cs="Times New Roman"/>
          <w:sz w:val="24"/>
          <w:szCs w:val="24"/>
        </w:rPr>
        <w:t>nella seconda prospettiva è</w:t>
      </w:r>
      <w:r w:rsidR="00296926">
        <w:rPr>
          <w:rFonts w:ascii="Times New Roman" w:hAnsi="Times New Roman" w:cs="Times New Roman"/>
          <w:sz w:val="24"/>
          <w:szCs w:val="24"/>
        </w:rPr>
        <w:t xml:space="preserve"> marcato il profilo abla</w:t>
      </w:r>
      <w:r w:rsidR="0076754A">
        <w:rPr>
          <w:rFonts w:ascii="Times New Roman" w:hAnsi="Times New Roman" w:cs="Times New Roman"/>
          <w:sz w:val="24"/>
          <w:szCs w:val="24"/>
        </w:rPr>
        <w:t>torio della vicenda, a fronte del quale la posizione del privato è contrassegnata da obblighi e interessi legittimi di tipo oppositivo</w:t>
      </w:r>
      <w:r w:rsidR="009429BF">
        <w:rPr>
          <w:rStyle w:val="Rimandonotaapidipagina"/>
          <w:rFonts w:ascii="Times New Roman" w:hAnsi="Times New Roman" w:cs="Times New Roman"/>
          <w:sz w:val="24"/>
          <w:szCs w:val="24"/>
        </w:rPr>
        <w:t xml:space="preserve"> </w:t>
      </w:r>
      <w:r w:rsidR="00296926">
        <w:rPr>
          <w:rFonts w:ascii="Times New Roman" w:hAnsi="Times New Roman" w:cs="Times New Roman"/>
          <w:sz w:val="24"/>
          <w:szCs w:val="24"/>
        </w:rPr>
        <w:t>.</w:t>
      </w:r>
    </w:p>
    <w:p w:rsidR="00D46FEE" w:rsidRDefault="00D46FEE" w:rsidP="00B93432">
      <w:pPr>
        <w:spacing w:line="360" w:lineRule="auto"/>
        <w:ind w:firstLine="709"/>
        <w:jc w:val="both"/>
        <w:rPr>
          <w:rFonts w:ascii="Times New Roman" w:hAnsi="Times New Roman" w:cs="Times New Roman"/>
          <w:sz w:val="24"/>
          <w:szCs w:val="24"/>
        </w:rPr>
      </w:pPr>
    </w:p>
    <w:p w:rsidR="006D36CF" w:rsidRPr="00B93432" w:rsidRDefault="00B0517D" w:rsidP="00B93432">
      <w:pPr>
        <w:pStyle w:val="Paragrafoelenco"/>
        <w:numPr>
          <w:ilvl w:val="0"/>
          <w:numId w:val="10"/>
        </w:numPr>
        <w:spacing w:line="360" w:lineRule="auto"/>
        <w:jc w:val="both"/>
        <w:rPr>
          <w:rFonts w:ascii="Times New Roman" w:hAnsi="Times New Roman" w:cs="Times New Roman"/>
          <w:b/>
          <w:sz w:val="24"/>
          <w:szCs w:val="24"/>
        </w:rPr>
      </w:pPr>
      <w:r w:rsidRPr="00B93432">
        <w:rPr>
          <w:rFonts w:ascii="Times New Roman" w:hAnsi="Times New Roman" w:cs="Times New Roman"/>
          <w:b/>
          <w:sz w:val="24"/>
          <w:szCs w:val="24"/>
        </w:rPr>
        <w:t>L’applicazione della disciplina</w:t>
      </w:r>
    </w:p>
    <w:p w:rsidR="00EE3FF6" w:rsidRDefault="00B92322"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La normativa nazionale si inscrive in una tendenza degli stati membri dell’UE a stringere le maglie degli investimenti esteri e comunque a prevedere misure di controllo</w:t>
      </w:r>
      <w:r w:rsidR="00863428">
        <w:rPr>
          <w:rFonts w:ascii="Times New Roman" w:hAnsi="Times New Roman" w:cs="Times New Roman"/>
          <w:sz w:val="24"/>
          <w:szCs w:val="24"/>
        </w:rPr>
        <w:t>. Si è ricordato come la stessa Unione europea abbia mutato la propria impostazione di fondo e sia intervenuta con una disciplina di</w:t>
      </w:r>
      <w:r w:rsidR="00EE3FF6">
        <w:rPr>
          <w:rFonts w:ascii="Times New Roman" w:hAnsi="Times New Roman" w:cs="Times New Roman"/>
          <w:sz w:val="24"/>
          <w:szCs w:val="24"/>
        </w:rPr>
        <w:t xml:space="preserve"> coordinamento </w:t>
      </w:r>
      <w:r w:rsidR="00863428">
        <w:rPr>
          <w:rFonts w:ascii="Times New Roman" w:hAnsi="Times New Roman" w:cs="Times New Roman"/>
          <w:sz w:val="24"/>
          <w:szCs w:val="24"/>
        </w:rPr>
        <w:t>che presuppone le normative nazionali e che detta alcuni vincoli</w:t>
      </w:r>
      <w:r w:rsidR="00905DD1">
        <w:rPr>
          <w:rFonts w:ascii="Times New Roman" w:hAnsi="Times New Roman" w:cs="Times New Roman"/>
          <w:sz w:val="24"/>
          <w:szCs w:val="24"/>
        </w:rPr>
        <w:t>, che a breve potrebbero essere più stringenti</w:t>
      </w:r>
      <w:r w:rsidR="00863428">
        <w:rPr>
          <w:rFonts w:ascii="Times New Roman" w:hAnsi="Times New Roman" w:cs="Times New Roman"/>
          <w:sz w:val="24"/>
          <w:szCs w:val="24"/>
        </w:rPr>
        <w:t>. Uno di questi è dato dalla</w:t>
      </w:r>
      <w:r w:rsidR="00EE3FF6">
        <w:rPr>
          <w:rFonts w:ascii="Times New Roman" w:hAnsi="Times New Roman" w:cs="Times New Roman"/>
          <w:sz w:val="24"/>
          <w:szCs w:val="24"/>
        </w:rPr>
        <w:t xml:space="preserve"> </w:t>
      </w:r>
      <w:proofErr w:type="spellStart"/>
      <w:r w:rsidR="00EE3FF6">
        <w:rPr>
          <w:rFonts w:ascii="Times New Roman" w:hAnsi="Times New Roman" w:cs="Times New Roman"/>
          <w:sz w:val="24"/>
          <w:szCs w:val="24"/>
        </w:rPr>
        <w:t>giustiziabilità</w:t>
      </w:r>
      <w:proofErr w:type="spellEnd"/>
      <w:r w:rsidR="00EE3FF6">
        <w:rPr>
          <w:rFonts w:ascii="Times New Roman" w:hAnsi="Times New Roman" w:cs="Times New Roman"/>
          <w:sz w:val="24"/>
          <w:szCs w:val="24"/>
        </w:rPr>
        <w:t xml:space="preserve"> </w:t>
      </w:r>
      <w:r w:rsidR="00863428">
        <w:rPr>
          <w:rFonts w:ascii="Times New Roman" w:hAnsi="Times New Roman" w:cs="Times New Roman"/>
          <w:sz w:val="24"/>
          <w:szCs w:val="24"/>
        </w:rPr>
        <w:t>delle decisioni mediante le quali gli stati membri esercitano i loro poteri speciali</w:t>
      </w:r>
      <w:r w:rsidR="00EE3FF6">
        <w:rPr>
          <w:rFonts w:ascii="Times New Roman" w:hAnsi="Times New Roman" w:cs="Times New Roman"/>
          <w:sz w:val="24"/>
          <w:szCs w:val="24"/>
        </w:rPr>
        <w:t xml:space="preserve">, </w:t>
      </w:r>
      <w:r w:rsidR="00863428">
        <w:rPr>
          <w:rFonts w:ascii="Times New Roman" w:hAnsi="Times New Roman" w:cs="Times New Roman"/>
          <w:sz w:val="24"/>
          <w:szCs w:val="24"/>
        </w:rPr>
        <w:t>una garanzia che vale a differenziare il modello europeo da quello</w:t>
      </w:r>
      <w:r w:rsidR="00EE3FF6">
        <w:rPr>
          <w:rFonts w:ascii="Times New Roman" w:hAnsi="Times New Roman" w:cs="Times New Roman"/>
          <w:sz w:val="24"/>
          <w:szCs w:val="24"/>
        </w:rPr>
        <w:t xml:space="preserve"> statunitense</w:t>
      </w:r>
      <w:r w:rsidR="00863428">
        <w:rPr>
          <w:rFonts w:ascii="Times New Roman" w:hAnsi="Times New Roman" w:cs="Times New Roman"/>
          <w:sz w:val="24"/>
          <w:szCs w:val="24"/>
        </w:rPr>
        <w:t xml:space="preserve"> che, come noto, sottrae la materia al controllo giurisdizionale</w:t>
      </w:r>
      <w:r w:rsidR="00EE3FF6">
        <w:rPr>
          <w:rFonts w:ascii="Times New Roman" w:hAnsi="Times New Roman" w:cs="Times New Roman"/>
          <w:sz w:val="24"/>
          <w:szCs w:val="24"/>
        </w:rPr>
        <w:t>.</w:t>
      </w:r>
    </w:p>
    <w:p w:rsidR="00EE3FF6" w:rsidRPr="00BC6C60" w:rsidRDefault="00863428"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 normativa italiana, anche per i vincoli derivanti dalla nostra Costituzione, già prevedeva il sindacato giurisdizionale sul</w:t>
      </w:r>
      <w:r w:rsidR="00FF1007">
        <w:rPr>
          <w:rFonts w:ascii="Times New Roman" w:hAnsi="Times New Roman" w:cs="Times New Roman"/>
          <w:sz w:val="24"/>
          <w:szCs w:val="24"/>
        </w:rPr>
        <w:t>l’esercizio dei poteri speciali: l</w:t>
      </w:r>
      <w:r w:rsidR="00EE3FF6">
        <w:rPr>
          <w:rFonts w:ascii="Times New Roman" w:hAnsi="Times New Roman" w:cs="Times New Roman"/>
          <w:sz w:val="24"/>
          <w:szCs w:val="24"/>
        </w:rPr>
        <w:t xml:space="preserve">’art. 3 del </w:t>
      </w:r>
      <w:proofErr w:type="spellStart"/>
      <w:r w:rsidR="00EE3FF6">
        <w:rPr>
          <w:rFonts w:ascii="Times New Roman" w:hAnsi="Times New Roman" w:cs="Times New Roman"/>
          <w:sz w:val="24"/>
          <w:szCs w:val="24"/>
        </w:rPr>
        <w:t>d.l.</w:t>
      </w:r>
      <w:proofErr w:type="spellEnd"/>
      <w:r w:rsidR="00EE3FF6">
        <w:rPr>
          <w:rFonts w:ascii="Times New Roman" w:hAnsi="Times New Roman" w:cs="Times New Roman"/>
          <w:sz w:val="24"/>
          <w:szCs w:val="24"/>
        </w:rPr>
        <w:t xml:space="preserve"> 21/2012 </w:t>
      </w:r>
      <w:r w:rsidR="00AC0985">
        <w:rPr>
          <w:rFonts w:ascii="Times New Roman" w:hAnsi="Times New Roman" w:cs="Times New Roman"/>
          <w:sz w:val="24"/>
          <w:szCs w:val="24"/>
        </w:rPr>
        <w:t>intervenendo</w:t>
      </w:r>
      <w:r w:rsidR="00EE3FF6">
        <w:rPr>
          <w:rFonts w:ascii="Times New Roman" w:hAnsi="Times New Roman" w:cs="Times New Roman"/>
          <w:sz w:val="24"/>
          <w:szCs w:val="24"/>
        </w:rPr>
        <w:t xml:space="preserve"> sugli </w:t>
      </w:r>
      <w:r w:rsidR="00EE3FF6" w:rsidRPr="00BC6C60">
        <w:rPr>
          <w:rFonts w:ascii="Times New Roman" w:hAnsi="Times New Roman" w:cs="Times New Roman"/>
          <w:sz w:val="24"/>
          <w:szCs w:val="24"/>
        </w:rPr>
        <w:lastRenderedPageBreak/>
        <w:t xml:space="preserve">artt. 119, 133 e 135 </w:t>
      </w:r>
      <w:proofErr w:type="spellStart"/>
      <w:r w:rsidR="00EE3FF6" w:rsidRPr="00BC6C60">
        <w:rPr>
          <w:rFonts w:ascii="Times New Roman" w:hAnsi="Times New Roman" w:cs="Times New Roman"/>
          <w:sz w:val="24"/>
          <w:szCs w:val="24"/>
        </w:rPr>
        <w:t>c.p.a</w:t>
      </w:r>
      <w:proofErr w:type="spellEnd"/>
      <w:r w:rsidR="00EE3FF6" w:rsidRPr="00BC6C60">
        <w:rPr>
          <w:rFonts w:ascii="Times New Roman" w:hAnsi="Times New Roman" w:cs="Times New Roman"/>
          <w:sz w:val="24"/>
          <w:szCs w:val="24"/>
        </w:rPr>
        <w:t xml:space="preserve">. </w:t>
      </w:r>
      <w:r w:rsidR="00AC0985">
        <w:rPr>
          <w:rFonts w:ascii="Times New Roman" w:hAnsi="Times New Roman" w:cs="Times New Roman"/>
          <w:sz w:val="24"/>
          <w:szCs w:val="24"/>
        </w:rPr>
        <w:t xml:space="preserve">ha </w:t>
      </w:r>
      <w:r w:rsidR="00FF1007">
        <w:rPr>
          <w:rFonts w:ascii="Times New Roman" w:hAnsi="Times New Roman" w:cs="Times New Roman"/>
          <w:sz w:val="24"/>
          <w:szCs w:val="24"/>
        </w:rPr>
        <w:t xml:space="preserve">riservato </w:t>
      </w:r>
      <w:r w:rsidR="00EE3FF6">
        <w:rPr>
          <w:rFonts w:ascii="Times New Roman" w:hAnsi="Times New Roman" w:cs="Times New Roman"/>
          <w:sz w:val="24"/>
          <w:szCs w:val="24"/>
        </w:rPr>
        <w:t>le controversie relative all’esercizio dei poteri speciali</w:t>
      </w:r>
      <w:r w:rsidR="00FF1007">
        <w:rPr>
          <w:rFonts w:ascii="Times New Roman" w:hAnsi="Times New Roman" w:cs="Times New Roman"/>
          <w:sz w:val="24"/>
          <w:szCs w:val="24"/>
        </w:rPr>
        <w:t xml:space="preserve"> al giudice amministrativo, in sede di giurisdizione esclusiva, disponendo che</w:t>
      </w:r>
      <w:r w:rsidR="00EE3FF6">
        <w:rPr>
          <w:rFonts w:ascii="Times New Roman" w:hAnsi="Times New Roman" w:cs="Times New Roman"/>
          <w:sz w:val="24"/>
          <w:szCs w:val="24"/>
        </w:rPr>
        <w:t xml:space="preserve"> si applichi i</w:t>
      </w:r>
      <w:r w:rsidR="00FF1007">
        <w:rPr>
          <w:rFonts w:ascii="Times New Roman" w:hAnsi="Times New Roman" w:cs="Times New Roman"/>
          <w:sz w:val="24"/>
          <w:szCs w:val="24"/>
        </w:rPr>
        <w:t xml:space="preserve">l rito speciale dell’’art. 119 </w:t>
      </w:r>
      <w:r w:rsidR="00B74F89">
        <w:rPr>
          <w:rFonts w:ascii="Times New Roman" w:hAnsi="Times New Roman" w:cs="Times New Roman"/>
          <w:sz w:val="24"/>
          <w:szCs w:val="24"/>
        </w:rPr>
        <w:t>e</w:t>
      </w:r>
      <w:r w:rsidR="00EE3FF6" w:rsidRPr="00BC6C60">
        <w:rPr>
          <w:rFonts w:ascii="Times New Roman" w:hAnsi="Times New Roman" w:cs="Times New Roman"/>
          <w:sz w:val="24"/>
          <w:szCs w:val="24"/>
        </w:rPr>
        <w:t xml:space="preserve"> </w:t>
      </w:r>
      <w:r w:rsidR="00FF1007">
        <w:rPr>
          <w:rFonts w:ascii="Times New Roman" w:hAnsi="Times New Roman" w:cs="Times New Roman"/>
          <w:sz w:val="24"/>
          <w:szCs w:val="24"/>
        </w:rPr>
        <w:t xml:space="preserve">che tali controversie siano </w:t>
      </w:r>
      <w:r w:rsidR="00EE3FF6">
        <w:rPr>
          <w:rFonts w:ascii="Times New Roman" w:hAnsi="Times New Roman" w:cs="Times New Roman"/>
          <w:sz w:val="24"/>
          <w:szCs w:val="24"/>
        </w:rPr>
        <w:t xml:space="preserve">sottoposte in primo grado alla </w:t>
      </w:r>
      <w:r w:rsidR="00EE3FF6" w:rsidRPr="00BC6C60">
        <w:rPr>
          <w:rFonts w:ascii="Times New Roman" w:hAnsi="Times New Roman" w:cs="Times New Roman"/>
          <w:sz w:val="24"/>
          <w:szCs w:val="24"/>
        </w:rPr>
        <w:t xml:space="preserve">competenza inderogabile </w:t>
      </w:r>
      <w:r w:rsidR="00EE3FF6">
        <w:rPr>
          <w:rFonts w:ascii="Times New Roman" w:hAnsi="Times New Roman" w:cs="Times New Roman"/>
          <w:sz w:val="24"/>
          <w:szCs w:val="24"/>
        </w:rPr>
        <w:t xml:space="preserve">del Tar Lazio. </w:t>
      </w:r>
      <w:r w:rsidR="00EE3FF6" w:rsidRPr="00BC6C60">
        <w:rPr>
          <w:rFonts w:ascii="Times New Roman" w:hAnsi="Times New Roman" w:cs="Times New Roman"/>
          <w:sz w:val="24"/>
          <w:szCs w:val="24"/>
        </w:rPr>
        <w:t>C</w:t>
      </w:r>
      <w:r w:rsidR="00EE3FF6">
        <w:rPr>
          <w:rFonts w:ascii="Times New Roman" w:hAnsi="Times New Roman" w:cs="Times New Roman"/>
          <w:sz w:val="24"/>
          <w:szCs w:val="24"/>
        </w:rPr>
        <w:t xml:space="preserve">i si è interrogati, nell’analizzare queste previsioni, sulla loro </w:t>
      </w:r>
      <w:r>
        <w:rPr>
          <w:rFonts w:ascii="Times New Roman" w:hAnsi="Times New Roman" w:cs="Times New Roman"/>
          <w:sz w:val="24"/>
          <w:szCs w:val="24"/>
        </w:rPr>
        <w:t xml:space="preserve">effettiva </w:t>
      </w:r>
      <w:r w:rsidR="00EE3FF6">
        <w:rPr>
          <w:rFonts w:ascii="Times New Roman" w:hAnsi="Times New Roman" w:cs="Times New Roman"/>
          <w:sz w:val="24"/>
          <w:szCs w:val="24"/>
        </w:rPr>
        <w:t xml:space="preserve">utilità, muovendo </w:t>
      </w:r>
      <w:r w:rsidR="00353EB3">
        <w:rPr>
          <w:rFonts w:ascii="Times New Roman" w:hAnsi="Times New Roman" w:cs="Times New Roman"/>
          <w:sz w:val="24"/>
          <w:szCs w:val="24"/>
        </w:rPr>
        <w:t>dall’assunto</w:t>
      </w:r>
      <w:r w:rsidR="00EE3FF6">
        <w:rPr>
          <w:rFonts w:ascii="Times New Roman" w:hAnsi="Times New Roman" w:cs="Times New Roman"/>
          <w:sz w:val="24"/>
          <w:szCs w:val="24"/>
        </w:rPr>
        <w:t xml:space="preserve"> che in ogni caso, applicando il criterio di riparto ordinario, tali controversie sarebbe pur sempre spettate alla giurisdizione generale di legittimità</w:t>
      </w:r>
      <w:r w:rsidR="00FF1007">
        <w:rPr>
          <w:rFonts w:ascii="Times New Roman" w:hAnsi="Times New Roman" w:cs="Times New Roman"/>
          <w:sz w:val="24"/>
          <w:szCs w:val="24"/>
        </w:rPr>
        <w:t xml:space="preserve"> (del G.A.)</w:t>
      </w:r>
      <w:r w:rsidR="00EE3FF6">
        <w:rPr>
          <w:rFonts w:ascii="Times New Roman" w:hAnsi="Times New Roman" w:cs="Times New Roman"/>
          <w:sz w:val="24"/>
          <w:szCs w:val="24"/>
        </w:rPr>
        <w:t xml:space="preserve"> e a quel punto soggette al rito ordinario dinanzi al Tar competente per territorio. </w:t>
      </w:r>
      <w:r w:rsidR="004C5233">
        <w:rPr>
          <w:rFonts w:ascii="Times New Roman" w:hAnsi="Times New Roman" w:cs="Times New Roman"/>
          <w:sz w:val="24"/>
          <w:szCs w:val="24"/>
        </w:rPr>
        <w:t>E si è risposto che l</w:t>
      </w:r>
      <w:r w:rsidR="00EE3FF6">
        <w:rPr>
          <w:rFonts w:ascii="Times New Roman" w:hAnsi="Times New Roman" w:cs="Times New Roman"/>
          <w:sz w:val="24"/>
          <w:szCs w:val="24"/>
        </w:rPr>
        <w:t xml:space="preserve">a previsione della </w:t>
      </w:r>
      <w:r w:rsidR="00EE3FF6" w:rsidRPr="00BC6C60">
        <w:rPr>
          <w:rFonts w:ascii="Times New Roman" w:hAnsi="Times New Roman" w:cs="Times New Roman"/>
          <w:sz w:val="24"/>
          <w:szCs w:val="24"/>
        </w:rPr>
        <w:t xml:space="preserve">giurisdizione esclusiva, se a qualcosa serve, serve </w:t>
      </w:r>
      <w:r w:rsidR="00EE3FF6">
        <w:rPr>
          <w:rFonts w:ascii="Times New Roman" w:hAnsi="Times New Roman" w:cs="Times New Roman"/>
          <w:sz w:val="24"/>
          <w:szCs w:val="24"/>
        </w:rPr>
        <w:t>soprattutto (o solamente) ad estendere</w:t>
      </w:r>
      <w:r w:rsidR="00EE3FF6" w:rsidRPr="00BC6C60">
        <w:rPr>
          <w:rFonts w:ascii="Times New Roman" w:hAnsi="Times New Roman" w:cs="Times New Roman"/>
          <w:sz w:val="24"/>
          <w:szCs w:val="24"/>
        </w:rPr>
        <w:t xml:space="preserve"> il sindacato del </w:t>
      </w:r>
      <w:r w:rsidR="00EE3FF6">
        <w:rPr>
          <w:rFonts w:ascii="Times New Roman" w:hAnsi="Times New Roman" w:cs="Times New Roman"/>
          <w:sz w:val="24"/>
          <w:szCs w:val="24"/>
        </w:rPr>
        <w:t>giudice amministrativo</w:t>
      </w:r>
      <w:r w:rsidR="00EE3FF6" w:rsidRPr="00BC6C60">
        <w:rPr>
          <w:rFonts w:ascii="Times New Roman" w:hAnsi="Times New Roman" w:cs="Times New Roman"/>
          <w:sz w:val="24"/>
          <w:szCs w:val="24"/>
        </w:rPr>
        <w:t xml:space="preserve"> </w:t>
      </w:r>
      <w:r w:rsidR="00EE3FF6">
        <w:rPr>
          <w:rFonts w:ascii="Times New Roman" w:hAnsi="Times New Roman" w:cs="Times New Roman"/>
          <w:sz w:val="24"/>
          <w:szCs w:val="24"/>
        </w:rPr>
        <w:t>anche alle</w:t>
      </w:r>
      <w:r w:rsidR="00EE3FF6" w:rsidRPr="00BC6C60">
        <w:rPr>
          <w:rFonts w:ascii="Times New Roman" w:hAnsi="Times New Roman" w:cs="Times New Roman"/>
          <w:sz w:val="24"/>
          <w:szCs w:val="24"/>
        </w:rPr>
        <w:t xml:space="preserve"> sanzioni pecuniarie</w:t>
      </w:r>
      <w:r w:rsidR="00EE3FF6">
        <w:rPr>
          <w:rFonts w:ascii="Times New Roman" w:hAnsi="Times New Roman" w:cs="Times New Roman"/>
          <w:sz w:val="24"/>
          <w:szCs w:val="24"/>
        </w:rPr>
        <w:t>, per i veduti casi di violazione all’obbligo di notifica</w:t>
      </w:r>
      <w:r w:rsidR="00EE3FF6" w:rsidRPr="00BC6C60">
        <w:rPr>
          <w:rFonts w:ascii="Times New Roman" w:hAnsi="Times New Roman" w:cs="Times New Roman"/>
          <w:sz w:val="24"/>
          <w:szCs w:val="24"/>
        </w:rPr>
        <w:t>.</w:t>
      </w:r>
    </w:p>
    <w:p w:rsidR="00EE3FF6" w:rsidRPr="00BC6C60" w:rsidRDefault="00EE3FF6" w:rsidP="00B93432">
      <w:pPr>
        <w:spacing w:line="360" w:lineRule="auto"/>
        <w:ind w:firstLine="709"/>
        <w:jc w:val="both"/>
        <w:rPr>
          <w:rFonts w:ascii="Times New Roman" w:hAnsi="Times New Roman" w:cs="Times New Roman"/>
          <w:sz w:val="24"/>
          <w:szCs w:val="24"/>
        </w:rPr>
      </w:pPr>
      <w:r w:rsidRPr="00BC6C60">
        <w:rPr>
          <w:rFonts w:ascii="Times New Roman" w:hAnsi="Times New Roman" w:cs="Times New Roman"/>
          <w:sz w:val="24"/>
          <w:szCs w:val="24"/>
        </w:rPr>
        <w:t>La giurisdizione amministrativa copre</w:t>
      </w:r>
      <w:r>
        <w:rPr>
          <w:rFonts w:ascii="Times New Roman" w:hAnsi="Times New Roman" w:cs="Times New Roman"/>
          <w:sz w:val="24"/>
          <w:szCs w:val="24"/>
        </w:rPr>
        <w:t xml:space="preserve"> peraltro</w:t>
      </w:r>
      <w:r w:rsidRPr="00BC6C60">
        <w:rPr>
          <w:rFonts w:ascii="Times New Roman" w:hAnsi="Times New Roman" w:cs="Times New Roman"/>
          <w:sz w:val="24"/>
          <w:szCs w:val="24"/>
        </w:rPr>
        <w:t xml:space="preserve"> l</w:t>
      </w:r>
      <w:r>
        <w:rPr>
          <w:rFonts w:ascii="Times New Roman" w:hAnsi="Times New Roman" w:cs="Times New Roman"/>
          <w:sz w:val="24"/>
          <w:szCs w:val="24"/>
        </w:rPr>
        <w:t xml:space="preserve">’area </w:t>
      </w:r>
      <w:proofErr w:type="spellStart"/>
      <w:r>
        <w:rPr>
          <w:rFonts w:ascii="Times New Roman" w:hAnsi="Times New Roman" w:cs="Times New Roman"/>
          <w:sz w:val="24"/>
          <w:szCs w:val="24"/>
        </w:rPr>
        <w:t>provvedimentale</w:t>
      </w:r>
      <w:proofErr w:type="spellEnd"/>
      <w:r>
        <w:rPr>
          <w:rFonts w:ascii="Times New Roman" w:hAnsi="Times New Roman" w:cs="Times New Roman"/>
          <w:sz w:val="24"/>
          <w:szCs w:val="24"/>
        </w:rPr>
        <w:t xml:space="preserve"> della vicenda (poteri, </w:t>
      </w:r>
      <w:r w:rsidRPr="00BC6C60">
        <w:rPr>
          <w:rFonts w:ascii="Times New Roman" w:hAnsi="Times New Roman" w:cs="Times New Roman"/>
          <w:sz w:val="24"/>
          <w:szCs w:val="24"/>
        </w:rPr>
        <w:t>procedimenti</w:t>
      </w:r>
      <w:r>
        <w:rPr>
          <w:rFonts w:ascii="Times New Roman" w:hAnsi="Times New Roman" w:cs="Times New Roman"/>
          <w:sz w:val="24"/>
          <w:szCs w:val="24"/>
        </w:rPr>
        <w:t xml:space="preserve"> e atti</w:t>
      </w:r>
      <w:r w:rsidRPr="00BC6C60">
        <w:rPr>
          <w:rFonts w:ascii="Times New Roman" w:hAnsi="Times New Roman" w:cs="Times New Roman"/>
          <w:sz w:val="24"/>
          <w:szCs w:val="24"/>
        </w:rPr>
        <w:t>)</w:t>
      </w:r>
      <w:r>
        <w:rPr>
          <w:rFonts w:ascii="Times New Roman" w:hAnsi="Times New Roman" w:cs="Times New Roman"/>
          <w:sz w:val="24"/>
          <w:szCs w:val="24"/>
        </w:rPr>
        <w:t>,</w:t>
      </w:r>
      <w:r w:rsidRPr="00BC6C60">
        <w:rPr>
          <w:rFonts w:ascii="Times New Roman" w:hAnsi="Times New Roman" w:cs="Times New Roman"/>
          <w:sz w:val="24"/>
          <w:szCs w:val="24"/>
        </w:rPr>
        <w:t xml:space="preserve"> con l’aggiu</w:t>
      </w:r>
      <w:r>
        <w:rPr>
          <w:rFonts w:ascii="Times New Roman" w:hAnsi="Times New Roman" w:cs="Times New Roman"/>
          <w:sz w:val="24"/>
          <w:szCs w:val="24"/>
        </w:rPr>
        <w:t>nta delle sanzioni pecuniarie, ma n</w:t>
      </w:r>
      <w:r w:rsidRPr="00BC6C60">
        <w:rPr>
          <w:rFonts w:ascii="Times New Roman" w:hAnsi="Times New Roman" w:cs="Times New Roman"/>
          <w:sz w:val="24"/>
          <w:szCs w:val="24"/>
        </w:rPr>
        <w:t xml:space="preserve">on può ricomprendere </w:t>
      </w:r>
      <w:r>
        <w:rPr>
          <w:rFonts w:ascii="Times New Roman" w:hAnsi="Times New Roman" w:cs="Times New Roman"/>
          <w:sz w:val="24"/>
          <w:szCs w:val="24"/>
        </w:rPr>
        <w:t xml:space="preserve">anche </w:t>
      </w:r>
      <w:r w:rsidRPr="00BC6C60">
        <w:rPr>
          <w:rFonts w:ascii="Times New Roman" w:hAnsi="Times New Roman" w:cs="Times New Roman"/>
          <w:sz w:val="24"/>
          <w:szCs w:val="24"/>
        </w:rPr>
        <w:t xml:space="preserve">l’ambito delle invalidità privatistiche, previste </w:t>
      </w:r>
      <w:r w:rsidR="002D080F">
        <w:rPr>
          <w:rFonts w:ascii="Times New Roman" w:hAnsi="Times New Roman" w:cs="Times New Roman"/>
          <w:sz w:val="24"/>
          <w:szCs w:val="24"/>
        </w:rPr>
        <w:t xml:space="preserve">sempre </w:t>
      </w:r>
      <w:r w:rsidRPr="00BC6C60">
        <w:rPr>
          <w:rFonts w:ascii="Times New Roman" w:hAnsi="Times New Roman" w:cs="Times New Roman"/>
          <w:sz w:val="24"/>
          <w:szCs w:val="24"/>
        </w:rPr>
        <w:t xml:space="preserve">dal </w:t>
      </w:r>
      <w:proofErr w:type="spellStart"/>
      <w:r w:rsidRPr="00BC6C60">
        <w:rPr>
          <w:rFonts w:ascii="Times New Roman" w:hAnsi="Times New Roman" w:cs="Times New Roman"/>
          <w:sz w:val="24"/>
          <w:szCs w:val="24"/>
        </w:rPr>
        <w:t>d.l.</w:t>
      </w:r>
      <w:proofErr w:type="spellEnd"/>
      <w:r w:rsidRPr="00BC6C60">
        <w:rPr>
          <w:rFonts w:ascii="Times New Roman" w:hAnsi="Times New Roman" w:cs="Times New Roman"/>
          <w:sz w:val="24"/>
          <w:szCs w:val="24"/>
        </w:rPr>
        <w:t xml:space="preserve"> 21/12, quali la nullità degli atti societari, la sospensione del diritto di voto.</w:t>
      </w:r>
    </w:p>
    <w:p w:rsidR="00EE3FF6" w:rsidRDefault="002D080F"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Le</w:t>
      </w:r>
      <w:r w:rsidR="00EE3FF6" w:rsidRPr="00BC6C60">
        <w:rPr>
          <w:rFonts w:ascii="Times New Roman" w:hAnsi="Times New Roman" w:cs="Times New Roman"/>
          <w:sz w:val="24"/>
          <w:szCs w:val="24"/>
        </w:rPr>
        <w:t xml:space="preserve"> pronunce </w:t>
      </w:r>
      <w:r>
        <w:rPr>
          <w:rFonts w:ascii="Times New Roman" w:hAnsi="Times New Roman" w:cs="Times New Roman"/>
          <w:sz w:val="24"/>
          <w:szCs w:val="24"/>
        </w:rPr>
        <w:t>dei tribunali amministrativi regionali sono state poche</w:t>
      </w:r>
      <w:r w:rsidR="00EE3FF6" w:rsidRPr="00BC6C60">
        <w:rPr>
          <w:rFonts w:ascii="Times New Roman" w:hAnsi="Times New Roman" w:cs="Times New Roman"/>
          <w:sz w:val="24"/>
          <w:szCs w:val="24"/>
        </w:rPr>
        <w:t xml:space="preserve"> e pochissime</w:t>
      </w:r>
      <w:r w:rsidR="00EE3FF6">
        <w:rPr>
          <w:rFonts w:ascii="Times New Roman" w:hAnsi="Times New Roman" w:cs="Times New Roman"/>
          <w:sz w:val="24"/>
          <w:szCs w:val="24"/>
        </w:rPr>
        <w:t xml:space="preserve"> sinora</w:t>
      </w:r>
      <w:r w:rsidR="00EE3FF6" w:rsidRPr="00BC6C60">
        <w:rPr>
          <w:rFonts w:ascii="Times New Roman" w:hAnsi="Times New Roman" w:cs="Times New Roman"/>
          <w:sz w:val="24"/>
          <w:szCs w:val="24"/>
        </w:rPr>
        <w:t xml:space="preserve">, appena due, </w:t>
      </w:r>
      <w:r>
        <w:rPr>
          <w:rFonts w:ascii="Times New Roman" w:hAnsi="Times New Roman" w:cs="Times New Roman"/>
          <w:sz w:val="24"/>
          <w:szCs w:val="24"/>
        </w:rPr>
        <w:t>quelle</w:t>
      </w:r>
      <w:r w:rsidR="009429BF">
        <w:rPr>
          <w:rFonts w:ascii="Times New Roman" w:hAnsi="Times New Roman" w:cs="Times New Roman"/>
          <w:sz w:val="24"/>
          <w:szCs w:val="24"/>
        </w:rPr>
        <w:t xml:space="preserve"> </w:t>
      </w:r>
      <w:r w:rsidR="00EE3FF6" w:rsidRPr="00BC6C60">
        <w:rPr>
          <w:rFonts w:ascii="Times New Roman" w:hAnsi="Times New Roman" w:cs="Times New Roman"/>
          <w:sz w:val="24"/>
          <w:szCs w:val="24"/>
        </w:rPr>
        <w:t xml:space="preserve">del </w:t>
      </w:r>
      <w:r w:rsidR="00596FCB">
        <w:rPr>
          <w:rFonts w:ascii="Times New Roman" w:hAnsi="Times New Roman" w:cs="Times New Roman"/>
          <w:sz w:val="24"/>
          <w:szCs w:val="24"/>
        </w:rPr>
        <w:t>Consiglio di Stato</w:t>
      </w:r>
      <w:r w:rsidR="009429BF" w:rsidRPr="009429BF">
        <w:rPr>
          <w:rFonts w:ascii="Times New Roman" w:hAnsi="Times New Roman" w:cs="Times New Roman"/>
          <w:sz w:val="24"/>
          <w:szCs w:val="24"/>
        </w:rPr>
        <w:t xml:space="preserve"> </w:t>
      </w:r>
      <w:r w:rsidR="009429BF">
        <w:rPr>
          <w:rFonts w:ascii="Times New Roman" w:hAnsi="Times New Roman" w:cs="Times New Roman"/>
          <w:sz w:val="24"/>
          <w:szCs w:val="24"/>
        </w:rPr>
        <w:t>in sede giurisdizionale</w:t>
      </w:r>
      <w:r w:rsidR="00A26155">
        <w:rPr>
          <w:rFonts w:ascii="Times New Roman" w:hAnsi="Times New Roman" w:cs="Times New Roman"/>
          <w:sz w:val="24"/>
          <w:szCs w:val="24"/>
        </w:rPr>
        <w:t xml:space="preserve"> (alle quali debbono aggiungersi </w:t>
      </w:r>
      <w:r w:rsidR="00E5798D">
        <w:rPr>
          <w:rFonts w:ascii="Times New Roman" w:hAnsi="Times New Roman" w:cs="Times New Roman"/>
          <w:sz w:val="24"/>
          <w:szCs w:val="24"/>
        </w:rPr>
        <w:t>alcuni</w:t>
      </w:r>
      <w:r w:rsidR="00A26155">
        <w:rPr>
          <w:rFonts w:ascii="Times New Roman" w:hAnsi="Times New Roman" w:cs="Times New Roman"/>
          <w:sz w:val="24"/>
          <w:szCs w:val="24"/>
        </w:rPr>
        <w:t xml:space="preserve"> pareri resi dalla sez. I in sede di ricorso straordinario</w:t>
      </w:r>
      <w:r w:rsidR="00E5798D">
        <w:rPr>
          <w:rFonts w:ascii="Times New Roman" w:hAnsi="Times New Roman" w:cs="Times New Roman"/>
          <w:sz w:val="24"/>
          <w:szCs w:val="24"/>
        </w:rPr>
        <w:t>, sin qui tutti nel senso della reiezione dei ricorsi proposti</w:t>
      </w:r>
      <w:r w:rsidR="00A26155">
        <w:rPr>
          <w:rFonts w:ascii="Times New Roman" w:hAnsi="Times New Roman" w:cs="Times New Roman"/>
          <w:sz w:val="24"/>
          <w:szCs w:val="24"/>
        </w:rPr>
        <w:t>)</w:t>
      </w:r>
      <w:r w:rsidR="00596FCB">
        <w:rPr>
          <w:rFonts w:ascii="Times New Roman" w:hAnsi="Times New Roman" w:cs="Times New Roman"/>
          <w:sz w:val="24"/>
          <w:szCs w:val="24"/>
        </w:rPr>
        <w:t>.</w:t>
      </w:r>
      <w:r>
        <w:rPr>
          <w:rFonts w:ascii="Times New Roman" w:hAnsi="Times New Roman" w:cs="Times New Roman"/>
          <w:sz w:val="24"/>
          <w:szCs w:val="24"/>
        </w:rPr>
        <w:t xml:space="preserve"> C</w:t>
      </w:r>
      <w:r w:rsidR="00EE3FF6" w:rsidRPr="00BC6C60">
        <w:rPr>
          <w:rFonts w:ascii="Times New Roman" w:hAnsi="Times New Roman" w:cs="Times New Roman"/>
          <w:sz w:val="24"/>
          <w:szCs w:val="24"/>
        </w:rPr>
        <w:t xml:space="preserve">onseguenza del fatto </w:t>
      </w:r>
      <w:r>
        <w:rPr>
          <w:rFonts w:ascii="Times New Roman" w:hAnsi="Times New Roman" w:cs="Times New Roman"/>
          <w:sz w:val="24"/>
          <w:szCs w:val="24"/>
        </w:rPr>
        <w:t>che</w:t>
      </w:r>
      <w:r w:rsidR="00EE3FF6" w:rsidRPr="00BC6C60">
        <w:rPr>
          <w:rFonts w:ascii="Times New Roman" w:hAnsi="Times New Roman" w:cs="Times New Roman"/>
          <w:sz w:val="24"/>
          <w:szCs w:val="24"/>
        </w:rPr>
        <w:t xml:space="preserve"> le decisioni di </w:t>
      </w:r>
      <w:r w:rsidR="00EE3FF6">
        <w:rPr>
          <w:rFonts w:ascii="Times New Roman" w:hAnsi="Times New Roman" w:cs="Times New Roman"/>
          <w:sz w:val="24"/>
          <w:szCs w:val="24"/>
        </w:rPr>
        <w:t xml:space="preserve">esercizio sono state </w:t>
      </w:r>
      <w:r>
        <w:rPr>
          <w:rFonts w:ascii="Times New Roman" w:hAnsi="Times New Roman" w:cs="Times New Roman"/>
          <w:sz w:val="24"/>
          <w:szCs w:val="24"/>
        </w:rPr>
        <w:t xml:space="preserve">anch’esse </w:t>
      </w:r>
      <w:r w:rsidR="00B74F89">
        <w:rPr>
          <w:rFonts w:ascii="Times New Roman" w:hAnsi="Times New Roman" w:cs="Times New Roman"/>
          <w:sz w:val="24"/>
          <w:szCs w:val="24"/>
        </w:rPr>
        <w:t>limitate</w:t>
      </w:r>
      <w:r>
        <w:rPr>
          <w:rFonts w:ascii="Times New Roman" w:hAnsi="Times New Roman" w:cs="Times New Roman"/>
          <w:sz w:val="24"/>
          <w:szCs w:val="24"/>
        </w:rPr>
        <w:t xml:space="preserve"> e, tra queste, pochissime </w:t>
      </w:r>
      <w:r w:rsidR="00EE3FF6">
        <w:rPr>
          <w:rFonts w:ascii="Times New Roman" w:hAnsi="Times New Roman" w:cs="Times New Roman"/>
          <w:sz w:val="24"/>
          <w:szCs w:val="24"/>
        </w:rPr>
        <w:t>quelle di veto</w:t>
      </w:r>
      <w:r w:rsidR="00596FCB">
        <w:rPr>
          <w:rFonts w:ascii="Times New Roman" w:hAnsi="Times New Roman" w:cs="Times New Roman"/>
          <w:sz w:val="24"/>
          <w:szCs w:val="24"/>
        </w:rPr>
        <w:t>, con una medi</w:t>
      </w:r>
      <w:r w:rsidR="006D36CF">
        <w:rPr>
          <w:rFonts w:ascii="Times New Roman" w:hAnsi="Times New Roman" w:cs="Times New Roman"/>
          <w:sz w:val="24"/>
          <w:szCs w:val="24"/>
        </w:rPr>
        <w:t>a</w:t>
      </w:r>
      <w:r w:rsidR="00EE3FF6" w:rsidRPr="00BC6C60">
        <w:rPr>
          <w:rFonts w:ascii="Times New Roman" w:hAnsi="Times New Roman" w:cs="Times New Roman"/>
          <w:sz w:val="24"/>
          <w:szCs w:val="24"/>
        </w:rPr>
        <w:t xml:space="preserve"> </w:t>
      </w:r>
      <w:r w:rsidR="00596FCB">
        <w:rPr>
          <w:rFonts w:ascii="Times New Roman" w:hAnsi="Times New Roman" w:cs="Times New Roman"/>
          <w:sz w:val="24"/>
          <w:szCs w:val="24"/>
        </w:rPr>
        <w:t>di</w:t>
      </w:r>
      <w:r w:rsidR="00730EEF">
        <w:rPr>
          <w:rFonts w:ascii="Times New Roman" w:hAnsi="Times New Roman" w:cs="Times New Roman"/>
          <w:sz w:val="24"/>
          <w:szCs w:val="24"/>
        </w:rPr>
        <w:t xml:space="preserve"> tre</w:t>
      </w:r>
      <w:r w:rsidR="00596FCB">
        <w:rPr>
          <w:rFonts w:ascii="Times New Roman" w:hAnsi="Times New Roman" w:cs="Times New Roman"/>
          <w:sz w:val="24"/>
          <w:szCs w:val="24"/>
        </w:rPr>
        <w:t xml:space="preserve"> all’anno</w:t>
      </w:r>
      <w:r w:rsidR="004C5233">
        <w:rPr>
          <w:rFonts w:ascii="Times New Roman" w:hAnsi="Times New Roman" w:cs="Times New Roman"/>
          <w:sz w:val="24"/>
          <w:szCs w:val="24"/>
        </w:rPr>
        <w:t>, solamente</w:t>
      </w:r>
      <w:r>
        <w:rPr>
          <w:rFonts w:ascii="Times New Roman" w:hAnsi="Times New Roman" w:cs="Times New Roman"/>
          <w:sz w:val="24"/>
          <w:szCs w:val="24"/>
        </w:rPr>
        <w:t xml:space="preserve"> due nel 2023</w:t>
      </w:r>
      <w:r w:rsidR="00EE3FF6" w:rsidRPr="00BC6C60">
        <w:rPr>
          <w:rFonts w:ascii="Times New Roman" w:hAnsi="Times New Roman" w:cs="Times New Roman"/>
          <w:sz w:val="24"/>
          <w:szCs w:val="24"/>
        </w:rPr>
        <w:t>, mentre è più raro che siano impugnate le decisioni che prescrivono condizioni</w:t>
      </w:r>
      <w:r>
        <w:rPr>
          <w:rFonts w:ascii="Times New Roman" w:hAnsi="Times New Roman" w:cs="Times New Roman"/>
          <w:sz w:val="24"/>
          <w:szCs w:val="24"/>
        </w:rPr>
        <w:t>.</w:t>
      </w:r>
      <w:r w:rsidR="00596FCB">
        <w:rPr>
          <w:rFonts w:ascii="Times New Roman" w:hAnsi="Times New Roman" w:cs="Times New Roman"/>
          <w:sz w:val="24"/>
          <w:szCs w:val="24"/>
        </w:rPr>
        <w:t xml:space="preserve"> Non di meno, leggendo le relazioni che </w:t>
      </w:r>
      <w:r w:rsidR="002F06D5">
        <w:rPr>
          <w:rFonts w:ascii="Times New Roman" w:hAnsi="Times New Roman" w:cs="Times New Roman"/>
          <w:sz w:val="24"/>
          <w:szCs w:val="24"/>
        </w:rPr>
        <w:t>periodicamente</w:t>
      </w:r>
      <w:r w:rsidR="00596FCB">
        <w:rPr>
          <w:rFonts w:ascii="Times New Roman" w:hAnsi="Times New Roman" w:cs="Times New Roman"/>
          <w:sz w:val="24"/>
          <w:szCs w:val="24"/>
        </w:rPr>
        <w:t xml:space="preserve"> gli uffici della Presidenza del Consiglio trasmettono alle Camere, ci si accorge come il numero delle notifiche, e quindi dei procedimenti di controllo, sia cresciuto molto nel corso dell’ultimo decennio, se pensiamo che le operazioni soggette a screening erano appena quattro nel 2014 e sono divenute 727 nel 2023.</w:t>
      </w:r>
    </w:p>
    <w:p w:rsidR="00596FCB" w:rsidRDefault="006D36CF" w:rsidP="00B934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596FCB">
        <w:rPr>
          <w:rFonts w:ascii="Times New Roman" w:hAnsi="Times New Roman" w:cs="Times New Roman"/>
          <w:sz w:val="24"/>
          <w:szCs w:val="24"/>
        </w:rPr>
        <w:t>l numero delle n</w:t>
      </w:r>
      <w:r w:rsidR="00353EB3">
        <w:rPr>
          <w:rFonts w:ascii="Times New Roman" w:hAnsi="Times New Roman" w:cs="Times New Roman"/>
          <w:sz w:val="24"/>
          <w:szCs w:val="24"/>
        </w:rPr>
        <w:t xml:space="preserve">otifiche (e da ultimo delle </w:t>
      </w:r>
      <w:proofErr w:type="spellStart"/>
      <w:r w:rsidR="00353EB3">
        <w:rPr>
          <w:rFonts w:ascii="Times New Roman" w:hAnsi="Times New Roman" w:cs="Times New Roman"/>
          <w:sz w:val="24"/>
          <w:szCs w:val="24"/>
        </w:rPr>
        <w:t>pre</w:t>
      </w:r>
      <w:r w:rsidR="00596FCB">
        <w:rPr>
          <w:rFonts w:ascii="Times New Roman" w:hAnsi="Times New Roman" w:cs="Times New Roman"/>
          <w:sz w:val="24"/>
          <w:szCs w:val="24"/>
        </w:rPr>
        <w:t>notifiche</w:t>
      </w:r>
      <w:proofErr w:type="spellEnd"/>
      <w:r w:rsidR="00596FCB">
        <w:rPr>
          <w:rFonts w:ascii="Times New Roman" w:hAnsi="Times New Roman" w:cs="Times New Roman"/>
          <w:sz w:val="24"/>
          <w:szCs w:val="24"/>
        </w:rPr>
        <w:t xml:space="preserve">), e quindi delle operazioni societarie passate al vaglio degli uffici governativi, è un dato </w:t>
      </w:r>
      <w:r w:rsidR="002A23BE">
        <w:rPr>
          <w:rFonts w:ascii="Times New Roman" w:hAnsi="Times New Roman" w:cs="Times New Roman"/>
          <w:sz w:val="24"/>
          <w:szCs w:val="24"/>
        </w:rPr>
        <w:t>che deve comunque far riflettere</w:t>
      </w:r>
      <w:r w:rsidR="00596FCB">
        <w:rPr>
          <w:rFonts w:ascii="Times New Roman" w:hAnsi="Times New Roman" w:cs="Times New Roman"/>
          <w:sz w:val="24"/>
          <w:szCs w:val="24"/>
        </w:rPr>
        <w:t xml:space="preserve">, perché significa sottoporre ad un controllo di tipo preventivo ampi settori dell’attività economica, rinverdendo le previsioni, che sembravano desuete, dell’art. 41, comma 3, </w:t>
      </w:r>
      <w:proofErr w:type="spellStart"/>
      <w:r w:rsidR="00596FCB">
        <w:rPr>
          <w:rFonts w:ascii="Times New Roman" w:hAnsi="Times New Roman" w:cs="Times New Roman"/>
          <w:sz w:val="24"/>
          <w:szCs w:val="24"/>
        </w:rPr>
        <w:t>Cost</w:t>
      </w:r>
      <w:proofErr w:type="spellEnd"/>
      <w:r w:rsidR="00596FCB">
        <w:rPr>
          <w:rFonts w:ascii="Times New Roman" w:hAnsi="Times New Roman" w:cs="Times New Roman"/>
          <w:sz w:val="24"/>
          <w:szCs w:val="24"/>
        </w:rPr>
        <w:t>.</w:t>
      </w:r>
      <w:r w:rsidR="009429BF">
        <w:rPr>
          <w:rStyle w:val="Rimandonotaapidipagina"/>
          <w:rFonts w:ascii="Times New Roman" w:hAnsi="Times New Roman" w:cs="Times New Roman"/>
          <w:sz w:val="24"/>
          <w:szCs w:val="24"/>
        </w:rPr>
        <w:t xml:space="preserve"> </w:t>
      </w:r>
      <w:r w:rsidR="00596FCB">
        <w:rPr>
          <w:rFonts w:ascii="Times New Roman" w:hAnsi="Times New Roman" w:cs="Times New Roman"/>
          <w:sz w:val="24"/>
          <w:szCs w:val="24"/>
        </w:rPr>
        <w:t xml:space="preserve"> Il rischio, almeno in astratto, è quello della deterrenza, rispetto ad investimenti di cui il nostro Paese avrebbe molto bisogno, e di un utilizzo improprio in contese tra gruppi imprenditoriali che dovrebbero essere lasciate al mercato; anziché ad un potere, il </w:t>
      </w:r>
      <w:proofErr w:type="spellStart"/>
      <w:r w:rsidR="00596FCB" w:rsidRPr="00B0517D">
        <w:rPr>
          <w:rFonts w:ascii="Times New Roman" w:hAnsi="Times New Roman" w:cs="Times New Roman"/>
          <w:i/>
          <w:sz w:val="24"/>
          <w:szCs w:val="24"/>
        </w:rPr>
        <w:t>golden</w:t>
      </w:r>
      <w:proofErr w:type="spellEnd"/>
      <w:r w:rsidR="00596FCB" w:rsidRPr="00B0517D">
        <w:rPr>
          <w:rFonts w:ascii="Times New Roman" w:hAnsi="Times New Roman" w:cs="Times New Roman"/>
          <w:i/>
          <w:sz w:val="24"/>
          <w:szCs w:val="24"/>
        </w:rPr>
        <w:t xml:space="preserve"> </w:t>
      </w:r>
      <w:proofErr w:type="spellStart"/>
      <w:r w:rsidR="00596FCB" w:rsidRPr="00B0517D">
        <w:rPr>
          <w:rFonts w:ascii="Times New Roman" w:hAnsi="Times New Roman" w:cs="Times New Roman"/>
          <w:i/>
          <w:sz w:val="24"/>
          <w:szCs w:val="24"/>
        </w:rPr>
        <w:t>power</w:t>
      </w:r>
      <w:proofErr w:type="spellEnd"/>
      <w:r w:rsidR="00596FCB">
        <w:rPr>
          <w:rFonts w:ascii="Times New Roman" w:hAnsi="Times New Roman" w:cs="Times New Roman"/>
          <w:sz w:val="24"/>
          <w:szCs w:val="24"/>
        </w:rPr>
        <w:t xml:space="preserve">, </w:t>
      </w:r>
      <w:r w:rsidR="00E04967">
        <w:rPr>
          <w:rFonts w:ascii="Times New Roman" w:hAnsi="Times New Roman" w:cs="Times New Roman"/>
          <w:sz w:val="24"/>
          <w:szCs w:val="24"/>
        </w:rPr>
        <w:t>che appare</w:t>
      </w:r>
      <w:r w:rsidR="00596FCB">
        <w:rPr>
          <w:rFonts w:ascii="Times New Roman" w:hAnsi="Times New Roman" w:cs="Times New Roman"/>
          <w:sz w:val="24"/>
          <w:szCs w:val="24"/>
        </w:rPr>
        <w:t xml:space="preserve"> come camaleontico, perché rispondente ad un ampio spettro di interessi pubblici, tra i quali spesso fa capolino la politica sociale e industriale, una finalità rispettabilissima ma che giustificherebbe l’impiego di altri strumenti.</w:t>
      </w:r>
    </w:p>
    <w:p w:rsidR="00596FCB" w:rsidRPr="00C32ABB" w:rsidRDefault="00596FCB" w:rsidP="00B934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In anni lontani e in un contesto molto diverso da quello attuale, una legge del 1933</w:t>
      </w:r>
      <w:r w:rsidR="002A23BE">
        <w:rPr>
          <w:rFonts w:ascii="Times New Roman" w:hAnsi="Times New Roman" w:cs="Times New Roman"/>
          <w:sz w:val="24"/>
          <w:szCs w:val="24"/>
        </w:rPr>
        <w:t>, la n. 141,</w:t>
      </w:r>
      <w:r>
        <w:rPr>
          <w:rFonts w:ascii="Times New Roman" w:hAnsi="Times New Roman" w:cs="Times New Roman"/>
          <w:sz w:val="24"/>
          <w:szCs w:val="24"/>
        </w:rPr>
        <w:t xml:space="preserve"> aveva previsto che chiunque volesse costruire o ampliare un impianto industriale dovesse ottenere un’autorizzazione, inoltrando domanda ad un comitato ministeriale istituito presso l’allora Ministero delle Corporazioni. Luigi Einaudi, scrivendo nel 1941 sul </w:t>
      </w:r>
      <w:r w:rsidRPr="00573135">
        <w:rPr>
          <w:rFonts w:ascii="Times New Roman" w:hAnsi="Times New Roman" w:cs="Times New Roman"/>
          <w:i/>
          <w:sz w:val="24"/>
          <w:szCs w:val="24"/>
        </w:rPr>
        <w:t>Giornale degli Economisti</w:t>
      </w:r>
      <w:r>
        <w:rPr>
          <w:rFonts w:ascii="Times New Roman" w:hAnsi="Times New Roman" w:cs="Times New Roman"/>
          <w:sz w:val="24"/>
          <w:szCs w:val="24"/>
        </w:rPr>
        <w:t>, osservava come le motivazioni degli atti che negavano l’autorizzazione si richiamassero sempre all’interesse pubblico ma lo facessero come fosse una formula di stil</w:t>
      </w:r>
      <w:r w:rsidR="002A23BE">
        <w:rPr>
          <w:rFonts w:ascii="Times New Roman" w:hAnsi="Times New Roman" w:cs="Times New Roman"/>
          <w:sz w:val="24"/>
          <w:szCs w:val="24"/>
        </w:rPr>
        <w:t>e, come a celare le vere ragion</w:t>
      </w:r>
      <w:r w:rsidR="002C7C41">
        <w:rPr>
          <w:rFonts w:ascii="Times New Roman" w:hAnsi="Times New Roman" w:cs="Times New Roman"/>
          <w:sz w:val="24"/>
          <w:szCs w:val="24"/>
        </w:rPr>
        <w:t>i</w:t>
      </w:r>
      <w:r>
        <w:rPr>
          <w:rFonts w:ascii="Times New Roman" w:hAnsi="Times New Roman" w:cs="Times New Roman"/>
          <w:sz w:val="24"/>
          <w:szCs w:val="24"/>
        </w:rPr>
        <w:t>; di rece</w:t>
      </w:r>
      <w:r w:rsidR="006D36CF">
        <w:rPr>
          <w:rFonts w:ascii="Times New Roman" w:hAnsi="Times New Roman" w:cs="Times New Roman"/>
          <w:sz w:val="24"/>
          <w:szCs w:val="24"/>
        </w:rPr>
        <w:t xml:space="preserve">nte Sabino </w:t>
      </w:r>
      <w:proofErr w:type="spellStart"/>
      <w:r w:rsidR="006D36CF">
        <w:rPr>
          <w:rFonts w:ascii="Times New Roman" w:hAnsi="Times New Roman" w:cs="Times New Roman"/>
          <w:sz w:val="24"/>
          <w:szCs w:val="24"/>
        </w:rPr>
        <w:t>Cassese</w:t>
      </w:r>
      <w:proofErr w:type="spellEnd"/>
      <w:r w:rsidR="002A23BE">
        <w:rPr>
          <w:rFonts w:ascii="Times New Roman" w:hAnsi="Times New Roman" w:cs="Times New Roman"/>
          <w:sz w:val="24"/>
          <w:szCs w:val="24"/>
        </w:rPr>
        <w:t xml:space="preserve">, nel suo </w:t>
      </w:r>
      <w:r w:rsidR="002A23BE" w:rsidRPr="006F47A8">
        <w:rPr>
          <w:rFonts w:ascii="Times New Roman" w:hAnsi="Times New Roman" w:cs="Times New Roman"/>
          <w:i/>
        </w:rPr>
        <w:t>Le strutture del potere</w:t>
      </w:r>
      <w:r w:rsidR="00573135">
        <w:rPr>
          <w:rFonts w:ascii="Times New Roman" w:hAnsi="Times New Roman" w:cs="Times New Roman"/>
          <w:i/>
        </w:rPr>
        <w:t xml:space="preserve"> </w:t>
      </w:r>
      <w:r w:rsidR="00573135">
        <w:rPr>
          <w:rFonts w:ascii="Times New Roman" w:hAnsi="Times New Roman" w:cs="Times New Roman"/>
        </w:rPr>
        <w:t>del 2023</w:t>
      </w:r>
      <w:r w:rsidR="002A23BE">
        <w:rPr>
          <w:rFonts w:ascii="Times New Roman" w:hAnsi="Times New Roman" w:cs="Times New Roman"/>
          <w:i/>
        </w:rPr>
        <w:t>,</w:t>
      </w:r>
      <w:r w:rsidR="002A23BE">
        <w:rPr>
          <w:rFonts w:ascii="Times New Roman" w:hAnsi="Times New Roman" w:cs="Times New Roman"/>
          <w:sz w:val="24"/>
          <w:szCs w:val="24"/>
        </w:rPr>
        <w:t xml:space="preserve"> </w:t>
      </w:r>
      <w:r w:rsidR="006D36CF">
        <w:rPr>
          <w:rFonts w:ascii="Times New Roman" w:hAnsi="Times New Roman" w:cs="Times New Roman"/>
          <w:sz w:val="24"/>
          <w:szCs w:val="24"/>
        </w:rPr>
        <w:t>ha spiegato</w:t>
      </w:r>
      <w:r>
        <w:rPr>
          <w:rFonts w:ascii="Times New Roman" w:hAnsi="Times New Roman" w:cs="Times New Roman"/>
          <w:sz w:val="24"/>
          <w:szCs w:val="24"/>
        </w:rPr>
        <w:t xml:space="preserve"> come quella legge fu utilizzata prevalentemente per non dare autorizzazioni o per minacciare di non darle, per tutelare quelli che già c’erano. </w:t>
      </w:r>
    </w:p>
    <w:p w:rsidR="00EE3FF6" w:rsidRDefault="00EE3FF6"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ben possibile che le pronunce restino </w:t>
      </w:r>
      <w:r w:rsidR="002D080F">
        <w:rPr>
          <w:rFonts w:ascii="Times New Roman" w:hAnsi="Times New Roman" w:cs="Times New Roman"/>
          <w:sz w:val="24"/>
          <w:szCs w:val="24"/>
        </w:rPr>
        <w:t>poco frequenti</w:t>
      </w:r>
      <w:r>
        <w:rPr>
          <w:rFonts w:ascii="Times New Roman" w:hAnsi="Times New Roman" w:cs="Times New Roman"/>
          <w:sz w:val="24"/>
          <w:szCs w:val="24"/>
        </w:rPr>
        <w:t xml:space="preserve"> anche </w:t>
      </w:r>
      <w:r w:rsidR="00863428">
        <w:rPr>
          <w:rFonts w:ascii="Times New Roman" w:hAnsi="Times New Roman" w:cs="Times New Roman"/>
          <w:sz w:val="24"/>
          <w:szCs w:val="24"/>
        </w:rPr>
        <w:t>in</w:t>
      </w:r>
      <w:r>
        <w:rPr>
          <w:rFonts w:ascii="Times New Roman" w:hAnsi="Times New Roman" w:cs="Times New Roman"/>
          <w:sz w:val="24"/>
          <w:szCs w:val="24"/>
        </w:rPr>
        <w:t xml:space="preserve"> futuro, per effetto dell’art. 2 del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187 del 2022, convertito in l. 10 del 2023, che consente alle imprese destinatarie dell’esercizio dei poteri speciali di accedere</w:t>
      </w:r>
      <w:r w:rsidR="002A23BE">
        <w:rPr>
          <w:rFonts w:ascii="Times New Roman" w:hAnsi="Times New Roman" w:cs="Times New Roman"/>
          <w:sz w:val="24"/>
          <w:szCs w:val="24"/>
        </w:rPr>
        <w:t xml:space="preserve"> con una qualche priorità</w:t>
      </w:r>
      <w:r>
        <w:rPr>
          <w:rFonts w:ascii="Times New Roman" w:hAnsi="Times New Roman" w:cs="Times New Roman"/>
          <w:sz w:val="24"/>
          <w:szCs w:val="24"/>
        </w:rPr>
        <w:t xml:space="preserve"> – si direbbe come una sorta di compensazione</w:t>
      </w:r>
      <w:r w:rsidR="00AF3BA1">
        <w:rPr>
          <w:rFonts w:ascii="Times New Roman" w:hAnsi="Times New Roman" w:cs="Times New Roman"/>
          <w:sz w:val="24"/>
          <w:szCs w:val="24"/>
        </w:rPr>
        <w:t xml:space="preserve"> o di indennizzo</w:t>
      </w:r>
      <w:r>
        <w:rPr>
          <w:rFonts w:ascii="Times New Roman" w:hAnsi="Times New Roman" w:cs="Times New Roman"/>
          <w:sz w:val="24"/>
          <w:szCs w:val="24"/>
        </w:rPr>
        <w:t xml:space="preserve"> – ad aiuti pubblici di vario t</w:t>
      </w:r>
      <w:r w:rsidR="00863428">
        <w:rPr>
          <w:rFonts w:ascii="Times New Roman" w:hAnsi="Times New Roman" w:cs="Times New Roman"/>
          <w:sz w:val="24"/>
          <w:szCs w:val="24"/>
        </w:rPr>
        <w:t>ipo (patrimonio rilancio e</w:t>
      </w:r>
      <w:r>
        <w:rPr>
          <w:rFonts w:ascii="Times New Roman" w:hAnsi="Times New Roman" w:cs="Times New Roman"/>
          <w:sz w:val="24"/>
          <w:szCs w:val="24"/>
        </w:rPr>
        <w:t xml:space="preserve"> contratti di sviluppo, tra gli altri) idonee al loro rafforzamento patrimoniale, a condizione che non abbiano promosso o non abbiano intenzione di promuovere azioni giudiziali per contestare l’esercizio dei poteri speciali (condizione questa </w:t>
      </w:r>
      <w:r w:rsidR="002D080F">
        <w:rPr>
          <w:rFonts w:ascii="Times New Roman" w:hAnsi="Times New Roman" w:cs="Times New Roman"/>
          <w:sz w:val="24"/>
          <w:szCs w:val="24"/>
        </w:rPr>
        <w:t>introdotta specificamente</w:t>
      </w:r>
      <w:r>
        <w:rPr>
          <w:rFonts w:ascii="Times New Roman" w:hAnsi="Times New Roman" w:cs="Times New Roman"/>
          <w:sz w:val="24"/>
          <w:szCs w:val="24"/>
        </w:rPr>
        <w:t xml:space="preserve"> dal decreto ministeriale 16 ottobre 2023, in attuazione dell’art. 2 del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ossia da una fonte neppure regolamentare; il che pone un </w:t>
      </w:r>
      <w:r w:rsidR="002D080F">
        <w:rPr>
          <w:rFonts w:ascii="Times New Roman" w:hAnsi="Times New Roman" w:cs="Times New Roman"/>
          <w:sz w:val="24"/>
          <w:szCs w:val="24"/>
        </w:rPr>
        <w:t xml:space="preserve">serio </w:t>
      </w:r>
      <w:r>
        <w:rPr>
          <w:rFonts w:ascii="Times New Roman" w:hAnsi="Times New Roman" w:cs="Times New Roman"/>
          <w:sz w:val="24"/>
          <w:szCs w:val="24"/>
        </w:rPr>
        <w:t>problema di legittimità</w:t>
      </w:r>
      <w:r w:rsidR="002D080F">
        <w:rPr>
          <w:rFonts w:ascii="Times New Roman" w:hAnsi="Times New Roman" w:cs="Times New Roman"/>
          <w:sz w:val="24"/>
          <w:szCs w:val="24"/>
        </w:rPr>
        <w:t xml:space="preserve"> dell’operazione</w:t>
      </w:r>
      <w:r>
        <w:rPr>
          <w:rFonts w:ascii="Times New Roman" w:hAnsi="Times New Roman" w:cs="Times New Roman"/>
          <w:sz w:val="24"/>
          <w:szCs w:val="24"/>
        </w:rPr>
        <w:t>). Si potrebbe comunque credere</w:t>
      </w:r>
      <w:r w:rsidR="002D080F">
        <w:rPr>
          <w:rFonts w:ascii="Times New Roman" w:hAnsi="Times New Roman" w:cs="Times New Roman"/>
          <w:sz w:val="24"/>
          <w:szCs w:val="24"/>
        </w:rPr>
        <w:t xml:space="preserve"> </w:t>
      </w:r>
      <w:r>
        <w:rPr>
          <w:rFonts w:ascii="Times New Roman" w:hAnsi="Times New Roman" w:cs="Times New Roman"/>
          <w:sz w:val="24"/>
          <w:szCs w:val="24"/>
        </w:rPr>
        <w:t>che la rinuncia al ricorso sia coerente con la decisione di chiedere e prendere l’aiuto economico per così dire “sostitutivo”; ma si potrebbe anche pensare, con qualche malizia, che l’aiuto abbia come finalità, non del tutto secondaria, proprio quella di scongiurare alle volte il rischio del ricorso</w:t>
      </w:r>
      <w:r w:rsidR="00B26621">
        <w:rPr>
          <w:rFonts w:ascii="Times New Roman" w:hAnsi="Times New Roman" w:cs="Times New Roman"/>
          <w:sz w:val="24"/>
          <w:szCs w:val="24"/>
        </w:rPr>
        <w:t xml:space="preserve"> e con esso il sindacato giurisdizionale sull’esercizio del </w:t>
      </w:r>
      <w:proofErr w:type="spellStart"/>
      <w:r w:rsidR="00B26621" w:rsidRPr="00B26621">
        <w:rPr>
          <w:rFonts w:ascii="Times New Roman" w:hAnsi="Times New Roman" w:cs="Times New Roman"/>
          <w:i/>
          <w:sz w:val="24"/>
          <w:szCs w:val="24"/>
        </w:rPr>
        <w:t>golden</w:t>
      </w:r>
      <w:proofErr w:type="spellEnd"/>
      <w:r w:rsidR="00B26621" w:rsidRPr="00B26621">
        <w:rPr>
          <w:rFonts w:ascii="Times New Roman" w:hAnsi="Times New Roman" w:cs="Times New Roman"/>
          <w:i/>
          <w:sz w:val="24"/>
          <w:szCs w:val="24"/>
        </w:rPr>
        <w:t xml:space="preserve"> </w:t>
      </w:r>
      <w:proofErr w:type="spellStart"/>
      <w:r w:rsidR="00B26621" w:rsidRPr="00B26621">
        <w:rPr>
          <w:rFonts w:ascii="Times New Roman" w:hAnsi="Times New Roman" w:cs="Times New Roman"/>
          <w:i/>
          <w:sz w:val="24"/>
          <w:szCs w:val="24"/>
        </w:rPr>
        <w:t>power</w:t>
      </w:r>
      <w:proofErr w:type="spellEnd"/>
      <w:r>
        <w:rPr>
          <w:rFonts w:ascii="Times New Roman" w:hAnsi="Times New Roman" w:cs="Times New Roman"/>
          <w:sz w:val="24"/>
          <w:szCs w:val="24"/>
        </w:rPr>
        <w:t>.</w:t>
      </w:r>
    </w:p>
    <w:p w:rsidR="00476589" w:rsidRPr="00BC6C60" w:rsidRDefault="00476589" w:rsidP="00B93432">
      <w:pPr>
        <w:spacing w:line="360" w:lineRule="auto"/>
        <w:ind w:firstLine="709"/>
        <w:jc w:val="both"/>
        <w:rPr>
          <w:rFonts w:ascii="Times New Roman" w:hAnsi="Times New Roman" w:cs="Times New Roman"/>
          <w:sz w:val="24"/>
          <w:szCs w:val="24"/>
        </w:rPr>
      </w:pPr>
    </w:p>
    <w:p w:rsidR="006F47A8" w:rsidRPr="00B93432" w:rsidRDefault="00D46FEE" w:rsidP="00B93432">
      <w:pPr>
        <w:pStyle w:val="Paragrafoelenco"/>
        <w:numPr>
          <w:ilvl w:val="0"/>
          <w:numId w:val="10"/>
        </w:numPr>
        <w:spacing w:line="360" w:lineRule="auto"/>
        <w:jc w:val="both"/>
        <w:rPr>
          <w:rFonts w:ascii="Times New Roman" w:hAnsi="Times New Roman" w:cs="Times New Roman"/>
          <w:b/>
          <w:sz w:val="24"/>
          <w:szCs w:val="24"/>
        </w:rPr>
      </w:pPr>
      <w:r w:rsidRPr="00B93432">
        <w:rPr>
          <w:rFonts w:ascii="Times New Roman" w:hAnsi="Times New Roman" w:cs="Times New Roman"/>
          <w:b/>
          <w:sz w:val="24"/>
          <w:szCs w:val="24"/>
        </w:rPr>
        <w:t>Un</w:t>
      </w:r>
      <w:r w:rsidR="00B0517D" w:rsidRPr="00B93432">
        <w:rPr>
          <w:rFonts w:ascii="Times New Roman" w:hAnsi="Times New Roman" w:cs="Times New Roman"/>
          <w:b/>
          <w:sz w:val="24"/>
          <w:szCs w:val="24"/>
        </w:rPr>
        <w:t xml:space="preserve">a rassegna della </w:t>
      </w:r>
      <w:r w:rsidR="007E64EE" w:rsidRPr="00B93432">
        <w:rPr>
          <w:rFonts w:ascii="Times New Roman" w:hAnsi="Times New Roman" w:cs="Times New Roman"/>
          <w:b/>
          <w:sz w:val="24"/>
          <w:szCs w:val="24"/>
        </w:rPr>
        <w:t xml:space="preserve">prima </w:t>
      </w:r>
      <w:r w:rsidR="00B0517D" w:rsidRPr="00B93432">
        <w:rPr>
          <w:rFonts w:ascii="Times New Roman" w:hAnsi="Times New Roman" w:cs="Times New Roman"/>
          <w:b/>
          <w:sz w:val="24"/>
          <w:szCs w:val="24"/>
        </w:rPr>
        <w:t>giurisprudenza</w:t>
      </w:r>
      <w:r w:rsidRPr="00B93432">
        <w:rPr>
          <w:rFonts w:ascii="Times New Roman" w:hAnsi="Times New Roman" w:cs="Times New Roman"/>
          <w:b/>
          <w:sz w:val="24"/>
          <w:szCs w:val="24"/>
        </w:rPr>
        <w:t xml:space="preserve"> in materia</w:t>
      </w:r>
    </w:p>
    <w:p w:rsidR="00EE3FF6" w:rsidRPr="00BC6C60" w:rsidRDefault="002D080F"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Le s</w:t>
      </w:r>
      <w:r w:rsidR="00EE3FF6" w:rsidRPr="00BC6C60">
        <w:rPr>
          <w:rFonts w:ascii="Times New Roman" w:hAnsi="Times New Roman" w:cs="Times New Roman"/>
          <w:sz w:val="24"/>
          <w:szCs w:val="24"/>
        </w:rPr>
        <w:t>oluzioni</w:t>
      </w:r>
      <w:r>
        <w:rPr>
          <w:rFonts w:ascii="Times New Roman" w:hAnsi="Times New Roman" w:cs="Times New Roman"/>
          <w:sz w:val="24"/>
          <w:szCs w:val="24"/>
        </w:rPr>
        <w:t xml:space="preserve"> offerte dalla giurisprudenza sono state</w:t>
      </w:r>
      <w:r w:rsidR="00EE3FF6" w:rsidRPr="00BC6C60">
        <w:rPr>
          <w:rFonts w:ascii="Times New Roman" w:hAnsi="Times New Roman" w:cs="Times New Roman"/>
          <w:sz w:val="24"/>
          <w:szCs w:val="24"/>
        </w:rPr>
        <w:t xml:space="preserve"> fin qui talvolta formali, come ad esempio quella di negare la legittimazione </w:t>
      </w:r>
      <w:r w:rsidR="00B26621">
        <w:rPr>
          <w:rFonts w:ascii="Times New Roman" w:hAnsi="Times New Roman" w:cs="Times New Roman"/>
          <w:sz w:val="24"/>
          <w:szCs w:val="24"/>
        </w:rPr>
        <w:t>ad impugnare</w:t>
      </w:r>
      <w:r w:rsidR="00EE3FF6" w:rsidRPr="00BC6C60">
        <w:rPr>
          <w:rFonts w:ascii="Times New Roman" w:hAnsi="Times New Roman" w:cs="Times New Roman"/>
          <w:sz w:val="24"/>
          <w:szCs w:val="24"/>
        </w:rPr>
        <w:t xml:space="preserve"> alla società venditrice che contestava la decisione di esercitare i poteri speciali mediante l’adozione di prescrizioni che avevano finito per dissuadere la società compratrice dall’acquisto</w:t>
      </w:r>
      <w:r w:rsidR="002A23BE">
        <w:rPr>
          <w:rFonts w:ascii="Times New Roman" w:hAnsi="Times New Roman" w:cs="Times New Roman"/>
          <w:sz w:val="24"/>
          <w:szCs w:val="24"/>
        </w:rPr>
        <w:t xml:space="preserve"> (</w:t>
      </w:r>
      <w:r w:rsidR="002A23BE" w:rsidRPr="00B52337">
        <w:rPr>
          <w:rFonts w:ascii="Times New Roman" w:hAnsi="Times New Roman" w:cs="Times New Roman"/>
        </w:rPr>
        <w:t xml:space="preserve">Tar Lazio, </w:t>
      </w:r>
      <w:r w:rsidR="002A23BE">
        <w:rPr>
          <w:rFonts w:ascii="Times New Roman" w:hAnsi="Times New Roman" w:cs="Times New Roman"/>
        </w:rPr>
        <w:t>sez. I, 13 aprile 2022, n. 4484</w:t>
      </w:r>
      <w:r w:rsidR="002A23BE">
        <w:rPr>
          <w:rFonts w:ascii="Times New Roman" w:hAnsi="Times New Roman" w:cs="Times New Roman"/>
          <w:sz w:val="24"/>
          <w:szCs w:val="24"/>
        </w:rPr>
        <w:t>)</w:t>
      </w:r>
      <w:r w:rsidR="007E4ECC">
        <w:rPr>
          <w:rFonts w:ascii="Times New Roman" w:hAnsi="Times New Roman" w:cs="Times New Roman"/>
          <w:sz w:val="24"/>
          <w:szCs w:val="24"/>
        </w:rPr>
        <w:t>; o</w:t>
      </w:r>
      <w:r w:rsidR="00EE3FF6">
        <w:rPr>
          <w:rFonts w:ascii="Times New Roman" w:hAnsi="Times New Roman" w:cs="Times New Roman"/>
          <w:sz w:val="24"/>
          <w:szCs w:val="24"/>
        </w:rPr>
        <w:t xml:space="preserve"> di accogliere un’impugnazione, sul rilievo che nell’istruttoria era entrato un atto dell’AGCOM adottato però dal suo segretario gene</w:t>
      </w:r>
      <w:r w:rsidR="0099361B">
        <w:rPr>
          <w:rFonts w:ascii="Times New Roman" w:hAnsi="Times New Roman" w:cs="Times New Roman"/>
          <w:sz w:val="24"/>
          <w:szCs w:val="24"/>
        </w:rPr>
        <w:t>rale anziché dal collegio dell’A</w:t>
      </w:r>
      <w:r w:rsidR="00EE3FF6">
        <w:rPr>
          <w:rFonts w:ascii="Times New Roman" w:hAnsi="Times New Roman" w:cs="Times New Roman"/>
          <w:sz w:val="24"/>
          <w:szCs w:val="24"/>
        </w:rPr>
        <w:t>utorità</w:t>
      </w:r>
      <w:r w:rsidR="002A23BE">
        <w:rPr>
          <w:rFonts w:ascii="Times New Roman" w:hAnsi="Times New Roman" w:cs="Times New Roman"/>
          <w:sz w:val="24"/>
          <w:szCs w:val="24"/>
        </w:rPr>
        <w:t xml:space="preserve"> (</w:t>
      </w:r>
      <w:r w:rsidR="002A23BE">
        <w:rPr>
          <w:rStyle w:val="Rimandonotaapidipagina"/>
          <w:rFonts w:ascii="Times New Roman" w:hAnsi="Times New Roman" w:cs="Times New Roman"/>
          <w:sz w:val="24"/>
          <w:szCs w:val="24"/>
        </w:rPr>
        <w:t xml:space="preserve"> </w:t>
      </w:r>
      <w:r w:rsidR="002A23BE">
        <w:rPr>
          <w:rFonts w:ascii="Times New Roman" w:hAnsi="Times New Roman" w:cs="Times New Roman"/>
          <w:sz w:val="24"/>
          <w:szCs w:val="24"/>
        </w:rPr>
        <w:t xml:space="preserve">Tar Lazio, sez. I, </w:t>
      </w:r>
      <w:r w:rsidR="002A23BE">
        <w:rPr>
          <w:rFonts w:ascii="Times New Roman" w:hAnsi="Times New Roman" w:cs="Times New Roman"/>
        </w:rPr>
        <w:t>24 luglio 2020, n. 8742).</w:t>
      </w:r>
    </w:p>
    <w:p w:rsidR="00EE3FF6" w:rsidRPr="00BC6C60" w:rsidRDefault="0099361B"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Aleggia </w:t>
      </w:r>
      <w:r w:rsidR="00B0517D">
        <w:rPr>
          <w:rFonts w:ascii="Times New Roman" w:hAnsi="Times New Roman" w:cs="Times New Roman"/>
          <w:sz w:val="24"/>
          <w:szCs w:val="24"/>
        </w:rPr>
        <w:t>altre</w:t>
      </w:r>
      <w:r>
        <w:rPr>
          <w:rFonts w:ascii="Times New Roman" w:hAnsi="Times New Roman" w:cs="Times New Roman"/>
          <w:sz w:val="24"/>
          <w:szCs w:val="24"/>
        </w:rPr>
        <w:t xml:space="preserve"> volte la suggestione, più o meno dichiarata,</w:t>
      </w:r>
      <w:r w:rsidR="00EE3FF6" w:rsidRPr="00BC6C60">
        <w:rPr>
          <w:rFonts w:ascii="Times New Roman" w:hAnsi="Times New Roman" w:cs="Times New Roman"/>
          <w:sz w:val="24"/>
          <w:szCs w:val="24"/>
        </w:rPr>
        <w:t xml:space="preserve"> dell’atto politico</w:t>
      </w:r>
      <w:r w:rsidR="00EE3FF6">
        <w:rPr>
          <w:rFonts w:ascii="Times New Roman" w:hAnsi="Times New Roman" w:cs="Times New Roman"/>
          <w:sz w:val="24"/>
          <w:szCs w:val="24"/>
        </w:rPr>
        <w:t xml:space="preserve">, </w:t>
      </w:r>
      <w:r>
        <w:rPr>
          <w:rFonts w:ascii="Times New Roman" w:hAnsi="Times New Roman" w:cs="Times New Roman"/>
          <w:sz w:val="24"/>
          <w:szCs w:val="24"/>
        </w:rPr>
        <w:t>in concomitanza forse non casuale con la</w:t>
      </w:r>
      <w:r w:rsidR="00EE3FF6">
        <w:rPr>
          <w:rFonts w:ascii="Times New Roman" w:hAnsi="Times New Roman" w:cs="Times New Roman"/>
          <w:sz w:val="24"/>
          <w:szCs w:val="24"/>
        </w:rPr>
        <w:t xml:space="preserve"> ripresa degli studi </w:t>
      </w:r>
      <w:r w:rsidR="00B26621">
        <w:rPr>
          <w:rFonts w:ascii="Times New Roman" w:hAnsi="Times New Roman" w:cs="Times New Roman"/>
          <w:sz w:val="24"/>
          <w:szCs w:val="24"/>
        </w:rPr>
        <w:t>su questa categoria</w:t>
      </w:r>
      <w:r w:rsidR="00E5798D">
        <w:rPr>
          <w:rFonts w:ascii="Times New Roman" w:hAnsi="Times New Roman" w:cs="Times New Roman"/>
          <w:sz w:val="24"/>
          <w:szCs w:val="24"/>
        </w:rPr>
        <w:t xml:space="preserve"> (come dimostrano gli studi di Chiara </w:t>
      </w:r>
      <w:proofErr w:type="spellStart"/>
      <w:r w:rsidR="00E5798D">
        <w:rPr>
          <w:rFonts w:ascii="Times New Roman" w:hAnsi="Times New Roman" w:cs="Times New Roman"/>
          <w:sz w:val="24"/>
          <w:szCs w:val="24"/>
        </w:rPr>
        <w:t>Cudia</w:t>
      </w:r>
      <w:proofErr w:type="spellEnd"/>
      <w:r w:rsidR="00E5798D">
        <w:rPr>
          <w:rFonts w:ascii="Times New Roman" w:hAnsi="Times New Roman" w:cs="Times New Roman"/>
          <w:sz w:val="24"/>
          <w:szCs w:val="24"/>
        </w:rPr>
        <w:t xml:space="preserve"> e di Giancarlo Montedoro)</w:t>
      </w:r>
      <w:r>
        <w:rPr>
          <w:rFonts w:ascii="Times New Roman" w:hAnsi="Times New Roman" w:cs="Times New Roman"/>
          <w:sz w:val="24"/>
          <w:szCs w:val="24"/>
        </w:rPr>
        <w:t>, si direbbe</w:t>
      </w:r>
      <w:r w:rsidR="00B26621">
        <w:rPr>
          <w:rFonts w:ascii="Times New Roman" w:hAnsi="Times New Roman" w:cs="Times New Roman"/>
          <w:sz w:val="24"/>
          <w:szCs w:val="24"/>
        </w:rPr>
        <w:t xml:space="preserve"> al crocevia</w:t>
      </w:r>
      <w:r>
        <w:rPr>
          <w:rFonts w:ascii="Times New Roman" w:hAnsi="Times New Roman" w:cs="Times New Roman"/>
          <w:sz w:val="24"/>
          <w:szCs w:val="24"/>
        </w:rPr>
        <w:t xml:space="preserve"> tra la tradizione del giudizio amministrativo, </w:t>
      </w:r>
      <w:r>
        <w:rPr>
          <w:rFonts w:ascii="Times New Roman" w:hAnsi="Times New Roman" w:cs="Times New Roman"/>
          <w:sz w:val="24"/>
          <w:szCs w:val="24"/>
        </w:rPr>
        <w:lastRenderedPageBreak/>
        <w:t xml:space="preserve">il dato costituzionale, </w:t>
      </w:r>
      <w:r w:rsidR="00E5798D">
        <w:rPr>
          <w:rFonts w:ascii="Times New Roman" w:hAnsi="Times New Roman" w:cs="Times New Roman"/>
          <w:sz w:val="24"/>
          <w:szCs w:val="24"/>
        </w:rPr>
        <w:t>la continuità sul punto</w:t>
      </w:r>
      <w:r>
        <w:rPr>
          <w:rFonts w:ascii="Times New Roman" w:hAnsi="Times New Roman" w:cs="Times New Roman"/>
          <w:sz w:val="24"/>
          <w:szCs w:val="24"/>
        </w:rPr>
        <w:t xml:space="preserve"> del codice del processo amministrativo e le implicazioni dell’art. 6 </w:t>
      </w:r>
      <w:proofErr w:type="spellStart"/>
      <w:r>
        <w:rPr>
          <w:rFonts w:ascii="Times New Roman" w:hAnsi="Times New Roman" w:cs="Times New Roman"/>
          <w:sz w:val="24"/>
          <w:szCs w:val="24"/>
        </w:rPr>
        <w:t>Cedu</w:t>
      </w:r>
      <w:proofErr w:type="spellEnd"/>
      <w:r w:rsidR="002A23BE">
        <w:rPr>
          <w:rFonts w:ascii="Times New Roman" w:hAnsi="Times New Roman" w:cs="Times New Roman"/>
          <w:sz w:val="24"/>
          <w:szCs w:val="24"/>
        </w:rPr>
        <w:t>.</w:t>
      </w:r>
      <w:r>
        <w:rPr>
          <w:rFonts w:ascii="Times New Roman" w:hAnsi="Times New Roman" w:cs="Times New Roman"/>
          <w:sz w:val="24"/>
          <w:szCs w:val="24"/>
        </w:rPr>
        <w:t xml:space="preserve"> Ove si ritenga</w:t>
      </w:r>
      <w:r w:rsidR="00EE3FF6" w:rsidRPr="00BC6C60">
        <w:rPr>
          <w:rFonts w:ascii="Times New Roman" w:hAnsi="Times New Roman" w:cs="Times New Roman"/>
          <w:sz w:val="24"/>
          <w:szCs w:val="24"/>
        </w:rPr>
        <w:t xml:space="preserve"> che l’ambito di applicazione dell’art. 6 si estenda anche ai procedimenti amministrativi volti all’emanazione di provvedimenti che inibiscano o limitino la libertà di investimento e di organizzazione imprenditoriale</w:t>
      </w:r>
      <w:r>
        <w:rPr>
          <w:rFonts w:ascii="Times New Roman" w:hAnsi="Times New Roman" w:cs="Times New Roman"/>
          <w:sz w:val="24"/>
          <w:szCs w:val="24"/>
        </w:rPr>
        <w:t>, la conseguenza dovrebbe essere a quel punto il r</w:t>
      </w:r>
      <w:r w:rsidR="00EE3FF6" w:rsidRPr="00BC6C60">
        <w:rPr>
          <w:rFonts w:ascii="Times New Roman" w:hAnsi="Times New Roman" w:cs="Times New Roman"/>
          <w:sz w:val="24"/>
          <w:szCs w:val="24"/>
        </w:rPr>
        <w:t xml:space="preserve">ecupero in sede processuale </w:t>
      </w:r>
      <w:r w:rsidR="00AB742D">
        <w:rPr>
          <w:rFonts w:ascii="Times New Roman" w:hAnsi="Times New Roman" w:cs="Times New Roman"/>
          <w:sz w:val="24"/>
          <w:szCs w:val="24"/>
        </w:rPr>
        <w:t xml:space="preserve">di </w:t>
      </w:r>
      <w:r w:rsidR="00B0517D">
        <w:rPr>
          <w:rFonts w:ascii="Times New Roman" w:hAnsi="Times New Roman" w:cs="Times New Roman"/>
          <w:sz w:val="24"/>
          <w:szCs w:val="24"/>
        </w:rPr>
        <w:t xml:space="preserve">talune </w:t>
      </w:r>
      <w:r w:rsidR="00EE3FF6" w:rsidRPr="00BC6C60">
        <w:rPr>
          <w:rFonts w:ascii="Times New Roman" w:hAnsi="Times New Roman" w:cs="Times New Roman"/>
          <w:sz w:val="24"/>
          <w:szCs w:val="24"/>
        </w:rPr>
        <w:t>delle garanzie perdute</w:t>
      </w:r>
      <w:r w:rsidR="00B26621">
        <w:rPr>
          <w:rFonts w:ascii="Times New Roman" w:hAnsi="Times New Roman" w:cs="Times New Roman"/>
          <w:sz w:val="24"/>
          <w:szCs w:val="24"/>
        </w:rPr>
        <w:t>,</w:t>
      </w:r>
      <w:r w:rsidR="00EE3FF6" w:rsidRPr="00BC6C60">
        <w:rPr>
          <w:rFonts w:ascii="Times New Roman" w:hAnsi="Times New Roman" w:cs="Times New Roman"/>
          <w:sz w:val="24"/>
          <w:szCs w:val="24"/>
        </w:rPr>
        <w:t xml:space="preserve"> o ridotte</w:t>
      </w:r>
      <w:r w:rsidR="00B26621">
        <w:rPr>
          <w:rFonts w:ascii="Times New Roman" w:hAnsi="Times New Roman" w:cs="Times New Roman"/>
          <w:sz w:val="24"/>
          <w:szCs w:val="24"/>
        </w:rPr>
        <w:t>,</w:t>
      </w:r>
      <w:r w:rsidR="00EE3FF6" w:rsidRPr="00BC6C60">
        <w:rPr>
          <w:rFonts w:ascii="Times New Roman" w:hAnsi="Times New Roman" w:cs="Times New Roman"/>
          <w:sz w:val="24"/>
          <w:szCs w:val="24"/>
        </w:rPr>
        <w:t xml:space="preserve"> nella sede procedimentale.</w:t>
      </w:r>
    </w:p>
    <w:p w:rsidR="00EE3FF6" w:rsidRPr="00BC6C60" w:rsidRDefault="00EE3FF6" w:rsidP="00B93432">
      <w:pPr>
        <w:spacing w:line="360" w:lineRule="auto"/>
        <w:ind w:firstLine="709"/>
        <w:jc w:val="both"/>
        <w:rPr>
          <w:rFonts w:ascii="Times New Roman" w:hAnsi="Times New Roman" w:cs="Times New Roman"/>
          <w:sz w:val="24"/>
          <w:szCs w:val="24"/>
        </w:rPr>
      </w:pPr>
      <w:r w:rsidRPr="00BC6C60">
        <w:rPr>
          <w:rFonts w:ascii="Times New Roman" w:hAnsi="Times New Roman" w:cs="Times New Roman"/>
          <w:sz w:val="24"/>
          <w:szCs w:val="24"/>
        </w:rPr>
        <w:t>Su questo</w:t>
      </w:r>
      <w:r w:rsidR="0099361B">
        <w:rPr>
          <w:rFonts w:ascii="Times New Roman" w:hAnsi="Times New Roman" w:cs="Times New Roman"/>
          <w:sz w:val="24"/>
          <w:szCs w:val="24"/>
        </w:rPr>
        <w:t xml:space="preserve"> specifico profilo</w:t>
      </w:r>
      <w:r w:rsidRPr="00BC6C60">
        <w:rPr>
          <w:rFonts w:ascii="Times New Roman" w:hAnsi="Times New Roman" w:cs="Times New Roman"/>
          <w:sz w:val="24"/>
          <w:szCs w:val="24"/>
        </w:rPr>
        <w:t xml:space="preserve"> la sentenza </w:t>
      </w:r>
      <w:r w:rsidR="00BB24E1">
        <w:rPr>
          <w:rFonts w:ascii="Times New Roman" w:hAnsi="Times New Roman" w:cs="Times New Roman"/>
          <w:sz w:val="24"/>
          <w:szCs w:val="24"/>
        </w:rPr>
        <w:t xml:space="preserve">n. </w:t>
      </w:r>
      <w:r w:rsidRPr="00BC6C60">
        <w:rPr>
          <w:rFonts w:ascii="Times New Roman" w:hAnsi="Times New Roman" w:cs="Times New Roman"/>
          <w:sz w:val="24"/>
          <w:szCs w:val="24"/>
        </w:rPr>
        <w:t>289 del 2023 del</w:t>
      </w:r>
      <w:r w:rsidR="002A23BE">
        <w:rPr>
          <w:rFonts w:ascii="Times New Roman" w:hAnsi="Times New Roman" w:cs="Times New Roman"/>
          <w:sz w:val="24"/>
          <w:szCs w:val="24"/>
        </w:rPr>
        <w:t>la sez. IV del</w:t>
      </w:r>
      <w:r w:rsidRPr="00BC6C60">
        <w:rPr>
          <w:rFonts w:ascii="Times New Roman" w:hAnsi="Times New Roman" w:cs="Times New Roman"/>
          <w:sz w:val="24"/>
          <w:szCs w:val="24"/>
        </w:rPr>
        <w:t xml:space="preserve"> </w:t>
      </w:r>
      <w:r w:rsidR="0099361B">
        <w:rPr>
          <w:rFonts w:ascii="Times New Roman" w:hAnsi="Times New Roman" w:cs="Times New Roman"/>
          <w:sz w:val="24"/>
          <w:szCs w:val="24"/>
        </w:rPr>
        <w:t>Consiglio di Stato</w:t>
      </w:r>
      <w:r w:rsidRPr="00BC6C60">
        <w:rPr>
          <w:rFonts w:ascii="Times New Roman" w:hAnsi="Times New Roman" w:cs="Times New Roman"/>
          <w:sz w:val="24"/>
          <w:szCs w:val="24"/>
        </w:rPr>
        <w:t xml:space="preserve">, sebbene in un passaggio rapido, sembrerebbe ragionare diversamente, laddove al punto 16.2 esclude che la disciplina abbia finalità afflittive e che ricorra l’imposizione di prestazioni patrimoniali ex art. 23 </w:t>
      </w:r>
      <w:proofErr w:type="spellStart"/>
      <w:r w:rsidRPr="00BC6C60">
        <w:rPr>
          <w:rFonts w:ascii="Times New Roman" w:hAnsi="Times New Roman" w:cs="Times New Roman"/>
          <w:sz w:val="24"/>
          <w:szCs w:val="24"/>
        </w:rPr>
        <w:t>Cost</w:t>
      </w:r>
      <w:proofErr w:type="spellEnd"/>
      <w:r w:rsidRPr="00BC6C60">
        <w:rPr>
          <w:rFonts w:ascii="Times New Roman" w:hAnsi="Times New Roman" w:cs="Times New Roman"/>
          <w:sz w:val="24"/>
          <w:szCs w:val="24"/>
        </w:rPr>
        <w:t>, richiamando piuttosto l’utilità sociale dell’art. 41</w:t>
      </w:r>
      <w:r>
        <w:rPr>
          <w:rFonts w:ascii="Times New Roman" w:hAnsi="Times New Roman" w:cs="Times New Roman"/>
          <w:sz w:val="24"/>
          <w:szCs w:val="24"/>
        </w:rPr>
        <w:t>, comma 2,</w:t>
      </w:r>
      <w:r w:rsidRPr="00BC6C60">
        <w:rPr>
          <w:rFonts w:ascii="Times New Roman" w:hAnsi="Times New Roman" w:cs="Times New Roman"/>
          <w:sz w:val="24"/>
          <w:szCs w:val="24"/>
        </w:rPr>
        <w:t xml:space="preserve"> </w:t>
      </w:r>
      <w:proofErr w:type="spellStart"/>
      <w:proofErr w:type="gramStart"/>
      <w:r w:rsidRPr="00BC6C60">
        <w:rPr>
          <w:rFonts w:ascii="Times New Roman" w:hAnsi="Times New Roman" w:cs="Times New Roman"/>
          <w:sz w:val="24"/>
          <w:szCs w:val="24"/>
        </w:rPr>
        <w:t>Cost</w:t>
      </w:r>
      <w:proofErr w:type="spellEnd"/>
      <w:r w:rsidRPr="00BC6C60">
        <w:rPr>
          <w:rFonts w:ascii="Times New Roman" w:hAnsi="Times New Roman" w:cs="Times New Roman"/>
          <w:sz w:val="24"/>
          <w:szCs w:val="24"/>
        </w:rPr>
        <w:t>..</w:t>
      </w:r>
      <w:proofErr w:type="gramEnd"/>
      <w:r w:rsidR="006E0809">
        <w:rPr>
          <w:rFonts w:ascii="Times New Roman" w:hAnsi="Times New Roman" w:cs="Times New Roman"/>
          <w:sz w:val="24"/>
          <w:szCs w:val="24"/>
        </w:rPr>
        <w:t xml:space="preserve"> Si tratta probabilmente del precedente sin qui più importante e interessante, con cui è stata confermata la sentenza del </w:t>
      </w:r>
      <w:r w:rsidR="006E0809" w:rsidRPr="00BC6C60">
        <w:rPr>
          <w:rFonts w:ascii="Times New Roman" w:hAnsi="Times New Roman" w:cs="Times New Roman"/>
          <w:sz w:val="24"/>
          <w:szCs w:val="24"/>
        </w:rPr>
        <w:t xml:space="preserve">Tar Lazio </w:t>
      </w:r>
      <w:r w:rsidR="00BB24E1">
        <w:rPr>
          <w:rFonts w:ascii="Times New Roman" w:hAnsi="Times New Roman" w:cs="Times New Roman"/>
          <w:sz w:val="24"/>
          <w:szCs w:val="24"/>
        </w:rPr>
        <w:t xml:space="preserve">n. </w:t>
      </w:r>
      <w:r w:rsidR="006E0809" w:rsidRPr="00BC6C60">
        <w:rPr>
          <w:rFonts w:ascii="Times New Roman" w:hAnsi="Times New Roman" w:cs="Times New Roman"/>
          <w:sz w:val="24"/>
          <w:szCs w:val="24"/>
        </w:rPr>
        <w:t>4486</w:t>
      </w:r>
      <w:r w:rsidR="00B15071">
        <w:rPr>
          <w:rFonts w:ascii="Times New Roman" w:hAnsi="Times New Roman" w:cs="Times New Roman"/>
          <w:sz w:val="24"/>
          <w:szCs w:val="24"/>
        </w:rPr>
        <w:t xml:space="preserve"> del </w:t>
      </w:r>
      <w:r w:rsidR="006E0809">
        <w:rPr>
          <w:rFonts w:ascii="Times New Roman" w:hAnsi="Times New Roman" w:cs="Times New Roman"/>
          <w:sz w:val="24"/>
          <w:szCs w:val="24"/>
        </w:rPr>
        <w:t>2022</w:t>
      </w:r>
      <w:r w:rsidR="00B26621">
        <w:rPr>
          <w:rFonts w:ascii="Times New Roman" w:hAnsi="Times New Roman" w:cs="Times New Roman"/>
          <w:sz w:val="24"/>
          <w:szCs w:val="24"/>
        </w:rPr>
        <w:t>, in</w:t>
      </w:r>
      <w:r w:rsidR="006E0809">
        <w:rPr>
          <w:rFonts w:ascii="Times New Roman" w:hAnsi="Times New Roman" w:cs="Times New Roman"/>
          <w:sz w:val="24"/>
          <w:szCs w:val="24"/>
        </w:rPr>
        <w:t xml:space="preserve"> una controversia concernente</w:t>
      </w:r>
      <w:r w:rsidR="006E0809" w:rsidRPr="00BC6C60">
        <w:rPr>
          <w:rFonts w:ascii="Times New Roman" w:hAnsi="Times New Roman" w:cs="Times New Roman"/>
          <w:sz w:val="24"/>
          <w:szCs w:val="24"/>
        </w:rPr>
        <w:t xml:space="preserve"> </w:t>
      </w:r>
      <w:r w:rsidR="006E0809">
        <w:rPr>
          <w:rFonts w:ascii="Times New Roman" w:hAnsi="Times New Roman" w:cs="Times New Roman"/>
          <w:sz w:val="24"/>
          <w:szCs w:val="24"/>
        </w:rPr>
        <w:t>l’apposizione del veto all’acquisizione, da parte</w:t>
      </w:r>
      <w:r w:rsidR="006E0809" w:rsidRPr="00BC6C60">
        <w:rPr>
          <w:rFonts w:ascii="Times New Roman" w:hAnsi="Times New Roman" w:cs="Times New Roman"/>
          <w:sz w:val="24"/>
          <w:szCs w:val="24"/>
        </w:rPr>
        <w:t xml:space="preserve"> di una società cinese riconducibile al Governo di quel Paese</w:t>
      </w:r>
      <w:r w:rsidR="006E0809">
        <w:rPr>
          <w:rFonts w:ascii="Times New Roman" w:hAnsi="Times New Roman" w:cs="Times New Roman"/>
          <w:sz w:val="24"/>
          <w:szCs w:val="24"/>
        </w:rPr>
        <w:t>, di un’impresa</w:t>
      </w:r>
      <w:r w:rsidR="00742FB9">
        <w:rPr>
          <w:rFonts w:ascii="Times New Roman" w:hAnsi="Times New Roman" w:cs="Times New Roman"/>
          <w:sz w:val="24"/>
          <w:szCs w:val="24"/>
        </w:rPr>
        <w:t xml:space="preserve"> italiana</w:t>
      </w:r>
      <w:r w:rsidR="006E0809">
        <w:rPr>
          <w:rFonts w:ascii="Times New Roman" w:hAnsi="Times New Roman" w:cs="Times New Roman"/>
          <w:sz w:val="24"/>
          <w:szCs w:val="24"/>
        </w:rPr>
        <w:t xml:space="preserve"> attiva nel settore agroalimentare. La pronuncia del Consiglio di Stato</w:t>
      </w:r>
      <w:r w:rsidR="006E0809" w:rsidRPr="00BC6C60">
        <w:rPr>
          <w:rFonts w:ascii="Times New Roman" w:hAnsi="Times New Roman" w:cs="Times New Roman"/>
          <w:sz w:val="24"/>
          <w:szCs w:val="24"/>
        </w:rPr>
        <w:t xml:space="preserve"> </w:t>
      </w:r>
      <w:r w:rsidR="006E0809">
        <w:rPr>
          <w:rFonts w:ascii="Times New Roman" w:hAnsi="Times New Roman" w:cs="Times New Roman"/>
          <w:sz w:val="24"/>
          <w:szCs w:val="24"/>
        </w:rPr>
        <w:t>è importante</w:t>
      </w:r>
      <w:r w:rsidR="006E0809" w:rsidRPr="00BC6C60">
        <w:rPr>
          <w:rFonts w:ascii="Times New Roman" w:hAnsi="Times New Roman" w:cs="Times New Roman"/>
          <w:sz w:val="24"/>
          <w:szCs w:val="24"/>
        </w:rPr>
        <w:t xml:space="preserve"> </w:t>
      </w:r>
      <w:r w:rsidR="006E0809">
        <w:rPr>
          <w:rFonts w:ascii="Times New Roman" w:hAnsi="Times New Roman" w:cs="Times New Roman"/>
          <w:sz w:val="24"/>
          <w:szCs w:val="24"/>
        </w:rPr>
        <w:t>sotto almeno due profili. Per prima cosa dove esclude</w:t>
      </w:r>
      <w:r w:rsidR="006E0809" w:rsidRPr="00BC6C60">
        <w:rPr>
          <w:rFonts w:ascii="Times New Roman" w:hAnsi="Times New Roman" w:cs="Times New Roman"/>
          <w:sz w:val="24"/>
          <w:szCs w:val="24"/>
        </w:rPr>
        <w:t xml:space="preserve"> l’applicabilità dell’art. 10 bis della l. 241/1990</w:t>
      </w:r>
      <w:r w:rsidR="00742FB9">
        <w:rPr>
          <w:rFonts w:ascii="Times New Roman" w:hAnsi="Times New Roman" w:cs="Times New Roman"/>
          <w:sz w:val="24"/>
          <w:szCs w:val="24"/>
        </w:rPr>
        <w:t>, sul rilievo che la notifica</w:t>
      </w:r>
      <w:r w:rsidR="00B26621">
        <w:rPr>
          <w:rFonts w:ascii="Times New Roman" w:hAnsi="Times New Roman" w:cs="Times New Roman"/>
          <w:sz w:val="24"/>
          <w:szCs w:val="24"/>
        </w:rPr>
        <w:t xml:space="preserve"> dell’investitore</w:t>
      </w:r>
      <w:r w:rsidR="00742FB9">
        <w:rPr>
          <w:rFonts w:ascii="Times New Roman" w:hAnsi="Times New Roman" w:cs="Times New Roman"/>
          <w:sz w:val="24"/>
          <w:szCs w:val="24"/>
        </w:rPr>
        <w:t xml:space="preserve"> non veicola un’istanza ma adempie ad un dovere,</w:t>
      </w:r>
      <w:r w:rsidR="006E0809">
        <w:rPr>
          <w:rFonts w:ascii="Times New Roman" w:hAnsi="Times New Roman" w:cs="Times New Roman"/>
          <w:sz w:val="24"/>
          <w:szCs w:val="24"/>
        </w:rPr>
        <w:t xml:space="preserve"> </w:t>
      </w:r>
      <w:r w:rsidR="00B26621">
        <w:rPr>
          <w:rFonts w:ascii="Times New Roman" w:hAnsi="Times New Roman" w:cs="Times New Roman"/>
          <w:sz w:val="24"/>
          <w:szCs w:val="24"/>
        </w:rPr>
        <w:t>come anche l’applicabilità</w:t>
      </w:r>
      <w:r w:rsidR="006E0809">
        <w:rPr>
          <w:rFonts w:ascii="Times New Roman" w:hAnsi="Times New Roman" w:cs="Times New Roman"/>
          <w:sz w:val="24"/>
          <w:szCs w:val="24"/>
        </w:rPr>
        <w:t xml:space="preserve">, più in generale – sembrerebbe - </w:t>
      </w:r>
      <w:r w:rsidR="006E0809" w:rsidRPr="00BC6C60">
        <w:rPr>
          <w:rFonts w:ascii="Times New Roman" w:hAnsi="Times New Roman" w:cs="Times New Roman"/>
          <w:sz w:val="24"/>
          <w:szCs w:val="24"/>
        </w:rPr>
        <w:t xml:space="preserve"> </w:t>
      </w:r>
      <w:r w:rsidR="00B26621">
        <w:rPr>
          <w:rFonts w:ascii="Times New Roman" w:hAnsi="Times New Roman" w:cs="Times New Roman"/>
          <w:sz w:val="24"/>
          <w:szCs w:val="24"/>
        </w:rPr>
        <w:t>del</w:t>
      </w:r>
      <w:r w:rsidR="006E0809">
        <w:rPr>
          <w:rFonts w:ascii="Times New Roman" w:hAnsi="Times New Roman" w:cs="Times New Roman"/>
          <w:sz w:val="24"/>
          <w:szCs w:val="24"/>
        </w:rPr>
        <w:t xml:space="preserve">l’intera legge 241/1990, sull’assunto che </w:t>
      </w:r>
      <w:r w:rsidR="00BB24E1">
        <w:rPr>
          <w:rFonts w:ascii="Times New Roman" w:hAnsi="Times New Roman" w:cs="Times New Roman"/>
          <w:sz w:val="24"/>
          <w:szCs w:val="24"/>
        </w:rPr>
        <w:t>la fonte regolamentare</w:t>
      </w:r>
      <w:r w:rsidR="006E0809" w:rsidRPr="00BC6C60">
        <w:rPr>
          <w:rFonts w:ascii="Times New Roman" w:hAnsi="Times New Roman" w:cs="Times New Roman"/>
          <w:sz w:val="24"/>
          <w:szCs w:val="24"/>
        </w:rPr>
        <w:t xml:space="preserve"> </w:t>
      </w:r>
      <w:r w:rsidR="006E0809">
        <w:rPr>
          <w:rFonts w:ascii="Times New Roman" w:hAnsi="Times New Roman" w:cs="Times New Roman"/>
          <w:sz w:val="24"/>
          <w:szCs w:val="24"/>
        </w:rPr>
        <w:t>rechi una disciplina</w:t>
      </w:r>
      <w:r w:rsidR="006F7F13">
        <w:rPr>
          <w:rFonts w:ascii="Times New Roman" w:hAnsi="Times New Roman" w:cs="Times New Roman"/>
          <w:sz w:val="24"/>
          <w:szCs w:val="24"/>
        </w:rPr>
        <w:t xml:space="preserve"> del procedimento</w:t>
      </w:r>
      <w:r w:rsidR="006E0809" w:rsidRPr="00BC6C60">
        <w:rPr>
          <w:rFonts w:ascii="Times New Roman" w:hAnsi="Times New Roman" w:cs="Times New Roman"/>
          <w:sz w:val="24"/>
          <w:szCs w:val="24"/>
        </w:rPr>
        <w:t xml:space="preserve"> completa, autosufficiente e speciale, come tale</w:t>
      </w:r>
      <w:r w:rsidR="006E0809">
        <w:rPr>
          <w:rFonts w:ascii="Times New Roman" w:hAnsi="Times New Roman" w:cs="Times New Roman"/>
          <w:sz w:val="24"/>
          <w:szCs w:val="24"/>
        </w:rPr>
        <w:t xml:space="preserve"> non integrabile da altre fonti. Ma, più interessante ancora, dove ricostruisce il rapporto t</w:t>
      </w:r>
      <w:r w:rsidR="006E0809" w:rsidRPr="00BC6C60">
        <w:rPr>
          <w:rFonts w:ascii="Times New Roman" w:hAnsi="Times New Roman" w:cs="Times New Roman"/>
          <w:sz w:val="24"/>
          <w:szCs w:val="24"/>
        </w:rPr>
        <w:t xml:space="preserve">ra </w:t>
      </w:r>
      <w:r w:rsidR="006E0809">
        <w:rPr>
          <w:rFonts w:ascii="Times New Roman" w:hAnsi="Times New Roman" w:cs="Times New Roman"/>
          <w:sz w:val="24"/>
          <w:szCs w:val="24"/>
        </w:rPr>
        <w:t xml:space="preserve">la </w:t>
      </w:r>
      <w:r w:rsidR="006E0809" w:rsidRPr="00BC6C60">
        <w:rPr>
          <w:rFonts w:ascii="Times New Roman" w:hAnsi="Times New Roman" w:cs="Times New Roman"/>
          <w:sz w:val="24"/>
          <w:szCs w:val="24"/>
        </w:rPr>
        <w:t xml:space="preserve">fase istruttoria e </w:t>
      </w:r>
      <w:r w:rsidR="006E0809">
        <w:rPr>
          <w:rFonts w:ascii="Times New Roman" w:hAnsi="Times New Roman" w:cs="Times New Roman"/>
          <w:sz w:val="24"/>
          <w:szCs w:val="24"/>
        </w:rPr>
        <w:t>quella</w:t>
      </w:r>
      <w:r w:rsidR="006E0809" w:rsidRPr="00BC6C60">
        <w:rPr>
          <w:rFonts w:ascii="Times New Roman" w:hAnsi="Times New Roman" w:cs="Times New Roman"/>
          <w:sz w:val="24"/>
          <w:szCs w:val="24"/>
        </w:rPr>
        <w:t xml:space="preserve"> decisoria</w:t>
      </w:r>
      <w:r w:rsidR="006E0809">
        <w:rPr>
          <w:rFonts w:ascii="Times New Roman" w:hAnsi="Times New Roman" w:cs="Times New Roman"/>
          <w:sz w:val="24"/>
          <w:szCs w:val="24"/>
        </w:rPr>
        <w:t xml:space="preserve"> del procedimento relativo all’esercizio del </w:t>
      </w:r>
      <w:proofErr w:type="spellStart"/>
      <w:r w:rsidR="006E0809" w:rsidRPr="00B26621">
        <w:rPr>
          <w:rFonts w:ascii="Times New Roman" w:hAnsi="Times New Roman" w:cs="Times New Roman"/>
          <w:i/>
          <w:sz w:val="24"/>
          <w:szCs w:val="24"/>
        </w:rPr>
        <w:t>golden</w:t>
      </w:r>
      <w:proofErr w:type="spellEnd"/>
      <w:r w:rsidR="006E0809" w:rsidRPr="00B26621">
        <w:rPr>
          <w:rFonts w:ascii="Times New Roman" w:hAnsi="Times New Roman" w:cs="Times New Roman"/>
          <w:i/>
          <w:sz w:val="24"/>
          <w:szCs w:val="24"/>
        </w:rPr>
        <w:t xml:space="preserve"> </w:t>
      </w:r>
      <w:proofErr w:type="spellStart"/>
      <w:r w:rsidR="006E0809" w:rsidRPr="00B26621">
        <w:rPr>
          <w:rFonts w:ascii="Times New Roman" w:hAnsi="Times New Roman" w:cs="Times New Roman"/>
          <w:i/>
          <w:sz w:val="24"/>
          <w:szCs w:val="24"/>
        </w:rPr>
        <w:t>power</w:t>
      </w:r>
      <w:proofErr w:type="spellEnd"/>
      <w:r w:rsidR="006F7F13">
        <w:rPr>
          <w:rFonts w:ascii="Times New Roman" w:hAnsi="Times New Roman" w:cs="Times New Roman"/>
          <w:sz w:val="24"/>
          <w:szCs w:val="24"/>
        </w:rPr>
        <w:t>: si è trattato d</w:t>
      </w:r>
      <w:r w:rsidR="006E0809" w:rsidRPr="00BC6C60">
        <w:rPr>
          <w:rFonts w:ascii="Times New Roman" w:hAnsi="Times New Roman" w:cs="Times New Roman"/>
          <w:sz w:val="24"/>
          <w:szCs w:val="24"/>
        </w:rPr>
        <w:t>i un caso</w:t>
      </w:r>
      <w:r w:rsidR="006E0809">
        <w:rPr>
          <w:rFonts w:ascii="Times New Roman" w:hAnsi="Times New Roman" w:cs="Times New Roman"/>
          <w:sz w:val="24"/>
          <w:szCs w:val="24"/>
        </w:rPr>
        <w:t xml:space="preserve"> </w:t>
      </w:r>
      <w:r w:rsidR="006F7F13">
        <w:rPr>
          <w:rFonts w:ascii="Times New Roman" w:hAnsi="Times New Roman" w:cs="Times New Roman"/>
          <w:sz w:val="24"/>
          <w:szCs w:val="24"/>
        </w:rPr>
        <w:t xml:space="preserve">indubbiamente </w:t>
      </w:r>
      <w:r w:rsidR="006E0809">
        <w:rPr>
          <w:rFonts w:ascii="Times New Roman" w:hAnsi="Times New Roman" w:cs="Times New Roman"/>
          <w:sz w:val="24"/>
          <w:szCs w:val="24"/>
        </w:rPr>
        <w:t>singolare</w:t>
      </w:r>
      <w:r w:rsidR="006E0809" w:rsidRPr="00BC6C60">
        <w:rPr>
          <w:rFonts w:ascii="Times New Roman" w:hAnsi="Times New Roman" w:cs="Times New Roman"/>
          <w:sz w:val="24"/>
          <w:szCs w:val="24"/>
        </w:rPr>
        <w:t xml:space="preserve"> nel quale l’istruttoria era stata nel senso </w:t>
      </w:r>
      <w:r w:rsidR="006E0809">
        <w:rPr>
          <w:rFonts w:ascii="Times New Roman" w:hAnsi="Times New Roman" w:cs="Times New Roman"/>
          <w:sz w:val="24"/>
          <w:szCs w:val="24"/>
        </w:rPr>
        <w:t>di proporre il non esercizio dei poteri speciali, sebbene formulando delle</w:t>
      </w:r>
      <w:r w:rsidR="006E0809" w:rsidRPr="00BC6C60">
        <w:rPr>
          <w:rFonts w:ascii="Times New Roman" w:hAnsi="Times New Roman" w:cs="Times New Roman"/>
          <w:sz w:val="24"/>
          <w:szCs w:val="24"/>
        </w:rPr>
        <w:t xml:space="preserve"> raccomandazioni, per quanto articolate</w:t>
      </w:r>
      <w:r w:rsidR="00742FB9">
        <w:rPr>
          <w:rFonts w:ascii="Times New Roman" w:hAnsi="Times New Roman" w:cs="Times New Roman"/>
          <w:sz w:val="24"/>
          <w:szCs w:val="24"/>
        </w:rPr>
        <w:t xml:space="preserve"> e simili piuttosto a delle prescrizioni di esercizio</w:t>
      </w:r>
      <w:r w:rsidR="006E0809" w:rsidRPr="00BC6C60">
        <w:rPr>
          <w:rFonts w:ascii="Times New Roman" w:hAnsi="Times New Roman" w:cs="Times New Roman"/>
          <w:sz w:val="24"/>
          <w:szCs w:val="24"/>
        </w:rPr>
        <w:t xml:space="preserve">, </w:t>
      </w:r>
      <w:r w:rsidR="00742FB9">
        <w:rPr>
          <w:rFonts w:ascii="Times New Roman" w:hAnsi="Times New Roman" w:cs="Times New Roman"/>
          <w:sz w:val="24"/>
          <w:szCs w:val="24"/>
        </w:rPr>
        <w:t>ma poi</w:t>
      </w:r>
      <w:r w:rsidR="006E0809">
        <w:rPr>
          <w:rFonts w:ascii="Times New Roman" w:hAnsi="Times New Roman" w:cs="Times New Roman"/>
          <w:sz w:val="24"/>
          <w:szCs w:val="24"/>
        </w:rPr>
        <w:t xml:space="preserve"> all’esito del Consiglio dei Ministri </w:t>
      </w:r>
      <w:r w:rsidR="006E0809" w:rsidRPr="00BC6C60">
        <w:rPr>
          <w:rFonts w:ascii="Times New Roman" w:hAnsi="Times New Roman" w:cs="Times New Roman"/>
          <w:sz w:val="24"/>
          <w:szCs w:val="24"/>
        </w:rPr>
        <w:t xml:space="preserve">la decisione </w:t>
      </w:r>
      <w:r w:rsidR="006E0809">
        <w:rPr>
          <w:rFonts w:ascii="Times New Roman" w:hAnsi="Times New Roman" w:cs="Times New Roman"/>
          <w:sz w:val="24"/>
          <w:szCs w:val="24"/>
        </w:rPr>
        <w:t>era stata</w:t>
      </w:r>
      <w:r w:rsidR="00742FB9">
        <w:rPr>
          <w:rFonts w:ascii="Times New Roman" w:hAnsi="Times New Roman" w:cs="Times New Roman"/>
          <w:sz w:val="24"/>
          <w:szCs w:val="24"/>
        </w:rPr>
        <w:t xml:space="preserve"> addirittura</w:t>
      </w:r>
      <w:r w:rsidR="006E0809">
        <w:rPr>
          <w:rFonts w:ascii="Times New Roman" w:hAnsi="Times New Roman" w:cs="Times New Roman"/>
          <w:sz w:val="24"/>
          <w:szCs w:val="24"/>
        </w:rPr>
        <w:t xml:space="preserve"> di vie</w:t>
      </w:r>
      <w:r w:rsidR="006E0809" w:rsidRPr="00BC6C60">
        <w:rPr>
          <w:rFonts w:ascii="Times New Roman" w:hAnsi="Times New Roman" w:cs="Times New Roman"/>
          <w:sz w:val="24"/>
          <w:szCs w:val="24"/>
        </w:rPr>
        <w:t>t</w:t>
      </w:r>
      <w:r w:rsidR="006E0809">
        <w:rPr>
          <w:rFonts w:ascii="Times New Roman" w:hAnsi="Times New Roman" w:cs="Times New Roman"/>
          <w:sz w:val="24"/>
          <w:szCs w:val="24"/>
        </w:rPr>
        <w:t xml:space="preserve">are l’operazione, </w:t>
      </w:r>
      <w:r w:rsidR="00742FB9">
        <w:rPr>
          <w:rFonts w:ascii="Times New Roman" w:hAnsi="Times New Roman" w:cs="Times New Roman"/>
          <w:sz w:val="24"/>
          <w:szCs w:val="24"/>
        </w:rPr>
        <w:t xml:space="preserve">sulla base di fatti  e informazioni di </w:t>
      </w:r>
      <w:r w:rsidR="00742FB9" w:rsidRPr="00742FB9">
        <w:rPr>
          <w:rFonts w:ascii="Times New Roman" w:hAnsi="Times New Roman" w:cs="Times New Roman"/>
          <w:i/>
          <w:sz w:val="24"/>
          <w:szCs w:val="24"/>
        </w:rPr>
        <w:t>intelligence</w:t>
      </w:r>
      <w:r w:rsidR="00742FB9">
        <w:rPr>
          <w:rFonts w:ascii="Times New Roman" w:hAnsi="Times New Roman" w:cs="Times New Roman"/>
          <w:sz w:val="24"/>
          <w:szCs w:val="24"/>
        </w:rPr>
        <w:t xml:space="preserve"> che non erano emersi dalla precedente istruttoria</w:t>
      </w:r>
      <w:r w:rsidR="006E0809" w:rsidRPr="00BC6C60">
        <w:rPr>
          <w:rFonts w:ascii="Times New Roman" w:hAnsi="Times New Roman" w:cs="Times New Roman"/>
          <w:sz w:val="24"/>
          <w:szCs w:val="24"/>
        </w:rPr>
        <w:t>.</w:t>
      </w:r>
    </w:p>
    <w:p w:rsidR="00EE3FF6" w:rsidRPr="00BC6C60" w:rsidRDefault="00742FB9"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 occasi</w:t>
      </w:r>
      <w:r w:rsidR="00B26621">
        <w:rPr>
          <w:rFonts w:ascii="Times New Roman" w:hAnsi="Times New Roman" w:cs="Times New Roman"/>
          <w:sz w:val="24"/>
          <w:szCs w:val="24"/>
        </w:rPr>
        <w:t>one di un diverso  contenzioso su</w:t>
      </w:r>
      <w:r w:rsidRPr="00BC6C60">
        <w:rPr>
          <w:rFonts w:ascii="Times New Roman" w:hAnsi="Times New Roman" w:cs="Times New Roman"/>
          <w:sz w:val="24"/>
          <w:szCs w:val="24"/>
        </w:rPr>
        <w:t xml:space="preserve"> una decisione</w:t>
      </w:r>
      <w:r>
        <w:rPr>
          <w:rFonts w:ascii="Times New Roman" w:hAnsi="Times New Roman" w:cs="Times New Roman"/>
          <w:sz w:val="24"/>
          <w:szCs w:val="24"/>
        </w:rPr>
        <w:t xml:space="preserve"> del Governo</w:t>
      </w:r>
      <w:r w:rsidRPr="00BC6C60">
        <w:rPr>
          <w:rFonts w:ascii="Times New Roman" w:hAnsi="Times New Roman" w:cs="Times New Roman"/>
          <w:sz w:val="24"/>
          <w:szCs w:val="24"/>
        </w:rPr>
        <w:t xml:space="preserve"> di accertamento della violazione del dovere di notifica</w:t>
      </w:r>
      <w:r w:rsidR="00BB24E1">
        <w:rPr>
          <w:rFonts w:ascii="Times New Roman" w:hAnsi="Times New Roman" w:cs="Times New Roman"/>
          <w:sz w:val="24"/>
          <w:szCs w:val="24"/>
        </w:rPr>
        <w:t xml:space="preserve"> - </w:t>
      </w:r>
      <w:r w:rsidR="00A33A1E">
        <w:rPr>
          <w:rFonts w:ascii="Times New Roman" w:hAnsi="Times New Roman" w:cs="Times New Roman"/>
          <w:sz w:val="24"/>
          <w:szCs w:val="24"/>
        </w:rPr>
        <w:t>nel</w:t>
      </w:r>
      <w:r>
        <w:rPr>
          <w:rFonts w:ascii="Times New Roman" w:hAnsi="Times New Roman" w:cs="Times New Roman"/>
          <w:sz w:val="24"/>
          <w:szCs w:val="24"/>
        </w:rPr>
        <w:t>la vicenda Vivendi-Telecom</w:t>
      </w:r>
      <w:r w:rsidR="00BB24E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5986">
        <w:rPr>
          <w:rFonts w:ascii="Times New Roman" w:hAnsi="Times New Roman" w:cs="Times New Roman"/>
          <w:sz w:val="24"/>
          <w:szCs w:val="24"/>
        </w:rPr>
        <w:t xml:space="preserve"> </w:t>
      </w:r>
      <w:r w:rsidR="002A23BE" w:rsidRPr="00805986">
        <w:rPr>
          <w:rFonts w:ascii="Times New Roman" w:hAnsi="Times New Roman" w:cs="Times New Roman"/>
        </w:rPr>
        <w:t>Tar Lazio, sez. I, 6 settembre 2022, n. 11508</w:t>
      </w:r>
      <w:r w:rsidR="002A23BE">
        <w:rPr>
          <w:rFonts w:ascii="Times New Roman" w:hAnsi="Times New Roman" w:cs="Times New Roman"/>
          <w:sz w:val="24"/>
          <w:szCs w:val="24"/>
        </w:rPr>
        <w:t xml:space="preserve"> e </w:t>
      </w:r>
      <w:proofErr w:type="spellStart"/>
      <w:r w:rsidR="002A23BE" w:rsidRPr="00805986">
        <w:rPr>
          <w:rFonts w:ascii="Times New Roman" w:hAnsi="Times New Roman" w:cs="Times New Roman"/>
        </w:rPr>
        <w:t>Cons</w:t>
      </w:r>
      <w:proofErr w:type="spellEnd"/>
      <w:r w:rsidR="002A23BE" w:rsidRPr="00805986">
        <w:rPr>
          <w:rFonts w:ascii="Times New Roman" w:hAnsi="Times New Roman" w:cs="Times New Roman"/>
        </w:rPr>
        <w:t>. Stato, sez. I</w:t>
      </w:r>
      <w:r w:rsidR="002A23BE">
        <w:rPr>
          <w:rFonts w:ascii="Times New Roman" w:hAnsi="Times New Roman" w:cs="Times New Roman"/>
        </w:rPr>
        <w:t xml:space="preserve">V, </w:t>
      </w:r>
      <w:r w:rsidR="002A23BE" w:rsidRPr="00805986">
        <w:rPr>
          <w:rFonts w:ascii="Times New Roman" w:hAnsi="Times New Roman" w:cs="Times New Roman"/>
        </w:rPr>
        <w:t xml:space="preserve">5 luglio 2023, n. </w:t>
      </w:r>
      <w:r w:rsidR="002A23BE">
        <w:rPr>
          <w:rFonts w:ascii="Times New Roman" w:hAnsi="Times New Roman" w:cs="Times New Roman"/>
        </w:rPr>
        <w:t>6575</w:t>
      </w:r>
      <w:r w:rsidR="002A23BE" w:rsidRPr="00805986">
        <w:rPr>
          <w:rFonts w:ascii="Times New Roman" w:hAnsi="Times New Roman" w:cs="Times New Roman"/>
        </w:rPr>
        <w:t xml:space="preserve"> </w:t>
      </w:r>
      <w:r w:rsidR="00B26621">
        <w:rPr>
          <w:rFonts w:ascii="Times New Roman" w:hAnsi="Times New Roman" w:cs="Times New Roman"/>
          <w:sz w:val="24"/>
          <w:szCs w:val="24"/>
        </w:rPr>
        <w:t>s</w:t>
      </w:r>
      <w:r w:rsidR="00833E69">
        <w:rPr>
          <w:rFonts w:ascii="Times New Roman" w:hAnsi="Times New Roman" w:cs="Times New Roman"/>
          <w:sz w:val="24"/>
          <w:szCs w:val="24"/>
        </w:rPr>
        <w:t>i s</w:t>
      </w:r>
      <w:r w:rsidR="00B26621">
        <w:rPr>
          <w:rFonts w:ascii="Times New Roman" w:hAnsi="Times New Roman" w:cs="Times New Roman"/>
          <w:sz w:val="24"/>
          <w:szCs w:val="24"/>
        </w:rPr>
        <w:t>ono soffermati</w:t>
      </w:r>
      <w:r w:rsidR="00EE3FF6" w:rsidRPr="00BC6C60">
        <w:rPr>
          <w:rFonts w:ascii="Times New Roman" w:hAnsi="Times New Roman" w:cs="Times New Roman"/>
          <w:sz w:val="24"/>
          <w:szCs w:val="24"/>
        </w:rPr>
        <w:t xml:space="preserve"> sulle conseguenze</w:t>
      </w:r>
      <w:r w:rsidR="00EE3FF6">
        <w:rPr>
          <w:rFonts w:ascii="Times New Roman" w:hAnsi="Times New Roman" w:cs="Times New Roman"/>
          <w:sz w:val="24"/>
          <w:szCs w:val="24"/>
        </w:rPr>
        <w:t xml:space="preserve"> pubblicistiche (mancata decorrenza del termine di esercizio dei poteri speciali; applicazione della sanzione) e privatistiche</w:t>
      </w:r>
      <w:r w:rsidR="00EE3FF6" w:rsidRPr="00BC6C60">
        <w:rPr>
          <w:rFonts w:ascii="Times New Roman" w:hAnsi="Times New Roman" w:cs="Times New Roman"/>
          <w:sz w:val="24"/>
          <w:szCs w:val="24"/>
        </w:rPr>
        <w:t xml:space="preserve"> (sospensione dei poteri di voto, nullità delle delibere, eventuale sanzione pecuniaria)</w:t>
      </w:r>
      <w:r>
        <w:rPr>
          <w:rFonts w:ascii="Times New Roman" w:hAnsi="Times New Roman" w:cs="Times New Roman"/>
          <w:sz w:val="24"/>
          <w:szCs w:val="24"/>
        </w:rPr>
        <w:t xml:space="preserve"> della omessa notifica,</w:t>
      </w:r>
      <w:r w:rsidR="00EE3FF6">
        <w:rPr>
          <w:rFonts w:ascii="Times New Roman" w:hAnsi="Times New Roman" w:cs="Times New Roman"/>
          <w:sz w:val="24"/>
          <w:szCs w:val="24"/>
        </w:rPr>
        <w:t xml:space="preserve"> esamina</w:t>
      </w:r>
      <w:r>
        <w:rPr>
          <w:rFonts w:ascii="Times New Roman" w:hAnsi="Times New Roman" w:cs="Times New Roman"/>
          <w:sz w:val="24"/>
          <w:szCs w:val="24"/>
        </w:rPr>
        <w:t>ndo</w:t>
      </w:r>
      <w:r w:rsidR="00EE3FF6">
        <w:rPr>
          <w:rFonts w:ascii="Times New Roman" w:hAnsi="Times New Roman" w:cs="Times New Roman"/>
          <w:sz w:val="24"/>
          <w:szCs w:val="24"/>
        </w:rPr>
        <w:t xml:space="preserve"> la compatibilità della normativa italiana con il diritto europeo</w:t>
      </w:r>
      <w:r w:rsidR="00EE3FF6" w:rsidRPr="00BC6C60">
        <w:rPr>
          <w:rFonts w:ascii="Times New Roman" w:hAnsi="Times New Roman" w:cs="Times New Roman"/>
          <w:sz w:val="24"/>
          <w:szCs w:val="24"/>
        </w:rPr>
        <w:t>.</w:t>
      </w:r>
      <w:r w:rsidR="00E43E9E">
        <w:rPr>
          <w:rFonts w:ascii="Times New Roman" w:hAnsi="Times New Roman" w:cs="Times New Roman"/>
          <w:sz w:val="24"/>
          <w:szCs w:val="24"/>
        </w:rPr>
        <w:t xml:space="preserve"> Sulla stessa vicenda </w:t>
      </w:r>
      <w:r w:rsidR="007C5F8C">
        <w:rPr>
          <w:rFonts w:ascii="Times New Roman" w:hAnsi="Times New Roman" w:cs="Times New Roman"/>
          <w:sz w:val="24"/>
          <w:szCs w:val="24"/>
        </w:rPr>
        <w:t>sono poi</w:t>
      </w:r>
      <w:r w:rsidR="00E43E9E">
        <w:rPr>
          <w:rFonts w:ascii="Times New Roman" w:hAnsi="Times New Roman" w:cs="Times New Roman"/>
          <w:sz w:val="24"/>
          <w:szCs w:val="24"/>
        </w:rPr>
        <w:t xml:space="preserve"> intervenut</w:t>
      </w:r>
      <w:r w:rsidR="007C5F8C">
        <w:rPr>
          <w:rFonts w:ascii="Times New Roman" w:hAnsi="Times New Roman" w:cs="Times New Roman"/>
          <w:sz w:val="24"/>
          <w:szCs w:val="24"/>
        </w:rPr>
        <w:t>i, più di recente, da un lato</w:t>
      </w:r>
      <w:r w:rsidR="00E43E9E">
        <w:rPr>
          <w:rFonts w:ascii="Times New Roman" w:hAnsi="Times New Roman" w:cs="Times New Roman"/>
          <w:sz w:val="24"/>
          <w:szCs w:val="24"/>
        </w:rPr>
        <w:t xml:space="preserve"> il Tar Lazio, sez. I, 23 maggio 2025, n. 9992, respingendo il ricorso proposto da Tim sulla sanzione pecuniaria applicatale per la </w:t>
      </w:r>
      <w:r w:rsidR="00E43E9E">
        <w:rPr>
          <w:rFonts w:ascii="Times New Roman" w:hAnsi="Times New Roman" w:cs="Times New Roman"/>
          <w:sz w:val="24"/>
          <w:szCs w:val="24"/>
        </w:rPr>
        <w:lastRenderedPageBreak/>
        <w:t>violazione dell’obbligo di notific</w:t>
      </w:r>
      <w:r w:rsidR="007C5F8C">
        <w:rPr>
          <w:rFonts w:ascii="Times New Roman" w:hAnsi="Times New Roman" w:cs="Times New Roman"/>
          <w:sz w:val="24"/>
          <w:szCs w:val="24"/>
        </w:rPr>
        <w:t>a; e, dall’altro lato, la sezione consultiva del Consiglio di Stato, investita del parere sui ricorsi straordinari proposti nei confronti degli atti di esercizio dei poteri speciali, consistiti nell’imposizione di prescrizioni e condizioni (pareri 453 e 454 del 2025, entrambi nel senso della reiezione dei ricorsi).</w:t>
      </w:r>
    </w:p>
    <w:p w:rsidR="00EE3FF6" w:rsidRPr="00BC6C60" w:rsidRDefault="007C5F8C"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BC6C60">
        <w:rPr>
          <w:rFonts w:ascii="Times New Roman" w:hAnsi="Times New Roman" w:cs="Times New Roman"/>
          <w:sz w:val="24"/>
          <w:szCs w:val="24"/>
        </w:rPr>
        <w:t xml:space="preserve">ncora </w:t>
      </w:r>
      <w:r>
        <w:rPr>
          <w:rFonts w:ascii="Times New Roman" w:hAnsi="Times New Roman" w:cs="Times New Roman"/>
          <w:sz w:val="24"/>
          <w:szCs w:val="24"/>
        </w:rPr>
        <w:t>d</w:t>
      </w:r>
      <w:r w:rsidR="00EE3FF6" w:rsidRPr="00BC6C60">
        <w:rPr>
          <w:rFonts w:ascii="Times New Roman" w:hAnsi="Times New Roman" w:cs="Times New Roman"/>
          <w:sz w:val="24"/>
          <w:szCs w:val="24"/>
        </w:rPr>
        <w:t xml:space="preserve">i recente </w:t>
      </w:r>
      <w:r w:rsidR="0033750C">
        <w:rPr>
          <w:rFonts w:ascii="Times New Roman" w:hAnsi="Times New Roman" w:cs="Times New Roman"/>
          <w:sz w:val="24"/>
          <w:szCs w:val="24"/>
        </w:rPr>
        <w:t>il giudice</w:t>
      </w:r>
      <w:r w:rsidR="00833E69">
        <w:rPr>
          <w:rFonts w:ascii="Times New Roman" w:hAnsi="Times New Roman" w:cs="Times New Roman"/>
          <w:sz w:val="24"/>
          <w:szCs w:val="24"/>
        </w:rPr>
        <w:t xml:space="preserve"> amministrativo</w:t>
      </w:r>
      <w:r w:rsidR="0033750C">
        <w:rPr>
          <w:rFonts w:ascii="Times New Roman" w:hAnsi="Times New Roman" w:cs="Times New Roman"/>
          <w:sz w:val="24"/>
          <w:szCs w:val="24"/>
        </w:rPr>
        <w:t xml:space="preserve"> di primo grado</w:t>
      </w:r>
      <w:r w:rsidR="002A23BE">
        <w:rPr>
          <w:rFonts w:ascii="Times New Roman" w:hAnsi="Times New Roman" w:cs="Times New Roman"/>
          <w:sz w:val="24"/>
          <w:szCs w:val="24"/>
        </w:rPr>
        <w:t xml:space="preserve"> (</w:t>
      </w:r>
      <w:r w:rsidR="002A23BE" w:rsidRPr="0033750C">
        <w:rPr>
          <w:rFonts w:ascii="Times New Roman" w:hAnsi="Times New Roman" w:cs="Times New Roman"/>
        </w:rPr>
        <w:t>Tar Lazio, sez. I, 22 maggio 2024, n. 10275</w:t>
      </w:r>
      <w:r w:rsidR="002A23BE">
        <w:rPr>
          <w:rFonts w:ascii="Times New Roman" w:hAnsi="Times New Roman" w:cs="Times New Roman"/>
        </w:rPr>
        <w:t xml:space="preserve"> sentenza sulla quale è pendente l’appello) </w:t>
      </w:r>
      <w:r w:rsidR="0033750C">
        <w:rPr>
          <w:rFonts w:ascii="Times New Roman" w:hAnsi="Times New Roman" w:cs="Times New Roman"/>
          <w:sz w:val="24"/>
          <w:szCs w:val="24"/>
        </w:rPr>
        <w:t>si è occupato</w:t>
      </w:r>
      <w:r w:rsidR="00742FB9">
        <w:rPr>
          <w:rFonts w:ascii="Times New Roman" w:hAnsi="Times New Roman" w:cs="Times New Roman"/>
          <w:sz w:val="24"/>
          <w:szCs w:val="24"/>
        </w:rPr>
        <w:t xml:space="preserve"> di</w:t>
      </w:r>
      <w:r w:rsidR="00EE3FF6" w:rsidRPr="00BC6C60">
        <w:rPr>
          <w:rFonts w:ascii="Times New Roman" w:hAnsi="Times New Roman" w:cs="Times New Roman"/>
          <w:sz w:val="24"/>
          <w:szCs w:val="24"/>
        </w:rPr>
        <w:t xml:space="preserve"> una decisione di esercizio dei poteri speciali mediante l’imposizione di prescrizioni, nei confronti di una società specializzata nella fornitura di software e servizi di outso</w:t>
      </w:r>
      <w:r w:rsidR="00EE3FF6">
        <w:rPr>
          <w:rFonts w:ascii="Times New Roman" w:hAnsi="Times New Roman" w:cs="Times New Roman"/>
          <w:sz w:val="24"/>
          <w:szCs w:val="24"/>
        </w:rPr>
        <w:t>u</w:t>
      </w:r>
      <w:r w:rsidR="00EE3FF6" w:rsidRPr="00BC6C60">
        <w:rPr>
          <w:rFonts w:ascii="Times New Roman" w:hAnsi="Times New Roman" w:cs="Times New Roman"/>
          <w:sz w:val="24"/>
          <w:szCs w:val="24"/>
        </w:rPr>
        <w:t xml:space="preserve">rcing informatico per il mercato bancario, </w:t>
      </w:r>
      <w:proofErr w:type="spellStart"/>
      <w:r w:rsidR="00EE3FF6" w:rsidRPr="00BC6C60">
        <w:rPr>
          <w:rFonts w:ascii="Times New Roman" w:hAnsi="Times New Roman" w:cs="Times New Roman"/>
          <w:sz w:val="24"/>
          <w:szCs w:val="24"/>
        </w:rPr>
        <w:t>Cedacri</w:t>
      </w:r>
      <w:proofErr w:type="spellEnd"/>
      <w:r w:rsidR="00EE3FF6" w:rsidRPr="00BC6C60">
        <w:rPr>
          <w:rFonts w:ascii="Times New Roman" w:hAnsi="Times New Roman" w:cs="Times New Roman"/>
          <w:sz w:val="24"/>
          <w:szCs w:val="24"/>
        </w:rPr>
        <w:t xml:space="preserve">, il cui capitale </w:t>
      </w:r>
      <w:r w:rsidR="00B15071">
        <w:rPr>
          <w:rFonts w:ascii="Times New Roman" w:hAnsi="Times New Roman" w:cs="Times New Roman"/>
          <w:sz w:val="24"/>
          <w:szCs w:val="24"/>
        </w:rPr>
        <w:t>era</w:t>
      </w:r>
      <w:r w:rsidR="00EE3FF6" w:rsidRPr="00BC6C60">
        <w:rPr>
          <w:rFonts w:ascii="Times New Roman" w:hAnsi="Times New Roman" w:cs="Times New Roman"/>
          <w:sz w:val="24"/>
          <w:szCs w:val="24"/>
        </w:rPr>
        <w:t xml:space="preserve"> stato acquistato da un gruppo di imprese del Lussemburgo </w:t>
      </w:r>
      <w:r w:rsidR="00B15071">
        <w:rPr>
          <w:rFonts w:ascii="Times New Roman" w:hAnsi="Times New Roman" w:cs="Times New Roman"/>
          <w:sz w:val="24"/>
          <w:szCs w:val="24"/>
        </w:rPr>
        <w:t>sotto il</w:t>
      </w:r>
      <w:r w:rsidR="00EE3FF6" w:rsidRPr="00BC6C60">
        <w:rPr>
          <w:rFonts w:ascii="Times New Roman" w:hAnsi="Times New Roman" w:cs="Times New Roman"/>
          <w:sz w:val="24"/>
          <w:szCs w:val="24"/>
        </w:rPr>
        <w:t xml:space="preserve"> controllo</w:t>
      </w:r>
      <w:r w:rsidR="00B15071">
        <w:rPr>
          <w:rFonts w:ascii="Times New Roman" w:hAnsi="Times New Roman" w:cs="Times New Roman"/>
          <w:sz w:val="24"/>
          <w:szCs w:val="24"/>
        </w:rPr>
        <w:t xml:space="preserve"> di</w:t>
      </w:r>
      <w:r w:rsidR="00EE3FF6" w:rsidRPr="00BC6C60">
        <w:rPr>
          <w:rFonts w:ascii="Times New Roman" w:hAnsi="Times New Roman" w:cs="Times New Roman"/>
          <w:sz w:val="24"/>
          <w:szCs w:val="24"/>
        </w:rPr>
        <w:t xml:space="preserve"> una persona fisica italiana. L’esercizio dei poteri speciali non aveva riguardato l’acquisizione ma l’emissione di un prestito obbligazionario e in particolare la garanzia costituita da</w:t>
      </w:r>
      <w:r w:rsidR="00B15071">
        <w:rPr>
          <w:rFonts w:ascii="Times New Roman" w:hAnsi="Times New Roman" w:cs="Times New Roman"/>
          <w:sz w:val="24"/>
          <w:szCs w:val="24"/>
        </w:rPr>
        <w:t>l pegno</w:t>
      </w:r>
      <w:r w:rsidR="00EE3FF6" w:rsidRPr="00BC6C60">
        <w:rPr>
          <w:rFonts w:ascii="Times New Roman" w:hAnsi="Times New Roman" w:cs="Times New Roman"/>
          <w:sz w:val="24"/>
          <w:szCs w:val="24"/>
        </w:rPr>
        <w:t xml:space="preserve"> su azioni, conti correnti e crediti.</w:t>
      </w:r>
      <w:r w:rsidR="00B92322">
        <w:rPr>
          <w:rFonts w:ascii="Times New Roman" w:hAnsi="Times New Roman" w:cs="Times New Roman"/>
          <w:sz w:val="24"/>
          <w:szCs w:val="24"/>
        </w:rPr>
        <w:t xml:space="preserve"> </w:t>
      </w:r>
      <w:r w:rsidR="00EE3FF6" w:rsidRPr="00BC6C60">
        <w:rPr>
          <w:rFonts w:ascii="Times New Roman" w:hAnsi="Times New Roman" w:cs="Times New Roman"/>
          <w:sz w:val="24"/>
          <w:szCs w:val="24"/>
        </w:rPr>
        <w:t xml:space="preserve">Le prescrizioni, adottate ai sensi dell’art. 2 del </w:t>
      </w:r>
      <w:proofErr w:type="spellStart"/>
      <w:r w:rsidR="00EE3FF6" w:rsidRPr="00BC6C60">
        <w:rPr>
          <w:rFonts w:ascii="Times New Roman" w:hAnsi="Times New Roman" w:cs="Times New Roman"/>
          <w:sz w:val="24"/>
          <w:szCs w:val="24"/>
        </w:rPr>
        <w:t>d.l.</w:t>
      </w:r>
      <w:proofErr w:type="spellEnd"/>
      <w:r w:rsidR="00EE3FF6" w:rsidRPr="00BC6C60">
        <w:rPr>
          <w:rFonts w:ascii="Times New Roman" w:hAnsi="Times New Roman" w:cs="Times New Roman"/>
          <w:sz w:val="24"/>
          <w:szCs w:val="24"/>
        </w:rPr>
        <w:t xml:space="preserve"> 21/12, consistevano, in buona sostanza, nell’utilizzare il prestito in funzione degli investimenti piuttosto che della divisione degli utili.</w:t>
      </w:r>
    </w:p>
    <w:p w:rsidR="00EE3FF6" w:rsidRPr="00BC6C60" w:rsidRDefault="00EE3FF6" w:rsidP="00B93432">
      <w:pPr>
        <w:spacing w:line="360" w:lineRule="auto"/>
        <w:ind w:firstLine="709"/>
        <w:jc w:val="both"/>
        <w:rPr>
          <w:rFonts w:ascii="Times New Roman" w:hAnsi="Times New Roman" w:cs="Times New Roman"/>
          <w:sz w:val="24"/>
          <w:szCs w:val="24"/>
        </w:rPr>
      </w:pPr>
      <w:r w:rsidRPr="00BC6C60">
        <w:rPr>
          <w:rFonts w:ascii="Times New Roman" w:hAnsi="Times New Roman" w:cs="Times New Roman"/>
          <w:sz w:val="24"/>
          <w:szCs w:val="24"/>
        </w:rPr>
        <w:t>Il contenzioso si è appuntato</w:t>
      </w:r>
      <w:r w:rsidR="006F7F13">
        <w:rPr>
          <w:rFonts w:ascii="Times New Roman" w:hAnsi="Times New Roman" w:cs="Times New Roman"/>
          <w:sz w:val="24"/>
          <w:szCs w:val="24"/>
        </w:rPr>
        <w:t>, in tale circostanza,</w:t>
      </w:r>
      <w:r w:rsidRPr="00BC6C60">
        <w:rPr>
          <w:rFonts w:ascii="Times New Roman" w:hAnsi="Times New Roman" w:cs="Times New Roman"/>
          <w:sz w:val="24"/>
          <w:szCs w:val="24"/>
        </w:rPr>
        <w:t xml:space="preserve"> sulla sussistenza</w:t>
      </w:r>
      <w:r w:rsidR="00B92322">
        <w:rPr>
          <w:rFonts w:ascii="Times New Roman" w:hAnsi="Times New Roman" w:cs="Times New Roman"/>
          <w:sz w:val="24"/>
          <w:szCs w:val="24"/>
        </w:rPr>
        <w:t xml:space="preserve"> dei presupposti, </w:t>
      </w:r>
      <w:r>
        <w:rPr>
          <w:rFonts w:ascii="Times New Roman" w:hAnsi="Times New Roman" w:cs="Times New Roman"/>
          <w:sz w:val="24"/>
          <w:szCs w:val="24"/>
        </w:rPr>
        <w:t xml:space="preserve">il ricorrente deducendo che </w:t>
      </w:r>
      <w:r w:rsidRPr="00BC6C60">
        <w:rPr>
          <w:rFonts w:ascii="Times New Roman" w:hAnsi="Times New Roman" w:cs="Times New Roman"/>
          <w:sz w:val="24"/>
          <w:szCs w:val="24"/>
        </w:rPr>
        <w:t>non sarebbe</w:t>
      </w:r>
      <w:r>
        <w:rPr>
          <w:rFonts w:ascii="Times New Roman" w:hAnsi="Times New Roman" w:cs="Times New Roman"/>
          <w:sz w:val="24"/>
          <w:szCs w:val="24"/>
        </w:rPr>
        <w:t>ro</w:t>
      </w:r>
      <w:r w:rsidRPr="00BC6C60">
        <w:rPr>
          <w:rFonts w:ascii="Times New Roman" w:hAnsi="Times New Roman" w:cs="Times New Roman"/>
          <w:sz w:val="24"/>
          <w:szCs w:val="24"/>
        </w:rPr>
        <w:t xml:space="preserve"> coinvolte tecnologie critiche, gli attivi non sarebbero strategici, i pegni sulle azioni, non prevedendo il trasferimento del</w:t>
      </w:r>
      <w:r w:rsidR="00B92322">
        <w:rPr>
          <w:rFonts w:ascii="Times New Roman" w:hAnsi="Times New Roman" w:cs="Times New Roman"/>
          <w:sz w:val="24"/>
          <w:szCs w:val="24"/>
        </w:rPr>
        <w:t xml:space="preserve"> voto, non sarebbero rilevanti. </w:t>
      </w:r>
      <w:r w:rsidRPr="00BC6C60">
        <w:rPr>
          <w:rFonts w:ascii="Times New Roman" w:hAnsi="Times New Roman" w:cs="Times New Roman"/>
          <w:sz w:val="24"/>
          <w:szCs w:val="24"/>
        </w:rPr>
        <w:t xml:space="preserve">La risposta del Tar è </w:t>
      </w:r>
      <w:r w:rsidR="00B15071">
        <w:rPr>
          <w:rFonts w:ascii="Times New Roman" w:hAnsi="Times New Roman" w:cs="Times New Roman"/>
          <w:sz w:val="24"/>
          <w:szCs w:val="24"/>
        </w:rPr>
        <w:t xml:space="preserve">stata </w:t>
      </w:r>
      <w:proofErr w:type="spellStart"/>
      <w:r w:rsidRPr="00BC6C60">
        <w:rPr>
          <w:rFonts w:ascii="Times New Roman" w:hAnsi="Times New Roman" w:cs="Times New Roman"/>
          <w:sz w:val="24"/>
          <w:szCs w:val="24"/>
        </w:rPr>
        <w:t>reiettiva</w:t>
      </w:r>
      <w:proofErr w:type="spellEnd"/>
      <w:r w:rsidRPr="00BC6C60">
        <w:rPr>
          <w:rFonts w:ascii="Times New Roman" w:hAnsi="Times New Roman" w:cs="Times New Roman"/>
          <w:sz w:val="24"/>
          <w:szCs w:val="24"/>
        </w:rPr>
        <w:t xml:space="preserve"> su tutta la linea, esaminando punto per punto le singole contestazioni, senza in questo caso indugiare in teorie sulla natura del potere e sull’ampiezza del sindacato giurisdizionale. Salvo il passaggio dove affronta la questione della costituzione (o meglio della estensione) dei pegni e della loro incidenza o meno sulla titolarità, il controllo o comunque la disponibilità della società. Qui la questione parrebbe essere quella della incidenza solo potenziale sul controllo della società: nell’immediato il controllo non </w:t>
      </w:r>
      <w:r w:rsidR="00B92322">
        <w:rPr>
          <w:rFonts w:ascii="Times New Roman" w:hAnsi="Times New Roman" w:cs="Times New Roman"/>
          <w:sz w:val="24"/>
          <w:szCs w:val="24"/>
        </w:rPr>
        <w:t>era</w:t>
      </w:r>
      <w:r w:rsidRPr="00BC6C60">
        <w:rPr>
          <w:rFonts w:ascii="Times New Roman" w:hAnsi="Times New Roman" w:cs="Times New Roman"/>
          <w:sz w:val="24"/>
          <w:szCs w:val="24"/>
        </w:rPr>
        <w:t xml:space="preserve"> toccato, dal momento che il creditore pignoratizio non </w:t>
      </w:r>
      <w:r w:rsidR="00B92322">
        <w:rPr>
          <w:rFonts w:ascii="Times New Roman" w:hAnsi="Times New Roman" w:cs="Times New Roman"/>
          <w:sz w:val="24"/>
          <w:szCs w:val="24"/>
        </w:rPr>
        <w:t>avrebbe disposto</w:t>
      </w:r>
      <w:r w:rsidRPr="00BC6C60">
        <w:rPr>
          <w:rFonts w:ascii="Times New Roman" w:hAnsi="Times New Roman" w:cs="Times New Roman"/>
          <w:sz w:val="24"/>
          <w:szCs w:val="24"/>
        </w:rPr>
        <w:t xml:space="preserve"> del diritto di voto (le parti </w:t>
      </w:r>
      <w:r w:rsidR="00B92322">
        <w:rPr>
          <w:rFonts w:ascii="Times New Roman" w:hAnsi="Times New Roman" w:cs="Times New Roman"/>
          <w:sz w:val="24"/>
          <w:szCs w:val="24"/>
        </w:rPr>
        <w:t>avevano</w:t>
      </w:r>
      <w:r w:rsidRPr="00BC6C60">
        <w:rPr>
          <w:rFonts w:ascii="Times New Roman" w:hAnsi="Times New Roman" w:cs="Times New Roman"/>
          <w:sz w:val="24"/>
          <w:szCs w:val="24"/>
        </w:rPr>
        <w:t xml:space="preserve"> derogato al 2352 c.c.) ma </w:t>
      </w:r>
      <w:r w:rsidR="00B92322">
        <w:rPr>
          <w:rFonts w:ascii="Times New Roman" w:hAnsi="Times New Roman" w:cs="Times New Roman"/>
          <w:sz w:val="24"/>
          <w:szCs w:val="24"/>
        </w:rPr>
        <w:t>avrebbe potuto</w:t>
      </w:r>
      <w:r w:rsidRPr="00BC6C60">
        <w:rPr>
          <w:rFonts w:ascii="Times New Roman" w:hAnsi="Times New Roman" w:cs="Times New Roman"/>
          <w:sz w:val="24"/>
          <w:szCs w:val="24"/>
        </w:rPr>
        <w:t xml:space="preserve"> esserlo in futuro ove mai gli obblighi del finanziamento non fossero </w:t>
      </w:r>
      <w:r w:rsidR="00B92322">
        <w:rPr>
          <w:rFonts w:ascii="Times New Roman" w:hAnsi="Times New Roman" w:cs="Times New Roman"/>
          <w:sz w:val="24"/>
          <w:szCs w:val="24"/>
        </w:rPr>
        <w:t xml:space="preserve">stati </w:t>
      </w:r>
      <w:r w:rsidRPr="00BC6C60">
        <w:rPr>
          <w:rFonts w:ascii="Times New Roman" w:hAnsi="Times New Roman" w:cs="Times New Roman"/>
          <w:sz w:val="24"/>
          <w:szCs w:val="24"/>
        </w:rPr>
        <w:t>adempiuti (ma anche in tale caso il diritto di voto sarebbe esercitato solo in assemblea straordinaria).</w:t>
      </w:r>
    </w:p>
    <w:p w:rsidR="00EE3FF6" w:rsidRPr="002212BD" w:rsidRDefault="00EE3FF6" w:rsidP="00B93432">
      <w:pPr>
        <w:spacing w:line="360" w:lineRule="auto"/>
        <w:ind w:firstLine="709"/>
        <w:jc w:val="both"/>
        <w:rPr>
          <w:rFonts w:ascii="Times New Roman" w:hAnsi="Times New Roman" w:cs="Times New Roman"/>
          <w:sz w:val="24"/>
          <w:szCs w:val="24"/>
        </w:rPr>
      </w:pPr>
      <w:r w:rsidRPr="00BC6C60">
        <w:rPr>
          <w:rFonts w:ascii="Times New Roman" w:hAnsi="Times New Roman" w:cs="Times New Roman"/>
          <w:sz w:val="24"/>
          <w:szCs w:val="24"/>
        </w:rPr>
        <w:t xml:space="preserve">Sul punto la sentenza pone a raffronto la natura eccezionale dei poteri speciali, che ne imporrebbe una stretta interpretazione, con le sue finalità, considerate preventive; </w:t>
      </w:r>
      <w:r w:rsidR="00B92322">
        <w:rPr>
          <w:rFonts w:ascii="Times New Roman" w:hAnsi="Times New Roman" w:cs="Times New Roman"/>
          <w:sz w:val="24"/>
          <w:szCs w:val="24"/>
        </w:rPr>
        <w:t>e finisce</w:t>
      </w:r>
      <w:r w:rsidRPr="00BC6C60">
        <w:rPr>
          <w:rFonts w:ascii="Times New Roman" w:hAnsi="Times New Roman" w:cs="Times New Roman"/>
          <w:sz w:val="24"/>
          <w:szCs w:val="24"/>
        </w:rPr>
        <w:t xml:space="preserve"> per dare preminenza alla prevenzione.</w:t>
      </w:r>
      <w:r w:rsidR="00B92322">
        <w:rPr>
          <w:rFonts w:ascii="Times New Roman" w:hAnsi="Times New Roman" w:cs="Times New Roman"/>
          <w:sz w:val="24"/>
          <w:szCs w:val="24"/>
        </w:rPr>
        <w:t xml:space="preserve"> </w:t>
      </w:r>
      <w:r w:rsidRPr="00BC6C60">
        <w:rPr>
          <w:rFonts w:ascii="Times New Roman" w:hAnsi="Times New Roman" w:cs="Times New Roman"/>
          <w:sz w:val="24"/>
          <w:szCs w:val="24"/>
        </w:rPr>
        <w:t>Ma così i poteri speciali a tutela dell’interesse nazionale rischiano di essere riorientati in funzione dell’attuazione di politiche economiche o industriali, magari anche opportune, ma che semmai richiederebbero l’impiego di altri strumenti, in altre sedi.</w:t>
      </w:r>
      <w:r w:rsidR="00B26621">
        <w:rPr>
          <w:rFonts w:ascii="Times New Roman" w:hAnsi="Times New Roman" w:cs="Times New Roman"/>
          <w:sz w:val="24"/>
          <w:szCs w:val="24"/>
        </w:rPr>
        <w:t xml:space="preserve"> </w:t>
      </w:r>
      <w:r w:rsidRPr="002212BD">
        <w:rPr>
          <w:rFonts w:ascii="Times New Roman" w:hAnsi="Times New Roman" w:cs="Times New Roman"/>
          <w:sz w:val="24"/>
          <w:szCs w:val="24"/>
        </w:rPr>
        <w:t>Il tutto in una vicenda intra-europea</w:t>
      </w:r>
      <w:r w:rsidR="00B92322">
        <w:rPr>
          <w:rFonts w:ascii="Times New Roman" w:hAnsi="Times New Roman" w:cs="Times New Roman"/>
          <w:sz w:val="24"/>
          <w:szCs w:val="24"/>
        </w:rPr>
        <w:t>.</w:t>
      </w:r>
    </w:p>
    <w:p w:rsidR="00EE3FF6" w:rsidRPr="002212BD" w:rsidRDefault="00B92322"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Non molto tempo prima era intervenuta </w:t>
      </w:r>
      <w:r w:rsidR="00EE3FF6" w:rsidRPr="002212BD">
        <w:rPr>
          <w:rFonts w:ascii="Times New Roman" w:hAnsi="Times New Roman" w:cs="Times New Roman"/>
          <w:sz w:val="24"/>
          <w:szCs w:val="24"/>
        </w:rPr>
        <w:t xml:space="preserve">Corte di giustizia UE </w:t>
      </w:r>
      <w:r w:rsidR="00D1786B">
        <w:rPr>
          <w:rFonts w:ascii="Times New Roman" w:hAnsi="Times New Roman" w:cs="Times New Roman"/>
          <w:sz w:val="24"/>
          <w:szCs w:val="24"/>
        </w:rPr>
        <w:t>13 luglio 2023, causa C 106/22,</w:t>
      </w:r>
      <w:r w:rsidR="006F7F13">
        <w:rPr>
          <w:rFonts w:ascii="Times New Roman" w:hAnsi="Times New Roman" w:cs="Times New Roman"/>
          <w:sz w:val="24"/>
          <w:szCs w:val="24"/>
        </w:rPr>
        <w:t xml:space="preserve"> su una questione pregiudiziale sollevata </w:t>
      </w:r>
      <w:r w:rsidR="00EE3FF6" w:rsidRPr="002212BD">
        <w:rPr>
          <w:rFonts w:ascii="Times New Roman" w:hAnsi="Times New Roman" w:cs="Times New Roman"/>
          <w:sz w:val="24"/>
          <w:szCs w:val="24"/>
        </w:rPr>
        <w:t xml:space="preserve">da una Corte </w:t>
      </w:r>
      <w:r w:rsidR="000433FA">
        <w:rPr>
          <w:rFonts w:ascii="Times New Roman" w:hAnsi="Times New Roman" w:cs="Times New Roman"/>
          <w:sz w:val="24"/>
          <w:szCs w:val="24"/>
        </w:rPr>
        <w:t>di Budapest</w:t>
      </w:r>
      <w:r w:rsidR="00EE3FF6" w:rsidRPr="002212BD">
        <w:rPr>
          <w:rFonts w:ascii="Times New Roman" w:hAnsi="Times New Roman" w:cs="Times New Roman"/>
          <w:sz w:val="24"/>
          <w:szCs w:val="24"/>
        </w:rPr>
        <w:t xml:space="preserve"> a fronte di poteri esercitati dal </w:t>
      </w:r>
      <w:r w:rsidR="00EE3FF6" w:rsidRPr="002212BD">
        <w:rPr>
          <w:rFonts w:ascii="Times New Roman" w:hAnsi="Times New Roman" w:cs="Times New Roman"/>
          <w:sz w:val="24"/>
          <w:szCs w:val="24"/>
        </w:rPr>
        <w:lastRenderedPageBreak/>
        <w:t>Governo</w:t>
      </w:r>
      <w:r w:rsidR="00EE3FF6">
        <w:rPr>
          <w:rFonts w:ascii="Times New Roman" w:hAnsi="Times New Roman" w:cs="Times New Roman"/>
          <w:sz w:val="24"/>
          <w:szCs w:val="24"/>
        </w:rPr>
        <w:t xml:space="preserve"> ungherese</w:t>
      </w:r>
      <w:r w:rsidR="00EE3FF6" w:rsidRPr="002212BD">
        <w:rPr>
          <w:rFonts w:ascii="Times New Roman" w:hAnsi="Times New Roman" w:cs="Times New Roman"/>
          <w:sz w:val="24"/>
          <w:szCs w:val="24"/>
        </w:rPr>
        <w:t xml:space="preserve"> che aveva vietat</w:t>
      </w:r>
      <w:r>
        <w:rPr>
          <w:rFonts w:ascii="Times New Roman" w:hAnsi="Times New Roman" w:cs="Times New Roman"/>
          <w:sz w:val="24"/>
          <w:szCs w:val="24"/>
        </w:rPr>
        <w:t>o l’acquisizione di una società</w:t>
      </w:r>
      <w:r w:rsidR="00EE3FF6" w:rsidRPr="002212BD">
        <w:rPr>
          <w:rFonts w:ascii="Times New Roman" w:hAnsi="Times New Roman" w:cs="Times New Roman"/>
          <w:sz w:val="24"/>
          <w:szCs w:val="24"/>
        </w:rPr>
        <w:t xml:space="preserve"> da parte di una società di diritto</w:t>
      </w:r>
      <w:r w:rsidR="00B26621">
        <w:rPr>
          <w:rFonts w:ascii="Times New Roman" w:hAnsi="Times New Roman" w:cs="Times New Roman"/>
          <w:sz w:val="24"/>
          <w:szCs w:val="24"/>
        </w:rPr>
        <w:t xml:space="preserve"> sempre</w:t>
      </w:r>
      <w:r w:rsidR="00EE3FF6" w:rsidRPr="002212BD">
        <w:rPr>
          <w:rFonts w:ascii="Times New Roman" w:hAnsi="Times New Roman" w:cs="Times New Roman"/>
          <w:sz w:val="24"/>
          <w:szCs w:val="24"/>
        </w:rPr>
        <w:t xml:space="preserve"> ungherese ma riconducibile, attraverso tutta una serie di passaggi (uno dei quali alle Bermuda), ad un cittadino irlandese.</w:t>
      </w:r>
      <w:r>
        <w:rPr>
          <w:rFonts w:ascii="Times New Roman" w:hAnsi="Times New Roman" w:cs="Times New Roman"/>
          <w:sz w:val="24"/>
          <w:szCs w:val="24"/>
        </w:rPr>
        <w:t xml:space="preserve"> Il settore interessato era quello </w:t>
      </w:r>
      <w:r w:rsidR="00B26621">
        <w:rPr>
          <w:rFonts w:ascii="Times New Roman" w:hAnsi="Times New Roman" w:cs="Times New Roman"/>
          <w:sz w:val="24"/>
          <w:szCs w:val="24"/>
        </w:rPr>
        <w:t>edile -</w:t>
      </w:r>
      <w:r w:rsidR="00EE3FF6" w:rsidRPr="002212BD">
        <w:rPr>
          <w:rFonts w:ascii="Times New Roman" w:hAnsi="Times New Roman" w:cs="Times New Roman"/>
          <w:sz w:val="24"/>
          <w:szCs w:val="24"/>
        </w:rPr>
        <w:t xml:space="preserve"> ghiaia, sabbia e argilla</w:t>
      </w:r>
      <w:r w:rsidR="00B26621">
        <w:rPr>
          <w:rFonts w:ascii="Times New Roman" w:hAnsi="Times New Roman" w:cs="Times New Roman"/>
          <w:sz w:val="24"/>
          <w:szCs w:val="24"/>
        </w:rPr>
        <w:t xml:space="preserve"> -</w:t>
      </w:r>
      <w:r w:rsidR="00EE3FF6" w:rsidRPr="002212BD">
        <w:rPr>
          <w:rFonts w:ascii="Times New Roman" w:hAnsi="Times New Roman" w:cs="Times New Roman"/>
          <w:sz w:val="24"/>
          <w:szCs w:val="24"/>
        </w:rPr>
        <w:t xml:space="preserve"> che la Corte considera non proprio come un interesse fondamentale.</w:t>
      </w:r>
    </w:p>
    <w:p w:rsidR="00EE3FF6" w:rsidRPr="002212BD" w:rsidRDefault="00EE3FF6" w:rsidP="00B93432">
      <w:pPr>
        <w:spacing w:line="360" w:lineRule="auto"/>
        <w:ind w:firstLine="709"/>
        <w:jc w:val="both"/>
        <w:rPr>
          <w:rFonts w:ascii="Times New Roman" w:hAnsi="Times New Roman" w:cs="Times New Roman"/>
          <w:sz w:val="24"/>
          <w:szCs w:val="24"/>
        </w:rPr>
      </w:pPr>
      <w:r w:rsidRPr="002212BD">
        <w:rPr>
          <w:rFonts w:ascii="Times New Roman" w:hAnsi="Times New Roman" w:cs="Times New Roman"/>
          <w:sz w:val="24"/>
          <w:szCs w:val="24"/>
        </w:rPr>
        <w:t xml:space="preserve">La Corte </w:t>
      </w:r>
      <w:r w:rsidR="00A33A1E">
        <w:rPr>
          <w:rFonts w:ascii="Times New Roman" w:hAnsi="Times New Roman" w:cs="Times New Roman"/>
          <w:sz w:val="24"/>
          <w:szCs w:val="24"/>
        </w:rPr>
        <w:t>ha ricordato</w:t>
      </w:r>
      <w:r w:rsidR="006F7F13">
        <w:rPr>
          <w:rFonts w:ascii="Times New Roman" w:hAnsi="Times New Roman" w:cs="Times New Roman"/>
          <w:sz w:val="24"/>
          <w:szCs w:val="24"/>
        </w:rPr>
        <w:t xml:space="preserve"> nell’occasione</w:t>
      </w:r>
      <w:r w:rsidRPr="002212BD">
        <w:rPr>
          <w:rFonts w:ascii="Times New Roman" w:hAnsi="Times New Roman" w:cs="Times New Roman"/>
          <w:sz w:val="24"/>
          <w:szCs w:val="24"/>
        </w:rPr>
        <w:t xml:space="preserve"> come la libertà fondamentale che viene in gioco, in questi casi, è la libertà di stabilimento e che tale libertà può essere invocata da una società che ha la sede nella UE quale che sia l’origine dei suoi azionisti.</w:t>
      </w:r>
      <w:r w:rsidR="00B92322">
        <w:rPr>
          <w:rFonts w:ascii="Times New Roman" w:hAnsi="Times New Roman" w:cs="Times New Roman"/>
          <w:sz w:val="24"/>
          <w:szCs w:val="24"/>
        </w:rPr>
        <w:t xml:space="preserve"> </w:t>
      </w:r>
      <w:r w:rsidRPr="002212BD">
        <w:rPr>
          <w:rFonts w:ascii="Times New Roman" w:hAnsi="Times New Roman" w:cs="Times New Roman"/>
          <w:sz w:val="24"/>
          <w:szCs w:val="24"/>
        </w:rPr>
        <w:t>Dopodiché la Corte ricorda come sulla base della sua costante giurisprudenza una restrizione ad una libertà fond</w:t>
      </w:r>
      <w:r>
        <w:rPr>
          <w:rFonts w:ascii="Times New Roman" w:hAnsi="Times New Roman" w:cs="Times New Roman"/>
          <w:sz w:val="24"/>
          <w:szCs w:val="24"/>
        </w:rPr>
        <w:t>amentale garantita dal Trattato</w:t>
      </w:r>
      <w:r w:rsidRPr="002212BD">
        <w:rPr>
          <w:rFonts w:ascii="Times New Roman" w:hAnsi="Times New Roman" w:cs="Times New Roman"/>
          <w:sz w:val="24"/>
          <w:szCs w:val="24"/>
        </w:rPr>
        <w:t xml:space="preserve"> può essere ammessa unicamente a condizione che la misura nazionale di cui trattasi sia giustificata da un motivo imperativo di interesse generale, sia idonea a garantire il raggiungimento dell’obiettivo da essa perseguito e non vada al di là di quanto necessario per ottenerlo. Per poi aggiungere che motivi di natura puramente economica, connessi alla promozione dell’economia nazionale o al buon funzionamento di quest’ultima, non possono servire come giustificazione di un ostacolo a una delle libertà fondamentali garantite dai Trattati.</w:t>
      </w:r>
    </w:p>
    <w:p w:rsidR="00EE3FF6" w:rsidRPr="002212BD" w:rsidRDefault="00EE3FF6" w:rsidP="00B93432">
      <w:pPr>
        <w:spacing w:line="360" w:lineRule="auto"/>
        <w:ind w:firstLine="709"/>
        <w:jc w:val="both"/>
        <w:rPr>
          <w:rFonts w:ascii="Times New Roman" w:hAnsi="Times New Roman" w:cs="Times New Roman"/>
          <w:sz w:val="24"/>
          <w:szCs w:val="24"/>
        </w:rPr>
      </w:pPr>
      <w:r w:rsidRPr="002212BD">
        <w:rPr>
          <w:rFonts w:ascii="Times New Roman" w:hAnsi="Times New Roman" w:cs="Times New Roman"/>
          <w:sz w:val="24"/>
          <w:szCs w:val="24"/>
        </w:rPr>
        <w:t xml:space="preserve">Se </w:t>
      </w:r>
      <w:r w:rsidR="006F7F13">
        <w:rPr>
          <w:rFonts w:ascii="Times New Roman" w:hAnsi="Times New Roman" w:cs="Times New Roman"/>
          <w:sz w:val="24"/>
          <w:szCs w:val="24"/>
        </w:rPr>
        <w:t xml:space="preserve">dunque </w:t>
      </w:r>
      <w:r w:rsidRPr="002212BD">
        <w:rPr>
          <w:rFonts w:ascii="Times New Roman" w:hAnsi="Times New Roman" w:cs="Times New Roman"/>
          <w:sz w:val="24"/>
          <w:szCs w:val="24"/>
        </w:rPr>
        <w:t>è pur vero che gli Stati membri restano sostanzialmente liberi di determinare, conformemente alle loro necessità nazionali, le esigenze dell’ordine pubblico e della pubblica sicurezza, resta il fatto che tali motivi, nel contesto dell’Unione, e in particolare in quanto autorizzano una deroga a una libertà fond</w:t>
      </w:r>
      <w:r w:rsidR="006C20E1">
        <w:rPr>
          <w:rFonts w:ascii="Times New Roman" w:hAnsi="Times New Roman" w:cs="Times New Roman"/>
          <w:sz w:val="24"/>
          <w:szCs w:val="24"/>
        </w:rPr>
        <w:t>amentale garantita dal Trattato</w:t>
      </w:r>
      <w:r w:rsidRPr="002212BD">
        <w:rPr>
          <w:rFonts w:ascii="Times New Roman" w:hAnsi="Times New Roman" w:cs="Times New Roman"/>
          <w:sz w:val="24"/>
          <w:szCs w:val="24"/>
        </w:rPr>
        <w:t xml:space="preserve">, devono essere intesi in senso restrittivo, di modo che la loro portata non può essere determinata unilateralmente da ciascuno Stato membro senza il controllo delle istituzioni dell’Unione. L’ordine pubblico e la pubblica sicurezza possono essere quindi invocati solamente in caso di minaccia effettiva e sufficientemente grave ad uno degli interessi fondamentali della collettività. </w:t>
      </w:r>
      <w:r w:rsidRPr="00B26621">
        <w:rPr>
          <w:rFonts w:ascii="Times New Roman" w:hAnsi="Times New Roman" w:cs="Times New Roman"/>
          <w:sz w:val="24"/>
          <w:szCs w:val="24"/>
        </w:rPr>
        <w:t>Tali motivi non possono essere inoltre distolti dalla loro propria funzione per essere utilizzati, in realtà, a fini puramente economici</w:t>
      </w:r>
      <w:r w:rsidRPr="002212BD">
        <w:rPr>
          <w:rFonts w:ascii="Times New Roman" w:hAnsi="Times New Roman" w:cs="Times New Roman"/>
          <w:sz w:val="24"/>
          <w:szCs w:val="24"/>
        </w:rPr>
        <w:t>.</w:t>
      </w:r>
    </w:p>
    <w:p w:rsidR="00EE3FF6" w:rsidRPr="002212BD" w:rsidRDefault="00B1507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Detto ciò</w:t>
      </w:r>
      <w:r w:rsidR="00EE3FF6" w:rsidRPr="002212BD">
        <w:rPr>
          <w:rFonts w:ascii="Times New Roman" w:hAnsi="Times New Roman" w:cs="Times New Roman"/>
          <w:sz w:val="24"/>
          <w:szCs w:val="24"/>
        </w:rPr>
        <w:t>, nel caso</w:t>
      </w:r>
      <w:r w:rsidR="00EE3FF6">
        <w:rPr>
          <w:rFonts w:ascii="Times New Roman" w:hAnsi="Times New Roman" w:cs="Times New Roman"/>
          <w:sz w:val="24"/>
          <w:szCs w:val="24"/>
        </w:rPr>
        <w:t xml:space="preserve"> all’esame</w:t>
      </w:r>
      <w:r w:rsidR="00EE3FF6" w:rsidRPr="002212BD">
        <w:rPr>
          <w:rFonts w:ascii="Times New Roman" w:hAnsi="Times New Roman" w:cs="Times New Roman"/>
          <w:sz w:val="24"/>
          <w:szCs w:val="24"/>
        </w:rPr>
        <w:t xml:space="preserve"> della CGUE i poteri speciali erano stati esercitati nella forma del divieto, nel </w:t>
      </w:r>
      <w:r>
        <w:rPr>
          <w:rFonts w:ascii="Times New Roman" w:hAnsi="Times New Roman" w:cs="Times New Roman"/>
          <w:sz w:val="24"/>
          <w:szCs w:val="24"/>
        </w:rPr>
        <w:t xml:space="preserve">caso deciso dal Tar Lazio 10275 del </w:t>
      </w:r>
      <w:r w:rsidR="00EE3FF6" w:rsidRPr="002212BD">
        <w:rPr>
          <w:rFonts w:ascii="Times New Roman" w:hAnsi="Times New Roman" w:cs="Times New Roman"/>
          <w:sz w:val="24"/>
          <w:szCs w:val="24"/>
        </w:rPr>
        <w:t>2024 nella forma più blanda delle prescrizioni.</w:t>
      </w:r>
    </w:p>
    <w:p w:rsidR="00EE3FF6" w:rsidRDefault="00EE3FF6" w:rsidP="00B93432">
      <w:pPr>
        <w:spacing w:line="360" w:lineRule="auto"/>
        <w:ind w:firstLine="709"/>
        <w:jc w:val="both"/>
        <w:rPr>
          <w:rFonts w:ascii="Times New Roman" w:hAnsi="Times New Roman" w:cs="Times New Roman"/>
          <w:sz w:val="24"/>
          <w:szCs w:val="24"/>
        </w:rPr>
      </w:pPr>
    </w:p>
    <w:p w:rsidR="006F47A8" w:rsidRPr="00B93432" w:rsidRDefault="00D46FEE" w:rsidP="00B93432">
      <w:pPr>
        <w:pStyle w:val="Paragrafoelenco"/>
        <w:numPr>
          <w:ilvl w:val="0"/>
          <w:numId w:val="10"/>
        </w:numPr>
        <w:spacing w:line="360" w:lineRule="auto"/>
        <w:jc w:val="both"/>
        <w:rPr>
          <w:rFonts w:ascii="Times New Roman" w:hAnsi="Times New Roman" w:cs="Times New Roman"/>
          <w:b/>
          <w:i/>
          <w:sz w:val="24"/>
          <w:szCs w:val="24"/>
        </w:rPr>
      </w:pPr>
      <w:r w:rsidRPr="00B93432">
        <w:rPr>
          <w:rFonts w:ascii="Times New Roman" w:hAnsi="Times New Roman" w:cs="Times New Roman"/>
          <w:b/>
          <w:sz w:val="24"/>
          <w:szCs w:val="24"/>
        </w:rPr>
        <w:t xml:space="preserve">Tendenze e prospettive della tutela nei confronti dei </w:t>
      </w:r>
      <w:proofErr w:type="spellStart"/>
      <w:r w:rsidR="003E39BF" w:rsidRPr="00B93432">
        <w:rPr>
          <w:rFonts w:ascii="Times New Roman" w:hAnsi="Times New Roman" w:cs="Times New Roman"/>
          <w:b/>
          <w:i/>
          <w:sz w:val="24"/>
          <w:szCs w:val="24"/>
        </w:rPr>
        <w:t>golden</w:t>
      </w:r>
      <w:proofErr w:type="spellEnd"/>
      <w:r w:rsidR="003E39BF" w:rsidRPr="00B93432">
        <w:rPr>
          <w:rFonts w:ascii="Times New Roman" w:hAnsi="Times New Roman" w:cs="Times New Roman"/>
          <w:b/>
          <w:i/>
          <w:sz w:val="24"/>
          <w:szCs w:val="24"/>
        </w:rPr>
        <w:t xml:space="preserve"> </w:t>
      </w:r>
      <w:proofErr w:type="spellStart"/>
      <w:r w:rsidR="003E39BF" w:rsidRPr="00B93432">
        <w:rPr>
          <w:rFonts w:ascii="Times New Roman" w:hAnsi="Times New Roman" w:cs="Times New Roman"/>
          <w:b/>
          <w:i/>
          <w:sz w:val="24"/>
          <w:szCs w:val="24"/>
        </w:rPr>
        <w:t>powers</w:t>
      </w:r>
      <w:proofErr w:type="spellEnd"/>
    </w:p>
    <w:p w:rsidR="00C22121" w:rsidRDefault="00A33A1E"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La ricognizione dei pochi precedenti a disposizione non esaurisce naturalmente il ventaglio delle questioni prospett</w:t>
      </w:r>
      <w:r w:rsidR="00C22121">
        <w:rPr>
          <w:rFonts w:ascii="Times New Roman" w:hAnsi="Times New Roman" w:cs="Times New Roman"/>
          <w:sz w:val="24"/>
          <w:szCs w:val="24"/>
        </w:rPr>
        <w:t>ate</w:t>
      </w:r>
      <w:r w:rsidR="009A255C">
        <w:rPr>
          <w:rFonts w:ascii="Times New Roman" w:hAnsi="Times New Roman" w:cs="Times New Roman"/>
          <w:sz w:val="24"/>
          <w:szCs w:val="24"/>
        </w:rPr>
        <w:t>,</w:t>
      </w:r>
      <w:r w:rsidR="00C22121">
        <w:rPr>
          <w:rFonts w:ascii="Times New Roman" w:hAnsi="Times New Roman" w:cs="Times New Roman"/>
          <w:sz w:val="24"/>
          <w:szCs w:val="24"/>
        </w:rPr>
        <w:t xml:space="preserve"> e di quelle prospettabili</w:t>
      </w:r>
      <w:r w:rsidR="009A255C">
        <w:rPr>
          <w:rFonts w:ascii="Times New Roman" w:hAnsi="Times New Roman" w:cs="Times New Roman"/>
          <w:sz w:val="24"/>
          <w:szCs w:val="24"/>
        </w:rPr>
        <w:t>,</w:t>
      </w:r>
      <w:r w:rsidR="00C22121">
        <w:rPr>
          <w:rFonts w:ascii="Times New Roman" w:hAnsi="Times New Roman" w:cs="Times New Roman"/>
          <w:sz w:val="24"/>
          <w:szCs w:val="24"/>
        </w:rPr>
        <w:t xml:space="preserve"> s</w:t>
      </w:r>
      <w:r>
        <w:rPr>
          <w:rFonts w:ascii="Times New Roman" w:hAnsi="Times New Roman" w:cs="Times New Roman"/>
          <w:sz w:val="24"/>
          <w:szCs w:val="24"/>
        </w:rPr>
        <w:t>ul piano più prettamente processuale</w:t>
      </w:r>
      <w:r w:rsidR="00C22121">
        <w:rPr>
          <w:rFonts w:ascii="Times New Roman" w:hAnsi="Times New Roman" w:cs="Times New Roman"/>
          <w:sz w:val="24"/>
          <w:szCs w:val="24"/>
        </w:rPr>
        <w:t>.</w:t>
      </w:r>
    </w:p>
    <w:p w:rsidR="00EE3FF6" w:rsidRPr="002212BD" w:rsidRDefault="00C2212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Nell’oggetto</w:t>
      </w:r>
      <w:r w:rsidR="00B26621">
        <w:rPr>
          <w:rFonts w:ascii="Times New Roman" w:hAnsi="Times New Roman" w:cs="Times New Roman"/>
          <w:sz w:val="24"/>
          <w:szCs w:val="24"/>
        </w:rPr>
        <w:t xml:space="preserve"> di questo contenzioso,</w:t>
      </w:r>
      <w:r w:rsidR="00A33A1E">
        <w:rPr>
          <w:rFonts w:ascii="Times New Roman" w:hAnsi="Times New Roman" w:cs="Times New Roman"/>
          <w:sz w:val="24"/>
          <w:szCs w:val="24"/>
        </w:rPr>
        <w:t xml:space="preserve"> il sindacato del giudice si dirige </w:t>
      </w:r>
      <w:r w:rsidR="00EE3FF6" w:rsidRPr="002212BD">
        <w:rPr>
          <w:rFonts w:ascii="Times New Roman" w:hAnsi="Times New Roman" w:cs="Times New Roman"/>
          <w:sz w:val="24"/>
          <w:szCs w:val="24"/>
        </w:rPr>
        <w:t xml:space="preserve">sull’atto di esercizio del potere speciale </w:t>
      </w:r>
      <w:r w:rsidR="00A33A1E">
        <w:rPr>
          <w:rFonts w:ascii="Times New Roman" w:hAnsi="Times New Roman" w:cs="Times New Roman"/>
          <w:sz w:val="24"/>
          <w:szCs w:val="24"/>
        </w:rPr>
        <w:t>ma potrebbe estendersi anche a</w:t>
      </w:r>
      <w:r w:rsidR="00EE3FF6" w:rsidRPr="002212BD">
        <w:rPr>
          <w:rFonts w:ascii="Times New Roman" w:hAnsi="Times New Roman" w:cs="Times New Roman"/>
          <w:sz w:val="24"/>
          <w:szCs w:val="24"/>
        </w:rPr>
        <w:t>ll’atto regolamentare</w:t>
      </w:r>
      <w:r w:rsidR="000B254B">
        <w:rPr>
          <w:rFonts w:ascii="Times New Roman" w:hAnsi="Times New Roman" w:cs="Times New Roman"/>
          <w:sz w:val="24"/>
          <w:szCs w:val="24"/>
        </w:rPr>
        <w:t xml:space="preserve">, </w:t>
      </w:r>
      <w:r w:rsidR="00B26621">
        <w:rPr>
          <w:rFonts w:ascii="Times New Roman" w:hAnsi="Times New Roman" w:cs="Times New Roman"/>
          <w:sz w:val="24"/>
          <w:szCs w:val="24"/>
        </w:rPr>
        <w:t>che ne regola</w:t>
      </w:r>
      <w:r w:rsidR="000B254B">
        <w:rPr>
          <w:rFonts w:ascii="Times New Roman" w:hAnsi="Times New Roman" w:cs="Times New Roman"/>
          <w:sz w:val="24"/>
          <w:szCs w:val="24"/>
        </w:rPr>
        <w:t xml:space="preserve"> il</w:t>
      </w:r>
      <w:r w:rsidR="00EE3FF6" w:rsidRPr="002212BD">
        <w:rPr>
          <w:rFonts w:ascii="Times New Roman" w:hAnsi="Times New Roman" w:cs="Times New Roman"/>
          <w:sz w:val="24"/>
          <w:szCs w:val="24"/>
        </w:rPr>
        <w:t xml:space="preserve"> presupposto</w:t>
      </w:r>
      <w:r w:rsidR="00B26621">
        <w:rPr>
          <w:rFonts w:ascii="Times New Roman" w:hAnsi="Times New Roman" w:cs="Times New Roman"/>
          <w:sz w:val="24"/>
          <w:szCs w:val="24"/>
        </w:rPr>
        <w:t xml:space="preserve">: </w:t>
      </w:r>
      <w:r w:rsidR="00B26621">
        <w:rPr>
          <w:rFonts w:ascii="Times New Roman" w:hAnsi="Times New Roman" w:cs="Times New Roman"/>
          <w:sz w:val="24"/>
          <w:szCs w:val="24"/>
        </w:rPr>
        <w:lastRenderedPageBreak/>
        <w:t>ne</w:t>
      </w:r>
      <w:r w:rsidR="000B254B">
        <w:rPr>
          <w:rFonts w:ascii="Times New Roman" w:hAnsi="Times New Roman" w:cs="Times New Roman"/>
          <w:sz w:val="24"/>
          <w:szCs w:val="24"/>
        </w:rPr>
        <w:t xml:space="preserve">lle forme di una </w:t>
      </w:r>
      <w:r w:rsidR="00EE3FF6" w:rsidRPr="002212BD">
        <w:rPr>
          <w:rFonts w:ascii="Times New Roman" w:hAnsi="Times New Roman" w:cs="Times New Roman"/>
          <w:sz w:val="24"/>
          <w:szCs w:val="24"/>
        </w:rPr>
        <w:t>doppia impugnativa</w:t>
      </w:r>
      <w:r w:rsidR="000B254B">
        <w:rPr>
          <w:rFonts w:ascii="Times New Roman" w:hAnsi="Times New Roman" w:cs="Times New Roman"/>
          <w:sz w:val="24"/>
          <w:szCs w:val="24"/>
        </w:rPr>
        <w:t xml:space="preserve"> proposta dal ricorrente, avverso entrambi gli atti, </w:t>
      </w:r>
      <w:r w:rsidR="00EE3FF6" w:rsidRPr="002212BD">
        <w:rPr>
          <w:rFonts w:ascii="Times New Roman" w:hAnsi="Times New Roman" w:cs="Times New Roman"/>
          <w:sz w:val="24"/>
          <w:szCs w:val="24"/>
        </w:rPr>
        <w:t>o</w:t>
      </w:r>
      <w:r w:rsidR="000B254B">
        <w:rPr>
          <w:rFonts w:ascii="Times New Roman" w:hAnsi="Times New Roman" w:cs="Times New Roman"/>
          <w:sz w:val="24"/>
          <w:szCs w:val="24"/>
        </w:rPr>
        <w:t>vvero con la</w:t>
      </w:r>
      <w:r w:rsidR="00EE3FF6" w:rsidRPr="002212BD">
        <w:rPr>
          <w:rFonts w:ascii="Times New Roman" w:hAnsi="Times New Roman" w:cs="Times New Roman"/>
          <w:sz w:val="24"/>
          <w:szCs w:val="24"/>
        </w:rPr>
        <w:t xml:space="preserve"> disapplicazione </w:t>
      </w:r>
      <w:r w:rsidR="00B26621">
        <w:rPr>
          <w:rFonts w:ascii="Times New Roman" w:hAnsi="Times New Roman" w:cs="Times New Roman"/>
          <w:sz w:val="24"/>
          <w:szCs w:val="24"/>
        </w:rPr>
        <w:t>dell’atto generale</w:t>
      </w:r>
      <w:r w:rsidR="000B254B">
        <w:rPr>
          <w:rFonts w:ascii="Times New Roman" w:hAnsi="Times New Roman" w:cs="Times New Roman"/>
          <w:sz w:val="24"/>
          <w:szCs w:val="24"/>
        </w:rPr>
        <w:t xml:space="preserve">. </w:t>
      </w:r>
      <w:r w:rsidR="00EE3FF6">
        <w:rPr>
          <w:rFonts w:ascii="Times New Roman" w:hAnsi="Times New Roman" w:cs="Times New Roman"/>
          <w:sz w:val="24"/>
          <w:szCs w:val="24"/>
        </w:rPr>
        <w:t xml:space="preserve">Nel caso deciso dal </w:t>
      </w:r>
      <w:r w:rsidR="000B254B">
        <w:rPr>
          <w:rFonts w:ascii="Times New Roman" w:hAnsi="Times New Roman" w:cs="Times New Roman"/>
          <w:sz w:val="24"/>
          <w:szCs w:val="24"/>
        </w:rPr>
        <w:t>Consiglio di Stato con la sentenza</w:t>
      </w:r>
      <w:r w:rsidR="00EE3FF6">
        <w:rPr>
          <w:rFonts w:ascii="Times New Roman" w:hAnsi="Times New Roman" w:cs="Times New Roman"/>
          <w:sz w:val="24"/>
          <w:szCs w:val="24"/>
        </w:rPr>
        <w:t xml:space="preserve"> 289/2023</w:t>
      </w:r>
      <w:r w:rsidR="0061278A">
        <w:rPr>
          <w:rFonts w:ascii="Times New Roman" w:hAnsi="Times New Roman" w:cs="Times New Roman"/>
          <w:sz w:val="24"/>
          <w:szCs w:val="24"/>
        </w:rPr>
        <w:t>, già ricordata,</w:t>
      </w:r>
      <w:r w:rsidR="00EE3FF6">
        <w:rPr>
          <w:rFonts w:ascii="Times New Roman" w:hAnsi="Times New Roman" w:cs="Times New Roman"/>
          <w:sz w:val="24"/>
          <w:szCs w:val="24"/>
        </w:rPr>
        <w:t xml:space="preserve"> era impugnato</w:t>
      </w:r>
      <w:r w:rsidR="007E64EE">
        <w:rPr>
          <w:rFonts w:ascii="Times New Roman" w:hAnsi="Times New Roman" w:cs="Times New Roman"/>
          <w:sz w:val="24"/>
          <w:szCs w:val="24"/>
        </w:rPr>
        <w:t xml:space="preserve"> ad esempio</w:t>
      </w:r>
      <w:r w:rsidR="00EE3FF6">
        <w:rPr>
          <w:rFonts w:ascii="Times New Roman" w:hAnsi="Times New Roman" w:cs="Times New Roman"/>
          <w:sz w:val="24"/>
          <w:szCs w:val="24"/>
        </w:rPr>
        <w:t xml:space="preserve"> anche il regolamento.</w:t>
      </w:r>
    </w:p>
    <w:p w:rsidR="00EE3FF6" w:rsidRDefault="00C2212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Sul piano della legittimazione e dell’interesse al ricorso, i</w:t>
      </w:r>
      <w:r w:rsidR="000B254B">
        <w:rPr>
          <w:rFonts w:ascii="Times New Roman" w:hAnsi="Times New Roman" w:cs="Times New Roman"/>
          <w:sz w:val="24"/>
          <w:szCs w:val="24"/>
        </w:rPr>
        <w:t>l controllo giurisdizionale è pensato essenzialmente con riguardo agli atti di esercizio</w:t>
      </w:r>
      <w:r>
        <w:rPr>
          <w:rFonts w:ascii="Times New Roman" w:hAnsi="Times New Roman" w:cs="Times New Roman"/>
          <w:sz w:val="24"/>
          <w:szCs w:val="24"/>
        </w:rPr>
        <w:t xml:space="preserve"> dei poteri speciali, a tutela</w:t>
      </w:r>
      <w:r w:rsidR="000B254B">
        <w:rPr>
          <w:rFonts w:ascii="Times New Roman" w:hAnsi="Times New Roman" w:cs="Times New Roman"/>
          <w:sz w:val="24"/>
          <w:szCs w:val="24"/>
        </w:rPr>
        <w:t xml:space="preserve"> dell’impresa notificante che da tale esercizio riceve un pregiudizio. C’è da chiedersi se possa essere ammissibile</w:t>
      </w:r>
      <w:r>
        <w:rPr>
          <w:rFonts w:ascii="Times New Roman" w:hAnsi="Times New Roman" w:cs="Times New Roman"/>
          <w:sz w:val="24"/>
          <w:szCs w:val="24"/>
        </w:rPr>
        <w:t xml:space="preserve"> anche</w:t>
      </w:r>
      <w:r w:rsidR="000B254B">
        <w:rPr>
          <w:rFonts w:ascii="Times New Roman" w:hAnsi="Times New Roman" w:cs="Times New Roman"/>
          <w:sz w:val="24"/>
          <w:szCs w:val="24"/>
        </w:rPr>
        <w:t xml:space="preserve"> un ricorso proposto da terzi nei confronti di un </w:t>
      </w:r>
      <w:r w:rsidR="00EE3FF6" w:rsidRPr="002212BD">
        <w:rPr>
          <w:rFonts w:ascii="Times New Roman" w:hAnsi="Times New Roman" w:cs="Times New Roman"/>
          <w:sz w:val="24"/>
          <w:szCs w:val="24"/>
        </w:rPr>
        <w:t>atto di assenso</w:t>
      </w:r>
      <w:r w:rsidR="00B26621">
        <w:rPr>
          <w:rFonts w:ascii="Times New Roman" w:hAnsi="Times New Roman" w:cs="Times New Roman"/>
          <w:sz w:val="24"/>
          <w:szCs w:val="24"/>
        </w:rPr>
        <w:t xml:space="preserve"> con cui il Governo abbia deciso il</w:t>
      </w:r>
      <w:r w:rsidR="00EE3FF6" w:rsidRPr="002212BD">
        <w:rPr>
          <w:rFonts w:ascii="Times New Roman" w:hAnsi="Times New Roman" w:cs="Times New Roman"/>
          <w:sz w:val="24"/>
          <w:szCs w:val="24"/>
        </w:rPr>
        <w:t xml:space="preserve"> non esercizio del po</w:t>
      </w:r>
      <w:r w:rsidR="000B254B">
        <w:rPr>
          <w:rFonts w:ascii="Times New Roman" w:hAnsi="Times New Roman" w:cs="Times New Roman"/>
          <w:sz w:val="24"/>
          <w:szCs w:val="24"/>
        </w:rPr>
        <w:t>tere: a proporlo potrebbero essere, a</w:t>
      </w:r>
      <w:r w:rsidR="00EE3FF6" w:rsidRPr="002212BD">
        <w:rPr>
          <w:rFonts w:ascii="Times New Roman" w:hAnsi="Times New Roman" w:cs="Times New Roman"/>
          <w:sz w:val="24"/>
          <w:szCs w:val="24"/>
        </w:rPr>
        <w:t>d esempio</w:t>
      </w:r>
      <w:r w:rsidR="000B254B">
        <w:rPr>
          <w:rFonts w:ascii="Times New Roman" w:hAnsi="Times New Roman" w:cs="Times New Roman"/>
          <w:sz w:val="24"/>
          <w:szCs w:val="24"/>
        </w:rPr>
        <w:t>, soggetti terzi quali sindacati,</w:t>
      </w:r>
      <w:r w:rsidR="00EE3FF6" w:rsidRPr="002212BD">
        <w:rPr>
          <w:rFonts w:ascii="Times New Roman" w:hAnsi="Times New Roman" w:cs="Times New Roman"/>
          <w:sz w:val="24"/>
          <w:szCs w:val="24"/>
        </w:rPr>
        <w:t xml:space="preserve"> imprese concorrenti, associazioni</w:t>
      </w:r>
      <w:r w:rsidR="000B254B">
        <w:rPr>
          <w:rFonts w:ascii="Times New Roman" w:hAnsi="Times New Roman" w:cs="Times New Roman"/>
          <w:sz w:val="24"/>
          <w:szCs w:val="24"/>
        </w:rPr>
        <w:t xml:space="preserve"> di categoria o di consumatori</w:t>
      </w:r>
      <w:r w:rsidR="00EE3FF6" w:rsidRPr="002212BD">
        <w:rPr>
          <w:rFonts w:ascii="Times New Roman" w:hAnsi="Times New Roman" w:cs="Times New Roman"/>
          <w:sz w:val="24"/>
          <w:szCs w:val="24"/>
        </w:rPr>
        <w:t>.</w:t>
      </w:r>
      <w:r w:rsidR="00EE3FF6">
        <w:rPr>
          <w:rFonts w:ascii="Times New Roman" w:hAnsi="Times New Roman" w:cs="Times New Roman"/>
          <w:sz w:val="24"/>
          <w:szCs w:val="24"/>
        </w:rPr>
        <w:t xml:space="preserve"> </w:t>
      </w:r>
      <w:r w:rsidR="000B254B">
        <w:rPr>
          <w:rFonts w:ascii="Times New Roman" w:hAnsi="Times New Roman" w:cs="Times New Roman"/>
          <w:sz w:val="24"/>
          <w:szCs w:val="24"/>
        </w:rPr>
        <w:t>La risposta dipende</w:t>
      </w:r>
      <w:r w:rsidR="00EE3FF6">
        <w:rPr>
          <w:rFonts w:ascii="Times New Roman" w:hAnsi="Times New Roman" w:cs="Times New Roman"/>
          <w:sz w:val="24"/>
          <w:szCs w:val="24"/>
        </w:rPr>
        <w:t xml:space="preserve"> da quanto si allarga il ventaglio delle finalità</w:t>
      </w:r>
      <w:r w:rsidR="000B254B">
        <w:rPr>
          <w:rFonts w:ascii="Times New Roman" w:hAnsi="Times New Roman" w:cs="Times New Roman"/>
          <w:sz w:val="24"/>
          <w:szCs w:val="24"/>
        </w:rPr>
        <w:t xml:space="preserve"> del </w:t>
      </w:r>
      <w:proofErr w:type="spellStart"/>
      <w:r w:rsidR="000B254B" w:rsidRPr="000B254B">
        <w:rPr>
          <w:rFonts w:ascii="Times New Roman" w:hAnsi="Times New Roman" w:cs="Times New Roman"/>
          <w:i/>
          <w:sz w:val="24"/>
          <w:szCs w:val="24"/>
        </w:rPr>
        <w:t>golden</w:t>
      </w:r>
      <w:proofErr w:type="spellEnd"/>
      <w:r w:rsidR="000B254B" w:rsidRPr="000B254B">
        <w:rPr>
          <w:rFonts w:ascii="Times New Roman" w:hAnsi="Times New Roman" w:cs="Times New Roman"/>
          <w:i/>
          <w:sz w:val="24"/>
          <w:szCs w:val="24"/>
        </w:rPr>
        <w:t xml:space="preserve"> </w:t>
      </w:r>
      <w:proofErr w:type="spellStart"/>
      <w:r w:rsidR="000B254B" w:rsidRPr="000B254B">
        <w:rPr>
          <w:rFonts w:ascii="Times New Roman" w:hAnsi="Times New Roman" w:cs="Times New Roman"/>
          <w:i/>
          <w:sz w:val="24"/>
          <w:szCs w:val="24"/>
        </w:rPr>
        <w:t>power</w:t>
      </w:r>
      <w:proofErr w:type="spellEnd"/>
      <w:r w:rsidR="00EE3FF6">
        <w:rPr>
          <w:rFonts w:ascii="Times New Roman" w:hAnsi="Times New Roman" w:cs="Times New Roman"/>
          <w:sz w:val="24"/>
          <w:szCs w:val="24"/>
        </w:rPr>
        <w:t xml:space="preserve">. Fino a quando si </w:t>
      </w:r>
      <w:r w:rsidR="000B254B">
        <w:rPr>
          <w:rFonts w:ascii="Times New Roman" w:hAnsi="Times New Roman" w:cs="Times New Roman"/>
          <w:sz w:val="24"/>
          <w:szCs w:val="24"/>
        </w:rPr>
        <w:t>rimanga</w:t>
      </w:r>
      <w:r w:rsidR="00EE3FF6">
        <w:rPr>
          <w:rFonts w:ascii="Times New Roman" w:hAnsi="Times New Roman" w:cs="Times New Roman"/>
          <w:sz w:val="24"/>
          <w:szCs w:val="24"/>
        </w:rPr>
        <w:t xml:space="preserve"> nel </w:t>
      </w:r>
      <w:r w:rsidR="000B254B">
        <w:rPr>
          <w:rFonts w:ascii="Times New Roman" w:hAnsi="Times New Roman" w:cs="Times New Roman"/>
          <w:sz w:val="24"/>
          <w:szCs w:val="24"/>
        </w:rPr>
        <w:t>solco</w:t>
      </w:r>
      <w:r w:rsidR="00EE3FF6">
        <w:rPr>
          <w:rFonts w:ascii="Times New Roman" w:hAnsi="Times New Roman" w:cs="Times New Roman"/>
          <w:sz w:val="24"/>
          <w:szCs w:val="24"/>
        </w:rPr>
        <w:t xml:space="preserve"> originario della sicurezza e della difesa, non ci dovrebbe essere </w:t>
      </w:r>
      <w:r w:rsidR="00B26621">
        <w:rPr>
          <w:rFonts w:ascii="Times New Roman" w:hAnsi="Times New Roman" w:cs="Times New Roman"/>
          <w:sz w:val="24"/>
          <w:szCs w:val="24"/>
        </w:rPr>
        <w:t xml:space="preserve">molto </w:t>
      </w:r>
      <w:r w:rsidR="00EE3FF6">
        <w:rPr>
          <w:rFonts w:ascii="Times New Roman" w:hAnsi="Times New Roman" w:cs="Times New Roman"/>
          <w:sz w:val="24"/>
          <w:szCs w:val="24"/>
        </w:rPr>
        <w:t xml:space="preserve">spazio. Ma se si scava </w:t>
      </w:r>
      <w:r w:rsidR="0061278A">
        <w:rPr>
          <w:rFonts w:ascii="Times New Roman" w:hAnsi="Times New Roman" w:cs="Times New Roman"/>
          <w:sz w:val="24"/>
          <w:szCs w:val="24"/>
        </w:rPr>
        <w:t>nella veduta</w:t>
      </w:r>
      <w:r w:rsidR="000B254B">
        <w:rPr>
          <w:rFonts w:ascii="Times New Roman" w:hAnsi="Times New Roman" w:cs="Times New Roman"/>
          <w:sz w:val="24"/>
          <w:szCs w:val="24"/>
        </w:rPr>
        <w:t xml:space="preserve"> direzione</w:t>
      </w:r>
      <w:r w:rsidR="00EE3FF6">
        <w:rPr>
          <w:rFonts w:ascii="Times New Roman" w:hAnsi="Times New Roman" w:cs="Times New Roman"/>
          <w:sz w:val="24"/>
          <w:szCs w:val="24"/>
        </w:rPr>
        <w:t xml:space="preserve"> de</w:t>
      </w:r>
      <w:r w:rsidR="000B254B">
        <w:rPr>
          <w:rFonts w:ascii="Times New Roman" w:hAnsi="Times New Roman" w:cs="Times New Roman"/>
          <w:sz w:val="24"/>
          <w:szCs w:val="24"/>
        </w:rPr>
        <w:t xml:space="preserve">ll’art. 41, co. 3, </w:t>
      </w:r>
      <w:proofErr w:type="spellStart"/>
      <w:r w:rsidR="000B254B">
        <w:rPr>
          <w:rFonts w:ascii="Times New Roman" w:hAnsi="Times New Roman" w:cs="Times New Roman"/>
          <w:sz w:val="24"/>
          <w:szCs w:val="24"/>
        </w:rPr>
        <w:t>Cost</w:t>
      </w:r>
      <w:proofErr w:type="spellEnd"/>
      <w:r w:rsidR="000B254B">
        <w:rPr>
          <w:rFonts w:ascii="Times New Roman" w:hAnsi="Times New Roman" w:cs="Times New Roman"/>
          <w:sz w:val="24"/>
          <w:szCs w:val="24"/>
        </w:rPr>
        <w:t>., se la disciplina è riorientata a fini sociali e a tutela di</w:t>
      </w:r>
      <w:r w:rsidR="00EE3FF6">
        <w:rPr>
          <w:rFonts w:ascii="Times New Roman" w:hAnsi="Times New Roman" w:cs="Times New Roman"/>
          <w:sz w:val="24"/>
          <w:szCs w:val="24"/>
        </w:rPr>
        <w:t xml:space="preserve"> interessi collettivi, allora nuovi ulteriori attori potrebbero</w:t>
      </w:r>
      <w:r w:rsidR="000B254B">
        <w:rPr>
          <w:rFonts w:ascii="Times New Roman" w:hAnsi="Times New Roman" w:cs="Times New Roman"/>
          <w:sz w:val="24"/>
          <w:szCs w:val="24"/>
        </w:rPr>
        <w:t xml:space="preserve"> farsi avanti; consapevoli anche che</w:t>
      </w:r>
      <w:r w:rsidR="00EE3FF6">
        <w:rPr>
          <w:rFonts w:ascii="Times New Roman" w:hAnsi="Times New Roman" w:cs="Times New Roman"/>
          <w:sz w:val="24"/>
          <w:szCs w:val="24"/>
        </w:rPr>
        <w:t xml:space="preserve"> la tradizione del giudice amministrativo in fatto di legitti</w:t>
      </w:r>
      <w:r w:rsidR="000B254B">
        <w:rPr>
          <w:rFonts w:ascii="Times New Roman" w:hAnsi="Times New Roman" w:cs="Times New Roman"/>
          <w:sz w:val="24"/>
          <w:szCs w:val="24"/>
        </w:rPr>
        <w:t xml:space="preserve">mazione è </w:t>
      </w:r>
      <w:r w:rsidR="0061278A">
        <w:rPr>
          <w:rFonts w:ascii="Times New Roman" w:hAnsi="Times New Roman" w:cs="Times New Roman"/>
          <w:sz w:val="24"/>
          <w:szCs w:val="24"/>
        </w:rPr>
        <w:t>di regola espansiva</w:t>
      </w:r>
      <w:r w:rsidR="000B254B">
        <w:rPr>
          <w:rFonts w:ascii="Times New Roman" w:hAnsi="Times New Roman" w:cs="Times New Roman"/>
          <w:sz w:val="24"/>
          <w:szCs w:val="24"/>
        </w:rPr>
        <w:t>.</w:t>
      </w:r>
    </w:p>
    <w:p w:rsidR="00EE3FF6" w:rsidRDefault="000B254B"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al tipo di tutela esperibile, sin qui, nelle poche occasioni vedute, la via percorsa è stata quella della t</w:t>
      </w:r>
      <w:r w:rsidR="00EE3FF6" w:rsidRPr="002212BD">
        <w:rPr>
          <w:rFonts w:ascii="Times New Roman" w:hAnsi="Times New Roman" w:cs="Times New Roman"/>
          <w:sz w:val="24"/>
          <w:szCs w:val="24"/>
        </w:rPr>
        <w:t xml:space="preserve">utela </w:t>
      </w:r>
      <w:proofErr w:type="spellStart"/>
      <w:r w:rsidR="00EE3FF6" w:rsidRPr="002212BD">
        <w:rPr>
          <w:rFonts w:ascii="Times New Roman" w:hAnsi="Times New Roman" w:cs="Times New Roman"/>
          <w:sz w:val="24"/>
          <w:szCs w:val="24"/>
        </w:rPr>
        <w:t>impugnatoria</w:t>
      </w:r>
      <w:proofErr w:type="spellEnd"/>
      <w:r w:rsidR="00EE3FF6">
        <w:rPr>
          <w:rFonts w:ascii="Times New Roman" w:hAnsi="Times New Roman" w:cs="Times New Roman"/>
          <w:sz w:val="24"/>
          <w:szCs w:val="24"/>
        </w:rPr>
        <w:t>-demolitoria</w:t>
      </w:r>
      <w:r w:rsidR="00C22121">
        <w:rPr>
          <w:rFonts w:ascii="Times New Roman" w:hAnsi="Times New Roman" w:cs="Times New Roman"/>
          <w:sz w:val="24"/>
          <w:szCs w:val="24"/>
        </w:rPr>
        <w:t>, a fronte di un potere</w:t>
      </w:r>
      <w:r w:rsidR="00B15071">
        <w:rPr>
          <w:rFonts w:ascii="Times New Roman" w:hAnsi="Times New Roman" w:cs="Times New Roman"/>
          <w:sz w:val="24"/>
          <w:szCs w:val="24"/>
        </w:rPr>
        <w:t xml:space="preserve"> (visto per lo più come)</w:t>
      </w:r>
      <w:r w:rsidR="00C22121">
        <w:rPr>
          <w:rFonts w:ascii="Times New Roman" w:hAnsi="Times New Roman" w:cs="Times New Roman"/>
          <w:sz w:val="24"/>
          <w:szCs w:val="24"/>
        </w:rPr>
        <w:t xml:space="preserve"> di tipo ablatorio cui si correla un interesse oppositivo</w:t>
      </w:r>
      <w:r w:rsidR="00C22121">
        <w:rPr>
          <w:rStyle w:val="Rimandonotaapidipagina"/>
          <w:rFonts w:ascii="Times New Roman" w:hAnsi="Times New Roman" w:cs="Times New Roman"/>
          <w:sz w:val="24"/>
          <w:szCs w:val="24"/>
        </w:rPr>
        <w:t xml:space="preserve">. </w:t>
      </w:r>
      <w:r w:rsidR="00C22121">
        <w:rPr>
          <w:rFonts w:ascii="Times New Roman" w:hAnsi="Times New Roman" w:cs="Times New Roman"/>
          <w:sz w:val="24"/>
          <w:szCs w:val="24"/>
        </w:rPr>
        <w:t>I</w:t>
      </w:r>
      <w:r w:rsidR="00EE3FF6">
        <w:rPr>
          <w:rFonts w:ascii="Times New Roman" w:hAnsi="Times New Roman" w:cs="Times New Roman"/>
          <w:sz w:val="24"/>
          <w:szCs w:val="24"/>
        </w:rPr>
        <w:t>n teoria al ricorrente basta colpire il provvedimento in un qualunque punto, per veder</w:t>
      </w:r>
      <w:r w:rsidR="00E74E3A">
        <w:rPr>
          <w:rFonts w:ascii="Times New Roman" w:hAnsi="Times New Roman" w:cs="Times New Roman"/>
          <w:sz w:val="24"/>
          <w:szCs w:val="24"/>
        </w:rPr>
        <w:t>se</w:t>
      </w:r>
      <w:r w:rsidR="00EE3FF6">
        <w:rPr>
          <w:rFonts w:ascii="Times New Roman" w:hAnsi="Times New Roman" w:cs="Times New Roman"/>
          <w:sz w:val="24"/>
          <w:szCs w:val="24"/>
        </w:rPr>
        <w:t>lo annullare. In pratica però l’attenuazione delle garanzie procedimentali, il ridimensionamento del peso dell’istruttoria, possono restringere l’area del sindacato, finendo per limitarlo al giudizio sulla motivazione.</w:t>
      </w:r>
    </w:p>
    <w:p w:rsidR="00EE3FF6" w:rsidRDefault="00C2212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Qualcosa o più di qualcosa</w:t>
      </w:r>
      <w:r w:rsidR="00EE3FF6">
        <w:rPr>
          <w:rFonts w:ascii="Times New Roman" w:hAnsi="Times New Roman" w:cs="Times New Roman"/>
          <w:sz w:val="24"/>
          <w:szCs w:val="24"/>
        </w:rPr>
        <w:t xml:space="preserve"> si può “recuperare”, in termini di effettività, attraverso i</w:t>
      </w:r>
      <w:r>
        <w:rPr>
          <w:rFonts w:ascii="Times New Roman" w:hAnsi="Times New Roman" w:cs="Times New Roman"/>
          <w:sz w:val="24"/>
          <w:szCs w:val="24"/>
        </w:rPr>
        <w:t>l vizio dell’eccesso di potere. E n</w:t>
      </w:r>
      <w:r w:rsidR="00EE3FF6">
        <w:rPr>
          <w:rFonts w:ascii="Times New Roman" w:hAnsi="Times New Roman" w:cs="Times New Roman"/>
          <w:sz w:val="24"/>
          <w:szCs w:val="24"/>
        </w:rPr>
        <w:t xml:space="preserve">on solo </w:t>
      </w:r>
      <w:r>
        <w:rPr>
          <w:rFonts w:ascii="Times New Roman" w:hAnsi="Times New Roman" w:cs="Times New Roman"/>
          <w:sz w:val="24"/>
          <w:szCs w:val="24"/>
        </w:rPr>
        <w:t xml:space="preserve">con i principi di </w:t>
      </w:r>
      <w:r w:rsidR="00EE3FF6">
        <w:rPr>
          <w:rFonts w:ascii="Times New Roman" w:hAnsi="Times New Roman" w:cs="Times New Roman"/>
          <w:sz w:val="24"/>
          <w:szCs w:val="24"/>
        </w:rPr>
        <w:t>ragionevolezza e proporzionalità ma anche facendo leva sulla figura sintomatica più tradizionale dello sviamento nel fine</w:t>
      </w:r>
      <w:r w:rsidR="0061278A">
        <w:rPr>
          <w:rFonts w:ascii="Times New Roman" w:hAnsi="Times New Roman" w:cs="Times New Roman"/>
          <w:sz w:val="24"/>
          <w:szCs w:val="24"/>
        </w:rPr>
        <w:t>,</w:t>
      </w:r>
      <w:r w:rsidR="00EE3FF6">
        <w:rPr>
          <w:rFonts w:ascii="Times New Roman" w:hAnsi="Times New Roman" w:cs="Times New Roman"/>
          <w:sz w:val="24"/>
          <w:szCs w:val="24"/>
        </w:rPr>
        <w:t xml:space="preserve"> ovvero dell’uso del provvedimento per un fine diverso da quello tipico</w:t>
      </w:r>
      <w:r>
        <w:rPr>
          <w:rFonts w:ascii="Times New Roman" w:hAnsi="Times New Roman" w:cs="Times New Roman"/>
          <w:sz w:val="24"/>
          <w:szCs w:val="24"/>
        </w:rPr>
        <w:t xml:space="preserve">: l’esempio, neanche troppo ipotetico, potrebbe essere quello di un </w:t>
      </w:r>
      <w:proofErr w:type="spellStart"/>
      <w:r w:rsidRPr="00217C98">
        <w:rPr>
          <w:rFonts w:ascii="Times New Roman" w:hAnsi="Times New Roman" w:cs="Times New Roman"/>
          <w:i/>
          <w:sz w:val="24"/>
          <w:szCs w:val="24"/>
        </w:rPr>
        <w:t>golden</w:t>
      </w:r>
      <w:proofErr w:type="spellEnd"/>
      <w:r w:rsidRPr="00217C98">
        <w:rPr>
          <w:rFonts w:ascii="Times New Roman" w:hAnsi="Times New Roman" w:cs="Times New Roman"/>
          <w:i/>
          <w:sz w:val="24"/>
          <w:szCs w:val="24"/>
        </w:rPr>
        <w:t xml:space="preserve"> </w:t>
      </w:r>
      <w:proofErr w:type="spellStart"/>
      <w:r w:rsidRPr="00217C98">
        <w:rPr>
          <w:rFonts w:ascii="Times New Roman" w:hAnsi="Times New Roman" w:cs="Times New Roman"/>
          <w:i/>
          <w:sz w:val="24"/>
          <w:szCs w:val="24"/>
        </w:rPr>
        <w:t>power</w:t>
      </w:r>
      <w:proofErr w:type="spellEnd"/>
      <w:r>
        <w:rPr>
          <w:rFonts w:ascii="Times New Roman" w:hAnsi="Times New Roman" w:cs="Times New Roman"/>
          <w:sz w:val="24"/>
          <w:szCs w:val="24"/>
        </w:rPr>
        <w:t xml:space="preserve"> esercitato nominalmente per ragioni di difesa</w:t>
      </w:r>
      <w:r w:rsidR="0061278A">
        <w:rPr>
          <w:rFonts w:ascii="Times New Roman" w:hAnsi="Times New Roman" w:cs="Times New Roman"/>
          <w:sz w:val="24"/>
          <w:szCs w:val="24"/>
        </w:rPr>
        <w:t xml:space="preserve"> o sicurezza</w:t>
      </w:r>
      <w:r>
        <w:rPr>
          <w:rFonts w:ascii="Times New Roman" w:hAnsi="Times New Roman" w:cs="Times New Roman"/>
          <w:sz w:val="24"/>
          <w:szCs w:val="24"/>
        </w:rPr>
        <w:t xml:space="preserve"> ma piegato ad esigenze di politica industriale</w:t>
      </w:r>
      <w:r w:rsidR="00CF455D">
        <w:rPr>
          <w:rFonts w:ascii="Times New Roman" w:hAnsi="Times New Roman" w:cs="Times New Roman"/>
          <w:sz w:val="24"/>
          <w:szCs w:val="24"/>
        </w:rPr>
        <w:t xml:space="preserve"> (il pericolo è prospettato anche da Carlo Deodato in uno scritto pubblicato lo scorso anno su questo sito)</w:t>
      </w:r>
      <w:r w:rsidR="00EE3FF6">
        <w:rPr>
          <w:rFonts w:ascii="Times New Roman" w:hAnsi="Times New Roman" w:cs="Times New Roman"/>
          <w:sz w:val="24"/>
          <w:szCs w:val="24"/>
        </w:rPr>
        <w:t>.</w:t>
      </w:r>
    </w:p>
    <w:p w:rsidR="00EE3FF6" w:rsidRPr="002212BD" w:rsidRDefault="00C2212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Potrebbe esserci spazio anche per una</w:t>
      </w:r>
      <w:r w:rsidR="00EE3FF6">
        <w:rPr>
          <w:rFonts w:ascii="Times New Roman" w:hAnsi="Times New Roman" w:cs="Times New Roman"/>
          <w:sz w:val="24"/>
          <w:szCs w:val="24"/>
        </w:rPr>
        <w:t xml:space="preserve"> tutela </w:t>
      </w:r>
      <w:r>
        <w:rPr>
          <w:rFonts w:ascii="Times New Roman" w:hAnsi="Times New Roman" w:cs="Times New Roman"/>
          <w:sz w:val="24"/>
          <w:szCs w:val="24"/>
        </w:rPr>
        <w:t>di tipo risarcitoria. Se e nella misura in cui il ricorrente faccia valere</w:t>
      </w:r>
      <w:r w:rsidR="00EE3FF6">
        <w:rPr>
          <w:rFonts w:ascii="Times New Roman" w:hAnsi="Times New Roman" w:cs="Times New Roman"/>
          <w:sz w:val="24"/>
          <w:szCs w:val="24"/>
        </w:rPr>
        <w:t xml:space="preserve"> interessi oppositivi, il giudizio risarcitorio parrebbe più agevole, almeno su</w:t>
      </w:r>
      <w:r>
        <w:rPr>
          <w:rFonts w:ascii="Times New Roman" w:hAnsi="Times New Roman" w:cs="Times New Roman"/>
          <w:sz w:val="24"/>
          <w:szCs w:val="24"/>
        </w:rPr>
        <w:t>l piano eziologico. Certo molto dipende</w:t>
      </w:r>
      <w:r w:rsidR="00EE3FF6">
        <w:rPr>
          <w:rFonts w:ascii="Times New Roman" w:hAnsi="Times New Roman" w:cs="Times New Roman"/>
          <w:sz w:val="24"/>
          <w:szCs w:val="24"/>
        </w:rPr>
        <w:t xml:space="preserve"> dal tipo di annullamento, per quale vizio, con quale tono e in quale misura. L’annullamento per vizi formali-procedimentali </w:t>
      </w:r>
      <w:r>
        <w:rPr>
          <w:rFonts w:ascii="Times New Roman" w:hAnsi="Times New Roman" w:cs="Times New Roman"/>
          <w:sz w:val="24"/>
          <w:szCs w:val="24"/>
        </w:rPr>
        <w:t>può servire a</w:t>
      </w:r>
      <w:r w:rsidR="00EE3FF6">
        <w:rPr>
          <w:rFonts w:ascii="Times New Roman" w:hAnsi="Times New Roman" w:cs="Times New Roman"/>
          <w:sz w:val="24"/>
          <w:szCs w:val="24"/>
        </w:rPr>
        <w:t xml:space="preserve"> poco</w:t>
      </w:r>
      <w:r>
        <w:rPr>
          <w:rFonts w:ascii="Times New Roman" w:hAnsi="Times New Roman" w:cs="Times New Roman"/>
          <w:sz w:val="24"/>
          <w:szCs w:val="24"/>
        </w:rPr>
        <w:t xml:space="preserve">, in un contesto </w:t>
      </w:r>
      <w:r w:rsidR="0061278A">
        <w:rPr>
          <w:rFonts w:ascii="Times New Roman" w:hAnsi="Times New Roman" w:cs="Times New Roman"/>
          <w:sz w:val="24"/>
          <w:szCs w:val="24"/>
        </w:rPr>
        <w:t>di</w:t>
      </w:r>
      <w:r>
        <w:rPr>
          <w:rFonts w:ascii="Times New Roman" w:hAnsi="Times New Roman" w:cs="Times New Roman"/>
          <w:sz w:val="24"/>
          <w:szCs w:val="24"/>
        </w:rPr>
        <w:t xml:space="preserve"> elevata discrezionalità</w:t>
      </w:r>
      <w:r w:rsidR="00EE3FF6">
        <w:rPr>
          <w:rFonts w:ascii="Times New Roman" w:hAnsi="Times New Roman" w:cs="Times New Roman"/>
          <w:sz w:val="24"/>
          <w:szCs w:val="24"/>
        </w:rPr>
        <w:t>. Potrebbe tornare rilevante il discorso sull’assorbimento dei motiv</w:t>
      </w:r>
      <w:r>
        <w:rPr>
          <w:rFonts w:ascii="Times New Roman" w:hAnsi="Times New Roman" w:cs="Times New Roman"/>
          <w:sz w:val="24"/>
          <w:szCs w:val="24"/>
        </w:rPr>
        <w:t xml:space="preserve">i, tutte le </w:t>
      </w:r>
      <w:r>
        <w:rPr>
          <w:rFonts w:ascii="Times New Roman" w:hAnsi="Times New Roman" w:cs="Times New Roman"/>
          <w:sz w:val="24"/>
          <w:szCs w:val="24"/>
        </w:rPr>
        <w:lastRenderedPageBreak/>
        <w:t>volte che il giudice si fermasse al sindacato sulla motivazione, senza scrutinare la sostanza della vicenda.</w:t>
      </w:r>
    </w:p>
    <w:p w:rsidR="00EE3FF6" w:rsidRPr="002212BD" w:rsidRDefault="00EE3FF6" w:rsidP="00B93432">
      <w:pPr>
        <w:spacing w:line="360" w:lineRule="auto"/>
        <w:ind w:firstLine="709"/>
        <w:jc w:val="both"/>
        <w:rPr>
          <w:rFonts w:ascii="Times New Roman" w:hAnsi="Times New Roman" w:cs="Times New Roman"/>
          <w:sz w:val="24"/>
          <w:szCs w:val="24"/>
        </w:rPr>
      </w:pPr>
      <w:r w:rsidRPr="002212BD">
        <w:rPr>
          <w:rFonts w:ascii="Times New Roman" w:hAnsi="Times New Roman" w:cs="Times New Roman"/>
          <w:sz w:val="24"/>
          <w:szCs w:val="24"/>
        </w:rPr>
        <w:t xml:space="preserve">In altri </w:t>
      </w:r>
      <w:r w:rsidR="00C22121">
        <w:rPr>
          <w:rFonts w:ascii="Times New Roman" w:hAnsi="Times New Roman" w:cs="Times New Roman"/>
          <w:sz w:val="24"/>
          <w:szCs w:val="24"/>
        </w:rPr>
        <w:t>ambiti</w:t>
      </w:r>
      <w:r w:rsidR="0061278A">
        <w:rPr>
          <w:rFonts w:ascii="Times New Roman" w:hAnsi="Times New Roman" w:cs="Times New Roman"/>
          <w:sz w:val="24"/>
          <w:szCs w:val="24"/>
        </w:rPr>
        <w:t xml:space="preserve"> sappiamo che</w:t>
      </w:r>
      <w:r w:rsidRPr="002212BD">
        <w:rPr>
          <w:rFonts w:ascii="Times New Roman" w:hAnsi="Times New Roman" w:cs="Times New Roman"/>
          <w:sz w:val="24"/>
          <w:szCs w:val="24"/>
        </w:rPr>
        <w:t xml:space="preserve"> il legislatore ha sacrificato la </w:t>
      </w:r>
      <w:r>
        <w:rPr>
          <w:rFonts w:ascii="Times New Roman" w:hAnsi="Times New Roman" w:cs="Times New Roman"/>
          <w:sz w:val="24"/>
          <w:szCs w:val="24"/>
        </w:rPr>
        <w:t xml:space="preserve">tutela </w:t>
      </w:r>
      <w:proofErr w:type="spellStart"/>
      <w:r>
        <w:rPr>
          <w:rFonts w:ascii="Times New Roman" w:hAnsi="Times New Roman" w:cs="Times New Roman"/>
          <w:sz w:val="24"/>
          <w:szCs w:val="24"/>
        </w:rPr>
        <w:t>annullatoria</w:t>
      </w:r>
      <w:proofErr w:type="spellEnd"/>
      <w:r>
        <w:rPr>
          <w:rFonts w:ascii="Times New Roman" w:hAnsi="Times New Roman" w:cs="Times New Roman"/>
          <w:sz w:val="24"/>
          <w:szCs w:val="24"/>
        </w:rPr>
        <w:t>-demolitoria</w:t>
      </w:r>
      <w:r w:rsidR="0061278A">
        <w:rPr>
          <w:rFonts w:ascii="Times New Roman" w:hAnsi="Times New Roman" w:cs="Times New Roman"/>
          <w:sz w:val="24"/>
          <w:szCs w:val="24"/>
        </w:rPr>
        <w:t xml:space="preserve"> (</w:t>
      </w:r>
      <w:r w:rsidR="00E74E3A">
        <w:rPr>
          <w:rFonts w:ascii="Times New Roman" w:hAnsi="Times New Roman" w:cs="Times New Roman"/>
          <w:sz w:val="24"/>
          <w:szCs w:val="24"/>
        </w:rPr>
        <w:t xml:space="preserve">nei giudizi </w:t>
      </w:r>
      <w:r w:rsidR="009A255C">
        <w:rPr>
          <w:rFonts w:ascii="Times New Roman" w:hAnsi="Times New Roman" w:cs="Times New Roman"/>
          <w:sz w:val="24"/>
          <w:szCs w:val="24"/>
        </w:rPr>
        <w:t>contro gli atti delle federazioni sportive</w:t>
      </w:r>
      <w:r w:rsidRPr="002212BD">
        <w:rPr>
          <w:rFonts w:ascii="Times New Roman" w:hAnsi="Times New Roman" w:cs="Times New Roman"/>
          <w:sz w:val="24"/>
          <w:szCs w:val="24"/>
        </w:rPr>
        <w:t xml:space="preserve">, </w:t>
      </w:r>
      <w:r w:rsidR="00E74E3A">
        <w:rPr>
          <w:rFonts w:ascii="Times New Roman" w:hAnsi="Times New Roman" w:cs="Times New Roman"/>
          <w:sz w:val="24"/>
          <w:szCs w:val="24"/>
        </w:rPr>
        <w:t>in quelli sulle frequenze delle</w:t>
      </w:r>
      <w:r w:rsidRPr="002212BD">
        <w:rPr>
          <w:rFonts w:ascii="Times New Roman" w:hAnsi="Times New Roman" w:cs="Times New Roman"/>
          <w:sz w:val="24"/>
          <w:szCs w:val="24"/>
        </w:rPr>
        <w:t xml:space="preserve"> emittenti radiotelevisive, in parte </w:t>
      </w:r>
      <w:r w:rsidR="00E74E3A">
        <w:rPr>
          <w:rFonts w:ascii="Times New Roman" w:hAnsi="Times New Roman" w:cs="Times New Roman"/>
          <w:sz w:val="24"/>
          <w:szCs w:val="24"/>
        </w:rPr>
        <w:t>riguardo all’affidamento de</w:t>
      </w:r>
      <w:r w:rsidRPr="002212BD">
        <w:rPr>
          <w:rFonts w:ascii="Times New Roman" w:hAnsi="Times New Roman" w:cs="Times New Roman"/>
          <w:sz w:val="24"/>
          <w:szCs w:val="24"/>
        </w:rPr>
        <w:t xml:space="preserve">i contratti del PNRR). Qui non lo ha fatto, anche perché è difficile ritenere che la sola tutela per equivalente basterebbe a soddisfare la chiara indicazione sulla </w:t>
      </w:r>
      <w:proofErr w:type="spellStart"/>
      <w:r w:rsidRPr="002212BD">
        <w:rPr>
          <w:rFonts w:ascii="Times New Roman" w:hAnsi="Times New Roman" w:cs="Times New Roman"/>
          <w:sz w:val="24"/>
          <w:szCs w:val="24"/>
        </w:rPr>
        <w:t>giustiziabilità</w:t>
      </w:r>
      <w:proofErr w:type="spellEnd"/>
      <w:r w:rsidRPr="002212BD">
        <w:rPr>
          <w:rFonts w:ascii="Times New Roman" w:hAnsi="Times New Roman" w:cs="Times New Roman"/>
          <w:sz w:val="24"/>
          <w:szCs w:val="24"/>
        </w:rPr>
        <w:t xml:space="preserve"> presente nel Regolamento UE del 2019.</w:t>
      </w:r>
    </w:p>
    <w:p w:rsidR="00EE3FF6" w:rsidRDefault="00EE3FF6"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Prevale</w:t>
      </w:r>
      <w:r w:rsidR="00D3596D">
        <w:rPr>
          <w:rFonts w:ascii="Times New Roman" w:hAnsi="Times New Roman" w:cs="Times New Roman"/>
          <w:sz w:val="24"/>
          <w:szCs w:val="24"/>
        </w:rPr>
        <w:t>,</w:t>
      </w:r>
      <w:r w:rsidR="0061278A">
        <w:rPr>
          <w:rFonts w:ascii="Times New Roman" w:hAnsi="Times New Roman" w:cs="Times New Roman"/>
          <w:sz w:val="24"/>
          <w:szCs w:val="24"/>
        </w:rPr>
        <w:t xml:space="preserve"> in conclusione</w:t>
      </w:r>
      <w:r w:rsidR="00D3596D">
        <w:rPr>
          <w:rFonts w:ascii="Times New Roman" w:hAnsi="Times New Roman" w:cs="Times New Roman"/>
          <w:sz w:val="24"/>
          <w:szCs w:val="24"/>
        </w:rPr>
        <w:t>,</w:t>
      </w:r>
      <w:r>
        <w:rPr>
          <w:rFonts w:ascii="Times New Roman" w:hAnsi="Times New Roman" w:cs="Times New Roman"/>
          <w:sz w:val="24"/>
          <w:szCs w:val="24"/>
        </w:rPr>
        <w:t xml:space="preserve"> un approccio assai cauto, attraverso percorsi differenti: che siano di tipo formale-processuale, di tipo finalistico, di tipo sia finalistico che ricostruttivo.</w:t>
      </w:r>
    </w:p>
    <w:p w:rsidR="00EE3FF6" w:rsidRDefault="00B91325"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Le f</w:t>
      </w:r>
      <w:r w:rsidR="00EE3FF6">
        <w:rPr>
          <w:rFonts w:ascii="Times New Roman" w:hAnsi="Times New Roman" w:cs="Times New Roman"/>
          <w:sz w:val="24"/>
          <w:szCs w:val="24"/>
        </w:rPr>
        <w:t>inalità preventive</w:t>
      </w:r>
      <w:r>
        <w:rPr>
          <w:rFonts w:ascii="Times New Roman" w:hAnsi="Times New Roman" w:cs="Times New Roman"/>
          <w:sz w:val="24"/>
          <w:szCs w:val="24"/>
        </w:rPr>
        <w:t xml:space="preserve"> del </w:t>
      </w:r>
      <w:proofErr w:type="spellStart"/>
      <w:r w:rsidRPr="003140A0">
        <w:rPr>
          <w:rFonts w:ascii="Times New Roman" w:hAnsi="Times New Roman" w:cs="Times New Roman"/>
          <w:i/>
          <w:sz w:val="24"/>
          <w:szCs w:val="24"/>
        </w:rPr>
        <w:t>golden</w:t>
      </w:r>
      <w:proofErr w:type="spellEnd"/>
      <w:r w:rsidRPr="003140A0">
        <w:rPr>
          <w:rFonts w:ascii="Times New Roman" w:hAnsi="Times New Roman" w:cs="Times New Roman"/>
          <w:i/>
          <w:sz w:val="24"/>
          <w:szCs w:val="24"/>
        </w:rPr>
        <w:t xml:space="preserve"> </w:t>
      </w:r>
      <w:proofErr w:type="spellStart"/>
      <w:r w:rsidRPr="003140A0">
        <w:rPr>
          <w:rFonts w:ascii="Times New Roman" w:hAnsi="Times New Roman" w:cs="Times New Roman"/>
          <w:i/>
          <w:sz w:val="24"/>
          <w:szCs w:val="24"/>
        </w:rPr>
        <w:t>power</w:t>
      </w:r>
      <w:proofErr w:type="spellEnd"/>
      <w:r w:rsidR="00EE3FF6">
        <w:rPr>
          <w:rFonts w:ascii="Times New Roman" w:hAnsi="Times New Roman" w:cs="Times New Roman"/>
          <w:sz w:val="24"/>
          <w:szCs w:val="24"/>
        </w:rPr>
        <w:t xml:space="preserve">, </w:t>
      </w:r>
      <w:r>
        <w:rPr>
          <w:rFonts w:ascii="Times New Roman" w:hAnsi="Times New Roman" w:cs="Times New Roman"/>
          <w:sz w:val="24"/>
          <w:szCs w:val="24"/>
        </w:rPr>
        <w:t xml:space="preserve">la qualificazione degli atti come di </w:t>
      </w:r>
      <w:r w:rsidR="00EE3FF6">
        <w:rPr>
          <w:rFonts w:ascii="Times New Roman" w:hAnsi="Times New Roman" w:cs="Times New Roman"/>
          <w:sz w:val="24"/>
          <w:szCs w:val="24"/>
        </w:rPr>
        <w:t xml:space="preserve">alta amministrazione, </w:t>
      </w:r>
      <w:r>
        <w:rPr>
          <w:rFonts w:ascii="Times New Roman" w:hAnsi="Times New Roman" w:cs="Times New Roman"/>
          <w:sz w:val="24"/>
          <w:szCs w:val="24"/>
        </w:rPr>
        <w:t xml:space="preserve">gli </w:t>
      </w:r>
      <w:r w:rsidR="00EE3FF6">
        <w:rPr>
          <w:rFonts w:ascii="Times New Roman" w:hAnsi="Times New Roman" w:cs="Times New Roman"/>
          <w:sz w:val="24"/>
          <w:szCs w:val="24"/>
        </w:rPr>
        <w:t>scenari da geopolitica: tutto sembra spingere il sindacato giurisdizionale su una linea “debole”</w:t>
      </w:r>
      <w:r w:rsidR="00E74E3A">
        <w:rPr>
          <w:rFonts w:ascii="Times New Roman" w:hAnsi="Times New Roman" w:cs="Times New Roman"/>
          <w:sz w:val="24"/>
          <w:szCs w:val="24"/>
        </w:rPr>
        <w:t>, come fosse un binario sul quale passa veloce un treno piombato</w:t>
      </w:r>
      <w:r w:rsidR="00EE3FF6">
        <w:rPr>
          <w:rFonts w:ascii="Times New Roman" w:hAnsi="Times New Roman" w:cs="Times New Roman"/>
          <w:sz w:val="24"/>
          <w:szCs w:val="24"/>
        </w:rPr>
        <w:t>.</w:t>
      </w:r>
      <w:r>
        <w:rPr>
          <w:rFonts w:ascii="Times New Roman" w:hAnsi="Times New Roman" w:cs="Times New Roman"/>
          <w:sz w:val="24"/>
          <w:szCs w:val="24"/>
        </w:rPr>
        <w:t xml:space="preserve"> </w:t>
      </w:r>
      <w:r w:rsidR="0061278A">
        <w:rPr>
          <w:rFonts w:ascii="Times New Roman" w:hAnsi="Times New Roman" w:cs="Times New Roman"/>
          <w:sz w:val="24"/>
          <w:szCs w:val="24"/>
        </w:rPr>
        <w:t>Rimane però il problema di conciliare</w:t>
      </w:r>
      <w:r w:rsidR="00EE3FF6" w:rsidRPr="002212BD">
        <w:rPr>
          <w:rFonts w:ascii="Times New Roman" w:hAnsi="Times New Roman" w:cs="Times New Roman"/>
          <w:sz w:val="24"/>
          <w:szCs w:val="24"/>
        </w:rPr>
        <w:t xml:space="preserve"> questa peculiarità con la previsione della giurisdizione esclusiva che postula un giudizio sul rappor</w:t>
      </w:r>
      <w:r w:rsidR="0061278A">
        <w:rPr>
          <w:rFonts w:ascii="Times New Roman" w:hAnsi="Times New Roman" w:cs="Times New Roman"/>
          <w:sz w:val="24"/>
          <w:szCs w:val="24"/>
        </w:rPr>
        <w:t>to e l’accesso diretto al fatto; e di</w:t>
      </w:r>
      <w:r w:rsidR="00EE3FF6">
        <w:rPr>
          <w:rFonts w:ascii="Times New Roman" w:hAnsi="Times New Roman" w:cs="Times New Roman"/>
          <w:sz w:val="24"/>
          <w:szCs w:val="24"/>
        </w:rPr>
        <w:t xml:space="preserve"> giustificare </w:t>
      </w:r>
      <w:r w:rsidR="00DF0390">
        <w:rPr>
          <w:rFonts w:ascii="Times New Roman" w:hAnsi="Times New Roman" w:cs="Times New Roman"/>
          <w:sz w:val="24"/>
          <w:szCs w:val="24"/>
        </w:rPr>
        <w:t>un simile</w:t>
      </w:r>
      <w:r w:rsidR="00EE3FF6">
        <w:rPr>
          <w:rFonts w:ascii="Times New Roman" w:hAnsi="Times New Roman" w:cs="Times New Roman"/>
          <w:sz w:val="24"/>
          <w:szCs w:val="24"/>
        </w:rPr>
        <w:t xml:space="preserve"> standard</w:t>
      </w:r>
      <w:r w:rsidR="00E74E3A">
        <w:rPr>
          <w:rFonts w:ascii="Times New Roman" w:hAnsi="Times New Roman" w:cs="Times New Roman"/>
          <w:sz w:val="24"/>
          <w:szCs w:val="24"/>
        </w:rPr>
        <w:t xml:space="preserve"> con una normativa e una prassi</w:t>
      </w:r>
      <w:r w:rsidR="0061278A">
        <w:rPr>
          <w:rFonts w:ascii="Times New Roman" w:hAnsi="Times New Roman" w:cs="Times New Roman"/>
          <w:sz w:val="24"/>
          <w:szCs w:val="24"/>
        </w:rPr>
        <w:t>, pensiamo alla vicenda UniCredit, divenute sempre più espansive.</w:t>
      </w:r>
    </w:p>
    <w:p w:rsidR="00EE3FF6" w:rsidRDefault="00B91325"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Sono</w:t>
      </w:r>
      <w:r w:rsidR="0061278A">
        <w:rPr>
          <w:rFonts w:ascii="Times New Roman" w:hAnsi="Times New Roman" w:cs="Times New Roman"/>
          <w:sz w:val="24"/>
          <w:szCs w:val="24"/>
        </w:rPr>
        <w:t xml:space="preserve"> dunque comprensibile le molte e serie</w:t>
      </w:r>
      <w:r>
        <w:rPr>
          <w:rFonts w:ascii="Times New Roman" w:hAnsi="Times New Roman" w:cs="Times New Roman"/>
          <w:sz w:val="24"/>
          <w:szCs w:val="24"/>
        </w:rPr>
        <w:t xml:space="preserve"> p</w:t>
      </w:r>
      <w:r w:rsidR="00EE3FF6" w:rsidRPr="002212BD">
        <w:rPr>
          <w:rFonts w:ascii="Times New Roman" w:hAnsi="Times New Roman" w:cs="Times New Roman"/>
          <w:sz w:val="24"/>
          <w:szCs w:val="24"/>
        </w:rPr>
        <w:t xml:space="preserve">reoccupazioni espresse </w:t>
      </w:r>
      <w:r w:rsidR="0061278A">
        <w:rPr>
          <w:rFonts w:ascii="Times New Roman" w:hAnsi="Times New Roman" w:cs="Times New Roman"/>
          <w:sz w:val="24"/>
          <w:szCs w:val="24"/>
        </w:rPr>
        <w:t>dalla</w:t>
      </w:r>
      <w:r w:rsidR="00EE3FF6" w:rsidRPr="002212BD">
        <w:rPr>
          <w:rFonts w:ascii="Times New Roman" w:hAnsi="Times New Roman" w:cs="Times New Roman"/>
          <w:sz w:val="24"/>
          <w:szCs w:val="24"/>
        </w:rPr>
        <w:t xml:space="preserve"> dottrina</w:t>
      </w:r>
      <w:r w:rsidR="006C20E1">
        <w:rPr>
          <w:rFonts w:ascii="Times New Roman" w:hAnsi="Times New Roman" w:cs="Times New Roman"/>
          <w:sz w:val="24"/>
          <w:szCs w:val="24"/>
        </w:rPr>
        <w:t xml:space="preserve"> (tra gli altri, Marcello </w:t>
      </w:r>
      <w:proofErr w:type="spellStart"/>
      <w:r w:rsidR="006C20E1">
        <w:rPr>
          <w:rFonts w:ascii="Times New Roman" w:hAnsi="Times New Roman" w:cs="Times New Roman"/>
          <w:sz w:val="24"/>
          <w:szCs w:val="24"/>
        </w:rPr>
        <w:t>Clarich</w:t>
      </w:r>
      <w:proofErr w:type="spellEnd"/>
      <w:r w:rsidR="006C20E1">
        <w:rPr>
          <w:rFonts w:ascii="Times New Roman" w:hAnsi="Times New Roman" w:cs="Times New Roman"/>
          <w:sz w:val="24"/>
          <w:szCs w:val="24"/>
        </w:rPr>
        <w:t xml:space="preserve">, Roberto Chieppa, Silvia de </w:t>
      </w:r>
      <w:proofErr w:type="spellStart"/>
      <w:r w:rsidR="006C20E1">
        <w:rPr>
          <w:rFonts w:ascii="Times New Roman" w:hAnsi="Times New Roman" w:cs="Times New Roman"/>
          <w:sz w:val="24"/>
          <w:szCs w:val="24"/>
        </w:rPr>
        <w:t>Nitto</w:t>
      </w:r>
      <w:proofErr w:type="spellEnd"/>
      <w:r w:rsidR="006C20E1">
        <w:rPr>
          <w:rFonts w:ascii="Times New Roman" w:hAnsi="Times New Roman" w:cs="Times New Roman"/>
          <w:sz w:val="24"/>
          <w:szCs w:val="24"/>
        </w:rPr>
        <w:t xml:space="preserve">, Aldo </w:t>
      </w:r>
      <w:proofErr w:type="spellStart"/>
      <w:r w:rsidR="006C20E1">
        <w:rPr>
          <w:rFonts w:ascii="Times New Roman" w:hAnsi="Times New Roman" w:cs="Times New Roman"/>
          <w:sz w:val="24"/>
          <w:szCs w:val="24"/>
        </w:rPr>
        <w:t>Sandulli</w:t>
      </w:r>
      <w:proofErr w:type="spellEnd"/>
      <w:r w:rsidR="006C20E1">
        <w:rPr>
          <w:rFonts w:ascii="Times New Roman" w:hAnsi="Times New Roman" w:cs="Times New Roman"/>
          <w:sz w:val="24"/>
          <w:szCs w:val="24"/>
        </w:rPr>
        <w:t>)</w:t>
      </w:r>
      <w:r w:rsidR="00EE3FF6" w:rsidRPr="002212BD">
        <w:rPr>
          <w:rFonts w:ascii="Times New Roman" w:hAnsi="Times New Roman" w:cs="Times New Roman"/>
          <w:sz w:val="24"/>
          <w:szCs w:val="24"/>
        </w:rPr>
        <w:t>: l’uso di concetti giuridici indeterminati, nel quadro di una versione debole del principio di legalità, se legato ad un sindacato debole e in assenza di correttivi procedurali, condurrebbe ad un risultato complessivo deficitario, tutto a favore della decisione (e</w:t>
      </w:r>
      <w:r w:rsidR="00DE38A2">
        <w:rPr>
          <w:rFonts w:ascii="Times New Roman" w:hAnsi="Times New Roman" w:cs="Times New Roman"/>
          <w:sz w:val="24"/>
          <w:szCs w:val="24"/>
        </w:rPr>
        <w:t xml:space="preserve"> del decisionismo) del Governo. S</w:t>
      </w:r>
      <w:r w:rsidR="00EE3FF6" w:rsidRPr="002212BD">
        <w:rPr>
          <w:rFonts w:ascii="Times New Roman" w:hAnsi="Times New Roman" w:cs="Times New Roman"/>
          <w:sz w:val="24"/>
          <w:szCs w:val="24"/>
        </w:rPr>
        <w:t xml:space="preserve">i evocano scenari </w:t>
      </w:r>
      <w:r w:rsidR="006C20E1">
        <w:rPr>
          <w:rFonts w:ascii="Times New Roman" w:hAnsi="Times New Roman" w:cs="Times New Roman"/>
          <w:sz w:val="24"/>
          <w:szCs w:val="24"/>
        </w:rPr>
        <w:t>“</w:t>
      </w:r>
      <w:proofErr w:type="spellStart"/>
      <w:r w:rsidR="00EE3FF6" w:rsidRPr="002212BD">
        <w:rPr>
          <w:rFonts w:ascii="Times New Roman" w:hAnsi="Times New Roman" w:cs="Times New Roman"/>
          <w:sz w:val="24"/>
          <w:szCs w:val="24"/>
        </w:rPr>
        <w:t>schimittiani</w:t>
      </w:r>
      <w:proofErr w:type="spellEnd"/>
      <w:r w:rsidR="006C20E1">
        <w:rPr>
          <w:rFonts w:ascii="Times New Roman" w:hAnsi="Times New Roman" w:cs="Times New Roman"/>
          <w:sz w:val="24"/>
          <w:szCs w:val="24"/>
        </w:rPr>
        <w:t>”</w:t>
      </w:r>
      <w:r w:rsidR="00CF455D">
        <w:rPr>
          <w:rFonts w:ascii="Times New Roman" w:hAnsi="Times New Roman" w:cs="Times New Roman"/>
          <w:sz w:val="24"/>
          <w:szCs w:val="24"/>
        </w:rPr>
        <w:t xml:space="preserve"> (Giuseppe Urbano)</w:t>
      </w:r>
      <w:r w:rsidR="00DE38A2">
        <w:rPr>
          <w:rFonts w:ascii="Times New Roman" w:hAnsi="Times New Roman" w:cs="Times New Roman"/>
          <w:sz w:val="24"/>
          <w:szCs w:val="24"/>
        </w:rPr>
        <w:t>, e</w:t>
      </w:r>
      <w:r w:rsidR="00EE3FF6">
        <w:rPr>
          <w:rFonts w:ascii="Times New Roman" w:hAnsi="Times New Roman" w:cs="Times New Roman"/>
          <w:sz w:val="24"/>
          <w:szCs w:val="24"/>
        </w:rPr>
        <w:t xml:space="preserve"> si torna a parlare di “deferenza”</w:t>
      </w:r>
      <w:r w:rsidR="002A23BE">
        <w:rPr>
          <w:rStyle w:val="Rimandonotaapidipagina"/>
          <w:rFonts w:ascii="Times New Roman" w:hAnsi="Times New Roman" w:cs="Times New Roman"/>
          <w:sz w:val="24"/>
          <w:szCs w:val="24"/>
        </w:rPr>
        <w:t xml:space="preserve"> </w:t>
      </w:r>
      <w:r w:rsidR="008D14EF">
        <w:rPr>
          <w:rFonts w:ascii="Times New Roman" w:hAnsi="Times New Roman" w:cs="Times New Roman"/>
          <w:sz w:val="24"/>
          <w:szCs w:val="24"/>
        </w:rPr>
        <w:t xml:space="preserve">, </w:t>
      </w:r>
      <w:r w:rsidR="00EE3FF6">
        <w:rPr>
          <w:rFonts w:ascii="Times New Roman" w:hAnsi="Times New Roman" w:cs="Times New Roman"/>
          <w:sz w:val="24"/>
          <w:szCs w:val="24"/>
        </w:rPr>
        <w:t>in un’accezione simile a quella usata da Aldo Travi in un precedente r</w:t>
      </w:r>
      <w:r w:rsidR="00833E69">
        <w:rPr>
          <w:rFonts w:ascii="Times New Roman" w:hAnsi="Times New Roman" w:cs="Times New Roman"/>
          <w:sz w:val="24"/>
          <w:szCs w:val="24"/>
        </w:rPr>
        <w:t>iguardante la Banca d’Italia di</w:t>
      </w:r>
      <w:r w:rsidR="00EE3FF6">
        <w:rPr>
          <w:rFonts w:ascii="Times New Roman" w:hAnsi="Times New Roman" w:cs="Times New Roman"/>
          <w:sz w:val="24"/>
          <w:szCs w:val="24"/>
        </w:rPr>
        <w:t xml:space="preserve"> venti anni fa</w:t>
      </w:r>
      <w:r w:rsidR="00EE3FF6" w:rsidRPr="002212BD">
        <w:rPr>
          <w:rFonts w:ascii="Times New Roman" w:hAnsi="Times New Roman" w:cs="Times New Roman"/>
          <w:sz w:val="24"/>
          <w:szCs w:val="24"/>
        </w:rPr>
        <w:t>.</w:t>
      </w:r>
    </w:p>
    <w:p w:rsidR="00990517" w:rsidRDefault="00EE3FF6"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sentenza 289 del 2023 del </w:t>
      </w:r>
      <w:r w:rsidR="00AB742D">
        <w:rPr>
          <w:rFonts w:ascii="Times New Roman" w:hAnsi="Times New Roman" w:cs="Times New Roman"/>
          <w:sz w:val="24"/>
          <w:szCs w:val="24"/>
        </w:rPr>
        <w:t>Consiglio di Stato</w:t>
      </w:r>
      <w:r>
        <w:rPr>
          <w:rFonts w:ascii="Times New Roman" w:hAnsi="Times New Roman" w:cs="Times New Roman"/>
          <w:sz w:val="24"/>
          <w:szCs w:val="24"/>
        </w:rPr>
        <w:t xml:space="preserve"> nel punto in cui sembra spezzare la continuità tra istruttoria dei tecnici e decisione dei politici </w:t>
      </w:r>
      <w:proofErr w:type="gramStart"/>
      <w:r>
        <w:rPr>
          <w:rFonts w:ascii="Times New Roman" w:hAnsi="Times New Roman" w:cs="Times New Roman"/>
          <w:sz w:val="24"/>
          <w:szCs w:val="24"/>
        </w:rPr>
        <w:t>e “</w:t>
      </w:r>
      <w:proofErr w:type="gramEnd"/>
      <w:r>
        <w:rPr>
          <w:rFonts w:ascii="Times New Roman" w:hAnsi="Times New Roman" w:cs="Times New Roman"/>
          <w:sz w:val="24"/>
          <w:szCs w:val="24"/>
        </w:rPr>
        <w:t>traguardare” la singola operazione in un contesto più generale di politica nazionale, solle</w:t>
      </w:r>
      <w:r w:rsidR="00990517">
        <w:rPr>
          <w:rFonts w:ascii="Times New Roman" w:hAnsi="Times New Roman" w:cs="Times New Roman"/>
          <w:sz w:val="24"/>
          <w:szCs w:val="24"/>
        </w:rPr>
        <w:t xml:space="preserve">va delle riflessioni importanti a proposito del </w:t>
      </w:r>
      <w:r>
        <w:rPr>
          <w:rFonts w:ascii="Times New Roman" w:hAnsi="Times New Roman" w:cs="Times New Roman"/>
          <w:sz w:val="24"/>
          <w:szCs w:val="24"/>
        </w:rPr>
        <w:t>rapporto tra istruttoria e decisione</w:t>
      </w:r>
      <w:r w:rsidR="00990517">
        <w:rPr>
          <w:rFonts w:ascii="Times New Roman" w:hAnsi="Times New Roman" w:cs="Times New Roman"/>
          <w:sz w:val="24"/>
          <w:szCs w:val="24"/>
        </w:rPr>
        <w:t xml:space="preserve"> e dell</w:t>
      </w:r>
      <w:r>
        <w:rPr>
          <w:rFonts w:ascii="Times New Roman" w:hAnsi="Times New Roman" w:cs="Times New Roman"/>
          <w:sz w:val="24"/>
          <w:szCs w:val="24"/>
        </w:rPr>
        <w:t>’atto geopolitico</w:t>
      </w:r>
      <w:r w:rsidR="00990517">
        <w:rPr>
          <w:rFonts w:ascii="Times New Roman" w:hAnsi="Times New Roman" w:cs="Times New Roman"/>
          <w:sz w:val="24"/>
          <w:szCs w:val="24"/>
        </w:rPr>
        <w:t>, presentato quasi come una</w:t>
      </w:r>
      <w:r>
        <w:rPr>
          <w:rFonts w:ascii="Times New Roman" w:hAnsi="Times New Roman" w:cs="Times New Roman"/>
          <w:sz w:val="24"/>
          <w:szCs w:val="24"/>
        </w:rPr>
        <w:t xml:space="preserve"> nuova categoria</w:t>
      </w:r>
      <w:r w:rsidR="00990517">
        <w:rPr>
          <w:rFonts w:ascii="Times New Roman" w:hAnsi="Times New Roman" w:cs="Times New Roman"/>
          <w:sz w:val="24"/>
          <w:szCs w:val="24"/>
        </w:rPr>
        <w:t>.</w:t>
      </w:r>
    </w:p>
    <w:p w:rsidR="00990517" w:rsidRDefault="00990517"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Sullo sfondo</w:t>
      </w:r>
      <w:r w:rsidR="00D3596D">
        <w:rPr>
          <w:rFonts w:ascii="Times New Roman" w:hAnsi="Times New Roman" w:cs="Times New Roman"/>
          <w:sz w:val="24"/>
          <w:szCs w:val="24"/>
        </w:rPr>
        <w:t xml:space="preserve"> si coglie</w:t>
      </w:r>
      <w:r w:rsidR="00DF0390">
        <w:rPr>
          <w:rFonts w:ascii="Times New Roman" w:hAnsi="Times New Roman" w:cs="Times New Roman"/>
          <w:sz w:val="24"/>
          <w:szCs w:val="24"/>
        </w:rPr>
        <w:t xml:space="preserve">, anche in occasione del </w:t>
      </w:r>
      <w:proofErr w:type="spellStart"/>
      <w:r w:rsidR="00DF0390" w:rsidRPr="003140A0">
        <w:rPr>
          <w:rFonts w:ascii="Times New Roman" w:hAnsi="Times New Roman" w:cs="Times New Roman"/>
          <w:i/>
          <w:sz w:val="24"/>
          <w:szCs w:val="24"/>
        </w:rPr>
        <w:t>golden</w:t>
      </w:r>
      <w:proofErr w:type="spellEnd"/>
      <w:r w:rsidR="00DF0390" w:rsidRPr="003140A0">
        <w:rPr>
          <w:rFonts w:ascii="Times New Roman" w:hAnsi="Times New Roman" w:cs="Times New Roman"/>
          <w:i/>
          <w:sz w:val="24"/>
          <w:szCs w:val="24"/>
        </w:rPr>
        <w:t xml:space="preserve"> </w:t>
      </w:r>
      <w:proofErr w:type="spellStart"/>
      <w:r w:rsidR="00DF0390" w:rsidRPr="003140A0">
        <w:rPr>
          <w:rFonts w:ascii="Times New Roman" w:hAnsi="Times New Roman" w:cs="Times New Roman"/>
          <w:i/>
          <w:sz w:val="24"/>
          <w:szCs w:val="24"/>
        </w:rPr>
        <w:t>power</w:t>
      </w:r>
      <w:proofErr w:type="spellEnd"/>
      <w:r w:rsidR="00DF0390">
        <w:rPr>
          <w:rFonts w:ascii="Times New Roman" w:hAnsi="Times New Roman" w:cs="Times New Roman"/>
          <w:sz w:val="24"/>
          <w:szCs w:val="24"/>
        </w:rPr>
        <w:t>,</w:t>
      </w:r>
      <w:r>
        <w:rPr>
          <w:rFonts w:ascii="Times New Roman" w:hAnsi="Times New Roman" w:cs="Times New Roman"/>
          <w:sz w:val="24"/>
          <w:szCs w:val="24"/>
        </w:rPr>
        <w:t xml:space="preserve"> l’immagine di una</w:t>
      </w:r>
      <w:r w:rsidR="00EE3FF6">
        <w:rPr>
          <w:rFonts w:ascii="Times New Roman" w:hAnsi="Times New Roman" w:cs="Times New Roman"/>
          <w:sz w:val="24"/>
          <w:szCs w:val="24"/>
        </w:rPr>
        <w:t xml:space="preserve"> politica nazionale </w:t>
      </w:r>
      <w:r>
        <w:rPr>
          <w:rFonts w:ascii="Times New Roman" w:hAnsi="Times New Roman" w:cs="Times New Roman"/>
          <w:sz w:val="24"/>
          <w:szCs w:val="24"/>
        </w:rPr>
        <w:t xml:space="preserve">che </w:t>
      </w:r>
      <w:r w:rsidR="00EE3FF6">
        <w:rPr>
          <w:rFonts w:ascii="Times New Roman" w:hAnsi="Times New Roman" w:cs="Times New Roman"/>
          <w:sz w:val="24"/>
          <w:szCs w:val="24"/>
        </w:rPr>
        <w:t xml:space="preserve">coincide </w:t>
      </w:r>
      <w:r w:rsidR="00DF0390">
        <w:rPr>
          <w:rFonts w:ascii="Times New Roman" w:hAnsi="Times New Roman" w:cs="Times New Roman"/>
          <w:sz w:val="24"/>
          <w:szCs w:val="24"/>
        </w:rPr>
        <w:t xml:space="preserve">ormai </w:t>
      </w:r>
      <w:r>
        <w:rPr>
          <w:rFonts w:ascii="Times New Roman" w:hAnsi="Times New Roman" w:cs="Times New Roman"/>
          <w:sz w:val="24"/>
          <w:szCs w:val="24"/>
        </w:rPr>
        <w:t>quasi del tutto</w:t>
      </w:r>
      <w:r w:rsidR="008C71A3">
        <w:rPr>
          <w:rFonts w:ascii="Times New Roman" w:hAnsi="Times New Roman" w:cs="Times New Roman"/>
          <w:sz w:val="24"/>
          <w:szCs w:val="24"/>
        </w:rPr>
        <w:t xml:space="preserve"> con la politica del G</w:t>
      </w:r>
      <w:r w:rsidR="00EE3FF6">
        <w:rPr>
          <w:rFonts w:ascii="Times New Roman" w:hAnsi="Times New Roman" w:cs="Times New Roman"/>
          <w:sz w:val="24"/>
          <w:szCs w:val="24"/>
        </w:rPr>
        <w:t>overno</w:t>
      </w:r>
      <w:r>
        <w:rPr>
          <w:rFonts w:ascii="Times New Roman" w:hAnsi="Times New Roman" w:cs="Times New Roman"/>
          <w:sz w:val="24"/>
          <w:szCs w:val="24"/>
        </w:rPr>
        <w:t>, nel dissolversi dei partiti e del Parlamento, nel quadro più generale ancora di un ridime</w:t>
      </w:r>
      <w:r w:rsidR="00D3596D">
        <w:rPr>
          <w:rFonts w:ascii="Times New Roman" w:hAnsi="Times New Roman" w:cs="Times New Roman"/>
          <w:sz w:val="24"/>
          <w:szCs w:val="24"/>
        </w:rPr>
        <w:t>nsionamento dei corpi intermedi e di una crisi che, come è stato efficacemente rilevato</w:t>
      </w:r>
      <w:r w:rsidR="007E64EE">
        <w:rPr>
          <w:rFonts w:ascii="Times New Roman" w:hAnsi="Times New Roman" w:cs="Times New Roman"/>
          <w:sz w:val="24"/>
          <w:szCs w:val="24"/>
        </w:rPr>
        <w:t xml:space="preserve"> in varie occasioni da Massimo Luciani</w:t>
      </w:r>
      <w:r w:rsidR="00D3596D">
        <w:rPr>
          <w:rFonts w:ascii="Times New Roman" w:hAnsi="Times New Roman" w:cs="Times New Roman"/>
          <w:sz w:val="24"/>
          <w:szCs w:val="24"/>
        </w:rPr>
        <w:t xml:space="preserve">, è del </w:t>
      </w:r>
      <w:r w:rsidR="00D3596D" w:rsidRPr="00D3596D">
        <w:rPr>
          <w:rFonts w:ascii="Times New Roman" w:hAnsi="Times New Roman" w:cs="Times New Roman"/>
          <w:i/>
          <w:sz w:val="24"/>
          <w:szCs w:val="24"/>
        </w:rPr>
        <w:t>rappresentato</w:t>
      </w:r>
      <w:r w:rsidR="00D3596D">
        <w:rPr>
          <w:rFonts w:ascii="Times New Roman" w:hAnsi="Times New Roman" w:cs="Times New Roman"/>
          <w:sz w:val="24"/>
          <w:szCs w:val="24"/>
        </w:rPr>
        <w:t xml:space="preserve"> prima ancora che del </w:t>
      </w:r>
      <w:r w:rsidR="00D3596D" w:rsidRPr="00D3596D">
        <w:rPr>
          <w:rFonts w:ascii="Times New Roman" w:hAnsi="Times New Roman" w:cs="Times New Roman"/>
          <w:i/>
          <w:sz w:val="24"/>
          <w:szCs w:val="24"/>
        </w:rPr>
        <w:t>rappresentante</w:t>
      </w:r>
      <w:r w:rsidR="00D3596D">
        <w:rPr>
          <w:rFonts w:ascii="Times New Roman" w:hAnsi="Times New Roman" w:cs="Times New Roman"/>
          <w:sz w:val="24"/>
          <w:szCs w:val="24"/>
        </w:rPr>
        <w:t>.</w:t>
      </w:r>
    </w:p>
    <w:p w:rsidR="00EE3FF6" w:rsidRPr="002212BD" w:rsidRDefault="00990517"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Per rimanere</w:t>
      </w:r>
      <w:r w:rsidR="00D3596D">
        <w:rPr>
          <w:rFonts w:ascii="Times New Roman" w:hAnsi="Times New Roman" w:cs="Times New Roman"/>
          <w:sz w:val="24"/>
          <w:szCs w:val="24"/>
        </w:rPr>
        <w:t xml:space="preserve"> però</w:t>
      </w:r>
      <w:r>
        <w:rPr>
          <w:rFonts w:ascii="Times New Roman" w:hAnsi="Times New Roman" w:cs="Times New Roman"/>
          <w:sz w:val="24"/>
          <w:szCs w:val="24"/>
        </w:rPr>
        <w:t xml:space="preserve"> sul tema</w:t>
      </w:r>
      <w:r w:rsidR="00D3596D">
        <w:rPr>
          <w:rFonts w:ascii="Times New Roman" w:hAnsi="Times New Roman" w:cs="Times New Roman"/>
          <w:sz w:val="24"/>
          <w:szCs w:val="24"/>
        </w:rPr>
        <w:t xml:space="preserve"> più specifico</w:t>
      </w:r>
      <w:r>
        <w:rPr>
          <w:rFonts w:ascii="Times New Roman" w:hAnsi="Times New Roman" w:cs="Times New Roman"/>
          <w:sz w:val="24"/>
          <w:szCs w:val="24"/>
        </w:rPr>
        <w:t xml:space="preserve"> del sindacato giurisdizionale, ci sono innegabilmente</w:t>
      </w:r>
      <w:r w:rsidR="00EE1622">
        <w:rPr>
          <w:rFonts w:ascii="Times New Roman" w:hAnsi="Times New Roman" w:cs="Times New Roman"/>
          <w:sz w:val="24"/>
          <w:szCs w:val="24"/>
        </w:rPr>
        <w:t xml:space="preserve"> </w:t>
      </w:r>
      <w:r w:rsidR="00EE3FF6">
        <w:rPr>
          <w:rFonts w:ascii="Times New Roman" w:hAnsi="Times New Roman" w:cs="Times New Roman"/>
          <w:sz w:val="24"/>
          <w:szCs w:val="24"/>
        </w:rPr>
        <w:t>dei limiti oggettivi, di ordine pratico</w:t>
      </w:r>
      <w:r w:rsidR="00EE1622">
        <w:rPr>
          <w:rFonts w:ascii="Times New Roman" w:hAnsi="Times New Roman" w:cs="Times New Roman"/>
          <w:sz w:val="24"/>
          <w:szCs w:val="24"/>
        </w:rPr>
        <w:t xml:space="preserve">, al suo </w:t>
      </w:r>
      <w:r w:rsidR="00D3596D">
        <w:rPr>
          <w:rFonts w:ascii="Times New Roman" w:hAnsi="Times New Roman" w:cs="Times New Roman"/>
          <w:sz w:val="24"/>
          <w:szCs w:val="24"/>
        </w:rPr>
        <w:t xml:space="preserve">pieno </w:t>
      </w:r>
      <w:r w:rsidR="00EE1622">
        <w:rPr>
          <w:rFonts w:ascii="Times New Roman" w:hAnsi="Times New Roman" w:cs="Times New Roman"/>
          <w:sz w:val="24"/>
          <w:szCs w:val="24"/>
        </w:rPr>
        <w:t>dispiegarsi</w:t>
      </w:r>
      <w:r w:rsidR="00EE3FF6">
        <w:rPr>
          <w:rFonts w:ascii="Times New Roman" w:hAnsi="Times New Roman" w:cs="Times New Roman"/>
          <w:sz w:val="24"/>
          <w:szCs w:val="24"/>
        </w:rPr>
        <w:t xml:space="preserve">. </w:t>
      </w:r>
      <w:proofErr w:type="gramStart"/>
      <w:r w:rsidR="00EE3FF6" w:rsidRPr="002212BD">
        <w:rPr>
          <w:rFonts w:ascii="Times New Roman" w:hAnsi="Times New Roman" w:cs="Times New Roman"/>
          <w:sz w:val="24"/>
          <w:szCs w:val="24"/>
        </w:rPr>
        <w:t>E’</w:t>
      </w:r>
      <w:proofErr w:type="gramEnd"/>
      <w:r w:rsidR="00EE3FF6" w:rsidRPr="002212BD">
        <w:rPr>
          <w:rFonts w:ascii="Times New Roman" w:hAnsi="Times New Roman" w:cs="Times New Roman"/>
          <w:sz w:val="24"/>
          <w:szCs w:val="24"/>
        </w:rPr>
        <w:t xml:space="preserve"> </w:t>
      </w:r>
      <w:r>
        <w:rPr>
          <w:rFonts w:ascii="Times New Roman" w:hAnsi="Times New Roman" w:cs="Times New Roman"/>
          <w:sz w:val="24"/>
          <w:szCs w:val="24"/>
        </w:rPr>
        <w:t>legittimo domandarsi</w:t>
      </w:r>
      <w:r w:rsidR="00EE1622">
        <w:rPr>
          <w:rFonts w:ascii="Times New Roman" w:hAnsi="Times New Roman" w:cs="Times New Roman"/>
          <w:sz w:val="24"/>
          <w:szCs w:val="24"/>
        </w:rPr>
        <w:t>, ad esempio,</w:t>
      </w:r>
      <w:r>
        <w:rPr>
          <w:rFonts w:ascii="Times New Roman" w:hAnsi="Times New Roman" w:cs="Times New Roman"/>
          <w:sz w:val="24"/>
          <w:szCs w:val="24"/>
        </w:rPr>
        <w:t xml:space="preserve"> se sia </w:t>
      </w:r>
      <w:r w:rsidR="00EE3FF6" w:rsidRPr="002212BD">
        <w:rPr>
          <w:rFonts w:ascii="Times New Roman" w:hAnsi="Times New Roman" w:cs="Times New Roman"/>
          <w:sz w:val="24"/>
          <w:szCs w:val="24"/>
        </w:rPr>
        <w:t>davvero replicabile nel giudizio</w:t>
      </w:r>
      <w:r w:rsidR="00EE3FF6">
        <w:rPr>
          <w:rFonts w:ascii="Times New Roman" w:hAnsi="Times New Roman" w:cs="Times New Roman"/>
          <w:sz w:val="24"/>
          <w:szCs w:val="24"/>
        </w:rPr>
        <w:t xml:space="preserve"> davanti al giudice amministrativo</w:t>
      </w:r>
      <w:r w:rsidR="00EE3FF6" w:rsidRPr="002212BD">
        <w:rPr>
          <w:rFonts w:ascii="Times New Roman" w:hAnsi="Times New Roman" w:cs="Times New Roman"/>
          <w:sz w:val="24"/>
          <w:szCs w:val="24"/>
        </w:rPr>
        <w:t xml:space="preserve"> l’accesso ai dati ed alle informazioni di cui dispone la </w:t>
      </w:r>
      <w:r>
        <w:rPr>
          <w:rFonts w:ascii="Times New Roman" w:hAnsi="Times New Roman" w:cs="Times New Roman"/>
          <w:sz w:val="24"/>
          <w:szCs w:val="24"/>
        </w:rPr>
        <w:t>Presidenza del Consiglio dei Ministri</w:t>
      </w:r>
      <w:r w:rsidR="00EE3FF6" w:rsidRPr="002212BD">
        <w:rPr>
          <w:rFonts w:ascii="Times New Roman" w:hAnsi="Times New Roman" w:cs="Times New Roman"/>
          <w:sz w:val="24"/>
          <w:szCs w:val="24"/>
        </w:rPr>
        <w:t xml:space="preserve"> attraverso i suoi a</w:t>
      </w:r>
      <w:r>
        <w:rPr>
          <w:rFonts w:ascii="Times New Roman" w:hAnsi="Times New Roman" w:cs="Times New Roman"/>
          <w:sz w:val="24"/>
          <w:szCs w:val="24"/>
        </w:rPr>
        <w:t>pparati, anche di intelligence.</w:t>
      </w:r>
      <w:r w:rsidR="00EE3FF6">
        <w:rPr>
          <w:rFonts w:ascii="Times New Roman" w:hAnsi="Times New Roman" w:cs="Times New Roman"/>
          <w:sz w:val="24"/>
          <w:szCs w:val="24"/>
        </w:rPr>
        <w:t xml:space="preserve"> Si </w:t>
      </w:r>
      <w:r w:rsidR="00DF0390">
        <w:rPr>
          <w:rFonts w:ascii="Times New Roman" w:hAnsi="Times New Roman" w:cs="Times New Roman"/>
          <w:sz w:val="24"/>
          <w:szCs w:val="24"/>
        </w:rPr>
        <w:t>possono</w:t>
      </w:r>
      <w:r w:rsidR="00EE3FF6">
        <w:rPr>
          <w:rFonts w:ascii="Times New Roman" w:hAnsi="Times New Roman" w:cs="Times New Roman"/>
          <w:sz w:val="24"/>
          <w:szCs w:val="24"/>
        </w:rPr>
        <w:t xml:space="preserve"> </w:t>
      </w:r>
      <w:r w:rsidR="00EE1622">
        <w:rPr>
          <w:rFonts w:ascii="Times New Roman" w:hAnsi="Times New Roman" w:cs="Times New Roman"/>
          <w:sz w:val="24"/>
          <w:szCs w:val="24"/>
        </w:rPr>
        <w:t xml:space="preserve">facilmente </w:t>
      </w:r>
      <w:r w:rsidR="009A255C">
        <w:rPr>
          <w:rFonts w:ascii="Times New Roman" w:hAnsi="Times New Roman" w:cs="Times New Roman"/>
          <w:sz w:val="24"/>
          <w:szCs w:val="24"/>
        </w:rPr>
        <w:t>porre</w:t>
      </w:r>
      <w:r w:rsidR="00EE3FF6">
        <w:rPr>
          <w:rFonts w:ascii="Times New Roman" w:hAnsi="Times New Roman" w:cs="Times New Roman"/>
          <w:sz w:val="24"/>
          <w:szCs w:val="24"/>
        </w:rPr>
        <w:t xml:space="preserve"> </w:t>
      </w:r>
      <w:r w:rsidR="00D3596D">
        <w:rPr>
          <w:rFonts w:ascii="Times New Roman" w:hAnsi="Times New Roman" w:cs="Times New Roman"/>
          <w:sz w:val="24"/>
          <w:szCs w:val="24"/>
        </w:rPr>
        <w:t>questioni</w:t>
      </w:r>
      <w:r w:rsidR="00EE3FF6">
        <w:rPr>
          <w:rFonts w:ascii="Times New Roman" w:hAnsi="Times New Roman" w:cs="Times New Roman"/>
          <w:sz w:val="24"/>
          <w:szCs w:val="24"/>
        </w:rPr>
        <w:t xml:space="preserve"> di riservatezza delle informazioni</w:t>
      </w:r>
      <w:r w:rsidR="00D3596D">
        <w:rPr>
          <w:rFonts w:ascii="Times New Roman" w:hAnsi="Times New Roman" w:cs="Times New Roman"/>
          <w:sz w:val="24"/>
          <w:szCs w:val="24"/>
        </w:rPr>
        <w:t>, destinate</w:t>
      </w:r>
      <w:r>
        <w:rPr>
          <w:rFonts w:ascii="Times New Roman" w:hAnsi="Times New Roman" w:cs="Times New Roman"/>
          <w:sz w:val="24"/>
          <w:szCs w:val="24"/>
        </w:rPr>
        <w:t xml:space="preserve"> a tradursi in </w:t>
      </w:r>
      <w:r w:rsidR="00D3596D">
        <w:rPr>
          <w:rFonts w:ascii="Times New Roman" w:hAnsi="Times New Roman" w:cs="Times New Roman"/>
          <w:sz w:val="24"/>
          <w:szCs w:val="24"/>
        </w:rPr>
        <w:t>altrettante questioni</w:t>
      </w:r>
      <w:r>
        <w:rPr>
          <w:rFonts w:ascii="Times New Roman" w:hAnsi="Times New Roman" w:cs="Times New Roman"/>
          <w:sz w:val="24"/>
          <w:szCs w:val="24"/>
        </w:rPr>
        <w:t xml:space="preserve"> </w:t>
      </w:r>
      <w:r w:rsidR="00EE1622">
        <w:rPr>
          <w:rFonts w:ascii="Times New Roman" w:hAnsi="Times New Roman" w:cs="Times New Roman"/>
          <w:sz w:val="24"/>
          <w:szCs w:val="24"/>
        </w:rPr>
        <w:t xml:space="preserve">di assunzione del mezzo di prova e di contraddittorio, </w:t>
      </w:r>
      <w:r w:rsidR="00343004">
        <w:rPr>
          <w:rFonts w:ascii="Times New Roman" w:hAnsi="Times New Roman" w:cs="Times New Roman"/>
          <w:sz w:val="24"/>
          <w:szCs w:val="24"/>
        </w:rPr>
        <w:t>che precedono e possono anche allontanare la</w:t>
      </w:r>
      <w:r w:rsidR="00EE1622">
        <w:rPr>
          <w:rFonts w:ascii="Times New Roman" w:hAnsi="Times New Roman" w:cs="Times New Roman"/>
          <w:sz w:val="24"/>
          <w:szCs w:val="24"/>
        </w:rPr>
        <w:t xml:space="preserve"> valutazione</w:t>
      </w:r>
      <w:r w:rsidR="00343004">
        <w:rPr>
          <w:rFonts w:ascii="Times New Roman" w:hAnsi="Times New Roman" w:cs="Times New Roman"/>
          <w:sz w:val="24"/>
          <w:szCs w:val="24"/>
        </w:rPr>
        <w:t xml:space="preserve"> dei suoi esiti</w:t>
      </w:r>
      <w:r w:rsidR="009A255C">
        <w:rPr>
          <w:rFonts w:ascii="Times New Roman" w:hAnsi="Times New Roman" w:cs="Times New Roman"/>
          <w:sz w:val="24"/>
          <w:szCs w:val="24"/>
        </w:rPr>
        <w:t>.</w:t>
      </w:r>
    </w:p>
    <w:p w:rsidR="00A16B37" w:rsidRDefault="00EE1622"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Venendo </w:t>
      </w:r>
      <w:r w:rsidR="00D3596D">
        <w:rPr>
          <w:rFonts w:ascii="Times New Roman" w:hAnsi="Times New Roman" w:cs="Times New Roman"/>
          <w:sz w:val="24"/>
          <w:szCs w:val="24"/>
        </w:rPr>
        <w:t>al momento della</w:t>
      </w:r>
      <w:r>
        <w:rPr>
          <w:rFonts w:ascii="Times New Roman" w:hAnsi="Times New Roman" w:cs="Times New Roman"/>
          <w:sz w:val="24"/>
          <w:szCs w:val="24"/>
        </w:rPr>
        <w:t xml:space="preserve"> decisione, s</w:t>
      </w:r>
      <w:r w:rsidR="00EE3FF6">
        <w:rPr>
          <w:rFonts w:ascii="Times New Roman" w:hAnsi="Times New Roman" w:cs="Times New Roman"/>
          <w:sz w:val="24"/>
          <w:szCs w:val="24"/>
        </w:rPr>
        <w:t xml:space="preserve">e nel </w:t>
      </w:r>
      <w:r w:rsidR="00EE3FF6" w:rsidRPr="002212BD">
        <w:rPr>
          <w:rFonts w:ascii="Times New Roman" w:hAnsi="Times New Roman" w:cs="Times New Roman"/>
          <w:sz w:val="24"/>
          <w:szCs w:val="24"/>
        </w:rPr>
        <w:t>modello del sindacato sulla</w:t>
      </w:r>
      <w:r>
        <w:rPr>
          <w:rFonts w:ascii="Times New Roman" w:hAnsi="Times New Roman" w:cs="Times New Roman"/>
          <w:sz w:val="24"/>
          <w:szCs w:val="24"/>
        </w:rPr>
        <w:t xml:space="preserve"> discrezionalità amministrativa</w:t>
      </w:r>
      <w:r w:rsidR="00EE3FF6" w:rsidRPr="002212BD">
        <w:rPr>
          <w:rFonts w:ascii="Times New Roman" w:hAnsi="Times New Roman" w:cs="Times New Roman"/>
          <w:sz w:val="24"/>
          <w:szCs w:val="24"/>
        </w:rPr>
        <w:t xml:space="preserve"> </w:t>
      </w:r>
      <w:r w:rsidR="00EE3FF6">
        <w:rPr>
          <w:rFonts w:ascii="Times New Roman" w:hAnsi="Times New Roman" w:cs="Times New Roman"/>
          <w:sz w:val="24"/>
          <w:szCs w:val="24"/>
        </w:rPr>
        <w:t>si valuta</w:t>
      </w:r>
      <w:r w:rsidR="00EE3FF6" w:rsidRPr="002212BD">
        <w:rPr>
          <w:rFonts w:ascii="Times New Roman" w:hAnsi="Times New Roman" w:cs="Times New Roman"/>
          <w:sz w:val="24"/>
          <w:szCs w:val="24"/>
        </w:rPr>
        <w:t xml:space="preserve"> come è stata realizz</w:t>
      </w:r>
      <w:r w:rsidR="00EE3FF6">
        <w:rPr>
          <w:rFonts w:ascii="Times New Roman" w:hAnsi="Times New Roman" w:cs="Times New Roman"/>
          <w:sz w:val="24"/>
          <w:szCs w:val="24"/>
        </w:rPr>
        <w:t>ata la ponderazione comparativa,</w:t>
      </w:r>
      <w:r w:rsidR="00EE3FF6" w:rsidRPr="002212BD">
        <w:rPr>
          <w:rFonts w:ascii="Times New Roman" w:hAnsi="Times New Roman" w:cs="Times New Roman"/>
          <w:sz w:val="24"/>
          <w:szCs w:val="24"/>
        </w:rPr>
        <w:t xml:space="preserve"> </w:t>
      </w:r>
      <w:r>
        <w:rPr>
          <w:rFonts w:ascii="Times New Roman" w:hAnsi="Times New Roman" w:cs="Times New Roman"/>
          <w:sz w:val="24"/>
          <w:szCs w:val="24"/>
        </w:rPr>
        <w:t xml:space="preserve">nel contenzioso sul </w:t>
      </w:r>
      <w:proofErr w:type="spellStart"/>
      <w:r w:rsidRPr="003140A0">
        <w:rPr>
          <w:rFonts w:ascii="Times New Roman" w:hAnsi="Times New Roman" w:cs="Times New Roman"/>
          <w:i/>
          <w:sz w:val="24"/>
          <w:szCs w:val="24"/>
        </w:rPr>
        <w:t>golden</w:t>
      </w:r>
      <w:proofErr w:type="spellEnd"/>
      <w:r w:rsidRPr="003140A0">
        <w:rPr>
          <w:rFonts w:ascii="Times New Roman" w:hAnsi="Times New Roman" w:cs="Times New Roman"/>
          <w:i/>
          <w:sz w:val="24"/>
          <w:szCs w:val="24"/>
        </w:rPr>
        <w:t xml:space="preserve"> </w:t>
      </w:r>
      <w:proofErr w:type="spellStart"/>
      <w:r w:rsidRPr="003140A0">
        <w:rPr>
          <w:rFonts w:ascii="Times New Roman" w:hAnsi="Times New Roman" w:cs="Times New Roman"/>
          <w:i/>
          <w:sz w:val="24"/>
          <w:szCs w:val="24"/>
        </w:rPr>
        <w:t>power</w:t>
      </w:r>
      <w:proofErr w:type="spellEnd"/>
      <w:r w:rsidR="00EE3FF6" w:rsidRPr="002212BD">
        <w:rPr>
          <w:rFonts w:ascii="Times New Roman" w:hAnsi="Times New Roman" w:cs="Times New Roman"/>
          <w:sz w:val="24"/>
          <w:szCs w:val="24"/>
        </w:rPr>
        <w:t xml:space="preserve"> </w:t>
      </w:r>
      <w:r>
        <w:rPr>
          <w:rFonts w:ascii="Times New Roman" w:hAnsi="Times New Roman" w:cs="Times New Roman"/>
          <w:sz w:val="24"/>
          <w:szCs w:val="24"/>
        </w:rPr>
        <w:t>la ponderazione avviene</w:t>
      </w:r>
      <w:r w:rsidR="00EE3FF6" w:rsidRPr="002212BD">
        <w:rPr>
          <w:rFonts w:ascii="Times New Roman" w:hAnsi="Times New Roman" w:cs="Times New Roman"/>
          <w:sz w:val="24"/>
          <w:szCs w:val="24"/>
        </w:rPr>
        <w:t xml:space="preserve"> in modi del tutto peculiari, tra scelte ed opzioni strategiche.</w:t>
      </w:r>
      <w:r w:rsidR="003F6FFD">
        <w:rPr>
          <w:rFonts w:ascii="Times New Roman" w:hAnsi="Times New Roman" w:cs="Times New Roman"/>
          <w:sz w:val="24"/>
          <w:szCs w:val="24"/>
        </w:rPr>
        <w:t xml:space="preserve"> </w:t>
      </w:r>
      <w:r w:rsidR="00A16B37">
        <w:rPr>
          <w:rFonts w:ascii="Times New Roman" w:hAnsi="Times New Roman" w:cs="Times New Roman"/>
          <w:sz w:val="24"/>
          <w:szCs w:val="24"/>
        </w:rPr>
        <w:t>Di fronte a questi limiti, e all’estrema cautela manifestata dalla prima giurisprudenza amministrativa, si registrano in dottrina almeno tre approcci</w:t>
      </w:r>
      <w:r w:rsidR="00A16B37" w:rsidRPr="00A16B37">
        <w:rPr>
          <w:rFonts w:ascii="Times New Roman" w:hAnsi="Times New Roman" w:cs="Times New Roman"/>
          <w:sz w:val="24"/>
          <w:szCs w:val="24"/>
        </w:rPr>
        <w:t xml:space="preserve"> </w:t>
      </w:r>
      <w:r w:rsidR="00833E69">
        <w:rPr>
          <w:rFonts w:ascii="Times New Roman" w:hAnsi="Times New Roman" w:cs="Times New Roman"/>
          <w:sz w:val="24"/>
          <w:szCs w:val="24"/>
        </w:rPr>
        <w:t>diversi</w:t>
      </w:r>
      <w:r w:rsidR="00A16B37">
        <w:rPr>
          <w:rFonts w:ascii="Times New Roman" w:hAnsi="Times New Roman" w:cs="Times New Roman"/>
          <w:sz w:val="24"/>
          <w:szCs w:val="24"/>
        </w:rPr>
        <w:t>.</w:t>
      </w:r>
    </w:p>
    <w:p w:rsidR="00D3596D" w:rsidRDefault="00A16B37"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primo approccio che auspica che la giurisprudenza abbandoni la propria cautela, nel timore altrimenti </w:t>
      </w:r>
      <w:r w:rsidR="00EA7BFE">
        <w:rPr>
          <w:rFonts w:ascii="Times New Roman" w:hAnsi="Times New Roman" w:cs="Times New Roman"/>
          <w:sz w:val="24"/>
          <w:szCs w:val="24"/>
        </w:rPr>
        <w:t xml:space="preserve">– si direbbe, a mo’ di sintesi </w:t>
      </w:r>
      <w:r w:rsidR="00343004">
        <w:rPr>
          <w:rFonts w:ascii="Times New Roman" w:hAnsi="Times New Roman" w:cs="Times New Roman"/>
          <w:sz w:val="24"/>
          <w:szCs w:val="24"/>
        </w:rPr>
        <w:t>–</w:t>
      </w:r>
      <w:r w:rsidR="00EA7BFE">
        <w:rPr>
          <w:rFonts w:ascii="Times New Roman" w:hAnsi="Times New Roman" w:cs="Times New Roman"/>
          <w:sz w:val="24"/>
          <w:szCs w:val="24"/>
        </w:rPr>
        <w:t xml:space="preserve"> </w:t>
      </w:r>
      <w:r w:rsidR="00343004">
        <w:rPr>
          <w:rFonts w:ascii="Times New Roman" w:hAnsi="Times New Roman" w:cs="Times New Roman"/>
          <w:sz w:val="24"/>
          <w:szCs w:val="24"/>
        </w:rPr>
        <w:t>che la</w:t>
      </w:r>
      <w:r>
        <w:rPr>
          <w:rFonts w:ascii="Times New Roman" w:hAnsi="Times New Roman" w:cs="Times New Roman"/>
          <w:sz w:val="24"/>
          <w:szCs w:val="24"/>
        </w:rPr>
        <w:t xml:space="preserve"> </w:t>
      </w:r>
      <w:proofErr w:type="spellStart"/>
      <w:r>
        <w:rPr>
          <w:rFonts w:ascii="Times New Roman" w:hAnsi="Times New Roman" w:cs="Times New Roman"/>
          <w:sz w:val="24"/>
          <w:szCs w:val="24"/>
        </w:rPr>
        <w:t>giustiziabilità</w:t>
      </w:r>
      <w:proofErr w:type="spellEnd"/>
      <w:r>
        <w:rPr>
          <w:rFonts w:ascii="Times New Roman" w:hAnsi="Times New Roman" w:cs="Times New Roman"/>
          <w:sz w:val="24"/>
          <w:szCs w:val="24"/>
        </w:rPr>
        <w:t xml:space="preserve"> </w:t>
      </w:r>
      <w:r w:rsidR="00343004">
        <w:rPr>
          <w:rFonts w:ascii="Times New Roman" w:hAnsi="Times New Roman" w:cs="Times New Roman"/>
          <w:sz w:val="24"/>
          <w:szCs w:val="24"/>
        </w:rPr>
        <w:t>resti un qualcosa di solamente declamato</w:t>
      </w:r>
      <w:r w:rsidR="00EA7BFE">
        <w:rPr>
          <w:rFonts w:ascii="Times New Roman" w:hAnsi="Times New Roman" w:cs="Times New Roman"/>
          <w:sz w:val="24"/>
          <w:szCs w:val="24"/>
        </w:rPr>
        <w:t xml:space="preserve"> ma non davvero praticat</w:t>
      </w:r>
      <w:r w:rsidR="00343004">
        <w:rPr>
          <w:rFonts w:ascii="Times New Roman" w:hAnsi="Times New Roman" w:cs="Times New Roman"/>
          <w:sz w:val="24"/>
          <w:szCs w:val="24"/>
        </w:rPr>
        <w:t>o</w:t>
      </w:r>
      <w:r w:rsidR="00EA7BFE">
        <w:rPr>
          <w:rFonts w:ascii="Times New Roman" w:hAnsi="Times New Roman" w:cs="Times New Roman"/>
          <w:sz w:val="24"/>
          <w:szCs w:val="24"/>
        </w:rPr>
        <w:t>. Un secondo approccio</w:t>
      </w:r>
      <w:r w:rsidR="006C20E1">
        <w:rPr>
          <w:rFonts w:ascii="Times New Roman" w:hAnsi="Times New Roman" w:cs="Times New Roman"/>
          <w:sz w:val="24"/>
          <w:szCs w:val="24"/>
        </w:rPr>
        <w:t xml:space="preserve"> (Fabio </w:t>
      </w:r>
      <w:proofErr w:type="spellStart"/>
      <w:r w:rsidR="006C20E1">
        <w:rPr>
          <w:rFonts w:ascii="Times New Roman" w:hAnsi="Times New Roman" w:cs="Times New Roman"/>
          <w:sz w:val="24"/>
          <w:szCs w:val="24"/>
        </w:rPr>
        <w:t>Cintioli</w:t>
      </w:r>
      <w:proofErr w:type="spellEnd"/>
      <w:r w:rsidR="006C20E1">
        <w:rPr>
          <w:rFonts w:ascii="Times New Roman" w:hAnsi="Times New Roman" w:cs="Times New Roman"/>
          <w:sz w:val="24"/>
          <w:szCs w:val="24"/>
        </w:rPr>
        <w:t>)</w:t>
      </w:r>
      <w:r w:rsidR="00EA7BFE">
        <w:rPr>
          <w:rFonts w:ascii="Times New Roman" w:hAnsi="Times New Roman" w:cs="Times New Roman"/>
          <w:sz w:val="24"/>
          <w:szCs w:val="24"/>
        </w:rPr>
        <w:t xml:space="preserve"> per il quale sarebbe </w:t>
      </w:r>
      <w:r w:rsidR="00F47B58">
        <w:rPr>
          <w:rFonts w:ascii="Times New Roman" w:hAnsi="Times New Roman" w:cs="Times New Roman"/>
          <w:sz w:val="24"/>
          <w:szCs w:val="24"/>
        </w:rPr>
        <w:t>forse</w:t>
      </w:r>
      <w:r w:rsidR="00EA7BFE">
        <w:rPr>
          <w:rFonts w:ascii="Times New Roman" w:hAnsi="Times New Roman" w:cs="Times New Roman"/>
          <w:sz w:val="24"/>
          <w:szCs w:val="24"/>
        </w:rPr>
        <w:t xml:space="preserve"> preferibile prendere atto del contenuto sostanzialmente politico delle decisioni sul </w:t>
      </w:r>
      <w:proofErr w:type="spellStart"/>
      <w:r w:rsidR="00EA7BFE" w:rsidRPr="003140A0">
        <w:rPr>
          <w:rFonts w:ascii="Times New Roman" w:hAnsi="Times New Roman" w:cs="Times New Roman"/>
          <w:i/>
          <w:sz w:val="24"/>
          <w:szCs w:val="24"/>
        </w:rPr>
        <w:t>golden</w:t>
      </w:r>
      <w:proofErr w:type="spellEnd"/>
      <w:r w:rsidR="00EA7BFE" w:rsidRPr="003140A0">
        <w:rPr>
          <w:rFonts w:ascii="Times New Roman" w:hAnsi="Times New Roman" w:cs="Times New Roman"/>
          <w:i/>
          <w:sz w:val="24"/>
          <w:szCs w:val="24"/>
        </w:rPr>
        <w:t xml:space="preserve"> </w:t>
      </w:r>
      <w:proofErr w:type="spellStart"/>
      <w:r w:rsidR="00EA7BFE" w:rsidRPr="003140A0">
        <w:rPr>
          <w:rFonts w:ascii="Times New Roman" w:hAnsi="Times New Roman" w:cs="Times New Roman"/>
          <w:i/>
          <w:sz w:val="24"/>
          <w:szCs w:val="24"/>
        </w:rPr>
        <w:t>power</w:t>
      </w:r>
      <w:proofErr w:type="spellEnd"/>
      <w:r w:rsidR="00EA7BFE">
        <w:rPr>
          <w:rFonts w:ascii="Times New Roman" w:hAnsi="Times New Roman" w:cs="Times New Roman"/>
          <w:sz w:val="24"/>
          <w:szCs w:val="24"/>
        </w:rPr>
        <w:t xml:space="preserve"> e accettarne</w:t>
      </w:r>
      <w:r w:rsidR="00F47B58">
        <w:rPr>
          <w:rFonts w:ascii="Times New Roman" w:hAnsi="Times New Roman" w:cs="Times New Roman"/>
          <w:sz w:val="24"/>
          <w:szCs w:val="24"/>
        </w:rPr>
        <w:t xml:space="preserve"> la pressoché </w:t>
      </w:r>
      <w:r w:rsidR="006C20E1">
        <w:rPr>
          <w:rFonts w:ascii="Times New Roman" w:hAnsi="Times New Roman" w:cs="Times New Roman"/>
          <w:sz w:val="24"/>
          <w:szCs w:val="24"/>
        </w:rPr>
        <w:t xml:space="preserve">insindacabilità, </w:t>
      </w:r>
      <w:r w:rsidR="00EA7BFE">
        <w:rPr>
          <w:rFonts w:ascii="Times New Roman" w:hAnsi="Times New Roman" w:cs="Times New Roman"/>
          <w:sz w:val="24"/>
          <w:szCs w:val="24"/>
        </w:rPr>
        <w:t xml:space="preserve">quasi a rinnovare </w:t>
      </w:r>
      <w:r w:rsidR="00DF0390">
        <w:rPr>
          <w:rFonts w:ascii="Times New Roman" w:hAnsi="Times New Roman" w:cs="Times New Roman"/>
          <w:sz w:val="24"/>
          <w:szCs w:val="24"/>
        </w:rPr>
        <w:t>quell</w:t>
      </w:r>
      <w:r w:rsidR="00EA7BFE">
        <w:rPr>
          <w:rFonts w:ascii="Times New Roman" w:hAnsi="Times New Roman" w:cs="Times New Roman"/>
          <w:sz w:val="24"/>
          <w:szCs w:val="24"/>
        </w:rPr>
        <w:t>’invocazione alla rassegnazione</w:t>
      </w:r>
      <w:r w:rsidR="00DF0390">
        <w:rPr>
          <w:rFonts w:ascii="Times New Roman" w:hAnsi="Times New Roman" w:cs="Times New Roman"/>
          <w:sz w:val="24"/>
          <w:szCs w:val="24"/>
        </w:rPr>
        <w:t xml:space="preserve"> di</w:t>
      </w:r>
      <w:r w:rsidR="008A4107">
        <w:rPr>
          <w:rFonts w:ascii="Times New Roman" w:hAnsi="Times New Roman" w:cs="Times New Roman"/>
          <w:sz w:val="24"/>
          <w:szCs w:val="24"/>
        </w:rPr>
        <w:t xml:space="preserve"> Pasquale Stanislao Mancini d</w:t>
      </w:r>
      <w:r w:rsidR="00F47B58">
        <w:rPr>
          <w:rFonts w:ascii="Times New Roman" w:hAnsi="Times New Roman" w:cs="Times New Roman"/>
          <w:sz w:val="24"/>
          <w:szCs w:val="24"/>
        </w:rPr>
        <w:t>el lontano 1864</w:t>
      </w:r>
      <w:r w:rsidR="00573135">
        <w:rPr>
          <w:rFonts w:ascii="Times New Roman" w:hAnsi="Times New Roman" w:cs="Times New Roman"/>
          <w:sz w:val="24"/>
          <w:szCs w:val="24"/>
        </w:rPr>
        <w:t xml:space="preserve"> </w:t>
      </w:r>
      <w:r w:rsidR="00837D21">
        <w:rPr>
          <w:rFonts w:ascii="Times New Roman" w:hAnsi="Times New Roman" w:cs="Times New Roman"/>
          <w:sz w:val="24"/>
          <w:szCs w:val="24"/>
        </w:rPr>
        <w:t>nel dibattito</w:t>
      </w:r>
      <w:r w:rsidR="00573135">
        <w:rPr>
          <w:rFonts w:ascii="Times New Roman" w:hAnsi="Times New Roman" w:cs="Times New Roman"/>
          <w:sz w:val="24"/>
          <w:szCs w:val="24"/>
        </w:rPr>
        <w:t xml:space="preserve"> </w:t>
      </w:r>
      <w:r w:rsidR="00A26155">
        <w:rPr>
          <w:rFonts w:ascii="Times New Roman" w:hAnsi="Times New Roman" w:cs="Times New Roman"/>
          <w:sz w:val="24"/>
          <w:szCs w:val="24"/>
        </w:rPr>
        <w:t>sulla</w:t>
      </w:r>
      <w:r w:rsidR="00573135">
        <w:rPr>
          <w:rFonts w:ascii="Times New Roman" w:hAnsi="Times New Roman" w:cs="Times New Roman"/>
          <w:sz w:val="24"/>
          <w:szCs w:val="24"/>
        </w:rPr>
        <w:t xml:space="preserve"> legge abolitiva dei tribunali del contenzioso amministrativo</w:t>
      </w:r>
      <w:r w:rsidR="00DF0390">
        <w:rPr>
          <w:rFonts w:ascii="Times New Roman" w:hAnsi="Times New Roman" w:cs="Times New Roman"/>
          <w:sz w:val="24"/>
          <w:szCs w:val="24"/>
        </w:rPr>
        <w:t>,</w:t>
      </w:r>
      <w:r w:rsidR="00EA7BFE">
        <w:rPr>
          <w:rFonts w:ascii="Times New Roman" w:hAnsi="Times New Roman" w:cs="Times New Roman"/>
          <w:sz w:val="24"/>
          <w:szCs w:val="24"/>
        </w:rPr>
        <w:t xml:space="preserve"> </w:t>
      </w:r>
      <w:r w:rsidR="00837D21">
        <w:rPr>
          <w:rFonts w:ascii="Times New Roman" w:hAnsi="Times New Roman" w:cs="Times New Roman"/>
          <w:sz w:val="24"/>
          <w:szCs w:val="24"/>
        </w:rPr>
        <w:t>ma ricordando anche come a partire (e in dissenso) proprio</w:t>
      </w:r>
      <w:r w:rsidR="008A4107">
        <w:rPr>
          <w:rFonts w:ascii="Times New Roman" w:hAnsi="Times New Roman" w:cs="Times New Roman"/>
          <w:sz w:val="24"/>
          <w:szCs w:val="24"/>
        </w:rPr>
        <w:t xml:space="preserve"> </w:t>
      </w:r>
      <w:r w:rsidR="00837D21">
        <w:rPr>
          <w:rFonts w:ascii="Times New Roman" w:hAnsi="Times New Roman" w:cs="Times New Roman"/>
          <w:sz w:val="24"/>
          <w:szCs w:val="24"/>
        </w:rPr>
        <w:t>da tale invocazione</w:t>
      </w:r>
      <w:r w:rsidR="008A4107">
        <w:rPr>
          <w:rFonts w:ascii="Times New Roman" w:hAnsi="Times New Roman" w:cs="Times New Roman"/>
          <w:sz w:val="24"/>
          <w:szCs w:val="24"/>
        </w:rPr>
        <w:t xml:space="preserve"> si </w:t>
      </w:r>
      <w:r w:rsidR="00217C98">
        <w:rPr>
          <w:rFonts w:ascii="Times New Roman" w:hAnsi="Times New Roman" w:cs="Times New Roman"/>
          <w:sz w:val="24"/>
          <w:szCs w:val="24"/>
        </w:rPr>
        <w:t>sarebbe</w:t>
      </w:r>
      <w:r w:rsidR="00CD10DB">
        <w:rPr>
          <w:rFonts w:ascii="Times New Roman" w:hAnsi="Times New Roman" w:cs="Times New Roman"/>
          <w:sz w:val="24"/>
          <w:szCs w:val="24"/>
        </w:rPr>
        <w:t xml:space="preserve"> </w:t>
      </w:r>
      <w:r w:rsidR="00742F40">
        <w:rPr>
          <w:rFonts w:ascii="Times New Roman" w:hAnsi="Times New Roman" w:cs="Times New Roman"/>
          <w:sz w:val="24"/>
          <w:szCs w:val="24"/>
        </w:rPr>
        <w:t>poi sviluppato l’intero corso del</w:t>
      </w:r>
      <w:r w:rsidR="008A4107">
        <w:rPr>
          <w:rFonts w:ascii="Times New Roman" w:hAnsi="Times New Roman" w:cs="Times New Roman"/>
          <w:sz w:val="24"/>
          <w:szCs w:val="24"/>
        </w:rPr>
        <w:t>la</w:t>
      </w:r>
      <w:r w:rsidR="00EA7BFE">
        <w:rPr>
          <w:rFonts w:ascii="Times New Roman" w:hAnsi="Times New Roman" w:cs="Times New Roman"/>
          <w:sz w:val="24"/>
          <w:szCs w:val="24"/>
        </w:rPr>
        <w:t xml:space="preserve"> giustizia amministrativa</w:t>
      </w:r>
      <w:r w:rsidR="00217C98">
        <w:rPr>
          <w:rFonts w:ascii="Times New Roman" w:hAnsi="Times New Roman" w:cs="Times New Roman"/>
          <w:sz w:val="24"/>
          <w:szCs w:val="24"/>
        </w:rPr>
        <w:t xml:space="preserve"> nel nostro Paese</w:t>
      </w:r>
      <w:r w:rsidR="00EA7BFE">
        <w:rPr>
          <w:rFonts w:ascii="Times New Roman" w:hAnsi="Times New Roman" w:cs="Times New Roman"/>
          <w:sz w:val="24"/>
          <w:szCs w:val="24"/>
        </w:rPr>
        <w:t>. Infine un terzo orientamento, in un certo senso mediano</w:t>
      </w:r>
      <w:r w:rsidR="006C20E1">
        <w:rPr>
          <w:rFonts w:ascii="Times New Roman" w:hAnsi="Times New Roman" w:cs="Times New Roman"/>
          <w:sz w:val="24"/>
          <w:szCs w:val="24"/>
        </w:rPr>
        <w:t xml:space="preserve"> (Domenico Ielo)</w:t>
      </w:r>
      <w:r w:rsidR="00EA7BFE">
        <w:rPr>
          <w:rFonts w:ascii="Times New Roman" w:hAnsi="Times New Roman" w:cs="Times New Roman"/>
          <w:sz w:val="24"/>
          <w:szCs w:val="24"/>
        </w:rPr>
        <w:t xml:space="preserve">, che </w:t>
      </w:r>
      <w:r w:rsidR="00DF0390">
        <w:rPr>
          <w:rFonts w:ascii="Times New Roman" w:hAnsi="Times New Roman" w:cs="Times New Roman"/>
          <w:sz w:val="24"/>
          <w:szCs w:val="24"/>
        </w:rPr>
        <w:t>prova a</w:t>
      </w:r>
      <w:r w:rsidR="00EE1622">
        <w:rPr>
          <w:rFonts w:ascii="Times New Roman" w:hAnsi="Times New Roman" w:cs="Times New Roman"/>
          <w:sz w:val="24"/>
          <w:szCs w:val="24"/>
        </w:rPr>
        <w:t xml:space="preserve"> distinguere tra </w:t>
      </w:r>
      <w:r w:rsidR="00EE3FF6" w:rsidRPr="00DE414F">
        <w:rPr>
          <w:rFonts w:ascii="Times New Roman" w:hAnsi="Times New Roman" w:cs="Times New Roman"/>
          <w:sz w:val="24"/>
          <w:szCs w:val="24"/>
        </w:rPr>
        <w:t>il sindacato sulla esistenza dei presupposti</w:t>
      </w:r>
      <w:r w:rsidR="00DF0390">
        <w:rPr>
          <w:rFonts w:ascii="Times New Roman" w:hAnsi="Times New Roman" w:cs="Times New Roman"/>
          <w:sz w:val="24"/>
          <w:szCs w:val="24"/>
        </w:rPr>
        <w:t xml:space="preserve"> </w:t>
      </w:r>
      <w:r w:rsidR="00EE1622">
        <w:rPr>
          <w:rFonts w:ascii="Times New Roman" w:hAnsi="Times New Roman" w:cs="Times New Roman"/>
          <w:sz w:val="24"/>
          <w:szCs w:val="24"/>
        </w:rPr>
        <w:t>e il</w:t>
      </w:r>
      <w:r w:rsidR="00EE3FF6" w:rsidRPr="00DE414F">
        <w:rPr>
          <w:rFonts w:ascii="Times New Roman" w:hAnsi="Times New Roman" w:cs="Times New Roman"/>
          <w:sz w:val="24"/>
          <w:szCs w:val="24"/>
        </w:rPr>
        <w:t xml:space="preserve"> sindacato sulla valutazione </w:t>
      </w:r>
      <w:r w:rsidR="00DF0390">
        <w:rPr>
          <w:rFonts w:ascii="Times New Roman" w:hAnsi="Times New Roman" w:cs="Times New Roman"/>
          <w:sz w:val="24"/>
          <w:szCs w:val="24"/>
        </w:rPr>
        <w:t>dei medesimi</w:t>
      </w:r>
      <w:r w:rsidR="00EE3FF6" w:rsidRPr="002212BD">
        <w:rPr>
          <w:rFonts w:ascii="Times New Roman" w:hAnsi="Times New Roman" w:cs="Times New Roman"/>
          <w:b/>
          <w:sz w:val="24"/>
          <w:szCs w:val="24"/>
        </w:rPr>
        <w:t>.</w:t>
      </w:r>
      <w:r w:rsidR="00EE3FF6" w:rsidRPr="002212BD">
        <w:rPr>
          <w:rFonts w:ascii="Times New Roman" w:hAnsi="Times New Roman" w:cs="Times New Roman"/>
          <w:sz w:val="24"/>
          <w:szCs w:val="24"/>
        </w:rPr>
        <w:t xml:space="preserve"> </w:t>
      </w:r>
      <w:r w:rsidR="00DF0390">
        <w:rPr>
          <w:rFonts w:ascii="Times New Roman" w:hAnsi="Times New Roman" w:cs="Times New Roman"/>
          <w:sz w:val="24"/>
          <w:szCs w:val="24"/>
        </w:rPr>
        <w:t>Per</w:t>
      </w:r>
      <w:r w:rsidR="00EE1622">
        <w:rPr>
          <w:rFonts w:ascii="Times New Roman" w:hAnsi="Times New Roman" w:cs="Times New Roman"/>
          <w:sz w:val="24"/>
          <w:szCs w:val="24"/>
        </w:rPr>
        <w:t xml:space="preserve"> sottolineare come</w:t>
      </w:r>
      <w:r w:rsidR="00D3596D">
        <w:rPr>
          <w:rFonts w:ascii="Times New Roman" w:hAnsi="Times New Roman" w:cs="Times New Roman"/>
          <w:sz w:val="24"/>
          <w:szCs w:val="24"/>
        </w:rPr>
        <w:t xml:space="preserve"> almeno</w:t>
      </w:r>
      <w:r w:rsidR="00EE1622">
        <w:rPr>
          <w:rFonts w:ascii="Times New Roman" w:hAnsi="Times New Roman" w:cs="Times New Roman"/>
          <w:sz w:val="24"/>
          <w:szCs w:val="24"/>
        </w:rPr>
        <w:t xml:space="preserve"> il primo</w:t>
      </w:r>
      <w:r w:rsidR="00343004">
        <w:rPr>
          <w:rFonts w:ascii="Times New Roman" w:hAnsi="Times New Roman" w:cs="Times New Roman"/>
          <w:sz w:val="24"/>
          <w:szCs w:val="24"/>
        </w:rPr>
        <w:t xml:space="preserve"> compito</w:t>
      </w:r>
      <w:r w:rsidR="00DF0390">
        <w:rPr>
          <w:rFonts w:ascii="Times New Roman" w:hAnsi="Times New Roman" w:cs="Times New Roman"/>
          <w:sz w:val="24"/>
          <w:szCs w:val="24"/>
        </w:rPr>
        <w:t xml:space="preserve">, </w:t>
      </w:r>
      <w:r w:rsidR="00EA7BFE">
        <w:rPr>
          <w:rFonts w:ascii="Times New Roman" w:hAnsi="Times New Roman" w:cs="Times New Roman"/>
          <w:sz w:val="24"/>
          <w:szCs w:val="24"/>
        </w:rPr>
        <w:t xml:space="preserve"> </w:t>
      </w:r>
      <w:r w:rsidR="00DF0390">
        <w:rPr>
          <w:rFonts w:ascii="Times New Roman" w:hAnsi="Times New Roman" w:cs="Times New Roman"/>
          <w:sz w:val="24"/>
          <w:szCs w:val="24"/>
        </w:rPr>
        <w:t xml:space="preserve">traducendosi nell’accertamento che la fattispecie </w:t>
      </w:r>
      <w:r w:rsidR="008A4107">
        <w:rPr>
          <w:rFonts w:ascii="Times New Roman" w:hAnsi="Times New Roman" w:cs="Times New Roman"/>
          <w:sz w:val="24"/>
          <w:szCs w:val="24"/>
        </w:rPr>
        <w:t>tocchi</w:t>
      </w:r>
      <w:r w:rsidR="00DF0390">
        <w:rPr>
          <w:rFonts w:ascii="Times New Roman" w:hAnsi="Times New Roman" w:cs="Times New Roman"/>
          <w:sz w:val="24"/>
          <w:szCs w:val="24"/>
        </w:rPr>
        <w:t xml:space="preserve"> uno dei settori di attività </w:t>
      </w:r>
      <w:r w:rsidR="009C3789">
        <w:rPr>
          <w:rFonts w:ascii="Times New Roman" w:hAnsi="Times New Roman" w:cs="Times New Roman"/>
          <w:sz w:val="24"/>
          <w:szCs w:val="24"/>
        </w:rPr>
        <w:t>indicati</w:t>
      </w:r>
      <w:r w:rsidR="00DF0390">
        <w:rPr>
          <w:rFonts w:ascii="Times New Roman" w:hAnsi="Times New Roman" w:cs="Times New Roman"/>
          <w:sz w:val="24"/>
          <w:szCs w:val="24"/>
        </w:rPr>
        <w:t xml:space="preserve">, che investa uno degli </w:t>
      </w:r>
      <w:proofErr w:type="spellStart"/>
      <w:r w:rsidR="00DF0390">
        <w:rPr>
          <w:rFonts w:ascii="Times New Roman" w:hAnsi="Times New Roman" w:cs="Times New Roman"/>
          <w:sz w:val="24"/>
          <w:szCs w:val="24"/>
        </w:rPr>
        <w:t>asset</w:t>
      </w:r>
      <w:proofErr w:type="spellEnd"/>
      <w:r w:rsidR="00DF0390">
        <w:rPr>
          <w:rFonts w:ascii="Times New Roman" w:hAnsi="Times New Roman" w:cs="Times New Roman"/>
          <w:sz w:val="24"/>
          <w:szCs w:val="24"/>
        </w:rPr>
        <w:t xml:space="preserve"> considerati come strategici, che abbia ad oggetto una delle operazioni societarie </w:t>
      </w:r>
      <w:r w:rsidR="009C3789">
        <w:rPr>
          <w:rFonts w:ascii="Times New Roman" w:hAnsi="Times New Roman" w:cs="Times New Roman"/>
          <w:sz w:val="24"/>
          <w:szCs w:val="24"/>
        </w:rPr>
        <w:t>rilevanti</w:t>
      </w:r>
      <w:r w:rsidR="00DF0390">
        <w:rPr>
          <w:rFonts w:ascii="Times New Roman" w:hAnsi="Times New Roman" w:cs="Times New Roman"/>
          <w:sz w:val="24"/>
          <w:szCs w:val="24"/>
        </w:rPr>
        <w:t xml:space="preserve">, </w:t>
      </w:r>
      <w:r w:rsidR="00D3596D">
        <w:rPr>
          <w:rFonts w:ascii="Times New Roman" w:hAnsi="Times New Roman" w:cs="Times New Roman"/>
          <w:sz w:val="24"/>
          <w:szCs w:val="24"/>
        </w:rPr>
        <w:t xml:space="preserve">dovrebbe essere </w:t>
      </w:r>
      <w:r w:rsidR="00DF0390">
        <w:rPr>
          <w:rFonts w:ascii="Times New Roman" w:hAnsi="Times New Roman" w:cs="Times New Roman"/>
          <w:sz w:val="24"/>
          <w:szCs w:val="24"/>
        </w:rPr>
        <w:t xml:space="preserve">tutto sommato alla portata del giudice amministrativo e </w:t>
      </w:r>
      <w:r w:rsidR="00EE1622">
        <w:rPr>
          <w:rFonts w:ascii="Times New Roman" w:hAnsi="Times New Roman" w:cs="Times New Roman"/>
          <w:sz w:val="24"/>
          <w:szCs w:val="24"/>
        </w:rPr>
        <w:t>più agevolmente praticabile del secondo</w:t>
      </w:r>
      <w:r w:rsidR="00573135">
        <w:rPr>
          <w:rStyle w:val="Rimandonotaapidipagina"/>
          <w:rFonts w:ascii="Times New Roman" w:hAnsi="Times New Roman" w:cs="Times New Roman"/>
          <w:sz w:val="24"/>
          <w:szCs w:val="24"/>
        </w:rPr>
        <w:t xml:space="preserve"> </w:t>
      </w:r>
      <w:r w:rsidR="00EE1622">
        <w:rPr>
          <w:rFonts w:ascii="Times New Roman" w:hAnsi="Times New Roman" w:cs="Times New Roman"/>
          <w:sz w:val="24"/>
          <w:szCs w:val="24"/>
        </w:rPr>
        <w:t xml:space="preserve">. </w:t>
      </w:r>
      <w:r w:rsidR="00CD10DB">
        <w:rPr>
          <w:rFonts w:ascii="Times New Roman" w:hAnsi="Times New Roman" w:cs="Times New Roman"/>
          <w:sz w:val="24"/>
          <w:szCs w:val="24"/>
        </w:rPr>
        <w:t xml:space="preserve">Per questo ultimo ambito, per il giudizio sulla valutazione, sarebbe in teoria disponibile il test di proporzionalità, al quale tante volte le istituzioni europee hanno fatto richiamo. </w:t>
      </w:r>
    </w:p>
    <w:p w:rsidR="00CD10DB" w:rsidRDefault="00CD10DB"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sindacato sulla proporzionalità, a sua volta, appare più agevole nei casi dove l’esercizio dei poteri speciali conduce al divieto dell’operazione societaria, mentre potrebbe esserlo meno laddove il Governo appar</w:t>
      </w:r>
      <w:r w:rsidR="009624EA">
        <w:rPr>
          <w:rFonts w:ascii="Times New Roman" w:hAnsi="Times New Roman" w:cs="Times New Roman"/>
          <w:sz w:val="24"/>
          <w:szCs w:val="24"/>
        </w:rPr>
        <w:t>entemente non vieta ma prescrive, ovvero condiziona in vario modo l’agire dell’operatore</w:t>
      </w:r>
      <w:r>
        <w:rPr>
          <w:rFonts w:ascii="Times New Roman" w:hAnsi="Times New Roman" w:cs="Times New Roman"/>
          <w:sz w:val="24"/>
          <w:szCs w:val="24"/>
        </w:rPr>
        <w:t xml:space="preserve">, </w:t>
      </w:r>
      <w:r w:rsidR="009624EA">
        <w:rPr>
          <w:rFonts w:ascii="Times New Roman" w:hAnsi="Times New Roman" w:cs="Times New Roman"/>
          <w:sz w:val="24"/>
          <w:szCs w:val="24"/>
        </w:rPr>
        <w:t xml:space="preserve">per quanto ciò possa avvenire sino al punto da disincentivare l’operazione societaria annunciata, finendo quindi per bloccarla </w:t>
      </w:r>
      <w:r w:rsidR="00833E69">
        <w:rPr>
          <w:rFonts w:ascii="Times New Roman" w:hAnsi="Times New Roman" w:cs="Times New Roman"/>
          <w:sz w:val="24"/>
          <w:szCs w:val="24"/>
        </w:rPr>
        <w:t>comunque</w:t>
      </w:r>
      <w:r w:rsidR="009624EA">
        <w:rPr>
          <w:rFonts w:ascii="Times New Roman" w:hAnsi="Times New Roman" w:cs="Times New Roman"/>
          <w:sz w:val="24"/>
          <w:szCs w:val="24"/>
        </w:rPr>
        <w:t>.</w:t>
      </w:r>
      <w:r w:rsidR="009C3789">
        <w:rPr>
          <w:rFonts w:ascii="Times New Roman" w:hAnsi="Times New Roman" w:cs="Times New Roman"/>
          <w:sz w:val="24"/>
          <w:szCs w:val="24"/>
        </w:rPr>
        <w:t xml:space="preserve"> Nell’uno come nell’altro caso, quindi, i poteri </w:t>
      </w:r>
      <w:r w:rsidR="009C3789">
        <w:rPr>
          <w:rFonts w:ascii="Times New Roman" w:hAnsi="Times New Roman" w:cs="Times New Roman"/>
          <w:sz w:val="24"/>
          <w:szCs w:val="24"/>
        </w:rPr>
        <w:lastRenderedPageBreak/>
        <w:t>speciali dovrebbe essere esercitati solo in assenza di altre misure idonee al fine perseguito e</w:t>
      </w:r>
      <w:r w:rsidR="00D30268">
        <w:rPr>
          <w:rFonts w:ascii="Times New Roman" w:hAnsi="Times New Roman" w:cs="Times New Roman"/>
          <w:sz w:val="24"/>
          <w:szCs w:val="24"/>
        </w:rPr>
        <w:t xml:space="preserve"> </w:t>
      </w:r>
      <w:r w:rsidR="009C3789">
        <w:rPr>
          <w:rFonts w:ascii="Times New Roman" w:hAnsi="Times New Roman" w:cs="Times New Roman"/>
          <w:sz w:val="24"/>
          <w:szCs w:val="24"/>
        </w:rPr>
        <w:t>meno restrittive dei diritti e degli interessi delle imprese coinvolte; e dunque</w:t>
      </w:r>
      <w:r w:rsidR="00D30268">
        <w:rPr>
          <w:rFonts w:ascii="Times New Roman" w:hAnsi="Times New Roman" w:cs="Times New Roman"/>
          <w:sz w:val="24"/>
          <w:szCs w:val="24"/>
        </w:rPr>
        <w:t>, in ultima analisi</w:t>
      </w:r>
      <w:r w:rsidR="00742F40">
        <w:rPr>
          <w:rFonts w:ascii="Times New Roman" w:hAnsi="Times New Roman" w:cs="Times New Roman"/>
          <w:sz w:val="24"/>
          <w:szCs w:val="24"/>
        </w:rPr>
        <w:t>,</w:t>
      </w:r>
      <w:r w:rsidR="009C3789">
        <w:rPr>
          <w:rFonts w:ascii="Times New Roman" w:hAnsi="Times New Roman" w:cs="Times New Roman"/>
          <w:sz w:val="24"/>
          <w:szCs w:val="24"/>
        </w:rPr>
        <w:t xml:space="preserve"> la proporzionalità dovrebbe servire a ridurre </w:t>
      </w:r>
      <w:r w:rsidR="00D30268">
        <w:rPr>
          <w:rFonts w:ascii="Times New Roman" w:hAnsi="Times New Roman" w:cs="Times New Roman"/>
          <w:sz w:val="24"/>
          <w:szCs w:val="24"/>
        </w:rPr>
        <w:t>l’elevato tasso di discrezionalità.</w:t>
      </w:r>
    </w:p>
    <w:p w:rsidR="00043A0A" w:rsidRDefault="00CF6A1F"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Le difficoltà e le timidezze sin qui sperimentate, sul terreno propriamente processuale</w:t>
      </w:r>
      <w:r w:rsidR="00A26155">
        <w:rPr>
          <w:rFonts w:ascii="Times New Roman" w:hAnsi="Times New Roman" w:cs="Times New Roman"/>
          <w:sz w:val="24"/>
          <w:szCs w:val="24"/>
        </w:rPr>
        <w:t xml:space="preserve"> (come anche</w:t>
      </w:r>
      <w:r w:rsidR="007E64EE">
        <w:rPr>
          <w:rFonts w:ascii="Times New Roman" w:hAnsi="Times New Roman" w:cs="Times New Roman"/>
          <w:sz w:val="24"/>
          <w:szCs w:val="24"/>
        </w:rPr>
        <w:t>, a maggior ragione,</w:t>
      </w:r>
      <w:r w:rsidR="00A26155">
        <w:rPr>
          <w:rFonts w:ascii="Times New Roman" w:hAnsi="Times New Roman" w:cs="Times New Roman"/>
          <w:sz w:val="24"/>
          <w:szCs w:val="24"/>
        </w:rPr>
        <w:t xml:space="preserve"> in quello giustiziale</w:t>
      </w:r>
      <w:r w:rsidR="007E64EE">
        <w:rPr>
          <w:rFonts w:ascii="Times New Roman" w:hAnsi="Times New Roman" w:cs="Times New Roman"/>
          <w:sz w:val="24"/>
          <w:szCs w:val="24"/>
        </w:rPr>
        <w:t>, anche per i noti limiti del ricorso straordinario)</w:t>
      </w:r>
      <w:r>
        <w:rPr>
          <w:rFonts w:ascii="Times New Roman" w:hAnsi="Times New Roman" w:cs="Times New Roman"/>
          <w:sz w:val="24"/>
          <w:szCs w:val="24"/>
        </w:rPr>
        <w:t>, potrebbero spingere le imprese a prediligere altre strade, ricercando mezzi di tute</w:t>
      </w:r>
      <w:r w:rsidR="000010C6">
        <w:rPr>
          <w:rFonts w:ascii="Times New Roman" w:hAnsi="Times New Roman" w:cs="Times New Roman"/>
          <w:sz w:val="24"/>
          <w:szCs w:val="24"/>
        </w:rPr>
        <w:t>la per così dire alternativi o</w:t>
      </w:r>
      <w:r>
        <w:rPr>
          <w:rFonts w:ascii="Times New Roman" w:hAnsi="Times New Roman" w:cs="Times New Roman"/>
          <w:sz w:val="24"/>
          <w:szCs w:val="24"/>
        </w:rPr>
        <w:t xml:space="preserve"> preliminari allo strumento giurisdizionale. </w:t>
      </w:r>
      <w:r w:rsidR="007E64EE">
        <w:rPr>
          <w:rFonts w:ascii="Times New Roman" w:hAnsi="Times New Roman" w:cs="Times New Roman"/>
          <w:sz w:val="24"/>
          <w:szCs w:val="24"/>
        </w:rPr>
        <w:t>L</w:t>
      </w:r>
      <w:r>
        <w:rPr>
          <w:rFonts w:ascii="Times New Roman" w:hAnsi="Times New Roman" w:cs="Times New Roman"/>
          <w:sz w:val="24"/>
          <w:szCs w:val="24"/>
        </w:rPr>
        <w:t xml:space="preserve">a ricerca di tutela potrebbe orientarsi sia nella direzione di un’istanza di autotutela “interna”, rivolta quindi al medesimo Governo che ha esercitato i poteri speciali per sollecitarne il riesame, sia nella direzione di una richiesta di intervento portata all’attenzione della Commissione </w:t>
      </w:r>
      <w:r w:rsidR="003140A0">
        <w:rPr>
          <w:rFonts w:ascii="Times New Roman" w:hAnsi="Times New Roman" w:cs="Times New Roman"/>
          <w:sz w:val="24"/>
          <w:szCs w:val="24"/>
        </w:rPr>
        <w:t>europea</w:t>
      </w:r>
      <w:r w:rsidR="00370BFF">
        <w:rPr>
          <w:rFonts w:ascii="Times New Roman" w:hAnsi="Times New Roman" w:cs="Times New Roman"/>
          <w:sz w:val="24"/>
          <w:szCs w:val="24"/>
        </w:rPr>
        <w:t>, invocandone l’</w:t>
      </w:r>
      <w:r w:rsidR="003140A0">
        <w:rPr>
          <w:rFonts w:ascii="Times New Roman" w:hAnsi="Times New Roman" w:cs="Times New Roman"/>
          <w:sz w:val="24"/>
          <w:szCs w:val="24"/>
        </w:rPr>
        <w:t>intervento sul Governo italiano</w:t>
      </w:r>
      <w:r w:rsidR="00370BFF">
        <w:rPr>
          <w:rFonts w:ascii="Times New Roman" w:hAnsi="Times New Roman" w:cs="Times New Roman"/>
          <w:sz w:val="24"/>
          <w:szCs w:val="24"/>
        </w:rPr>
        <w:t>, se non altro in termini</w:t>
      </w:r>
      <w:r w:rsidR="00E5798D">
        <w:rPr>
          <w:rFonts w:ascii="Times New Roman" w:hAnsi="Times New Roman" w:cs="Times New Roman"/>
          <w:sz w:val="24"/>
          <w:szCs w:val="24"/>
        </w:rPr>
        <w:t xml:space="preserve"> di</w:t>
      </w:r>
      <w:r w:rsidR="00370BFF">
        <w:rPr>
          <w:rFonts w:ascii="Times New Roman" w:hAnsi="Times New Roman" w:cs="Times New Roman"/>
          <w:sz w:val="24"/>
          <w:szCs w:val="24"/>
        </w:rPr>
        <w:t xml:space="preserve"> </w:t>
      </w:r>
      <w:r w:rsidR="00370BFF" w:rsidRPr="00370BFF">
        <w:rPr>
          <w:rFonts w:ascii="Times New Roman" w:hAnsi="Times New Roman" w:cs="Times New Roman"/>
          <w:i/>
          <w:sz w:val="24"/>
          <w:szCs w:val="24"/>
        </w:rPr>
        <w:t>moral suasion</w:t>
      </w:r>
      <w:r w:rsidR="00370BFF">
        <w:rPr>
          <w:rFonts w:ascii="Times New Roman" w:hAnsi="Times New Roman" w:cs="Times New Roman"/>
          <w:sz w:val="24"/>
          <w:szCs w:val="24"/>
        </w:rPr>
        <w:t>.</w:t>
      </w:r>
    </w:p>
    <w:p w:rsidR="00370BFF" w:rsidRDefault="00370BFF"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Una forma </w:t>
      </w:r>
      <w:r w:rsidR="00204D34">
        <w:rPr>
          <w:rFonts w:ascii="Times New Roman" w:hAnsi="Times New Roman" w:cs="Times New Roman"/>
          <w:sz w:val="24"/>
          <w:szCs w:val="24"/>
        </w:rPr>
        <w:t xml:space="preserve">apparentemente </w:t>
      </w:r>
      <w:r>
        <w:rPr>
          <w:rFonts w:ascii="Times New Roman" w:hAnsi="Times New Roman" w:cs="Times New Roman"/>
          <w:sz w:val="24"/>
          <w:szCs w:val="24"/>
        </w:rPr>
        <w:t>più blanda di tutela potrebbe realizzarsi, sul piano interno, con il richiedere chiarimenti</w:t>
      </w:r>
      <w:r w:rsidR="00497B40">
        <w:rPr>
          <w:rFonts w:ascii="Times New Roman" w:hAnsi="Times New Roman" w:cs="Times New Roman"/>
          <w:sz w:val="24"/>
          <w:szCs w:val="24"/>
        </w:rPr>
        <w:t xml:space="preserve"> all’Autorità competente</w:t>
      </w:r>
      <w:r>
        <w:rPr>
          <w:rFonts w:ascii="Times New Roman" w:hAnsi="Times New Roman" w:cs="Times New Roman"/>
          <w:sz w:val="24"/>
          <w:szCs w:val="24"/>
        </w:rPr>
        <w:t xml:space="preserve"> in ordine all’esatto perimetro delle prescrizioni disposte, con riferimento al monitoraggio, al fine di attenuarne gli effetti più pregiudizievoli e di allentarne i vincoli. </w:t>
      </w:r>
      <w:r w:rsidR="00497B40">
        <w:rPr>
          <w:rFonts w:ascii="Times New Roman" w:hAnsi="Times New Roman" w:cs="Times New Roman"/>
          <w:sz w:val="24"/>
          <w:szCs w:val="24"/>
        </w:rPr>
        <w:t>Queste forme di tutela in via amminis</w:t>
      </w:r>
      <w:r w:rsidR="004672AC">
        <w:rPr>
          <w:rFonts w:ascii="Times New Roman" w:hAnsi="Times New Roman" w:cs="Times New Roman"/>
          <w:sz w:val="24"/>
          <w:szCs w:val="24"/>
        </w:rPr>
        <w:t>trativa, avviate separatamente o</w:t>
      </w:r>
      <w:r w:rsidR="00497B40">
        <w:rPr>
          <w:rFonts w:ascii="Times New Roman" w:hAnsi="Times New Roman" w:cs="Times New Roman"/>
          <w:sz w:val="24"/>
          <w:szCs w:val="24"/>
        </w:rPr>
        <w:t xml:space="preserve"> sommate insieme,</w:t>
      </w:r>
      <w:r>
        <w:rPr>
          <w:rFonts w:ascii="Times New Roman" w:hAnsi="Times New Roman" w:cs="Times New Roman"/>
          <w:sz w:val="24"/>
          <w:szCs w:val="24"/>
        </w:rPr>
        <w:t xml:space="preserve"> potrebbe</w:t>
      </w:r>
      <w:r w:rsidR="00497B40">
        <w:rPr>
          <w:rFonts w:ascii="Times New Roman" w:hAnsi="Times New Roman" w:cs="Times New Roman"/>
          <w:sz w:val="24"/>
          <w:szCs w:val="24"/>
        </w:rPr>
        <w:t>ro</w:t>
      </w:r>
      <w:r>
        <w:rPr>
          <w:rFonts w:ascii="Times New Roman" w:hAnsi="Times New Roman" w:cs="Times New Roman"/>
          <w:sz w:val="24"/>
          <w:szCs w:val="24"/>
        </w:rPr>
        <w:t xml:space="preserve"> aprire</w:t>
      </w:r>
      <w:r w:rsidR="007E64EE">
        <w:rPr>
          <w:rFonts w:ascii="Times New Roman" w:hAnsi="Times New Roman" w:cs="Times New Roman"/>
          <w:sz w:val="24"/>
          <w:szCs w:val="24"/>
        </w:rPr>
        <w:t xml:space="preserve"> alle volte</w:t>
      </w:r>
      <w:r>
        <w:rPr>
          <w:rFonts w:ascii="Times New Roman" w:hAnsi="Times New Roman" w:cs="Times New Roman"/>
          <w:sz w:val="24"/>
          <w:szCs w:val="24"/>
        </w:rPr>
        <w:t xml:space="preserve"> la via ad una “negoziazione” tra le parti</w:t>
      </w:r>
      <w:r w:rsidR="00812CE2">
        <w:rPr>
          <w:rFonts w:ascii="Times New Roman" w:hAnsi="Times New Roman" w:cs="Times New Roman"/>
          <w:sz w:val="24"/>
          <w:szCs w:val="24"/>
        </w:rPr>
        <w:t xml:space="preserve"> </w:t>
      </w:r>
      <w:r w:rsidR="003140A0">
        <w:rPr>
          <w:rFonts w:ascii="Times New Roman" w:hAnsi="Times New Roman" w:cs="Times New Roman"/>
          <w:sz w:val="24"/>
          <w:szCs w:val="24"/>
        </w:rPr>
        <w:t>che, in caso di</w:t>
      </w:r>
      <w:r w:rsidR="00812CE2">
        <w:rPr>
          <w:rFonts w:ascii="Times New Roman" w:hAnsi="Times New Roman" w:cs="Times New Roman"/>
          <w:sz w:val="24"/>
          <w:szCs w:val="24"/>
        </w:rPr>
        <w:t xml:space="preserve"> esito positivo</w:t>
      </w:r>
      <w:r w:rsidR="003140A0">
        <w:rPr>
          <w:rFonts w:ascii="Times New Roman" w:hAnsi="Times New Roman" w:cs="Times New Roman"/>
          <w:sz w:val="24"/>
          <w:szCs w:val="24"/>
        </w:rPr>
        <w:t>,</w:t>
      </w:r>
      <w:r w:rsidR="000010C6">
        <w:rPr>
          <w:rFonts w:ascii="Times New Roman" w:hAnsi="Times New Roman" w:cs="Times New Roman"/>
          <w:sz w:val="24"/>
          <w:szCs w:val="24"/>
        </w:rPr>
        <w:t xml:space="preserve"> servirebbe a</w:t>
      </w:r>
      <w:r w:rsidR="00812CE2">
        <w:rPr>
          <w:rFonts w:ascii="Times New Roman" w:hAnsi="Times New Roman" w:cs="Times New Roman"/>
          <w:sz w:val="24"/>
          <w:szCs w:val="24"/>
        </w:rPr>
        <w:t xml:space="preserve"> prevenire</w:t>
      </w:r>
      <w:r w:rsidR="000010C6">
        <w:rPr>
          <w:rFonts w:ascii="Times New Roman" w:hAnsi="Times New Roman" w:cs="Times New Roman"/>
          <w:sz w:val="24"/>
          <w:szCs w:val="24"/>
        </w:rPr>
        <w:t xml:space="preserve"> l’instaurarsi di un</w:t>
      </w:r>
      <w:r w:rsidR="00812CE2">
        <w:rPr>
          <w:rFonts w:ascii="Times New Roman" w:hAnsi="Times New Roman" w:cs="Times New Roman"/>
          <w:sz w:val="24"/>
          <w:szCs w:val="24"/>
        </w:rPr>
        <w:t xml:space="preserve"> giudizio</w:t>
      </w:r>
      <w:r w:rsidR="000010C6">
        <w:rPr>
          <w:rFonts w:ascii="Times New Roman" w:hAnsi="Times New Roman" w:cs="Times New Roman"/>
          <w:sz w:val="24"/>
          <w:szCs w:val="24"/>
        </w:rPr>
        <w:t xml:space="preserve"> o a farlo cessare</w:t>
      </w:r>
      <w:r>
        <w:rPr>
          <w:rFonts w:ascii="Times New Roman" w:hAnsi="Times New Roman" w:cs="Times New Roman"/>
          <w:sz w:val="24"/>
          <w:szCs w:val="24"/>
        </w:rPr>
        <w:t>.</w:t>
      </w:r>
      <w:r w:rsidR="007E64EE">
        <w:rPr>
          <w:rFonts w:ascii="Times New Roman" w:hAnsi="Times New Roman" w:cs="Times New Roman"/>
          <w:sz w:val="24"/>
          <w:szCs w:val="24"/>
        </w:rPr>
        <w:t xml:space="preserve"> </w:t>
      </w:r>
    </w:p>
    <w:p w:rsidR="00370BFF" w:rsidRDefault="00370BFF" w:rsidP="00B93432">
      <w:pPr>
        <w:spacing w:line="360" w:lineRule="auto"/>
        <w:ind w:firstLine="709"/>
        <w:jc w:val="both"/>
        <w:rPr>
          <w:rFonts w:ascii="Times New Roman" w:hAnsi="Times New Roman" w:cs="Times New Roman"/>
          <w:sz w:val="24"/>
          <w:szCs w:val="24"/>
        </w:rPr>
      </w:pPr>
    </w:p>
    <w:p w:rsidR="00B93432" w:rsidRPr="00B93432" w:rsidRDefault="00B93432" w:rsidP="00B93432">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93432">
        <w:rPr>
          <w:rFonts w:ascii="Times New Roman" w:hAnsi="Times New Roman" w:cs="Times New Roman"/>
          <w:sz w:val="24"/>
          <w:szCs w:val="24"/>
        </w:rPr>
        <w:t>Hadrian Simonetti</w:t>
      </w:r>
    </w:p>
    <w:p w:rsidR="00B93432" w:rsidRPr="00B93432" w:rsidRDefault="00B93432" w:rsidP="00B93432">
      <w:pPr>
        <w:jc w:val="both"/>
        <w:rPr>
          <w:rFonts w:ascii="Times New Roman" w:hAnsi="Times New Roman" w:cs="Times New Roman"/>
          <w:sz w:val="24"/>
          <w:szCs w:val="24"/>
        </w:rPr>
      </w:pPr>
      <w:r w:rsidRPr="00B93432">
        <w:rPr>
          <w:rFonts w:ascii="Times New Roman" w:hAnsi="Times New Roman" w:cs="Times New Roman"/>
          <w:sz w:val="24"/>
          <w:szCs w:val="24"/>
        </w:rPr>
        <w:tab/>
      </w:r>
      <w:r w:rsidRPr="00B93432">
        <w:rPr>
          <w:rFonts w:ascii="Times New Roman" w:hAnsi="Times New Roman" w:cs="Times New Roman"/>
          <w:sz w:val="24"/>
          <w:szCs w:val="24"/>
        </w:rPr>
        <w:tab/>
      </w:r>
      <w:r w:rsidRPr="00B93432">
        <w:rPr>
          <w:rFonts w:ascii="Times New Roman" w:hAnsi="Times New Roman" w:cs="Times New Roman"/>
          <w:sz w:val="24"/>
          <w:szCs w:val="24"/>
        </w:rPr>
        <w:tab/>
      </w:r>
      <w:r w:rsidRPr="00B93432">
        <w:rPr>
          <w:rFonts w:ascii="Times New Roman" w:hAnsi="Times New Roman" w:cs="Times New Roman"/>
          <w:sz w:val="24"/>
          <w:szCs w:val="24"/>
        </w:rPr>
        <w:tab/>
      </w:r>
      <w:r w:rsidRPr="00B93432">
        <w:rPr>
          <w:rFonts w:ascii="Times New Roman" w:hAnsi="Times New Roman" w:cs="Times New Roman"/>
          <w:sz w:val="24"/>
          <w:szCs w:val="24"/>
        </w:rPr>
        <w:tab/>
      </w:r>
      <w:r>
        <w:rPr>
          <w:rFonts w:ascii="Times New Roman" w:hAnsi="Times New Roman" w:cs="Times New Roman"/>
          <w:sz w:val="24"/>
          <w:szCs w:val="24"/>
        </w:rPr>
        <w:t xml:space="preserve">   </w:t>
      </w:r>
      <w:r w:rsidRPr="00B93432">
        <w:rPr>
          <w:rFonts w:ascii="Times New Roman" w:hAnsi="Times New Roman" w:cs="Times New Roman"/>
          <w:sz w:val="24"/>
          <w:szCs w:val="24"/>
        </w:rPr>
        <w:t>Presidente di sezione del Consiglio di Stato</w:t>
      </w:r>
    </w:p>
    <w:p w:rsidR="00D3596D" w:rsidRDefault="00D3596D" w:rsidP="00B93432">
      <w:pPr>
        <w:spacing w:line="360" w:lineRule="auto"/>
        <w:ind w:firstLine="709"/>
        <w:jc w:val="both"/>
        <w:rPr>
          <w:rFonts w:ascii="Times New Roman" w:hAnsi="Times New Roman" w:cs="Times New Roman"/>
          <w:sz w:val="24"/>
          <w:szCs w:val="24"/>
        </w:rPr>
      </w:pPr>
    </w:p>
    <w:p w:rsidR="00D3596D" w:rsidRDefault="00D3596D"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343004" w:rsidRDefault="00343004" w:rsidP="00B93432">
      <w:pPr>
        <w:spacing w:line="360" w:lineRule="auto"/>
        <w:ind w:firstLine="709"/>
        <w:jc w:val="both"/>
        <w:rPr>
          <w:rFonts w:ascii="Times New Roman" w:hAnsi="Times New Roman" w:cs="Times New Roman"/>
          <w:sz w:val="24"/>
          <w:szCs w:val="24"/>
        </w:rPr>
      </w:pPr>
    </w:p>
    <w:p w:rsidR="00343004" w:rsidRDefault="00343004" w:rsidP="00B93432">
      <w:pPr>
        <w:spacing w:line="360" w:lineRule="auto"/>
        <w:ind w:firstLine="709"/>
        <w:jc w:val="both"/>
        <w:rPr>
          <w:rFonts w:ascii="Times New Roman" w:hAnsi="Times New Roman" w:cs="Times New Roman"/>
          <w:sz w:val="24"/>
          <w:szCs w:val="24"/>
        </w:rPr>
      </w:pPr>
    </w:p>
    <w:p w:rsidR="00343004" w:rsidRDefault="00343004"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A16B37" w:rsidRDefault="00A16B37" w:rsidP="00B93432">
      <w:pPr>
        <w:spacing w:line="360" w:lineRule="auto"/>
        <w:ind w:firstLine="709"/>
        <w:jc w:val="both"/>
        <w:rPr>
          <w:rFonts w:ascii="Times New Roman" w:hAnsi="Times New Roman" w:cs="Times New Roman"/>
          <w:sz w:val="24"/>
          <w:szCs w:val="24"/>
        </w:rPr>
      </w:pPr>
    </w:p>
    <w:p w:rsidR="00D3596D" w:rsidRDefault="00D3596D" w:rsidP="00B93432">
      <w:pPr>
        <w:spacing w:line="360" w:lineRule="auto"/>
        <w:ind w:firstLine="709"/>
        <w:jc w:val="both"/>
        <w:rPr>
          <w:rFonts w:ascii="Times New Roman" w:hAnsi="Times New Roman" w:cs="Times New Roman"/>
          <w:sz w:val="24"/>
          <w:szCs w:val="24"/>
        </w:rPr>
      </w:pPr>
    </w:p>
    <w:p w:rsidR="0012478E" w:rsidRPr="00516565" w:rsidRDefault="00A41A21" w:rsidP="00B9343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12478E" w:rsidRPr="0051656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252" w:rsidRDefault="006F1252" w:rsidP="00FF78D3">
      <w:pPr>
        <w:spacing w:after="0" w:line="240" w:lineRule="auto"/>
      </w:pPr>
      <w:r>
        <w:separator/>
      </w:r>
    </w:p>
  </w:endnote>
  <w:endnote w:type="continuationSeparator" w:id="0">
    <w:p w:rsidR="006F1252" w:rsidRDefault="006F1252" w:rsidP="00FF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917477"/>
      <w:docPartObj>
        <w:docPartGallery w:val="Page Numbers (Bottom of Page)"/>
        <w:docPartUnique/>
      </w:docPartObj>
    </w:sdtPr>
    <w:sdtContent>
      <w:p w:rsidR="006F1252" w:rsidRDefault="006F1252">
        <w:pPr>
          <w:pStyle w:val="Pidipagina"/>
          <w:jc w:val="right"/>
        </w:pPr>
        <w:r>
          <w:fldChar w:fldCharType="begin"/>
        </w:r>
        <w:r>
          <w:instrText>PAGE   \* MERGEFORMAT</w:instrText>
        </w:r>
        <w:r>
          <w:fldChar w:fldCharType="separate"/>
        </w:r>
        <w:r w:rsidR="00B93432">
          <w:rPr>
            <w:noProof/>
          </w:rPr>
          <w:t>2</w:t>
        </w:r>
        <w:r>
          <w:fldChar w:fldCharType="end"/>
        </w:r>
      </w:p>
    </w:sdtContent>
  </w:sdt>
  <w:p w:rsidR="006F1252" w:rsidRDefault="006F12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252" w:rsidRDefault="006F1252" w:rsidP="00FF78D3">
      <w:pPr>
        <w:spacing w:after="0" w:line="240" w:lineRule="auto"/>
      </w:pPr>
      <w:r>
        <w:separator/>
      </w:r>
    </w:p>
  </w:footnote>
  <w:footnote w:type="continuationSeparator" w:id="0">
    <w:p w:rsidR="006F1252" w:rsidRDefault="006F1252" w:rsidP="00FF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C59"/>
    <w:multiLevelType w:val="hybridMultilevel"/>
    <w:tmpl w:val="D51417D4"/>
    <w:lvl w:ilvl="0" w:tplc="DDD27D56">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425DC"/>
    <w:multiLevelType w:val="hybridMultilevel"/>
    <w:tmpl w:val="C3C858F4"/>
    <w:lvl w:ilvl="0" w:tplc="9F0E737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1974A8"/>
    <w:multiLevelType w:val="hybridMultilevel"/>
    <w:tmpl w:val="CC3E0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73449E"/>
    <w:multiLevelType w:val="hybridMultilevel"/>
    <w:tmpl w:val="7BB2E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CC3350"/>
    <w:multiLevelType w:val="hybridMultilevel"/>
    <w:tmpl w:val="5C72EB18"/>
    <w:lvl w:ilvl="0" w:tplc="024A44CA">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0D5134"/>
    <w:multiLevelType w:val="hybridMultilevel"/>
    <w:tmpl w:val="6B566442"/>
    <w:lvl w:ilvl="0" w:tplc="F3DAB81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8A3F05"/>
    <w:multiLevelType w:val="hybridMultilevel"/>
    <w:tmpl w:val="604487FC"/>
    <w:lvl w:ilvl="0" w:tplc="43A201E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66BE423B"/>
    <w:multiLevelType w:val="hybridMultilevel"/>
    <w:tmpl w:val="D52A6DE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6F78FA"/>
    <w:multiLevelType w:val="hybridMultilevel"/>
    <w:tmpl w:val="3AEA7CC6"/>
    <w:lvl w:ilvl="0" w:tplc="CF3CBBEE">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7"/>
  </w:num>
  <w:num w:numId="6">
    <w:abstractNumId w:val="0"/>
  </w:num>
  <w:num w:numId="7">
    <w:abstractNumId w:val="8"/>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65"/>
    <w:rsid w:val="000010C6"/>
    <w:rsid w:val="0000380E"/>
    <w:rsid w:val="00016F2F"/>
    <w:rsid w:val="00020DFF"/>
    <w:rsid w:val="00021073"/>
    <w:rsid w:val="000433FA"/>
    <w:rsid w:val="00043A0A"/>
    <w:rsid w:val="000577A4"/>
    <w:rsid w:val="000606AA"/>
    <w:rsid w:val="000B254B"/>
    <w:rsid w:val="000B6220"/>
    <w:rsid w:val="000B71DF"/>
    <w:rsid w:val="00117ED1"/>
    <w:rsid w:val="00121D9C"/>
    <w:rsid w:val="0012478E"/>
    <w:rsid w:val="00136CBB"/>
    <w:rsid w:val="00141D8D"/>
    <w:rsid w:val="00182442"/>
    <w:rsid w:val="00185C79"/>
    <w:rsid w:val="00187DF9"/>
    <w:rsid w:val="00190743"/>
    <w:rsid w:val="001C12D9"/>
    <w:rsid w:val="001D366F"/>
    <w:rsid w:val="00204D34"/>
    <w:rsid w:val="00217C98"/>
    <w:rsid w:val="00244FE8"/>
    <w:rsid w:val="00247B97"/>
    <w:rsid w:val="00280450"/>
    <w:rsid w:val="00294A78"/>
    <w:rsid w:val="00296926"/>
    <w:rsid w:val="002A23BE"/>
    <w:rsid w:val="002B043C"/>
    <w:rsid w:val="002C7C41"/>
    <w:rsid w:val="002D080F"/>
    <w:rsid w:val="002F06D5"/>
    <w:rsid w:val="00304038"/>
    <w:rsid w:val="00306C96"/>
    <w:rsid w:val="0030795A"/>
    <w:rsid w:val="00307CE2"/>
    <w:rsid w:val="003140A0"/>
    <w:rsid w:val="0033750C"/>
    <w:rsid w:val="003412D7"/>
    <w:rsid w:val="0034183D"/>
    <w:rsid w:val="00343004"/>
    <w:rsid w:val="00347DBB"/>
    <w:rsid w:val="00353EB3"/>
    <w:rsid w:val="00370BFF"/>
    <w:rsid w:val="0038612E"/>
    <w:rsid w:val="003A6070"/>
    <w:rsid w:val="003B6B49"/>
    <w:rsid w:val="003C188B"/>
    <w:rsid w:val="003D29CB"/>
    <w:rsid w:val="003E39BF"/>
    <w:rsid w:val="003F6FFD"/>
    <w:rsid w:val="0040550D"/>
    <w:rsid w:val="0041719D"/>
    <w:rsid w:val="0043539D"/>
    <w:rsid w:val="00436D79"/>
    <w:rsid w:val="00446455"/>
    <w:rsid w:val="00446A44"/>
    <w:rsid w:val="004628BE"/>
    <w:rsid w:val="004672AC"/>
    <w:rsid w:val="00476589"/>
    <w:rsid w:val="00497B40"/>
    <w:rsid w:val="00497F91"/>
    <w:rsid w:val="004A40BA"/>
    <w:rsid w:val="004A442A"/>
    <w:rsid w:val="004A6229"/>
    <w:rsid w:val="004B232F"/>
    <w:rsid w:val="004C4E6E"/>
    <w:rsid w:val="004C5233"/>
    <w:rsid w:val="004C680B"/>
    <w:rsid w:val="004E6FDA"/>
    <w:rsid w:val="004F1318"/>
    <w:rsid w:val="005041A6"/>
    <w:rsid w:val="00516565"/>
    <w:rsid w:val="00521A85"/>
    <w:rsid w:val="00523068"/>
    <w:rsid w:val="00530595"/>
    <w:rsid w:val="005422B5"/>
    <w:rsid w:val="005572E0"/>
    <w:rsid w:val="00573135"/>
    <w:rsid w:val="00596FCB"/>
    <w:rsid w:val="005A60BC"/>
    <w:rsid w:val="005B760A"/>
    <w:rsid w:val="005D435D"/>
    <w:rsid w:val="005E453E"/>
    <w:rsid w:val="005F1E23"/>
    <w:rsid w:val="0061278A"/>
    <w:rsid w:val="00613E82"/>
    <w:rsid w:val="00641690"/>
    <w:rsid w:val="006A67DE"/>
    <w:rsid w:val="006B4737"/>
    <w:rsid w:val="006C20E1"/>
    <w:rsid w:val="006D36CF"/>
    <w:rsid w:val="006E0809"/>
    <w:rsid w:val="006E3D36"/>
    <w:rsid w:val="006F1252"/>
    <w:rsid w:val="006F47A8"/>
    <w:rsid w:val="006F7F13"/>
    <w:rsid w:val="00730EEF"/>
    <w:rsid w:val="00731477"/>
    <w:rsid w:val="00742F40"/>
    <w:rsid w:val="00742FB9"/>
    <w:rsid w:val="00751720"/>
    <w:rsid w:val="0075224F"/>
    <w:rsid w:val="0076115B"/>
    <w:rsid w:val="0076754A"/>
    <w:rsid w:val="00773BF6"/>
    <w:rsid w:val="007A47FD"/>
    <w:rsid w:val="007C5F8C"/>
    <w:rsid w:val="007D55E8"/>
    <w:rsid w:val="007E4ECC"/>
    <w:rsid w:val="007E64EE"/>
    <w:rsid w:val="007F17D5"/>
    <w:rsid w:val="007F2CA6"/>
    <w:rsid w:val="007F4FE2"/>
    <w:rsid w:val="00805986"/>
    <w:rsid w:val="00812CE2"/>
    <w:rsid w:val="00831468"/>
    <w:rsid w:val="0083368C"/>
    <w:rsid w:val="00833E69"/>
    <w:rsid w:val="00837D21"/>
    <w:rsid w:val="00863428"/>
    <w:rsid w:val="0089362A"/>
    <w:rsid w:val="008943DA"/>
    <w:rsid w:val="008A0F93"/>
    <w:rsid w:val="008A4107"/>
    <w:rsid w:val="008C71A3"/>
    <w:rsid w:val="008D14EF"/>
    <w:rsid w:val="008F5CFF"/>
    <w:rsid w:val="00905DD1"/>
    <w:rsid w:val="00933B30"/>
    <w:rsid w:val="009429BF"/>
    <w:rsid w:val="009438D8"/>
    <w:rsid w:val="009624EA"/>
    <w:rsid w:val="00970DCE"/>
    <w:rsid w:val="0098023B"/>
    <w:rsid w:val="00990517"/>
    <w:rsid w:val="0099361B"/>
    <w:rsid w:val="009952CA"/>
    <w:rsid w:val="00995B1A"/>
    <w:rsid w:val="009A255C"/>
    <w:rsid w:val="009B7C09"/>
    <w:rsid w:val="009C3789"/>
    <w:rsid w:val="009C7D5D"/>
    <w:rsid w:val="009D172E"/>
    <w:rsid w:val="00A12D62"/>
    <w:rsid w:val="00A16B37"/>
    <w:rsid w:val="00A224D5"/>
    <w:rsid w:val="00A26155"/>
    <w:rsid w:val="00A33A1E"/>
    <w:rsid w:val="00A41A21"/>
    <w:rsid w:val="00A4384C"/>
    <w:rsid w:val="00A54D36"/>
    <w:rsid w:val="00A76B9B"/>
    <w:rsid w:val="00A83D56"/>
    <w:rsid w:val="00A8572D"/>
    <w:rsid w:val="00AB0954"/>
    <w:rsid w:val="00AB59B0"/>
    <w:rsid w:val="00AB742D"/>
    <w:rsid w:val="00AC0985"/>
    <w:rsid w:val="00AD45C5"/>
    <w:rsid w:val="00AF3BA1"/>
    <w:rsid w:val="00AF5889"/>
    <w:rsid w:val="00B03DBE"/>
    <w:rsid w:val="00B0517D"/>
    <w:rsid w:val="00B110FE"/>
    <w:rsid w:val="00B15071"/>
    <w:rsid w:val="00B26621"/>
    <w:rsid w:val="00B35FBE"/>
    <w:rsid w:val="00B44243"/>
    <w:rsid w:val="00B52337"/>
    <w:rsid w:val="00B74F89"/>
    <w:rsid w:val="00B84A19"/>
    <w:rsid w:val="00B85AD0"/>
    <w:rsid w:val="00B91325"/>
    <w:rsid w:val="00B92322"/>
    <w:rsid w:val="00B93432"/>
    <w:rsid w:val="00B94C08"/>
    <w:rsid w:val="00B95B8B"/>
    <w:rsid w:val="00B97928"/>
    <w:rsid w:val="00BB24E1"/>
    <w:rsid w:val="00BB64FC"/>
    <w:rsid w:val="00BB6591"/>
    <w:rsid w:val="00BC54BF"/>
    <w:rsid w:val="00BC63DE"/>
    <w:rsid w:val="00BF3139"/>
    <w:rsid w:val="00C02E1C"/>
    <w:rsid w:val="00C04A2B"/>
    <w:rsid w:val="00C14C70"/>
    <w:rsid w:val="00C17306"/>
    <w:rsid w:val="00C22121"/>
    <w:rsid w:val="00C34553"/>
    <w:rsid w:val="00C410BB"/>
    <w:rsid w:val="00C87963"/>
    <w:rsid w:val="00C9121E"/>
    <w:rsid w:val="00CA0B15"/>
    <w:rsid w:val="00CD10DB"/>
    <w:rsid w:val="00CF455D"/>
    <w:rsid w:val="00CF6A1F"/>
    <w:rsid w:val="00D057AF"/>
    <w:rsid w:val="00D10DEA"/>
    <w:rsid w:val="00D165F8"/>
    <w:rsid w:val="00D1786B"/>
    <w:rsid w:val="00D17904"/>
    <w:rsid w:val="00D20350"/>
    <w:rsid w:val="00D21910"/>
    <w:rsid w:val="00D2445F"/>
    <w:rsid w:val="00D2446C"/>
    <w:rsid w:val="00D30268"/>
    <w:rsid w:val="00D3596D"/>
    <w:rsid w:val="00D46FEE"/>
    <w:rsid w:val="00D477C1"/>
    <w:rsid w:val="00D8268F"/>
    <w:rsid w:val="00D90067"/>
    <w:rsid w:val="00D9166E"/>
    <w:rsid w:val="00DD308D"/>
    <w:rsid w:val="00DE38A2"/>
    <w:rsid w:val="00DF0390"/>
    <w:rsid w:val="00E04967"/>
    <w:rsid w:val="00E200DD"/>
    <w:rsid w:val="00E26A59"/>
    <w:rsid w:val="00E41F3A"/>
    <w:rsid w:val="00E43E9E"/>
    <w:rsid w:val="00E47CDF"/>
    <w:rsid w:val="00E5798D"/>
    <w:rsid w:val="00E743B9"/>
    <w:rsid w:val="00E74E3A"/>
    <w:rsid w:val="00E856EC"/>
    <w:rsid w:val="00EA7BFE"/>
    <w:rsid w:val="00EC14DC"/>
    <w:rsid w:val="00EE1622"/>
    <w:rsid w:val="00EE3FF6"/>
    <w:rsid w:val="00EE5661"/>
    <w:rsid w:val="00EF0F2B"/>
    <w:rsid w:val="00F046DB"/>
    <w:rsid w:val="00F14BC1"/>
    <w:rsid w:val="00F2033A"/>
    <w:rsid w:val="00F33A8E"/>
    <w:rsid w:val="00F47B58"/>
    <w:rsid w:val="00F660D9"/>
    <w:rsid w:val="00F92CC5"/>
    <w:rsid w:val="00F94988"/>
    <w:rsid w:val="00FA0CE0"/>
    <w:rsid w:val="00FD4988"/>
    <w:rsid w:val="00FE1BFE"/>
    <w:rsid w:val="00FE61D1"/>
    <w:rsid w:val="00FF1007"/>
    <w:rsid w:val="00FF7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6A91"/>
  <w15:chartTrackingRefBased/>
  <w15:docId w15:val="{1B8F4A55-352C-4D2A-9C91-A936978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4737"/>
    <w:pPr>
      <w:ind w:left="720"/>
      <w:contextualSpacing/>
    </w:pPr>
  </w:style>
  <w:style w:type="paragraph" w:styleId="Testofumetto">
    <w:name w:val="Balloon Text"/>
    <w:basedOn w:val="Normale"/>
    <w:link w:val="TestofumettoCarattere"/>
    <w:uiPriority w:val="99"/>
    <w:semiHidden/>
    <w:unhideWhenUsed/>
    <w:rsid w:val="00D2191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910"/>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FF78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F78D3"/>
    <w:rPr>
      <w:sz w:val="20"/>
      <w:szCs w:val="20"/>
    </w:rPr>
  </w:style>
  <w:style w:type="character" w:styleId="Rimandonotaapidipagina">
    <w:name w:val="footnote reference"/>
    <w:basedOn w:val="Carpredefinitoparagrafo"/>
    <w:uiPriority w:val="99"/>
    <w:semiHidden/>
    <w:unhideWhenUsed/>
    <w:rsid w:val="00FF78D3"/>
    <w:rPr>
      <w:vertAlign w:val="superscript"/>
    </w:rPr>
  </w:style>
  <w:style w:type="paragraph" w:styleId="Intestazione">
    <w:name w:val="header"/>
    <w:basedOn w:val="Normale"/>
    <w:link w:val="IntestazioneCarattere"/>
    <w:uiPriority w:val="99"/>
    <w:unhideWhenUsed/>
    <w:rsid w:val="003079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795A"/>
  </w:style>
  <w:style w:type="paragraph" w:styleId="Pidipagina">
    <w:name w:val="footer"/>
    <w:basedOn w:val="Normale"/>
    <w:link w:val="PidipaginaCarattere"/>
    <w:uiPriority w:val="99"/>
    <w:unhideWhenUsed/>
    <w:rsid w:val="003079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795A"/>
  </w:style>
  <w:style w:type="character" w:styleId="Collegamentoipertestuale">
    <w:name w:val="Hyperlink"/>
    <w:basedOn w:val="Carpredefinitoparagrafo"/>
    <w:uiPriority w:val="99"/>
    <w:unhideWhenUsed/>
    <w:rsid w:val="00742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08136">
      <w:bodyDiv w:val="1"/>
      <w:marLeft w:val="0"/>
      <w:marRight w:val="0"/>
      <w:marTop w:val="0"/>
      <w:marBottom w:val="0"/>
      <w:divBdr>
        <w:top w:val="none" w:sz="0" w:space="0" w:color="auto"/>
        <w:left w:val="none" w:sz="0" w:space="0" w:color="auto"/>
        <w:bottom w:val="none" w:sz="0" w:space="0" w:color="auto"/>
        <w:right w:val="none" w:sz="0" w:space="0" w:color="auto"/>
      </w:divBdr>
    </w:div>
    <w:div w:id="20809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3117-90A2-4085-8E65-86FC0121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6018</Words>
  <Characters>34303</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SIMONETTI Hadrian</dc:creator>
  <cp:keywords/>
  <dc:description/>
  <cp:lastModifiedBy>SIMONETTI Hadrian</cp:lastModifiedBy>
  <cp:revision>2</cp:revision>
  <cp:lastPrinted>2025-05-13T11:01:00Z</cp:lastPrinted>
  <dcterms:created xsi:type="dcterms:W3CDTF">2025-06-05T15:25:00Z</dcterms:created>
  <dcterms:modified xsi:type="dcterms:W3CDTF">2025-06-05T15:25:00Z</dcterms:modified>
</cp:coreProperties>
</file>