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485DA" w14:textId="6F6CEF27" w:rsidR="00CB7F91" w:rsidRDefault="00CB7F91" w:rsidP="00566CFC">
      <w:pPr>
        <w:spacing w:after="0" w:line="240" w:lineRule="auto"/>
        <w:jc w:val="center"/>
        <w:rPr>
          <w:rFonts w:ascii="Garamond" w:hAnsi="Garamond" w:cs="Times New Roman"/>
          <w:b/>
          <w:sz w:val="30"/>
          <w:szCs w:val="30"/>
        </w:rPr>
      </w:pPr>
      <w:r w:rsidRPr="00CB7F91">
        <w:rPr>
          <w:rFonts w:ascii="Garamond" w:hAnsi="Garamond" w:cs="Times New Roman"/>
          <w:b/>
          <w:sz w:val="30"/>
          <w:szCs w:val="30"/>
        </w:rPr>
        <w:t>Le concessioni demaniali marittime per finalità turistico-ricreative</w:t>
      </w:r>
    </w:p>
    <w:p w14:paraId="11968326" w14:textId="24D18FB7" w:rsidR="00CB7F91" w:rsidRDefault="00CB7F91" w:rsidP="00566CFC">
      <w:pPr>
        <w:spacing w:after="0" w:line="240" w:lineRule="auto"/>
        <w:jc w:val="center"/>
        <w:rPr>
          <w:rFonts w:ascii="Garamond" w:hAnsi="Garamond" w:cs="Times New Roman"/>
          <w:b/>
          <w:sz w:val="30"/>
          <w:szCs w:val="30"/>
        </w:rPr>
      </w:pPr>
    </w:p>
    <w:p w14:paraId="16832B16" w14:textId="77777777" w:rsidR="00CB7F91" w:rsidRPr="009C3984" w:rsidRDefault="00CB7F91" w:rsidP="00566CFC">
      <w:pPr>
        <w:spacing w:after="0" w:line="240" w:lineRule="auto"/>
        <w:jc w:val="center"/>
        <w:rPr>
          <w:rFonts w:ascii="Garamond" w:hAnsi="Garamond" w:cs="Times New Roman"/>
          <w:b/>
          <w:sz w:val="30"/>
          <w:szCs w:val="30"/>
        </w:rPr>
      </w:pPr>
    </w:p>
    <w:p w14:paraId="0D2D1B29" w14:textId="1B453291" w:rsidR="009448D7" w:rsidRPr="009C3984" w:rsidRDefault="00A94FF2" w:rsidP="00566CFC">
      <w:pPr>
        <w:spacing w:after="0" w:line="240" w:lineRule="auto"/>
        <w:jc w:val="center"/>
        <w:rPr>
          <w:rFonts w:ascii="Garamond" w:hAnsi="Garamond" w:cs="Times New Roman"/>
          <w:b/>
          <w:sz w:val="30"/>
          <w:szCs w:val="30"/>
        </w:rPr>
      </w:pPr>
      <w:r w:rsidRPr="009C3984">
        <w:rPr>
          <w:rFonts w:ascii="Garamond" w:hAnsi="Garamond" w:cs="Times New Roman"/>
          <w:b/>
          <w:sz w:val="30"/>
          <w:szCs w:val="30"/>
        </w:rPr>
        <w:t>INDICE</w:t>
      </w:r>
    </w:p>
    <w:p w14:paraId="48B192C2" w14:textId="77777777" w:rsidR="00A94FF2" w:rsidRPr="009C3984" w:rsidRDefault="00A94FF2" w:rsidP="00566CFC">
      <w:pPr>
        <w:spacing w:after="0" w:line="240" w:lineRule="auto"/>
        <w:jc w:val="center"/>
        <w:rPr>
          <w:rFonts w:ascii="Garamond" w:hAnsi="Garamond" w:cs="Times New Roman"/>
          <w:b/>
          <w:sz w:val="30"/>
          <w:szCs w:val="30"/>
        </w:rPr>
      </w:pPr>
    </w:p>
    <w:p w14:paraId="3D9DDDDB" w14:textId="352A8D5C" w:rsidR="009448D7" w:rsidRPr="009C3984" w:rsidRDefault="009448D7" w:rsidP="009448D7">
      <w:pPr>
        <w:spacing w:after="0" w:line="240" w:lineRule="auto"/>
        <w:jc w:val="both"/>
        <w:rPr>
          <w:rFonts w:ascii="Garamond" w:hAnsi="Garamond" w:cs="Times New Roman"/>
          <w:sz w:val="28"/>
          <w:szCs w:val="28"/>
        </w:rPr>
      </w:pPr>
      <w:r w:rsidRPr="009C3984">
        <w:rPr>
          <w:rFonts w:ascii="Garamond" w:hAnsi="Garamond" w:cs="Times New Roman"/>
          <w:sz w:val="28"/>
          <w:szCs w:val="28"/>
        </w:rPr>
        <w:t>Abstract</w:t>
      </w:r>
      <w:r w:rsidR="006E35E1" w:rsidRPr="009C3984">
        <w:rPr>
          <w:rFonts w:ascii="Garamond" w:hAnsi="Garamond" w:cs="Times New Roman"/>
          <w:sz w:val="28"/>
          <w:szCs w:val="28"/>
        </w:rPr>
        <w:t>…</w:t>
      </w:r>
      <w:r w:rsidR="00E85396">
        <w:rPr>
          <w:rFonts w:ascii="Garamond" w:hAnsi="Garamond" w:cs="Times New Roman"/>
          <w:sz w:val="28"/>
          <w:szCs w:val="28"/>
        </w:rPr>
        <w:t>………………………………………………………………………...</w:t>
      </w:r>
      <w:r w:rsidR="006E35E1" w:rsidRPr="009C3984">
        <w:rPr>
          <w:rFonts w:ascii="Garamond" w:hAnsi="Garamond" w:cs="Times New Roman"/>
          <w:sz w:val="28"/>
          <w:szCs w:val="28"/>
        </w:rPr>
        <w:t xml:space="preserve">pag. </w:t>
      </w:r>
      <w:r w:rsidR="009C3984" w:rsidRPr="009C3984">
        <w:rPr>
          <w:rFonts w:ascii="Garamond" w:hAnsi="Garamond" w:cs="Times New Roman"/>
          <w:sz w:val="28"/>
          <w:szCs w:val="28"/>
        </w:rPr>
        <w:t>2.</w:t>
      </w:r>
    </w:p>
    <w:p w14:paraId="7EA396EF" w14:textId="4629FF76" w:rsidR="001C3346" w:rsidRPr="009C3984" w:rsidRDefault="001C3346" w:rsidP="009448D7">
      <w:pPr>
        <w:spacing w:after="0" w:line="240" w:lineRule="auto"/>
        <w:jc w:val="both"/>
        <w:rPr>
          <w:rFonts w:ascii="Garamond" w:hAnsi="Garamond" w:cs="Times New Roman"/>
          <w:sz w:val="28"/>
          <w:szCs w:val="28"/>
        </w:rPr>
      </w:pPr>
      <w:r w:rsidRPr="009C3984">
        <w:rPr>
          <w:rFonts w:ascii="Garamond" w:hAnsi="Garamond" w:cs="Times New Roman"/>
          <w:sz w:val="28"/>
          <w:szCs w:val="28"/>
        </w:rPr>
        <w:t>PARTE I</w:t>
      </w:r>
    </w:p>
    <w:p w14:paraId="74B21321" w14:textId="14427AF2" w:rsidR="009448D7" w:rsidRPr="009C3984" w:rsidRDefault="009448D7" w:rsidP="009448D7">
      <w:pPr>
        <w:pStyle w:val="Paragrafoelenco"/>
        <w:numPr>
          <w:ilvl w:val="0"/>
          <w:numId w:val="11"/>
        </w:numPr>
        <w:spacing w:after="0" w:line="240" w:lineRule="auto"/>
        <w:jc w:val="both"/>
        <w:rPr>
          <w:rFonts w:ascii="Garamond" w:hAnsi="Garamond" w:cs="Times New Roman"/>
          <w:sz w:val="28"/>
          <w:szCs w:val="28"/>
        </w:rPr>
      </w:pPr>
      <w:r w:rsidRPr="009C3984">
        <w:rPr>
          <w:rFonts w:ascii="Garamond" w:hAnsi="Garamond" w:cs="Times New Roman"/>
          <w:i/>
          <w:sz w:val="28"/>
          <w:szCs w:val="28"/>
        </w:rPr>
        <w:t>Excursus</w:t>
      </w:r>
      <w:r w:rsidRPr="009C3984">
        <w:rPr>
          <w:rFonts w:ascii="Garamond" w:hAnsi="Garamond" w:cs="Times New Roman"/>
          <w:sz w:val="28"/>
          <w:szCs w:val="28"/>
        </w:rPr>
        <w:t xml:space="preserve"> storico</w:t>
      </w:r>
      <w:r w:rsidR="00CB7F91" w:rsidRPr="009C3984">
        <w:rPr>
          <w:rFonts w:ascii="Garamond" w:hAnsi="Garamond" w:cs="Times New Roman"/>
          <w:sz w:val="28"/>
          <w:szCs w:val="28"/>
        </w:rPr>
        <w:t>…</w:t>
      </w:r>
      <w:r w:rsidR="00EA67D6" w:rsidRPr="009C3984">
        <w:rPr>
          <w:rFonts w:ascii="Garamond" w:hAnsi="Garamond" w:cs="Times New Roman"/>
          <w:sz w:val="28"/>
          <w:szCs w:val="28"/>
        </w:rPr>
        <w:t>………………………………………………………….pag.</w:t>
      </w:r>
      <w:r w:rsidR="006E35E1" w:rsidRPr="009C3984">
        <w:rPr>
          <w:rFonts w:ascii="Garamond" w:hAnsi="Garamond" w:cs="Times New Roman"/>
          <w:sz w:val="28"/>
          <w:szCs w:val="28"/>
        </w:rPr>
        <w:t xml:space="preserve"> </w:t>
      </w:r>
      <w:r w:rsidR="009C3984" w:rsidRPr="009C3984">
        <w:rPr>
          <w:rFonts w:ascii="Garamond" w:hAnsi="Garamond" w:cs="Times New Roman"/>
          <w:sz w:val="28"/>
          <w:szCs w:val="28"/>
        </w:rPr>
        <w:t>2</w:t>
      </w:r>
      <w:r w:rsidR="00CB7F91" w:rsidRPr="009C3984">
        <w:rPr>
          <w:rFonts w:ascii="Garamond" w:hAnsi="Garamond" w:cs="Times New Roman"/>
          <w:sz w:val="28"/>
          <w:szCs w:val="28"/>
        </w:rPr>
        <w:t xml:space="preserve">. </w:t>
      </w:r>
    </w:p>
    <w:p w14:paraId="6C022FF2" w14:textId="1825D8FA" w:rsidR="009448D7" w:rsidRPr="009C3984" w:rsidRDefault="009448D7" w:rsidP="009448D7">
      <w:pPr>
        <w:pStyle w:val="Paragrafoelenco"/>
        <w:numPr>
          <w:ilvl w:val="0"/>
          <w:numId w:val="11"/>
        </w:numPr>
        <w:spacing w:after="0" w:line="240" w:lineRule="auto"/>
        <w:jc w:val="both"/>
        <w:rPr>
          <w:rFonts w:ascii="Garamond" w:hAnsi="Garamond" w:cs="Times New Roman"/>
          <w:sz w:val="28"/>
          <w:szCs w:val="28"/>
        </w:rPr>
      </w:pPr>
      <w:r w:rsidRPr="009C3984">
        <w:rPr>
          <w:rFonts w:ascii="Garamond" w:hAnsi="Garamond" w:cs="Times New Roman"/>
          <w:sz w:val="28"/>
          <w:szCs w:val="28"/>
        </w:rPr>
        <w:t>La nuova disciplina del d.l. n. 131/2024, conv. con L. n. 166/2024</w:t>
      </w:r>
      <w:r w:rsidR="00CB7F91" w:rsidRPr="009C3984">
        <w:rPr>
          <w:rFonts w:ascii="Garamond" w:hAnsi="Garamond" w:cs="Times New Roman"/>
          <w:sz w:val="28"/>
          <w:szCs w:val="28"/>
        </w:rPr>
        <w:t>…</w:t>
      </w:r>
      <w:r w:rsidR="00EA67D6" w:rsidRPr="009C3984">
        <w:rPr>
          <w:rFonts w:ascii="Garamond" w:hAnsi="Garamond" w:cs="Times New Roman"/>
          <w:sz w:val="28"/>
          <w:szCs w:val="28"/>
        </w:rPr>
        <w:t>………pag.</w:t>
      </w:r>
      <w:r w:rsidR="006E35E1" w:rsidRPr="009C3984">
        <w:rPr>
          <w:rFonts w:ascii="Garamond" w:hAnsi="Garamond" w:cs="Times New Roman"/>
          <w:sz w:val="28"/>
          <w:szCs w:val="28"/>
        </w:rPr>
        <w:t xml:space="preserve"> </w:t>
      </w:r>
      <w:r w:rsidR="00C309A2">
        <w:rPr>
          <w:rFonts w:ascii="Garamond" w:hAnsi="Garamond" w:cs="Times New Roman"/>
          <w:sz w:val="28"/>
          <w:szCs w:val="28"/>
        </w:rPr>
        <w:t>8</w:t>
      </w:r>
      <w:r w:rsidR="00CB7F91" w:rsidRPr="009C3984">
        <w:rPr>
          <w:rFonts w:ascii="Garamond" w:hAnsi="Garamond" w:cs="Times New Roman"/>
          <w:sz w:val="28"/>
          <w:szCs w:val="28"/>
        </w:rPr>
        <w:t>.</w:t>
      </w:r>
    </w:p>
    <w:p w14:paraId="6CD53581" w14:textId="3CCD8461" w:rsidR="009448D7" w:rsidRPr="009C3984" w:rsidRDefault="009448D7" w:rsidP="009448D7">
      <w:pPr>
        <w:pStyle w:val="Paragrafoelenco"/>
        <w:numPr>
          <w:ilvl w:val="0"/>
          <w:numId w:val="11"/>
        </w:numPr>
        <w:spacing w:after="0" w:line="240" w:lineRule="auto"/>
        <w:jc w:val="both"/>
        <w:rPr>
          <w:rFonts w:ascii="Garamond" w:hAnsi="Garamond" w:cs="Times New Roman"/>
          <w:sz w:val="28"/>
          <w:szCs w:val="28"/>
        </w:rPr>
      </w:pPr>
      <w:r w:rsidRPr="009C3984">
        <w:rPr>
          <w:rFonts w:ascii="Garamond" w:hAnsi="Garamond" w:cs="Times New Roman"/>
          <w:sz w:val="28"/>
          <w:szCs w:val="28"/>
        </w:rPr>
        <w:t>Critiche e spunti di riflessione sulla nuova disciplina</w:t>
      </w:r>
      <w:r w:rsidR="00CB7F91" w:rsidRPr="009C3984">
        <w:rPr>
          <w:rFonts w:ascii="Garamond" w:hAnsi="Garamond" w:cs="Times New Roman"/>
          <w:sz w:val="28"/>
          <w:szCs w:val="28"/>
        </w:rPr>
        <w:t>…</w:t>
      </w:r>
      <w:r w:rsidR="00EA67D6" w:rsidRPr="009C3984">
        <w:rPr>
          <w:rFonts w:ascii="Garamond" w:hAnsi="Garamond" w:cs="Times New Roman"/>
          <w:sz w:val="28"/>
          <w:szCs w:val="28"/>
        </w:rPr>
        <w:t>……………………</w:t>
      </w:r>
      <w:r w:rsidR="00E85396">
        <w:rPr>
          <w:rFonts w:ascii="Garamond" w:hAnsi="Garamond" w:cs="Times New Roman"/>
          <w:sz w:val="28"/>
          <w:szCs w:val="28"/>
        </w:rPr>
        <w:t>.</w:t>
      </w:r>
      <w:r w:rsidR="00EA67D6" w:rsidRPr="009C3984">
        <w:rPr>
          <w:rFonts w:ascii="Garamond" w:hAnsi="Garamond" w:cs="Times New Roman"/>
          <w:sz w:val="28"/>
          <w:szCs w:val="28"/>
        </w:rPr>
        <w:t>pag.</w:t>
      </w:r>
      <w:r w:rsidR="006E35E1" w:rsidRPr="009C3984">
        <w:rPr>
          <w:rFonts w:ascii="Garamond" w:hAnsi="Garamond" w:cs="Times New Roman"/>
          <w:sz w:val="28"/>
          <w:szCs w:val="28"/>
        </w:rPr>
        <w:t xml:space="preserve"> </w:t>
      </w:r>
      <w:r w:rsidR="00C309A2">
        <w:rPr>
          <w:rFonts w:ascii="Garamond" w:hAnsi="Garamond" w:cs="Times New Roman"/>
          <w:sz w:val="28"/>
          <w:szCs w:val="28"/>
        </w:rPr>
        <w:t>12</w:t>
      </w:r>
      <w:r w:rsidR="00CB7F91" w:rsidRPr="009C3984">
        <w:rPr>
          <w:rFonts w:ascii="Garamond" w:hAnsi="Garamond" w:cs="Times New Roman"/>
          <w:sz w:val="28"/>
          <w:szCs w:val="28"/>
        </w:rPr>
        <w:t>.</w:t>
      </w:r>
    </w:p>
    <w:p w14:paraId="4C96B359" w14:textId="63817664" w:rsidR="00E3769F" w:rsidRPr="009C3984" w:rsidRDefault="00D82198" w:rsidP="00D82198">
      <w:pPr>
        <w:pStyle w:val="Paragrafoelenco"/>
        <w:spacing w:after="0" w:line="240" w:lineRule="auto"/>
        <w:jc w:val="both"/>
        <w:rPr>
          <w:rFonts w:ascii="Garamond" w:hAnsi="Garamond" w:cs="Times New Roman"/>
          <w:sz w:val="28"/>
          <w:szCs w:val="28"/>
        </w:rPr>
      </w:pPr>
      <w:r w:rsidRPr="009C3984">
        <w:rPr>
          <w:rFonts w:ascii="Garamond" w:hAnsi="Garamond" w:cs="Times New Roman"/>
          <w:sz w:val="28"/>
          <w:szCs w:val="28"/>
        </w:rPr>
        <w:t xml:space="preserve">3.1. </w:t>
      </w:r>
      <w:r w:rsidR="00E3769F" w:rsidRPr="009C3984">
        <w:rPr>
          <w:rFonts w:ascii="Garamond" w:hAnsi="Garamond" w:cs="Times New Roman"/>
          <w:sz w:val="28"/>
          <w:szCs w:val="28"/>
        </w:rPr>
        <w:t>L’evoluzione normativa regio</w:t>
      </w:r>
      <w:r w:rsidR="006E35E1" w:rsidRPr="009C3984">
        <w:rPr>
          <w:rFonts w:ascii="Garamond" w:hAnsi="Garamond" w:cs="Times New Roman"/>
          <w:sz w:val="28"/>
          <w:szCs w:val="28"/>
        </w:rPr>
        <w:t>nale dopo la L. n. 166/2024</w:t>
      </w:r>
    </w:p>
    <w:p w14:paraId="52036306" w14:textId="52B92B3A" w:rsidR="00D82198" w:rsidRPr="009C3984" w:rsidRDefault="00E3769F" w:rsidP="00D82198">
      <w:pPr>
        <w:pStyle w:val="Paragrafoelenco"/>
        <w:spacing w:after="0" w:line="240" w:lineRule="auto"/>
        <w:jc w:val="both"/>
        <w:rPr>
          <w:rFonts w:ascii="Garamond" w:hAnsi="Garamond" w:cs="Times New Roman"/>
          <w:sz w:val="28"/>
          <w:szCs w:val="28"/>
        </w:rPr>
      </w:pPr>
      <w:r w:rsidRPr="009C3984">
        <w:rPr>
          <w:rFonts w:ascii="Garamond" w:hAnsi="Garamond" w:cs="Times New Roman"/>
          <w:sz w:val="28"/>
          <w:szCs w:val="28"/>
        </w:rPr>
        <w:t xml:space="preserve">3.2. </w:t>
      </w:r>
      <w:r w:rsidR="00D82198" w:rsidRPr="009C3984">
        <w:rPr>
          <w:rFonts w:ascii="Garamond" w:hAnsi="Garamond" w:cs="Times New Roman"/>
          <w:sz w:val="28"/>
          <w:szCs w:val="28"/>
        </w:rPr>
        <w:t>Appendice: il regime giuridico del de</w:t>
      </w:r>
      <w:r w:rsidR="006E35E1" w:rsidRPr="009C3984">
        <w:rPr>
          <w:rFonts w:ascii="Garamond" w:hAnsi="Garamond" w:cs="Times New Roman"/>
          <w:sz w:val="28"/>
          <w:szCs w:val="28"/>
        </w:rPr>
        <w:t>manio trazzerale in Sicilia</w:t>
      </w:r>
    </w:p>
    <w:p w14:paraId="09425819" w14:textId="70BF30F7" w:rsidR="006E35E1" w:rsidRPr="009C3984" w:rsidRDefault="006E35E1" w:rsidP="00D82198">
      <w:pPr>
        <w:pStyle w:val="Paragrafoelenco"/>
        <w:spacing w:after="0" w:line="240" w:lineRule="auto"/>
        <w:jc w:val="both"/>
        <w:rPr>
          <w:rFonts w:ascii="Garamond" w:hAnsi="Garamond" w:cs="Times New Roman"/>
          <w:sz w:val="28"/>
          <w:szCs w:val="28"/>
        </w:rPr>
      </w:pPr>
      <w:r w:rsidRPr="009C3984">
        <w:rPr>
          <w:rFonts w:ascii="Garamond" w:hAnsi="Garamond" w:cs="Times New Roman"/>
          <w:sz w:val="28"/>
          <w:szCs w:val="28"/>
        </w:rPr>
        <w:t>3.3 Le iniziative dei Comuni</w:t>
      </w:r>
    </w:p>
    <w:p w14:paraId="19D35794" w14:textId="6959AA25" w:rsidR="001C3346" w:rsidRPr="009C3984" w:rsidRDefault="001C3346" w:rsidP="001C3346">
      <w:pPr>
        <w:spacing w:after="0" w:line="240" w:lineRule="auto"/>
        <w:jc w:val="both"/>
        <w:rPr>
          <w:rFonts w:ascii="Garamond" w:hAnsi="Garamond" w:cs="Times New Roman"/>
          <w:sz w:val="28"/>
          <w:szCs w:val="28"/>
        </w:rPr>
      </w:pPr>
      <w:r w:rsidRPr="009C3984">
        <w:rPr>
          <w:rFonts w:ascii="Garamond" w:hAnsi="Garamond" w:cs="Times New Roman"/>
          <w:sz w:val="28"/>
          <w:szCs w:val="28"/>
        </w:rPr>
        <w:t>PARTE II</w:t>
      </w:r>
    </w:p>
    <w:p w14:paraId="2FE147CD" w14:textId="2483A567" w:rsidR="001C3346" w:rsidRPr="009C3984" w:rsidRDefault="001C3346" w:rsidP="001C3346">
      <w:pPr>
        <w:pStyle w:val="Paragrafoelenco"/>
        <w:numPr>
          <w:ilvl w:val="0"/>
          <w:numId w:val="11"/>
        </w:numPr>
        <w:spacing w:after="0" w:line="240" w:lineRule="auto"/>
        <w:jc w:val="both"/>
        <w:rPr>
          <w:rFonts w:ascii="Garamond" w:hAnsi="Garamond" w:cs="Times New Roman"/>
          <w:sz w:val="28"/>
          <w:szCs w:val="28"/>
        </w:rPr>
      </w:pPr>
      <w:r w:rsidRPr="009C3984">
        <w:rPr>
          <w:rFonts w:ascii="Garamond" w:hAnsi="Garamond" w:cs="Times New Roman"/>
          <w:sz w:val="28"/>
          <w:szCs w:val="28"/>
        </w:rPr>
        <w:t>Le prime applicazioni nella giurisprudenza amministrativa</w:t>
      </w:r>
      <w:r w:rsidR="00CB7F91" w:rsidRPr="009C3984">
        <w:rPr>
          <w:rFonts w:ascii="Garamond" w:hAnsi="Garamond" w:cs="Times New Roman"/>
          <w:sz w:val="28"/>
          <w:szCs w:val="28"/>
        </w:rPr>
        <w:t>…</w:t>
      </w:r>
      <w:r w:rsidR="00EA67D6" w:rsidRPr="009C3984">
        <w:rPr>
          <w:rFonts w:ascii="Garamond" w:hAnsi="Garamond" w:cs="Times New Roman"/>
          <w:sz w:val="28"/>
          <w:szCs w:val="28"/>
        </w:rPr>
        <w:t>……………...pag.</w:t>
      </w:r>
      <w:r w:rsidR="006E35E1" w:rsidRPr="009C3984">
        <w:rPr>
          <w:rFonts w:ascii="Garamond" w:hAnsi="Garamond" w:cs="Times New Roman"/>
          <w:sz w:val="28"/>
          <w:szCs w:val="28"/>
        </w:rPr>
        <w:t xml:space="preserve"> 1</w:t>
      </w:r>
      <w:r w:rsidR="00C309A2">
        <w:rPr>
          <w:rFonts w:ascii="Garamond" w:hAnsi="Garamond" w:cs="Times New Roman"/>
          <w:sz w:val="28"/>
          <w:szCs w:val="28"/>
        </w:rPr>
        <w:t>8</w:t>
      </w:r>
      <w:r w:rsidR="00CB7F91" w:rsidRPr="009C3984">
        <w:rPr>
          <w:rFonts w:ascii="Garamond" w:hAnsi="Garamond" w:cs="Times New Roman"/>
          <w:sz w:val="28"/>
          <w:szCs w:val="28"/>
        </w:rPr>
        <w:t>.</w:t>
      </w:r>
    </w:p>
    <w:p w14:paraId="5BE99F69" w14:textId="1712B278" w:rsidR="001C3346" w:rsidRPr="009C3984" w:rsidRDefault="001C3346" w:rsidP="001C3346">
      <w:pPr>
        <w:pStyle w:val="Paragrafoelenco"/>
        <w:numPr>
          <w:ilvl w:val="0"/>
          <w:numId w:val="11"/>
        </w:numPr>
        <w:spacing w:after="0" w:line="240" w:lineRule="auto"/>
        <w:jc w:val="both"/>
        <w:rPr>
          <w:rFonts w:ascii="Garamond" w:hAnsi="Garamond" w:cs="Times New Roman"/>
          <w:sz w:val="28"/>
          <w:szCs w:val="28"/>
        </w:rPr>
      </w:pPr>
      <w:r w:rsidRPr="009C3984">
        <w:rPr>
          <w:rFonts w:ascii="Garamond" w:hAnsi="Garamond" w:cs="Times New Roman"/>
          <w:sz w:val="28"/>
          <w:szCs w:val="28"/>
        </w:rPr>
        <w:t>Considerazioni sulle prime applicazioni giurisprudenziali</w:t>
      </w:r>
      <w:r w:rsidR="00CB7F91" w:rsidRPr="009C3984">
        <w:rPr>
          <w:rFonts w:ascii="Garamond" w:hAnsi="Garamond" w:cs="Times New Roman"/>
          <w:sz w:val="28"/>
          <w:szCs w:val="28"/>
        </w:rPr>
        <w:t>…</w:t>
      </w:r>
      <w:r w:rsidR="00EA67D6" w:rsidRPr="009C3984">
        <w:rPr>
          <w:rFonts w:ascii="Garamond" w:hAnsi="Garamond" w:cs="Times New Roman"/>
          <w:sz w:val="28"/>
          <w:szCs w:val="28"/>
        </w:rPr>
        <w:t>……………</w:t>
      </w:r>
      <w:r w:rsidR="00E85396">
        <w:rPr>
          <w:rFonts w:ascii="Garamond" w:hAnsi="Garamond" w:cs="Times New Roman"/>
          <w:sz w:val="28"/>
          <w:szCs w:val="28"/>
        </w:rPr>
        <w:t>.</w:t>
      </w:r>
      <w:r w:rsidR="00EA67D6" w:rsidRPr="009C3984">
        <w:rPr>
          <w:rFonts w:ascii="Garamond" w:hAnsi="Garamond" w:cs="Times New Roman"/>
          <w:sz w:val="28"/>
          <w:szCs w:val="28"/>
        </w:rPr>
        <w:t>…pag.</w:t>
      </w:r>
      <w:r w:rsidR="00C309A2">
        <w:rPr>
          <w:rFonts w:ascii="Garamond" w:hAnsi="Garamond" w:cs="Times New Roman"/>
          <w:sz w:val="28"/>
          <w:szCs w:val="28"/>
        </w:rPr>
        <w:t xml:space="preserve"> 22</w:t>
      </w:r>
      <w:r w:rsidR="00CB7F91" w:rsidRPr="009C3984">
        <w:rPr>
          <w:rFonts w:ascii="Garamond" w:hAnsi="Garamond" w:cs="Times New Roman"/>
          <w:sz w:val="28"/>
          <w:szCs w:val="28"/>
        </w:rPr>
        <w:t>.</w:t>
      </w:r>
    </w:p>
    <w:p w14:paraId="30625345" w14:textId="5571D95B" w:rsidR="001C3346" w:rsidRPr="009C3984" w:rsidRDefault="001C3346" w:rsidP="001C3346">
      <w:pPr>
        <w:spacing w:after="0" w:line="240" w:lineRule="auto"/>
        <w:jc w:val="both"/>
        <w:rPr>
          <w:rFonts w:ascii="Garamond" w:hAnsi="Garamond" w:cs="Times New Roman"/>
          <w:sz w:val="28"/>
          <w:szCs w:val="28"/>
        </w:rPr>
      </w:pPr>
      <w:r w:rsidRPr="009C3984">
        <w:rPr>
          <w:rFonts w:ascii="Garamond" w:hAnsi="Garamond" w:cs="Times New Roman"/>
          <w:sz w:val="28"/>
          <w:szCs w:val="28"/>
        </w:rPr>
        <w:t>PARTE III</w:t>
      </w:r>
    </w:p>
    <w:p w14:paraId="49B56D48" w14:textId="765D77D9" w:rsidR="001C3346" w:rsidRPr="009C3984" w:rsidRDefault="003A4A61" w:rsidP="001C3346">
      <w:pPr>
        <w:pStyle w:val="Paragrafoelenco"/>
        <w:numPr>
          <w:ilvl w:val="0"/>
          <w:numId w:val="11"/>
        </w:numPr>
        <w:spacing w:after="0" w:line="240" w:lineRule="auto"/>
        <w:jc w:val="both"/>
        <w:rPr>
          <w:rFonts w:ascii="Garamond" w:hAnsi="Garamond" w:cs="Times New Roman"/>
          <w:sz w:val="28"/>
          <w:szCs w:val="28"/>
        </w:rPr>
      </w:pPr>
      <w:r w:rsidRPr="009C3984">
        <w:rPr>
          <w:rFonts w:ascii="Garamond" w:hAnsi="Garamond" w:cs="Times New Roman"/>
          <w:sz w:val="28"/>
          <w:szCs w:val="28"/>
        </w:rPr>
        <w:t>L</w:t>
      </w:r>
      <w:r w:rsidR="00EC75ED" w:rsidRPr="009C3984">
        <w:rPr>
          <w:rFonts w:ascii="Garamond" w:hAnsi="Garamond" w:cs="Times New Roman"/>
          <w:sz w:val="28"/>
          <w:szCs w:val="28"/>
        </w:rPr>
        <w:t>a prospettiva</w:t>
      </w:r>
      <w:r w:rsidR="001C3346" w:rsidRPr="009C3984">
        <w:rPr>
          <w:rFonts w:ascii="Garamond" w:hAnsi="Garamond" w:cs="Times New Roman"/>
          <w:sz w:val="28"/>
          <w:szCs w:val="28"/>
        </w:rPr>
        <w:t xml:space="preserve"> costituzionalmente orientata della materia</w:t>
      </w:r>
      <w:r w:rsidR="00CB7F91" w:rsidRPr="009C3984">
        <w:rPr>
          <w:rFonts w:ascii="Garamond" w:hAnsi="Garamond" w:cs="Times New Roman"/>
          <w:sz w:val="28"/>
          <w:szCs w:val="28"/>
        </w:rPr>
        <w:t>…</w:t>
      </w:r>
      <w:r w:rsidR="00EA67D6" w:rsidRPr="009C3984">
        <w:rPr>
          <w:rFonts w:ascii="Garamond" w:hAnsi="Garamond" w:cs="Times New Roman"/>
          <w:sz w:val="28"/>
          <w:szCs w:val="28"/>
        </w:rPr>
        <w:t>………………pag.</w:t>
      </w:r>
      <w:r w:rsidR="00C309A2">
        <w:rPr>
          <w:rFonts w:ascii="Garamond" w:hAnsi="Garamond" w:cs="Times New Roman"/>
          <w:sz w:val="28"/>
          <w:szCs w:val="28"/>
        </w:rPr>
        <w:t xml:space="preserve"> 23</w:t>
      </w:r>
      <w:r w:rsidR="00CB7F91" w:rsidRPr="009C3984">
        <w:rPr>
          <w:rFonts w:ascii="Garamond" w:hAnsi="Garamond" w:cs="Times New Roman"/>
          <w:sz w:val="28"/>
          <w:szCs w:val="28"/>
        </w:rPr>
        <w:t>.</w:t>
      </w:r>
    </w:p>
    <w:p w14:paraId="08A3FA2D" w14:textId="468C68D9" w:rsidR="00EC75ED" w:rsidRPr="009C3984" w:rsidRDefault="00EC75ED" w:rsidP="00EC75ED">
      <w:pPr>
        <w:pStyle w:val="Paragrafoelenco"/>
        <w:spacing w:after="0" w:line="240" w:lineRule="auto"/>
        <w:jc w:val="both"/>
        <w:rPr>
          <w:rFonts w:ascii="Garamond" w:hAnsi="Garamond" w:cs="Times New Roman"/>
          <w:sz w:val="28"/>
          <w:szCs w:val="28"/>
        </w:rPr>
      </w:pPr>
      <w:r w:rsidRPr="009C3984">
        <w:rPr>
          <w:rFonts w:ascii="Garamond" w:hAnsi="Garamond" w:cs="Times New Roman"/>
          <w:sz w:val="28"/>
          <w:szCs w:val="28"/>
        </w:rPr>
        <w:t>6.1 Le pronunce di incostituzionalità aventi ad oggetto gli strumenti di dilazionamento temporale delle concessioni.</w:t>
      </w:r>
    </w:p>
    <w:p w14:paraId="6EA8C187" w14:textId="17272A33" w:rsidR="00EC75ED" w:rsidRPr="009C3984" w:rsidRDefault="00EC75ED" w:rsidP="00EC75ED">
      <w:pPr>
        <w:pStyle w:val="Paragrafoelenco"/>
        <w:spacing w:after="0" w:line="240" w:lineRule="auto"/>
        <w:jc w:val="both"/>
        <w:rPr>
          <w:rFonts w:ascii="Garamond" w:hAnsi="Garamond" w:cs="Times New Roman"/>
          <w:sz w:val="28"/>
          <w:szCs w:val="28"/>
        </w:rPr>
      </w:pPr>
      <w:r w:rsidRPr="009C3984">
        <w:rPr>
          <w:rFonts w:ascii="Garamond" w:hAnsi="Garamond" w:cs="Times New Roman"/>
          <w:sz w:val="28"/>
          <w:szCs w:val="28"/>
        </w:rPr>
        <w:t>6.2 Le pronunce di incostituzionalità sugli indennizzi in favore del concessionario uscente.</w:t>
      </w:r>
    </w:p>
    <w:p w14:paraId="2A3CA083" w14:textId="3C1170E0" w:rsidR="00EC75ED" w:rsidRPr="009C3984" w:rsidRDefault="00EC75ED" w:rsidP="00EC75ED">
      <w:pPr>
        <w:pStyle w:val="Paragrafoelenco"/>
        <w:spacing w:after="0" w:line="240" w:lineRule="auto"/>
        <w:jc w:val="both"/>
        <w:rPr>
          <w:rFonts w:ascii="Garamond" w:hAnsi="Garamond" w:cs="Times New Roman"/>
          <w:sz w:val="28"/>
          <w:szCs w:val="28"/>
        </w:rPr>
      </w:pPr>
      <w:r w:rsidRPr="009C3984">
        <w:rPr>
          <w:rFonts w:ascii="Garamond" w:hAnsi="Garamond" w:cs="Times New Roman"/>
          <w:sz w:val="28"/>
          <w:szCs w:val="28"/>
        </w:rPr>
        <w:t>6.3 Le pronunce di incostituzionalità sui meccanismi di preferenza.</w:t>
      </w:r>
    </w:p>
    <w:p w14:paraId="706B0A94" w14:textId="4F4E604A" w:rsidR="00EC75ED" w:rsidRPr="009C3984" w:rsidRDefault="00EC75ED" w:rsidP="00EC75ED">
      <w:pPr>
        <w:pStyle w:val="Paragrafoelenco"/>
        <w:spacing w:after="0" w:line="240" w:lineRule="auto"/>
        <w:jc w:val="both"/>
        <w:rPr>
          <w:rFonts w:ascii="Garamond" w:hAnsi="Garamond" w:cs="Times New Roman"/>
          <w:sz w:val="28"/>
          <w:szCs w:val="28"/>
        </w:rPr>
      </w:pPr>
      <w:r w:rsidRPr="009C3984">
        <w:rPr>
          <w:rFonts w:ascii="Garamond" w:hAnsi="Garamond" w:cs="Times New Roman"/>
          <w:sz w:val="28"/>
          <w:szCs w:val="28"/>
        </w:rPr>
        <w:t>6.4 Le “aperture” riconosciute dalla Corte rispetto all’azione legislativa regionale</w:t>
      </w:r>
    </w:p>
    <w:p w14:paraId="049A8086" w14:textId="7C9DEEAF" w:rsidR="00EC75ED" w:rsidRPr="009C3984" w:rsidRDefault="00EC75ED" w:rsidP="00EC75ED">
      <w:pPr>
        <w:pStyle w:val="Paragrafoelenco"/>
        <w:spacing w:after="0" w:line="240" w:lineRule="auto"/>
        <w:jc w:val="both"/>
        <w:rPr>
          <w:rFonts w:ascii="Garamond" w:hAnsi="Garamond" w:cs="Times New Roman"/>
          <w:sz w:val="28"/>
          <w:szCs w:val="28"/>
        </w:rPr>
      </w:pPr>
      <w:r w:rsidRPr="009C3984">
        <w:rPr>
          <w:rFonts w:ascii="Garamond" w:hAnsi="Garamond" w:cs="Times New Roman"/>
          <w:sz w:val="28"/>
          <w:szCs w:val="28"/>
        </w:rPr>
        <w:t>6.5</w:t>
      </w:r>
      <w:r w:rsidR="00BC28F3" w:rsidRPr="009C3984">
        <w:rPr>
          <w:rFonts w:ascii="Garamond" w:hAnsi="Garamond" w:cs="Times New Roman"/>
          <w:sz w:val="28"/>
          <w:szCs w:val="28"/>
        </w:rPr>
        <w:t xml:space="preserve"> Non solo concessioni demaniali marittime, ma anche concessioni idroelettriche. L’ordinanza della Corte costituzionale di rimessione alla CGUE.</w:t>
      </w:r>
    </w:p>
    <w:p w14:paraId="36C12B15" w14:textId="139EE8F8" w:rsidR="00EC75ED" w:rsidRPr="009C3984" w:rsidRDefault="00EC75ED" w:rsidP="00EC75ED">
      <w:pPr>
        <w:pStyle w:val="Paragrafoelenco"/>
        <w:spacing w:after="0" w:line="240" w:lineRule="auto"/>
        <w:jc w:val="both"/>
        <w:rPr>
          <w:rFonts w:ascii="Garamond" w:hAnsi="Garamond" w:cs="Times New Roman"/>
          <w:sz w:val="28"/>
          <w:szCs w:val="28"/>
        </w:rPr>
      </w:pPr>
      <w:r w:rsidRPr="009C3984">
        <w:rPr>
          <w:rFonts w:ascii="Garamond" w:hAnsi="Garamond" w:cs="Times New Roman"/>
          <w:sz w:val="28"/>
          <w:szCs w:val="28"/>
        </w:rPr>
        <w:t>6.6</w:t>
      </w:r>
      <w:r w:rsidR="00BC28F3" w:rsidRPr="009C3984">
        <w:rPr>
          <w:rFonts w:ascii="Garamond" w:hAnsi="Garamond" w:cs="Times New Roman"/>
          <w:sz w:val="28"/>
          <w:szCs w:val="28"/>
        </w:rPr>
        <w:t xml:space="preserve"> Conclusioni.</w:t>
      </w:r>
    </w:p>
    <w:p w14:paraId="45459F6B" w14:textId="75F32A76" w:rsidR="00723EBC" w:rsidRPr="009C3984" w:rsidRDefault="001C3346" w:rsidP="00723EBC">
      <w:pPr>
        <w:pStyle w:val="Paragrafoelenco"/>
        <w:numPr>
          <w:ilvl w:val="0"/>
          <w:numId w:val="11"/>
        </w:numPr>
        <w:spacing w:after="0" w:line="240" w:lineRule="auto"/>
        <w:jc w:val="both"/>
        <w:rPr>
          <w:rFonts w:ascii="Garamond" w:hAnsi="Garamond" w:cs="Times New Roman"/>
          <w:sz w:val="28"/>
          <w:szCs w:val="28"/>
        </w:rPr>
      </w:pPr>
      <w:r w:rsidRPr="009C3984">
        <w:rPr>
          <w:rFonts w:ascii="Garamond" w:hAnsi="Garamond" w:cs="Times New Roman"/>
          <w:sz w:val="28"/>
          <w:szCs w:val="28"/>
        </w:rPr>
        <w:t>La prospettiva europea</w:t>
      </w:r>
      <w:r w:rsidR="00CB7F91" w:rsidRPr="009C3984">
        <w:rPr>
          <w:rFonts w:ascii="Garamond" w:hAnsi="Garamond" w:cs="Times New Roman"/>
          <w:sz w:val="28"/>
          <w:szCs w:val="28"/>
        </w:rPr>
        <w:t>…</w:t>
      </w:r>
      <w:r w:rsidR="00EA67D6" w:rsidRPr="009C3984">
        <w:rPr>
          <w:rFonts w:ascii="Garamond" w:hAnsi="Garamond" w:cs="Times New Roman"/>
          <w:sz w:val="28"/>
          <w:szCs w:val="28"/>
        </w:rPr>
        <w:t>…………………………………………………pag.</w:t>
      </w:r>
      <w:r w:rsidR="001E3C32" w:rsidRPr="009C3984">
        <w:rPr>
          <w:rFonts w:ascii="Garamond" w:hAnsi="Garamond" w:cs="Times New Roman"/>
          <w:sz w:val="28"/>
          <w:szCs w:val="28"/>
        </w:rPr>
        <w:t xml:space="preserve"> 2</w:t>
      </w:r>
      <w:r w:rsidR="00C309A2">
        <w:rPr>
          <w:rFonts w:ascii="Garamond" w:hAnsi="Garamond" w:cs="Times New Roman"/>
          <w:sz w:val="28"/>
          <w:szCs w:val="28"/>
        </w:rPr>
        <w:t>9</w:t>
      </w:r>
      <w:r w:rsidR="00CB7F91" w:rsidRPr="009C3984">
        <w:rPr>
          <w:rFonts w:ascii="Garamond" w:hAnsi="Garamond" w:cs="Times New Roman"/>
          <w:sz w:val="28"/>
          <w:szCs w:val="28"/>
        </w:rPr>
        <w:t>.</w:t>
      </w:r>
    </w:p>
    <w:p w14:paraId="77F9F8F8" w14:textId="407FA561" w:rsidR="00723EBC" w:rsidRPr="009C3984" w:rsidRDefault="00723EBC" w:rsidP="00723EBC">
      <w:pPr>
        <w:spacing w:after="0" w:line="240" w:lineRule="auto"/>
        <w:ind w:firstLine="708"/>
        <w:jc w:val="both"/>
        <w:rPr>
          <w:rFonts w:ascii="Garamond" w:hAnsi="Garamond" w:cs="Times New Roman"/>
          <w:sz w:val="28"/>
          <w:szCs w:val="28"/>
        </w:rPr>
      </w:pPr>
      <w:r w:rsidRPr="009C3984">
        <w:rPr>
          <w:rFonts w:ascii="Garamond" w:hAnsi="Garamond" w:cs="Times New Roman"/>
          <w:sz w:val="28"/>
          <w:szCs w:val="28"/>
        </w:rPr>
        <w:t>7.1.1. Breve panoramica sulla normativa adottata da altri Stati Membri in materia.</w:t>
      </w:r>
    </w:p>
    <w:p w14:paraId="7BF85400" w14:textId="1470B543" w:rsidR="00723EBC" w:rsidRPr="009C3984" w:rsidRDefault="00723EBC" w:rsidP="00723EBC">
      <w:pPr>
        <w:spacing w:after="0" w:line="240" w:lineRule="auto"/>
        <w:ind w:firstLine="708"/>
        <w:jc w:val="both"/>
        <w:rPr>
          <w:rFonts w:ascii="Garamond" w:hAnsi="Garamond" w:cs="Times New Roman"/>
          <w:sz w:val="28"/>
          <w:szCs w:val="28"/>
        </w:rPr>
      </w:pPr>
      <w:r w:rsidRPr="009C3984">
        <w:rPr>
          <w:rFonts w:ascii="Garamond" w:hAnsi="Garamond" w:cs="Times New Roman"/>
          <w:sz w:val="28"/>
          <w:szCs w:val="28"/>
        </w:rPr>
        <w:t>7.1.2. Croazia.</w:t>
      </w:r>
    </w:p>
    <w:p w14:paraId="631E1EFE" w14:textId="6F7E6554" w:rsidR="00723EBC" w:rsidRPr="009C3984" w:rsidRDefault="00723EBC" w:rsidP="00723EBC">
      <w:pPr>
        <w:spacing w:after="0" w:line="240" w:lineRule="auto"/>
        <w:ind w:firstLine="708"/>
        <w:jc w:val="both"/>
        <w:rPr>
          <w:rFonts w:ascii="Garamond" w:hAnsi="Garamond" w:cs="Times New Roman"/>
          <w:sz w:val="28"/>
          <w:szCs w:val="28"/>
        </w:rPr>
      </w:pPr>
      <w:r w:rsidRPr="009C3984">
        <w:rPr>
          <w:rFonts w:ascii="Garamond" w:hAnsi="Garamond" w:cs="Times New Roman"/>
          <w:sz w:val="28"/>
          <w:szCs w:val="28"/>
        </w:rPr>
        <w:t>7.1.3. Francia.</w:t>
      </w:r>
    </w:p>
    <w:p w14:paraId="395D1C57" w14:textId="1F7B6925" w:rsidR="00723EBC" w:rsidRPr="009C3984" w:rsidRDefault="00723EBC" w:rsidP="00723EBC">
      <w:pPr>
        <w:spacing w:after="0" w:line="240" w:lineRule="auto"/>
        <w:ind w:firstLine="708"/>
        <w:jc w:val="both"/>
        <w:rPr>
          <w:rFonts w:ascii="Garamond" w:hAnsi="Garamond" w:cs="Times New Roman"/>
          <w:sz w:val="28"/>
          <w:szCs w:val="28"/>
        </w:rPr>
      </w:pPr>
      <w:r w:rsidRPr="009C3984">
        <w:rPr>
          <w:rFonts w:ascii="Garamond" w:hAnsi="Garamond" w:cs="Times New Roman"/>
          <w:sz w:val="28"/>
          <w:szCs w:val="28"/>
        </w:rPr>
        <w:t>7.1.4. Grecia.</w:t>
      </w:r>
    </w:p>
    <w:p w14:paraId="0895B04F" w14:textId="638DA57D" w:rsidR="00723EBC" w:rsidRPr="009C3984" w:rsidRDefault="00723EBC" w:rsidP="00723EBC">
      <w:pPr>
        <w:spacing w:after="0" w:line="240" w:lineRule="auto"/>
        <w:ind w:firstLine="708"/>
        <w:jc w:val="both"/>
        <w:rPr>
          <w:rFonts w:ascii="Garamond" w:hAnsi="Garamond" w:cs="Times New Roman"/>
          <w:sz w:val="28"/>
          <w:szCs w:val="28"/>
        </w:rPr>
      </w:pPr>
      <w:r w:rsidRPr="009C3984">
        <w:rPr>
          <w:rFonts w:ascii="Garamond" w:hAnsi="Garamond" w:cs="Times New Roman"/>
          <w:sz w:val="28"/>
          <w:szCs w:val="28"/>
        </w:rPr>
        <w:t>7.1.5. Portogallo.</w:t>
      </w:r>
    </w:p>
    <w:p w14:paraId="4CAF87DC" w14:textId="592FC667" w:rsidR="00723EBC" w:rsidRPr="009C3984" w:rsidRDefault="00723EBC" w:rsidP="00723EBC">
      <w:pPr>
        <w:spacing w:after="0" w:line="240" w:lineRule="auto"/>
        <w:ind w:firstLine="708"/>
        <w:jc w:val="both"/>
        <w:rPr>
          <w:rFonts w:ascii="Garamond" w:hAnsi="Garamond" w:cs="Times New Roman"/>
          <w:sz w:val="28"/>
          <w:szCs w:val="28"/>
        </w:rPr>
      </w:pPr>
      <w:r w:rsidRPr="009C3984">
        <w:rPr>
          <w:rFonts w:ascii="Garamond" w:hAnsi="Garamond" w:cs="Times New Roman"/>
          <w:sz w:val="28"/>
          <w:szCs w:val="28"/>
        </w:rPr>
        <w:t>7.1.6. Spagna.</w:t>
      </w:r>
    </w:p>
    <w:p w14:paraId="18DB322A" w14:textId="70AF4DE0" w:rsidR="00F23B52" w:rsidRPr="009C3984" w:rsidRDefault="00F23B52" w:rsidP="00723EBC">
      <w:pPr>
        <w:spacing w:after="0" w:line="240" w:lineRule="auto"/>
        <w:ind w:firstLine="708"/>
        <w:jc w:val="both"/>
        <w:rPr>
          <w:rFonts w:ascii="Garamond" w:hAnsi="Garamond" w:cs="Times New Roman"/>
          <w:sz w:val="28"/>
          <w:szCs w:val="28"/>
        </w:rPr>
      </w:pPr>
      <w:r w:rsidRPr="009C3984">
        <w:rPr>
          <w:rFonts w:ascii="Garamond" w:hAnsi="Garamond" w:cs="Times New Roman"/>
          <w:sz w:val="28"/>
          <w:szCs w:val="28"/>
        </w:rPr>
        <w:t>7.1.7. Tabella</w:t>
      </w:r>
    </w:p>
    <w:p w14:paraId="4602F6DC" w14:textId="3F50B1FA" w:rsidR="001C3346" w:rsidRPr="009C3984" w:rsidRDefault="001C3346" w:rsidP="001C3346">
      <w:pPr>
        <w:pStyle w:val="Paragrafoelenco"/>
        <w:numPr>
          <w:ilvl w:val="0"/>
          <w:numId w:val="11"/>
        </w:numPr>
        <w:spacing w:after="0" w:line="240" w:lineRule="auto"/>
        <w:jc w:val="both"/>
        <w:rPr>
          <w:rFonts w:ascii="Garamond" w:hAnsi="Garamond" w:cs="Times New Roman"/>
          <w:sz w:val="28"/>
          <w:szCs w:val="28"/>
        </w:rPr>
      </w:pPr>
      <w:r w:rsidRPr="009C3984">
        <w:rPr>
          <w:rFonts w:ascii="Garamond" w:hAnsi="Garamond" w:cs="Times New Roman"/>
          <w:sz w:val="28"/>
          <w:szCs w:val="28"/>
        </w:rPr>
        <w:t>La giurisprudenza della Corte di Giustizia dell’Unione europea</w:t>
      </w:r>
      <w:r w:rsidR="00CB7F91" w:rsidRPr="009C3984">
        <w:rPr>
          <w:rFonts w:ascii="Garamond" w:hAnsi="Garamond" w:cs="Times New Roman"/>
          <w:sz w:val="28"/>
          <w:szCs w:val="28"/>
        </w:rPr>
        <w:t>…</w:t>
      </w:r>
      <w:r w:rsidR="00EA67D6" w:rsidRPr="009C3984">
        <w:rPr>
          <w:rFonts w:ascii="Garamond" w:hAnsi="Garamond" w:cs="Times New Roman"/>
          <w:sz w:val="28"/>
          <w:szCs w:val="28"/>
        </w:rPr>
        <w:t>………….pag. 3</w:t>
      </w:r>
      <w:r w:rsidR="00C309A2">
        <w:rPr>
          <w:rFonts w:ascii="Garamond" w:hAnsi="Garamond" w:cs="Times New Roman"/>
          <w:sz w:val="28"/>
          <w:szCs w:val="28"/>
        </w:rPr>
        <w:t>4</w:t>
      </w:r>
      <w:r w:rsidR="00CB7F91" w:rsidRPr="009C3984">
        <w:rPr>
          <w:rFonts w:ascii="Garamond" w:hAnsi="Garamond" w:cs="Times New Roman"/>
          <w:sz w:val="28"/>
          <w:szCs w:val="28"/>
        </w:rPr>
        <w:t>.</w:t>
      </w:r>
    </w:p>
    <w:p w14:paraId="4B9213BD" w14:textId="01E3FE2A" w:rsidR="001C3346" w:rsidRPr="009C3984" w:rsidRDefault="001C3346" w:rsidP="003A4A61">
      <w:pPr>
        <w:pStyle w:val="Paragrafoelenco"/>
        <w:numPr>
          <w:ilvl w:val="0"/>
          <w:numId w:val="11"/>
        </w:numPr>
        <w:spacing w:after="0" w:line="240" w:lineRule="auto"/>
        <w:jc w:val="both"/>
        <w:rPr>
          <w:rFonts w:ascii="Garamond" w:hAnsi="Garamond" w:cs="Times New Roman"/>
          <w:sz w:val="28"/>
          <w:szCs w:val="28"/>
        </w:rPr>
      </w:pPr>
      <w:r w:rsidRPr="009C3984">
        <w:rPr>
          <w:rFonts w:ascii="Garamond" w:hAnsi="Garamond" w:cs="Times New Roman"/>
          <w:sz w:val="28"/>
          <w:szCs w:val="28"/>
        </w:rPr>
        <w:t>La tutela del diritto di proprietà e le concessioni demaniali marittime: riflessioni alla luce della giurisprudenza della Corte EDU</w:t>
      </w:r>
      <w:r w:rsidR="00CB7F91" w:rsidRPr="009C3984">
        <w:rPr>
          <w:rFonts w:ascii="Garamond" w:hAnsi="Garamond" w:cs="Times New Roman"/>
          <w:sz w:val="28"/>
          <w:szCs w:val="28"/>
        </w:rPr>
        <w:t>…</w:t>
      </w:r>
      <w:r w:rsidR="00EA67D6" w:rsidRPr="009C3984">
        <w:rPr>
          <w:rFonts w:ascii="Garamond" w:hAnsi="Garamond" w:cs="Times New Roman"/>
          <w:sz w:val="28"/>
          <w:szCs w:val="28"/>
        </w:rPr>
        <w:t>……………………………...pag. 3</w:t>
      </w:r>
      <w:r w:rsidR="00C309A2">
        <w:rPr>
          <w:rFonts w:ascii="Garamond" w:hAnsi="Garamond" w:cs="Times New Roman"/>
          <w:sz w:val="28"/>
          <w:szCs w:val="28"/>
        </w:rPr>
        <w:t>9</w:t>
      </w:r>
      <w:r w:rsidR="00CB7F91" w:rsidRPr="009C3984">
        <w:rPr>
          <w:rFonts w:ascii="Garamond" w:hAnsi="Garamond" w:cs="Times New Roman"/>
          <w:sz w:val="28"/>
          <w:szCs w:val="28"/>
        </w:rPr>
        <w:t>.</w:t>
      </w:r>
    </w:p>
    <w:p w14:paraId="5364FCF6" w14:textId="41E09E06" w:rsidR="00EC75ED" w:rsidRPr="009C3984" w:rsidRDefault="00EC75ED" w:rsidP="00EC75ED">
      <w:pPr>
        <w:pStyle w:val="Paragrafoelenco"/>
        <w:spacing w:after="0" w:line="240" w:lineRule="auto"/>
        <w:jc w:val="both"/>
        <w:rPr>
          <w:rFonts w:ascii="Garamond" w:hAnsi="Garamond" w:cs="Times New Roman"/>
          <w:sz w:val="28"/>
          <w:szCs w:val="28"/>
        </w:rPr>
      </w:pPr>
      <w:r w:rsidRPr="009C3984">
        <w:rPr>
          <w:rFonts w:ascii="Garamond" w:hAnsi="Garamond" w:cs="Times New Roman"/>
          <w:sz w:val="28"/>
          <w:szCs w:val="28"/>
        </w:rPr>
        <w:t>9.1</w:t>
      </w:r>
      <w:r w:rsidR="00BC28F3" w:rsidRPr="009C3984">
        <w:rPr>
          <w:rFonts w:ascii="Garamond" w:hAnsi="Garamond" w:cs="Times New Roman"/>
          <w:sz w:val="28"/>
          <w:szCs w:val="28"/>
        </w:rPr>
        <w:t xml:space="preserve"> Il quadro normativo e il ruolo della CEDU</w:t>
      </w:r>
    </w:p>
    <w:p w14:paraId="0F1DFCC7" w14:textId="0EF46E99" w:rsidR="00EC75ED" w:rsidRPr="009C3984" w:rsidRDefault="00EC75ED" w:rsidP="00EC75ED">
      <w:pPr>
        <w:pStyle w:val="Paragrafoelenco"/>
        <w:spacing w:after="0" w:line="240" w:lineRule="auto"/>
        <w:jc w:val="both"/>
        <w:rPr>
          <w:rFonts w:ascii="Garamond" w:hAnsi="Garamond" w:cs="Times New Roman"/>
          <w:sz w:val="28"/>
          <w:szCs w:val="28"/>
        </w:rPr>
      </w:pPr>
      <w:r w:rsidRPr="009C3984">
        <w:rPr>
          <w:rFonts w:ascii="Garamond" w:hAnsi="Garamond" w:cs="Times New Roman"/>
          <w:sz w:val="28"/>
          <w:szCs w:val="28"/>
        </w:rPr>
        <w:t>9.2</w:t>
      </w:r>
      <w:r w:rsidR="00BC28F3" w:rsidRPr="009C3984">
        <w:rPr>
          <w:rFonts w:ascii="Garamond" w:hAnsi="Garamond" w:cs="Times New Roman"/>
          <w:sz w:val="28"/>
          <w:szCs w:val="28"/>
        </w:rPr>
        <w:t xml:space="preserve"> La giurisprudenza della Corte EDU: analisi delle principali sentenze.</w:t>
      </w:r>
    </w:p>
    <w:p w14:paraId="2FF43BED" w14:textId="40A7898A" w:rsidR="00EC75ED" w:rsidRPr="009C3984" w:rsidRDefault="00EC75ED" w:rsidP="00EC75ED">
      <w:pPr>
        <w:pStyle w:val="Paragrafoelenco"/>
        <w:spacing w:after="0" w:line="240" w:lineRule="auto"/>
        <w:jc w:val="both"/>
        <w:rPr>
          <w:rFonts w:ascii="Garamond" w:hAnsi="Garamond" w:cs="Times New Roman"/>
          <w:sz w:val="28"/>
          <w:szCs w:val="28"/>
        </w:rPr>
      </w:pPr>
      <w:r w:rsidRPr="009C3984">
        <w:rPr>
          <w:rFonts w:ascii="Garamond" w:hAnsi="Garamond" w:cs="Times New Roman"/>
          <w:sz w:val="28"/>
          <w:szCs w:val="28"/>
        </w:rPr>
        <w:t>9.3</w:t>
      </w:r>
      <w:r w:rsidR="00BC28F3" w:rsidRPr="009C3984">
        <w:rPr>
          <w:rFonts w:ascii="Garamond" w:hAnsi="Garamond" w:cs="Times New Roman"/>
          <w:sz w:val="28"/>
          <w:szCs w:val="28"/>
        </w:rPr>
        <w:t xml:space="preserve"> Le implicazioni della giurisprudenza della Corte EDU sulle concessioni demaniali marittime.</w:t>
      </w:r>
    </w:p>
    <w:p w14:paraId="50FC79C2" w14:textId="275E1521" w:rsidR="00EC75ED" w:rsidRPr="009C3984" w:rsidRDefault="00EC75ED" w:rsidP="00EC75ED">
      <w:pPr>
        <w:pStyle w:val="Paragrafoelenco"/>
        <w:spacing w:after="0" w:line="240" w:lineRule="auto"/>
        <w:jc w:val="both"/>
        <w:rPr>
          <w:rFonts w:ascii="Garamond" w:hAnsi="Garamond" w:cs="Times New Roman"/>
          <w:sz w:val="28"/>
          <w:szCs w:val="28"/>
        </w:rPr>
      </w:pPr>
      <w:r w:rsidRPr="009C3984">
        <w:rPr>
          <w:rFonts w:ascii="Garamond" w:hAnsi="Garamond" w:cs="Times New Roman"/>
          <w:sz w:val="28"/>
          <w:szCs w:val="28"/>
        </w:rPr>
        <w:t xml:space="preserve">9.4 </w:t>
      </w:r>
      <w:r w:rsidR="000D0D9E" w:rsidRPr="009C3984">
        <w:rPr>
          <w:rFonts w:ascii="Garamond" w:hAnsi="Garamond" w:cs="Times New Roman"/>
          <w:sz w:val="28"/>
          <w:szCs w:val="28"/>
        </w:rPr>
        <w:t>Considerazioni</w:t>
      </w:r>
      <w:r w:rsidR="00D276E2" w:rsidRPr="009C3984">
        <w:rPr>
          <w:rFonts w:ascii="Garamond" w:hAnsi="Garamond" w:cs="Times New Roman"/>
          <w:sz w:val="28"/>
          <w:szCs w:val="28"/>
        </w:rPr>
        <w:t xml:space="preserve"> finali</w:t>
      </w:r>
      <w:r w:rsidRPr="009C3984">
        <w:rPr>
          <w:rFonts w:ascii="Garamond" w:hAnsi="Garamond" w:cs="Times New Roman"/>
          <w:sz w:val="28"/>
          <w:szCs w:val="28"/>
        </w:rPr>
        <w:t>.</w:t>
      </w:r>
    </w:p>
    <w:p w14:paraId="14B5AB81" w14:textId="1482219B" w:rsidR="00566CFC" w:rsidRPr="009C3984" w:rsidRDefault="00566CFC" w:rsidP="000152AE">
      <w:pPr>
        <w:spacing w:after="0" w:line="240" w:lineRule="auto"/>
        <w:jc w:val="both"/>
        <w:rPr>
          <w:rFonts w:ascii="Garamond" w:hAnsi="Garamond" w:cs="Times New Roman"/>
          <w:b/>
          <w:sz w:val="30"/>
          <w:szCs w:val="30"/>
        </w:rPr>
      </w:pPr>
    </w:p>
    <w:p w14:paraId="5F4FFA38" w14:textId="77777777" w:rsidR="00CB7F91" w:rsidRPr="009C3984" w:rsidRDefault="00CB7F91" w:rsidP="000152AE">
      <w:pPr>
        <w:spacing w:after="0" w:line="240" w:lineRule="auto"/>
        <w:jc w:val="both"/>
        <w:rPr>
          <w:rFonts w:ascii="Garamond" w:hAnsi="Garamond" w:cs="Times New Roman"/>
          <w:sz w:val="28"/>
          <w:szCs w:val="28"/>
        </w:rPr>
      </w:pPr>
    </w:p>
    <w:p w14:paraId="52EF83D3" w14:textId="707C2E1C" w:rsidR="00CB7F91" w:rsidRPr="009C3984" w:rsidRDefault="00CB7F91" w:rsidP="00CB7F91">
      <w:pPr>
        <w:spacing w:after="0" w:line="240" w:lineRule="auto"/>
        <w:jc w:val="center"/>
        <w:rPr>
          <w:rFonts w:ascii="Garamond" w:hAnsi="Garamond" w:cs="Times New Roman"/>
          <w:sz w:val="28"/>
          <w:szCs w:val="28"/>
        </w:rPr>
      </w:pPr>
      <w:r w:rsidRPr="009C3984">
        <w:rPr>
          <w:rFonts w:ascii="Garamond" w:hAnsi="Garamond" w:cs="Times New Roman"/>
          <w:sz w:val="28"/>
          <w:szCs w:val="28"/>
        </w:rPr>
        <w:t>Abstract</w:t>
      </w:r>
    </w:p>
    <w:p w14:paraId="4AB888BF" w14:textId="6FFCDE78" w:rsidR="000152AE" w:rsidRPr="009C3984" w:rsidRDefault="000152AE" w:rsidP="000152AE">
      <w:pPr>
        <w:spacing w:after="0" w:line="240" w:lineRule="auto"/>
        <w:jc w:val="both"/>
        <w:rPr>
          <w:rFonts w:ascii="Garamond" w:hAnsi="Garamond" w:cs="Times New Roman"/>
          <w:i/>
          <w:sz w:val="28"/>
          <w:szCs w:val="28"/>
        </w:rPr>
      </w:pPr>
      <w:r w:rsidRPr="009C3984">
        <w:rPr>
          <w:rFonts w:ascii="Garamond" w:hAnsi="Garamond" w:cs="Times New Roman"/>
          <w:i/>
          <w:sz w:val="28"/>
          <w:szCs w:val="28"/>
        </w:rPr>
        <w:t>Il presente contributo ha l’obiettivo di fornire una visione panoramica sulle concessioni demaniali marittime</w:t>
      </w:r>
      <w:r w:rsidRPr="009C3984">
        <w:rPr>
          <w:i/>
        </w:rPr>
        <w:t xml:space="preserve"> </w:t>
      </w:r>
      <w:r w:rsidRPr="009C3984">
        <w:rPr>
          <w:rFonts w:ascii="Garamond" w:hAnsi="Garamond" w:cs="Times New Roman"/>
          <w:i/>
          <w:sz w:val="28"/>
          <w:szCs w:val="28"/>
        </w:rPr>
        <w:t>per finalità turistico-ricreative.</w:t>
      </w:r>
    </w:p>
    <w:p w14:paraId="2BF5F9A8" w14:textId="70D1C9D9" w:rsidR="000152AE" w:rsidRPr="009C3984" w:rsidRDefault="000152AE" w:rsidP="000152AE">
      <w:pPr>
        <w:spacing w:after="0" w:line="240" w:lineRule="auto"/>
        <w:jc w:val="both"/>
        <w:rPr>
          <w:rFonts w:ascii="Garamond" w:hAnsi="Garamond" w:cs="Times New Roman"/>
          <w:i/>
          <w:sz w:val="28"/>
          <w:szCs w:val="28"/>
        </w:rPr>
      </w:pPr>
      <w:r w:rsidRPr="009C3984">
        <w:rPr>
          <w:rFonts w:ascii="Garamond" w:hAnsi="Garamond" w:cs="Times New Roman"/>
          <w:i/>
          <w:sz w:val="28"/>
          <w:szCs w:val="28"/>
        </w:rPr>
        <w:t xml:space="preserve">Dapprima, esso ripercorre brevemente l’evoluzione della disciplina di settore e </w:t>
      </w:r>
      <w:r w:rsidR="00566CFC" w:rsidRPr="009C3984">
        <w:rPr>
          <w:rFonts w:ascii="Garamond" w:hAnsi="Garamond" w:cs="Times New Roman"/>
          <w:i/>
          <w:sz w:val="28"/>
          <w:szCs w:val="28"/>
        </w:rPr>
        <w:t>l</w:t>
      </w:r>
      <w:r w:rsidRPr="009C3984">
        <w:rPr>
          <w:rFonts w:ascii="Garamond" w:hAnsi="Garamond" w:cs="Times New Roman"/>
          <w:i/>
          <w:sz w:val="28"/>
          <w:szCs w:val="28"/>
        </w:rPr>
        <w:t>e principali sentenze delle giurisdizioni superiori italiane ed eurounitaria fino alle ultime modifiche legislative ed alle riflessioni che queste hanno provocato nel dibattito dottrinale.</w:t>
      </w:r>
    </w:p>
    <w:p w14:paraId="52FCD0B6" w14:textId="077E7B22" w:rsidR="000152AE" w:rsidRPr="009C3984" w:rsidRDefault="000152AE" w:rsidP="000152AE">
      <w:pPr>
        <w:spacing w:after="0" w:line="240" w:lineRule="auto"/>
        <w:jc w:val="both"/>
        <w:rPr>
          <w:rFonts w:ascii="Garamond" w:hAnsi="Garamond" w:cs="Times New Roman"/>
          <w:i/>
          <w:sz w:val="28"/>
          <w:szCs w:val="28"/>
        </w:rPr>
      </w:pPr>
      <w:r w:rsidRPr="009C3984">
        <w:rPr>
          <w:rFonts w:ascii="Garamond" w:hAnsi="Garamond" w:cs="Times New Roman"/>
          <w:i/>
          <w:sz w:val="28"/>
          <w:szCs w:val="28"/>
        </w:rPr>
        <w:t>Di seguito, analizza le più recenti pronunce del giudice amministrativo di primo grado che hanno fatt</w:t>
      </w:r>
      <w:r w:rsidR="00566CFC" w:rsidRPr="009C3984">
        <w:rPr>
          <w:rFonts w:ascii="Garamond" w:hAnsi="Garamond" w:cs="Times New Roman"/>
          <w:i/>
          <w:sz w:val="28"/>
          <w:szCs w:val="28"/>
        </w:rPr>
        <w:t>o</w:t>
      </w:r>
      <w:r w:rsidRPr="009C3984">
        <w:rPr>
          <w:rFonts w:ascii="Garamond" w:hAnsi="Garamond" w:cs="Times New Roman"/>
          <w:i/>
          <w:sz w:val="28"/>
          <w:szCs w:val="28"/>
        </w:rPr>
        <w:t xml:space="preserve"> applicazione del</w:t>
      </w:r>
      <w:r w:rsidR="00566CFC" w:rsidRPr="009C3984">
        <w:rPr>
          <w:rFonts w:ascii="Garamond" w:hAnsi="Garamond" w:cs="Times New Roman"/>
          <w:i/>
          <w:sz w:val="28"/>
          <w:szCs w:val="28"/>
        </w:rPr>
        <w:t>la normativa vigente valutando in che modo esse hanno dato una prima risposta agli interrogativi posti dagli interpreti.</w:t>
      </w:r>
    </w:p>
    <w:p w14:paraId="1A4678BB" w14:textId="12E3D843" w:rsidR="00566CFC" w:rsidRPr="009C3984" w:rsidRDefault="00566CFC" w:rsidP="000152AE">
      <w:pPr>
        <w:spacing w:after="0" w:line="240" w:lineRule="auto"/>
        <w:jc w:val="both"/>
        <w:rPr>
          <w:rFonts w:ascii="Garamond" w:hAnsi="Garamond" w:cs="Times New Roman"/>
          <w:i/>
          <w:sz w:val="28"/>
          <w:szCs w:val="28"/>
        </w:rPr>
      </w:pPr>
      <w:r w:rsidRPr="009C3984">
        <w:rPr>
          <w:rFonts w:ascii="Garamond" w:hAnsi="Garamond" w:cs="Times New Roman"/>
          <w:i/>
          <w:sz w:val="28"/>
          <w:szCs w:val="28"/>
        </w:rPr>
        <w:t>Da ultimo, realizza un’approfondita esegesi della giurisprudenza della Corte costituzionale, della Corte di Giustizia dell’Unione europea e della Corte europea dei Diritti dell’Uomo in materia di concessioni balneari, di concessioni in generale e di possibilità di limitazione del diritto di proprietà.</w:t>
      </w:r>
    </w:p>
    <w:p w14:paraId="49EC46D3" w14:textId="77777777" w:rsidR="00CB7F91" w:rsidRPr="009C3984" w:rsidRDefault="00CB7F91" w:rsidP="000152AE">
      <w:pPr>
        <w:spacing w:after="0" w:line="240" w:lineRule="auto"/>
        <w:jc w:val="both"/>
        <w:rPr>
          <w:rFonts w:ascii="Garamond" w:hAnsi="Garamond" w:cs="Times New Roman"/>
          <w:i/>
          <w:sz w:val="28"/>
          <w:szCs w:val="28"/>
        </w:rPr>
      </w:pPr>
    </w:p>
    <w:p w14:paraId="638CC8EF" w14:textId="25380750" w:rsidR="000152AE" w:rsidRPr="009C3984" w:rsidRDefault="000152AE" w:rsidP="003C2366">
      <w:pPr>
        <w:spacing w:after="0" w:line="240" w:lineRule="auto"/>
        <w:ind w:firstLine="709"/>
        <w:jc w:val="both"/>
        <w:rPr>
          <w:rFonts w:ascii="Garamond" w:hAnsi="Garamond" w:cs="Times New Roman"/>
          <w:b/>
          <w:sz w:val="28"/>
          <w:szCs w:val="28"/>
        </w:rPr>
      </w:pPr>
    </w:p>
    <w:p w14:paraId="717D59CE" w14:textId="4E3A87E8" w:rsidR="008A5716" w:rsidRPr="009C3984" w:rsidRDefault="008A5716" w:rsidP="008A5716">
      <w:pPr>
        <w:spacing w:after="0" w:line="240" w:lineRule="auto"/>
        <w:ind w:firstLine="709"/>
        <w:jc w:val="center"/>
        <w:rPr>
          <w:rFonts w:ascii="Garamond" w:hAnsi="Garamond" w:cs="Times New Roman"/>
          <w:b/>
          <w:sz w:val="28"/>
          <w:szCs w:val="28"/>
        </w:rPr>
      </w:pPr>
      <w:r w:rsidRPr="009C3984">
        <w:rPr>
          <w:rFonts w:ascii="Garamond" w:hAnsi="Garamond" w:cs="Times New Roman"/>
          <w:b/>
          <w:sz w:val="28"/>
          <w:szCs w:val="28"/>
        </w:rPr>
        <w:t>PARTE I</w:t>
      </w:r>
    </w:p>
    <w:p w14:paraId="31D008BD" w14:textId="77777777" w:rsidR="008A5716" w:rsidRPr="009C3984" w:rsidRDefault="008A5716" w:rsidP="003C2366">
      <w:pPr>
        <w:spacing w:after="0" w:line="240" w:lineRule="auto"/>
        <w:ind w:firstLine="709"/>
        <w:jc w:val="both"/>
        <w:rPr>
          <w:rFonts w:ascii="Garamond" w:hAnsi="Garamond" w:cs="Times New Roman"/>
          <w:b/>
          <w:sz w:val="28"/>
          <w:szCs w:val="28"/>
        </w:rPr>
      </w:pPr>
    </w:p>
    <w:p w14:paraId="14D5B048" w14:textId="49E8494B" w:rsidR="00F00A12" w:rsidRPr="009C3984" w:rsidRDefault="00F00A12" w:rsidP="003C2366">
      <w:pPr>
        <w:spacing w:after="0" w:line="240" w:lineRule="auto"/>
        <w:ind w:firstLine="709"/>
        <w:jc w:val="both"/>
        <w:rPr>
          <w:rFonts w:ascii="Garamond" w:hAnsi="Garamond" w:cs="Times New Roman"/>
          <w:b/>
          <w:i/>
          <w:sz w:val="28"/>
          <w:szCs w:val="28"/>
        </w:rPr>
      </w:pPr>
      <w:r w:rsidRPr="009C3984">
        <w:rPr>
          <w:rFonts w:ascii="Garamond" w:hAnsi="Garamond" w:cs="Times New Roman"/>
          <w:b/>
          <w:sz w:val="28"/>
          <w:szCs w:val="28"/>
        </w:rPr>
        <w:t xml:space="preserve">§ 1 – </w:t>
      </w:r>
      <w:r w:rsidR="00566CFC" w:rsidRPr="009C3984">
        <w:rPr>
          <w:rFonts w:ascii="Garamond" w:hAnsi="Garamond" w:cs="Times New Roman"/>
          <w:b/>
          <w:i/>
          <w:sz w:val="28"/>
          <w:szCs w:val="28"/>
          <w:u w:val="single"/>
        </w:rPr>
        <w:t>E</w:t>
      </w:r>
      <w:r w:rsidRPr="009C3984">
        <w:rPr>
          <w:rFonts w:ascii="Garamond" w:hAnsi="Garamond" w:cs="Times New Roman"/>
          <w:b/>
          <w:i/>
          <w:sz w:val="28"/>
          <w:szCs w:val="28"/>
          <w:u w:val="single"/>
        </w:rPr>
        <w:t>xcursus</w:t>
      </w:r>
      <w:r w:rsidRPr="009C3984">
        <w:rPr>
          <w:rFonts w:ascii="Garamond" w:hAnsi="Garamond" w:cs="Times New Roman"/>
          <w:b/>
          <w:sz w:val="28"/>
          <w:szCs w:val="28"/>
          <w:u w:val="single"/>
        </w:rPr>
        <w:t xml:space="preserve"> </w:t>
      </w:r>
      <w:r w:rsidRPr="009C3984">
        <w:rPr>
          <w:rFonts w:ascii="Garamond" w:hAnsi="Garamond" w:cs="Times New Roman"/>
          <w:b/>
          <w:i/>
          <w:sz w:val="28"/>
          <w:szCs w:val="28"/>
          <w:u w:val="single"/>
        </w:rPr>
        <w:t>storico</w:t>
      </w:r>
      <w:r w:rsidRPr="009C3984">
        <w:rPr>
          <w:rFonts w:ascii="Garamond" w:hAnsi="Garamond" w:cs="Times New Roman"/>
          <w:b/>
          <w:i/>
          <w:sz w:val="28"/>
          <w:szCs w:val="28"/>
        </w:rPr>
        <w:t>.</w:t>
      </w:r>
    </w:p>
    <w:p w14:paraId="64D870DA" w14:textId="77777777" w:rsidR="00F00A12" w:rsidRPr="009C3984" w:rsidRDefault="00F00A12" w:rsidP="003C2366">
      <w:pPr>
        <w:spacing w:after="0" w:line="240" w:lineRule="auto"/>
        <w:ind w:firstLine="709"/>
        <w:jc w:val="both"/>
        <w:rPr>
          <w:rFonts w:ascii="Garamond" w:hAnsi="Garamond" w:cs="Times New Roman"/>
          <w:sz w:val="28"/>
          <w:szCs w:val="28"/>
        </w:rPr>
      </w:pPr>
    </w:p>
    <w:p w14:paraId="5E6E4BF6" w14:textId="293D22DD" w:rsidR="003A0B7B" w:rsidRDefault="003A0B7B" w:rsidP="00FD2E6B">
      <w:pPr>
        <w:spacing w:after="0" w:line="240" w:lineRule="auto"/>
        <w:ind w:firstLine="709"/>
        <w:jc w:val="both"/>
        <w:rPr>
          <w:rFonts w:ascii="Garamond" w:hAnsi="Garamond" w:cs="Times New Roman"/>
          <w:sz w:val="28"/>
          <w:szCs w:val="28"/>
        </w:rPr>
      </w:pPr>
      <w:r w:rsidRPr="009C3984">
        <w:rPr>
          <w:rFonts w:ascii="Garamond" w:hAnsi="Garamond" w:cs="Times New Roman"/>
          <w:sz w:val="28"/>
          <w:szCs w:val="28"/>
        </w:rPr>
        <w:t xml:space="preserve">Le c.d. “concessioni-contratto” di beni demaniali, nel cui </w:t>
      </w:r>
      <w:r w:rsidRPr="009C3984">
        <w:rPr>
          <w:rFonts w:ascii="Garamond" w:hAnsi="Garamond" w:cs="Times New Roman"/>
          <w:i/>
          <w:sz w:val="28"/>
          <w:szCs w:val="28"/>
        </w:rPr>
        <w:t>genus</w:t>
      </w:r>
      <w:r w:rsidRPr="009C3984">
        <w:rPr>
          <w:rFonts w:ascii="Garamond" w:hAnsi="Garamond" w:cs="Times New Roman"/>
          <w:sz w:val="28"/>
          <w:szCs w:val="28"/>
        </w:rPr>
        <w:t xml:space="preserve"> rientrano le concessioni demaniali marittime per finalità turistico-ricreative, per il diritto eurounitario rientrano nel novero delle “autorizzazioni”, </w:t>
      </w:r>
      <w:r w:rsidR="00217AD4">
        <w:rPr>
          <w:rFonts w:ascii="Garamond" w:hAnsi="Garamond" w:cs="Times New Roman"/>
          <w:sz w:val="28"/>
          <w:szCs w:val="28"/>
        </w:rPr>
        <w:t>le quali hanno l’</w:t>
      </w:r>
      <w:r w:rsidR="00AD6442" w:rsidRPr="00AD6442">
        <w:rPr>
          <w:rFonts w:ascii="Garamond" w:hAnsi="Garamond" w:cs="Times New Roman"/>
          <w:sz w:val="28"/>
          <w:szCs w:val="28"/>
        </w:rPr>
        <w:t xml:space="preserve">effetto </w:t>
      </w:r>
      <w:r w:rsidR="00217AD4">
        <w:rPr>
          <w:rFonts w:ascii="Garamond" w:hAnsi="Garamond" w:cs="Times New Roman"/>
          <w:sz w:val="28"/>
          <w:szCs w:val="28"/>
        </w:rPr>
        <w:t>di legittimare</w:t>
      </w:r>
      <w:r w:rsidR="00AD6442" w:rsidRPr="00AD6442">
        <w:rPr>
          <w:rFonts w:ascii="Garamond" w:hAnsi="Garamond" w:cs="Times New Roman"/>
          <w:sz w:val="28"/>
          <w:szCs w:val="28"/>
        </w:rPr>
        <w:t xml:space="preserve"> il privato a svolgere un’attività che prima non poteva espletare</w:t>
      </w:r>
      <w:r w:rsidR="00FD2E6B">
        <w:rPr>
          <w:rStyle w:val="Rimandonotaapidipagina"/>
          <w:rFonts w:ascii="Garamond" w:hAnsi="Garamond" w:cs="Times New Roman"/>
          <w:sz w:val="28"/>
          <w:szCs w:val="28"/>
        </w:rPr>
        <w:footnoteReference w:id="1"/>
      </w:r>
      <w:r w:rsidR="00217AD4">
        <w:rPr>
          <w:rFonts w:ascii="Garamond" w:hAnsi="Garamond" w:cs="Times New Roman"/>
          <w:sz w:val="28"/>
          <w:szCs w:val="28"/>
        </w:rPr>
        <w:t>.</w:t>
      </w:r>
      <w:r w:rsidR="00FD2E6B">
        <w:rPr>
          <w:rFonts w:ascii="Garamond" w:hAnsi="Garamond" w:cs="Times New Roman"/>
          <w:sz w:val="28"/>
          <w:szCs w:val="28"/>
        </w:rPr>
        <w:t xml:space="preserve"> </w:t>
      </w:r>
      <w:r w:rsidR="00217AD4">
        <w:rPr>
          <w:rFonts w:ascii="Garamond" w:hAnsi="Garamond" w:cs="Times New Roman"/>
          <w:sz w:val="28"/>
          <w:szCs w:val="28"/>
        </w:rPr>
        <w:t>In qualità di autorizzazioni dette concessioni sono</w:t>
      </w:r>
      <w:r w:rsidRPr="009C3984">
        <w:rPr>
          <w:rFonts w:ascii="Garamond" w:hAnsi="Garamond" w:cs="Times New Roman"/>
          <w:sz w:val="28"/>
          <w:szCs w:val="28"/>
        </w:rPr>
        <w:t xml:space="preserve"> soggette alla direttiva 2006/123/CE (cd. direttiva </w:t>
      </w:r>
      <w:r w:rsidRPr="009C3984">
        <w:rPr>
          <w:rFonts w:ascii="Garamond" w:hAnsi="Garamond" w:cs="Times New Roman"/>
          <w:i/>
          <w:sz w:val="28"/>
          <w:szCs w:val="28"/>
        </w:rPr>
        <w:t>Bolkestein</w:t>
      </w:r>
      <w:r w:rsidR="00217AD4">
        <w:rPr>
          <w:rFonts w:ascii="Garamond" w:hAnsi="Garamond" w:cs="Times New Roman"/>
          <w:sz w:val="28"/>
          <w:szCs w:val="28"/>
        </w:rPr>
        <w:t>)</w:t>
      </w:r>
      <w:r w:rsidRPr="009C3984">
        <w:rPr>
          <w:rFonts w:ascii="Garamond" w:hAnsi="Garamond" w:cs="Times New Roman"/>
          <w:sz w:val="28"/>
          <w:szCs w:val="28"/>
        </w:rPr>
        <w:t xml:space="preserve"> e al conseguente obbligo di gara di cui all’art. 12 della direttiva</w:t>
      </w:r>
      <w:r w:rsidRPr="009C3984">
        <w:rPr>
          <w:rStyle w:val="Rimandonotaapidipagina"/>
          <w:rFonts w:ascii="Garamond" w:hAnsi="Garamond" w:cs="Times New Roman"/>
          <w:sz w:val="28"/>
          <w:szCs w:val="28"/>
        </w:rPr>
        <w:footnoteReference w:id="2"/>
      </w:r>
      <w:r w:rsidR="00F00A12" w:rsidRPr="009C3984">
        <w:rPr>
          <w:rFonts w:ascii="Garamond" w:hAnsi="Garamond" w:cs="Times New Roman"/>
          <w:sz w:val="28"/>
          <w:szCs w:val="28"/>
        </w:rPr>
        <w:t>.</w:t>
      </w:r>
    </w:p>
    <w:p w14:paraId="02F6A4F2" w14:textId="2C7D2AC8" w:rsidR="00AD6442" w:rsidRPr="009C3984" w:rsidRDefault="00AD6442" w:rsidP="003C2366">
      <w:pPr>
        <w:spacing w:after="0" w:line="240" w:lineRule="auto"/>
        <w:ind w:firstLine="709"/>
        <w:jc w:val="both"/>
        <w:rPr>
          <w:rFonts w:ascii="Garamond" w:hAnsi="Garamond" w:cs="Times New Roman"/>
          <w:sz w:val="28"/>
          <w:szCs w:val="28"/>
        </w:rPr>
      </w:pPr>
      <w:r w:rsidRPr="00AD6442">
        <w:rPr>
          <w:rFonts w:ascii="Garamond" w:hAnsi="Garamond" w:cs="Times New Roman"/>
          <w:sz w:val="28"/>
          <w:szCs w:val="28"/>
        </w:rPr>
        <w:t>Quanto alla differenza tra autorizzazione e concessione – diversamente dalla giurisprudenza nazionale – la giurisprudenza eurounitaria pone l’accento non tanto sulla preesistenza del diritto nella sfera giuridica del soggetto privato, quanto sulla predeterminazione o meno dell’attività che il privato è legittimato a svolgere per effetto del provvedimento amministrativo: mentre nella concessione l’oggetto dell’autorizzazione è predeterminato dalla p.a., nell’autorizzazione l’oggetto è tendenzialmente libero.</w:t>
      </w:r>
    </w:p>
    <w:p w14:paraId="4865045E" w14:textId="77777777" w:rsidR="00F00A12" w:rsidRPr="009C3984" w:rsidRDefault="00F00A12" w:rsidP="003C2366">
      <w:pPr>
        <w:spacing w:after="0" w:line="240" w:lineRule="auto"/>
        <w:ind w:firstLine="709"/>
        <w:jc w:val="both"/>
        <w:rPr>
          <w:rFonts w:ascii="Garamond" w:hAnsi="Garamond" w:cs="Times New Roman"/>
          <w:sz w:val="28"/>
          <w:szCs w:val="28"/>
        </w:rPr>
      </w:pPr>
      <w:r w:rsidRPr="009C3984">
        <w:rPr>
          <w:rFonts w:ascii="Garamond" w:hAnsi="Garamond" w:cs="Times New Roman"/>
          <w:sz w:val="28"/>
          <w:szCs w:val="28"/>
        </w:rPr>
        <w:t xml:space="preserve">Si traccia qui di seguito un breve </w:t>
      </w:r>
      <w:r w:rsidRPr="009C3984">
        <w:rPr>
          <w:rFonts w:ascii="Garamond" w:hAnsi="Garamond" w:cs="Times New Roman"/>
          <w:i/>
          <w:sz w:val="28"/>
          <w:szCs w:val="28"/>
        </w:rPr>
        <w:t xml:space="preserve">excursus </w:t>
      </w:r>
      <w:r w:rsidRPr="009C3984">
        <w:rPr>
          <w:rFonts w:ascii="Garamond" w:hAnsi="Garamond" w:cs="Times New Roman"/>
          <w:sz w:val="28"/>
          <w:szCs w:val="28"/>
        </w:rPr>
        <w:t>storico della materia.</w:t>
      </w:r>
    </w:p>
    <w:p w14:paraId="6665687B" w14:textId="77777777" w:rsidR="003A0B7B" w:rsidRPr="009C3984" w:rsidRDefault="003A0B7B" w:rsidP="003C2366">
      <w:pPr>
        <w:spacing w:after="0" w:line="240" w:lineRule="auto"/>
        <w:jc w:val="both"/>
        <w:rPr>
          <w:rFonts w:ascii="Garamond" w:hAnsi="Garamond" w:cs="Times New Roman"/>
          <w:b/>
          <w:sz w:val="28"/>
          <w:szCs w:val="28"/>
          <w:u w:val="single"/>
        </w:rPr>
      </w:pPr>
    </w:p>
    <w:p w14:paraId="0B33230B" w14:textId="25D79FFD" w:rsidR="00AD6442"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t>L’</w:t>
      </w:r>
      <w:r w:rsidRPr="00D835B0">
        <w:rPr>
          <w:rFonts w:ascii="Garamond" w:hAnsi="Garamond" w:cs="Times New Roman"/>
          <w:b/>
          <w:sz w:val="28"/>
          <w:szCs w:val="28"/>
        </w:rPr>
        <w:t>art. 1, c. 18 d.l. 30/12/2009, n. 194, conv. in L. 26/02/2010, n. 25</w:t>
      </w:r>
      <w:r w:rsidRPr="00D835B0">
        <w:rPr>
          <w:rFonts w:ascii="Garamond" w:hAnsi="Garamond" w:cs="Times New Roman"/>
          <w:sz w:val="28"/>
          <w:szCs w:val="28"/>
        </w:rPr>
        <w:t xml:space="preserve"> e l’</w:t>
      </w:r>
      <w:r w:rsidRPr="00D835B0">
        <w:rPr>
          <w:rFonts w:ascii="Garamond" w:hAnsi="Garamond" w:cs="Times New Roman"/>
          <w:b/>
          <w:sz w:val="28"/>
          <w:szCs w:val="28"/>
        </w:rPr>
        <w:t>art. 34-</w:t>
      </w:r>
      <w:r w:rsidRPr="00D835B0">
        <w:rPr>
          <w:rFonts w:ascii="Garamond" w:hAnsi="Garamond" w:cs="Times New Roman"/>
          <w:b/>
          <w:i/>
          <w:sz w:val="28"/>
          <w:szCs w:val="28"/>
        </w:rPr>
        <w:t>duodecies</w:t>
      </w:r>
      <w:r w:rsidRPr="00D835B0">
        <w:rPr>
          <w:rFonts w:ascii="Garamond" w:hAnsi="Garamond" w:cs="Times New Roman"/>
          <w:b/>
          <w:sz w:val="28"/>
          <w:szCs w:val="28"/>
        </w:rPr>
        <w:t xml:space="preserve"> d.l. 18/10/2012, n. 179, conv. in L. 17/12/2012, n. 221</w:t>
      </w:r>
      <w:r w:rsidRPr="00D835B0">
        <w:rPr>
          <w:rFonts w:ascii="Garamond" w:hAnsi="Garamond" w:cs="Times New Roman"/>
          <w:sz w:val="28"/>
          <w:szCs w:val="28"/>
        </w:rPr>
        <w:t>, hanno prorogato fino al 31/12/2020 il termine di durata delle concessioni balneari in essere alla data di entrata in vigore del decreto.</w:t>
      </w:r>
    </w:p>
    <w:p w14:paraId="5C21676E" w14:textId="77777777" w:rsidR="00AD6442" w:rsidRPr="00D835B0" w:rsidRDefault="00AD6442" w:rsidP="00AD6442">
      <w:pPr>
        <w:spacing w:after="0" w:line="276" w:lineRule="auto"/>
        <w:jc w:val="both"/>
        <w:rPr>
          <w:rFonts w:ascii="Garamond" w:hAnsi="Garamond" w:cs="Times New Roman"/>
          <w:sz w:val="28"/>
          <w:szCs w:val="28"/>
        </w:rPr>
      </w:pPr>
    </w:p>
    <w:p w14:paraId="59116CE4" w14:textId="77777777" w:rsidR="00FD2E6B"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lastRenderedPageBreak/>
        <w:t>Con l’</w:t>
      </w:r>
      <w:r w:rsidRPr="00D835B0">
        <w:rPr>
          <w:rFonts w:ascii="Garamond" w:hAnsi="Garamond" w:cs="Times New Roman"/>
          <w:b/>
          <w:sz w:val="28"/>
          <w:szCs w:val="28"/>
        </w:rPr>
        <w:t>art. 11 L. 15/12/2011, n. 217</w:t>
      </w:r>
      <w:r w:rsidRPr="00D835B0">
        <w:rPr>
          <w:rFonts w:ascii="Garamond" w:hAnsi="Garamond" w:cs="Times New Roman"/>
          <w:sz w:val="28"/>
          <w:szCs w:val="28"/>
        </w:rPr>
        <w:t xml:space="preserve"> l’Italia, al fine di chiudere la procedura di infrazione n. 2008/4908, avviata ai sensi dell'art. 258 TFUE, ha introdotto una procedura per la riorganizzazione delle concessioni demaniali marittime.</w:t>
      </w:r>
    </w:p>
    <w:p w14:paraId="110AB77F" w14:textId="77777777" w:rsidR="00FD2E6B" w:rsidRDefault="00FD2E6B" w:rsidP="00AD6442">
      <w:pPr>
        <w:spacing w:after="0" w:line="276" w:lineRule="auto"/>
        <w:jc w:val="both"/>
        <w:rPr>
          <w:rFonts w:ascii="Garamond" w:hAnsi="Garamond" w:cs="Times New Roman"/>
          <w:sz w:val="28"/>
          <w:szCs w:val="28"/>
        </w:rPr>
      </w:pPr>
    </w:p>
    <w:p w14:paraId="39048994" w14:textId="66E8EE4C" w:rsidR="00AD6442" w:rsidRPr="00D835B0"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t>Ciononostante, l’art. 1, c. 18 d.l. 194/2009 e l’art. 34-</w:t>
      </w:r>
      <w:r w:rsidRPr="00D835B0">
        <w:rPr>
          <w:rFonts w:ascii="Garamond" w:hAnsi="Garamond" w:cs="Times New Roman"/>
          <w:i/>
          <w:sz w:val="28"/>
          <w:szCs w:val="28"/>
        </w:rPr>
        <w:t>duodecies</w:t>
      </w:r>
      <w:r w:rsidRPr="00D835B0">
        <w:rPr>
          <w:rFonts w:ascii="Garamond" w:hAnsi="Garamond" w:cs="Times New Roman"/>
          <w:sz w:val="28"/>
          <w:szCs w:val="28"/>
        </w:rPr>
        <w:t xml:space="preserve"> d.l. 179/2012 sono stati dichiarati contrari al diritto UE dalla </w:t>
      </w:r>
      <w:r w:rsidRPr="00D835B0">
        <w:rPr>
          <w:rFonts w:ascii="Garamond" w:hAnsi="Garamond" w:cs="Times New Roman"/>
          <w:b/>
          <w:sz w:val="28"/>
          <w:szCs w:val="28"/>
        </w:rPr>
        <w:t>sentenza della CGUE del 14/07/2016 (cause riunite C-458/14 e C-67/15, Promoimpresa)</w:t>
      </w:r>
      <w:r w:rsidRPr="00D835B0">
        <w:rPr>
          <w:rFonts w:ascii="Garamond" w:hAnsi="Garamond" w:cs="Times New Roman"/>
          <w:sz w:val="28"/>
          <w:szCs w:val="28"/>
        </w:rPr>
        <w:t>, secondo cui “</w:t>
      </w:r>
      <w:r w:rsidRPr="00D835B0">
        <w:rPr>
          <w:rFonts w:ascii="Garamond" w:hAnsi="Garamond" w:cs="Times New Roman"/>
          <w:i/>
          <w:sz w:val="28"/>
          <w:szCs w:val="28"/>
        </w:rPr>
        <w:t>la proroga automatica delle autorizzazioni demaniali marittime e lacuali in essere per attività turistico-ricreative equivale ad un rinnovo automatico delle concessioni e preclude lo svolgimento di una procedura di selezione concorrenziale tra i potenziali candidati. Un tale dispositivo contrasta con l'art. 12, parr. 1 e 2, della dir. 2006/123/CE del Parlamento europeo e del Consiglio, del 12 dicembre 2006, relativa ai servizi nel mercato interno</w:t>
      </w:r>
      <w:r w:rsidRPr="00D835B0">
        <w:rPr>
          <w:rStyle w:val="Rimandonotaapidipagina"/>
          <w:rFonts w:ascii="Garamond" w:hAnsi="Garamond" w:cs="Times New Roman"/>
          <w:i/>
          <w:sz w:val="28"/>
          <w:szCs w:val="28"/>
        </w:rPr>
        <w:footnoteReference w:id="3"/>
      </w:r>
      <w:r w:rsidRPr="00D835B0">
        <w:rPr>
          <w:rFonts w:ascii="Garamond" w:hAnsi="Garamond" w:cs="Times New Roman"/>
          <w:i/>
          <w:sz w:val="28"/>
          <w:szCs w:val="28"/>
        </w:rPr>
        <w:t xml:space="preserve">. L'art. 49 TFUE deve essere interpretato nel senso che osta a una normativa nazionale come quella che consente una proroga automatica delle concessioni demaniali per attività turistico-ricreative, </w:t>
      </w:r>
      <w:r w:rsidRPr="00D835B0">
        <w:rPr>
          <w:rFonts w:ascii="Garamond" w:hAnsi="Garamond" w:cs="Times New Roman"/>
          <w:i/>
          <w:sz w:val="28"/>
          <w:szCs w:val="28"/>
          <w:u w:val="single"/>
        </w:rPr>
        <w:t>nei limiti in cui tali concessioni presentano un interesse transfrontaliero certo</w:t>
      </w:r>
      <w:r w:rsidRPr="00D835B0">
        <w:rPr>
          <w:rFonts w:ascii="Garamond" w:hAnsi="Garamond" w:cs="Times New Roman"/>
          <w:sz w:val="28"/>
          <w:szCs w:val="28"/>
        </w:rPr>
        <w:t>”</w:t>
      </w:r>
      <w:r w:rsidR="002666AB">
        <w:rPr>
          <w:rStyle w:val="Rimandonotaapidipagina"/>
          <w:rFonts w:ascii="Garamond" w:hAnsi="Garamond" w:cs="Times New Roman"/>
          <w:sz w:val="28"/>
          <w:szCs w:val="28"/>
        </w:rPr>
        <w:footnoteReference w:id="4"/>
      </w:r>
      <w:r w:rsidRPr="00D835B0">
        <w:rPr>
          <w:rFonts w:ascii="Garamond" w:hAnsi="Garamond" w:cs="Times New Roman"/>
          <w:sz w:val="28"/>
          <w:szCs w:val="28"/>
        </w:rPr>
        <w:t>.</w:t>
      </w:r>
    </w:p>
    <w:p w14:paraId="7E1EC9E7" w14:textId="77777777" w:rsidR="00AD6442" w:rsidRPr="00D835B0" w:rsidRDefault="00AD6442" w:rsidP="00AD6442">
      <w:pPr>
        <w:spacing w:after="0" w:line="276" w:lineRule="auto"/>
        <w:jc w:val="both"/>
        <w:rPr>
          <w:rFonts w:ascii="Garamond" w:hAnsi="Garamond" w:cs="Times New Roman"/>
          <w:sz w:val="28"/>
          <w:szCs w:val="28"/>
        </w:rPr>
      </w:pPr>
    </w:p>
    <w:p w14:paraId="7E34ACA2" w14:textId="13CF3FF4" w:rsidR="00AD6442"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t>A seguito di tale pronuncia, il legislatore ha colmato il vuoto normativo con l’</w:t>
      </w:r>
      <w:r w:rsidRPr="00D835B0">
        <w:rPr>
          <w:rFonts w:ascii="Garamond" w:hAnsi="Garamond" w:cs="Times New Roman"/>
          <w:b/>
          <w:sz w:val="28"/>
          <w:szCs w:val="28"/>
        </w:rPr>
        <w:t>art. 24, c. 3-</w:t>
      </w:r>
      <w:r w:rsidRPr="00D835B0">
        <w:rPr>
          <w:rFonts w:ascii="Garamond" w:hAnsi="Garamond" w:cs="Times New Roman"/>
          <w:b/>
          <w:i/>
          <w:sz w:val="28"/>
          <w:szCs w:val="28"/>
        </w:rPr>
        <w:t>septies</w:t>
      </w:r>
      <w:r w:rsidR="00B44D3B">
        <w:rPr>
          <w:rFonts w:ascii="Garamond" w:hAnsi="Garamond" w:cs="Times New Roman"/>
          <w:b/>
          <w:sz w:val="28"/>
          <w:szCs w:val="28"/>
        </w:rPr>
        <w:t xml:space="preserve"> d.l. 24/06/</w:t>
      </w:r>
      <w:r w:rsidRPr="00D835B0">
        <w:rPr>
          <w:rFonts w:ascii="Garamond" w:hAnsi="Garamond" w:cs="Times New Roman"/>
          <w:b/>
          <w:sz w:val="28"/>
          <w:szCs w:val="28"/>
        </w:rPr>
        <w:t xml:space="preserve">2016, n. 113, conv. con mod. in L. </w:t>
      </w:r>
      <w:r w:rsidR="00B44D3B">
        <w:rPr>
          <w:rFonts w:ascii="Garamond" w:hAnsi="Garamond" w:cs="Times New Roman"/>
          <w:b/>
          <w:sz w:val="28"/>
          <w:szCs w:val="28"/>
        </w:rPr>
        <w:t>0</w:t>
      </w:r>
      <w:r w:rsidRPr="00D835B0">
        <w:rPr>
          <w:rFonts w:ascii="Garamond" w:hAnsi="Garamond" w:cs="Times New Roman"/>
          <w:b/>
          <w:sz w:val="28"/>
          <w:szCs w:val="28"/>
        </w:rPr>
        <w:t>7</w:t>
      </w:r>
      <w:r w:rsidR="00B44D3B">
        <w:rPr>
          <w:rFonts w:ascii="Garamond" w:hAnsi="Garamond" w:cs="Times New Roman"/>
          <w:b/>
          <w:sz w:val="28"/>
          <w:szCs w:val="28"/>
        </w:rPr>
        <w:t>/08/</w:t>
      </w:r>
      <w:r w:rsidRPr="00D835B0">
        <w:rPr>
          <w:rFonts w:ascii="Garamond" w:hAnsi="Garamond" w:cs="Times New Roman"/>
          <w:b/>
          <w:sz w:val="28"/>
          <w:szCs w:val="28"/>
        </w:rPr>
        <w:t>2016, n. 160</w:t>
      </w:r>
      <w:r w:rsidRPr="00D835B0">
        <w:rPr>
          <w:rFonts w:ascii="Garamond" w:hAnsi="Garamond" w:cs="Times New Roman"/>
          <w:sz w:val="28"/>
          <w:szCs w:val="28"/>
        </w:rPr>
        <w:t xml:space="preserve"> che ha stabilito che “</w:t>
      </w:r>
      <w:r w:rsidRPr="00D835B0">
        <w:rPr>
          <w:rFonts w:ascii="Garamond" w:hAnsi="Garamond" w:cs="Times New Roman"/>
          <w:i/>
          <w:sz w:val="28"/>
          <w:szCs w:val="28"/>
        </w:rPr>
        <w:t>nelle more della revisione e del riordino della materia in conformità ai principi di derivazione europea, […] conservano validità i rapporti già instaurati e pendenti in base all'articolo 1, comma 18, del decreto-legge 30 dicembre 2009, n. 194, convertito, con modificazioni, dalla legge 26 febbraio 2010, n. 25</w:t>
      </w:r>
      <w:r w:rsidRPr="00D835B0">
        <w:rPr>
          <w:rFonts w:ascii="Garamond" w:hAnsi="Garamond" w:cs="Times New Roman"/>
          <w:sz w:val="28"/>
          <w:szCs w:val="28"/>
        </w:rPr>
        <w:t>”.</w:t>
      </w:r>
    </w:p>
    <w:p w14:paraId="0B4A9D32" w14:textId="77777777" w:rsidR="00AD6442" w:rsidRPr="00D835B0" w:rsidRDefault="00AD6442" w:rsidP="00AD6442">
      <w:pPr>
        <w:spacing w:after="0" w:line="276" w:lineRule="auto"/>
        <w:jc w:val="both"/>
        <w:rPr>
          <w:rFonts w:ascii="Garamond" w:hAnsi="Garamond" w:cs="Times New Roman"/>
          <w:sz w:val="28"/>
          <w:szCs w:val="28"/>
        </w:rPr>
      </w:pPr>
    </w:p>
    <w:p w14:paraId="45CFBDA9" w14:textId="63FB370A" w:rsidR="00AD6442"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t>Inoltre, l’</w:t>
      </w:r>
      <w:r w:rsidRPr="00D835B0">
        <w:rPr>
          <w:rFonts w:ascii="Garamond" w:hAnsi="Garamond" w:cs="Times New Roman"/>
          <w:b/>
          <w:sz w:val="28"/>
          <w:szCs w:val="28"/>
        </w:rPr>
        <w:t>a</w:t>
      </w:r>
      <w:r w:rsidR="00B44D3B">
        <w:rPr>
          <w:rFonts w:ascii="Garamond" w:hAnsi="Garamond" w:cs="Times New Roman"/>
          <w:b/>
          <w:sz w:val="28"/>
          <w:szCs w:val="28"/>
        </w:rPr>
        <w:t>rt. 1, cc. 675-685, della L. 30/12/</w:t>
      </w:r>
      <w:r w:rsidRPr="00D835B0">
        <w:rPr>
          <w:rFonts w:ascii="Garamond" w:hAnsi="Garamond" w:cs="Times New Roman"/>
          <w:b/>
          <w:sz w:val="28"/>
          <w:szCs w:val="28"/>
        </w:rPr>
        <w:t>2018, n. 145</w:t>
      </w:r>
      <w:r w:rsidRPr="00D835B0">
        <w:rPr>
          <w:rFonts w:ascii="Garamond" w:hAnsi="Garamond" w:cs="Times New Roman"/>
          <w:sz w:val="28"/>
          <w:szCs w:val="28"/>
        </w:rPr>
        <w:t xml:space="preserve"> ha stabilito che “</w:t>
      </w:r>
      <w:r w:rsidRPr="00D835B0">
        <w:rPr>
          <w:rFonts w:ascii="Garamond" w:hAnsi="Garamond" w:cs="Times New Roman"/>
          <w:i/>
          <w:sz w:val="28"/>
          <w:szCs w:val="28"/>
        </w:rPr>
        <w:t xml:space="preserve">le concessioni disciplinate dal </w:t>
      </w:r>
      <w:r w:rsidRPr="00D835B0">
        <w:rPr>
          <w:rFonts w:ascii="Garamond" w:hAnsi="Garamond" w:cs="Times New Roman"/>
          <w:b/>
          <w:i/>
          <w:sz w:val="28"/>
          <w:szCs w:val="28"/>
        </w:rPr>
        <w:t>comma 1 dell'articolo 01 del decreto-legge 5 ottobre 1993, n. 400, convertito, con modificazioni, dalla legge 4 dicembre 1993, n. 494 [n.d.r. recante disposizioni per la determinazione dei canoni relativi a concessioni demaniali marittime]</w:t>
      </w:r>
      <w:r w:rsidRPr="00D835B0">
        <w:rPr>
          <w:rFonts w:ascii="Garamond" w:hAnsi="Garamond" w:cs="Times New Roman"/>
          <w:i/>
          <w:sz w:val="28"/>
          <w:szCs w:val="28"/>
        </w:rPr>
        <w:t>, vigenti alla data di entrata in vigore della presente legge hanno una durata, con decorrenza dalla data di entrata in vigore della presente legge, di anni quindici [n.d.r. fino al 31/12/2033]</w:t>
      </w:r>
      <w:r w:rsidRPr="00D835B0">
        <w:rPr>
          <w:rFonts w:ascii="Garamond" w:hAnsi="Garamond" w:cs="Times New Roman"/>
          <w:sz w:val="28"/>
          <w:szCs w:val="28"/>
        </w:rPr>
        <w:t>” (comma 682 dell’art. 1 cit.) [commi da 675 a 683 dell’art. 1 L. 145/2018 abrogati dalla L. 118/2022].</w:t>
      </w:r>
    </w:p>
    <w:p w14:paraId="15F4FB17" w14:textId="77777777" w:rsidR="00AD6442" w:rsidRPr="00D835B0" w:rsidRDefault="00AD6442" w:rsidP="00AD6442">
      <w:pPr>
        <w:spacing w:after="0" w:line="276" w:lineRule="auto"/>
        <w:jc w:val="both"/>
        <w:rPr>
          <w:rFonts w:ascii="Garamond" w:hAnsi="Garamond" w:cs="Times New Roman"/>
          <w:sz w:val="28"/>
          <w:szCs w:val="28"/>
        </w:rPr>
      </w:pPr>
    </w:p>
    <w:p w14:paraId="4DABCB25" w14:textId="3BC4E5E3" w:rsidR="00AD6442" w:rsidRPr="00D835B0" w:rsidRDefault="00AD6442" w:rsidP="00AD6442">
      <w:pPr>
        <w:spacing w:after="0" w:line="276" w:lineRule="auto"/>
        <w:jc w:val="both"/>
        <w:rPr>
          <w:rFonts w:ascii="Garamond" w:hAnsi="Garamond" w:cs="Times New Roman"/>
          <w:b/>
          <w:sz w:val="28"/>
          <w:szCs w:val="28"/>
        </w:rPr>
      </w:pPr>
      <w:r w:rsidRPr="00D835B0">
        <w:rPr>
          <w:rFonts w:ascii="Garamond" w:hAnsi="Garamond" w:cs="Times New Roman"/>
          <w:sz w:val="28"/>
          <w:szCs w:val="28"/>
        </w:rPr>
        <w:t>L'</w:t>
      </w:r>
      <w:r w:rsidR="00B44D3B">
        <w:rPr>
          <w:rFonts w:ascii="Garamond" w:hAnsi="Garamond" w:cs="Times New Roman"/>
          <w:b/>
          <w:sz w:val="28"/>
          <w:szCs w:val="28"/>
        </w:rPr>
        <w:t>art. 182, c. 2 d.l. 19/05/</w:t>
      </w:r>
      <w:r w:rsidRPr="00D835B0">
        <w:rPr>
          <w:rFonts w:ascii="Garamond" w:hAnsi="Garamond" w:cs="Times New Roman"/>
          <w:b/>
          <w:sz w:val="28"/>
          <w:szCs w:val="28"/>
        </w:rPr>
        <w:t>2020, n. 34, com</w:t>
      </w:r>
      <w:r w:rsidR="00B44D3B">
        <w:rPr>
          <w:rFonts w:ascii="Garamond" w:hAnsi="Garamond" w:cs="Times New Roman"/>
          <w:b/>
          <w:sz w:val="28"/>
          <w:szCs w:val="28"/>
        </w:rPr>
        <w:t>e modificato dalla L. 17/07/</w:t>
      </w:r>
      <w:r w:rsidRPr="00D835B0">
        <w:rPr>
          <w:rFonts w:ascii="Garamond" w:hAnsi="Garamond" w:cs="Times New Roman"/>
          <w:b/>
          <w:sz w:val="28"/>
          <w:szCs w:val="28"/>
        </w:rPr>
        <w:t xml:space="preserve">2020, n. 77 </w:t>
      </w:r>
      <w:r w:rsidRPr="00D835B0">
        <w:rPr>
          <w:rFonts w:ascii="Garamond" w:hAnsi="Garamond" w:cs="Times New Roman"/>
          <w:sz w:val="28"/>
          <w:szCs w:val="28"/>
        </w:rPr>
        <w:t>(assieme all’</w:t>
      </w:r>
      <w:r w:rsidR="00B44D3B">
        <w:rPr>
          <w:rFonts w:ascii="Garamond" w:hAnsi="Garamond" w:cs="Times New Roman"/>
          <w:b/>
          <w:sz w:val="28"/>
          <w:szCs w:val="28"/>
        </w:rPr>
        <w:t>art. 100 d.l. 14/08/</w:t>
      </w:r>
      <w:r w:rsidRPr="00D835B0">
        <w:rPr>
          <w:rFonts w:ascii="Garamond" w:hAnsi="Garamond" w:cs="Times New Roman"/>
          <w:b/>
          <w:sz w:val="28"/>
          <w:szCs w:val="28"/>
        </w:rPr>
        <w:t xml:space="preserve">2020, n. </w:t>
      </w:r>
      <w:r w:rsidR="00B44D3B">
        <w:rPr>
          <w:rFonts w:ascii="Garamond" w:hAnsi="Garamond" w:cs="Times New Roman"/>
          <w:b/>
          <w:sz w:val="28"/>
          <w:szCs w:val="28"/>
        </w:rPr>
        <w:t>104, conv. con mod. dalla L. 13/10/</w:t>
      </w:r>
      <w:r w:rsidRPr="00D835B0">
        <w:rPr>
          <w:rFonts w:ascii="Garamond" w:hAnsi="Garamond" w:cs="Times New Roman"/>
          <w:b/>
          <w:sz w:val="28"/>
          <w:szCs w:val="28"/>
        </w:rPr>
        <w:t xml:space="preserve">2020, n. 126 </w:t>
      </w:r>
      <w:r w:rsidRPr="00D835B0">
        <w:rPr>
          <w:rFonts w:ascii="Garamond" w:hAnsi="Garamond" w:cs="Times New Roman"/>
          <w:sz w:val="28"/>
          <w:szCs w:val="28"/>
        </w:rPr>
        <w:t>relativo alle concessioni dei beni del demanio marittimo e di zone del mare territoriale aventi ad oggetto la realizzazione e la gestione di strutture dedicate alla nautica da diporto), ha stabilito che “</w:t>
      </w:r>
      <w:r w:rsidRPr="00D835B0">
        <w:rPr>
          <w:rFonts w:ascii="Garamond" w:hAnsi="Garamond" w:cs="Times New Roman"/>
          <w:i/>
          <w:sz w:val="28"/>
          <w:szCs w:val="28"/>
        </w:rPr>
        <w:t>le amministrazioni competenti non possono avviare o proseguire, a carico dei concessionari che intendono proseguire la propria attività mediante l'uso di beni del demanio marittimo, lacuale e fluviale, i procedimenti amministrativi per la devoluzione delle opere non amovibili, di cui all'</w:t>
      </w:r>
      <w:r w:rsidRPr="00D835B0">
        <w:rPr>
          <w:rFonts w:ascii="Garamond" w:hAnsi="Garamond" w:cs="Times New Roman"/>
          <w:b/>
          <w:i/>
          <w:sz w:val="28"/>
          <w:szCs w:val="28"/>
        </w:rPr>
        <w:t>articolo 49 del codice della navigazione</w:t>
      </w:r>
      <w:r w:rsidRPr="00D835B0">
        <w:rPr>
          <w:rFonts w:ascii="Garamond" w:hAnsi="Garamond" w:cs="Times New Roman"/>
          <w:i/>
          <w:sz w:val="28"/>
          <w:szCs w:val="28"/>
        </w:rPr>
        <w:t>, per il rilascio o per l'assegnazione, con procedure di evidenza pubblica, delle aree oggetto di concessione alla data di entrata in vigore della legge di conversione del presente decreto</w:t>
      </w:r>
      <w:r w:rsidRPr="00D835B0">
        <w:rPr>
          <w:rFonts w:ascii="Garamond" w:hAnsi="Garamond" w:cs="Times New Roman"/>
          <w:sz w:val="28"/>
          <w:szCs w:val="28"/>
        </w:rPr>
        <w:t>” [art. 182, c. 2 d.l. 34/2020 abrogato dalla L. 118/2022].</w:t>
      </w:r>
    </w:p>
    <w:p w14:paraId="529D209C" w14:textId="77777777" w:rsidR="00AD6442" w:rsidRPr="00D835B0" w:rsidRDefault="00AD6442" w:rsidP="00AD6442">
      <w:pPr>
        <w:spacing w:after="0" w:line="276" w:lineRule="auto"/>
        <w:jc w:val="both"/>
        <w:rPr>
          <w:rFonts w:ascii="Garamond" w:hAnsi="Garamond" w:cs="Times New Roman"/>
          <w:sz w:val="28"/>
          <w:szCs w:val="28"/>
        </w:rPr>
      </w:pPr>
    </w:p>
    <w:p w14:paraId="70F8D62A" w14:textId="77777777" w:rsidR="00AD6442" w:rsidRPr="00D835B0"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t xml:space="preserve">Di conseguenza, il </w:t>
      </w:r>
      <w:r w:rsidRPr="00D835B0">
        <w:rPr>
          <w:rFonts w:ascii="Garamond" w:hAnsi="Garamond" w:cs="Times New Roman"/>
          <w:b/>
          <w:sz w:val="28"/>
          <w:szCs w:val="28"/>
        </w:rPr>
        <w:t>03/12/2020</w:t>
      </w:r>
      <w:r w:rsidRPr="00D835B0">
        <w:rPr>
          <w:rFonts w:ascii="Garamond" w:hAnsi="Garamond" w:cs="Times New Roman"/>
          <w:sz w:val="28"/>
          <w:szCs w:val="28"/>
        </w:rPr>
        <w:t xml:space="preserve"> la Commissione europea ha inviato alla Repubblica italiana una </w:t>
      </w:r>
      <w:r w:rsidRPr="00D835B0">
        <w:rPr>
          <w:rFonts w:ascii="Garamond" w:hAnsi="Garamond" w:cs="Times New Roman"/>
          <w:b/>
          <w:sz w:val="28"/>
          <w:szCs w:val="28"/>
        </w:rPr>
        <w:t xml:space="preserve">lettera di costituzione in mora </w:t>
      </w:r>
      <w:r w:rsidRPr="00D835B0">
        <w:rPr>
          <w:rFonts w:ascii="Garamond" w:hAnsi="Garamond" w:cs="Times New Roman"/>
          <w:b/>
          <w:i/>
          <w:sz w:val="28"/>
          <w:szCs w:val="28"/>
        </w:rPr>
        <w:t>ex</w:t>
      </w:r>
      <w:r w:rsidRPr="00D835B0">
        <w:rPr>
          <w:rFonts w:ascii="Garamond" w:hAnsi="Garamond" w:cs="Times New Roman"/>
          <w:b/>
          <w:sz w:val="28"/>
          <w:szCs w:val="28"/>
        </w:rPr>
        <w:t xml:space="preserve"> art. 258 TFUE</w:t>
      </w:r>
      <w:r w:rsidRPr="00D835B0">
        <w:rPr>
          <w:rFonts w:ascii="Garamond" w:hAnsi="Garamond" w:cs="Times New Roman"/>
          <w:sz w:val="28"/>
          <w:szCs w:val="28"/>
        </w:rPr>
        <w:t xml:space="preserve"> in merito al quadro normativo italiano che disciplina le autorizzazioni per l’utilizzo di beni demaniali marittimi, lacuali e fluviali per attività turistiche e ricreative.</w:t>
      </w:r>
    </w:p>
    <w:p w14:paraId="153CECC4" w14:textId="558D27F6" w:rsidR="00AD6442"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t xml:space="preserve">Con essa la Commissione ha lamentato che, mantenendo proroghe indiscriminate ed </w:t>
      </w:r>
      <w:r w:rsidRPr="00D835B0">
        <w:rPr>
          <w:rFonts w:ascii="Garamond" w:hAnsi="Garamond" w:cs="Times New Roman"/>
          <w:i/>
          <w:sz w:val="28"/>
          <w:szCs w:val="28"/>
        </w:rPr>
        <w:t>ex lege</w:t>
      </w:r>
      <w:r w:rsidRPr="00D835B0">
        <w:rPr>
          <w:rFonts w:ascii="Garamond" w:hAnsi="Garamond" w:cs="Times New Roman"/>
          <w:sz w:val="28"/>
          <w:szCs w:val="28"/>
        </w:rPr>
        <w:t xml:space="preserve"> delle concessioni balneari, il legislatore italiano aveva riprodotto nel loro contenuto le disposizioni di cui sopra già dichiarate antieurounitarie e, quindi, era di nuovo venuta meno agli obblighi derivanti dall’art. 12 direttiva 2006/123/CE relativa ai servizi nel mercato interno (direttiva servizi) e dall’art. 49 TFUE sul diritto di stabilimento.</w:t>
      </w:r>
    </w:p>
    <w:p w14:paraId="2342E0C9" w14:textId="77777777" w:rsidR="00AD6442" w:rsidRPr="00D835B0" w:rsidRDefault="00AD6442" w:rsidP="00AD6442">
      <w:pPr>
        <w:spacing w:after="0" w:line="276" w:lineRule="auto"/>
        <w:jc w:val="both"/>
        <w:rPr>
          <w:rFonts w:ascii="Garamond" w:hAnsi="Garamond" w:cs="Times New Roman"/>
          <w:sz w:val="28"/>
          <w:szCs w:val="28"/>
        </w:rPr>
      </w:pPr>
    </w:p>
    <w:p w14:paraId="746EAC65" w14:textId="749A8065" w:rsidR="00AD6442"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t xml:space="preserve">Il </w:t>
      </w:r>
      <w:r w:rsidRPr="00D835B0">
        <w:rPr>
          <w:rFonts w:ascii="Garamond" w:hAnsi="Garamond" w:cs="Times New Roman"/>
          <w:b/>
          <w:sz w:val="28"/>
          <w:szCs w:val="28"/>
        </w:rPr>
        <w:t>04/02/2021</w:t>
      </w:r>
      <w:r w:rsidRPr="00D835B0">
        <w:rPr>
          <w:rFonts w:ascii="Garamond" w:hAnsi="Garamond" w:cs="Times New Roman"/>
          <w:sz w:val="28"/>
          <w:szCs w:val="28"/>
        </w:rPr>
        <w:t xml:space="preserve"> l’Italia ha </w:t>
      </w:r>
      <w:r w:rsidRPr="00D835B0">
        <w:rPr>
          <w:rFonts w:ascii="Garamond" w:hAnsi="Garamond" w:cs="Times New Roman"/>
          <w:b/>
          <w:sz w:val="28"/>
          <w:szCs w:val="28"/>
        </w:rPr>
        <w:t>risposto</w:t>
      </w:r>
      <w:r w:rsidRPr="00D835B0">
        <w:rPr>
          <w:rFonts w:ascii="Garamond" w:hAnsi="Garamond" w:cs="Times New Roman"/>
          <w:sz w:val="28"/>
          <w:szCs w:val="28"/>
        </w:rPr>
        <w:t xml:space="preserve"> alla lettera di messa in mora, ma, nelle more dell’interlocuzione istituzionale, il </w:t>
      </w:r>
      <w:r w:rsidRPr="00D835B0">
        <w:rPr>
          <w:rFonts w:ascii="Garamond" w:hAnsi="Garamond" w:cs="Times New Roman"/>
          <w:b/>
          <w:sz w:val="28"/>
          <w:szCs w:val="28"/>
        </w:rPr>
        <w:t>Consiglio di Stato, in Adunanza plenaria,</w:t>
      </w:r>
      <w:r w:rsidRPr="00D835B0">
        <w:rPr>
          <w:rFonts w:ascii="Garamond" w:hAnsi="Garamond" w:cs="Times New Roman"/>
          <w:sz w:val="28"/>
          <w:szCs w:val="28"/>
        </w:rPr>
        <w:t xml:space="preserve"> ha emesso le </w:t>
      </w:r>
      <w:r w:rsidRPr="00D835B0">
        <w:rPr>
          <w:rFonts w:ascii="Garamond" w:hAnsi="Garamond" w:cs="Times New Roman"/>
          <w:b/>
          <w:sz w:val="28"/>
          <w:szCs w:val="28"/>
        </w:rPr>
        <w:t>sentenze nn. 17 e 18 del 2021</w:t>
      </w:r>
      <w:r w:rsidRPr="00D835B0">
        <w:rPr>
          <w:rFonts w:ascii="Garamond" w:hAnsi="Garamond" w:cs="Times New Roman"/>
          <w:sz w:val="28"/>
          <w:szCs w:val="28"/>
        </w:rPr>
        <w:t xml:space="preserve"> con le quali, richiamandosi alle conclusioni della CGUE</w:t>
      </w:r>
      <w:r>
        <w:rPr>
          <w:rFonts w:ascii="Garamond" w:hAnsi="Garamond" w:cs="Times New Roman"/>
          <w:sz w:val="28"/>
          <w:szCs w:val="28"/>
        </w:rPr>
        <w:t xml:space="preserve"> </w:t>
      </w:r>
      <w:r w:rsidRPr="00D835B0">
        <w:rPr>
          <w:rFonts w:ascii="Garamond" w:hAnsi="Garamond" w:cs="Times New Roman"/>
          <w:sz w:val="28"/>
          <w:szCs w:val="28"/>
        </w:rPr>
        <w:lastRenderedPageBreak/>
        <w:t>di cui sopra, ha rilevato gli stessi profili di incompatibilità della legislazione italiana con l’</w:t>
      </w:r>
      <w:r w:rsidRPr="00D835B0">
        <w:rPr>
          <w:rFonts w:ascii="Garamond" w:hAnsi="Garamond" w:cs="Times New Roman"/>
          <w:i/>
          <w:sz w:val="28"/>
          <w:szCs w:val="28"/>
        </w:rPr>
        <w:t>acquis</w:t>
      </w:r>
      <w:r w:rsidRPr="00D835B0">
        <w:rPr>
          <w:rFonts w:ascii="Garamond" w:hAnsi="Garamond" w:cs="Times New Roman"/>
          <w:sz w:val="28"/>
          <w:szCs w:val="28"/>
        </w:rPr>
        <w:t xml:space="preserve"> dell’UE.</w:t>
      </w:r>
      <w:r>
        <w:rPr>
          <w:rFonts w:ascii="Garamond" w:hAnsi="Garamond" w:cs="Times New Roman"/>
          <w:sz w:val="28"/>
          <w:szCs w:val="28"/>
        </w:rPr>
        <w:t xml:space="preserve"> </w:t>
      </w:r>
      <w:r w:rsidRPr="00D835B0">
        <w:rPr>
          <w:rFonts w:ascii="Garamond" w:hAnsi="Garamond" w:cs="Times New Roman"/>
          <w:sz w:val="28"/>
          <w:szCs w:val="28"/>
        </w:rPr>
        <w:t>In particolare, il C.d.S. ha enunciato tre principi di diritto</w:t>
      </w:r>
      <w:r w:rsidRPr="00D835B0">
        <w:rPr>
          <w:rStyle w:val="Rimandonotaapidipagina"/>
          <w:rFonts w:ascii="Garamond" w:hAnsi="Garamond" w:cs="Times New Roman"/>
          <w:sz w:val="28"/>
          <w:szCs w:val="28"/>
        </w:rPr>
        <w:footnoteReference w:id="5"/>
      </w:r>
      <w:r w:rsidRPr="00D835B0">
        <w:rPr>
          <w:rFonts w:ascii="Garamond" w:hAnsi="Garamond" w:cs="Times New Roman"/>
          <w:sz w:val="28"/>
          <w:szCs w:val="28"/>
        </w:rPr>
        <w:t xml:space="preserve"> </w:t>
      </w:r>
      <w:r w:rsidRPr="00D835B0">
        <w:rPr>
          <w:rStyle w:val="Rimandonotaapidipagina"/>
          <w:rFonts w:ascii="Garamond" w:hAnsi="Garamond" w:cs="Times New Roman"/>
          <w:sz w:val="28"/>
          <w:szCs w:val="28"/>
        </w:rPr>
        <w:footnoteReference w:id="6"/>
      </w:r>
      <w:r w:rsidRPr="00D835B0">
        <w:rPr>
          <w:rFonts w:ascii="Garamond" w:hAnsi="Garamond" w:cs="Times New Roman"/>
          <w:sz w:val="28"/>
          <w:szCs w:val="28"/>
        </w:rPr>
        <w:t>.</w:t>
      </w:r>
    </w:p>
    <w:p w14:paraId="28F86316" w14:textId="77777777" w:rsidR="00AD6442" w:rsidRPr="00D835B0" w:rsidRDefault="00AD6442" w:rsidP="00AD6442">
      <w:pPr>
        <w:spacing w:after="0" w:line="276" w:lineRule="auto"/>
        <w:jc w:val="both"/>
        <w:rPr>
          <w:rFonts w:ascii="Garamond" w:hAnsi="Garamond" w:cs="Times New Roman"/>
          <w:sz w:val="28"/>
          <w:szCs w:val="28"/>
        </w:rPr>
      </w:pPr>
    </w:p>
    <w:p w14:paraId="54D89D3F" w14:textId="3B6CF558" w:rsidR="00AD6442"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t xml:space="preserve">Successivamente alle pronunce dell’Ad. pl. C.d.S., con gli </w:t>
      </w:r>
      <w:r w:rsidRPr="00D835B0">
        <w:rPr>
          <w:rFonts w:ascii="Garamond" w:hAnsi="Garamond" w:cs="Times New Roman"/>
          <w:b/>
          <w:sz w:val="28"/>
          <w:szCs w:val="28"/>
        </w:rPr>
        <w:t>artt. 3, 4 L. 05/08/2022, n. 118 (Legge annuale per il mercato e la concorrenza 2021)</w:t>
      </w:r>
      <w:r w:rsidRPr="00D835B0">
        <w:rPr>
          <w:rFonts w:ascii="Garamond" w:hAnsi="Garamond" w:cs="Times New Roman"/>
          <w:sz w:val="28"/>
          <w:szCs w:val="28"/>
        </w:rPr>
        <w:t xml:space="preserve"> il legislatore ha disposto il termine generale del 31/12/2023 per la scadenza delle concessioni balneari ed ha delegato il Governo ad adottare, entro sei mesi dall’entrata in vigore di tale legge uno o più decreti legislativi volti a riordinare e semplificare la disciplina in materia.</w:t>
      </w:r>
    </w:p>
    <w:p w14:paraId="5E0D149F" w14:textId="77777777" w:rsidR="00AD6442" w:rsidRPr="00D835B0" w:rsidRDefault="00AD6442" w:rsidP="00AD6442">
      <w:pPr>
        <w:spacing w:after="0" w:line="276" w:lineRule="auto"/>
        <w:jc w:val="both"/>
        <w:rPr>
          <w:rFonts w:ascii="Garamond" w:hAnsi="Garamond" w:cs="Times New Roman"/>
          <w:sz w:val="28"/>
          <w:szCs w:val="28"/>
        </w:rPr>
      </w:pPr>
    </w:p>
    <w:p w14:paraId="15154BC9" w14:textId="77777777" w:rsidR="00AD6442" w:rsidRPr="00D835B0"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t>Tuttavia, con l’</w:t>
      </w:r>
      <w:r w:rsidRPr="00D835B0">
        <w:rPr>
          <w:rFonts w:ascii="Garamond" w:hAnsi="Garamond" w:cs="Times New Roman"/>
          <w:b/>
          <w:sz w:val="28"/>
          <w:szCs w:val="28"/>
        </w:rPr>
        <w:t>art. 10-</w:t>
      </w:r>
      <w:r w:rsidRPr="00D835B0">
        <w:rPr>
          <w:rFonts w:ascii="Garamond" w:hAnsi="Garamond" w:cs="Times New Roman"/>
          <w:b/>
          <w:i/>
          <w:sz w:val="28"/>
          <w:szCs w:val="28"/>
        </w:rPr>
        <w:t>quater</w:t>
      </w:r>
      <w:r w:rsidRPr="00D835B0">
        <w:rPr>
          <w:rFonts w:ascii="Garamond" w:hAnsi="Garamond" w:cs="Times New Roman"/>
          <w:sz w:val="28"/>
          <w:szCs w:val="28"/>
        </w:rPr>
        <w:t xml:space="preserve"> </w:t>
      </w:r>
      <w:r w:rsidRPr="00D835B0">
        <w:rPr>
          <w:rFonts w:ascii="Garamond" w:hAnsi="Garamond" w:cs="Times New Roman"/>
          <w:b/>
          <w:sz w:val="28"/>
          <w:szCs w:val="28"/>
        </w:rPr>
        <w:t>d.l. 29/12/2022, n. 198, conv. in L. 24/02/2023, n. 14</w:t>
      </w:r>
      <w:r w:rsidRPr="00D835B0">
        <w:rPr>
          <w:rFonts w:ascii="Garamond" w:hAnsi="Garamond" w:cs="Times New Roman"/>
          <w:sz w:val="28"/>
          <w:szCs w:val="28"/>
        </w:rPr>
        <w:t xml:space="preserve"> il legislatore ha disposto un’ulteriore proroga delle concessioni balneari fino al 31/12/2025 e in ogni caso sino alla data di rilascio dei nuovi provvedimenti concessori [articolo abrogato dal d.l. 16/09/2024, n. 131].</w:t>
      </w:r>
    </w:p>
    <w:p w14:paraId="6D0925F3" w14:textId="694BFFBD" w:rsidR="00AD6442"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t>Peraltro, tale periodo di proroga generale era potenzialmente illimitato visto che in forza dell’art. 4, c. 4-</w:t>
      </w:r>
      <w:r w:rsidRPr="00D835B0">
        <w:rPr>
          <w:rFonts w:ascii="Garamond" w:hAnsi="Garamond" w:cs="Times New Roman"/>
          <w:i/>
          <w:sz w:val="28"/>
          <w:szCs w:val="28"/>
        </w:rPr>
        <w:t>bis</w:t>
      </w:r>
      <w:r w:rsidRPr="00D835B0">
        <w:rPr>
          <w:rFonts w:ascii="Garamond" w:hAnsi="Garamond" w:cs="Times New Roman"/>
          <w:sz w:val="28"/>
          <w:szCs w:val="28"/>
        </w:rPr>
        <w:t xml:space="preserve"> L. 118/2022 è fatto divieto agli enti concedenti di procedere all’emanazione dei bandi di assegnazione delle concessioni fino all’adozione dei decreti </w:t>
      </w:r>
      <w:r w:rsidRPr="00D835B0">
        <w:rPr>
          <w:rFonts w:ascii="Garamond" w:hAnsi="Garamond" w:cs="Times New Roman"/>
          <w:sz w:val="28"/>
          <w:szCs w:val="28"/>
        </w:rPr>
        <w:lastRenderedPageBreak/>
        <w:t>legislativi di cui allo stesso art. 4 cit. Senonché, la delega per il Governo è scaduta senza che il Parlamento ne abbia prevista una nuova.</w:t>
      </w:r>
    </w:p>
    <w:p w14:paraId="239EF0C5" w14:textId="77777777" w:rsidR="00AD6442" w:rsidRPr="00D835B0" w:rsidRDefault="00AD6442" w:rsidP="00AD6442">
      <w:pPr>
        <w:spacing w:after="0" w:line="276" w:lineRule="auto"/>
        <w:jc w:val="both"/>
        <w:rPr>
          <w:rFonts w:ascii="Garamond" w:hAnsi="Garamond" w:cs="Times New Roman"/>
          <w:sz w:val="28"/>
          <w:szCs w:val="28"/>
        </w:rPr>
      </w:pPr>
    </w:p>
    <w:p w14:paraId="1301C381" w14:textId="24CDF1E3" w:rsidR="00AD6442"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t xml:space="preserve">La </w:t>
      </w:r>
      <w:r w:rsidRPr="00D835B0">
        <w:rPr>
          <w:rFonts w:ascii="Garamond" w:hAnsi="Garamond" w:cs="Times New Roman"/>
          <w:b/>
          <w:sz w:val="28"/>
          <w:szCs w:val="28"/>
        </w:rPr>
        <w:t>CGUE</w:t>
      </w:r>
      <w:r w:rsidRPr="00D835B0">
        <w:rPr>
          <w:rFonts w:ascii="Garamond" w:hAnsi="Garamond" w:cs="Times New Roman"/>
          <w:sz w:val="28"/>
          <w:szCs w:val="28"/>
        </w:rPr>
        <w:t xml:space="preserve"> con la </w:t>
      </w:r>
      <w:r w:rsidRPr="00D835B0">
        <w:rPr>
          <w:rFonts w:ascii="Garamond" w:hAnsi="Garamond" w:cs="Times New Roman"/>
          <w:b/>
          <w:sz w:val="28"/>
          <w:szCs w:val="28"/>
        </w:rPr>
        <w:t>sentenza del 20/04/2023, n. 348/22</w:t>
      </w:r>
      <w:r w:rsidRPr="00D835B0">
        <w:rPr>
          <w:rFonts w:ascii="Garamond" w:hAnsi="Garamond" w:cs="Times New Roman"/>
          <w:sz w:val="28"/>
          <w:szCs w:val="28"/>
        </w:rPr>
        <w:t xml:space="preserve"> ha stabilito ulteriori importanti principi di diritto relativamente alla corretta interpretazione dell’art. 12 della direttiva 2006/123/CE</w:t>
      </w:r>
      <w:r w:rsidRPr="00D835B0">
        <w:rPr>
          <w:rStyle w:val="Rimandonotaapidipagina"/>
          <w:rFonts w:ascii="Garamond" w:hAnsi="Garamond" w:cs="Times New Roman"/>
          <w:sz w:val="28"/>
          <w:szCs w:val="28"/>
        </w:rPr>
        <w:footnoteReference w:id="7"/>
      </w:r>
      <w:r w:rsidRPr="00D835B0">
        <w:rPr>
          <w:rFonts w:ascii="Garamond" w:hAnsi="Garamond" w:cs="Times New Roman"/>
          <w:sz w:val="28"/>
          <w:szCs w:val="28"/>
        </w:rPr>
        <w:t>.</w:t>
      </w:r>
    </w:p>
    <w:p w14:paraId="0BC56A42" w14:textId="77777777" w:rsidR="00AD6442" w:rsidRPr="00D835B0" w:rsidRDefault="00AD6442" w:rsidP="00AD6442">
      <w:pPr>
        <w:spacing w:after="0" w:line="276" w:lineRule="auto"/>
        <w:jc w:val="both"/>
        <w:rPr>
          <w:rFonts w:ascii="Garamond" w:hAnsi="Garamond" w:cs="Times New Roman"/>
          <w:sz w:val="28"/>
          <w:szCs w:val="28"/>
        </w:rPr>
      </w:pPr>
    </w:p>
    <w:p w14:paraId="45B5F8D1" w14:textId="6C911A00" w:rsidR="00AD6442"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t xml:space="preserve">In data </w:t>
      </w:r>
      <w:r w:rsidRPr="00D835B0">
        <w:rPr>
          <w:rFonts w:ascii="Garamond" w:hAnsi="Garamond" w:cs="Times New Roman"/>
          <w:b/>
          <w:sz w:val="28"/>
          <w:szCs w:val="28"/>
        </w:rPr>
        <w:t>16/11/2023</w:t>
      </w:r>
      <w:r w:rsidRPr="00D835B0">
        <w:rPr>
          <w:rFonts w:ascii="Garamond" w:hAnsi="Garamond" w:cs="Times New Roman"/>
          <w:sz w:val="28"/>
          <w:szCs w:val="28"/>
        </w:rPr>
        <w:t xml:space="preserve"> la Commissione europea ha trasmesso all’Italia il </w:t>
      </w:r>
      <w:r w:rsidRPr="00D835B0">
        <w:rPr>
          <w:rFonts w:ascii="Garamond" w:hAnsi="Garamond" w:cs="Times New Roman"/>
          <w:b/>
          <w:sz w:val="28"/>
          <w:szCs w:val="28"/>
        </w:rPr>
        <w:t xml:space="preserve">parere motivato </w:t>
      </w:r>
      <w:r w:rsidRPr="00D835B0">
        <w:rPr>
          <w:rFonts w:ascii="Garamond" w:hAnsi="Garamond" w:cs="Times New Roman"/>
          <w:b/>
          <w:i/>
          <w:sz w:val="28"/>
          <w:szCs w:val="28"/>
        </w:rPr>
        <w:t>ex</w:t>
      </w:r>
      <w:r w:rsidRPr="00D835B0">
        <w:rPr>
          <w:rFonts w:ascii="Garamond" w:hAnsi="Garamond" w:cs="Times New Roman"/>
          <w:b/>
          <w:sz w:val="28"/>
          <w:szCs w:val="28"/>
        </w:rPr>
        <w:t xml:space="preserve"> art 258 TFUE</w:t>
      </w:r>
      <w:r w:rsidRPr="00D835B0">
        <w:rPr>
          <w:rFonts w:ascii="Garamond" w:hAnsi="Garamond" w:cs="Times New Roman"/>
          <w:sz w:val="28"/>
          <w:szCs w:val="28"/>
        </w:rPr>
        <w:t xml:space="preserve"> con cui ha confermato l’incompatibilità della disciplina italiana, anche sopravvenuta, con </w:t>
      </w:r>
      <w:r w:rsidRPr="00D835B0">
        <w:rPr>
          <w:rFonts w:ascii="Garamond" w:hAnsi="Garamond" w:cs="Times New Roman"/>
          <w:b/>
          <w:sz w:val="28"/>
          <w:szCs w:val="28"/>
        </w:rPr>
        <w:t>l’art. 4, par. 3 TUE</w:t>
      </w:r>
      <w:r w:rsidRPr="00D835B0">
        <w:rPr>
          <w:rFonts w:ascii="Garamond" w:hAnsi="Garamond" w:cs="Times New Roman"/>
          <w:sz w:val="28"/>
          <w:szCs w:val="28"/>
        </w:rPr>
        <w:t xml:space="preserve"> e l’art. 49 TFUE</w:t>
      </w:r>
      <w:r w:rsidR="00AD59E8">
        <w:rPr>
          <w:rStyle w:val="Rimandonotaapidipagina"/>
          <w:rFonts w:ascii="Garamond" w:hAnsi="Garamond" w:cs="Times New Roman"/>
          <w:sz w:val="28"/>
          <w:szCs w:val="28"/>
        </w:rPr>
        <w:footnoteReference w:id="8"/>
      </w:r>
      <w:r w:rsidRPr="00D835B0">
        <w:rPr>
          <w:rFonts w:ascii="Garamond" w:hAnsi="Garamond" w:cs="Times New Roman"/>
          <w:sz w:val="28"/>
          <w:szCs w:val="28"/>
        </w:rPr>
        <w:t>.</w:t>
      </w:r>
    </w:p>
    <w:p w14:paraId="159F574E" w14:textId="6A854954" w:rsidR="00AD59E8" w:rsidRPr="00D835B0" w:rsidRDefault="00AD59E8" w:rsidP="00AD6442">
      <w:pPr>
        <w:spacing w:after="0" w:line="276" w:lineRule="auto"/>
        <w:jc w:val="both"/>
        <w:rPr>
          <w:rFonts w:ascii="Garamond" w:hAnsi="Garamond" w:cs="Times New Roman"/>
          <w:sz w:val="28"/>
          <w:szCs w:val="28"/>
        </w:rPr>
      </w:pPr>
      <w:r w:rsidRPr="00AD59E8">
        <w:rPr>
          <w:rFonts w:ascii="Garamond" w:hAnsi="Garamond" w:cs="Times New Roman"/>
          <w:sz w:val="28"/>
          <w:szCs w:val="28"/>
        </w:rPr>
        <w:t xml:space="preserve">Il parere si occupa anche della ricognizione e mappatura del litorale e del demanio costiero-marittimo ex art. 1, cc. 675-677 della L. 30/12/2018, n. 145 (commi successivamente abrogati, a decorrere dalla data di entrata in vigore della L. n. 118/2022) che avrebbe dovuto individuare la reale consistenza dello stato dei luoghi, la tipologia ed il numero di concessioni vigenti, nonché le aree libere o concedibili. Sul punto la Commissione afferma che i risultati dei lavori del “Tavolo tecnico” non sono idonei a dimostrare che su tutto il territorio italiano non vi è scarsità di risorse naturali </w:t>
      </w:r>
      <w:r>
        <w:rPr>
          <w:rFonts w:ascii="Garamond" w:hAnsi="Garamond" w:cs="Times New Roman"/>
          <w:sz w:val="28"/>
          <w:szCs w:val="28"/>
        </w:rPr>
        <w:t>oggetto di concessioni balneari</w:t>
      </w:r>
      <w:r>
        <w:rPr>
          <w:rStyle w:val="Rimandonotaapidipagina"/>
          <w:rFonts w:ascii="Garamond" w:hAnsi="Garamond" w:cs="Times New Roman"/>
          <w:sz w:val="28"/>
          <w:szCs w:val="28"/>
        </w:rPr>
        <w:footnoteReference w:id="9"/>
      </w:r>
      <w:r w:rsidRPr="00AD59E8">
        <w:rPr>
          <w:rFonts w:ascii="Garamond" w:hAnsi="Garamond" w:cs="Times New Roman"/>
          <w:sz w:val="28"/>
          <w:szCs w:val="28"/>
        </w:rPr>
        <w:t>.</w:t>
      </w:r>
    </w:p>
    <w:p w14:paraId="7117324E" w14:textId="77777777" w:rsidR="00AD6442" w:rsidRPr="00D835B0" w:rsidRDefault="00AD6442" w:rsidP="00AD6442">
      <w:pPr>
        <w:spacing w:after="0" w:line="276" w:lineRule="auto"/>
        <w:jc w:val="both"/>
        <w:rPr>
          <w:rFonts w:ascii="Garamond" w:hAnsi="Garamond" w:cs="Times New Roman"/>
          <w:sz w:val="28"/>
          <w:szCs w:val="28"/>
        </w:rPr>
      </w:pPr>
    </w:p>
    <w:p w14:paraId="21F1C603" w14:textId="339C9FBE" w:rsidR="00AD6442" w:rsidRPr="00D835B0"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t xml:space="preserve">Con le </w:t>
      </w:r>
      <w:r w:rsidRPr="00D835B0">
        <w:rPr>
          <w:rFonts w:ascii="Garamond" w:hAnsi="Garamond" w:cs="Times New Roman"/>
          <w:b/>
          <w:sz w:val="28"/>
          <w:szCs w:val="28"/>
        </w:rPr>
        <w:t xml:space="preserve">sentenze nn. 4479, 4480, 4481 del 20/05/2024 la VII Sezione del Cons. Stato </w:t>
      </w:r>
      <w:r w:rsidRPr="00D835B0">
        <w:rPr>
          <w:rFonts w:ascii="Garamond" w:hAnsi="Garamond" w:cs="Times New Roman"/>
          <w:sz w:val="28"/>
          <w:szCs w:val="28"/>
        </w:rPr>
        <w:t>ha ribadito che tutte le proroghe delle concessioni demaniali marittime sono illegittime e devono essere disapplicate dalla p.a., imponendosi l’indizione di una trasparente, imparziale e non discriminatoria procedura selettiva</w:t>
      </w:r>
      <w:r w:rsidR="00C309A2">
        <w:rPr>
          <w:rStyle w:val="Rimandonotaapidipagina"/>
          <w:rFonts w:ascii="Garamond" w:hAnsi="Garamond" w:cs="Times New Roman"/>
          <w:sz w:val="28"/>
          <w:szCs w:val="28"/>
        </w:rPr>
        <w:footnoteReference w:id="10"/>
      </w:r>
      <w:r w:rsidRPr="00D835B0">
        <w:rPr>
          <w:rFonts w:ascii="Garamond" w:hAnsi="Garamond" w:cs="Times New Roman"/>
          <w:sz w:val="28"/>
          <w:szCs w:val="28"/>
        </w:rPr>
        <w:t>.</w:t>
      </w:r>
    </w:p>
    <w:p w14:paraId="53461550" w14:textId="77777777" w:rsidR="00AD6442" w:rsidRPr="00D835B0"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t xml:space="preserve">- </w:t>
      </w:r>
      <w:r w:rsidRPr="00D835B0">
        <w:rPr>
          <w:rFonts w:ascii="Garamond" w:hAnsi="Garamond" w:cs="Times New Roman"/>
          <w:sz w:val="28"/>
          <w:szCs w:val="28"/>
          <w:u w:val="single"/>
        </w:rPr>
        <w:t>Il C.d.S., ha rilevato che l’applicabilità dell’art. 12 direttiva 2006/123/CE è piena, diretta, incondizionata</w:t>
      </w:r>
      <w:r w:rsidRPr="00D835B0">
        <w:rPr>
          <w:rFonts w:ascii="Garamond" w:hAnsi="Garamond" w:cs="Times New Roman"/>
          <w:sz w:val="28"/>
          <w:szCs w:val="28"/>
        </w:rPr>
        <w:t xml:space="preserve"> e non è né può essere subordinata dal legislatore in nessun modo alla </w:t>
      </w:r>
      <w:r w:rsidRPr="00D835B0">
        <w:rPr>
          <w:rFonts w:ascii="Garamond" w:hAnsi="Garamond" w:cs="Times New Roman"/>
          <w:sz w:val="28"/>
          <w:szCs w:val="28"/>
        </w:rPr>
        <w:lastRenderedPageBreak/>
        <w:t xml:space="preserve">mappatura, in sede nazionale, della “scarsità” della risorsa o a qualsiasi riordino dell’intera materia. </w:t>
      </w:r>
      <w:r w:rsidRPr="00D835B0">
        <w:rPr>
          <w:rFonts w:ascii="Garamond" w:hAnsi="Garamond" w:cs="Times New Roman"/>
          <w:sz w:val="28"/>
          <w:szCs w:val="28"/>
          <w:u w:val="single"/>
        </w:rPr>
        <w:t>Tale scarsità è evidente, per le ragioni illustrate dal Consiglio di Stato, e si presume finché dall’autorità amministrativa competente non venga acclarato il contrario.</w:t>
      </w:r>
    </w:p>
    <w:p w14:paraId="42AC8F0E" w14:textId="77777777" w:rsidR="00AD6442" w:rsidRPr="00D835B0" w:rsidRDefault="00AD6442" w:rsidP="00AD6442">
      <w:pPr>
        <w:spacing w:after="0" w:line="276" w:lineRule="auto"/>
        <w:jc w:val="both"/>
        <w:rPr>
          <w:rFonts w:ascii="Garamond" w:hAnsi="Garamond" w:cs="Times New Roman"/>
          <w:sz w:val="28"/>
          <w:szCs w:val="28"/>
          <w:u w:val="single"/>
        </w:rPr>
      </w:pPr>
      <w:r w:rsidRPr="00D835B0">
        <w:rPr>
          <w:rFonts w:ascii="Garamond" w:hAnsi="Garamond" w:cs="Times New Roman"/>
          <w:sz w:val="28"/>
          <w:szCs w:val="28"/>
        </w:rPr>
        <w:t xml:space="preserve">- </w:t>
      </w:r>
      <w:r w:rsidRPr="00D835B0">
        <w:rPr>
          <w:rFonts w:ascii="Garamond" w:hAnsi="Garamond" w:cs="Times New Roman"/>
          <w:sz w:val="28"/>
          <w:szCs w:val="28"/>
          <w:u w:val="single"/>
        </w:rPr>
        <w:t>Qualora la p.a. competente ritenga non applicabile l’art. 12 direttiva 2006/123/CE, deve comunque, trovare applicazione l’art. 49 TFUE, laddove la singola concessione presenti un interesse transfrontaliero certo.</w:t>
      </w:r>
    </w:p>
    <w:p w14:paraId="70F8E2A0" w14:textId="77777777" w:rsidR="00AD6442" w:rsidRPr="00D835B0"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t xml:space="preserve">- Anche nelle eccezionali ipotesi di risorsa non scarsa e di contestuale assenza dell’interesse transfrontaliero certo, da provarsi in modo rigoroso, il </w:t>
      </w:r>
      <w:r w:rsidRPr="00D835B0">
        <w:rPr>
          <w:rFonts w:ascii="Garamond" w:hAnsi="Garamond" w:cs="Times New Roman"/>
          <w:sz w:val="28"/>
          <w:szCs w:val="28"/>
          <w:u w:val="single"/>
        </w:rPr>
        <w:t>diritto nazionale</w:t>
      </w:r>
      <w:r w:rsidRPr="00D835B0">
        <w:rPr>
          <w:rFonts w:ascii="Garamond" w:hAnsi="Garamond" w:cs="Times New Roman"/>
          <w:sz w:val="28"/>
          <w:szCs w:val="28"/>
        </w:rPr>
        <w:t xml:space="preserve"> (commi 1 e 3 dell'</w:t>
      </w:r>
      <w:r w:rsidRPr="00D835B0">
        <w:rPr>
          <w:rFonts w:ascii="Garamond" w:hAnsi="Garamond" w:cs="Times New Roman"/>
          <w:sz w:val="28"/>
          <w:szCs w:val="28"/>
          <w:u w:val="single"/>
        </w:rPr>
        <w:t>art. 3 L. 118/2022</w:t>
      </w:r>
      <w:r w:rsidRPr="00D835B0">
        <w:rPr>
          <w:rFonts w:ascii="Garamond" w:hAnsi="Garamond" w:cs="Times New Roman"/>
          <w:sz w:val="28"/>
          <w:szCs w:val="28"/>
        </w:rPr>
        <w:t xml:space="preserve"> nella originaria versione, disapplicate le modifiche apportate dalla L. 14 del 2023 che prorogano le scadenze di un ulteriore anno, ed il comma 2 dell'art. 3 L. 118/2022 nell’originaria versione, disapplicate le modifiche apportate dalla L. 14/2023) impone di procedere con procedura selettiva comparativa.</w:t>
      </w:r>
    </w:p>
    <w:p w14:paraId="171B0C76" w14:textId="77777777" w:rsidR="00AD6442" w:rsidRPr="00D835B0"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t>- Non esiste il c.d. diritto di insistenza, essendo le concessioni provvedimenti soggetti a scadenza e non automaticamente rinnovabili in favore al concessionario uscente.</w:t>
      </w:r>
    </w:p>
    <w:p w14:paraId="03B9D9EC" w14:textId="77777777" w:rsidR="00AD6442" w:rsidRPr="00D835B0"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t>- Si può ritenere compatibile con il diritto dell'Unione la sola proroga "tecnica" – funzionale allo svolgimento della gara – prevista dall'art. 3, cc. 1, 3 L. 118/2022 nella sua originaria formulazione, prima delle modifiche dei termini apportate dal d.l. 198/2022, laddove essa fissa come termine di efficacia delle concessioni il 31/12/2023 e consente alle p.a. competenti di prolungare la durata della concessione, con atto motivato, per il tempo strettamente necessario alla conclusione della procedura competitiva e, comunque, non oltre il termine del 31/12/2024 in presenza di ragioni oggettive che impediscono la conclusione della procedura selettiva entro il 31/12/2023, connesse, a titolo esemplificativo, alla pendenza di un contenzioso o a difficoltà oggettive legate all'espletamento della procedura stessa.</w:t>
      </w:r>
    </w:p>
    <w:p w14:paraId="0BE9D80D" w14:textId="77777777" w:rsidR="00AD6442" w:rsidRPr="00AD6442" w:rsidRDefault="00AD6442" w:rsidP="00AD6442">
      <w:pPr>
        <w:spacing w:after="0" w:line="276" w:lineRule="auto"/>
        <w:jc w:val="both"/>
        <w:rPr>
          <w:rFonts w:ascii="Garamond" w:hAnsi="Garamond" w:cs="Times New Roman"/>
          <w:b/>
          <w:sz w:val="28"/>
          <w:szCs w:val="28"/>
        </w:rPr>
      </w:pPr>
      <w:r w:rsidRPr="00AD6442">
        <w:rPr>
          <w:rFonts w:ascii="Garamond" w:hAnsi="Garamond" w:cs="Times New Roman"/>
          <w:b/>
          <w:sz w:val="28"/>
          <w:szCs w:val="28"/>
        </w:rPr>
        <w:t>Affinché possano legittimamente giovarsi di tale proroga le p.a. competenti devono avere già indetto la procedura selettiva o comunque avere deliberato di indirla in tempi brevissimi, emanando atti di indirizzo in tal senso e avviando senza indugio l’iter per la predisposizione dei bandi.</w:t>
      </w:r>
    </w:p>
    <w:p w14:paraId="25122FBC" w14:textId="77777777" w:rsidR="00AD6442" w:rsidRPr="00AD6442" w:rsidRDefault="00AD6442" w:rsidP="00AD6442">
      <w:pPr>
        <w:spacing w:after="0" w:line="276" w:lineRule="auto"/>
        <w:jc w:val="both"/>
        <w:rPr>
          <w:rFonts w:ascii="Garamond" w:hAnsi="Garamond" w:cs="Times New Roman"/>
          <w:b/>
          <w:sz w:val="28"/>
          <w:szCs w:val="28"/>
        </w:rPr>
      </w:pPr>
      <w:r w:rsidRPr="00AD6442">
        <w:rPr>
          <w:rFonts w:ascii="Garamond" w:hAnsi="Garamond" w:cs="Times New Roman"/>
          <w:b/>
          <w:sz w:val="28"/>
          <w:szCs w:val="28"/>
        </w:rPr>
        <w:t>L'art. 3, c. 3 L. 118/2022 consente, infatti, la proroga tecnica solo per il tempo strettamente necessario alla conclusione della procedura, che deve essere stata avviata e può ritenersi avviata in presenza quantomeno di un atto di indirizzo volto ad indire le gare.</w:t>
      </w:r>
    </w:p>
    <w:p w14:paraId="45BDFDF0" w14:textId="77777777" w:rsidR="00AD6442" w:rsidRPr="00D835B0"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t>Tale soluzione consente di evitare le incertezze prospettate dalle parti ed è legittima anche in relazione all'</w:t>
      </w:r>
      <w:r w:rsidRPr="00D835B0">
        <w:rPr>
          <w:rFonts w:ascii="Garamond" w:hAnsi="Garamond" w:cs="Times New Roman"/>
          <w:b/>
          <w:sz w:val="28"/>
          <w:szCs w:val="28"/>
        </w:rPr>
        <w:t>art. 1161 cod. nav.</w:t>
      </w:r>
      <w:r w:rsidRPr="00D835B0">
        <w:rPr>
          <w:rFonts w:ascii="Garamond" w:hAnsi="Garamond" w:cs="Times New Roman"/>
          <w:sz w:val="28"/>
          <w:szCs w:val="28"/>
        </w:rPr>
        <w:t>, come chiarisce lo stesso art. 3, c. 3, della L. 118 del 2022</w:t>
      </w:r>
      <w:r w:rsidRPr="00D835B0">
        <w:rPr>
          <w:rStyle w:val="Rimandonotaapidipagina"/>
          <w:rFonts w:ascii="Garamond" w:hAnsi="Garamond" w:cs="Times New Roman"/>
          <w:sz w:val="28"/>
          <w:szCs w:val="28"/>
        </w:rPr>
        <w:footnoteReference w:id="11"/>
      </w:r>
      <w:r w:rsidRPr="00D835B0">
        <w:rPr>
          <w:rFonts w:ascii="Garamond" w:hAnsi="Garamond" w:cs="Times New Roman"/>
          <w:sz w:val="28"/>
          <w:szCs w:val="28"/>
        </w:rPr>
        <w:t>.</w:t>
      </w:r>
    </w:p>
    <w:p w14:paraId="24C3B455" w14:textId="77777777" w:rsidR="00AD6442" w:rsidRPr="00D835B0" w:rsidRDefault="00AD6442" w:rsidP="00AD6442">
      <w:pPr>
        <w:spacing w:after="0" w:line="276" w:lineRule="auto"/>
        <w:jc w:val="both"/>
        <w:rPr>
          <w:rFonts w:ascii="Garamond" w:hAnsi="Garamond" w:cs="Times New Roman"/>
          <w:sz w:val="28"/>
          <w:szCs w:val="28"/>
        </w:rPr>
      </w:pPr>
    </w:p>
    <w:p w14:paraId="02E9FA0C" w14:textId="08634EFC" w:rsidR="00AD6442" w:rsidRPr="00D835B0" w:rsidRDefault="00AD6442" w:rsidP="00AD6442">
      <w:pPr>
        <w:spacing w:after="0" w:line="276" w:lineRule="auto"/>
        <w:jc w:val="both"/>
        <w:rPr>
          <w:rFonts w:ascii="Garamond" w:hAnsi="Garamond" w:cs="Times New Roman"/>
          <w:sz w:val="28"/>
          <w:szCs w:val="28"/>
        </w:rPr>
      </w:pPr>
      <w:r w:rsidRPr="00D835B0">
        <w:rPr>
          <w:rFonts w:ascii="Garamond" w:hAnsi="Garamond" w:cs="Times New Roman"/>
          <w:sz w:val="28"/>
          <w:szCs w:val="28"/>
        </w:rPr>
        <w:lastRenderedPageBreak/>
        <w:t xml:space="preserve">Con la </w:t>
      </w:r>
      <w:r w:rsidRPr="00D835B0">
        <w:rPr>
          <w:rFonts w:ascii="Garamond" w:hAnsi="Garamond" w:cs="Times New Roman"/>
          <w:b/>
          <w:sz w:val="28"/>
          <w:szCs w:val="28"/>
        </w:rPr>
        <w:t>sentenza “Società Italiana Impre</w:t>
      </w:r>
      <w:r w:rsidR="00B44D3B">
        <w:rPr>
          <w:rFonts w:ascii="Garamond" w:hAnsi="Garamond" w:cs="Times New Roman"/>
          <w:b/>
          <w:sz w:val="28"/>
          <w:szCs w:val="28"/>
        </w:rPr>
        <w:t>se Balneari srl” dell’11/07/</w:t>
      </w:r>
      <w:r w:rsidRPr="00D835B0">
        <w:rPr>
          <w:rFonts w:ascii="Garamond" w:hAnsi="Garamond" w:cs="Times New Roman"/>
          <w:b/>
          <w:sz w:val="28"/>
          <w:szCs w:val="28"/>
        </w:rPr>
        <w:t>2024 (causa C-598/22)</w:t>
      </w:r>
      <w:r w:rsidRPr="00D835B0">
        <w:rPr>
          <w:rFonts w:ascii="Garamond" w:hAnsi="Garamond" w:cs="Times New Roman"/>
          <w:sz w:val="28"/>
          <w:szCs w:val="28"/>
        </w:rPr>
        <w:t xml:space="preserve"> la </w:t>
      </w:r>
      <w:r w:rsidRPr="00D835B0">
        <w:rPr>
          <w:rFonts w:ascii="Garamond" w:hAnsi="Garamond" w:cs="Times New Roman"/>
          <w:b/>
          <w:sz w:val="28"/>
          <w:szCs w:val="28"/>
        </w:rPr>
        <w:t xml:space="preserve">CGUE </w:t>
      </w:r>
      <w:r w:rsidRPr="00D835B0">
        <w:rPr>
          <w:rFonts w:ascii="Garamond" w:hAnsi="Garamond" w:cs="Times New Roman"/>
          <w:sz w:val="28"/>
          <w:szCs w:val="28"/>
        </w:rPr>
        <w:t>si è pronunciata sulla conformità dell’art. 49 cod. nav. con il diritto UE</w:t>
      </w:r>
      <w:r w:rsidRPr="00D835B0">
        <w:rPr>
          <w:rStyle w:val="Rimandonotaapidipagina"/>
          <w:rFonts w:ascii="Garamond" w:hAnsi="Garamond" w:cs="Times New Roman"/>
          <w:sz w:val="28"/>
          <w:szCs w:val="28"/>
        </w:rPr>
        <w:footnoteReference w:id="12"/>
      </w:r>
      <w:r w:rsidRPr="00D835B0">
        <w:rPr>
          <w:rFonts w:ascii="Garamond" w:hAnsi="Garamond" w:cs="Times New Roman"/>
          <w:sz w:val="28"/>
          <w:szCs w:val="28"/>
        </w:rPr>
        <w:t xml:space="preserve"> </w:t>
      </w:r>
      <w:r w:rsidRPr="00D835B0">
        <w:rPr>
          <w:rStyle w:val="Rimandonotaapidipagina"/>
          <w:rFonts w:ascii="Garamond" w:hAnsi="Garamond" w:cs="Times New Roman"/>
          <w:sz w:val="28"/>
          <w:szCs w:val="28"/>
        </w:rPr>
        <w:footnoteReference w:id="13"/>
      </w:r>
      <w:r w:rsidRPr="00D835B0">
        <w:rPr>
          <w:rFonts w:ascii="Garamond" w:hAnsi="Garamond" w:cs="Times New Roman"/>
          <w:sz w:val="28"/>
          <w:szCs w:val="28"/>
        </w:rPr>
        <w:t>.</w:t>
      </w:r>
    </w:p>
    <w:p w14:paraId="114D8EE3" w14:textId="3FEEF9ED" w:rsidR="00374433" w:rsidRPr="003C2366" w:rsidRDefault="00374433" w:rsidP="003C2366">
      <w:pPr>
        <w:spacing w:after="0" w:line="240" w:lineRule="auto"/>
        <w:jc w:val="both"/>
        <w:rPr>
          <w:rFonts w:ascii="Garamond" w:hAnsi="Garamond" w:cs="Times New Roman"/>
          <w:b/>
          <w:sz w:val="28"/>
          <w:szCs w:val="28"/>
          <w:u w:val="single"/>
        </w:rPr>
      </w:pPr>
    </w:p>
    <w:p w14:paraId="7E0C5F6E" w14:textId="3F0C4DED" w:rsidR="003A0B7B" w:rsidRPr="003C2366" w:rsidRDefault="00F00A12" w:rsidP="003C2366">
      <w:pPr>
        <w:spacing w:after="0" w:line="240" w:lineRule="auto"/>
        <w:ind w:firstLine="709"/>
        <w:jc w:val="both"/>
        <w:rPr>
          <w:rFonts w:ascii="Garamond" w:hAnsi="Garamond" w:cs="Times New Roman"/>
          <w:b/>
          <w:sz w:val="28"/>
          <w:szCs w:val="28"/>
          <w:u w:val="single"/>
        </w:rPr>
      </w:pPr>
      <w:r w:rsidRPr="003C2366">
        <w:rPr>
          <w:rFonts w:ascii="Garamond" w:hAnsi="Garamond" w:cs="Times New Roman"/>
          <w:b/>
          <w:sz w:val="28"/>
          <w:szCs w:val="28"/>
        </w:rPr>
        <w:t xml:space="preserve">§ 2. </w:t>
      </w:r>
      <w:r w:rsidR="003A0B7B" w:rsidRPr="00EC75ED">
        <w:rPr>
          <w:rFonts w:ascii="Garamond" w:hAnsi="Garamond" w:cs="Times New Roman"/>
          <w:b/>
          <w:sz w:val="28"/>
          <w:szCs w:val="28"/>
          <w:u w:val="single"/>
        </w:rPr>
        <w:t>La n</w:t>
      </w:r>
      <w:r w:rsidR="008D5259" w:rsidRPr="00EC75ED">
        <w:rPr>
          <w:rFonts w:ascii="Garamond" w:hAnsi="Garamond" w:cs="Times New Roman"/>
          <w:b/>
          <w:sz w:val="28"/>
          <w:szCs w:val="28"/>
          <w:u w:val="single"/>
        </w:rPr>
        <w:t xml:space="preserve">uova disciplina del </w:t>
      </w:r>
      <w:r w:rsidR="008E07C6" w:rsidRPr="00EC75ED">
        <w:rPr>
          <w:rFonts w:ascii="Garamond" w:hAnsi="Garamond" w:cs="Times New Roman"/>
          <w:b/>
          <w:sz w:val="28"/>
          <w:szCs w:val="28"/>
          <w:u w:val="single"/>
        </w:rPr>
        <w:t>d.l.</w:t>
      </w:r>
      <w:r w:rsidR="008D5259" w:rsidRPr="00EC75ED">
        <w:rPr>
          <w:rFonts w:ascii="Garamond" w:hAnsi="Garamond" w:cs="Times New Roman"/>
          <w:b/>
          <w:sz w:val="28"/>
          <w:szCs w:val="28"/>
          <w:u w:val="single"/>
        </w:rPr>
        <w:t xml:space="preserve"> n. </w:t>
      </w:r>
      <w:r w:rsidR="0022008C" w:rsidRPr="00EC75ED">
        <w:rPr>
          <w:rFonts w:ascii="Garamond" w:hAnsi="Garamond" w:cs="Times New Roman"/>
          <w:b/>
          <w:sz w:val="28"/>
          <w:szCs w:val="28"/>
          <w:u w:val="single"/>
        </w:rPr>
        <w:t xml:space="preserve">131/2024, conv. con </w:t>
      </w:r>
      <w:r w:rsidR="008E07C6" w:rsidRPr="00EC75ED">
        <w:rPr>
          <w:rFonts w:ascii="Garamond" w:hAnsi="Garamond" w:cs="Times New Roman"/>
          <w:b/>
          <w:sz w:val="28"/>
          <w:szCs w:val="28"/>
          <w:u w:val="single"/>
        </w:rPr>
        <w:t>L.</w:t>
      </w:r>
      <w:r w:rsidR="0022008C" w:rsidRPr="00EC75ED">
        <w:rPr>
          <w:rFonts w:ascii="Garamond" w:hAnsi="Garamond" w:cs="Times New Roman"/>
          <w:b/>
          <w:sz w:val="28"/>
          <w:szCs w:val="28"/>
          <w:u w:val="single"/>
        </w:rPr>
        <w:t xml:space="preserve"> n. 166/</w:t>
      </w:r>
      <w:r w:rsidRPr="00EC75ED">
        <w:rPr>
          <w:rFonts w:ascii="Garamond" w:hAnsi="Garamond" w:cs="Times New Roman"/>
          <w:b/>
          <w:sz w:val="28"/>
          <w:szCs w:val="28"/>
          <w:u w:val="single"/>
        </w:rPr>
        <w:t>2024.</w:t>
      </w:r>
    </w:p>
    <w:p w14:paraId="3BB5F44D" w14:textId="77777777" w:rsidR="003A0B7B" w:rsidRPr="003C2366" w:rsidRDefault="003A0B7B" w:rsidP="003C2366">
      <w:pPr>
        <w:spacing w:after="0" w:line="240" w:lineRule="auto"/>
        <w:ind w:firstLine="709"/>
        <w:jc w:val="both"/>
        <w:rPr>
          <w:rFonts w:ascii="Garamond" w:hAnsi="Garamond" w:cs="Times New Roman"/>
          <w:sz w:val="28"/>
          <w:szCs w:val="28"/>
        </w:rPr>
      </w:pPr>
    </w:p>
    <w:p w14:paraId="4E69F2D5" w14:textId="35FADA09" w:rsidR="008D5259" w:rsidRPr="003C2366" w:rsidRDefault="003A0B7B" w:rsidP="003C2366">
      <w:pPr>
        <w:spacing w:after="0" w:line="240" w:lineRule="auto"/>
        <w:ind w:firstLine="709"/>
        <w:jc w:val="both"/>
        <w:rPr>
          <w:rFonts w:ascii="Garamond" w:hAnsi="Garamond" w:cs="Times New Roman"/>
          <w:sz w:val="28"/>
          <w:szCs w:val="28"/>
        </w:rPr>
      </w:pPr>
      <w:r w:rsidRPr="003C2366">
        <w:rPr>
          <w:rFonts w:ascii="Garamond" w:hAnsi="Garamond" w:cs="Times New Roman"/>
          <w:sz w:val="28"/>
          <w:szCs w:val="28"/>
        </w:rPr>
        <w:t xml:space="preserve">Il Governo, infine, riordina la materia dell’affidamento delle concessioni demaniali marittime emanando il </w:t>
      </w:r>
      <w:r w:rsidR="008E07C6" w:rsidRPr="003C2366">
        <w:rPr>
          <w:rFonts w:ascii="Garamond" w:hAnsi="Garamond" w:cs="Times New Roman"/>
          <w:b/>
          <w:sz w:val="28"/>
          <w:szCs w:val="28"/>
        </w:rPr>
        <w:t>d.l.</w:t>
      </w:r>
      <w:r w:rsidRPr="003C2366">
        <w:rPr>
          <w:rFonts w:ascii="Garamond" w:hAnsi="Garamond" w:cs="Times New Roman"/>
          <w:b/>
          <w:sz w:val="28"/>
          <w:szCs w:val="28"/>
        </w:rPr>
        <w:t xml:space="preserve"> 16</w:t>
      </w:r>
      <w:r w:rsidR="0022008C" w:rsidRPr="003C2366">
        <w:rPr>
          <w:rFonts w:ascii="Garamond" w:hAnsi="Garamond" w:cs="Times New Roman"/>
          <w:b/>
          <w:sz w:val="28"/>
          <w:szCs w:val="28"/>
        </w:rPr>
        <w:t>/09/</w:t>
      </w:r>
      <w:r w:rsidRPr="003C2366">
        <w:rPr>
          <w:rFonts w:ascii="Garamond" w:hAnsi="Garamond" w:cs="Times New Roman"/>
          <w:b/>
          <w:sz w:val="28"/>
          <w:szCs w:val="28"/>
        </w:rPr>
        <w:t>2024, n. 131</w:t>
      </w:r>
      <w:r w:rsidRPr="003C2366">
        <w:rPr>
          <w:rStyle w:val="Rimandonotaapidipagina"/>
          <w:rFonts w:ascii="Garamond" w:hAnsi="Garamond" w:cs="Times New Roman"/>
          <w:b/>
          <w:sz w:val="28"/>
          <w:szCs w:val="28"/>
        </w:rPr>
        <w:footnoteReference w:id="14"/>
      </w:r>
      <w:r w:rsidRPr="003C2366">
        <w:rPr>
          <w:rFonts w:ascii="Garamond" w:hAnsi="Garamond" w:cs="Times New Roman"/>
          <w:b/>
          <w:sz w:val="28"/>
          <w:szCs w:val="28"/>
        </w:rPr>
        <w:t xml:space="preserve"> </w:t>
      </w:r>
      <w:r w:rsidR="008D5259" w:rsidRPr="003A43A2">
        <w:rPr>
          <w:rFonts w:ascii="Garamond" w:hAnsi="Garamond" w:cs="Times New Roman"/>
          <w:b/>
          <w:sz w:val="28"/>
          <w:szCs w:val="28"/>
        </w:rPr>
        <w:t>(conv.</w:t>
      </w:r>
      <w:r w:rsidR="003A43A2">
        <w:rPr>
          <w:rFonts w:ascii="Garamond" w:hAnsi="Garamond" w:cs="Times New Roman"/>
          <w:b/>
          <w:sz w:val="28"/>
          <w:szCs w:val="28"/>
        </w:rPr>
        <w:t>,</w:t>
      </w:r>
      <w:r w:rsidR="008D5259" w:rsidRPr="003A43A2">
        <w:rPr>
          <w:rFonts w:ascii="Garamond" w:hAnsi="Garamond" w:cs="Times New Roman"/>
          <w:b/>
          <w:sz w:val="28"/>
          <w:szCs w:val="28"/>
        </w:rPr>
        <w:t xml:space="preserve"> con mod.</w:t>
      </w:r>
      <w:r w:rsidR="003A43A2">
        <w:rPr>
          <w:rFonts w:ascii="Garamond" w:hAnsi="Garamond" w:cs="Times New Roman"/>
          <w:b/>
          <w:sz w:val="28"/>
          <w:szCs w:val="28"/>
        </w:rPr>
        <w:t>,</w:t>
      </w:r>
      <w:r w:rsidR="008D5259" w:rsidRPr="003A43A2">
        <w:rPr>
          <w:rFonts w:ascii="Garamond" w:hAnsi="Garamond" w:cs="Times New Roman"/>
          <w:b/>
          <w:sz w:val="28"/>
          <w:szCs w:val="28"/>
        </w:rPr>
        <w:t xml:space="preserve"> dalla </w:t>
      </w:r>
      <w:r w:rsidR="008E07C6" w:rsidRPr="003A43A2">
        <w:rPr>
          <w:rFonts w:ascii="Garamond" w:hAnsi="Garamond" w:cs="Times New Roman"/>
          <w:b/>
          <w:sz w:val="28"/>
          <w:szCs w:val="28"/>
        </w:rPr>
        <w:t>L.</w:t>
      </w:r>
      <w:r w:rsidR="0022008C" w:rsidRPr="003A43A2">
        <w:rPr>
          <w:rFonts w:ascii="Garamond" w:hAnsi="Garamond" w:cs="Times New Roman"/>
          <w:b/>
          <w:sz w:val="28"/>
          <w:szCs w:val="28"/>
        </w:rPr>
        <w:t xml:space="preserve"> 14/11/</w:t>
      </w:r>
      <w:r w:rsidRPr="003A43A2">
        <w:rPr>
          <w:rFonts w:ascii="Garamond" w:hAnsi="Garamond" w:cs="Times New Roman"/>
          <w:b/>
          <w:sz w:val="28"/>
          <w:szCs w:val="28"/>
        </w:rPr>
        <w:t>2024, n. 166)</w:t>
      </w:r>
      <w:r w:rsidRPr="003C2366">
        <w:rPr>
          <w:rFonts w:ascii="Garamond" w:hAnsi="Garamond" w:cs="Times New Roman"/>
          <w:sz w:val="28"/>
          <w:szCs w:val="28"/>
        </w:rPr>
        <w:t xml:space="preserve">, il cui </w:t>
      </w:r>
      <w:r w:rsidRPr="003C2366">
        <w:rPr>
          <w:rFonts w:ascii="Garamond" w:hAnsi="Garamond" w:cs="Times New Roman"/>
          <w:b/>
          <w:sz w:val="28"/>
          <w:szCs w:val="28"/>
        </w:rPr>
        <w:t>art. 1</w:t>
      </w:r>
      <w:r w:rsidRPr="003C2366">
        <w:rPr>
          <w:rFonts w:ascii="Garamond" w:hAnsi="Garamond" w:cs="Times New Roman"/>
          <w:sz w:val="28"/>
          <w:szCs w:val="28"/>
        </w:rPr>
        <w:t xml:space="preserve"> è rubricato “</w:t>
      </w:r>
      <w:r w:rsidRPr="003C2366">
        <w:rPr>
          <w:rFonts w:ascii="Garamond" w:hAnsi="Garamond" w:cs="Times New Roman"/>
          <w:i/>
          <w:sz w:val="28"/>
          <w:szCs w:val="28"/>
        </w:rPr>
        <w:t>disposizioni urgenti in materia di concessioni demaniali marittime, lacuali e fluviali per finalità turistico-ricreative e sportive - Procedura di infrazione n. 2020/4118</w:t>
      </w:r>
      <w:r w:rsidR="008D5259" w:rsidRPr="003C2366">
        <w:rPr>
          <w:rFonts w:ascii="Garamond" w:hAnsi="Garamond" w:cs="Times New Roman"/>
          <w:sz w:val="28"/>
          <w:szCs w:val="28"/>
        </w:rPr>
        <w:t>”.</w:t>
      </w:r>
    </w:p>
    <w:p w14:paraId="5195AC72" w14:textId="77777777" w:rsidR="008D5259" w:rsidRPr="003C2366" w:rsidRDefault="008D5259" w:rsidP="003C2366">
      <w:pPr>
        <w:spacing w:after="0" w:line="240" w:lineRule="auto"/>
        <w:ind w:firstLine="709"/>
        <w:jc w:val="both"/>
        <w:rPr>
          <w:rFonts w:ascii="Garamond" w:hAnsi="Garamond" w:cs="Times New Roman"/>
          <w:sz w:val="28"/>
          <w:szCs w:val="28"/>
        </w:rPr>
      </w:pPr>
    </w:p>
    <w:p w14:paraId="76056DCC" w14:textId="6D7AA016" w:rsidR="003A0B7B" w:rsidRPr="003C2366" w:rsidRDefault="003A0B7B" w:rsidP="003C2366">
      <w:pPr>
        <w:spacing w:after="0" w:line="240" w:lineRule="auto"/>
        <w:ind w:firstLine="709"/>
        <w:jc w:val="both"/>
        <w:rPr>
          <w:rFonts w:ascii="Garamond" w:hAnsi="Garamond" w:cs="Times New Roman"/>
          <w:sz w:val="28"/>
          <w:szCs w:val="28"/>
        </w:rPr>
      </w:pPr>
      <w:r w:rsidRPr="003C2366">
        <w:rPr>
          <w:rFonts w:ascii="Garamond" w:hAnsi="Garamond" w:cs="Times New Roman"/>
          <w:sz w:val="28"/>
          <w:szCs w:val="28"/>
        </w:rPr>
        <w:t>Le disp</w:t>
      </w:r>
      <w:r w:rsidR="008D5259" w:rsidRPr="003C2366">
        <w:rPr>
          <w:rFonts w:ascii="Garamond" w:hAnsi="Garamond" w:cs="Times New Roman"/>
          <w:sz w:val="28"/>
          <w:szCs w:val="28"/>
        </w:rPr>
        <w:t xml:space="preserve">osizioni modificano gli </w:t>
      </w:r>
      <w:r w:rsidR="0022008C" w:rsidRPr="003C2366">
        <w:rPr>
          <w:rFonts w:ascii="Garamond" w:hAnsi="Garamond" w:cs="Times New Roman"/>
          <w:sz w:val="28"/>
          <w:szCs w:val="28"/>
        </w:rPr>
        <w:t xml:space="preserve">artt. 3 e 4 della </w:t>
      </w:r>
      <w:r w:rsidR="008E07C6" w:rsidRPr="003C2366">
        <w:rPr>
          <w:rFonts w:ascii="Garamond" w:hAnsi="Garamond" w:cs="Times New Roman"/>
          <w:sz w:val="28"/>
          <w:szCs w:val="28"/>
        </w:rPr>
        <w:t>L.</w:t>
      </w:r>
      <w:r w:rsidR="0022008C" w:rsidRPr="003C2366">
        <w:rPr>
          <w:rFonts w:ascii="Garamond" w:hAnsi="Garamond" w:cs="Times New Roman"/>
          <w:sz w:val="28"/>
          <w:szCs w:val="28"/>
        </w:rPr>
        <w:t xml:space="preserve"> n. 118/</w:t>
      </w:r>
      <w:r w:rsidRPr="003C2366">
        <w:rPr>
          <w:rFonts w:ascii="Garamond" w:hAnsi="Garamond" w:cs="Times New Roman"/>
          <w:sz w:val="28"/>
          <w:szCs w:val="28"/>
        </w:rPr>
        <w:t>2022.</w:t>
      </w:r>
    </w:p>
    <w:p w14:paraId="495229E3" w14:textId="77777777" w:rsidR="00140EF7" w:rsidRPr="003C2366" w:rsidRDefault="00140EF7" w:rsidP="003C2366">
      <w:pPr>
        <w:spacing w:after="0" w:line="240" w:lineRule="auto"/>
        <w:ind w:firstLine="709"/>
        <w:jc w:val="both"/>
        <w:rPr>
          <w:rFonts w:ascii="Garamond" w:hAnsi="Garamond" w:cs="Times New Roman"/>
          <w:sz w:val="28"/>
          <w:szCs w:val="28"/>
        </w:rPr>
      </w:pPr>
    </w:p>
    <w:p w14:paraId="701DD030" w14:textId="7D45CEED" w:rsidR="00140EF7" w:rsidRPr="003C2366" w:rsidRDefault="00140EF7" w:rsidP="003C2366">
      <w:pPr>
        <w:spacing w:after="0" w:line="240" w:lineRule="auto"/>
        <w:ind w:firstLine="709"/>
        <w:jc w:val="both"/>
        <w:rPr>
          <w:rFonts w:ascii="Garamond" w:hAnsi="Garamond"/>
          <w:sz w:val="28"/>
          <w:szCs w:val="28"/>
        </w:rPr>
      </w:pPr>
      <w:r w:rsidRPr="003C2366">
        <w:rPr>
          <w:rFonts w:ascii="Garamond" w:hAnsi="Garamond"/>
          <w:sz w:val="28"/>
          <w:szCs w:val="28"/>
        </w:rPr>
        <w:t>La modifica in esame è finalizzat</w:t>
      </w:r>
      <w:r w:rsidR="007C0643">
        <w:rPr>
          <w:rFonts w:ascii="Garamond" w:hAnsi="Garamond"/>
          <w:sz w:val="28"/>
          <w:szCs w:val="28"/>
        </w:rPr>
        <w:t>a a rimediare alla procedura d’</w:t>
      </w:r>
      <w:r w:rsidRPr="003C2366">
        <w:rPr>
          <w:rFonts w:ascii="Garamond" w:hAnsi="Garamond"/>
          <w:sz w:val="28"/>
          <w:szCs w:val="28"/>
        </w:rPr>
        <w:t>infrazione avviata nel novembre 2023 dalla Commissione europea, individuando al contempo una disciplina transitoria applicabile al rinnovo delle concessioni e conforme alle indicazioni provenienti dalle istituzioni euro-unitarie.</w:t>
      </w:r>
    </w:p>
    <w:p w14:paraId="42C8C2C4" w14:textId="5ADB97CB" w:rsidR="00140EF7" w:rsidRPr="003C2366" w:rsidRDefault="00140EF7" w:rsidP="003C2366">
      <w:pPr>
        <w:spacing w:after="0" w:line="240" w:lineRule="auto"/>
        <w:jc w:val="both"/>
        <w:rPr>
          <w:rFonts w:ascii="Garamond" w:hAnsi="Garamond"/>
          <w:sz w:val="28"/>
          <w:szCs w:val="28"/>
        </w:rPr>
      </w:pPr>
      <w:r w:rsidRPr="003C2366">
        <w:rPr>
          <w:rFonts w:ascii="Garamond" w:hAnsi="Garamond"/>
          <w:sz w:val="28"/>
          <w:szCs w:val="28"/>
        </w:rPr>
        <w:t xml:space="preserve">Di seguito, le principali novità </w:t>
      </w:r>
      <w:r w:rsidR="001278D7">
        <w:rPr>
          <w:rFonts w:ascii="Garamond" w:hAnsi="Garamond"/>
          <w:sz w:val="28"/>
          <w:szCs w:val="28"/>
        </w:rPr>
        <w:t>introdotte dal decreto in esame.</w:t>
      </w:r>
    </w:p>
    <w:p w14:paraId="2AE4A076" w14:textId="6D51084B" w:rsidR="00140EF7" w:rsidRPr="003C2366" w:rsidRDefault="001278D7" w:rsidP="003C2366">
      <w:pPr>
        <w:numPr>
          <w:ilvl w:val="0"/>
          <w:numId w:val="4"/>
        </w:numPr>
        <w:spacing w:after="0" w:line="240" w:lineRule="auto"/>
        <w:jc w:val="both"/>
        <w:rPr>
          <w:rFonts w:ascii="Garamond" w:hAnsi="Garamond"/>
          <w:sz w:val="28"/>
          <w:szCs w:val="28"/>
        </w:rPr>
      </w:pPr>
      <w:r>
        <w:rPr>
          <w:rFonts w:ascii="Garamond" w:hAnsi="Garamond"/>
          <w:sz w:val="28"/>
          <w:szCs w:val="28"/>
        </w:rPr>
        <w:t>C</w:t>
      </w:r>
      <w:r w:rsidR="00140EF7" w:rsidRPr="003C2366">
        <w:rPr>
          <w:rFonts w:ascii="Garamond" w:hAnsi="Garamond"/>
          <w:sz w:val="28"/>
          <w:szCs w:val="28"/>
        </w:rPr>
        <w:t xml:space="preserve">on l’art. 1 viene modificato l’art. 3 della </w:t>
      </w:r>
      <w:r w:rsidR="008E07C6" w:rsidRPr="003C2366">
        <w:rPr>
          <w:rFonts w:ascii="Garamond" w:hAnsi="Garamond"/>
          <w:sz w:val="28"/>
          <w:szCs w:val="28"/>
        </w:rPr>
        <w:t>L.</w:t>
      </w:r>
      <w:r w:rsidR="00140EF7" w:rsidRPr="003C2366">
        <w:rPr>
          <w:rFonts w:ascii="Garamond" w:hAnsi="Garamond"/>
          <w:sz w:val="28"/>
          <w:szCs w:val="28"/>
        </w:rPr>
        <w:t xml:space="preserve"> </w:t>
      </w:r>
      <w:r w:rsidR="000C2BE6" w:rsidRPr="003C2366">
        <w:rPr>
          <w:rFonts w:ascii="Garamond" w:hAnsi="Garamond"/>
          <w:sz w:val="28"/>
          <w:szCs w:val="28"/>
        </w:rPr>
        <w:t xml:space="preserve">n. </w:t>
      </w:r>
      <w:r w:rsidR="00140EF7" w:rsidRPr="003C2366">
        <w:rPr>
          <w:rFonts w:ascii="Garamond" w:hAnsi="Garamond"/>
          <w:sz w:val="28"/>
          <w:szCs w:val="28"/>
        </w:rPr>
        <w:t>118/2022 relativamente alla parte in cui la disposizione prevedeva una proroga dell’efficacia delle concessioni demaniali marittime già rilasciate sino al 31</w:t>
      </w:r>
      <w:r w:rsidR="0022008C" w:rsidRPr="003C2366">
        <w:rPr>
          <w:rFonts w:ascii="Garamond" w:hAnsi="Garamond"/>
          <w:sz w:val="28"/>
          <w:szCs w:val="28"/>
        </w:rPr>
        <w:t>/12/</w:t>
      </w:r>
      <w:r w:rsidR="00140EF7" w:rsidRPr="003C2366">
        <w:rPr>
          <w:rFonts w:ascii="Garamond" w:hAnsi="Garamond"/>
          <w:sz w:val="28"/>
          <w:szCs w:val="28"/>
        </w:rPr>
        <w:t>2024, ora estesa fino al 30</w:t>
      </w:r>
      <w:r w:rsidR="0022008C" w:rsidRPr="003C2366">
        <w:rPr>
          <w:rFonts w:ascii="Garamond" w:hAnsi="Garamond"/>
          <w:sz w:val="28"/>
          <w:szCs w:val="28"/>
        </w:rPr>
        <w:t>/09/</w:t>
      </w:r>
      <w:r w:rsidR="00140EF7" w:rsidRPr="003C2366">
        <w:rPr>
          <w:rFonts w:ascii="Garamond" w:hAnsi="Garamond"/>
          <w:sz w:val="28"/>
          <w:szCs w:val="28"/>
        </w:rPr>
        <w:t xml:space="preserve">2027. Alla medesima disposizione si specifica che tale scelta è preordinata al fine di consentire l'ordinata programmazione delle procedure di affidamento di cui </w:t>
      </w:r>
      <w:r w:rsidR="007C0643">
        <w:rPr>
          <w:rFonts w:ascii="Garamond" w:hAnsi="Garamond"/>
          <w:sz w:val="28"/>
          <w:szCs w:val="28"/>
        </w:rPr>
        <w:t>all'art.</w:t>
      </w:r>
      <w:r w:rsidR="00140EF7" w:rsidRPr="003C2366">
        <w:rPr>
          <w:rFonts w:ascii="Garamond" w:hAnsi="Garamond"/>
          <w:sz w:val="28"/>
          <w:szCs w:val="28"/>
        </w:rPr>
        <w:t xml:space="preserve"> 4 e il loro svolgimento nel rispetto del diritto dell'Unione europea e sempre secondo le modalità</w:t>
      </w:r>
      <w:r w:rsidR="007C0643">
        <w:rPr>
          <w:rFonts w:ascii="Garamond" w:hAnsi="Garamond"/>
          <w:sz w:val="28"/>
          <w:szCs w:val="28"/>
        </w:rPr>
        <w:t xml:space="preserve"> stabilite dal medesimo art.</w:t>
      </w:r>
      <w:r>
        <w:rPr>
          <w:rFonts w:ascii="Garamond" w:hAnsi="Garamond"/>
          <w:sz w:val="28"/>
          <w:szCs w:val="28"/>
        </w:rPr>
        <w:t xml:space="preserve"> 4.</w:t>
      </w:r>
    </w:p>
    <w:p w14:paraId="61EC6FA3" w14:textId="57C1B032" w:rsidR="000A0B43" w:rsidRPr="00EE4863" w:rsidRDefault="001278D7" w:rsidP="00EE4863">
      <w:pPr>
        <w:numPr>
          <w:ilvl w:val="0"/>
          <w:numId w:val="4"/>
        </w:numPr>
        <w:spacing w:after="0" w:line="240" w:lineRule="auto"/>
        <w:jc w:val="both"/>
        <w:rPr>
          <w:rFonts w:ascii="Garamond" w:hAnsi="Garamond"/>
          <w:sz w:val="28"/>
          <w:szCs w:val="28"/>
        </w:rPr>
      </w:pPr>
      <w:r>
        <w:rPr>
          <w:rFonts w:ascii="Garamond" w:hAnsi="Garamond"/>
          <w:sz w:val="28"/>
          <w:szCs w:val="28"/>
        </w:rPr>
        <w:t>A</w:t>
      </w:r>
      <w:r w:rsidR="0022008C" w:rsidRPr="003C2366">
        <w:rPr>
          <w:rFonts w:ascii="Garamond" w:hAnsi="Garamond"/>
          <w:sz w:val="28"/>
          <w:szCs w:val="28"/>
        </w:rPr>
        <w:t xml:space="preserve">ncora, all’art. 3 della </w:t>
      </w:r>
      <w:r w:rsidR="008E07C6" w:rsidRPr="003C2366">
        <w:rPr>
          <w:rFonts w:ascii="Garamond" w:hAnsi="Garamond"/>
          <w:sz w:val="28"/>
          <w:szCs w:val="28"/>
        </w:rPr>
        <w:t>L.</w:t>
      </w:r>
      <w:r w:rsidR="00140EF7" w:rsidRPr="003C2366">
        <w:rPr>
          <w:rFonts w:ascii="Garamond" w:hAnsi="Garamond"/>
          <w:sz w:val="28"/>
          <w:szCs w:val="28"/>
        </w:rPr>
        <w:t xml:space="preserve"> </w:t>
      </w:r>
      <w:r w:rsidR="0022008C" w:rsidRPr="003C2366">
        <w:rPr>
          <w:rFonts w:ascii="Garamond" w:hAnsi="Garamond"/>
          <w:sz w:val="28"/>
          <w:szCs w:val="28"/>
        </w:rPr>
        <w:t xml:space="preserve">n. </w:t>
      </w:r>
      <w:r w:rsidR="00140EF7" w:rsidRPr="003C2366">
        <w:rPr>
          <w:rFonts w:ascii="Garamond" w:hAnsi="Garamond"/>
          <w:sz w:val="28"/>
          <w:szCs w:val="28"/>
        </w:rPr>
        <w:t>118/2022 si arricchisce il numero di concessioni oggetto della proroga, ricomprendendo ora la norma le concessioni demaniali marittime, lacuali e fluviali per l'esercizio delle attività turistico-ricreati</w:t>
      </w:r>
      <w:r w:rsidR="007C0643">
        <w:rPr>
          <w:rFonts w:ascii="Garamond" w:hAnsi="Garamond"/>
          <w:sz w:val="28"/>
          <w:szCs w:val="28"/>
        </w:rPr>
        <w:t xml:space="preserve">ve e sportive di cui all'art. </w:t>
      </w:r>
      <w:r w:rsidR="007C0643">
        <w:rPr>
          <w:rFonts w:ascii="Garamond" w:hAnsi="Garamond"/>
          <w:sz w:val="28"/>
          <w:szCs w:val="28"/>
        </w:rPr>
        <w:lastRenderedPageBreak/>
        <w:t xml:space="preserve">01, c. 1 </w:t>
      </w:r>
      <w:r w:rsidR="008E07C6" w:rsidRPr="003C2366">
        <w:rPr>
          <w:rFonts w:ascii="Garamond" w:hAnsi="Garamond"/>
          <w:sz w:val="28"/>
          <w:szCs w:val="28"/>
        </w:rPr>
        <w:t>d.l.</w:t>
      </w:r>
      <w:r w:rsidR="00140EF7" w:rsidRPr="003C2366">
        <w:rPr>
          <w:rFonts w:ascii="Garamond" w:hAnsi="Garamond"/>
          <w:sz w:val="28"/>
          <w:szCs w:val="28"/>
        </w:rPr>
        <w:t xml:space="preserve"> </w:t>
      </w:r>
      <w:r w:rsidR="0022008C" w:rsidRPr="003C2366">
        <w:rPr>
          <w:rFonts w:ascii="Garamond" w:hAnsi="Garamond"/>
          <w:sz w:val="28"/>
          <w:szCs w:val="28"/>
        </w:rPr>
        <w:t>0</w:t>
      </w:r>
      <w:r w:rsidR="00140EF7" w:rsidRPr="003C2366">
        <w:rPr>
          <w:rFonts w:ascii="Garamond" w:hAnsi="Garamond"/>
          <w:sz w:val="28"/>
          <w:szCs w:val="28"/>
        </w:rPr>
        <w:t>5</w:t>
      </w:r>
      <w:r w:rsidR="0022008C" w:rsidRPr="003C2366">
        <w:rPr>
          <w:rFonts w:ascii="Garamond" w:hAnsi="Garamond"/>
          <w:sz w:val="28"/>
          <w:szCs w:val="28"/>
        </w:rPr>
        <w:t>/10/</w:t>
      </w:r>
      <w:r w:rsidR="00140EF7" w:rsidRPr="003C2366">
        <w:rPr>
          <w:rFonts w:ascii="Garamond" w:hAnsi="Garamond"/>
          <w:sz w:val="28"/>
          <w:szCs w:val="28"/>
        </w:rPr>
        <w:t>1993, n. 40</w:t>
      </w:r>
      <w:r w:rsidR="007C0643">
        <w:rPr>
          <w:rFonts w:ascii="Garamond" w:hAnsi="Garamond"/>
          <w:sz w:val="28"/>
          <w:szCs w:val="28"/>
        </w:rPr>
        <w:t>0, conv.</w:t>
      </w:r>
      <w:r w:rsidR="0022008C" w:rsidRPr="003C2366">
        <w:rPr>
          <w:rFonts w:ascii="Garamond" w:hAnsi="Garamond"/>
          <w:sz w:val="28"/>
          <w:szCs w:val="28"/>
        </w:rPr>
        <w:t xml:space="preserve">, con mod., dalla </w:t>
      </w:r>
      <w:r w:rsidR="008E07C6" w:rsidRPr="003C2366">
        <w:rPr>
          <w:rFonts w:ascii="Garamond" w:hAnsi="Garamond"/>
          <w:sz w:val="28"/>
          <w:szCs w:val="28"/>
        </w:rPr>
        <w:t>L.</w:t>
      </w:r>
      <w:r w:rsidR="00140EF7" w:rsidRPr="003C2366">
        <w:rPr>
          <w:rFonts w:ascii="Garamond" w:hAnsi="Garamond"/>
          <w:sz w:val="28"/>
          <w:szCs w:val="28"/>
        </w:rPr>
        <w:t xml:space="preserve"> </w:t>
      </w:r>
      <w:r w:rsidR="0022008C" w:rsidRPr="003C2366">
        <w:rPr>
          <w:rFonts w:ascii="Garamond" w:hAnsi="Garamond"/>
          <w:sz w:val="28"/>
          <w:szCs w:val="28"/>
        </w:rPr>
        <w:t>04/12/</w:t>
      </w:r>
      <w:r w:rsidR="00140EF7" w:rsidRPr="003C2366">
        <w:rPr>
          <w:rFonts w:ascii="Garamond" w:hAnsi="Garamond"/>
          <w:sz w:val="28"/>
          <w:szCs w:val="28"/>
        </w:rPr>
        <w:t xml:space="preserve">1993, n. 494, quelle gestite dalle società e associazioni sportive iscritte nel Registro nazionale delle attività sportive dilettantistiche di cui al </w:t>
      </w:r>
      <w:r w:rsidR="007C0643">
        <w:rPr>
          <w:rFonts w:ascii="Garamond" w:hAnsi="Garamond"/>
          <w:sz w:val="28"/>
          <w:szCs w:val="28"/>
        </w:rPr>
        <w:t>d.lgs. 28/02/</w:t>
      </w:r>
      <w:r w:rsidR="00140EF7" w:rsidRPr="003C2366">
        <w:rPr>
          <w:rFonts w:ascii="Garamond" w:hAnsi="Garamond"/>
          <w:sz w:val="28"/>
          <w:szCs w:val="28"/>
        </w:rPr>
        <w:t>2021, n. 39, e quelle gestite dagli enti del Terzo sett</w:t>
      </w:r>
      <w:r w:rsidR="007C0643">
        <w:rPr>
          <w:rFonts w:ascii="Garamond" w:hAnsi="Garamond"/>
          <w:sz w:val="28"/>
          <w:szCs w:val="28"/>
        </w:rPr>
        <w:t>ore di cui all'art.</w:t>
      </w:r>
      <w:r w:rsidR="0022008C" w:rsidRPr="003C2366">
        <w:rPr>
          <w:rFonts w:ascii="Garamond" w:hAnsi="Garamond"/>
          <w:sz w:val="28"/>
          <w:szCs w:val="28"/>
        </w:rPr>
        <w:t xml:space="preserve"> 4, c. 1 </w:t>
      </w:r>
      <w:r w:rsidR="00140EF7" w:rsidRPr="003C2366">
        <w:rPr>
          <w:rFonts w:ascii="Garamond" w:hAnsi="Garamond"/>
          <w:sz w:val="28"/>
          <w:szCs w:val="28"/>
        </w:rPr>
        <w:t xml:space="preserve">del codice di cui al </w:t>
      </w:r>
      <w:r w:rsidR="0022008C" w:rsidRPr="003C2366">
        <w:rPr>
          <w:rFonts w:ascii="Garamond" w:hAnsi="Garamond"/>
          <w:sz w:val="28"/>
          <w:szCs w:val="28"/>
        </w:rPr>
        <w:t>d.lgs.</w:t>
      </w:r>
      <w:r w:rsidR="00140EF7" w:rsidRPr="003C2366">
        <w:rPr>
          <w:rFonts w:ascii="Garamond" w:hAnsi="Garamond"/>
          <w:sz w:val="28"/>
          <w:szCs w:val="28"/>
        </w:rPr>
        <w:t xml:space="preserve"> </w:t>
      </w:r>
      <w:r w:rsidR="0022008C" w:rsidRPr="003C2366">
        <w:rPr>
          <w:rFonts w:ascii="Garamond" w:hAnsi="Garamond"/>
          <w:sz w:val="28"/>
          <w:szCs w:val="28"/>
        </w:rPr>
        <w:t>03/07/</w:t>
      </w:r>
      <w:r>
        <w:rPr>
          <w:rFonts w:ascii="Garamond" w:hAnsi="Garamond"/>
          <w:sz w:val="28"/>
          <w:szCs w:val="28"/>
        </w:rPr>
        <w:t>2017, n. 117.</w:t>
      </w:r>
    </w:p>
    <w:p w14:paraId="5392AAA0" w14:textId="0F8E8E51" w:rsidR="00140EF7" w:rsidRPr="003C2366" w:rsidRDefault="001278D7" w:rsidP="003C2366">
      <w:pPr>
        <w:numPr>
          <w:ilvl w:val="0"/>
          <w:numId w:val="4"/>
        </w:numPr>
        <w:spacing w:after="0" w:line="240" w:lineRule="auto"/>
        <w:jc w:val="both"/>
        <w:rPr>
          <w:rFonts w:ascii="Garamond" w:hAnsi="Garamond"/>
          <w:sz w:val="28"/>
          <w:szCs w:val="28"/>
        </w:rPr>
      </w:pPr>
      <w:r>
        <w:rPr>
          <w:rFonts w:ascii="Garamond" w:hAnsi="Garamond"/>
          <w:sz w:val="28"/>
          <w:szCs w:val="28"/>
        </w:rPr>
        <w:t>O</w:t>
      </w:r>
      <w:r w:rsidR="00140EF7" w:rsidRPr="003C2366">
        <w:rPr>
          <w:rFonts w:ascii="Garamond" w:hAnsi="Garamond"/>
          <w:sz w:val="28"/>
          <w:szCs w:val="28"/>
        </w:rPr>
        <w:t xml:space="preserve">ltre alla predetta proroga, si introduce, laddove vengano accertate ragioni oggettive che impediscono la conclusione della procedura selettiva, secondo le </w:t>
      </w:r>
      <w:r w:rsidR="0022008C" w:rsidRPr="003C2366">
        <w:rPr>
          <w:rFonts w:ascii="Garamond" w:hAnsi="Garamond"/>
          <w:sz w:val="28"/>
          <w:szCs w:val="28"/>
        </w:rPr>
        <w:t>modalità stabilite dall'art.</w:t>
      </w:r>
      <w:r w:rsidR="00140EF7" w:rsidRPr="003C2366">
        <w:rPr>
          <w:rFonts w:ascii="Garamond" w:hAnsi="Garamond"/>
          <w:sz w:val="28"/>
          <w:szCs w:val="28"/>
        </w:rPr>
        <w:t xml:space="preserve"> 4, entro il 30</w:t>
      </w:r>
      <w:r w:rsidR="0022008C" w:rsidRPr="003C2366">
        <w:rPr>
          <w:rFonts w:ascii="Garamond" w:hAnsi="Garamond"/>
          <w:sz w:val="28"/>
          <w:szCs w:val="28"/>
        </w:rPr>
        <w:t>/09/</w:t>
      </w:r>
      <w:r w:rsidR="00140EF7" w:rsidRPr="003C2366">
        <w:rPr>
          <w:rFonts w:ascii="Garamond" w:hAnsi="Garamond"/>
          <w:sz w:val="28"/>
          <w:szCs w:val="28"/>
        </w:rPr>
        <w:t>2027, connesse, a titolo esemplificativo, alla pendenza di un contenzioso o a difficoltà oggettive legate all'espletamento della procedura stessa, la possibilità per l’amministrazione competente, con atto motivato, di differire il termine di scadenza delle concessioni in essere per il tempo strettamente necessario alla conclusione della procedura e, comunque, non oltre il 31</w:t>
      </w:r>
      <w:r w:rsidR="0022008C" w:rsidRPr="003C2366">
        <w:rPr>
          <w:rFonts w:ascii="Garamond" w:hAnsi="Garamond"/>
          <w:sz w:val="28"/>
          <w:szCs w:val="28"/>
        </w:rPr>
        <w:t>/03/</w:t>
      </w:r>
      <w:r w:rsidR="00140EF7" w:rsidRPr="003C2366">
        <w:rPr>
          <w:rFonts w:ascii="Garamond" w:hAnsi="Garamond"/>
          <w:sz w:val="28"/>
          <w:szCs w:val="28"/>
        </w:rPr>
        <w:t>2028.</w:t>
      </w:r>
    </w:p>
    <w:p w14:paraId="41B89DD9" w14:textId="2B648402" w:rsidR="001278D7" w:rsidRDefault="00F97BF6" w:rsidP="003C2366">
      <w:pPr>
        <w:numPr>
          <w:ilvl w:val="0"/>
          <w:numId w:val="4"/>
        </w:numPr>
        <w:spacing w:after="0" w:line="240" w:lineRule="auto"/>
        <w:jc w:val="both"/>
        <w:rPr>
          <w:rFonts w:ascii="Garamond" w:hAnsi="Garamond"/>
          <w:sz w:val="28"/>
          <w:szCs w:val="28"/>
        </w:rPr>
      </w:pPr>
      <w:r>
        <w:rPr>
          <w:rFonts w:ascii="Garamond" w:hAnsi="Garamond"/>
          <w:sz w:val="28"/>
          <w:szCs w:val="28"/>
        </w:rPr>
        <w:t>L</w:t>
      </w:r>
      <w:r w:rsidR="0022008C" w:rsidRPr="003C2366">
        <w:rPr>
          <w:rFonts w:ascii="Garamond" w:hAnsi="Garamond"/>
          <w:sz w:val="28"/>
          <w:szCs w:val="28"/>
        </w:rPr>
        <w:t xml:space="preserve">’art. 4 della </w:t>
      </w:r>
      <w:r w:rsidR="008E07C6" w:rsidRPr="003C2366">
        <w:rPr>
          <w:rFonts w:ascii="Garamond" w:hAnsi="Garamond"/>
          <w:sz w:val="28"/>
          <w:szCs w:val="28"/>
        </w:rPr>
        <w:t>L.</w:t>
      </w:r>
      <w:r w:rsidR="00140EF7" w:rsidRPr="003C2366">
        <w:rPr>
          <w:rFonts w:ascii="Garamond" w:hAnsi="Garamond"/>
          <w:sz w:val="28"/>
          <w:szCs w:val="28"/>
        </w:rPr>
        <w:t xml:space="preserve"> </w:t>
      </w:r>
      <w:r w:rsidR="0022008C" w:rsidRPr="003C2366">
        <w:rPr>
          <w:rFonts w:ascii="Garamond" w:hAnsi="Garamond"/>
          <w:sz w:val="28"/>
          <w:szCs w:val="28"/>
        </w:rPr>
        <w:t xml:space="preserve">n. </w:t>
      </w:r>
      <w:r w:rsidR="00140EF7" w:rsidRPr="003C2366">
        <w:rPr>
          <w:rFonts w:ascii="Garamond" w:hAnsi="Garamond"/>
          <w:sz w:val="28"/>
          <w:szCs w:val="28"/>
        </w:rPr>
        <w:t xml:space="preserve">118/2022 viene integralmente sostituito con l’analitica descrizione della procedura ad evidenza pubblica che dovrà precedere l’affidamento in concessione. </w:t>
      </w:r>
    </w:p>
    <w:p w14:paraId="69A4F3CC" w14:textId="77777777" w:rsidR="001278D7" w:rsidRDefault="00140EF7" w:rsidP="001278D7">
      <w:pPr>
        <w:spacing w:after="0" w:line="240" w:lineRule="auto"/>
        <w:ind w:left="720"/>
        <w:jc w:val="both"/>
        <w:rPr>
          <w:rFonts w:ascii="Garamond" w:hAnsi="Garamond"/>
          <w:sz w:val="28"/>
          <w:szCs w:val="28"/>
        </w:rPr>
      </w:pPr>
      <w:r w:rsidRPr="003C2366">
        <w:rPr>
          <w:rFonts w:ascii="Garamond" w:hAnsi="Garamond"/>
          <w:sz w:val="28"/>
          <w:szCs w:val="28"/>
        </w:rPr>
        <w:t>Nel dettaglio, il comma</w:t>
      </w:r>
      <w:r w:rsidR="001278D7">
        <w:rPr>
          <w:rFonts w:ascii="Garamond" w:hAnsi="Garamond"/>
          <w:sz w:val="28"/>
          <w:szCs w:val="28"/>
        </w:rPr>
        <w:t xml:space="preserve"> 1</w:t>
      </w:r>
      <w:r w:rsidRPr="003C2366">
        <w:rPr>
          <w:rFonts w:ascii="Garamond" w:hAnsi="Garamond"/>
          <w:sz w:val="28"/>
          <w:szCs w:val="28"/>
        </w:rPr>
        <w:t xml:space="preserve"> si preoccupa di individuare i princìpi che devono guidare la nuova procedura selettiva, tra cui quelli concernenti la libertà di stabilimento, di pubblicità, di trasparenza, di massima partecipazione, di non discriminazione e di parità di trattamento, fermo restando il generale rispetto </w:t>
      </w:r>
      <w:r w:rsidR="001278D7">
        <w:rPr>
          <w:rFonts w:ascii="Garamond" w:hAnsi="Garamond"/>
          <w:sz w:val="28"/>
          <w:szCs w:val="28"/>
        </w:rPr>
        <w:t>del diritto</w:t>
      </w:r>
      <w:r w:rsidRPr="003C2366">
        <w:rPr>
          <w:rFonts w:ascii="Garamond" w:hAnsi="Garamond"/>
          <w:sz w:val="28"/>
          <w:szCs w:val="28"/>
        </w:rPr>
        <w:t xml:space="preserve"> UE. </w:t>
      </w:r>
    </w:p>
    <w:p w14:paraId="3CA8A088" w14:textId="021223A6" w:rsidR="00140EF7" w:rsidRDefault="00140EF7" w:rsidP="001278D7">
      <w:pPr>
        <w:spacing w:after="0" w:line="240" w:lineRule="auto"/>
        <w:ind w:left="720"/>
        <w:jc w:val="both"/>
        <w:rPr>
          <w:rFonts w:ascii="Garamond" w:hAnsi="Garamond"/>
          <w:sz w:val="28"/>
          <w:szCs w:val="28"/>
        </w:rPr>
      </w:pPr>
      <w:r w:rsidRPr="003C2366">
        <w:rPr>
          <w:rFonts w:ascii="Garamond" w:hAnsi="Garamond"/>
          <w:sz w:val="28"/>
          <w:szCs w:val="28"/>
        </w:rPr>
        <w:t xml:space="preserve">Al comma 3 si prescrive l’obbligo per l’ente concedente di avviare la procedura di affidamento di cui ai commi 1 e 2 almeno sei mesi prima della scadenza del titolo concessorio. Alla scadenza del suddetto titolo, l'ente non potrà più disporre la prosecuzione, in qualsiasi forma o modalità comunque denominata, del precedente rapporto concessorio, tranne che nel caso in cui abbia già avviato la procedura di affidamento di cui ai commi 1 e 2 e solo per il tempo strettamente necessario alla sua conclusione. </w:t>
      </w:r>
      <w:r w:rsidRPr="001278D7">
        <w:rPr>
          <w:rFonts w:ascii="Garamond" w:hAnsi="Garamond"/>
          <w:sz w:val="28"/>
          <w:szCs w:val="28"/>
          <w:u w:val="single"/>
        </w:rPr>
        <w:t>In sede di prima applicazione del presente decreto</w:t>
      </w:r>
      <w:r w:rsidR="00A801C4">
        <w:rPr>
          <w:rFonts w:ascii="Garamond" w:hAnsi="Garamond"/>
          <w:sz w:val="28"/>
          <w:szCs w:val="28"/>
          <w:u w:val="single"/>
        </w:rPr>
        <w:t xml:space="preserve"> </w:t>
      </w:r>
      <w:r w:rsidR="001278D7" w:rsidRPr="001278D7">
        <w:rPr>
          <w:rFonts w:ascii="Garamond" w:hAnsi="Garamond"/>
          <w:sz w:val="28"/>
          <w:szCs w:val="28"/>
          <w:u w:val="single"/>
        </w:rPr>
        <w:t>legge</w:t>
      </w:r>
      <w:r w:rsidRPr="003C2366">
        <w:rPr>
          <w:rFonts w:ascii="Garamond" w:hAnsi="Garamond"/>
          <w:sz w:val="28"/>
          <w:szCs w:val="28"/>
        </w:rPr>
        <w:t>, l'ente concedente, con riferimento ai titoli concessori</w:t>
      </w:r>
      <w:r w:rsidR="001278D7">
        <w:rPr>
          <w:rFonts w:ascii="Garamond" w:hAnsi="Garamond"/>
          <w:sz w:val="28"/>
          <w:szCs w:val="28"/>
        </w:rPr>
        <w:t xml:space="preserve"> con scadenza ai sensi dell'art. 3, cc. 1 e 2</w:t>
      </w:r>
      <w:r w:rsidRPr="003C2366">
        <w:rPr>
          <w:rFonts w:ascii="Garamond" w:hAnsi="Garamond"/>
          <w:sz w:val="28"/>
          <w:szCs w:val="28"/>
        </w:rPr>
        <w:t xml:space="preserve"> della </w:t>
      </w:r>
      <w:r w:rsidR="008E07C6" w:rsidRPr="003C2366">
        <w:rPr>
          <w:rFonts w:ascii="Garamond" w:hAnsi="Garamond"/>
          <w:sz w:val="28"/>
          <w:szCs w:val="28"/>
        </w:rPr>
        <w:t>L.</w:t>
      </w:r>
      <w:r w:rsidRPr="003C2366">
        <w:rPr>
          <w:rFonts w:ascii="Garamond" w:hAnsi="Garamond"/>
          <w:sz w:val="28"/>
          <w:szCs w:val="28"/>
        </w:rPr>
        <w:t xml:space="preserve"> </w:t>
      </w:r>
      <w:r w:rsidR="0022008C" w:rsidRPr="003C2366">
        <w:rPr>
          <w:rFonts w:ascii="Garamond" w:hAnsi="Garamond"/>
          <w:sz w:val="28"/>
          <w:szCs w:val="28"/>
        </w:rPr>
        <w:t>05/08/</w:t>
      </w:r>
      <w:r w:rsidRPr="003C2366">
        <w:rPr>
          <w:rFonts w:ascii="Garamond" w:hAnsi="Garamond"/>
          <w:sz w:val="28"/>
          <w:szCs w:val="28"/>
        </w:rPr>
        <w:t xml:space="preserve">2022, n. 118, avvia la procedura di affidamento di cui ai commi 1 e 2 </w:t>
      </w:r>
      <w:r w:rsidR="0022008C" w:rsidRPr="003C2366">
        <w:rPr>
          <w:rFonts w:ascii="Garamond" w:hAnsi="Garamond"/>
          <w:sz w:val="28"/>
          <w:szCs w:val="28"/>
        </w:rPr>
        <w:t>in ogni caso entro il 30/06/</w:t>
      </w:r>
      <w:r w:rsidR="001278D7">
        <w:rPr>
          <w:rFonts w:ascii="Garamond" w:hAnsi="Garamond"/>
          <w:sz w:val="28"/>
          <w:szCs w:val="28"/>
        </w:rPr>
        <w:t>2027.</w:t>
      </w:r>
    </w:p>
    <w:p w14:paraId="685B20E2" w14:textId="045C5048" w:rsidR="00EE4863" w:rsidRPr="003C2366" w:rsidRDefault="00F97BF6" w:rsidP="002A69DD">
      <w:pPr>
        <w:numPr>
          <w:ilvl w:val="0"/>
          <w:numId w:val="4"/>
        </w:numPr>
        <w:spacing w:after="0" w:line="240" w:lineRule="auto"/>
        <w:jc w:val="both"/>
        <w:rPr>
          <w:rFonts w:ascii="Garamond" w:hAnsi="Garamond"/>
          <w:sz w:val="28"/>
          <w:szCs w:val="28"/>
        </w:rPr>
      </w:pPr>
      <w:r>
        <w:rPr>
          <w:rFonts w:ascii="Garamond" w:hAnsi="Garamond"/>
          <w:sz w:val="28"/>
          <w:szCs w:val="28"/>
        </w:rPr>
        <w:t>L</w:t>
      </w:r>
      <w:r w:rsidR="007457D1">
        <w:rPr>
          <w:rFonts w:ascii="Garamond" w:hAnsi="Garamond"/>
          <w:sz w:val="28"/>
          <w:szCs w:val="28"/>
        </w:rPr>
        <w:t>a disposizione ha visto</w:t>
      </w:r>
      <w:r w:rsidR="002229C3">
        <w:rPr>
          <w:rFonts w:ascii="Garamond" w:hAnsi="Garamond"/>
          <w:sz w:val="28"/>
          <w:szCs w:val="28"/>
        </w:rPr>
        <w:t xml:space="preserve"> altresì</w:t>
      </w:r>
      <w:r w:rsidR="00FF5C51">
        <w:rPr>
          <w:rFonts w:ascii="Garamond" w:hAnsi="Garamond"/>
          <w:sz w:val="28"/>
          <w:szCs w:val="28"/>
        </w:rPr>
        <w:t xml:space="preserve"> l’aggiunta</w:t>
      </w:r>
      <w:r w:rsidR="007457D1">
        <w:rPr>
          <w:rFonts w:ascii="Garamond" w:hAnsi="Garamond"/>
          <w:sz w:val="28"/>
          <w:szCs w:val="28"/>
        </w:rPr>
        <w:t xml:space="preserve">, con </w:t>
      </w:r>
      <w:r w:rsidR="00833D74">
        <w:rPr>
          <w:rFonts w:ascii="Garamond" w:hAnsi="Garamond"/>
          <w:sz w:val="28"/>
          <w:szCs w:val="28"/>
        </w:rPr>
        <w:t xml:space="preserve">un </w:t>
      </w:r>
      <w:r w:rsidR="007457D1">
        <w:rPr>
          <w:rFonts w:ascii="Garamond" w:hAnsi="Garamond"/>
          <w:sz w:val="28"/>
          <w:szCs w:val="28"/>
        </w:rPr>
        <w:t>successivo emendamento,</w:t>
      </w:r>
      <w:r w:rsidR="00FF5C51">
        <w:rPr>
          <w:rFonts w:ascii="Garamond" w:hAnsi="Garamond"/>
          <w:sz w:val="28"/>
          <w:szCs w:val="28"/>
        </w:rPr>
        <w:t xml:space="preserve"> del comma 1</w:t>
      </w:r>
      <w:r w:rsidR="002229C3">
        <w:rPr>
          <w:rFonts w:ascii="Garamond" w:hAnsi="Garamond"/>
          <w:sz w:val="28"/>
          <w:szCs w:val="28"/>
        </w:rPr>
        <w:t>-</w:t>
      </w:r>
      <w:r w:rsidR="00FF5C51" w:rsidRPr="00DE3D02">
        <w:rPr>
          <w:rFonts w:ascii="Garamond" w:hAnsi="Garamond"/>
          <w:i/>
          <w:sz w:val="28"/>
          <w:szCs w:val="28"/>
        </w:rPr>
        <w:t>bis</w:t>
      </w:r>
      <w:r w:rsidR="00FF5C51">
        <w:rPr>
          <w:rFonts w:ascii="Garamond" w:hAnsi="Garamond"/>
          <w:sz w:val="28"/>
          <w:szCs w:val="28"/>
        </w:rPr>
        <w:t>, in forza del quale</w:t>
      </w:r>
      <w:r w:rsidR="002229C3">
        <w:rPr>
          <w:rFonts w:ascii="Garamond" w:hAnsi="Garamond"/>
          <w:sz w:val="28"/>
          <w:szCs w:val="28"/>
        </w:rPr>
        <w:t>, f</w:t>
      </w:r>
      <w:r w:rsidR="002229C3" w:rsidRPr="002229C3">
        <w:rPr>
          <w:rFonts w:ascii="Garamond" w:hAnsi="Garamond"/>
          <w:sz w:val="28"/>
          <w:szCs w:val="28"/>
        </w:rPr>
        <w:t>ermo restando l'obbligo di versamento del canone previsto</w:t>
      </w:r>
      <w:r w:rsidR="002229C3">
        <w:rPr>
          <w:rFonts w:ascii="Garamond" w:hAnsi="Garamond"/>
          <w:sz w:val="28"/>
          <w:szCs w:val="28"/>
        </w:rPr>
        <w:t>,</w:t>
      </w:r>
      <w:r w:rsidR="00FF5C51">
        <w:rPr>
          <w:rFonts w:ascii="Garamond" w:hAnsi="Garamond"/>
          <w:sz w:val="28"/>
          <w:szCs w:val="28"/>
        </w:rPr>
        <w:t xml:space="preserve"> è esclusa l’applicazione della nuova disciplina ivi contenuta a tutti gli usi del demanio</w:t>
      </w:r>
      <w:r w:rsidR="00FF5C51" w:rsidRPr="00FF5C51">
        <w:rPr>
          <w:rFonts w:ascii="Garamond" w:hAnsi="Garamond"/>
          <w:sz w:val="28"/>
          <w:szCs w:val="28"/>
        </w:rPr>
        <w:t xml:space="preserve"> marittimo, lacuale e fluviale relativi allo svolgimento de</w:t>
      </w:r>
      <w:r w:rsidR="00FF5C51">
        <w:rPr>
          <w:rFonts w:ascii="Garamond" w:hAnsi="Garamond"/>
          <w:sz w:val="28"/>
          <w:szCs w:val="28"/>
        </w:rPr>
        <w:t>lle attività di cui all'art.</w:t>
      </w:r>
      <w:r w:rsidR="00DE3D02">
        <w:rPr>
          <w:rFonts w:ascii="Garamond" w:hAnsi="Garamond"/>
          <w:sz w:val="28"/>
          <w:szCs w:val="28"/>
        </w:rPr>
        <w:t xml:space="preserve"> 7, c.</w:t>
      </w:r>
      <w:r w:rsidR="00FF5C51" w:rsidRPr="00FF5C51">
        <w:rPr>
          <w:rFonts w:ascii="Garamond" w:hAnsi="Garamond"/>
          <w:sz w:val="28"/>
          <w:szCs w:val="28"/>
        </w:rPr>
        <w:t xml:space="preserve"> 1, let</w:t>
      </w:r>
      <w:r w:rsidR="00DE3D02">
        <w:rPr>
          <w:rFonts w:ascii="Garamond" w:hAnsi="Garamond"/>
          <w:sz w:val="28"/>
          <w:szCs w:val="28"/>
        </w:rPr>
        <w:t xml:space="preserve">t. b) </w:t>
      </w:r>
      <w:r w:rsidR="00D43265">
        <w:rPr>
          <w:rFonts w:ascii="Garamond" w:hAnsi="Garamond"/>
          <w:sz w:val="28"/>
          <w:szCs w:val="28"/>
        </w:rPr>
        <w:t>d.l.</w:t>
      </w:r>
      <w:r w:rsidR="00DE3D02">
        <w:rPr>
          <w:rFonts w:ascii="Garamond" w:hAnsi="Garamond"/>
          <w:sz w:val="28"/>
          <w:szCs w:val="28"/>
        </w:rPr>
        <w:t xml:space="preserve"> 28/02/</w:t>
      </w:r>
      <w:r w:rsidR="00FF5C51" w:rsidRPr="00FF5C51">
        <w:rPr>
          <w:rFonts w:ascii="Garamond" w:hAnsi="Garamond"/>
          <w:sz w:val="28"/>
          <w:szCs w:val="28"/>
        </w:rPr>
        <w:t>2021, n. 36</w:t>
      </w:r>
      <w:r w:rsidR="00D43265">
        <w:rPr>
          <w:rStyle w:val="Rimandonotaapidipagina"/>
          <w:rFonts w:ascii="Garamond" w:hAnsi="Garamond"/>
          <w:sz w:val="28"/>
          <w:szCs w:val="28"/>
        </w:rPr>
        <w:footnoteReference w:id="15"/>
      </w:r>
      <w:r w:rsidR="00FF5C51" w:rsidRPr="00FF5C51">
        <w:rPr>
          <w:rFonts w:ascii="Garamond" w:hAnsi="Garamond"/>
          <w:sz w:val="28"/>
          <w:szCs w:val="28"/>
        </w:rPr>
        <w:t xml:space="preserve">, qualora dette attività sportive siano svolte da federazioni sportive, discipline sportive associate, enti di promozione sportiva, anche </w:t>
      </w:r>
      <w:r w:rsidR="003D0503" w:rsidRPr="00FF5C51">
        <w:rPr>
          <w:rFonts w:ascii="Garamond" w:hAnsi="Garamond"/>
          <w:sz w:val="28"/>
          <w:szCs w:val="28"/>
        </w:rPr>
        <w:t>paraolimpici</w:t>
      </w:r>
      <w:r w:rsidR="00FF5C51" w:rsidRPr="00FF5C51">
        <w:rPr>
          <w:rFonts w:ascii="Garamond" w:hAnsi="Garamond"/>
          <w:sz w:val="28"/>
          <w:szCs w:val="28"/>
        </w:rPr>
        <w:t>, associazioni e società sportive dilettantistiche c</w:t>
      </w:r>
      <w:r w:rsidR="00DE3D02">
        <w:rPr>
          <w:rFonts w:ascii="Garamond" w:hAnsi="Garamond"/>
          <w:sz w:val="28"/>
          <w:szCs w:val="28"/>
        </w:rPr>
        <w:t>ostituite ai sensi dell'art. 2, c.</w:t>
      </w:r>
      <w:r w:rsidR="00FF5C51" w:rsidRPr="00FF5C51">
        <w:rPr>
          <w:rFonts w:ascii="Garamond" w:hAnsi="Garamond"/>
          <w:sz w:val="28"/>
          <w:szCs w:val="28"/>
        </w:rPr>
        <w:t xml:space="preserve"> 1, </w:t>
      </w:r>
      <w:r w:rsidR="00F406B6">
        <w:rPr>
          <w:rFonts w:ascii="Garamond" w:hAnsi="Garamond"/>
          <w:sz w:val="28"/>
          <w:szCs w:val="28"/>
        </w:rPr>
        <w:t>del medesimo d.l.</w:t>
      </w:r>
      <w:r w:rsidR="00DE3D02">
        <w:rPr>
          <w:rFonts w:ascii="Garamond" w:hAnsi="Garamond"/>
          <w:sz w:val="28"/>
          <w:szCs w:val="28"/>
        </w:rPr>
        <w:t xml:space="preserve"> n. 36/</w:t>
      </w:r>
      <w:r w:rsidR="00FF5C51" w:rsidRPr="00FF5C51">
        <w:rPr>
          <w:rFonts w:ascii="Garamond" w:hAnsi="Garamond"/>
          <w:sz w:val="28"/>
          <w:szCs w:val="28"/>
        </w:rPr>
        <w:t xml:space="preserve">2021 e iscritte nel Registro </w:t>
      </w:r>
      <w:r w:rsidR="00FF5C51" w:rsidRPr="00FF5C51">
        <w:rPr>
          <w:rFonts w:ascii="Garamond" w:hAnsi="Garamond"/>
          <w:sz w:val="28"/>
          <w:szCs w:val="28"/>
        </w:rPr>
        <w:lastRenderedPageBreak/>
        <w:t xml:space="preserve">nazionale delle attività sportive dilettantistiche di cui </w:t>
      </w:r>
      <w:r w:rsidR="00F406B6">
        <w:rPr>
          <w:rFonts w:ascii="Garamond" w:hAnsi="Garamond"/>
          <w:sz w:val="28"/>
          <w:szCs w:val="28"/>
        </w:rPr>
        <w:t>al d.l.</w:t>
      </w:r>
      <w:r w:rsidR="00DE3D02">
        <w:rPr>
          <w:rFonts w:ascii="Garamond" w:hAnsi="Garamond"/>
          <w:sz w:val="28"/>
          <w:szCs w:val="28"/>
        </w:rPr>
        <w:t xml:space="preserve"> 28/02/</w:t>
      </w:r>
      <w:r w:rsidR="00FF5C51" w:rsidRPr="00FF5C51">
        <w:rPr>
          <w:rFonts w:ascii="Garamond" w:hAnsi="Garamond"/>
          <w:sz w:val="28"/>
          <w:szCs w:val="28"/>
        </w:rPr>
        <w:t>2021, n. 39</w:t>
      </w:r>
      <w:r w:rsidR="00F406B6">
        <w:rPr>
          <w:rStyle w:val="Rimandonotaapidipagina"/>
          <w:rFonts w:ascii="Garamond" w:hAnsi="Garamond"/>
          <w:sz w:val="28"/>
          <w:szCs w:val="28"/>
        </w:rPr>
        <w:footnoteReference w:id="16"/>
      </w:r>
      <w:r w:rsidR="00FF5C51" w:rsidRPr="00FF5C51">
        <w:rPr>
          <w:rFonts w:ascii="Garamond" w:hAnsi="Garamond"/>
          <w:sz w:val="28"/>
          <w:szCs w:val="28"/>
        </w:rPr>
        <w:t>, che perseguono esclusivamente finalità sociali, ricreative e di promozione del benessere psicofisico</w:t>
      </w:r>
      <w:r w:rsidR="002229C3">
        <w:rPr>
          <w:rFonts w:ascii="Garamond" w:hAnsi="Garamond"/>
          <w:sz w:val="28"/>
          <w:szCs w:val="28"/>
        </w:rPr>
        <w:t>. Lo stesso comma 1-</w:t>
      </w:r>
      <w:r w:rsidR="002229C3" w:rsidRPr="00DE3D02">
        <w:rPr>
          <w:rFonts w:ascii="Garamond" w:hAnsi="Garamond"/>
          <w:i/>
          <w:sz w:val="28"/>
          <w:szCs w:val="28"/>
        </w:rPr>
        <w:t>bis</w:t>
      </w:r>
      <w:r w:rsidR="002229C3">
        <w:rPr>
          <w:rFonts w:ascii="Garamond" w:hAnsi="Garamond"/>
          <w:sz w:val="28"/>
          <w:szCs w:val="28"/>
        </w:rPr>
        <w:t xml:space="preserve"> </w:t>
      </w:r>
      <w:r w:rsidR="002A69DD">
        <w:rPr>
          <w:rFonts w:ascii="Garamond" w:hAnsi="Garamond"/>
          <w:sz w:val="28"/>
          <w:szCs w:val="28"/>
        </w:rPr>
        <w:t>pone quale condizione necessaria per l’operatività di tale regola</w:t>
      </w:r>
      <w:r w:rsidR="002A69DD" w:rsidRPr="002A69DD">
        <w:rPr>
          <w:rFonts w:ascii="Garamond" w:hAnsi="Garamond"/>
          <w:sz w:val="28"/>
          <w:szCs w:val="28"/>
        </w:rPr>
        <w:t xml:space="preserve"> che detti usi del demanio marittimo, lacuale e fluviale possano essere considerati come attività non economiche in base al diritto dell'Unione europea</w:t>
      </w:r>
      <w:r w:rsidR="002A69DD">
        <w:rPr>
          <w:rFonts w:ascii="Garamond" w:hAnsi="Garamond"/>
          <w:sz w:val="28"/>
          <w:szCs w:val="28"/>
        </w:rPr>
        <w:t>.</w:t>
      </w:r>
    </w:p>
    <w:p w14:paraId="2C23442B" w14:textId="4C45A8E0" w:rsidR="00140EF7" w:rsidRPr="003C2366" w:rsidRDefault="003D0503" w:rsidP="003C2366">
      <w:pPr>
        <w:numPr>
          <w:ilvl w:val="0"/>
          <w:numId w:val="4"/>
        </w:numPr>
        <w:spacing w:after="0" w:line="240" w:lineRule="auto"/>
        <w:jc w:val="both"/>
        <w:rPr>
          <w:rFonts w:ascii="Garamond" w:hAnsi="Garamond"/>
          <w:sz w:val="28"/>
          <w:szCs w:val="28"/>
        </w:rPr>
      </w:pPr>
      <w:r>
        <w:rPr>
          <w:rFonts w:ascii="Garamond" w:hAnsi="Garamond"/>
          <w:sz w:val="28"/>
          <w:szCs w:val="28"/>
        </w:rPr>
        <w:t>U</w:t>
      </w:r>
      <w:r w:rsidR="00140EF7" w:rsidRPr="003C2366">
        <w:rPr>
          <w:rFonts w:ascii="Garamond" w:hAnsi="Garamond"/>
          <w:sz w:val="28"/>
          <w:szCs w:val="28"/>
        </w:rPr>
        <w:t>lteriore elemento di novità è rappresentato dalla predeterminazione di una forbice temporale di durata delle concession</w:t>
      </w:r>
      <w:r w:rsidR="001B69E2">
        <w:rPr>
          <w:rFonts w:ascii="Garamond" w:hAnsi="Garamond"/>
          <w:sz w:val="28"/>
          <w:szCs w:val="28"/>
        </w:rPr>
        <w:t>i, individuata tra i cinque</w:t>
      </w:r>
      <w:r>
        <w:rPr>
          <w:rFonts w:ascii="Garamond" w:hAnsi="Garamond"/>
          <w:sz w:val="28"/>
          <w:szCs w:val="28"/>
        </w:rPr>
        <w:t xml:space="preserve"> e i venti anni. La durata è </w:t>
      </w:r>
      <w:r w:rsidR="00140EF7" w:rsidRPr="003C2366">
        <w:rPr>
          <w:rFonts w:ascii="Garamond" w:hAnsi="Garamond"/>
          <w:sz w:val="28"/>
          <w:szCs w:val="28"/>
        </w:rPr>
        <w:t>pari al tempo necessario a garantire l'ammortamento e l'equa remunerazione degli investimenti previsti dal piano economico-</w:t>
      </w:r>
      <w:r>
        <w:rPr>
          <w:rFonts w:ascii="Garamond" w:hAnsi="Garamond"/>
          <w:sz w:val="28"/>
          <w:szCs w:val="28"/>
        </w:rPr>
        <w:t>finanziario dell'aggiudicatario.</w:t>
      </w:r>
    </w:p>
    <w:p w14:paraId="5FFAF964" w14:textId="45F71C31" w:rsidR="00140EF7" w:rsidRPr="003C2366" w:rsidRDefault="003D0503" w:rsidP="003C2366">
      <w:pPr>
        <w:numPr>
          <w:ilvl w:val="0"/>
          <w:numId w:val="4"/>
        </w:numPr>
        <w:spacing w:after="0" w:line="240" w:lineRule="auto"/>
        <w:jc w:val="both"/>
        <w:rPr>
          <w:rFonts w:ascii="Garamond" w:hAnsi="Garamond"/>
          <w:sz w:val="28"/>
          <w:szCs w:val="28"/>
        </w:rPr>
      </w:pPr>
      <w:r>
        <w:rPr>
          <w:rFonts w:ascii="Garamond" w:hAnsi="Garamond"/>
          <w:sz w:val="28"/>
          <w:szCs w:val="28"/>
        </w:rPr>
        <w:t>I</w:t>
      </w:r>
      <w:r w:rsidR="00140EF7" w:rsidRPr="003C2366">
        <w:rPr>
          <w:rFonts w:ascii="Garamond" w:hAnsi="Garamond"/>
          <w:sz w:val="28"/>
          <w:szCs w:val="28"/>
        </w:rPr>
        <w:t>nfine, particolare rilie</w:t>
      </w:r>
      <w:r>
        <w:rPr>
          <w:rFonts w:ascii="Garamond" w:hAnsi="Garamond"/>
          <w:sz w:val="28"/>
          <w:szCs w:val="28"/>
        </w:rPr>
        <w:t>vo assume il comma 10, laddove</w:t>
      </w:r>
      <w:r w:rsidR="00140EF7" w:rsidRPr="003C2366">
        <w:rPr>
          <w:rFonts w:ascii="Garamond" w:hAnsi="Garamond"/>
          <w:sz w:val="28"/>
          <w:szCs w:val="28"/>
        </w:rPr>
        <w:t xml:space="preserve"> s</w:t>
      </w:r>
      <w:r w:rsidR="001B69E2">
        <w:rPr>
          <w:rFonts w:ascii="Garamond" w:hAnsi="Garamond"/>
          <w:sz w:val="28"/>
          <w:szCs w:val="28"/>
        </w:rPr>
        <w:t>i riconosce il diritto</w:t>
      </w:r>
      <w:r w:rsidR="00140EF7" w:rsidRPr="003C2366">
        <w:rPr>
          <w:rFonts w:ascii="Garamond" w:hAnsi="Garamond"/>
          <w:sz w:val="28"/>
          <w:szCs w:val="28"/>
        </w:rPr>
        <w:t xml:space="preserve"> del concessionario uscente al riconoscimento di un indennizzo</w:t>
      </w:r>
      <w:r>
        <w:rPr>
          <w:rFonts w:ascii="Garamond" w:hAnsi="Garamond"/>
          <w:sz w:val="28"/>
          <w:szCs w:val="28"/>
        </w:rPr>
        <w:t xml:space="preserve"> a carico del concessionario </w:t>
      </w:r>
      <w:r w:rsidR="00140EF7" w:rsidRPr="003C2366">
        <w:rPr>
          <w:rFonts w:ascii="Garamond" w:hAnsi="Garamond"/>
          <w:sz w:val="28"/>
          <w:szCs w:val="28"/>
        </w:rPr>
        <w:t xml:space="preserve">entrante </w:t>
      </w:r>
      <w:r w:rsidR="00814F8D">
        <w:rPr>
          <w:rFonts w:ascii="Garamond" w:hAnsi="Garamond"/>
          <w:sz w:val="28"/>
          <w:szCs w:val="28"/>
        </w:rPr>
        <w:t xml:space="preserve">(se nuovo) </w:t>
      </w:r>
      <w:r w:rsidR="00140EF7" w:rsidRPr="003C2366">
        <w:rPr>
          <w:rFonts w:ascii="Garamond" w:hAnsi="Garamond"/>
          <w:sz w:val="28"/>
          <w:szCs w:val="28"/>
        </w:rPr>
        <w:t>pari al valore degli investimenti effettuati e non ancora ammortizza</w:t>
      </w:r>
      <w:r>
        <w:rPr>
          <w:rFonts w:ascii="Garamond" w:hAnsi="Garamond"/>
          <w:sz w:val="28"/>
          <w:szCs w:val="28"/>
        </w:rPr>
        <w:t>ti al termine della concessione.</w:t>
      </w:r>
    </w:p>
    <w:p w14:paraId="3A3E4E04" w14:textId="77777777" w:rsidR="003A0B7B" w:rsidRPr="003C2366" w:rsidRDefault="003A0B7B" w:rsidP="003C2366">
      <w:pPr>
        <w:spacing w:after="0" w:line="240" w:lineRule="auto"/>
        <w:jc w:val="both"/>
        <w:rPr>
          <w:rFonts w:ascii="Garamond" w:hAnsi="Garamond" w:cs="Times New Roman"/>
          <w:sz w:val="28"/>
          <w:szCs w:val="28"/>
        </w:rPr>
      </w:pPr>
    </w:p>
    <w:p w14:paraId="0343BD62" w14:textId="77777777" w:rsidR="003A0B7B" w:rsidRPr="003C2366" w:rsidRDefault="00140EF7" w:rsidP="003C2366">
      <w:pPr>
        <w:spacing w:after="0" w:line="240" w:lineRule="auto"/>
        <w:jc w:val="both"/>
        <w:rPr>
          <w:rFonts w:ascii="Garamond" w:hAnsi="Garamond" w:cs="Times New Roman"/>
          <w:sz w:val="28"/>
          <w:szCs w:val="28"/>
        </w:rPr>
      </w:pPr>
      <w:r w:rsidRPr="003C2366">
        <w:rPr>
          <w:rFonts w:ascii="Garamond" w:hAnsi="Garamond" w:cs="Times New Roman"/>
          <w:sz w:val="28"/>
          <w:szCs w:val="28"/>
        </w:rPr>
        <w:t>Per comodità di lettura s</w:t>
      </w:r>
      <w:r w:rsidR="003A0B7B" w:rsidRPr="003C2366">
        <w:rPr>
          <w:rFonts w:ascii="Garamond" w:hAnsi="Garamond" w:cs="Times New Roman"/>
          <w:sz w:val="28"/>
          <w:szCs w:val="28"/>
        </w:rPr>
        <w:t>i riporta in sintesi un quadro delle innovazioni maggiormente significative:</w:t>
      </w:r>
    </w:p>
    <w:p w14:paraId="58C5087B" w14:textId="77777777" w:rsidR="003A0B7B" w:rsidRPr="003C2366" w:rsidRDefault="003A0B7B" w:rsidP="003C2366">
      <w:pPr>
        <w:spacing w:after="0" w:line="240" w:lineRule="auto"/>
        <w:jc w:val="both"/>
        <w:rPr>
          <w:rFonts w:ascii="Garamond" w:hAnsi="Garamond" w:cs="Times New Roman"/>
          <w:sz w:val="28"/>
          <w:szCs w:val="28"/>
        </w:rPr>
      </w:pPr>
    </w:p>
    <w:tbl>
      <w:tblPr>
        <w:tblStyle w:val="Grigliatabella"/>
        <w:tblW w:w="0" w:type="auto"/>
        <w:tblLook w:val="04A0" w:firstRow="1" w:lastRow="0" w:firstColumn="1" w:lastColumn="0" w:noHBand="0" w:noVBand="1"/>
      </w:tblPr>
      <w:tblGrid>
        <w:gridCol w:w="3114"/>
        <w:gridCol w:w="6514"/>
      </w:tblGrid>
      <w:tr w:rsidR="003A0B7B" w:rsidRPr="003C2366" w14:paraId="3C2E08D4" w14:textId="77777777" w:rsidTr="008D5259">
        <w:trPr>
          <w:trHeight w:val="498"/>
        </w:trPr>
        <w:tc>
          <w:tcPr>
            <w:tcW w:w="9628" w:type="dxa"/>
            <w:gridSpan w:val="2"/>
            <w:shd w:val="clear" w:color="auto" w:fill="D9D9D9" w:themeFill="background1" w:themeFillShade="D9"/>
            <w:vAlign w:val="center"/>
          </w:tcPr>
          <w:p w14:paraId="19E33326" w14:textId="450E38D8" w:rsidR="003A0B7B" w:rsidRPr="003C2366" w:rsidRDefault="003A0B7B" w:rsidP="003C2366">
            <w:pPr>
              <w:tabs>
                <w:tab w:val="left" w:pos="3204"/>
              </w:tabs>
              <w:jc w:val="both"/>
              <w:rPr>
                <w:rFonts w:ascii="Garamond" w:hAnsi="Garamond" w:cs="Times New Roman"/>
                <w:b/>
                <w:sz w:val="28"/>
                <w:szCs w:val="28"/>
              </w:rPr>
            </w:pPr>
            <w:r w:rsidRPr="003C2366">
              <w:rPr>
                <w:rFonts w:ascii="Garamond" w:hAnsi="Garamond" w:cs="Times New Roman"/>
                <w:b/>
                <w:sz w:val="28"/>
                <w:szCs w:val="28"/>
              </w:rPr>
              <w:t xml:space="preserve">Modifiche all’art. 3 </w:t>
            </w:r>
            <w:r w:rsidR="008E07C6" w:rsidRPr="003C2366">
              <w:rPr>
                <w:rFonts w:ascii="Garamond" w:hAnsi="Garamond" w:cs="Times New Roman"/>
                <w:b/>
                <w:sz w:val="28"/>
                <w:szCs w:val="28"/>
              </w:rPr>
              <w:t>L.</w:t>
            </w:r>
            <w:r w:rsidRPr="003C2366">
              <w:rPr>
                <w:rFonts w:ascii="Garamond" w:hAnsi="Garamond" w:cs="Times New Roman"/>
                <w:b/>
                <w:sz w:val="28"/>
                <w:szCs w:val="28"/>
              </w:rPr>
              <w:t xml:space="preserve"> n. 118/2022</w:t>
            </w:r>
          </w:p>
        </w:tc>
      </w:tr>
      <w:tr w:rsidR="003A0B7B" w:rsidRPr="003C2366" w14:paraId="6B967642" w14:textId="77777777" w:rsidTr="008D5259">
        <w:tc>
          <w:tcPr>
            <w:tcW w:w="3114" w:type="dxa"/>
          </w:tcPr>
          <w:p w14:paraId="4D15868E" w14:textId="77777777" w:rsidR="003A0B7B" w:rsidRPr="003C2366" w:rsidRDefault="003A0B7B" w:rsidP="003C2366">
            <w:pPr>
              <w:jc w:val="both"/>
              <w:rPr>
                <w:rFonts w:ascii="Garamond" w:hAnsi="Garamond" w:cs="Times New Roman"/>
                <w:b/>
                <w:sz w:val="28"/>
                <w:szCs w:val="28"/>
              </w:rPr>
            </w:pPr>
            <w:r w:rsidRPr="003C2366">
              <w:rPr>
                <w:rFonts w:ascii="Garamond" w:hAnsi="Garamond" w:cs="Times New Roman"/>
                <w:b/>
                <w:sz w:val="28"/>
                <w:szCs w:val="28"/>
              </w:rPr>
              <w:t>Ambito di applicazione della disciplina</w:t>
            </w:r>
          </w:p>
        </w:tc>
        <w:tc>
          <w:tcPr>
            <w:tcW w:w="6514" w:type="dxa"/>
          </w:tcPr>
          <w:p w14:paraId="4DD7D1BF" w14:textId="07B69C74" w:rsidR="003A0B7B" w:rsidRPr="003C2366" w:rsidRDefault="003A0B7B" w:rsidP="003C2366">
            <w:pPr>
              <w:jc w:val="both"/>
              <w:rPr>
                <w:rFonts w:ascii="Garamond" w:hAnsi="Garamond" w:cs="Times New Roman"/>
                <w:sz w:val="28"/>
                <w:szCs w:val="28"/>
              </w:rPr>
            </w:pPr>
            <w:r w:rsidRPr="003C2366">
              <w:rPr>
                <w:rFonts w:ascii="Garamond" w:hAnsi="Garamond" w:cs="Times New Roman"/>
                <w:sz w:val="28"/>
                <w:szCs w:val="28"/>
              </w:rPr>
              <w:t xml:space="preserve">La nuova disciplina non si applica alle gare bandite anteriormente all’entrata in vigore </w:t>
            </w:r>
            <w:r w:rsidR="003D0503">
              <w:rPr>
                <w:rFonts w:ascii="Garamond" w:hAnsi="Garamond" w:cs="Times New Roman"/>
                <w:sz w:val="28"/>
                <w:szCs w:val="28"/>
              </w:rPr>
              <w:t xml:space="preserve">del </w:t>
            </w:r>
            <w:r w:rsidRPr="003C2366">
              <w:rPr>
                <w:rFonts w:ascii="Garamond" w:hAnsi="Garamond" w:cs="Times New Roman"/>
                <w:sz w:val="28"/>
                <w:szCs w:val="28"/>
              </w:rPr>
              <w:t>decreto</w:t>
            </w:r>
            <w:r w:rsidR="00C2180B">
              <w:rPr>
                <w:rFonts w:ascii="Garamond" w:hAnsi="Garamond" w:cs="Times New Roman"/>
                <w:sz w:val="28"/>
                <w:szCs w:val="28"/>
              </w:rPr>
              <w:t xml:space="preserve"> </w:t>
            </w:r>
            <w:r w:rsidR="003D0503">
              <w:rPr>
                <w:rFonts w:ascii="Garamond" w:hAnsi="Garamond" w:cs="Times New Roman"/>
                <w:sz w:val="28"/>
                <w:szCs w:val="28"/>
              </w:rPr>
              <w:t>legge</w:t>
            </w:r>
            <w:r w:rsidRPr="003C2366">
              <w:rPr>
                <w:rStyle w:val="Rimandonotaapidipagina"/>
                <w:rFonts w:ascii="Garamond" w:hAnsi="Garamond" w:cs="Times New Roman"/>
                <w:sz w:val="28"/>
                <w:szCs w:val="28"/>
              </w:rPr>
              <w:footnoteReference w:id="17"/>
            </w:r>
            <w:r w:rsidRPr="003C2366">
              <w:rPr>
                <w:rFonts w:ascii="Garamond" w:hAnsi="Garamond" w:cs="Times New Roman"/>
                <w:sz w:val="28"/>
                <w:szCs w:val="28"/>
              </w:rPr>
              <w:t>.</w:t>
            </w:r>
          </w:p>
        </w:tc>
      </w:tr>
      <w:tr w:rsidR="003A0B7B" w:rsidRPr="003C2366" w14:paraId="57F3232A" w14:textId="77777777" w:rsidTr="008D5259">
        <w:tc>
          <w:tcPr>
            <w:tcW w:w="3114" w:type="dxa"/>
          </w:tcPr>
          <w:p w14:paraId="0643B512" w14:textId="77777777" w:rsidR="003A0B7B" w:rsidRPr="003C2366" w:rsidRDefault="003A0B7B" w:rsidP="003C2366">
            <w:pPr>
              <w:jc w:val="both"/>
              <w:rPr>
                <w:rFonts w:ascii="Garamond" w:hAnsi="Garamond" w:cs="Times New Roman"/>
                <w:b/>
                <w:sz w:val="28"/>
                <w:szCs w:val="28"/>
              </w:rPr>
            </w:pPr>
          </w:p>
          <w:p w14:paraId="6E862703" w14:textId="77777777" w:rsidR="003A0B7B" w:rsidRPr="003C2366" w:rsidRDefault="003A0B7B" w:rsidP="003C2366">
            <w:pPr>
              <w:jc w:val="both"/>
              <w:rPr>
                <w:rFonts w:ascii="Garamond" w:hAnsi="Garamond" w:cs="Times New Roman"/>
                <w:b/>
                <w:sz w:val="28"/>
                <w:szCs w:val="28"/>
              </w:rPr>
            </w:pPr>
            <w:r w:rsidRPr="003C2366">
              <w:rPr>
                <w:rFonts w:ascii="Garamond" w:hAnsi="Garamond" w:cs="Times New Roman"/>
                <w:b/>
                <w:sz w:val="28"/>
                <w:szCs w:val="28"/>
              </w:rPr>
              <w:t>Proroga tecnica al 30/09/2027</w:t>
            </w:r>
          </w:p>
        </w:tc>
        <w:tc>
          <w:tcPr>
            <w:tcW w:w="6514" w:type="dxa"/>
          </w:tcPr>
          <w:p w14:paraId="2B939620" w14:textId="5F5AE0D0" w:rsidR="003A0B7B" w:rsidRPr="003C2366" w:rsidRDefault="003A0B7B" w:rsidP="003D0503">
            <w:pPr>
              <w:jc w:val="both"/>
              <w:rPr>
                <w:rFonts w:ascii="Garamond" w:hAnsi="Garamond" w:cs="Times New Roman"/>
                <w:sz w:val="28"/>
                <w:szCs w:val="28"/>
              </w:rPr>
            </w:pPr>
            <w:r w:rsidRPr="003C2366">
              <w:rPr>
                <w:rFonts w:ascii="Garamond" w:hAnsi="Garamond" w:cs="Times New Roman"/>
                <w:sz w:val="28"/>
                <w:szCs w:val="28"/>
              </w:rPr>
              <w:t>Il decreto</w:t>
            </w:r>
            <w:r w:rsidR="00B727D0">
              <w:rPr>
                <w:rFonts w:ascii="Garamond" w:hAnsi="Garamond" w:cs="Times New Roman"/>
                <w:sz w:val="28"/>
                <w:szCs w:val="28"/>
              </w:rPr>
              <w:t xml:space="preserve"> </w:t>
            </w:r>
            <w:r w:rsidR="003D0503">
              <w:rPr>
                <w:rFonts w:ascii="Garamond" w:hAnsi="Garamond" w:cs="Times New Roman"/>
                <w:sz w:val="28"/>
                <w:szCs w:val="28"/>
              </w:rPr>
              <w:t>legge</w:t>
            </w:r>
            <w:r w:rsidRPr="003C2366">
              <w:rPr>
                <w:rFonts w:ascii="Garamond" w:hAnsi="Garamond" w:cs="Times New Roman"/>
                <w:sz w:val="28"/>
                <w:szCs w:val="28"/>
              </w:rPr>
              <w:t xml:space="preserve"> dispone la proroga “tecnica” e generalizzata al 30/09/2027 delle concessioni b</w:t>
            </w:r>
            <w:r w:rsidR="003D0503">
              <w:rPr>
                <w:rFonts w:ascii="Garamond" w:hAnsi="Garamond" w:cs="Times New Roman"/>
                <w:sz w:val="28"/>
                <w:szCs w:val="28"/>
              </w:rPr>
              <w:t xml:space="preserve">alneari marittime in essere alla sua </w:t>
            </w:r>
            <w:r w:rsidRPr="003C2366">
              <w:rPr>
                <w:rFonts w:ascii="Garamond" w:hAnsi="Garamond" w:cs="Times New Roman"/>
                <w:sz w:val="28"/>
                <w:szCs w:val="28"/>
              </w:rPr>
              <w:t>entrata in vigore, al fine di consentire alle Amministrazioni un’adeguata programmazione dei bandi di gara</w:t>
            </w:r>
            <w:r w:rsidRPr="003C2366">
              <w:rPr>
                <w:rStyle w:val="Rimandonotaapidipagina"/>
                <w:rFonts w:ascii="Garamond" w:hAnsi="Garamond" w:cs="Times New Roman"/>
                <w:sz w:val="28"/>
                <w:szCs w:val="28"/>
              </w:rPr>
              <w:footnoteReference w:id="18"/>
            </w:r>
            <w:r w:rsidRPr="003C2366">
              <w:rPr>
                <w:rFonts w:ascii="Garamond" w:hAnsi="Garamond" w:cs="Times New Roman"/>
                <w:sz w:val="28"/>
                <w:szCs w:val="28"/>
              </w:rPr>
              <w:t>.</w:t>
            </w:r>
          </w:p>
        </w:tc>
      </w:tr>
      <w:tr w:rsidR="003A0B7B" w:rsidRPr="003C2366" w14:paraId="4385A41D" w14:textId="77777777" w:rsidTr="008D5259">
        <w:tc>
          <w:tcPr>
            <w:tcW w:w="3114" w:type="dxa"/>
          </w:tcPr>
          <w:p w14:paraId="2598DE6C" w14:textId="77777777" w:rsidR="003A0B7B" w:rsidRPr="003C2366" w:rsidRDefault="003A0B7B" w:rsidP="003C2366">
            <w:pPr>
              <w:jc w:val="both"/>
              <w:rPr>
                <w:rFonts w:ascii="Garamond" w:hAnsi="Garamond" w:cs="Times New Roman"/>
                <w:b/>
                <w:sz w:val="28"/>
                <w:szCs w:val="28"/>
              </w:rPr>
            </w:pPr>
            <w:r w:rsidRPr="003C2366">
              <w:rPr>
                <w:rFonts w:ascii="Garamond" w:hAnsi="Garamond" w:cs="Times New Roman"/>
                <w:b/>
                <w:sz w:val="28"/>
                <w:szCs w:val="28"/>
              </w:rPr>
              <w:t>Ulteriore possibile proroga al 31/03/2028</w:t>
            </w:r>
          </w:p>
        </w:tc>
        <w:tc>
          <w:tcPr>
            <w:tcW w:w="6514" w:type="dxa"/>
          </w:tcPr>
          <w:p w14:paraId="749998BE" w14:textId="057B492A" w:rsidR="003A0B7B" w:rsidRPr="003C2366" w:rsidRDefault="003A0B7B" w:rsidP="003D0503">
            <w:pPr>
              <w:jc w:val="both"/>
              <w:rPr>
                <w:rFonts w:ascii="Garamond" w:hAnsi="Garamond" w:cs="Times New Roman"/>
                <w:sz w:val="28"/>
                <w:szCs w:val="28"/>
              </w:rPr>
            </w:pPr>
            <w:r w:rsidRPr="003C2366">
              <w:rPr>
                <w:rFonts w:ascii="Garamond" w:hAnsi="Garamond" w:cs="Times New Roman"/>
                <w:sz w:val="28"/>
                <w:szCs w:val="28"/>
              </w:rPr>
              <w:t xml:space="preserve">In presenza di ragioni oggettive che impediscano la conclusione della procedura di affidamento nel termine (es. contenziosi o altre documentate difficoltà) le </w:t>
            </w:r>
            <w:r w:rsidR="003D0503">
              <w:rPr>
                <w:rFonts w:ascii="Garamond" w:hAnsi="Garamond" w:cs="Times New Roman"/>
                <w:sz w:val="28"/>
                <w:szCs w:val="28"/>
              </w:rPr>
              <w:t>A</w:t>
            </w:r>
            <w:r w:rsidRPr="003C2366">
              <w:rPr>
                <w:rFonts w:ascii="Garamond" w:hAnsi="Garamond" w:cs="Times New Roman"/>
                <w:sz w:val="28"/>
                <w:szCs w:val="28"/>
              </w:rPr>
              <w:t>mministrazioni possono prorogare il termine suddetto al 31/03/2028</w:t>
            </w:r>
            <w:r w:rsidRPr="003C2366">
              <w:rPr>
                <w:rStyle w:val="Rimandonotaapidipagina"/>
                <w:rFonts w:ascii="Garamond" w:hAnsi="Garamond" w:cs="Times New Roman"/>
                <w:sz w:val="28"/>
                <w:szCs w:val="28"/>
              </w:rPr>
              <w:footnoteReference w:id="19"/>
            </w:r>
            <w:r w:rsidRPr="003C2366">
              <w:rPr>
                <w:rFonts w:ascii="Garamond" w:hAnsi="Garamond" w:cs="Times New Roman"/>
                <w:sz w:val="28"/>
                <w:szCs w:val="28"/>
              </w:rPr>
              <w:t>.</w:t>
            </w:r>
          </w:p>
        </w:tc>
      </w:tr>
      <w:tr w:rsidR="003A0B7B" w:rsidRPr="003C2366" w14:paraId="07C8228D" w14:textId="77777777" w:rsidTr="008D5259">
        <w:trPr>
          <w:trHeight w:val="480"/>
        </w:trPr>
        <w:tc>
          <w:tcPr>
            <w:tcW w:w="9628" w:type="dxa"/>
            <w:gridSpan w:val="2"/>
            <w:shd w:val="clear" w:color="auto" w:fill="D9D9D9" w:themeFill="background1" w:themeFillShade="D9"/>
            <w:vAlign w:val="center"/>
          </w:tcPr>
          <w:p w14:paraId="78F5C65F" w14:textId="64F716EE" w:rsidR="003A0B7B" w:rsidRPr="003C2366" w:rsidRDefault="003A0B7B" w:rsidP="003C2366">
            <w:pPr>
              <w:tabs>
                <w:tab w:val="left" w:pos="3804"/>
              </w:tabs>
              <w:jc w:val="both"/>
              <w:rPr>
                <w:rFonts w:ascii="Garamond" w:hAnsi="Garamond" w:cs="Times New Roman"/>
                <w:b/>
                <w:sz w:val="28"/>
                <w:szCs w:val="28"/>
              </w:rPr>
            </w:pPr>
            <w:r w:rsidRPr="003C2366">
              <w:rPr>
                <w:rFonts w:ascii="Garamond" w:hAnsi="Garamond" w:cs="Times New Roman"/>
                <w:b/>
                <w:sz w:val="28"/>
                <w:szCs w:val="28"/>
              </w:rPr>
              <w:t xml:space="preserve">Modifiche all’art. 4 </w:t>
            </w:r>
            <w:r w:rsidR="008E07C6" w:rsidRPr="003C2366">
              <w:rPr>
                <w:rFonts w:ascii="Garamond" w:hAnsi="Garamond" w:cs="Times New Roman"/>
                <w:b/>
                <w:sz w:val="28"/>
                <w:szCs w:val="28"/>
              </w:rPr>
              <w:t>L.</w:t>
            </w:r>
            <w:r w:rsidRPr="003C2366">
              <w:rPr>
                <w:rFonts w:ascii="Garamond" w:hAnsi="Garamond" w:cs="Times New Roman"/>
                <w:b/>
                <w:sz w:val="28"/>
                <w:szCs w:val="28"/>
              </w:rPr>
              <w:t xml:space="preserve"> n. 118/2022</w:t>
            </w:r>
          </w:p>
        </w:tc>
      </w:tr>
      <w:tr w:rsidR="003A0B7B" w:rsidRPr="003C2366" w14:paraId="126BBC4A" w14:textId="77777777" w:rsidTr="008D5259">
        <w:tc>
          <w:tcPr>
            <w:tcW w:w="3114" w:type="dxa"/>
          </w:tcPr>
          <w:p w14:paraId="23E22E67" w14:textId="77777777" w:rsidR="003A0B7B" w:rsidRPr="003C2366" w:rsidRDefault="003A0B7B" w:rsidP="003C2366">
            <w:pPr>
              <w:jc w:val="both"/>
              <w:rPr>
                <w:rFonts w:ascii="Garamond" w:hAnsi="Garamond" w:cs="Times New Roman"/>
                <w:b/>
                <w:sz w:val="28"/>
                <w:szCs w:val="28"/>
              </w:rPr>
            </w:pPr>
            <w:r w:rsidRPr="003C2366">
              <w:rPr>
                <w:rFonts w:ascii="Garamond" w:hAnsi="Garamond" w:cs="Times New Roman"/>
                <w:b/>
                <w:sz w:val="28"/>
                <w:szCs w:val="28"/>
              </w:rPr>
              <w:t>Termine per l’avvio delle procedure di affidamento</w:t>
            </w:r>
          </w:p>
        </w:tc>
        <w:tc>
          <w:tcPr>
            <w:tcW w:w="6514" w:type="dxa"/>
          </w:tcPr>
          <w:p w14:paraId="371ADB38" w14:textId="5D220140" w:rsidR="003A0B7B" w:rsidRPr="003C2366" w:rsidRDefault="00CC1F3D" w:rsidP="003C2366">
            <w:pPr>
              <w:jc w:val="both"/>
              <w:rPr>
                <w:rFonts w:ascii="Garamond" w:hAnsi="Garamond" w:cs="Times New Roman"/>
                <w:sz w:val="28"/>
                <w:szCs w:val="28"/>
              </w:rPr>
            </w:pPr>
            <w:r w:rsidRPr="003C2366">
              <w:rPr>
                <w:rFonts w:ascii="Garamond" w:hAnsi="Garamond" w:cs="Times New Roman"/>
                <w:sz w:val="28"/>
                <w:szCs w:val="28"/>
              </w:rPr>
              <w:t xml:space="preserve">Le </w:t>
            </w:r>
            <w:r w:rsidR="00814F8D">
              <w:rPr>
                <w:rFonts w:ascii="Garamond" w:hAnsi="Garamond" w:cs="Times New Roman"/>
                <w:sz w:val="28"/>
                <w:szCs w:val="28"/>
              </w:rPr>
              <w:t>A</w:t>
            </w:r>
            <w:r w:rsidR="003A0B7B" w:rsidRPr="003C2366">
              <w:rPr>
                <w:rFonts w:ascii="Garamond" w:hAnsi="Garamond" w:cs="Times New Roman"/>
                <w:sz w:val="28"/>
                <w:szCs w:val="28"/>
              </w:rPr>
              <w:t xml:space="preserve">mministrazioni devono avviare le procedure di affidamento almeno </w:t>
            </w:r>
            <w:r w:rsidR="00814F8D">
              <w:rPr>
                <w:rFonts w:ascii="Garamond" w:hAnsi="Garamond" w:cs="Times New Roman"/>
                <w:sz w:val="28"/>
                <w:szCs w:val="28"/>
              </w:rPr>
              <w:t>6</w:t>
            </w:r>
            <w:r w:rsidR="003A0B7B" w:rsidRPr="003C2366">
              <w:rPr>
                <w:rFonts w:ascii="Garamond" w:hAnsi="Garamond" w:cs="Times New Roman"/>
                <w:sz w:val="28"/>
                <w:szCs w:val="28"/>
              </w:rPr>
              <w:t xml:space="preserve"> mesi prima della scadenza del titolo concessorio e alla scadenza del titolo concessorio non possono disporre la prosecuzione, in qualsiasi forma o </w:t>
            </w:r>
            <w:r w:rsidR="003A0B7B" w:rsidRPr="003C2366">
              <w:rPr>
                <w:rFonts w:ascii="Garamond" w:hAnsi="Garamond" w:cs="Times New Roman"/>
                <w:sz w:val="28"/>
                <w:szCs w:val="28"/>
              </w:rPr>
              <w:lastRenderedPageBreak/>
              <w:t xml:space="preserve">modalità comunque denominata, del precedente rapporto concessorio. </w:t>
            </w:r>
          </w:p>
          <w:p w14:paraId="1C58B6DB" w14:textId="77777777" w:rsidR="003A0B7B" w:rsidRPr="003C2366" w:rsidRDefault="003A0B7B" w:rsidP="003C2366">
            <w:pPr>
              <w:jc w:val="both"/>
              <w:rPr>
                <w:rFonts w:ascii="Garamond" w:hAnsi="Garamond" w:cs="Times New Roman"/>
                <w:sz w:val="28"/>
                <w:szCs w:val="28"/>
              </w:rPr>
            </w:pPr>
            <w:r w:rsidRPr="003C2366">
              <w:rPr>
                <w:rFonts w:ascii="Garamond" w:hAnsi="Garamond" w:cs="Times New Roman"/>
                <w:sz w:val="28"/>
                <w:szCs w:val="28"/>
              </w:rPr>
              <w:t>Le procedure di affidamento devono essere in ogni caso avviate entro il 30/06/2027</w:t>
            </w:r>
            <w:r w:rsidRPr="003C2366">
              <w:rPr>
                <w:rStyle w:val="Rimandonotaapidipagina"/>
                <w:rFonts w:ascii="Garamond" w:hAnsi="Garamond" w:cs="Times New Roman"/>
                <w:sz w:val="28"/>
                <w:szCs w:val="28"/>
              </w:rPr>
              <w:footnoteReference w:id="20"/>
            </w:r>
            <w:r w:rsidRPr="003C2366">
              <w:rPr>
                <w:rFonts w:ascii="Garamond" w:hAnsi="Garamond" w:cs="Times New Roman"/>
                <w:sz w:val="28"/>
                <w:szCs w:val="28"/>
              </w:rPr>
              <w:t>.</w:t>
            </w:r>
          </w:p>
        </w:tc>
      </w:tr>
      <w:tr w:rsidR="003A0B7B" w:rsidRPr="003C2366" w14:paraId="6D87071B" w14:textId="77777777" w:rsidTr="008D5259">
        <w:tc>
          <w:tcPr>
            <w:tcW w:w="3114" w:type="dxa"/>
          </w:tcPr>
          <w:p w14:paraId="4A23165C" w14:textId="77777777" w:rsidR="003A0B7B" w:rsidRPr="003C2366" w:rsidRDefault="003A0B7B" w:rsidP="003C2366">
            <w:pPr>
              <w:jc w:val="both"/>
              <w:rPr>
                <w:rFonts w:ascii="Garamond" w:hAnsi="Garamond" w:cs="Times New Roman"/>
                <w:b/>
                <w:sz w:val="28"/>
                <w:szCs w:val="28"/>
              </w:rPr>
            </w:pPr>
            <w:r w:rsidRPr="003C2366">
              <w:rPr>
                <w:rFonts w:ascii="Garamond" w:hAnsi="Garamond" w:cs="Times New Roman"/>
                <w:b/>
                <w:sz w:val="28"/>
                <w:szCs w:val="28"/>
              </w:rPr>
              <w:lastRenderedPageBreak/>
              <w:t>Proroga “indefinita” della durata delle concessioni fino al termine della gara</w:t>
            </w:r>
          </w:p>
        </w:tc>
        <w:tc>
          <w:tcPr>
            <w:tcW w:w="6514" w:type="dxa"/>
          </w:tcPr>
          <w:p w14:paraId="3F1D9918" w14:textId="6FEC38F4" w:rsidR="003A0B7B" w:rsidRPr="003C2366" w:rsidRDefault="00CC1F3D" w:rsidP="00814F8D">
            <w:pPr>
              <w:jc w:val="both"/>
              <w:rPr>
                <w:rFonts w:ascii="Garamond" w:hAnsi="Garamond" w:cs="Times New Roman"/>
                <w:sz w:val="28"/>
                <w:szCs w:val="28"/>
              </w:rPr>
            </w:pPr>
            <w:r w:rsidRPr="003C2366">
              <w:rPr>
                <w:rFonts w:ascii="Garamond" w:hAnsi="Garamond" w:cs="Times New Roman"/>
                <w:sz w:val="28"/>
                <w:szCs w:val="28"/>
              </w:rPr>
              <w:t xml:space="preserve">Le </w:t>
            </w:r>
            <w:r w:rsidR="00814F8D">
              <w:rPr>
                <w:rFonts w:ascii="Garamond" w:hAnsi="Garamond" w:cs="Times New Roman"/>
                <w:sz w:val="28"/>
                <w:szCs w:val="28"/>
              </w:rPr>
              <w:t>A</w:t>
            </w:r>
            <w:r w:rsidR="003A0B7B" w:rsidRPr="003C2366">
              <w:rPr>
                <w:rFonts w:ascii="Garamond" w:hAnsi="Garamond" w:cs="Times New Roman"/>
                <w:sz w:val="28"/>
                <w:szCs w:val="28"/>
              </w:rPr>
              <w:t>mministrazioni possono prorogare la durata della concessione in essere nel caso in cui sia già stata avviata la procedura di affidamento, e solo per il tempo strettamente necessario alla sua conclusione</w:t>
            </w:r>
            <w:r w:rsidR="003A0B7B" w:rsidRPr="003C2366">
              <w:rPr>
                <w:rStyle w:val="Rimandonotaapidipagina"/>
                <w:rFonts w:ascii="Garamond" w:hAnsi="Garamond" w:cs="Times New Roman"/>
                <w:sz w:val="28"/>
                <w:szCs w:val="28"/>
              </w:rPr>
              <w:footnoteReference w:id="21"/>
            </w:r>
            <w:r w:rsidR="003A0B7B" w:rsidRPr="003C2366">
              <w:rPr>
                <w:rFonts w:ascii="Garamond" w:hAnsi="Garamond" w:cs="Times New Roman"/>
                <w:sz w:val="28"/>
                <w:szCs w:val="28"/>
              </w:rPr>
              <w:t>.</w:t>
            </w:r>
          </w:p>
        </w:tc>
      </w:tr>
      <w:tr w:rsidR="003A0B7B" w:rsidRPr="003C2366" w14:paraId="52CB3840" w14:textId="77777777" w:rsidTr="008D5259">
        <w:tc>
          <w:tcPr>
            <w:tcW w:w="3114" w:type="dxa"/>
          </w:tcPr>
          <w:p w14:paraId="70288B65" w14:textId="77777777" w:rsidR="003A0B7B" w:rsidRPr="003C2366" w:rsidRDefault="003A0B7B" w:rsidP="003C2366">
            <w:pPr>
              <w:jc w:val="both"/>
              <w:rPr>
                <w:rFonts w:ascii="Garamond" w:hAnsi="Garamond" w:cs="Times New Roman"/>
                <w:b/>
                <w:sz w:val="28"/>
                <w:szCs w:val="28"/>
              </w:rPr>
            </w:pPr>
            <w:r w:rsidRPr="003C2366">
              <w:rPr>
                <w:rFonts w:ascii="Garamond" w:hAnsi="Garamond" w:cs="Times New Roman"/>
                <w:b/>
                <w:sz w:val="28"/>
                <w:szCs w:val="28"/>
              </w:rPr>
              <w:t>Durata delle concessioni</w:t>
            </w:r>
          </w:p>
        </w:tc>
        <w:tc>
          <w:tcPr>
            <w:tcW w:w="6514" w:type="dxa"/>
          </w:tcPr>
          <w:p w14:paraId="5E7893CE" w14:textId="77777777" w:rsidR="003A0B7B" w:rsidRPr="003C2366" w:rsidRDefault="003A0B7B" w:rsidP="003C2366">
            <w:pPr>
              <w:jc w:val="both"/>
              <w:rPr>
                <w:rFonts w:ascii="Garamond" w:hAnsi="Garamond" w:cs="Times New Roman"/>
                <w:sz w:val="28"/>
                <w:szCs w:val="28"/>
              </w:rPr>
            </w:pPr>
            <w:r w:rsidRPr="003C2366">
              <w:rPr>
                <w:rFonts w:ascii="Garamond" w:hAnsi="Garamond" w:cs="Times New Roman"/>
                <w:sz w:val="28"/>
                <w:szCs w:val="28"/>
              </w:rPr>
              <w:t>La durata delle concessioni non può essere inferiore a 5 anni e non può essere superiore a 20 anni</w:t>
            </w:r>
            <w:r w:rsidRPr="003C2366">
              <w:rPr>
                <w:rStyle w:val="Rimandonotaapidipagina"/>
                <w:rFonts w:ascii="Garamond" w:hAnsi="Garamond" w:cs="Times New Roman"/>
                <w:sz w:val="28"/>
                <w:szCs w:val="28"/>
              </w:rPr>
              <w:footnoteReference w:id="22"/>
            </w:r>
            <w:r w:rsidRPr="003C2366">
              <w:rPr>
                <w:rFonts w:ascii="Garamond" w:hAnsi="Garamond" w:cs="Times New Roman"/>
                <w:sz w:val="28"/>
                <w:szCs w:val="28"/>
              </w:rPr>
              <w:t>.</w:t>
            </w:r>
          </w:p>
        </w:tc>
      </w:tr>
      <w:tr w:rsidR="003A0B7B" w:rsidRPr="003C2366" w14:paraId="4EDCE2F4" w14:textId="77777777" w:rsidTr="008D5259">
        <w:tc>
          <w:tcPr>
            <w:tcW w:w="3114" w:type="dxa"/>
          </w:tcPr>
          <w:p w14:paraId="5939D719" w14:textId="77777777" w:rsidR="003A0B7B" w:rsidRPr="003C2366" w:rsidRDefault="003A0B7B" w:rsidP="003C2366">
            <w:pPr>
              <w:jc w:val="both"/>
              <w:rPr>
                <w:rFonts w:ascii="Garamond" w:hAnsi="Garamond" w:cs="Times New Roman"/>
                <w:b/>
                <w:sz w:val="28"/>
                <w:szCs w:val="28"/>
              </w:rPr>
            </w:pPr>
            <w:r w:rsidRPr="003C2366">
              <w:rPr>
                <w:rFonts w:ascii="Garamond" w:hAnsi="Garamond" w:cs="Times New Roman"/>
                <w:b/>
                <w:sz w:val="28"/>
                <w:szCs w:val="28"/>
              </w:rPr>
              <w:t>Criteri di aggiudicazione</w:t>
            </w:r>
          </w:p>
        </w:tc>
        <w:tc>
          <w:tcPr>
            <w:tcW w:w="6514" w:type="dxa"/>
          </w:tcPr>
          <w:p w14:paraId="1AFDD0D9" w14:textId="77777777" w:rsidR="003A0B7B" w:rsidRPr="003C2366" w:rsidRDefault="003A0B7B" w:rsidP="003C2366">
            <w:pPr>
              <w:jc w:val="both"/>
              <w:rPr>
                <w:rFonts w:ascii="Garamond" w:hAnsi="Garamond" w:cs="Times New Roman"/>
                <w:sz w:val="28"/>
                <w:szCs w:val="28"/>
              </w:rPr>
            </w:pPr>
            <w:r w:rsidRPr="003C2366">
              <w:rPr>
                <w:rFonts w:ascii="Garamond" w:hAnsi="Garamond" w:cs="Times New Roman"/>
                <w:sz w:val="28"/>
                <w:szCs w:val="28"/>
              </w:rPr>
              <w:t xml:space="preserve">Il decreto reca menzione dei criteri di aggiudicazione che le Amministrazioni devono utilizzare nei bandi per affidare le concessioni. </w:t>
            </w:r>
          </w:p>
          <w:p w14:paraId="1641C47D" w14:textId="77777777" w:rsidR="003A0B7B" w:rsidRPr="003C2366" w:rsidRDefault="003A0B7B" w:rsidP="003C2366">
            <w:pPr>
              <w:jc w:val="both"/>
              <w:rPr>
                <w:rFonts w:ascii="Garamond" w:hAnsi="Garamond" w:cs="Times New Roman"/>
                <w:sz w:val="28"/>
                <w:szCs w:val="28"/>
              </w:rPr>
            </w:pPr>
            <w:r w:rsidRPr="003C2366">
              <w:rPr>
                <w:rFonts w:ascii="Garamond" w:hAnsi="Garamond" w:cs="Times New Roman"/>
                <w:sz w:val="28"/>
                <w:szCs w:val="28"/>
              </w:rPr>
              <w:t>Tra questi si segnalano in particolare:</w:t>
            </w:r>
          </w:p>
          <w:p w14:paraId="741BB6F7" w14:textId="77777777" w:rsidR="003A0B7B" w:rsidRPr="003C2366" w:rsidRDefault="003A0B7B" w:rsidP="003C2366">
            <w:pPr>
              <w:jc w:val="both"/>
              <w:rPr>
                <w:rFonts w:ascii="Garamond" w:hAnsi="Garamond" w:cs="Times New Roman"/>
                <w:sz w:val="28"/>
                <w:szCs w:val="28"/>
              </w:rPr>
            </w:pPr>
            <w:r w:rsidRPr="003C2366">
              <w:rPr>
                <w:rFonts w:ascii="Garamond" w:hAnsi="Garamond" w:cs="Times New Roman"/>
                <w:sz w:val="28"/>
                <w:szCs w:val="28"/>
              </w:rPr>
              <w:t>h) l'esperienza tecnica e professionale dell'offerente in relazione ad attività turistico-ricreative comparabili, anche svolte in regime di concessione;</w:t>
            </w:r>
          </w:p>
          <w:p w14:paraId="66470D7A" w14:textId="77777777" w:rsidR="003A0B7B" w:rsidRPr="003C2366" w:rsidRDefault="003A0B7B" w:rsidP="003C2366">
            <w:pPr>
              <w:jc w:val="both"/>
              <w:rPr>
                <w:rFonts w:ascii="Garamond" w:hAnsi="Garamond" w:cs="Times New Roman"/>
                <w:sz w:val="28"/>
                <w:szCs w:val="28"/>
              </w:rPr>
            </w:pPr>
            <w:r w:rsidRPr="003C2366">
              <w:rPr>
                <w:rFonts w:ascii="Garamond" w:hAnsi="Garamond" w:cs="Times New Roman"/>
                <w:sz w:val="28"/>
                <w:szCs w:val="28"/>
              </w:rPr>
              <w:t>i) se l'offerente, nei cinque anni antecedenti, ha utilizzato una concessione quale prevalente fonte di reddito per sé e per il proprio nucleo familiare</w:t>
            </w:r>
            <w:r w:rsidRPr="003C2366">
              <w:rPr>
                <w:rStyle w:val="Rimandonotaapidipagina"/>
                <w:rFonts w:ascii="Garamond" w:hAnsi="Garamond" w:cs="Times New Roman"/>
                <w:sz w:val="28"/>
                <w:szCs w:val="28"/>
              </w:rPr>
              <w:footnoteReference w:id="23"/>
            </w:r>
            <w:r w:rsidRPr="003C2366">
              <w:rPr>
                <w:rFonts w:ascii="Garamond" w:hAnsi="Garamond" w:cs="Times New Roman"/>
                <w:sz w:val="28"/>
                <w:szCs w:val="28"/>
              </w:rPr>
              <w:t>.</w:t>
            </w:r>
          </w:p>
        </w:tc>
      </w:tr>
      <w:tr w:rsidR="003A0B7B" w:rsidRPr="003C2366" w14:paraId="5181207D" w14:textId="77777777" w:rsidTr="008D5259">
        <w:tc>
          <w:tcPr>
            <w:tcW w:w="3114" w:type="dxa"/>
          </w:tcPr>
          <w:p w14:paraId="0AFB781F" w14:textId="77777777" w:rsidR="003A0B7B" w:rsidRPr="003C2366" w:rsidRDefault="003A0B7B" w:rsidP="003C2366">
            <w:pPr>
              <w:jc w:val="both"/>
              <w:rPr>
                <w:rFonts w:ascii="Garamond" w:hAnsi="Garamond" w:cs="Times New Roman"/>
                <w:b/>
                <w:sz w:val="28"/>
                <w:szCs w:val="28"/>
              </w:rPr>
            </w:pPr>
            <w:r w:rsidRPr="003C2366">
              <w:rPr>
                <w:rFonts w:ascii="Garamond" w:hAnsi="Garamond" w:cs="Times New Roman"/>
                <w:b/>
                <w:sz w:val="28"/>
                <w:szCs w:val="28"/>
              </w:rPr>
              <w:t>Demolizione delle opere non amovibili a spese del concessionario uscente</w:t>
            </w:r>
          </w:p>
        </w:tc>
        <w:tc>
          <w:tcPr>
            <w:tcW w:w="6514" w:type="dxa"/>
          </w:tcPr>
          <w:p w14:paraId="6C3BE9B1" w14:textId="77777777" w:rsidR="003A0B7B" w:rsidRPr="003C2366" w:rsidRDefault="003A0B7B" w:rsidP="003C2366">
            <w:pPr>
              <w:jc w:val="both"/>
              <w:rPr>
                <w:rFonts w:ascii="Garamond" w:hAnsi="Garamond" w:cs="Times New Roman"/>
                <w:sz w:val="28"/>
                <w:szCs w:val="28"/>
              </w:rPr>
            </w:pPr>
            <w:r w:rsidRPr="003C2366">
              <w:rPr>
                <w:rFonts w:ascii="Garamond" w:hAnsi="Garamond" w:cs="Times New Roman"/>
                <w:color w:val="000000" w:themeColor="text1"/>
                <w:sz w:val="28"/>
                <w:szCs w:val="28"/>
              </w:rPr>
              <w:t>In caso di rilascio della concessione a favore di un nuovo concessionario, l'ente concedente può ordinare al concessionario uscente, in assenza di diversa previsione nell'atto concessorio e con provvedimento motivato ai sensi dell'</w:t>
            </w:r>
            <w:hyperlink r:id="rId11" w:tgtFrame="_blank" w:history="1">
              <w:r w:rsidRPr="003C2366">
                <w:rPr>
                  <w:rStyle w:val="Collegamentoipertestuale"/>
                  <w:rFonts w:ascii="Garamond" w:hAnsi="Garamond" w:cs="Times New Roman"/>
                  <w:color w:val="000000" w:themeColor="text1"/>
                  <w:sz w:val="28"/>
                  <w:szCs w:val="28"/>
                  <w:u w:val="none"/>
                </w:rPr>
                <w:t>art. 49 cod. nav.</w:t>
              </w:r>
            </w:hyperlink>
            <w:r w:rsidRPr="003C2366">
              <w:rPr>
                <w:rFonts w:ascii="Garamond" w:hAnsi="Garamond" w:cs="Times New Roman"/>
                <w:color w:val="000000" w:themeColor="text1"/>
                <w:sz w:val="28"/>
                <w:szCs w:val="28"/>
              </w:rPr>
              <w:t>, la demolizione, a spese del medesimo, delle opere non amovibili autorizzate e realizzate da detto concessionario</w:t>
            </w:r>
            <w:r w:rsidRPr="003C2366">
              <w:rPr>
                <w:rStyle w:val="Rimandonotaapidipagina"/>
                <w:rFonts w:ascii="Garamond" w:hAnsi="Garamond" w:cs="Times New Roman"/>
                <w:color w:val="000000" w:themeColor="text1"/>
                <w:sz w:val="28"/>
                <w:szCs w:val="28"/>
              </w:rPr>
              <w:footnoteReference w:id="24"/>
            </w:r>
            <w:r w:rsidRPr="003C2366">
              <w:rPr>
                <w:rFonts w:ascii="Garamond" w:hAnsi="Garamond" w:cs="Times New Roman"/>
                <w:color w:val="000000" w:themeColor="text1"/>
                <w:sz w:val="28"/>
                <w:szCs w:val="28"/>
              </w:rPr>
              <w:t>.</w:t>
            </w:r>
          </w:p>
        </w:tc>
      </w:tr>
      <w:tr w:rsidR="003A0B7B" w:rsidRPr="003C2366" w14:paraId="35754271" w14:textId="77777777" w:rsidTr="008D5259">
        <w:tc>
          <w:tcPr>
            <w:tcW w:w="3114" w:type="dxa"/>
          </w:tcPr>
          <w:p w14:paraId="61C8388B" w14:textId="77777777" w:rsidR="003A0B7B" w:rsidRPr="003C2366" w:rsidRDefault="003A0B7B" w:rsidP="003C2366">
            <w:pPr>
              <w:jc w:val="both"/>
              <w:rPr>
                <w:rFonts w:ascii="Garamond" w:hAnsi="Garamond" w:cs="Times New Roman"/>
                <w:b/>
                <w:sz w:val="28"/>
                <w:szCs w:val="28"/>
              </w:rPr>
            </w:pPr>
            <w:r w:rsidRPr="003C2366">
              <w:rPr>
                <w:rFonts w:ascii="Garamond" w:hAnsi="Garamond" w:cs="Times New Roman"/>
                <w:b/>
                <w:sz w:val="28"/>
                <w:szCs w:val="28"/>
              </w:rPr>
              <w:t>Indennizzo per il concessionario uscente</w:t>
            </w:r>
          </w:p>
        </w:tc>
        <w:tc>
          <w:tcPr>
            <w:tcW w:w="6514" w:type="dxa"/>
          </w:tcPr>
          <w:p w14:paraId="592E243B" w14:textId="77777777" w:rsidR="003A0B7B" w:rsidRPr="003C2366" w:rsidRDefault="003A0B7B" w:rsidP="003C2366">
            <w:pPr>
              <w:jc w:val="both"/>
              <w:rPr>
                <w:rFonts w:ascii="Garamond" w:hAnsi="Garamond" w:cs="Times New Roman"/>
                <w:color w:val="000000" w:themeColor="text1"/>
                <w:sz w:val="28"/>
                <w:szCs w:val="28"/>
              </w:rPr>
            </w:pPr>
            <w:r w:rsidRPr="003C2366">
              <w:rPr>
                <w:rFonts w:ascii="Garamond" w:hAnsi="Garamond" w:cs="Times New Roman"/>
                <w:color w:val="000000" w:themeColor="text1"/>
                <w:sz w:val="28"/>
                <w:szCs w:val="28"/>
              </w:rPr>
              <w:t>Il decreto prevede l’obbligo di corresponsione di un indennizzo al concessionario uscente a carico del concessionario subentrante, pari al valore degli investimenti effettuati e non ammortizzati.</w:t>
            </w:r>
          </w:p>
          <w:p w14:paraId="5A30CF50" w14:textId="77777777" w:rsidR="003A0B7B" w:rsidRPr="003C2366" w:rsidRDefault="003A0B7B" w:rsidP="003C2366">
            <w:pPr>
              <w:jc w:val="both"/>
              <w:rPr>
                <w:rFonts w:ascii="Garamond" w:hAnsi="Garamond" w:cs="Times New Roman"/>
                <w:color w:val="000000" w:themeColor="text1"/>
                <w:sz w:val="28"/>
                <w:szCs w:val="28"/>
              </w:rPr>
            </w:pPr>
            <w:r w:rsidRPr="003C2366">
              <w:rPr>
                <w:rFonts w:ascii="Garamond" w:hAnsi="Garamond" w:cs="Times New Roman"/>
                <w:color w:val="000000" w:themeColor="text1"/>
                <w:sz w:val="28"/>
                <w:szCs w:val="28"/>
              </w:rPr>
              <w:t>L’importo deve essere determinato:</w:t>
            </w:r>
          </w:p>
          <w:p w14:paraId="1D8E0EC6" w14:textId="77777777" w:rsidR="003A0B7B" w:rsidRPr="003C2366" w:rsidRDefault="003A0B7B" w:rsidP="003C2366">
            <w:pPr>
              <w:jc w:val="both"/>
              <w:rPr>
                <w:rFonts w:ascii="Garamond" w:hAnsi="Garamond" w:cs="Times New Roman"/>
                <w:color w:val="000000" w:themeColor="text1"/>
                <w:sz w:val="28"/>
                <w:szCs w:val="28"/>
              </w:rPr>
            </w:pPr>
            <w:r w:rsidRPr="003C2366">
              <w:rPr>
                <w:rFonts w:ascii="Garamond" w:hAnsi="Garamond" w:cs="Times New Roman"/>
                <w:color w:val="000000" w:themeColor="text1"/>
                <w:sz w:val="28"/>
                <w:szCs w:val="28"/>
              </w:rPr>
              <w:t>a) previa perizia acquisita dall'ente concedente prima della pubblicazione del bando di gara;</w:t>
            </w:r>
          </w:p>
          <w:p w14:paraId="6DD98C2E" w14:textId="77777777" w:rsidR="003A0B7B" w:rsidRPr="003C2366" w:rsidRDefault="003A0B7B" w:rsidP="003C2366">
            <w:pPr>
              <w:jc w:val="both"/>
              <w:rPr>
                <w:rFonts w:ascii="Garamond" w:hAnsi="Garamond" w:cs="Times New Roman"/>
                <w:color w:val="000000" w:themeColor="text1"/>
                <w:sz w:val="28"/>
                <w:szCs w:val="28"/>
              </w:rPr>
            </w:pPr>
            <w:r w:rsidRPr="003C2366">
              <w:rPr>
                <w:rFonts w:ascii="Garamond" w:hAnsi="Garamond" w:cs="Times New Roman"/>
                <w:color w:val="000000" w:themeColor="text1"/>
                <w:sz w:val="28"/>
                <w:szCs w:val="28"/>
              </w:rPr>
              <w:t>b) sulla base di criteri che saranno previsti con decreto del Ministro delle infrastrutture e dei trasporti, di concerto con il Ministro dell'economia e delle finanze, da adottare entro il 31/03/2025.</w:t>
            </w:r>
          </w:p>
          <w:p w14:paraId="4DE3C123" w14:textId="77777777" w:rsidR="003A0B7B" w:rsidRPr="003C2366" w:rsidRDefault="003A0B7B" w:rsidP="003C2366">
            <w:pPr>
              <w:jc w:val="both"/>
              <w:rPr>
                <w:rFonts w:ascii="Garamond" w:hAnsi="Garamond" w:cs="Times New Roman"/>
                <w:color w:val="000000" w:themeColor="text1"/>
                <w:sz w:val="28"/>
                <w:szCs w:val="28"/>
              </w:rPr>
            </w:pPr>
            <w:r w:rsidRPr="003C2366">
              <w:rPr>
                <w:rFonts w:ascii="Garamond" w:hAnsi="Garamond" w:cs="Times New Roman"/>
                <w:color w:val="000000" w:themeColor="text1"/>
                <w:sz w:val="28"/>
                <w:szCs w:val="28"/>
              </w:rPr>
              <w:lastRenderedPageBreak/>
              <w:t>La mancata adozione del suddetto decreto non giustifica il mancato avvio della procedura di affidamento</w:t>
            </w:r>
            <w:r w:rsidRPr="003C2366">
              <w:rPr>
                <w:rStyle w:val="Rimandonotaapidipagina"/>
                <w:rFonts w:ascii="Garamond" w:hAnsi="Garamond" w:cs="Times New Roman"/>
                <w:color w:val="000000" w:themeColor="text1"/>
                <w:sz w:val="28"/>
                <w:szCs w:val="28"/>
              </w:rPr>
              <w:footnoteReference w:id="25"/>
            </w:r>
            <w:r w:rsidRPr="003C2366">
              <w:rPr>
                <w:rFonts w:ascii="Garamond" w:hAnsi="Garamond" w:cs="Times New Roman"/>
                <w:color w:val="000000" w:themeColor="text1"/>
                <w:sz w:val="28"/>
                <w:szCs w:val="28"/>
              </w:rPr>
              <w:t>.</w:t>
            </w:r>
          </w:p>
        </w:tc>
      </w:tr>
    </w:tbl>
    <w:p w14:paraId="13E4CA9D" w14:textId="2F437115" w:rsidR="00374433" w:rsidRDefault="00374433" w:rsidP="003C2366">
      <w:pPr>
        <w:spacing w:after="0" w:line="240" w:lineRule="auto"/>
        <w:jc w:val="both"/>
        <w:rPr>
          <w:rFonts w:ascii="Garamond" w:hAnsi="Garamond" w:cs="Times New Roman"/>
          <w:sz w:val="28"/>
          <w:szCs w:val="28"/>
        </w:rPr>
      </w:pPr>
    </w:p>
    <w:p w14:paraId="4955F1CB" w14:textId="77777777" w:rsidR="00D60D68" w:rsidRPr="003C2366" w:rsidRDefault="00D60D68" w:rsidP="003C2366">
      <w:pPr>
        <w:spacing w:after="0" w:line="240" w:lineRule="auto"/>
        <w:jc w:val="both"/>
        <w:rPr>
          <w:rFonts w:ascii="Garamond" w:hAnsi="Garamond" w:cs="Times New Roman"/>
          <w:sz w:val="28"/>
          <w:szCs w:val="28"/>
        </w:rPr>
      </w:pPr>
    </w:p>
    <w:p w14:paraId="29A69490" w14:textId="77777777" w:rsidR="003A0B7B" w:rsidRPr="003C2366" w:rsidRDefault="00F00A12" w:rsidP="003C2366">
      <w:pPr>
        <w:spacing w:after="0" w:line="240" w:lineRule="auto"/>
        <w:ind w:firstLine="709"/>
        <w:jc w:val="both"/>
        <w:rPr>
          <w:rFonts w:ascii="Garamond" w:hAnsi="Garamond" w:cs="Times New Roman"/>
          <w:b/>
          <w:sz w:val="28"/>
          <w:szCs w:val="28"/>
          <w:u w:val="single"/>
        </w:rPr>
      </w:pPr>
      <w:r w:rsidRPr="003C2366">
        <w:rPr>
          <w:rFonts w:ascii="Garamond" w:hAnsi="Garamond" w:cs="Times New Roman"/>
          <w:b/>
          <w:sz w:val="28"/>
          <w:szCs w:val="28"/>
        </w:rPr>
        <w:t>§ 3</w:t>
      </w:r>
      <w:r w:rsidRPr="003C2366">
        <w:rPr>
          <w:rFonts w:ascii="Garamond" w:hAnsi="Garamond" w:cs="Times New Roman"/>
          <w:sz w:val="28"/>
          <w:szCs w:val="28"/>
        </w:rPr>
        <w:t xml:space="preserve"> – </w:t>
      </w:r>
      <w:r w:rsidR="003A0B7B" w:rsidRPr="00EC75ED">
        <w:rPr>
          <w:rFonts w:ascii="Garamond" w:hAnsi="Garamond" w:cs="Times New Roman"/>
          <w:b/>
          <w:sz w:val="28"/>
          <w:szCs w:val="28"/>
          <w:u w:val="single"/>
        </w:rPr>
        <w:t>Critiche e spunti di riflessione</w:t>
      </w:r>
      <w:r w:rsidRPr="00EC75ED">
        <w:rPr>
          <w:rFonts w:ascii="Garamond" w:hAnsi="Garamond" w:cs="Times New Roman"/>
          <w:b/>
          <w:sz w:val="28"/>
          <w:szCs w:val="28"/>
          <w:u w:val="single"/>
        </w:rPr>
        <w:t xml:space="preserve"> sulla nuova disciplina</w:t>
      </w:r>
      <w:r w:rsidR="003A0B7B" w:rsidRPr="003C2366">
        <w:rPr>
          <w:rFonts w:ascii="Garamond" w:hAnsi="Garamond" w:cs="Times New Roman"/>
          <w:b/>
          <w:sz w:val="28"/>
          <w:szCs w:val="28"/>
          <w:u w:val="single"/>
        </w:rPr>
        <w:t>.</w:t>
      </w:r>
    </w:p>
    <w:p w14:paraId="769E1A52" w14:textId="77777777" w:rsidR="003A0B7B" w:rsidRPr="003C2366" w:rsidRDefault="003A0B7B" w:rsidP="003C2366">
      <w:pPr>
        <w:spacing w:after="0" w:line="240" w:lineRule="auto"/>
        <w:jc w:val="both"/>
        <w:rPr>
          <w:rFonts w:ascii="Garamond" w:hAnsi="Garamond" w:cs="Times New Roman"/>
          <w:sz w:val="28"/>
          <w:szCs w:val="28"/>
        </w:rPr>
      </w:pPr>
    </w:p>
    <w:p w14:paraId="2A64BCF8" w14:textId="77777777" w:rsidR="003A0B7B" w:rsidRPr="003C2366" w:rsidRDefault="003A0B7B" w:rsidP="003C2366">
      <w:pPr>
        <w:spacing w:after="0" w:line="240" w:lineRule="auto"/>
        <w:ind w:firstLine="709"/>
        <w:jc w:val="both"/>
        <w:rPr>
          <w:rFonts w:ascii="Garamond" w:hAnsi="Garamond" w:cs="Times New Roman"/>
          <w:sz w:val="28"/>
          <w:szCs w:val="28"/>
        </w:rPr>
      </w:pPr>
      <w:r w:rsidRPr="003C2366">
        <w:rPr>
          <w:rFonts w:ascii="Garamond" w:hAnsi="Garamond" w:cs="Times New Roman"/>
          <w:b/>
          <w:sz w:val="28"/>
          <w:szCs w:val="28"/>
        </w:rPr>
        <w:t>I)</w:t>
      </w:r>
      <w:r w:rsidRPr="003C2366">
        <w:rPr>
          <w:rFonts w:ascii="Garamond" w:hAnsi="Garamond" w:cs="Times New Roman"/>
          <w:sz w:val="28"/>
          <w:szCs w:val="28"/>
        </w:rPr>
        <w:t xml:space="preserve"> </w:t>
      </w:r>
      <w:r w:rsidRPr="003C2366">
        <w:rPr>
          <w:rFonts w:ascii="Garamond" w:hAnsi="Garamond" w:cs="Times New Roman"/>
          <w:b/>
          <w:sz w:val="28"/>
          <w:szCs w:val="28"/>
        </w:rPr>
        <w:t>La</w:t>
      </w:r>
      <w:r w:rsidRPr="003C2366">
        <w:rPr>
          <w:rFonts w:ascii="Garamond" w:hAnsi="Garamond" w:cs="Times New Roman"/>
          <w:sz w:val="28"/>
          <w:szCs w:val="28"/>
        </w:rPr>
        <w:t xml:space="preserve"> </w:t>
      </w:r>
      <w:r w:rsidRPr="003C2366">
        <w:rPr>
          <w:rFonts w:ascii="Garamond" w:hAnsi="Garamond" w:cs="Times New Roman"/>
          <w:b/>
          <w:sz w:val="28"/>
          <w:szCs w:val="28"/>
        </w:rPr>
        <w:t>proroga delle concessioni al 30/09/2027 deve essere disapplicata?</w:t>
      </w:r>
    </w:p>
    <w:p w14:paraId="75B22F43" w14:textId="094C1AE5" w:rsidR="00F749C8" w:rsidRPr="003C2366" w:rsidRDefault="003A0B7B" w:rsidP="003C2366">
      <w:pPr>
        <w:spacing w:after="0" w:line="240" w:lineRule="auto"/>
        <w:ind w:firstLine="709"/>
        <w:jc w:val="both"/>
        <w:rPr>
          <w:rFonts w:ascii="Garamond" w:hAnsi="Garamond" w:cs="Times New Roman"/>
          <w:sz w:val="28"/>
          <w:szCs w:val="28"/>
        </w:rPr>
      </w:pPr>
      <w:r w:rsidRPr="003C2366">
        <w:rPr>
          <w:rFonts w:ascii="Garamond" w:hAnsi="Garamond" w:cs="Times New Roman"/>
          <w:sz w:val="28"/>
          <w:szCs w:val="28"/>
        </w:rPr>
        <w:t>La dottrina e la giurisprudenza, all’indomani dell’em</w:t>
      </w:r>
      <w:r w:rsidR="00A801C4">
        <w:rPr>
          <w:rFonts w:ascii="Garamond" w:hAnsi="Garamond" w:cs="Times New Roman"/>
          <w:sz w:val="28"/>
          <w:szCs w:val="28"/>
        </w:rPr>
        <w:t xml:space="preserve">anazione del decreto </w:t>
      </w:r>
      <w:r w:rsidRPr="003C2366">
        <w:rPr>
          <w:rFonts w:ascii="Garamond" w:hAnsi="Garamond" w:cs="Times New Roman"/>
          <w:sz w:val="28"/>
          <w:szCs w:val="28"/>
        </w:rPr>
        <w:t xml:space="preserve">legge, hanno evidenziato come tali meccanismi di proroga </w:t>
      </w:r>
      <w:r w:rsidRPr="003C2366">
        <w:rPr>
          <w:rFonts w:ascii="Garamond" w:hAnsi="Garamond" w:cs="Times New Roman"/>
          <w:i/>
          <w:sz w:val="28"/>
          <w:szCs w:val="28"/>
        </w:rPr>
        <w:t>ex lege</w:t>
      </w:r>
      <w:r w:rsidRPr="003C2366">
        <w:rPr>
          <w:rFonts w:ascii="Garamond" w:hAnsi="Garamond" w:cs="Times New Roman"/>
          <w:sz w:val="28"/>
          <w:szCs w:val="28"/>
        </w:rPr>
        <w:t xml:space="preserve"> siano stati più volte stigmatizzati dalla giurisprudenza della Corte di giustizia e d</w:t>
      </w:r>
      <w:r w:rsidR="00F749C8" w:rsidRPr="003C2366">
        <w:rPr>
          <w:rFonts w:ascii="Garamond" w:hAnsi="Garamond" w:cs="Times New Roman"/>
          <w:sz w:val="28"/>
          <w:szCs w:val="28"/>
        </w:rPr>
        <w:t>a quella del Consiglio di Stato</w:t>
      </w:r>
      <w:r w:rsidRPr="003C2366">
        <w:rPr>
          <w:rFonts w:ascii="Garamond" w:hAnsi="Garamond" w:cs="Times New Roman"/>
          <w:sz w:val="28"/>
          <w:szCs w:val="28"/>
        </w:rPr>
        <w:t xml:space="preserve"> e si espongano, dunque, al rischio di una nuova disap</w:t>
      </w:r>
      <w:r w:rsidR="00D07123">
        <w:rPr>
          <w:rFonts w:ascii="Garamond" w:hAnsi="Garamond" w:cs="Times New Roman"/>
          <w:sz w:val="28"/>
          <w:szCs w:val="28"/>
        </w:rPr>
        <w:t>plicazione da parte dei</w:t>
      </w:r>
      <w:r w:rsidRPr="003C2366">
        <w:rPr>
          <w:rFonts w:ascii="Garamond" w:hAnsi="Garamond" w:cs="Times New Roman"/>
          <w:sz w:val="28"/>
          <w:szCs w:val="28"/>
        </w:rPr>
        <w:t xml:space="preserve"> giudic</w:t>
      </w:r>
      <w:r w:rsidR="00D07123">
        <w:rPr>
          <w:rFonts w:ascii="Garamond" w:hAnsi="Garamond" w:cs="Times New Roman"/>
          <w:sz w:val="28"/>
          <w:szCs w:val="28"/>
        </w:rPr>
        <w:t>i</w:t>
      </w:r>
      <w:r w:rsidRPr="003C2366">
        <w:rPr>
          <w:rFonts w:ascii="Garamond" w:hAnsi="Garamond" w:cs="Times New Roman"/>
          <w:sz w:val="28"/>
          <w:szCs w:val="28"/>
        </w:rPr>
        <w:t xml:space="preserve"> nazional</w:t>
      </w:r>
      <w:r w:rsidR="00D07123">
        <w:rPr>
          <w:rFonts w:ascii="Garamond" w:hAnsi="Garamond" w:cs="Times New Roman"/>
          <w:sz w:val="28"/>
          <w:szCs w:val="28"/>
        </w:rPr>
        <w:t>i</w:t>
      </w:r>
      <w:r w:rsidRPr="003C2366">
        <w:rPr>
          <w:rFonts w:ascii="Garamond" w:hAnsi="Garamond" w:cs="Times New Roman"/>
          <w:sz w:val="28"/>
          <w:szCs w:val="28"/>
        </w:rPr>
        <w:t xml:space="preserve"> e delle </w:t>
      </w:r>
      <w:r w:rsidR="00D07123">
        <w:rPr>
          <w:rFonts w:ascii="Garamond" w:hAnsi="Garamond" w:cs="Times New Roman"/>
          <w:sz w:val="28"/>
          <w:szCs w:val="28"/>
        </w:rPr>
        <w:t>A</w:t>
      </w:r>
      <w:r w:rsidRPr="003C2366">
        <w:rPr>
          <w:rFonts w:ascii="Garamond" w:hAnsi="Garamond" w:cs="Times New Roman"/>
          <w:sz w:val="28"/>
          <w:szCs w:val="28"/>
        </w:rPr>
        <w:t xml:space="preserve">mministrazioni. </w:t>
      </w:r>
    </w:p>
    <w:p w14:paraId="4FCC0DE2" w14:textId="77777777" w:rsidR="00F749C8" w:rsidRPr="003C2366" w:rsidRDefault="003A0B7B" w:rsidP="003C2366">
      <w:pPr>
        <w:spacing w:after="0" w:line="240" w:lineRule="auto"/>
        <w:ind w:firstLine="709"/>
        <w:jc w:val="both"/>
        <w:rPr>
          <w:rFonts w:ascii="Garamond" w:hAnsi="Garamond" w:cs="Times New Roman"/>
          <w:sz w:val="28"/>
          <w:szCs w:val="28"/>
        </w:rPr>
      </w:pPr>
      <w:r w:rsidRPr="003C2366">
        <w:rPr>
          <w:rFonts w:ascii="Garamond" w:hAnsi="Garamond" w:cs="Times New Roman"/>
          <w:sz w:val="28"/>
          <w:szCs w:val="28"/>
        </w:rPr>
        <w:t>Ciò ancor di più laddove si consideri:</w:t>
      </w:r>
    </w:p>
    <w:p w14:paraId="623D6A58" w14:textId="19A11260" w:rsidR="00F749C8" w:rsidRPr="003C2366" w:rsidRDefault="00F749C8" w:rsidP="003C2366">
      <w:pPr>
        <w:spacing w:after="0" w:line="240" w:lineRule="auto"/>
        <w:ind w:firstLine="709"/>
        <w:jc w:val="both"/>
        <w:rPr>
          <w:rFonts w:ascii="Garamond" w:hAnsi="Garamond" w:cs="Times New Roman"/>
          <w:sz w:val="28"/>
          <w:szCs w:val="28"/>
        </w:rPr>
      </w:pPr>
      <w:r w:rsidRPr="003C2366">
        <w:rPr>
          <w:rFonts w:ascii="Garamond" w:hAnsi="Garamond" w:cs="Times New Roman"/>
          <w:i/>
          <w:sz w:val="28"/>
          <w:szCs w:val="28"/>
        </w:rPr>
        <w:t>a</w:t>
      </w:r>
      <w:r w:rsidR="003A0B7B" w:rsidRPr="003C2366">
        <w:rPr>
          <w:rFonts w:ascii="Garamond" w:hAnsi="Garamond" w:cs="Times New Roman"/>
          <w:i/>
          <w:sz w:val="28"/>
          <w:szCs w:val="28"/>
        </w:rPr>
        <w:t>)</w:t>
      </w:r>
      <w:r w:rsidR="003A0B7B" w:rsidRPr="003C2366">
        <w:rPr>
          <w:rFonts w:ascii="Garamond" w:hAnsi="Garamond" w:cs="Times New Roman"/>
          <w:sz w:val="28"/>
          <w:szCs w:val="28"/>
        </w:rPr>
        <w:t xml:space="preserve"> l’ampiezza del termine previsto dal decreto</w:t>
      </w:r>
      <w:r w:rsidR="00B727D0">
        <w:rPr>
          <w:rFonts w:ascii="Garamond" w:hAnsi="Garamond" w:cs="Times New Roman"/>
          <w:sz w:val="28"/>
          <w:szCs w:val="28"/>
        </w:rPr>
        <w:t xml:space="preserve"> legge</w:t>
      </w:r>
      <w:r w:rsidR="003A0B7B" w:rsidRPr="003C2366">
        <w:rPr>
          <w:rFonts w:ascii="Garamond" w:hAnsi="Garamond" w:cs="Times New Roman"/>
          <w:sz w:val="28"/>
          <w:szCs w:val="28"/>
        </w:rPr>
        <w:t>;</w:t>
      </w:r>
    </w:p>
    <w:p w14:paraId="6925AA9A" w14:textId="77777777" w:rsidR="003A0B7B" w:rsidRPr="003C2366" w:rsidRDefault="00F749C8" w:rsidP="003C2366">
      <w:pPr>
        <w:spacing w:after="0" w:line="240" w:lineRule="auto"/>
        <w:ind w:firstLine="709"/>
        <w:jc w:val="both"/>
        <w:rPr>
          <w:rFonts w:ascii="Garamond" w:hAnsi="Garamond" w:cs="Times New Roman"/>
          <w:sz w:val="28"/>
          <w:szCs w:val="28"/>
        </w:rPr>
      </w:pPr>
      <w:r w:rsidRPr="003C2366">
        <w:rPr>
          <w:rFonts w:ascii="Garamond" w:hAnsi="Garamond" w:cs="Times New Roman"/>
          <w:i/>
          <w:sz w:val="28"/>
          <w:szCs w:val="28"/>
        </w:rPr>
        <w:t>b</w:t>
      </w:r>
      <w:r w:rsidR="003A0B7B" w:rsidRPr="003C2366">
        <w:rPr>
          <w:rFonts w:ascii="Garamond" w:hAnsi="Garamond" w:cs="Times New Roman"/>
          <w:i/>
          <w:sz w:val="28"/>
          <w:szCs w:val="28"/>
        </w:rPr>
        <w:t>)</w:t>
      </w:r>
      <w:r w:rsidR="003A0B7B" w:rsidRPr="003C2366">
        <w:rPr>
          <w:rFonts w:ascii="Garamond" w:hAnsi="Garamond" w:cs="Times New Roman"/>
          <w:sz w:val="28"/>
          <w:szCs w:val="28"/>
        </w:rPr>
        <w:t xml:space="preserve"> le previsioni che ammettono la possibilità di un’ulteriore estensione del termine predetto in casi di comprovata difficoltà di conclusione della procedura nel termine, ovvero nelle more del tempo previsto per la conclusione della procedura di affidamento già iniziata</w:t>
      </w:r>
      <w:r w:rsidR="003A0B7B" w:rsidRPr="003C2366">
        <w:rPr>
          <w:rStyle w:val="Rimandonotaapidipagina"/>
          <w:rFonts w:ascii="Garamond" w:hAnsi="Garamond" w:cs="Times New Roman"/>
          <w:sz w:val="28"/>
          <w:szCs w:val="28"/>
        </w:rPr>
        <w:footnoteReference w:id="26"/>
      </w:r>
      <w:r w:rsidR="003A0B7B" w:rsidRPr="003C2366">
        <w:rPr>
          <w:rFonts w:ascii="Garamond" w:hAnsi="Garamond" w:cs="Times New Roman"/>
          <w:sz w:val="28"/>
          <w:szCs w:val="28"/>
        </w:rPr>
        <w:t>.</w:t>
      </w:r>
    </w:p>
    <w:p w14:paraId="650EC0B7" w14:textId="77777777" w:rsidR="003A0B7B" w:rsidRPr="003C2366" w:rsidRDefault="003A0B7B" w:rsidP="003C2366">
      <w:pPr>
        <w:spacing w:after="0" w:line="240" w:lineRule="auto"/>
        <w:ind w:firstLine="709"/>
        <w:jc w:val="both"/>
        <w:rPr>
          <w:rFonts w:ascii="Garamond" w:hAnsi="Garamond" w:cs="Times New Roman"/>
          <w:sz w:val="28"/>
          <w:szCs w:val="28"/>
        </w:rPr>
      </w:pPr>
    </w:p>
    <w:p w14:paraId="02042678" w14:textId="50C3F17F" w:rsidR="003A0B7B" w:rsidRPr="003C2366" w:rsidRDefault="003A0B7B" w:rsidP="003C2366">
      <w:pPr>
        <w:spacing w:after="0" w:line="240" w:lineRule="auto"/>
        <w:ind w:firstLine="709"/>
        <w:jc w:val="both"/>
        <w:rPr>
          <w:rFonts w:ascii="Garamond" w:hAnsi="Garamond" w:cs="Times New Roman"/>
          <w:b/>
          <w:sz w:val="28"/>
          <w:szCs w:val="28"/>
        </w:rPr>
      </w:pPr>
      <w:r w:rsidRPr="003C2366">
        <w:rPr>
          <w:rFonts w:ascii="Garamond" w:hAnsi="Garamond" w:cs="Times New Roman"/>
          <w:b/>
          <w:sz w:val="28"/>
          <w:szCs w:val="28"/>
        </w:rPr>
        <w:t>II)</w:t>
      </w:r>
      <w:r w:rsidRPr="003C2366">
        <w:rPr>
          <w:rFonts w:ascii="Garamond" w:hAnsi="Garamond" w:cs="Times New Roman"/>
          <w:sz w:val="28"/>
          <w:szCs w:val="28"/>
        </w:rPr>
        <w:t xml:space="preserve"> </w:t>
      </w:r>
      <w:r w:rsidRPr="003C2366">
        <w:rPr>
          <w:rFonts w:ascii="Garamond" w:hAnsi="Garamond" w:cs="Times New Roman"/>
          <w:b/>
          <w:sz w:val="28"/>
          <w:szCs w:val="28"/>
        </w:rPr>
        <w:t xml:space="preserve">La proroga al </w:t>
      </w:r>
      <w:r w:rsidR="00B727D0">
        <w:rPr>
          <w:rFonts w:ascii="Garamond" w:hAnsi="Garamond" w:cs="Times New Roman"/>
          <w:b/>
          <w:sz w:val="28"/>
          <w:szCs w:val="28"/>
        </w:rPr>
        <w:t>30/09/2027</w:t>
      </w:r>
      <w:r w:rsidRPr="003C2366">
        <w:rPr>
          <w:rFonts w:ascii="Garamond" w:hAnsi="Garamond" w:cs="Times New Roman"/>
          <w:b/>
          <w:sz w:val="28"/>
          <w:szCs w:val="28"/>
        </w:rPr>
        <w:t xml:space="preserve"> opera in maniera automatica o abbisogna di un provvedimento di recepimento da parte dell’amministrazione?</w:t>
      </w:r>
    </w:p>
    <w:p w14:paraId="744471FA" w14:textId="77777777" w:rsidR="003A0B7B" w:rsidRPr="003C2366" w:rsidRDefault="003A0B7B" w:rsidP="003C2366">
      <w:pPr>
        <w:spacing w:after="0" w:line="240" w:lineRule="auto"/>
        <w:ind w:firstLine="709"/>
        <w:jc w:val="both"/>
        <w:rPr>
          <w:rFonts w:ascii="Garamond" w:hAnsi="Garamond" w:cs="Times New Roman"/>
          <w:sz w:val="28"/>
          <w:szCs w:val="28"/>
        </w:rPr>
      </w:pPr>
      <w:r w:rsidRPr="003C2366">
        <w:rPr>
          <w:rFonts w:ascii="Garamond" w:hAnsi="Garamond" w:cs="Times New Roman"/>
          <w:sz w:val="28"/>
          <w:szCs w:val="28"/>
        </w:rPr>
        <w:t>Sul punto si registra allo stato attuale un atteggiamento ondivago della giurisprudenza di primo grado</w:t>
      </w:r>
      <w:r w:rsidRPr="003C2366">
        <w:rPr>
          <w:rStyle w:val="Rimandonotaapidipagina"/>
          <w:rFonts w:ascii="Garamond" w:hAnsi="Garamond" w:cs="Times New Roman"/>
          <w:sz w:val="28"/>
          <w:szCs w:val="28"/>
        </w:rPr>
        <w:footnoteReference w:id="27"/>
      </w:r>
      <w:r w:rsidRPr="003C2366">
        <w:rPr>
          <w:rFonts w:ascii="Garamond" w:hAnsi="Garamond" w:cs="Times New Roman"/>
          <w:sz w:val="28"/>
          <w:szCs w:val="28"/>
        </w:rPr>
        <w:t>.</w:t>
      </w:r>
    </w:p>
    <w:p w14:paraId="00D5805C" w14:textId="77777777" w:rsidR="003A0B7B" w:rsidRPr="003C2366" w:rsidRDefault="003A0B7B" w:rsidP="003C2366">
      <w:pPr>
        <w:spacing w:after="0" w:line="240" w:lineRule="auto"/>
        <w:ind w:firstLine="709"/>
        <w:jc w:val="both"/>
        <w:rPr>
          <w:rFonts w:ascii="Garamond" w:hAnsi="Garamond" w:cs="Times New Roman"/>
          <w:sz w:val="28"/>
          <w:szCs w:val="28"/>
        </w:rPr>
      </w:pPr>
    </w:p>
    <w:p w14:paraId="19A9E945" w14:textId="3EE6D925" w:rsidR="003A0B7B" w:rsidRPr="003C2366" w:rsidRDefault="003A0B7B" w:rsidP="003C2366">
      <w:pPr>
        <w:spacing w:after="0" w:line="240" w:lineRule="auto"/>
        <w:ind w:firstLine="709"/>
        <w:jc w:val="both"/>
        <w:rPr>
          <w:rFonts w:ascii="Garamond" w:hAnsi="Garamond" w:cs="Times New Roman"/>
          <w:sz w:val="28"/>
          <w:szCs w:val="28"/>
        </w:rPr>
      </w:pPr>
      <w:r w:rsidRPr="003C2366">
        <w:rPr>
          <w:rFonts w:ascii="Garamond" w:hAnsi="Garamond" w:cs="Times New Roman"/>
          <w:b/>
          <w:sz w:val="28"/>
          <w:szCs w:val="28"/>
        </w:rPr>
        <w:t>III)</w:t>
      </w:r>
      <w:r w:rsidRPr="003C2366">
        <w:rPr>
          <w:rFonts w:ascii="Garamond" w:hAnsi="Garamond" w:cs="Times New Roman"/>
          <w:sz w:val="28"/>
          <w:szCs w:val="28"/>
        </w:rPr>
        <w:t xml:space="preserve"> Parte della dottrina ha inoltre sottolineato una </w:t>
      </w:r>
      <w:r w:rsidRPr="003C2366">
        <w:rPr>
          <w:rFonts w:ascii="Garamond" w:hAnsi="Garamond" w:cs="Times New Roman"/>
          <w:b/>
          <w:sz w:val="28"/>
          <w:szCs w:val="28"/>
        </w:rPr>
        <w:t>disparità di trattamento</w:t>
      </w:r>
      <w:r w:rsidRPr="003C2366">
        <w:rPr>
          <w:rFonts w:ascii="Garamond" w:hAnsi="Garamond" w:cs="Times New Roman"/>
          <w:sz w:val="28"/>
          <w:szCs w:val="28"/>
        </w:rPr>
        <w:t xml:space="preserve"> tra le gare bandite prima della entrata in vigore del </w:t>
      </w:r>
      <w:r w:rsidR="008E07C6" w:rsidRPr="003C2366">
        <w:rPr>
          <w:rFonts w:ascii="Garamond" w:hAnsi="Garamond" w:cs="Times New Roman"/>
          <w:sz w:val="28"/>
          <w:szCs w:val="28"/>
        </w:rPr>
        <w:t>d.l.</w:t>
      </w:r>
      <w:r w:rsidRPr="003C2366">
        <w:rPr>
          <w:rFonts w:ascii="Garamond" w:hAnsi="Garamond" w:cs="Times New Roman"/>
          <w:sz w:val="28"/>
          <w:szCs w:val="28"/>
        </w:rPr>
        <w:t xml:space="preserve"> </w:t>
      </w:r>
      <w:r w:rsidR="008E07C6" w:rsidRPr="003C2366">
        <w:rPr>
          <w:rFonts w:ascii="Garamond" w:hAnsi="Garamond" w:cs="Times New Roman"/>
          <w:sz w:val="28"/>
          <w:szCs w:val="28"/>
        </w:rPr>
        <w:t>n. 131/</w:t>
      </w:r>
      <w:r w:rsidRPr="003C2366">
        <w:rPr>
          <w:rFonts w:ascii="Garamond" w:hAnsi="Garamond" w:cs="Times New Roman"/>
          <w:sz w:val="28"/>
          <w:szCs w:val="28"/>
        </w:rPr>
        <w:t>2024 – prive della previsione dell’indennizzo in favore del concessionario uscente – rispetto a quelle ricomprese nell’ambito di applicazione del decreto</w:t>
      </w:r>
      <w:r w:rsidR="008E07C6" w:rsidRPr="003C2366">
        <w:rPr>
          <w:rFonts w:ascii="Garamond" w:hAnsi="Garamond" w:cs="Times New Roman"/>
          <w:sz w:val="28"/>
          <w:szCs w:val="28"/>
        </w:rPr>
        <w:t xml:space="preserve"> legge</w:t>
      </w:r>
      <w:r w:rsidRPr="003C2366">
        <w:rPr>
          <w:rStyle w:val="Rimandonotaapidipagina"/>
          <w:rFonts w:ascii="Garamond" w:hAnsi="Garamond" w:cs="Times New Roman"/>
          <w:sz w:val="28"/>
          <w:szCs w:val="28"/>
        </w:rPr>
        <w:footnoteReference w:id="28"/>
      </w:r>
      <w:r w:rsidRPr="003C2366">
        <w:rPr>
          <w:rFonts w:ascii="Garamond" w:hAnsi="Garamond" w:cs="Times New Roman"/>
          <w:sz w:val="28"/>
          <w:szCs w:val="28"/>
        </w:rPr>
        <w:t>.</w:t>
      </w:r>
    </w:p>
    <w:p w14:paraId="2666B71D" w14:textId="77777777" w:rsidR="003A0B7B" w:rsidRPr="003C2366" w:rsidRDefault="003A0B7B" w:rsidP="003C2366">
      <w:pPr>
        <w:spacing w:after="0" w:line="240" w:lineRule="auto"/>
        <w:ind w:firstLine="709"/>
        <w:jc w:val="both"/>
        <w:rPr>
          <w:rFonts w:ascii="Garamond" w:hAnsi="Garamond" w:cs="Times New Roman"/>
          <w:sz w:val="28"/>
          <w:szCs w:val="28"/>
        </w:rPr>
      </w:pPr>
    </w:p>
    <w:p w14:paraId="4D8B979B" w14:textId="77777777" w:rsidR="003A0B7B" w:rsidRPr="003C2366" w:rsidRDefault="003A0B7B" w:rsidP="003C2366">
      <w:pPr>
        <w:spacing w:after="0" w:line="240" w:lineRule="auto"/>
        <w:ind w:firstLine="709"/>
        <w:jc w:val="both"/>
        <w:rPr>
          <w:rFonts w:ascii="Garamond" w:hAnsi="Garamond" w:cs="Times New Roman"/>
          <w:sz w:val="28"/>
          <w:szCs w:val="28"/>
        </w:rPr>
      </w:pPr>
      <w:r w:rsidRPr="003C2366">
        <w:rPr>
          <w:rFonts w:ascii="Garamond" w:hAnsi="Garamond" w:cs="Times New Roman"/>
          <w:b/>
          <w:sz w:val="28"/>
          <w:szCs w:val="28"/>
        </w:rPr>
        <w:lastRenderedPageBreak/>
        <w:t>IV)</w:t>
      </w:r>
      <w:r w:rsidR="00F749C8" w:rsidRPr="003C2366">
        <w:rPr>
          <w:rFonts w:ascii="Garamond" w:hAnsi="Garamond" w:cs="Times New Roman"/>
          <w:sz w:val="28"/>
          <w:szCs w:val="28"/>
        </w:rPr>
        <w:t xml:space="preserve"> Ci si è chiesti</w:t>
      </w:r>
      <w:r w:rsidRPr="003C2366">
        <w:rPr>
          <w:rFonts w:ascii="Garamond" w:hAnsi="Garamond" w:cs="Times New Roman"/>
          <w:sz w:val="28"/>
          <w:szCs w:val="28"/>
        </w:rPr>
        <w:t xml:space="preserve"> se, per soddisfare il termine di legge e per disporre l’eventuale proroga tecnica, sia sufficiente la </w:t>
      </w:r>
      <w:r w:rsidRPr="003C2366">
        <w:rPr>
          <w:rFonts w:ascii="Garamond" w:hAnsi="Garamond" w:cs="Times New Roman"/>
          <w:b/>
          <w:sz w:val="28"/>
          <w:szCs w:val="28"/>
        </w:rPr>
        <w:t>mera delibera dell’intenzione di indire la gara</w:t>
      </w:r>
      <w:r w:rsidRPr="003C2366">
        <w:rPr>
          <w:rFonts w:ascii="Garamond" w:hAnsi="Garamond" w:cs="Times New Roman"/>
          <w:sz w:val="28"/>
          <w:szCs w:val="28"/>
        </w:rPr>
        <w:t xml:space="preserve"> da parte dell’Amministrazione ovvero occorra la pubblicazione del bando.</w:t>
      </w:r>
    </w:p>
    <w:p w14:paraId="7F44031D" w14:textId="76301E7B" w:rsidR="003A0B7B" w:rsidRPr="003C2366" w:rsidRDefault="003A0B7B" w:rsidP="003C2366">
      <w:pPr>
        <w:spacing w:after="0" w:line="240" w:lineRule="auto"/>
        <w:ind w:firstLine="709"/>
        <w:jc w:val="both"/>
        <w:rPr>
          <w:rFonts w:ascii="Garamond" w:hAnsi="Garamond" w:cs="Times New Roman"/>
          <w:sz w:val="28"/>
          <w:szCs w:val="28"/>
        </w:rPr>
      </w:pPr>
      <w:r w:rsidRPr="003C2366">
        <w:rPr>
          <w:rFonts w:ascii="Garamond" w:hAnsi="Garamond" w:cs="Times New Roman"/>
          <w:sz w:val="28"/>
          <w:szCs w:val="28"/>
        </w:rPr>
        <w:t>A tal riguardo l’art. 4</w:t>
      </w:r>
      <w:r w:rsidR="00A801C4">
        <w:rPr>
          <w:rFonts w:ascii="Garamond" w:hAnsi="Garamond" w:cs="Times New Roman"/>
          <w:sz w:val="28"/>
          <w:szCs w:val="28"/>
        </w:rPr>
        <w:t xml:space="preserve"> cit.</w:t>
      </w:r>
      <w:r w:rsidRPr="003C2366">
        <w:rPr>
          <w:rFonts w:ascii="Garamond" w:hAnsi="Garamond" w:cs="Times New Roman"/>
          <w:sz w:val="28"/>
          <w:szCs w:val="28"/>
        </w:rPr>
        <w:t>, nella n</w:t>
      </w:r>
      <w:r w:rsidR="00F749C8" w:rsidRPr="003C2366">
        <w:rPr>
          <w:rFonts w:ascii="Garamond" w:hAnsi="Garamond" w:cs="Times New Roman"/>
          <w:sz w:val="28"/>
          <w:szCs w:val="28"/>
        </w:rPr>
        <w:t>uova formulazione, prevede che «</w:t>
      </w:r>
      <w:r w:rsidR="00F749C8" w:rsidRPr="003C2366">
        <w:rPr>
          <w:rFonts w:ascii="Garamond" w:hAnsi="Garamond" w:cs="Times New Roman"/>
          <w:i/>
          <w:color w:val="000000" w:themeColor="text1"/>
          <w:sz w:val="28"/>
          <w:szCs w:val="28"/>
          <w:shd w:val="clear" w:color="auto" w:fill="FFFFFF"/>
        </w:rPr>
        <w:t>l’</w:t>
      </w:r>
      <w:r w:rsidRPr="003C2366">
        <w:rPr>
          <w:rFonts w:ascii="Garamond" w:hAnsi="Garamond" w:cs="Times New Roman"/>
          <w:i/>
          <w:color w:val="000000" w:themeColor="text1"/>
          <w:sz w:val="28"/>
          <w:szCs w:val="28"/>
          <w:shd w:val="clear" w:color="auto" w:fill="FFFFFF"/>
        </w:rPr>
        <w:t xml:space="preserve">ente concedente </w:t>
      </w:r>
      <w:r w:rsidRPr="003C2366">
        <w:rPr>
          <w:rFonts w:ascii="Garamond" w:hAnsi="Garamond" w:cs="Times New Roman"/>
          <w:i/>
          <w:color w:val="000000" w:themeColor="text1"/>
          <w:sz w:val="28"/>
          <w:szCs w:val="28"/>
          <w:u w:val="single"/>
          <w:shd w:val="clear" w:color="auto" w:fill="FFFFFF"/>
        </w:rPr>
        <w:t>avvia la procedura di affidamento</w:t>
      </w:r>
      <w:r w:rsidRPr="003C2366">
        <w:rPr>
          <w:rFonts w:ascii="Garamond" w:hAnsi="Garamond" w:cs="Times New Roman"/>
          <w:i/>
          <w:color w:val="000000" w:themeColor="text1"/>
          <w:sz w:val="28"/>
          <w:szCs w:val="28"/>
          <w:shd w:val="clear" w:color="auto" w:fill="FFFFFF"/>
        </w:rPr>
        <w:t xml:space="preserve"> di cui ai commi 1 e 2 almeno sei mesi prima della s</w:t>
      </w:r>
      <w:r w:rsidR="00F749C8" w:rsidRPr="003C2366">
        <w:rPr>
          <w:rFonts w:ascii="Garamond" w:hAnsi="Garamond" w:cs="Times New Roman"/>
          <w:i/>
          <w:color w:val="000000" w:themeColor="text1"/>
          <w:sz w:val="28"/>
          <w:szCs w:val="28"/>
          <w:shd w:val="clear" w:color="auto" w:fill="FFFFFF"/>
        </w:rPr>
        <w:t>cadenza del titolo concessorio</w:t>
      </w:r>
      <w:r w:rsidR="00F749C8" w:rsidRPr="003C2366">
        <w:rPr>
          <w:rFonts w:ascii="Garamond" w:hAnsi="Garamond" w:cs="Times New Roman"/>
          <w:color w:val="000000" w:themeColor="text1"/>
          <w:sz w:val="28"/>
          <w:szCs w:val="28"/>
          <w:shd w:val="clear" w:color="auto" w:fill="FFFFFF"/>
        </w:rPr>
        <w:t>».</w:t>
      </w:r>
    </w:p>
    <w:p w14:paraId="6F3863F9" w14:textId="5B0B8FE7" w:rsidR="003A0B7B" w:rsidRPr="003C2366" w:rsidRDefault="003A0B7B" w:rsidP="003C2366">
      <w:pPr>
        <w:spacing w:after="0" w:line="240" w:lineRule="auto"/>
        <w:ind w:firstLine="709"/>
        <w:jc w:val="both"/>
        <w:rPr>
          <w:rFonts w:ascii="Garamond" w:hAnsi="Garamond" w:cs="Times New Roman"/>
          <w:sz w:val="28"/>
          <w:szCs w:val="28"/>
        </w:rPr>
      </w:pPr>
      <w:r w:rsidRPr="003C2366">
        <w:rPr>
          <w:rFonts w:ascii="Garamond" w:hAnsi="Garamond" w:cs="Times New Roman"/>
          <w:sz w:val="28"/>
          <w:szCs w:val="28"/>
        </w:rPr>
        <w:t>Nel vigore della previgente disciplina</w:t>
      </w:r>
      <w:r w:rsidR="00A801C4">
        <w:rPr>
          <w:rFonts w:ascii="Garamond" w:hAnsi="Garamond" w:cs="Times New Roman"/>
          <w:sz w:val="28"/>
          <w:szCs w:val="28"/>
        </w:rPr>
        <w:t>, tuttavia,</w:t>
      </w:r>
      <w:r w:rsidRPr="003C2366">
        <w:rPr>
          <w:rFonts w:ascii="Garamond" w:hAnsi="Garamond" w:cs="Times New Roman"/>
          <w:sz w:val="28"/>
          <w:szCs w:val="28"/>
        </w:rPr>
        <w:t xml:space="preserve"> la VII Sezione del Consiglio di Stato, con le sentenze</w:t>
      </w:r>
      <w:r w:rsidR="00F749C8" w:rsidRPr="003C2366">
        <w:rPr>
          <w:rFonts w:ascii="Garamond" w:hAnsi="Garamond" w:cs="Times New Roman"/>
          <w:sz w:val="28"/>
          <w:szCs w:val="28"/>
        </w:rPr>
        <w:t xml:space="preserve"> nn.</w:t>
      </w:r>
      <w:r w:rsidR="008E07C6" w:rsidRPr="003C2366">
        <w:rPr>
          <w:rFonts w:ascii="Garamond" w:hAnsi="Garamond" w:cs="Times New Roman"/>
          <w:sz w:val="28"/>
          <w:szCs w:val="28"/>
        </w:rPr>
        <w:t xml:space="preserve"> 4479, 4480, 4481 del 20/05/</w:t>
      </w:r>
      <w:r w:rsidRPr="003C2366">
        <w:rPr>
          <w:rFonts w:ascii="Garamond" w:hAnsi="Garamond" w:cs="Times New Roman"/>
          <w:sz w:val="28"/>
          <w:szCs w:val="28"/>
        </w:rPr>
        <w:t xml:space="preserve">2024, si </w:t>
      </w:r>
      <w:r w:rsidR="00A801C4">
        <w:rPr>
          <w:rFonts w:ascii="Garamond" w:hAnsi="Garamond" w:cs="Times New Roman"/>
          <w:sz w:val="28"/>
          <w:szCs w:val="28"/>
        </w:rPr>
        <w:t>era</w:t>
      </w:r>
      <w:r w:rsidRPr="003C2366">
        <w:rPr>
          <w:rFonts w:ascii="Garamond" w:hAnsi="Garamond" w:cs="Times New Roman"/>
          <w:sz w:val="28"/>
          <w:szCs w:val="28"/>
        </w:rPr>
        <w:t xml:space="preserve"> pronunciata </w:t>
      </w:r>
      <w:r w:rsidR="00A801C4">
        <w:rPr>
          <w:rFonts w:ascii="Garamond" w:hAnsi="Garamond" w:cs="Times New Roman"/>
          <w:sz w:val="28"/>
          <w:szCs w:val="28"/>
        </w:rPr>
        <w:t>sulla</w:t>
      </w:r>
      <w:r w:rsidRPr="003C2366">
        <w:rPr>
          <w:rFonts w:ascii="Garamond" w:hAnsi="Garamond" w:cs="Times New Roman"/>
          <w:sz w:val="28"/>
          <w:szCs w:val="28"/>
        </w:rPr>
        <w:t xml:space="preserve"> questione ritenendo sufficiente </w:t>
      </w:r>
      <w:r w:rsidR="001353BB">
        <w:rPr>
          <w:rFonts w:ascii="Garamond" w:hAnsi="Garamond" w:cs="Times New Roman"/>
          <w:sz w:val="28"/>
          <w:szCs w:val="28"/>
        </w:rPr>
        <w:t xml:space="preserve">la mera delibera programmatica </w:t>
      </w:r>
      <w:r w:rsidRPr="003C2366">
        <w:rPr>
          <w:rFonts w:ascii="Garamond" w:hAnsi="Garamond" w:cs="Times New Roman"/>
          <w:sz w:val="28"/>
          <w:szCs w:val="28"/>
        </w:rPr>
        <w:t>d</w:t>
      </w:r>
      <w:r w:rsidR="001353BB">
        <w:rPr>
          <w:rFonts w:ascii="Garamond" w:hAnsi="Garamond" w:cs="Times New Roman"/>
          <w:sz w:val="28"/>
          <w:szCs w:val="28"/>
        </w:rPr>
        <w:t>i</w:t>
      </w:r>
      <w:r w:rsidRPr="003C2366">
        <w:rPr>
          <w:rFonts w:ascii="Garamond" w:hAnsi="Garamond" w:cs="Times New Roman"/>
          <w:sz w:val="28"/>
          <w:szCs w:val="28"/>
        </w:rPr>
        <w:t xml:space="preserve"> indire la gara in tempi brevi</w:t>
      </w:r>
      <w:r w:rsidRPr="003C2366">
        <w:rPr>
          <w:rStyle w:val="Rimandonotaapidipagina"/>
          <w:rFonts w:ascii="Garamond" w:hAnsi="Garamond" w:cs="Times New Roman"/>
          <w:sz w:val="28"/>
          <w:szCs w:val="28"/>
        </w:rPr>
        <w:footnoteReference w:id="29"/>
      </w:r>
      <w:r w:rsidRPr="003C2366">
        <w:rPr>
          <w:rFonts w:ascii="Garamond" w:hAnsi="Garamond" w:cs="Times New Roman"/>
          <w:sz w:val="28"/>
          <w:szCs w:val="28"/>
        </w:rPr>
        <w:t>.</w:t>
      </w:r>
    </w:p>
    <w:p w14:paraId="61602BC9" w14:textId="77777777" w:rsidR="003A0B7B" w:rsidRPr="003C2366" w:rsidRDefault="003A0B7B" w:rsidP="003C2366">
      <w:pPr>
        <w:spacing w:after="0" w:line="240" w:lineRule="auto"/>
        <w:ind w:firstLine="709"/>
        <w:jc w:val="both"/>
        <w:rPr>
          <w:rFonts w:ascii="Garamond" w:hAnsi="Garamond" w:cs="Times New Roman"/>
          <w:sz w:val="28"/>
          <w:szCs w:val="28"/>
        </w:rPr>
      </w:pPr>
    </w:p>
    <w:p w14:paraId="417CA040" w14:textId="77777777" w:rsidR="003A0B7B" w:rsidRPr="003C2366" w:rsidRDefault="003A0B7B" w:rsidP="003C2366">
      <w:pPr>
        <w:spacing w:after="0" w:line="240" w:lineRule="auto"/>
        <w:ind w:firstLine="709"/>
        <w:jc w:val="both"/>
        <w:rPr>
          <w:rFonts w:ascii="Garamond" w:hAnsi="Garamond" w:cs="Times New Roman"/>
          <w:sz w:val="28"/>
          <w:szCs w:val="28"/>
        </w:rPr>
      </w:pPr>
      <w:r w:rsidRPr="003C2366">
        <w:rPr>
          <w:rFonts w:ascii="Garamond" w:hAnsi="Garamond" w:cs="Times New Roman"/>
          <w:b/>
          <w:sz w:val="28"/>
          <w:szCs w:val="28"/>
        </w:rPr>
        <w:t>V)</w:t>
      </w:r>
      <w:r w:rsidRPr="003C2366">
        <w:rPr>
          <w:rFonts w:ascii="Garamond" w:hAnsi="Garamond" w:cs="Times New Roman"/>
          <w:sz w:val="28"/>
          <w:szCs w:val="28"/>
        </w:rPr>
        <w:t xml:space="preserve"> Parte della dottrina ha criticato i </w:t>
      </w:r>
      <w:r w:rsidRPr="003C2366">
        <w:rPr>
          <w:rFonts w:ascii="Garamond" w:hAnsi="Garamond" w:cs="Times New Roman"/>
          <w:b/>
          <w:sz w:val="28"/>
          <w:szCs w:val="28"/>
        </w:rPr>
        <w:t>nuovi criteri di aggiudicazione</w:t>
      </w:r>
      <w:r w:rsidRPr="003C2366">
        <w:rPr>
          <w:rFonts w:ascii="Garamond" w:hAnsi="Garamond" w:cs="Times New Roman"/>
          <w:sz w:val="28"/>
          <w:szCs w:val="28"/>
        </w:rPr>
        <w:t xml:space="preserve">, in quanto eccessivamente protettivi del concessionario uscente, con conseguente violazione del canone di ragionevolezza e dei principi sulla concorrenza. </w:t>
      </w:r>
    </w:p>
    <w:p w14:paraId="651C961B" w14:textId="77777777" w:rsidR="003A0B7B" w:rsidRPr="003C2366" w:rsidRDefault="003A0B7B" w:rsidP="003C2366">
      <w:pPr>
        <w:spacing w:after="0" w:line="240" w:lineRule="auto"/>
        <w:ind w:firstLine="709"/>
        <w:jc w:val="both"/>
        <w:rPr>
          <w:rFonts w:ascii="Garamond" w:hAnsi="Garamond" w:cs="Times New Roman"/>
          <w:sz w:val="28"/>
          <w:szCs w:val="28"/>
        </w:rPr>
      </w:pPr>
      <w:r w:rsidRPr="003C2366">
        <w:rPr>
          <w:rFonts w:ascii="Garamond" w:hAnsi="Garamond" w:cs="Times New Roman"/>
          <w:sz w:val="28"/>
          <w:szCs w:val="28"/>
        </w:rPr>
        <w:t xml:space="preserve">Ci si riferisce in particolare a quelle disposizioni che stabiliscono: </w:t>
      </w:r>
    </w:p>
    <w:p w14:paraId="14B7885E" w14:textId="77777777" w:rsidR="003A0B7B" w:rsidRPr="003C2366" w:rsidRDefault="00F749C8" w:rsidP="003C2366">
      <w:pPr>
        <w:spacing w:after="0" w:line="240" w:lineRule="auto"/>
        <w:ind w:firstLine="709"/>
        <w:jc w:val="both"/>
        <w:rPr>
          <w:rFonts w:ascii="Garamond" w:hAnsi="Garamond" w:cs="Times New Roman"/>
          <w:sz w:val="28"/>
          <w:szCs w:val="28"/>
        </w:rPr>
      </w:pPr>
      <w:r w:rsidRPr="003C2366">
        <w:rPr>
          <w:rFonts w:ascii="Garamond" w:hAnsi="Garamond" w:cs="Times New Roman"/>
          <w:i/>
          <w:sz w:val="28"/>
          <w:szCs w:val="28"/>
        </w:rPr>
        <w:t>a</w:t>
      </w:r>
      <w:r w:rsidR="003A0B7B" w:rsidRPr="003C2366">
        <w:rPr>
          <w:rFonts w:ascii="Garamond" w:hAnsi="Garamond" w:cs="Times New Roman"/>
          <w:i/>
          <w:sz w:val="28"/>
          <w:szCs w:val="28"/>
        </w:rPr>
        <w:t>)</w:t>
      </w:r>
      <w:r w:rsidR="003A0B7B" w:rsidRPr="003C2366">
        <w:rPr>
          <w:rFonts w:ascii="Garamond" w:hAnsi="Garamond" w:cs="Times New Roman"/>
          <w:sz w:val="28"/>
          <w:szCs w:val="28"/>
        </w:rPr>
        <w:t xml:space="preserve"> criteri di valutazione delle offerte che valorizzano l’esperienza pregressa, ovvero la provenienza del reddito prevalente per sé e per il proprio nucleo familiare;</w:t>
      </w:r>
    </w:p>
    <w:p w14:paraId="5FF7299B" w14:textId="77777777" w:rsidR="003A0B7B" w:rsidRPr="003C2366" w:rsidRDefault="00F749C8" w:rsidP="003C2366">
      <w:pPr>
        <w:spacing w:after="0" w:line="240" w:lineRule="auto"/>
        <w:ind w:firstLine="709"/>
        <w:jc w:val="both"/>
        <w:rPr>
          <w:rFonts w:ascii="Garamond" w:hAnsi="Garamond" w:cs="Times New Roman"/>
          <w:sz w:val="28"/>
          <w:szCs w:val="28"/>
        </w:rPr>
      </w:pPr>
      <w:r w:rsidRPr="003C2366">
        <w:rPr>
          <w:rFonts w:ascii="Garamond" w:hAnsi="Garamond" w:cs="Times New Roman"/>
          <w:i/>
          <w:sz w:val="28"/>
          <w:szCs w:val="28"/>
        </w:rPr>
        <w:t>b</w:t>
      </w:r>
      <w:r w:rsidR="003A0B7B" w:rsidRPr="003C2366">
        <w:rPr>
          <w:rFonts w:ascii="Garamond" w:hAnsi="Garamond" w:cs="Times New Roman"/>
          <w:i/>
          <w:sz w:val="28"/>
          <w:szCs w:val="28"/>
        </w:rPr>
        <w:t>)</w:t>
      </w:r>
      <w:r w:rsidR="003A0B7B" w:rsidRPr="003C2366">
        <w:rPr>
          <w:rFonts w:ascii="Garamond" w:hAnsi="Garamond" w:cs="Times New Roman"/>
          <w:sz w:val="28"/>
          <w:szCs w:val="28"/>
        </w:rPr>
        <w:t xml:space="preserve"> la previsione di un indennizzo cospicuo in favore del concessionario uscente, a carico del concessionario subentrante, con conseguente azzeramento del rischio di impresa per il concessionario uscente</w:t>
      </w:r>
      <w:r w:rsidR="003A0B7B" w:rsidRPr="003C2366">
        <w:rPr>
          <w:rStyle w:val="Rimandonotaapidipagina"/>
          <w:rFonts w:ascii="Garamond" w:hAnsi="Garamond" w:cs="Times New Roman"/>
          <w:sz w:val="28"/>
          <w:szCs w:val="28"/>
        </w:rPr>
        <w:footnoteReference w:id="30"/>
      </w:r>
      <w:r w:rsidR="003A0B7B" w:rsidRPr="003C2366">
        <w:rPr>
          <w:rFonts w:ascii="Garamond" w:hAnsi="Garamond" w:cs="Times New Roman"/>
          <w:sz w:val="28"/>
          <w:szCs w:val="28"/>
        </w:rPr>
        <w:t>.</w:t>
      </w:r>
    </w:p>
    <w:p w14:paraId="280406A3" w14:textId="77777777" w:rsidR="003A0B7B" w:rsidRPr="003C2366" w:rsidRDefault="003A0B7B" w:rsidP="003C2366">
      <w:pPr>
        <w:spacing w:after="0" w:line="240" w:lineRule="auto"/>
        <w:ind w:firstLine="709"/>
        <w:jc w:val="both"/>
        <w:rPr>
          <w:rFonts w:ascii="Garamond" w:hAnsi="Garamond" w:cs="Times New Roman"/>
          <w:sz w:val="28"/>
          <w:szCs w:val="28"/>
        </w:rPr>
      </w:pPr>
    </w:p>
    <w:p w14:paraId="3D7F6133" w14:textId="77777777" w:rsidR="003A0B7B" w:rsidRPr="003C2366" w:rsidRDefault="003A0B7B" w:rsidP="003C2366">
      <w:pPr>
        <w:spacing w:after="0" w:line="240" w:lineRule="auto"/>
        <w:ind w:firstLine="709"/>
        <w:jc w:val="both"/>
        <w:rPr>
          <w:rFonts w:ascii="Garamond" w:hAnsi="Garamond" w:cs="Times New Roman"/>
          <w:sz w:val="28"/>
          <w:szCs w:val="28"/>
        </w:rPr>
      </w:pPr>
      <w:r w:rsidRPr="003C2366">
        <w:rPr>
          <w:rFonts w:ascii="Garamond" w:hAnsi="Garamond" w:cs="Times New Roman"/>
          <w:b/>
          <w:sz w:val="28"/>
          <w:szCs w:val="28"/>
        </w:rPr>
        <w:t>VI)</w:t>
      </w:r>
      <w:r w:rsidR="00F749C8" w:rsidRPr="003C2366">
        <w:rPr>
          <w:rFonts w:ascii="Garamond" w:hAnsi="Garamond" w:cs="Times New Roman"/>
          <w:sz w:val="28"/>
          <w:szCs w:val="28"/>
        </w:rPr>
        <w:t xml:space="preserve"> Ci si è chiesti</w:t>
      </w:r>
      <w:r w:rsidRPr="003C2366">
        <w:rPr>
          <w:rFonts w:ascii="Garamond" w:hAnsi="Garamond" w:cs="Times New Roman"/>
          <w:sz w:val="28"/>
          <w:szCs w:val="28"/>
        </w:rPr>
        <w:t xml:space="preserve"> se nelle more dell’emanazione del decreto interministeriale che deve fissare i </w:t>
      </w:r>
      <w:r w:rsidRPr="003C2366">
        <w:rPr>
          <w:rFonts w:ascii="Garamond" w:hAnsi="Garamond" w:cs="Times New Roman"/>
          <w:b/>
          <w:sz w:val="28"/>
          <w:szCs w:val="28"/>
        </w:rPr>
        <w:t>criteri di determinazione dell’indennizzo</w:t>
      </w:r>
      <w:r w:rsidRPr="003C2366">
        <w:rPr>
          <w:rFonts w:ascii="Garamond" w:hAnsi="Garamond" w:cs="Times New Roman"/>
          <w:sz w:val="28"/>
          <w:szCs w:val="28"/>
        </w:rPr>
        <w:t xml:space="preserve"> in favore</w:t>
      </w:r>
      <w:r w:rsidR="00F749C8" w:rsidRPr="003C2366">
        <w:rPr>
          <w:rFonts w:ascii="Garamond" w:hAnsi="Garamond" w:cs="Times New Roman"/>
          <w:sz w:val="28"/>
          <w:szCs w:val="28"/>
        </w:rPr>
        <w:t xml:space="preserve"> del concessionario uscente, l’a</w:t>
      </w:r>
      <w:r w:rsidRPr="003C2366">
        <w:rPr>
          <w:rFonts w:ascii="Garamond" w:hAnsi="Garamond" w:cs="Times New Roman"/>
          <w:sz w:val="28"/>
          <w:szCs w:val="28"/>
        </w:rPr>
        <w:t xml:space="preserve">mministrazione possa provvedere all’indizione della gara e all’affidamento della concessione ad un nuovo concessionario. </w:t>
      </w:r>
    </w:p>
    <w:p w14:paraId="5AC0AE07" w14:textId="24FF3565" w:rsidR="003A0B7B" w:rsidRPr="003C2366" w:rsidRDefault="005A614E" w:rsidP="003C2366">
      <w:pPr>
        <w:spacing w:after="0" w:line="240" w:lineRule="auto"/>
        <w:ind w:firstLine="709"/>
        <w:jc w:val="both"/>
        <w:rPr>
          <w:rFonts w:ascii="Garamond" w:hAnsi="Garamond" w:cs="Times New Roman"/>
          <w:color w:val="000000" w:themeColor="text1"/>
          <w:sz w:val="28"/>
          <w:szCs w:val="28"/>
        </w:rPr>
      </w:pPr>
      <w:r>
        <w:rPr>
          <w:rFonts w:ascii="Garamond" w:hAnsi="Garamond" w:cs="Times New Roman"/>
          <w:sz w:val="28"/>
          <w:szCs w:val="28"/>
        </w:rPr>
        <w:t xml:space="preserve">Sul punto, l’art. 4, c. 9 del </w:t>
      </w:r>
      <w:r w:rsidR="008E07C6" w:rsidRPr="003C2366">
        <w:rPr>
          <w:rFonts w:ascii="Garamond" w:hAnsi="Garamond" w:cs="Times New Roman"/>
          <w:sz w:val="28"/>
          <w:szCs w:val="28"/>
        </w:rPr>
        <w:t>d.l. n. 131/</w:t>
      </w:r>
      <w:r w:rsidR="003A0B7B" w:rsidRPr="003C2366">
        <w:rPr>
          <w:rFonts w:ascii="Garamond" w:hAnsi="Garamond" w:cs="Times New Roman"/>
          <w:sz w:val="28"/>
          <w:szCs w:val="28"/>
        </w:rPr>
        <w:t>2024 sembra chiaro nell’affermare che “</w:t>
      </w:r>
      <w:r w:rsidR="003A0B7B" w:rsidRPr="003C2366">
        <w:rPr>
          <w:rFonts w:ascii="Garamond" w:hAnsi="Garamond" w:cs="Times New Roman"/>
          <w:i/>
          <w:color w:val="000000" w:themeColor="text1"/>
          <w:sz w:val="28"/>
          <w:szCs w:val="28"/>
        </w:rPr>
        <w:t>la mancata adozione del suddetto decreto non giustifica il mancato avvio della procedura di affidamento</w:t>
      </w:r>
      <w:r w:rsidR="003A0B7B" w:rsidRPr="003C2366">
        <w:rPr>
          <w:rFonts w:ascii="Garamond" w:hAnsi="Garamond" w:cs="Times New Roman"/>
          <w:color w:val="000000" w:themeColor="text1"/>
          <w:sz w:val="28"/>
          <w:szCs w:val="28"/>
        </w:rPr>
        <w:t>”.</w:t>
      </w:r>
    </w:p>
    <w:p w14:paraId="2CE12DD7" w14:textId="107BA3E8" w:rsidR="003A0B7B" w:rsidRDefault="003A0B7B" w:rsidP="003C2366">
      <w:pPr>
        <w:spacing w:after="0" w:line="240" w:lineRule="auto"/>
        <w:ind w:firstLine="709"/>
        <w:jc w:val="both"/>
        <w:rPr>
          <w:rFonts w:ascii="Garamond" w:hAnsi="Garamond" w:cs="Times New Roman"/>
          <w:color w:val="000000" w:themeColor="text1"/>
          <w:sz w:val="28"/>
          <w:szCs w:val="28"/>
        </w:rPr>
      </w:pPr>
      <w:r w:rsidRPr="003C2366">
        <w:rPr>
          <w:rFonts w:ascii="Garamond" w:hAnsi="Garamond" w:cs="Times New Roman"/>
          <w:color w:val="000000" w:themeColor="text1"/>
          <w:sz w:val="28"/>
          <w:szCs w:val="28"/>
        </w:rPr>
        <w:t xml:space="preserve">In senso opposto le associazioni di categoria dei concessionari hanno affermato che le previsioni del nuovo decreto stabiliscono che, ai fini dei bandi di gara, occorre necessariamente attendere l’emanazione del </w:t>
      </w:r>
      <w:r w:rsidR="00F749C8" w:rsidRPr="003C2366">
        <w:rPr>
          <w:rFonts w:ascii="Garamond" w:hAnsi="Garamond" w:cs="Times New Roman"/>
          <w:color w:val="000000" w:themeColor="text1"/>
          <w:sz w:val="28"/>
          <w:szCs w:val="28"/>
        </w:rPr>
        <w:t>dec</w:t>
      </w:r>
      <w:r w:rsidR="008E07C6" w:rsidRPr="003C2366">
        <w:rPr>
          <w:rFonts w:ascii="Garamond" w:hAnsi="Garamond" w:cs="Times New Roman"/>
          <w:color w:val="000000" w:themeColor="text1"/>
          <w:sz w:val="28"/>
          <w:szCs w:val="28"/>
        </w:rPr>
        <w:t>reto previsto entro il 31/03/</w:t>
      </w:r>
      <w:r w:rsidRPr="003C2366">
        <w:rPr>
          <w:rFonts w:ascii="Garamond" w:hAnsi="Garamond" w:cs="Times New Roman"/>
          <w:color w:val="000000" w:themeColor="text1"/>
          <w:sz w:val="28"/>
          <w:szCs w:val="28"/>
        </w:rPr>
        <w:t>2025, pena indebite disparità di trattamento tra gli operatori</w:t>
      </w:r>
      <w:r w:rsidRPr="003C2366">
        <w:rPr>
          <w:rStyle w:val="Rimandonotaapidipagina"/>
          <w:rFonts w:ascii="Garamond" w:hAnsi="Garamond"/>
          <w:color w:val="000000"/>
          <w:sz w:val="28"/>
          <w:szCs w:val="28"/>
          <w:shd w:val="clear" w:color="auto" w:fill="FFFFFF"/>
        </w:rPr>
        <w:footnoteReference w:id="31"/>
      </w:r>
      <w:r w:rsidRPr="003C2366">
        <w:rPr>
          <w:rFonts w:ascii="Garamond" w:hAnsi="Garamond" w:cs="Times New Roman"/>
          <w:color w:val="000000" w:themeColor="text1"/>
          <w:sz w:val="28"/>
          <w:szCs w:val="28"/>
        </w:rPr>
        <w:t>.</w:t>
      </w:r>
    </w:p>
    <w:p w14:paraId="724BAFA7" w14:textId="2D1B34A9" w:rsidR="00EC19F8" w:rsidRDefault="00EC19F8" w:rsidP="003C2366">
      <w:pPr>
        <w:spacing w:after="0" w:line="240" w:lineRule="auto"/>
        <w:ind w:firstLine="709"/>
        <w:jc w:val="both"/>
        <w:rPr>
          <w:rFonts w:ascii="Garamond" w:hAnsi="Garamond" w:cs="Times New Roman"/>
          <w:color w:val="000000" w:themeColor="text1"/>
          <w:sz w:val="28"/>
          <w:szCs w:val="28"/>
        </w:rPr>
      </w:pPr>
    </w:p>
    <w:p w14:paraId="07BFF6DD" w14:textId="2E47B7E6" w:rsidR="00EC19F8" w:rsidRDefault="00EC19F8" w:rsidP="003C2366">
      <w:pPr>
        <w:spacing w:after="0" w:line="240" w:lineRule="auto"/>
        <w:ind w:firstLine="709"/>
        <w:jc w:val="both"/>
        <w:rPr>
          <w:rFonts w:ascii="Garamond" w:hAnsi="Garamond" w:cs="Times New Roman"/>
          <w:color w:val="000000" w:themeColor="text1"/>
          <w:sz w:val="28"/>
          <w:szCs w:val="28"/>
        </w:rPr>
      </w:pPr>
      <w:r w:rsidRPr="00EC19F8">
        <w:rPr>
          <w:rFonts w:ascii="Garamond" w:hAnsi="Garamond" w:cs="Times New Roman"/>
          <w:b/>
          <w:color w:val="000000" w:themeColor="text1"/>
          <w:sz w:val="28"/>
          <w:szCs w:val="28"/>
        </w:rPr>
        <w:t>VII</w:t>
      </w:r>
      <w:r>
        <w:rPr>
          <w:rFonts w:ascii="Garamond" w:hAnsi="Garamond" w:cs="Times New Roman"/>
          <w:color w:val="000000" w:themeColor="text1"/>
          <w:sz w:val="28"/>
          <w:szCs w:val="28"/>
        </w:rPr>
        <w:t>)</w:t>
      </w:r>
      <w:r w:rsidR="00105457">
        <w:rPr>
          <w:rFonts w:ascii="Garamond" w:hAnsi="Garamond" w:cs="Times New Roman"/>
          <w:color w:val="000000" w:themeColor="text1"/>
          <w:sz w:val="28"/>
          <w:szCs w:val="28"/>
        </w:rPr>
        <w:t xml:space="preserve"> L’ultimo profilo di analisi attiene al</w:t>
      </w:r>
      <w:r w:rsidR="007457D1">
        <w:rPr>
          <w:rFonts w:ascii="Garamond" w:hAnsi="Garamond" w:cs="Times New Roman"/>
          <w:color w:val="000000" w:themeColor="text1"/>
          <w:sz w:val="28"/>
          <w:szCs w:val="28"/>
        </w:rPr>
        <w:t xml:space="preserve"> contenuto del nuovo comma 1-</w:t>
      </w:r>
      <w:r w:rsidR="007457D1" w:rsidRPr="00022D33">
        <w:rPr>
          <w:rFonts w:ascii="Garamond" w:hAnsi="Garamond" w:cs="Times New Roman"/>
          <w:i/>
          <w:color w:val="000000" w:themeColor="text1"/>
          <w:sz w:val="28"/>
          <w:szCs w:val="28"/>
        </w:rPr>
        <w:t>bis</w:t>
      </w:r>
      <w:r w:rsidR="007457D1">
        <w:rPr>
          <w:rFonts w:ascii="Garamond" w:hAnsi="Garamond" w:cs="Times New Roman"/>
          <w:color w:val="000000" w:themeColor="text1"/>
          <w:sz w:val="28"/>
          <w:szCs w:val="28"/>
        </w:rPr>
        <w:t>,</w:t>
      </w:r>
      <w:r w:rsidR="00022D33">
        <w:rPr>
          <w:rFonts w:ascii="Garamond" w:hAnsi="Garamond" w:cs="Times New Roman"/>
          <w:color w:val="000000" w:themeColor="text1"/>
          <w:sz w:val="28"/>
          <w:szCs w:val="28"/>
        </w:rPr>
        <w:t xml:space="preserve"> dell’art 4 cit.</w:t>
      </w:r>
      <w:r w:rsidR="007457D1">
        <w:rPr>
          <w:rFonts w:ascii="Garamond" w:hAnsi="Garamond" w:cs="Times New Roman"/>
          <w:color w:val="000000" w:themeColor="text1"/>
          <w:sz w:val="28"/>
          <w:szCs w:val="28"/>
        </w:rPr>
        <w:t xml:space="preserve"> introdotto </w:t>
      </w:r>
      <w:r w:rsidR="00022D33">
        <w:rPr>
          <w:rFonts w:ascii="Garamond" w:hAnsi="Garamond" w:cs="Times New Roman"/>
          <w:color w:val="000000" w:themeColor="text1"/>
          <w:sz w:val="28"/>
          <w:szCs w:val="28"/>
        </w:rPr>
        <w:t>da</w:t>
      </w:r>
      <w:r w:rsidR="00833D74" w:rsidRPr="00833D74">
        <w:rPr>
          <w:rFonts w:ascii="Garamond" w:hAnsi="Garamond" w:cs="Times New Roman"/>
          <w:color w:val="000000" w:themeColor="text1"/>
          <w:sz w:val="28"/>
          <w:szCs w:val="28"/>
        </w:rPr>
        <w:t>ll’art.1 d</w:t>
      </w:r>
      <w:r w:rsidR="00833D74">
        <w:rPr>
          <w:rFonts w:ascii="Garamond" w:hAnsi="Garamond" w:cs="Times New Roman"/>
          <w:color w:val="000000" w:themeColor="text1"/>
          <w:sz w:val="28"/>
          <w:szCs w:val="28"/>
        </w:rPr>
        <w:t xml:space="preserve">el d.l. n. 131/2024. </w:t>
      </w:r>
    </w:p>
    <w:p w14:paraId="65D605D4" w14:textId="45B087EE" w:rsidR="003A2B5D" w:rsidRDefault="003A2B5D" w:rsidP="003A2B5D">
      <w:pPr>
        <w:spacing w:after="0" w:line="240" w:lineRule="auto"/>
        <w:ind w:firstLine="709"/>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022D33">
        <w:rPr>
          <w:rFonts w:ascii="Garamond" w:hAnsi="Garamond" w:cs="Times New Roman"/>
          <w:color w:val="000000" w:themeColor="text1"/>
          <w:sz w:val="28"/>
          <w:szCs w:val="28"/>
        </w:rPr>
        <w:t>Detta</w:t>
      </w:r>
      <w:r w:rsidR="00105457">
        <w:rPr>
          <w:rFonts w:ascii="Garamond" w:hAnsi="Garamond" w:cs="Times New Roman"/>
          <w:color w:val="000000" w:themeColor="text1"/>
          <w:sz w:val="28"/>
          <w:szCs w:val="28"/>
        </w:rPr>
        <w:t xml:space="preserve"> previsione incide in modo significativo sulle procedure e le modalità di affidamento delle concessioni demaniali</w:t>
      </w:r>
      <w:r>
        <w:rPr>
          <w:rFonts w:ascii="Garamond" w:hAnsi="Garamond" w:cs="Times New Roman"/>
          <w:color w:val="000000" w:themeColor="text1"/>
          <w:sz w:val="28"/>
          <w:szCs w:val="28"/>
        </w:rPr>
        <w:t xml:space="preserve"> disponendo</w:t>
      </w:r>
      <w:r w:rsidR="00355D9C">
        <w:rPr>
          <w:rFonts w:ascii="Garamond" w:hAnsi="Garamond" w:cs="Times New Roman"/>
          <w:color w:val="000000" w:themeColor="text1"/>
          <w:sz w:val="28"/>
          <w:szCs w:val="28"/>
        </w:rPr>
        <w:t xml:space="preserve"> </w:t>
      </w:r>
      <w:r w:rsidR="00355D9C" w:rsidRPr="00705F84">
        <w:rPr>
          <w:rFonts w:ascii="Garamond" w:hAnsi="Garamond" w:cs="Times New Roman"/>
          <w:b/>
          <w:color w:val="000000" w:themeColor="text1"/>
          <w:sz w:val="28"/>
          <w:szCs w:val="28"/>
        </w:rPr>
        <w:t xml:space="preserve">l’esclusione dall’ambito </w:t>
      </w:r>
      <w:r w:rsidR="00355D9C" w:rsidRPr="00705F84">
        <w:rPr>
          <w:rFonts w:ascii="Garamond" w:hAnsi="Garamond" w:cs="Times New Roman"/>
          <w:b/>
          <w:color w:val="000000" w:themeColor="text1"/>
          <w:sz w:val="28"/>
          <w:szCs w:val="28"/>
        </w:rPr>
        <w:lastRenderedPageBreak/>
        <w:t xml:space="preserve">applicativo </w:t>
      </w:r>
      <w:r w:rsidR="00022D33">
        <w:rPr>
          <w:rFonts w:ascii="Garamond" w:hAnsi="Garamond" w:cs="Times New Roman"/>
          <w:b/>
          <w:color w:val="000000" w:themeColor="text1"/>
          <w:sz w:val="28"/>
          <w:szCs w:val="28"/>
        </w:rPr>
        <w:t>de</w:t>
      </w:r>
      <w:r w:rsidR="00355D9C" w:rsidRPr="00705F84">
        <w:rPr>
          <w:rFonts w:ascii="Garamond" w:hAnsi="Garamond" w:cs="Times New Roman"/>
          <w:b/>
          <w:color w:val="000000" w:themeColor="text1"/>
          <w:sz w:val="28"/>
          <w:szCs w:val="28"/>
        </w:rPr>
        <w:t xml:space="preserve">lla disciplina </w:t>
      </w:r>
      <w:r w:rsidR="00022D33">
        <w:rPr>
          <w:rFonts w:ascii="Garamond" w:hAnsi="Garamond" w:cs="Times New Roman"/>
          <w:b/>
          <w:color w:val="000000" w:themeColor="text1"/>
          <w:sz w:val="28"/>
          <w:szCs w:val="28"/>
        </w:rPr>
        <w:t>in esame</w:t>
      </w:r>
      <w:r w:rsidR="00355D9C">
        <w:rPr>
          <w:rFonts w:ascii="Garamond" w:hAnsi="Garamond" w:cs="Times New Roman"/>
          <w:color w:val="000000" w:themeColor="text1"/>
          <w:sz w:val="28"/>
          <w:szCs w:val="28"/>
        </w:rPr>
        <w:t xml:space="preserve"> </w:t>
      </w:r>
      <w:r w:rsidR="00CD4F2D">
        <w:rPr>
          <w:rFonts w:ascii="Garamond" w:hAnsi="Garamond" w:cs="Times New Roman"/>
          <w:color w:val="000000" w:themeColor="text1"/>
          <w:sz w:val="28"/>
          <w:szCs w:val="28"/>
        </w:rPr>
        <w:t>degli usi del demanio</w:t>
      </w:r>
      <w:r w:rsidR="00355D9C">
        <w:rPr>
          <w:rFonts w:ascii="Garamond" w:hAnsi="Garamond" w:cs="Times New Roman"/>
          <w:color w:val="000000" w:themeColor="text1"/>
          <w:sz w:val="28"/>
          <w:szCs w:val="28"/>
        </w:rPr>
        <w:t xml:space="preserve"> </w:t>
      </w:r>
      <w:r w:rsidR="00CD4F2D">
        <w:rPr>
          <w:rFonts w:ascii="Garamond" w:hAnsi="Garamond" w:cs="Times New Roman"/>
          <w:color w:val="000000" w:themeColor="text1"/>
          <w:sz w:val="28"/>
          <w:szCs w:val="28"/>
        </w:rPr>
        <w:t>relativi allo svolgimento di attività sportive poste in essere da determinati soggetti, quali</w:t>
      </w:r>
      <w:r w:rsidR="00105457" w:rsidRPr="00105457">
        <w:rPr>
          <w:rFonts w:ascii="Garamond" w:hAnsi="Garamond" w:cs="Times New Roman"/>
          <w:color w:val="000000" w:themeColor="text1"/>
          <w:sz w:val="28"/>
          <w:szCs w:val="28"/>
        </w:rPr>
        <w:t xml:space="preserve"> le associazioni e società sportive dilettantistiche, che svolgono esclusivamente finalità sociali, ricreative e di promo</w:t>
      </w:r>
      <w:r w:rsidR="00355D9C">
        <w:rPr>
          <w:rFonts w:ascii="Garamond" w:hAnsi="Garamond" w:cs="Times New Roman"/>
          <w:color w:val="000000" w:themeColor="text1"/>
          <w:sz w:val="28"/>
          <w:szCs w:val="28"/>
        </w:rPr>
        <w:t>zione del benessere psicofisico.</w:t>
      </w:r>
      <w:r w:rsidR="00CD4F2D">
        <w:rPr>
          <w:rFonts w:ascii="Garamond" w:hAnsi="Garamond" w:cs="Times New Roman"/>
          <w:color w:val="000000" w:themeColor="text1"/>
          <w:sz w:val="28"/>
          <w:szCs w:val="28"/>
        </w:rPr>
        <w:t xml:space="preserve"> Di conseguenza, gli Enti comunali </w:t>
      </w:r>
      <w:r w:rsidR="00022D33">
        <w:rPr>
          <w:rFonts w:ascii="Garamond" w:hAnsi="Garamond" w:cs="Times New Roman"/>
          <w:color w:val="000000" w:themeColor="text1"/>
          <w:sz w:val="28"/>
          <w:szCs w:val="28"/>
        </w:rPr>
        <w:t>possono</w:t>
      </w:r>
      <w:r w:rsidR="00CD4F2D">
        <w:rPr>
          <w:rFonts w:ascii="Garamond" w:hAnsi="Garamond" w:cs="Times New Roman"/>
          <w:color w:val="000000" w:themeColor="text1"/>
          <w:sz w:val="28"/>
          <w:szCs w:val="28"/>
        </w:rPr>
        <w:t xml:space="preserve"> </w:t>
      </w:r>
      <w:r w:rsidR="00CD4F2D" w:rsidRPr="00705F84">
        <w:rPr>
          <w:rFonts w:ascii="Garamond" w:hAnsi="Garamond" w:cs="Times New Roman"/>
          <w:b/>
          <w:color w:val="000000" w:themeColor="text1"/>
          <w:sz w:val="28"/>
          <w:szCs w:val="28"/>
        </w:rPr>
        <w:t>attribuire</w:t>
      </w:r>
      <w:r w:rsidR="00105457" w:rsidRPr="00705F84">
        <w:rPr>
          <w:rFonts w:ascii="Garamond" w:hAnsi="Garamond" w:cs="Times New Roman"/>
          <w:b/>
          <w:color w:val="000000" w:themeColor="text1"/>
          <w:sz w:val="28"/>
          <w:szCs w:val="28"/>
        </w:rPr>
        <w:t xml:space="preserve"> </w:t>
      </w:r>
      <w:r w:rsidR="00022D33">
        <w:rPr>
          <w:rFonts w:ascii="Garamond" w:hAnsi="Garamond" w:cs="Times New Roman"/>
          <w:b/>
          <w:color w:val="000000" w:themeColor="text1"/>
          <w:sz w:val="28"/>
          <w:szCs w:val="28"/>
        </w:rPr>
        <w:t xml:space="preserve">loro </w:t>
      </w:r>
      <w:r w:rsidR="00CD4F2D" w:rsidRPr="00705F84">
        <w:rPr>
          <w:rFonts w:ascii="Garamond" w:hAnsi="Garamond" w:cs="Times New Roman"/>
          <w:b/>
          <w:color w:val="000000" w:themeColor="text1"/>
          <w:sz w:val="28"/>
          <w:szCs w:val="28"/>
        </w:rPr>
        <w:t xml:space="preserve">concessioni </w:t>
      </w:r>
      <w:r w:rsidR="00105457" w:rsidRPr="00705F84">
        <w:rPr>
          <w:rFonts w:ascii="Garamond" w:hAnsi="Garamond" w:cs="Times New Roman"/>
          <w:b/>
          <w:color w:val="000000" w:themeColor="text1"/>
          <w:sz w:val="28"/>
          <w:szCs w:val="28"/>
        </w:rPr>
        <w:t>in via diretta</w:t>
      </w:r>
      <w:r w:rsidR="00105457" w:rsidRPr="00105457">
        <w:rPr>
          <w:rFonts w:ascii="Garamond" w:hAnsi="Garamond" w:cs="Times New Roman"/>
          <w:color w:val="000000" w:themeColor="text1"/>
          <w:sz w:val="28"/>
          <w:szCs w:val="28"/>
        </w:rPr>
        <w:t>, senza la necessità d</w:t>
      </w:r>
      <w:r>
        <w:rPr>
          <w:rFonts w:ascii="Garamond" w:hAnsi="Garamond" w:cs="Times New Roman"/>
          <w:color w:val="000000" w:themeColor="text1"/>
          <w:sz w:val="28"/>
          <w:szCs w:val="28"/>
        </w:rPr>
        <w:t xml:space="preserve">i attivare </w:t>
      </w:r>
      <w:r w:rsidR="00E928EF">
        <w:rPr>
          <w:rFonts w:ascii="Garamond" w:hAnsi="Garamond" w:cs="Times New Roman"/>
          <w:color w:val="000000" w:themeColor="text1"/>
          <w:sz w:val="28"/>
          <w:szCs w:val="28"/>
        </w:rPr>
        <w:t xml:space="preserve">la </w:t>
      </w:r>
      <w:r>
        <w:rPr>
          <w:rFonts w:ascii="Garamond" w:hAnsi="Garamond" w:cs="Times New Roman"/>
          <w:color w:val="000000" w:themeColor="text1"/>
          <w:sz w:val="28"/>
          <w:szCs w:val="28"/>
        </w:rPr>
        <w:t>procedur</w:t>
      </w:r>
      <w:r w:rsidR="00E928EF">
        <w:rPr>
          <w:rFonts w:ascii="Garamond" w:hAnsi="Garamond" w:cs="Times New Roman"/>
          <w:color w:val="000000" w:themeColor="text1"/>
          <w:sz w:val="28"/>
          <w:szCs w:val="28"/>
        </w:rPr>
        <w:t>a</w:t>
      </w:r>
      <w:r>
        <w:rPr>
          <w:rFonts w:ascii="Garamond" w:hAnsi="Garamond" w:cs="Times New Roman"/>
          <w:color w:val="000000" w:themeColor="text1"/>
          <w:sz w:val="28"/>
          <w:szCs w:val="28"/>
        </w:rPr>
        <w:t xml:space="preserve"> ad evidenza pubblica</w:t>
      </w:r>
      <w:r w:rsidR="00105457" w:rsidRPr="00105457">
        <w:rPr>
          <w:rFonts w:ascii="Garamond" w:hAnsi="Garamond" w:cs="Times New Roman"/>
          <w:color w:val="000000" w:themeColor="text1"/>
          <w:sz w:val="28"/>
          <w:szCs w:val="28"/>
        </w:rPr>
        <w:t xml:space="preserve"> </w:t>
      </w:r>
      <w:r w:rsidR="00E928EF">
        <w:rPr>
          <w:rFonts w:ascii="Garamond" w:hAnsi="Garamond" w:cs="Times New Roman"/>
          <w:color w:val="000000" w:themeColor="text1"/>
          <w:sz w:val="28"/>
          <w:szCs w:val="28"/>
        </w:rPr>
        <w:t>prevista dalla</w:t>
      </w:r>
      <w:r w:rsidR="00105457" w:rsidRPr="00105457">
        <w:rPr>
          <w:rFonts w:ascii="Garamond" w:hAnsi="Garamond" w:cs="Times New Roman"/>
          <w:color w:val="000000" w:themeColor="text1"/>
          <w:sz w:val="28"/>
          <w:szCs w:val="28"/>
        </w:rPr>
        <w:t xml:space="preserve"> </w:t>
      </w:r>
      <w:r w:rsidR="00022D33">
        <w:rPr>
          <w:rFonts w:ascii="Garamond" w:hAnsi="Garamond" w:cs="Times New Roman"/>
          <w:color w:val="000000" w:themeColor="text1"/>
          <w:sz w:val="28"/>
          <w:szCs w:val="28"/>
        </w:rPr>
        <w:t>d</w:t>
      </w:r>
      <w:r w:rsidR="00105457" w:rsidRPr="00105457">
        <w:rPr>
          <w:rFonts w:ascii="Garamond" w:hAnsi="Garamond" w:cs="Times New Roman"/>
          <w:color w:val="000000" w:themeColor="text1"/>
          <w:sz w:val="28"/>
          <w:szCs w:val="28"/>
        </w:rPr>
        <w:t>irettiva</w:t>
      </w:r>
      <w:r>
        <w:rPr>
          <w:rFonts w:ascii="Garamond" w:hAnsi="Garamond" w:cs="Times New Roman"/>
          <w:color w:val="000000" w:themeColor="text1"/>
          <w:sz w:val="28"/>
          <w:szCs w:val="28"/>
        </w:rPr>
        <w:t xml:space="preserve"> </w:t>
      </w:r>
      <w:r w:rsidRPr="003A2B5D">
        <w:rPr>
          <w:rFonts w:ascii="Garamond" w:hAnsi="Garamond" w:cs="Times New Roman"/>
          <w:color w:val="000000" w:themeColor="text1"/>
          <w:sz w:val="28"/>
          <w:szCs w:val="28"/>
        </w:rPr>
        <w:t>2006/123/CE</w:t>
      </w:r>
      <w:r w:rsidR="00105457" w:rsidRPr="00105457">
        <w:rPr>
          <w:rFonts w:ascii="Garamond" w:hAnsi="Garamond" w:cs="Times New Roman"/>
          <w:color w:val="000000" w:themeColor="text1"/>
          <w:sz w:val="28"/>
          <w:szCs w:val="28"/>
        </w:rPr>
        <w:t xml:space="preserve"> ovvero l</w:t>
      </w:r>
      <w:r w:rsidR="00E928EF">
        <w:rPr>
          <w:rFonts w:ascii="Garamond" w:hAnsi="Garamond" w:cs="Times New Roman"/>
          <w:color w:val="000000" w:themeColor="text1"/>
          <w:sz w:val="28"/>
          <w:szCs w:val="28"/>
        </w:rPr>
        <w:t>e procedure</w:t>
      </w:r>
      <w:r w:rsidR="00105457" w:rsidRPr="00105457">
        <w:rPr>
          <w:rFonts w:ascii="Garamond" w:hAnsi="Garamond" w:cs="Times New Roman"/>
          <w:color w:val="000000" w:themeColor="text1"/>
          <w:sz w:val="28"/>
          <w:szCs w:val="28"/>
        </w:rPr>
        <w:t xml:space="preserve"> stabilit</w:t>
      </w:r>
      <w:r w:rsidR="00E928EF">
        <w:rPr>
          <w:rFonts w:ascii="Garamond" w:hAnsi="Garamond" w:cs="Times New Roman"/>
          <w:color w:val="000000" w:themeColor="text1"/>
          <w:sz w:val="28"/>
          <w:szCs w:val="28"/>
        </w:rPr>
        <w:t>e</w:t>
      </w:r>
      <w:r w:rsidR="00105457" w:rsidRPr="00105457">
        <w:rPr>
          <w:rFonts w:ascii="Garamond" w:hAnsi="Garamond" w:cs="Times New Roman"/>
          <w:color w:val="000000" w:themeColor="text1"/>
          <w:sz w:val="28"/>
          <w:szCs w:val="28"/>
        </w:rPr>
        <w:t xml:space="preserve"> dal </w:t>
      </w:r>
      <w:r w:rsidR="00022D33">
        <w:rPr>
          <w:rFonts w:ascii="Garamond" w:hAnsi="Garamond" w:cs="Times New Roman"/>
          <w:color w:val="000000" w:themeColor="text1"/>
          <w:sz w:val="28"/>
          <w:szCs w:val="28"/>
        </w:rPr>
        <w:t>c</w:t>
      </w:r>
      <w:r w:rsidR="00105457" w:rsidRPr="00105457">
        <w:rPr>
          <w:rFonts w:ascii="Garamond" w:hAnsi="Garamond" w:cs="Times New Roman"/>
          <w:color w:val="000000" w:themeColor="text1"/>
          <w:sz w:val="28"/>
          <w:szCs w:val="28"/>
        </w:rPr>
        <w:t xml:space="preserve">odice della </w:t>
      </w:r>
      <w:r w:rsidR="00022D33">
        <w:rPr>
          <w:rFonts w:ascii="Garamond" w:hAnsi="Garamond" w:cs="Times New Roman"/>
          <w:color w:val="000000" w:themeColor="text1"/>
          <w:sz w:val="28"/>
          <w:szCs w:val="28"/>
        </w:rPr>
        <w:t>n</w:t>
      </w:r>
      <w:r w:rsidR="00105457" w:rsidRPr="00105457">
        <w:rPr>
          <w:rFonts w:ascii="Garamond" w:hAnsi="Garamond" w:cs="Times New Roman"/>
          <w:color w:val="000000" w:themeColor="text1"/>
          <w:sz w:val="28"/>
          <w:szCs w:val="28"/>
        </w:rPr>
        <w:t>avigazione o dalle leggi regionali</w:t>
      </w:r>
      <w:r>
        <w:rPr>
          <w:rFonts w:ascii="Garamond" w:hAnsi="Garamond" w:cs="Times New Roman"/>
          <w:color w:val="000000" w:themeColor="text1"/>
          <w:sz w:val="28"/>
          <w:szCs w:val="28"/>
        </w:rPr>
        <w:t xml:space="preserve">. </w:t>
      </w:r>
    </w:p>
    <w:p w14:paraId="0020B1C3" w14:textId="6E1926A6" w:rsidR="00CD4F2D" w:rsidRDefault="00F16558" w:rsidP="003A2B5D">
      <w:pPr>
        <w:spacing w:after="0" w:line="240" w:lineRule="auto"/>
        <w:ind w:firstLine="709"/>
        <w:jc w:val="both"/>
        <w:rPr>
          <w:rFonts w:ascii="Garamond" w:hAnsi="Garamond" w:cs="Times New Roman"/>
          <w:color w:val="000000" w:themeColor="text1"/>
          <w:sz w:val="28"/>
          <w:szCs w:val="28"/>
        </w:rPr>
      </w:pPr>
      <w:r>
        <w:rPr>
          <w:rFonts w:ascii="Garamond" w:hAnsi="Garamond" w:cs="Times New Roman"/>
          <w:color w:val="000000" w:themeColor="text1"/>
          <w:sz w:val="28"/>
          <w:szCs w:val="28"/>
        </w:rPr>
        <w:t>La dottrina ha evidenziato due profili di criticità in</w:t>
      </w:r>
      <w:r w:rsidR="00BC615F">
        <w:rPr>
          <w:rFonts w:ascii="Garamond" w:hAnsi="Garamond" w:cs="Times New Roman"/>
          <w:color w:val="000000" w:themeColor="text1"/>
          <w:sz w:val="28"/>
          <w:szCs w:val="28"/>
        </w:rPr>
        <w:t xml:space="preserve"> merito alla anzidetta modifica.</w:t>
      </w:r>
    </w:p>
    <w:p w14:paraId="0C0368DD" w14:textId="3C608C87" w:rsidR="00F16558" w:rsidRDefault="00BC615F" w:rsidP="00F16558">
      <w:pPr>
        <w:pStyle w:val="Paragrafoelenco"/>
        <w:numPr>
          <w:ilvl w:val="0"/>
          <w:numId w:val="14"/>
        </w:numPr>
        <w:spacing w:after="0"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I</w:t>
      </w:r>
      <w:r w:rsidR="00F16558">
        <w:rPr>
          <w:rFonts w:ascii="Garamond" w:hAnsi="Garamond" w:cs="Times New Roman"/>
          <w:color w:val="000000" w:themeColor="text1"/>
          <w:sz w:val="28"/>
          <w:szCs w:val="28"/>
        </w:rPr>
        <w:t>l primo attinente</w:t>
      </w:r>
      <w:r w:rsidR="00022D33">
        <w:rPr>
          <w:rFonts w:ascii="Garamond" w:hAnsi="Garamond" w:cs="Times New Roman"/>
          <w:color w:val="000000" w:themeColor="text1"/>
          <w:sz w:val="28"/>
          <w:szCs w:val="28"/>
        </w:rPr>
        <w:t xml:space="preserve"> all’</w:t>
      </w:r>
      <w:r w:rsidR="00F16558" w:rsidRPr="00F16558">
        <w:rPr>
          <w:rFonts w:ascii="Garamond" w:hAnsi="Garamond" w:cs="Times New Roman"/>
          <w:color w:val="000000" w:themeColor="text1"/>
          <w:sz w:val="28"/>
          <w:szCs w:val="28"/>
        </w:rPr>
        <w:t>esatta individuazione dei soggetti che rientrino nella fattispecie derogatoria pr</w:t>
      </w:r>
      <w:r w:rsidR="00F16558">
        <w:rPr>
          <w:rFonts w:ascii="Garamond" w:hAnsi="Garamond" w:cs="Times New Roman"/>
          <w:color w:val="000000" w:themeColor="text1"/>
          <w:sz w:val="28"/>
          <w:szCs w:val="28"/>
        </w:rPr>
        <w:t>evista dal suddetto comma 1</w:t>
      </w:r>
      <w:r w:rsidR="00022D33">
        <w:rPr>
          <w:rFonts w:ascii="Garamond" w:hAnsi="Garamond" w:cs="Times New Roman"/>
          <w:color w:val="000000" w:themeColor="text1"/>
          <w:sz w:val="28"/>
          <w:szCs w:val="28"/>
        </w:rPr>
        <w:t>-</w:t>
      </w:r>
      <w:r w:rsidR="00F16558" w:rsidRPr="00022D33">
        <w:rPr>
          <w:rFonts w:ascii="Garamond" w:hAnsi="Garamond" w:cs="Times New Roman"/>
          <w:i/>
          <w:color w:val="000000" w:themeColor="text1"/>
          <w:sz w:val="28"/>
          <w:szCs w:val="28"/>
        </w:rPr>
        <w:t>bis</w:t>
      </w:r>
      <w:r w:rsidR="00F16558">
        <w:rPr>
          <w:rFonts w:ascii="Garamond" w:hAnsi="Garamond" w:cs="Times New Roman"/>
          <w:color w:val="000000" w:themeColor="text1"/>
          <w:sz w:val="28"/>
          <w:szCs w:val="28"/>
        </w:rPr>
        <w:t xml:space="preserve">, con specifico riferimento alle </w:t>
      </w:r>
      <w:r w:rsidR="00F16558" w:rsidRPr="00F16558">
        <w:rPr>
          <w:rFonts w:ascii="Garamond" w:hAnsi="Garamond" w:cs="Times New Roman"/>
          <w:color w:val="000000" w:themeColor="text1"/>
          <w:sz w:val="28"/>
          <w:szCs w:val="28"/>
        </w:rPr>
        <w:t>due condizioni</w:t>
      </w:r>
      <w:r w:rsidR="00F16558">
        <w:rPr>
          <w:rFonts w:ascii="Garamond" w:hAnsi="Garamond" w:cs="Times New Roman"/>
          <w:color w:val="000000" w:themeColor="text1"/>
          <w:sz w:val="28"/>
          <w:szCs w:val="28"/>
        </w:rPr>
        <w:t xml:space="preserve"> richieste dalla disposizione,</w:t>
      </w:r>
      <w:r w:rsidR="00F16558" w:rsidRPr="00F16558">
        <w:rPr>
          <w:rFonts w:ascii="Garamond" w:hAnsi="Garamond" w:cs="Times New Roman"/>
          <w:color w:val="000000" w:themeColor="text1"/>
          <w:sz w:val="28"/>
          <w:szCs w:val="28"/>
        </w:rPr>
        <w:t xml:space="preserve"> ossia il </w:t>
      </w:r>
      <w:r w:rsidR="00F16558" w:rsidRPr="00705F84">
        <w:rPr>
          <w:rFonts w:ascii="Garamond" w:hAnsi="Garamond" w:cs="Times New Roman"/>
          <w:b/>
          <w:color w:val="000000" w:themeColor="text1"/>
          <w:sz w:val="28"/>
          <w:szCs w:val="28"/>
        </w:rPr>
        <w:t xml:space="preserve">perseguimento di una finalità sociale, ricreativa e di promozione del benessere psicofisico </w:t>
      </w:r>
      <w:r w:rsidR="00F16558" w:rsidRPr="00842DAA">
        <w:rPr>
          <w:rFonts w:ascii="Garamond" w:hAnsi="Garamond" w:cs="Times New Roman"/>
          <w:color w:val="000000" w:themeColor="text1"/>
          <w:sz w:val="28"/>
          <w:szCs w:val="28"/>
        </w:rPr>
        <w:t>e</w:t>
      </w:r>
      <w:r w:rsidR="00F16558" w:rsidRPr="00705F84">
        <w:rPr>
          <w:rFonts w:ascii="Garamond" w:hAnsi="Garamond" w:cs="Times New Roman"/>
          <w:b/>
          <w:color w:val="000000" w:themeColor="text1"/>
          <w:sz w:val="28"/>
          <w:szCs w:val="28"/>
        </w:rPr>
        <w:t xml:space="preserve"> che non venga svolta attività economica in base al diritto dell’UE</w:t>
      </w:r>
      <w:r w:rsidR="00F16558">
        <w:rPr>
          <w:rStyle w:val="Rimandonotaapidipagina"/>
          <w:rFonts w:ascii="Garamond" w:hAnsi="Garamond" w:cs="Times New Roman"/>
          <w:color w:val="000000" w:themeColor="text1"/>
          <w:sz w:val="28"/>
          <w:szCs w:val="28"/>
        </w:rPr>
        <w:footnoteReference w:id="32"/>
      </w:r>
      <w:r>
        <w:rPr>
          <w:rFonts w:ascii="Garamond" w:hAnsi="Garamond" w:cs="Times New Roman"/>
          <w:color w:val="000000" w:themeColor="text1"/>
          <w:sz w:val="28"/>
          <w:szCs w:val="28"/>
        </w:rPr>
        <w:t>.</w:t>
      </w:r>
    </w:p>
    <w:p w14:paraId="0A4F9C74" w14:textId="4525EEA8" w:rsidR="00BC615F" w:rsidRPr="00BC615F" w:rsidRDefault="00BC615F" w:rsidP="00BC615F">
      <w:pPr>
        <w:pStyle w:val="Paragrafoelenco"/>
        <w:spacing w:after="0" w:line="240" w:lineRule="auto"/>
        <w:ind w:left="1429"/>
        <w:jc w:val="both"/>
        <w:rPr>
          <w:rFonts w:ascii="Garamond" w:hAnsi="Garamond" w:cs="Times New Roman"/>
          <w:color w:val="000000" w:themeColor="text1"/>
          <w:sz w:val="28"/>
          <w:szCs w:val="28"/>
        </w:rPr>
      </w:pPr>
      <w:r>
        <w:rPr>
          <w:rFonts w:ascii="Garamond" w:hAnsi="Garamond" w:cs="Times New Roman"/>
          <w:color w:val="000000" w:themeColor="text1"/>
          <w:sz w:val="28"/>
          <w:szCs w:val="28"/>
        </w:rPr>
        <w:t>Ci si chiede</w:t>
      </w:r>
      <w:r w:rsidRPr="00BC615F">
        <w:rPr>
          <w:rFonts w:ascii="Garamond" w:hAnsi="Garamond" w:cs="Times New Roman"/>
          <w:color w:val="000000" w:themeColor="text1"/>
          <w:sz w:val="28"/>
          <w:szCs w:val="28"/>
        </w:rPr>
        <w:t xml:space="preserve"> cosa intenda il legislatore </w:t>
      </w:r>
      <w:r>
        <w:rPr>
          <w:rFonts w:ascii="Garamond" w:hAnsi="Garamond" w:cs="Times New Roman"/>
          <w:color w:val="000000" w:themeColor="text1"/>
          <w:sz w:val="28"/>
          <w:szCs w:val="28"/>
        </w:rPr>
        <w:t>con</w:t>
      </w:r>
      <w:r w:rsidRPr="00BC615F">
        <w:rPr>
          <w:rFonts w:ascii="Garamond" w:hAnsi="Garamond" w:cs="Times New Roman"/>
          <w:color w:val="000000" w:themeColor="text1"/>
          <w:sz w:val="28"/>
          <w:szCs w:val="28"/>
        </w:rPr>
        <w:t xml:space="preserve"> attività non economiche in base al diritto </w:t>
      </w:r>
      <w:r>
        <w:rPr>
          <w:rFonts w:ascii="Garamond" w:hAnsi="Garamond" w:cs="Times New Roman"/>
          <w:color w:val="000000" w:themeColor="text1"/>
          <w:sz w:val="28"/>
          <w:szCs w:val="28"/>
        </w:rPr>
        <w:t>UE</w:t>
      </w:r>
      <w:r w:rsidRPr="00BC615F">
        <w:rPr>
          <w:rFonts w:ascii="Garamond" w:hAnsi="Garamond" w:cs="Times New Roman"/>
          <w:color w:val="000000" w:themeColor="text1"/>
          <w:sz w:val="28"/>
          <w:szCs w:val="28"/>
        </w:rPr>
        <w:t xml:space="preserve">, atteso che secondo la giurisprudenza della CGUE </w:t>
      </w:r>
      <w:r w:rsidRPr="00BC615F">
        <w:rPr>
          <w:rFonts w:ascii="Garamond" w:hAnsi="Garamond" w:cs="Times New Roman"/>
          <w:b/>
          <w:color w:val="000000" w:themeColor="text1"/>
          <w:sz w:val="28"/>
          <w:szCs w:val="28"/>
        </w:rPr>
        <w:t xml:space="preserve">la nozione di attività economica nel diritto UE </w:t>
      </w:r>
      <w:r>
        <w:rPr>
          <w:rFonts w:ascii="Garamond" w:hAnsi="Garamond" w:cs="Times New Roman"/>
          <w:b/>
          <w:color w:val="000000" w:themeColor="text1"/>
          <w:sz w:val="28"/>
          <w:szCs w:val="28"/>
        </w:rPr>
        <w:t>si fonda</w:t>
      </w:r>
      <w:r w:rsidRPr="00BC615F">
        <w:rPr>
          <w:rFonts w:ascii="Garamond" w:hAnsi="Garamond" w:cs="Times New Roman"/>
          <w:b/>
          <w:color w:val="000000" w:themeColor="text1"/>
          <w:sz w:val="28"/>
          <w:szCs w:val="28"/>
        </w:rPr>
        <w:t xml:space="preserve"> su due elementi: </w:t>
      </w:r>
      <w:r w:rsidRPr="00BC615F">
        <w:rPr>
          <w:rFonts w:ascii="Garamond" w:hAnsi="Garamond" w:cs="Times New Roman"/>
          <w:color w:val="000000" w:themeColor="text1"/>
          <w:sz w:val="28"/>
          <w:szCs w:val="28"/>
        </w:rPr>
        <w:t xml:space="preserve">a) </w:t>
      </w:r>
      <w:r w:rsidRPr="00BC615F">
        <w:rPr>
          <w:rFonts w:ascii="Garamond" w:hAnsi="Garamond" w:cs="Times New Roman"/>
          <w:b/>
          <w:color w:val="000000" w:themeColor="text1"/>
          <w:sz w:val="28"/>
          <w:szCs w:val="28"/>
        </w:rPr>
        <w:t xml:space="preserve">la domanda e l’offerta di servizi, </w:t>
      </w:r>
      <w:r w:rsidRPr="00BC615F">
        <w:rPr>
          <w:rFonts w:ascii="Garamond" w:hAnsi="Garamond" w:cs="Times New Roman"/>
          <w:color w:val="000000" w:themeColor="text1"/>
          <w:sz w:val="28"/>
          <w:szCs w:val="28"/>
        </w:rPr>
        <w:t>b)</w:t>
      </w:r>
      <w:r w:rsidRPr="00BC615F">
        <w:rPr>
          <w:rFonts w:ascii="Garamond" w:hAnsi="Garamond" w:cs="Times New Roman"/>
          <w:b/>
          <w:color w:val="000000" w:themeColor="text1"/>
          <w:sz w:val="28"/>
          <w:szCs w:val="28"/>
        </w:rPr>
        <w:t xml:space="preserve"> la “retribuzione” del o per il servizio definita come il corrispettivo economico della prestazione considerata</w:t>
      </w:r>
      <w:r>
        <w:rPr>
          <w:rStyle w:val="Rimandonotaapidipagina"/>
          <w:rFonts w:ascii="Garamond" w:hAnsi="Garamond" w:cs="Times New Roman"/>
          <w:color w:val="000000" w:themeColor="text1"/>
          <w:sz w:val="28"/>
          <w:szCs w:val="28"/>
        </w:rPr>
        <w:footnoteReference w:id="33"/>
      </w:r>
      <w:r w:rsidRPr="00BC615F">
        <w:rPr>
          <w:rFonts w:ascii="Garamond" w:hAnsi="Garamond" w:cs="Times New Roman"/>
          <w:color w:val="000000" w:themeColor="text1"/>
          <w:sz w:val="28"/>
          <w:szCs w:val="28"/>
        </w:rPr>
        <w:t>.</w:t>
      </w:r>
    </w:p>
    <w:p w14:paraId="68FDD530" w14:textId="3B0EFCF6" w:rsidR="00BC615F" w:rsidRDefault="00BC615F" w:rsidP="00F537DF">
      <w:pPr>
        <w:pStyle w:val="Paragrafoelenco"/>
        <w:numPr>
          <w:ilvl w:val="0"/>
          <w:numId w:val="14"/>
        </w:numPr>
        <w:spacing w:after="0"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I</w:t>
      </w:r>
      <w:r w:rsidR="00F16558" w:rsidRPr="00F16558">
        <w:rPr>
          <w:rFonts w:ascii="Garamond" w:hAnsi="Garamond" w:cs="Times New Roman"/>
          <w:color w:val="000000" w:themeColor="text1"/>
          <w:sz w:val="28"/>
          <w:szCs w:val="28"/>
        </w:rPr>
        <w:t>l secondo</w:t>
      </w:r>
      <w:r w:rsidR="00F16558">
        <w:rPr>
          <w:rFonts w:ascii="Garamond" w:hAnsi="Garamond" w:cs="Times New Roman"/>
          <w:color w:val="000000" w:themeColor="text1"/>
          <w:sz w:val="28"/>
          <w:szCs w:val="28"/>
        </w:rPr>
        <w:t xml:space="preserve">, relativo </w:t>
      </w:r>
      <w:r w:rsidR="00F16558" w:rsidRPr="00705F84">
        <w:rPr>
          <w:rFonts w:ascii="Garamond" w:hAnsi="Garamond" w:cs="Times New Roman"/>
          <w:b/>
          <w:color w:val="000000" w:themeColor="text1"/>
          <w:sz w:val="28"/>
          <w:szCs w:val="28"/>
        </w:rPr>
        <w:t>all’applicazion</w:t>
      </w:r>
      <w:r w:rsidR="00842DAA">
        <w:rPr>
          <w:rFonts w:ascii="Garamond" w:hAnsi="Garamond" w:cs="Times New Roman"/>
          <w:b/>
          <w:color w:val="000000" w:themeColor="text1"/>
          <w:sz w:val="28"/>
          <w:szCs w:val="28"/>
        </w:rPr>
        <w:t>e della proroga al 30/09/</w:t>
      </w:r>
      <w:r w:rsidR="00F16558" w:rsidRPr="00705F84">
        <w:rPr>
          <w:rFonts w:ascii="Garamond" w:hAnsi="Garamond" w:cs="Times New Roman"/>
          <w:b/>
          <w:color w:val="000000" w:themeColor="text1"/>
          <w:sz w:val="28"/>
          <w:szCs w:val="28"/>
        </w:rPr>
        <w:t>2027</w:t>
      </w:r>
      <w:r w:rsidR="00F16558" w:rsidRPr="00F16558">
        <w:rPr>
          <w:rFonts w:ascii="Garamond" w:hAnsi="Garamond" w:cs="Times New Roman"/>
          <w:color w:val="000000" w:themeColor="text1"/>
          <w:sz w:val="28"/>
          <w:szCs w:val="28"/>
        </w:rPr>
        <w:t xml:space="preserve"> per questa tipologia di enti</w:t>
      </w:r>
      <w:r w:rsidR="00F16558">
        <w:rPr>
          <w:rStyle w:val="Rimandonotaapidipagina"/>
          <w:rFonts w:ascii="Garamond" w:hAnsi="Garamond" w:cs="Times New Roman"/>
          <w:color w:val="000000" w:themeColor="text1"/>
          <w:sz w:val="28"/>
          <w:szCs w:val="28"/>
        </w:rPr>
        <w:footnoteReference w:id="34"/>
      </w:r>
      <w:r w:rsidR="00F537DF">
        <w:rPr>
          <w:rFonts w:ascii="Garamond" w:hAnsi="Garamond" w:cs="Times New Roman"/>
          <w:color w:val="000000" w:themeColor="text1"/>
          <w:sz w:val="28"/>
          <w:szCs w:val="28"/>
        </w:rPr>
        <w:t>.</w:t>
      </w:r>
    </w:p>
    <w:p w14:paraId="4192EB6D" w14:textId="5B64D057" w:rsidR="009F49E0" w:rsidRPr="00BC615F" w:rsidRDefault="00BC615F" w:rsidP="00BC615F">
      <w:pPr>
        <w:pStyle w:val="Paragrafoelenco"/>
        <w:spacing w:after="0" w:line="240" w:lineRule="auto"/>
        <w:ind w:left="1429"/>
        <w:jc w:val="both"/>
        <w:rPr>
          <w:rFonts w:ascii="Garamond" w:hAnsi="Garamond" w:cs="Times New Roman"/>
          <w:color w:val="000000" w:themeColor="text1"/>
          <w:sz w:val="28"/>
          <w:szCs w:val="28"/>
        </w:rPr>
      </w:pPr>
      <w:r>
        <w:rPr>
          <w:rFonts w:ascii="Garamond" w:hAnsi="Garamond" w:cs="Times New Roman"/>
          <w:color w:val="000000" w:themeColor="text1"/>
          <w:sz w:val="28"/>
          <w:szCs w:val="28"/>
        </w:rPr>
        <w:t>I</w:t>
      </w:r>
      <w:r w:rsidR="009F49E0" w:rsidRPr="00BC615F">
        <w:rPr>
          <w:rFonts w:ascii="Garamond" w:hAnsi="Garamond" w:cs="Times New Roman"/>
          <w:color w:val="000000" w:themeColor="text1"/>
          <w:sz w:val="28"/>
          <w:szCs w:val="28"/>
        </w:rPr>
        <w:t xml:space="preserve">n dottrina si è sostenuto </w:t>
      </w:r>
      <w:r>
        <w:rPr>
          <w:rFonts w:ascii="Garamond" w:hAnsi="Garamond" w:cs="Times New Roman"/>
          <w:color w:val="000000" w:themeColor="text1"/>
          <w:sz w:val="28"/>
          <w:szCs w:val="28"/>
        </w:rPr>
        <w:t>che detta proroga non trovi</w:t>
      </w:r>
      <w:r w:rsidR="009F49E0" w:rsidRPr="00BC615F">
        <w:rPr>
          <w:rFonts w:ascii="Garamond" w:hAnsi="Garamond" w:cs="Times New Roman"/>
          <w:color w:val="000000" w:themeColor="text1"/>
          <w:sz w:val="28"/>
          <w:szCs w:val="28"/>
        </w:rPr>
        <w:t xml:space="preserve"> applicazione alle conc</w:t>
      </w:r>
      <w:r>
        <w:rPr>
          <w:rFonts w:ascii="Garamond" w:hAnsi="Garamond" w:cs="Times New Roman"/>
          <w:color w:val="000000" w:themeColor="text1"/>
          <w:sz w:val="28"/>
          <w:szCs w:val="28"/>
        </w:rPr>
        <w:t>essioni di cui all’art. 4, c.</w:t>
      </w:r>
      <w:r w:rsidR="009F49E0" w:rsidRPr="00BC615F">
        <w:rPr>
          <w:rFonts w:ascii="Garamond" w:hAnsi="Garamond" w:cs="Times New Roman"/>
          <w:color w:val="000000" w:themeColor="text1"/>
          <w:sz w:val="28"/>
          <w:szCs w:val="28"/>
        </w:rPr>
        <w:t xml:space="preserve"> 1-</w:t>
      </w:r>
      <w:r w:rsidR="009F49E0" w:rsidRPr="00BC615F">
        <w:rPr>
          <w:rFonts w:ascii="Garamond" w:hAnsi="Garamond" w:cs="Times New Roman"/>
          <w:i/>
          <w:iCs/>
          <w:color w:val="000000" w:themeColor="text1"/>
          <w:sz w:val="28"/>
          <w:szCs w:val="28"/>
        </w:rPr>
        <w:t>bis</w:t>
      </w:r>
      <w:r>
        <w:rPr>
          <w:rFonts w:ascii="Garamond" w:hAnsi="Garamond" w:cs="Times New Roman"/>
          <w:color w:val="000000" w:themeColor="text1"/>
          <w:sz w:val="28"/>
          <w:szCs w:val="28"/>
        </w:rPr>
        <w:t>, della L. n.</w:t>
      </w:r>
      <w:r w:rsidR="009F49E0" w:rsidRPr="00BC615F">
        <w:rPr>
          <w:rFonts w:ascii="Garamond" w:hAnsi="Garamond" w:cs="Times New Roman"/>
          <w:color w:val="000000" w:themeColor="text1"/>
          <w:sz w:val="28"/>
          <w:szCs w:val="28"/>
        </w:rPr>
        <w:t xml:space="preserve"> 118/2022 in quanto le stesse non sono soggette alle procedure di affidamento disciplinate dall’art. 4, c</w:t>
      </w:r>
      <w:r>
        <w:rPr>
          <w:rFonts w:ascii="Garamond" w:hAnsi="Garamond" w:cs="Times New Roman"/>
          <w:color w:val="000000" w:themeColor="text1"/>
          <w:sz w:val="28"/>
          <w:szCs w:val="28"/>
        </w:rPr>
        <w:t>.</w:t>
      </w:r>
      <w:r w:rsidR="009F49E0" w:rsidRPr="00BC615F">
        <w:rPr>
          <w:rFonts w:ascii="Garamond" w:hAnsi="Garamond" w:cs="Times New Roman"/>
          <w:color w:val="000000" w:themeColor="text1"/>
          <w:sz w:val="28"/>
          <w:szCs w:val="28"/>
        </w:rPr>
        <w:t xml:space="preserve"> 1, alla cui “ordinata programmazione” è preordinata la predetta proroga. D</w:t>
      </w:r>
      <w:r w:rsidR="009A609C" w:rsidRPr="00BC615F">
        <w:rPr>
          <w:rFonts w:ascii="Garamond" w:hAnsi="Garamond" w:cs="Times New Roman"/>
          <w:color w:val="000000" w:themeColor="text1"/>
          <w:sz w:val="28"/>
          <w:szCs w:val="28"/>
        </w:rPr>
        <w:t>all’altro lato, tuttavia, è ritenuto</w:t>
      </w:r>
      <w:r w:rsidR="009F49E0" w:rsidRPr="00BC615F">
        <w:rPr>
          <w:rFonts w:ascii="Garamond" w:hAnsi="Garamond" w:cs="Times New Roman"/>
          <w:color w:val="000000" w:themeColor="text1"/>
          <w:sz w:val="28"/>
          <w:szCs w:val="28"/>
        </w:rPr>
        <w:t xml:space="preserve"> più conforme al dato letterale che </w:t>
      </w:r>
      <w:r w:rsidR="009F49E0" w:rsidRPr="00BC615F">
        <w:rPr>
          <w:rFonts w:ascii="Garamond" w:hAnsi="Garamond" w:cs="Times New Roman"/>
          <w:b/>
          <w:color w:val="000000" w:themeColor="text1"/>
          <w:sz w:val="28"/>
          <w:szCs w:val="28"/>
        </w:rPr>
        <w:t>detta proroga riguardi tutte le tipologie di concessioni, in quanto l’art. 3, c</w:t>
      </w:r>
      <w:r>
        <w:rPr>
          <w:rFonts w:ascii="Garamond" w:hAnsi="Garamond" w:cs="Times New Roman"/>
          <w:b/>
          <w:color w:val="000000" w:themeColor="text1"/>
          <w:sz w:val="28"/>
          <w:szCs w:val="28"/>
        </w:rPr>
        <w:t>.</w:t>
      </w:r>
      <w:r w:rsidR="009F49E0" w:rsidRPr="00BC615F">
        <w:rPr>
          <w:rFonts w:ascii="Garamond" w:hAnsi="Garamond" w:cs="Times New Roman"/>
          <w:b/>
          <w:color w:val="000000" w:themeColor="text1"/>
          <w:sz w:val="28"/>
          <w:szCs w:val="28"/>
        </w:rPr>
        <w:t xml:space="preserve"> 1, lett. a)</w:t>
      </w:r>
      <w:r>
        <w:rPr>
          <w:rFonts w:ascii="Garamond" w:hAnsi="Garamond" w:cs="Times New Roman"/>
          <w:b/>
          <w:color w:val="000000" w:themeColor="text1"/>
          <w:sz w:val="28"/>
          <w:szCs w:val="28"/>
        </w:rPr>
        <w:t xml:space="preserve"> L. cit.</w:t>
      </w:r>
      <w:r w:rsidR="009F49E0" w:rsidRPr="00BC615F">
        <w:rPr>
          <w:rFonts w:ascii="Garamond" w:hAnsi="Garamond" w:cs="Times New Roman"/>
          <w:b/>
          <w:color w:val="000000" w:themeColor="text1"/>
          <w:sz w:val="28"/>
          <w:szCs w:val="28"/>
        </w:rPr>
        <w:t>, non pone alcuna distinzione tra di esse</w:t>
      </w:r>
      <w:r w:rsidR="009A609C">
        <w:rPr>
          <w:rStyle w:val="Rimandonotaapidipagina"/>
          <w:rFonts w:ascii="Garamond" w:hAnsi="Garamond" w:cs="Times New Roman"/>
          <w:color w:val="000000" w:themeColor="text1"/>
          <w:sz w:val="28"/>
          <w:szCs w:val="28"/>
        </w:rPr>
        <w:footnoteReference w:id="35"/>
      </w:r>
      <w:r w:rsidR="009A609C" w:rsidRPr="00BC615F">
        <w:rPr>
          <w:rFonts w:ascii="Garamond" w:hAnsi="Garamond" w:cs="Times New Roman"/>
          <w:color w:val="000000" w:themeColor="text1"/>
          <w:sz w:val="28"/>
          <w:szCs w:val="28"/>
        </w:rPr>
        <w:t>.</w:t>
      </w:r>
    </w:p>
    <w:p w14:paraId="3A008346" w14:textId="37C7BA7C" w:rsidR="00F537DF" w:rsidRDefault="00F537DF" w:rsidP="00F537DF">
      <w:pPr>
        <w:spacing w:after="0" w:line="240" w:lineRule="auto"/>
        <w:jc w:val="both"/>
        <w:rPr>
          <w:rFonts w:ascii="Garamond" w:hAnsi="Garamond" w:cs="Times New Roman"/>
          <w:color w:val="000000" w:themeColor="text1"/>
          <w:sz w:val="28"/>
          <w:szCs w:val="28"/>
        </w:rPr>
      </w:pPr>
    </w:p>
    <w:p w14:paraId="0449F5A7" w14:textId="77777777" w:rsidR="00C45D76" w:rsidRDefault="00C45D76" w:rsidP="00F537DF">
      <w:pPr>
        <w:spacing w:after="0" w:line="240" w:lineRule="auto"/>
        <w:jc w:val="both"/>
        <w:rPr>
          <w:rFonts w:ascii="Garamond" w:hAnsi="Garamond" w:cs="Times New Roman"/>
          <w:color w:val="000000" w:themeColor="text1"/>
          <w:sz w:val="28"/>
          <w:szCs w:val="28"/>
        </w:rPr>
      </w:pPr>
    </w:p>
    <w:p w14:paraId="17A0AC1C" w14:textId="2303D93C" w:rsidR="008052EA" w:rsidRPr="00D60D68" w:rsidRDefault="00C45D76" w:rsidP="008052EA">
      <w:pPr>
        <w:spacing w:after="0" w:line="240" w:lineRule="auto"/>
        <w:ind w:firstLine="708"/>
        <w:jc w:val="both"/>
        <w:rPr>
          <w:rFonts w:ascii="Garamond" w:hAnsi="Garamond" w:cs="Times New Roman"/>
          <w:b/>
          <w:color w:val="000000" w:themeColor="text1"/>
          <w:sz w:val="28"/>
          <w:szCs w:val="28"/>
        </w:rPr>
      </w:pPr>
      <w:r w:rsidRPr="00D60D68">
        <w:rPr>
          <w:rFonts w:ascii="Garamond" w:hAnsi="Garamond" w:cs="Times New Roman"/>
          <w:b/>
          <w:color w:val="000000" w:themeColor="text1"/>
          <w:sz w:val="28"/>
          <w:szCs w:val="28"/>
        </w:rPr>
        <w:t>3.1. L’evoluzione normativa regionale dopo la L. n. 166/2024.</w:t>
      </w:r>
    </w:p>
    <w:p w14:paraId="260B200C" w14:textId="77777777" w:rsidR="008052EA" w:rsidRDefault="008052EA" w:rsidP="008052EA">
      <w:pPr>
        <w:spacing w:after="0" w:line="240" w:lineRule="auto"/>
        <w:ind w:firstLine="708"/>
        <w:jc w:val="both"/>
        <w:rPr>
          <w:rFonts w:ascii="Garamond" w:hAnsi="Garamond" w:cs="Times New Roman"/>
          <w:b/>
          <w:color w:val="000000" w:themeColor="text1"/>
          <w:sz w:val="28"/>
          <w:szCs w:val="28"/>
          <w:u w:val="single"/>
        </w:rPr>
      </w:pPr>
    </w:p>
    <w:p w14:paraId="19305C16" w14:textId="4743DF98" w:rsidR="000E13CC" w:rsidRDefault="008052EA" w:rsidP="008052EA">
      <w:pPr>
        <w:spacing w:after="0" w:line="240" w:lineRule="auto"/>
        <w:ind w:firstLine="708"/>
        <w:jc w:val="both"/>
        <w:rPr>
          <w:rFonts w:ascii="Garamond" w:hAnsi="Garamond" w:cs="Times New Roman"/>
          <w:color w:val="000000" w:themeColor="text1"/>
          <w:sz w:val="28"/>
          <w:szCs w:val="28"/>
        </w:rPr>
      </w:pPr>
      <w:r w:rsidRPr="008052EA">
        <w:rPr>
          <w:rFonts w:ascii="Garamond" w:hAnsi="Garamond" w:cs="Times New Roman"/>
          <w:color w:val="000000" w:themeColor="text1"/>
          <w:sz w:val="28"/>
          <w:szCs w:val="28"/>
        </w:rPr>
        <w:t xml:space="preserve">Il presente paragrafo si propone di analizzare le principali misure adottate da alcune </w:t>
      </w:r>
      <w:r w:rsidR="00426F29">
        <w:rPr>
          <w:rFonts w:ascii="Garamond" w:hAnsi="Garamond" w:cs="Times New Roman"/>
          <w:color w:val="000000" w:themeColor="text1"/>
          <w:sz w:val="28"/>
          <w:szCs w:val="28"/>
        </w:rPr>
        <w:t>R</w:t>
      </w:r>
      <w:r w:rsidRPr="008052EA">
        <w:rPr>
          <w:rFonts w:ascii="Garamond" w:hAnsi="Garamond" w:cs="Times New Roman"/>
          <w:color w:val="000000" w:themeColor="text1"/>
          <w:sz w:val="28"/>
          <w:szCs w:val="28"/>
        </w:rPr>
        <w:t>egioni per attuare le nuove disposizioni normative, evidenziando le peculiarità di ciascu</w:t>
      </w:r>
      <w:r w:rsidR="00A076E9">
        <w:rPr>
          <w:rFonts w:ascii="Garamond" w:hAnsi="Garamond" w:cs="Times New Roman"/>
          <w:color w:val="000000" w:themeColor="text1"/>
          <w:sz w:val="28"/>
          <w:szCs w:val="28"/>
        </w:rPr>
        <w:t>n intervento.</w:t>
      </w:r>
    </w:p>
    <w:p w14:paraId="11E59AEB" w14:textId="77777777" w:rsidR="00A076E9" w:rsidRDefault="00A076E9" w:rsidP="008052EA">
      <w:pPr>
        <w:spacing w:after="0" w:line="240" w:lineRule="auto"/>
        <w:ind w:firstLine="708"/>
        <w:jc w:val="both"/>
        <w:rPr>
          <w:rFonts w:ascii="Garamond" w:hAnsi="Garamond" w:cs="Times New Roman"/>
          <w:color w:val="000000" w:themeColor="text1"/>
          <w:sz w:val="28"/>
          <w:szCs w:val="28"/>
        </w:rPr>
      </w:pPr>
    </w:p>
    <w:p w14:paraId="26CEF737" w14:textId="6A8D6C9E" w:rsidR="0055546E" w:rsidRDefault="008052EA" w:rsidP="008052EA">
      <w:pPr>
        <w:spacing w:after="0" w:line="240" w:lineRule="auto"/>
        <w:ind w:firstLine="708"/>
        <w:jc w:val="both"/>
        <w:rPr>
          <w:rFonts w:ascii="Garamond" w:hAnsi="Garamond" w:cs="Times New Roman"/>
          <w:color w:val="000000" w:themeColor="text1"/>
          <w:sz w:val="28"/>
          <w:szCs w:val="28"/>
        </w:rPr>
      </w:pPr>
      <w:r w:rsidRPr="008052EA">
        <w:rPr>
          <w:rFonts w:ascii="Garamond" w:hAnsi="Garamond" w:cs="Times New Roman"/>
          <w:color w:val="000000" w:themeColor="text1"/>
          <w:sz w:val="28"/>
          <w:szCs w:val="28"/>
        </w:rPr>
        <w:lastRenderedPageBreak/>
        <w:t xml:space="preserve">La </w:t>
      </w:r>
      <w:r w:rsidRPr="00751644">
        <w:rPr>
          <w:rFonts w:ascii="Garamond" w:hAnsi="Garamond" w:cs="Times New Roman"/>
          <w:b/>
          <w:color w:val="000000" w:themeColor="text1"/>
          <w:sz w:val="28"/>
          <w:szCs w:val="28"/>
        </w:rPr>
        <w:t>Regione Puglia</w:t>
      </w:r>
      <w:r w:rsidRPr="008052EA">
        <w:rPr>
          <w:rFonts w:ascii="Garamond" w:hAnsi="Garamond" w:cs="Times New Roman"/>
          <w:color w:val="000000" w:themeColor="text1"/>
          <w:sz w:val="28"/>
          <w:szCs w:val="28"/>
        </w:rPr>
        <w:t xml:space="preserve"> ha avviato un processo di revisione della propria disciplina sulle concessioni demaniali marittime al fine di superare le criticità derivanti dalla coesistenza di una doppia pianificazione amministrativa, che ostacola l’applicazione dei principi </w:t>
      </w:r>
      <w:r w:rsidR="00426F29">
        <w:rPr>
          <w:rFonts w:ascii="Garamond" w:hAnsi="Garamond" w:cs="Times New Roman"/>
          <w:color w:val="000000" w:themeColor="text1"/>
          <w:sz w:val="28"/>
          <w:szCs w:val="28"/>
        </w:rPr>
        <w:t>euro</w:t>
      </w:r>
      <w:r w:rsidRPr="008052EA">
        <w:rPr>
          <w:rFonts w:ascii="Garamond" w:hAnsi="Garamond" w:cs="Times New Roman"/>
          <w:color w:val="000000" w:themeColor="text1"/>
          <w:sz w:val="28"/>
          <w:szCs w:val="28"/>
        </w:rPr>
        <w:t>unitari. La normativa vigente, contenuta nella L</w:t>
      </w:r>
      <w:r w:rsidR="00426F29">
        <w:rPr>
          <w:rFonts w:ascii="Garamond" w:hAnsi="Garamond" w:cs="Times New Roman"/>
          <w:color w:val="000000" w:themeColor="text1"/>
          <w:sz w:val="28"/>
          <w:szCs w:val="28"/>
        </w:rPr>
        <w:t>. reg. 10/04/</w:t>
      </w:r>
      <w:r w:rsidRPr="008052EA">
        <w:rPr>
          <w:rFonts w:ascii="Garamond" w:hAnsi="Garamond" w:cs="Times New Roman"/>
          <w:color w:val="000000" w:themeColor="text1"/>
          <w:sz w:val="28"/>
          <w:szCs w:val="28"/>
        </w:rPr>
        <w:t>2015</w:t>
      </w:r>
      <w:r w:rsidR="00426F29">
        <w:rPr>
          <w:rFonts w:ascii="Garamond" w:hAnsi="Garamond" w:cs="Times New Roman"/>
          <w:color w:val="000000" w:themeColor="text1"/>
          <w:sz w:val="28"/>
          <w:szCs w:val="28"/>
        </w:rPr>
        <w:t>, 17</w:t>
      </w:r>
      <w:r w:rsidRPr="008052EA">
        <w:rPr>
          <w:rFonts w:ascii="Garamond" w:hAnsi="Garamond" w:cs="Times New Roman"/>
          <w:color w:val="000000" w:themeColor="text1"/>
          <w:sz w:val="28"/>
          <w:szCs w:val="28"/>
        </w:rPr>
        <w:t xml:space="preserve">, assegna la gestione del demanio marittimo e delle zone del mare territoriale ai Comuni, mentre la Regione mantiene competenze generali di indirizzo. Tuttavia, questa suddivisione di competenze ha generato difficoltà operative nell’adeguamento alla </w:t>
      </w:r>
      <w:r w:rsidR="0047078B">
        <w:rPr>
          <w:rFonts w:ascii="Garamond" w:hAnsi="Garamond" w:cs="Times New Roman"/>
          <w:color w:val="000000" w:themeColor="text1"/>
          <w:sz w:val="28"/>
          <w:szCs w:val="28"/>
        </w:rPr>
        <w:t>d</w:t>
      </w:r>
      <w:r w:rsidRPr="008052EA">
        <w:rPr>
          <w:rFonts w:ascii="Garamond" w:hAnsi="Garamond" w:cs="Times New Roman"/>
          <w:color w:val="000000" w:themeColor="text1"/>
          <w:sz w:val="28"/>
          <w:szCs w:val="28"/>
        </w:rPr>
        <w:t xml:space="preserve">irettiva Bolkestein, tanto che i Comuni hanno sollecitato un intervento normativo volto a uniformare il quadro regolatorio. L'idea su cui sta lavorando la Regione è l’abolizione della doppia pianificazione e l’adozione di una legge quadro che stabilisca criteri chiari e uniformi per l’intero territorio regionale. </w:t>
      </w:r>
    </w:p>
    <w:p w14:paraId="4E8CD1C6" w14:textId="77777777" w:rsidR="00A076E9" w:rsidRDefault="00A076E9" w:rsidP="008052EA">
      <w:pPr>
        <w:spacing w:after="0" w:line="240" w:lineRule="auto"/>
        <w:ind w:firstLine="708"/>
        <w:jc w:val="both"/>
        <w:rPr>
          <w:rFonts w:ascii="Garamond" w:hAnsi="Garamond" w:cs="Times New Roman"/>
          <w:color w:val="000000" w:themeColor="text1"/>
          <w:sz w:val="28"/>
          <w:szCs w:val="28"/>
        </w:rPr>
      </w:pPr>
    </w:p>
    <w:p w14:paraId="5DF026AD" w14:textId="4F4883AD" w:rsidR="00A076E9" w:rsidRDefault="008052EA" w:rsidP="008052EA">
      <w:pPr>
        <w:spacing w:after="0" w:line="240" w:lineRule="auto"/>
        <w:ind w:firstLine="708"/>
        <w:jc w:val="both"/>
        <w:rPr>
          <w:rFonts w:ascii="Garamond" w:hAnsi="Garamond" w:cs="Times New Roman"/>
          <w:color w:val="000000" w:themeColor="text1"/>
          <w:sz w:val="28"/>
          <w:szCs w:val="28"/>
        </w:rPr>
      </w:pPr>
      <w:r w:rsidRPr="008052EA">
        <w:rPr>
          <w:rFonts w:ascii="Garamond" w:hAnsi="Garamond" w:cs="Times New Roman"/>
          <w:color w:val="000000" w:themeColor="text1"/>
          <w:sz w:val="28"/>
          <w:szCs w:val="28"/>
        </w:rPr>
        <w:t xml:space="preserve">La </w:t>
      </w:r>
      <w:r w:rsidRPr="00751644">
        <w:rPr>
          <w:rFonts w:ascii="Garamond" w:hAnsi="Garamond" w:cs="Times New Roman"/>
          <w:b/>
          <w:color w:val="000000" w:themeColor="text1"/>
          <w:sz w:val="28"/>
          <w:szCs w:val="28"/>
        </w:rPr>
        <w:t>Regione Sicilia</w:t>
      </w:r>
      <w:r w:rsidRPr="008052EA">
        <w:rPr>
          <w:rFonts w:ascii="Garamond" w:hAnsi="Garamond" w:cs="Times New Roman"/>
          <w:color w:val="000000" w:themeColor="text1"/>
          <w:sz w:val="28"/>
          <w:szCs w:val="28"/>
        </w:rPr>
        <w:t>, invece, ha adottato una norma nell’ambito della legge finanziaria regionale per agevolare l’apertura dei bandi sulle concessioni. Il decreto regionale introduce nuove regole finalizzate a semplificare l’approvazione dei Piani di Utilizzo delle Aree Demaniali Marittime (PUDM), strumenti fondamentali per la gestione delle concessioni da parte dei Comuni costieri. L’obiettivo del provvedimento è quello di consentire ai Comuni che non hanno ancora predisposto i propri PUDM di adottarli rapidamente e di attivare le procedure di gara. Un ulteriore passo avanti è stato compiuto con l’ap</w:t>
      </w:r>
      <w:r w:rsidR="0047078B">
        <w:rPr>
          <w:rFonts w:ascii="Garamond" w:hAnsi="Garamond" w:cs="Times New Roman"/>
          <w:color w:val="000000" w:themeColor="text1"/>
          <w:sz w:val="28"/>
          <w:szCs w:val="28"/>
        </w:rPr>
        <w:t>provazione, in data 14/02/</w:t>
      </w:r>
      <w:r w:rsidRPr="008052EA">
        <w:rPr>
          <w:rFonts w:ascii="Garamond" w:hAnsi="Garamond" w:cs="Times New Roman"/>
          <w:color w:val="000000" w:themeColor="text1"/>
          <w:sz w:val="28"/>
          <w:szCs w:val="28"/>
        </w:rPr>
        <w:t xml:space="preserve">2025, di uno schema di decreto che disciplina le modalità di assegnazione delle nuove concessioni. I Comuni che hanno già adottato i PUDM possono assegnare concessioni con durata variabile tra i 5 e i 20 anni, mentre quelli che hanno approvato i piani in Consiglio comunale, ma sono ancora in attesa dell’approvazione definitiva, possono rilasciare concessioni di durata massima di 6 anni. Un elemento innovativo introdotto nelle linee guida riguarda l’adozione di criteri di premialità per le micro, piccole e medie imprese, nonché l’introduzione di limiti al numero massimo di concessioni detenibili da uno stesso soggetto: massimo due unità all’interno di un </w:t>
      </w:r>
      <w:r w:rsidR="0047078B">
        <w:rPr>
          <w:rFonts w:ascii="Garamond" w:hAnsi="Garamond" w:cs="Times New Roman"/>
          <w:color w:val="000000" w:themeColor="text1"/>
          <w:sz w:val="28"/>
          <w:szCs w:val="28"/>
        </w:rPr>
        <w:t>C</w:t>
      </w:r>
      <w:r w:rsidRPr="008052EA">
        <w:rPr>
          <w:rFonts w:ascii="Garamond" w:hAnsi="Garamond" w:cs="Times New Roman"/>
          <w:color w:val="000000" w:themeColor="text1"/>
          <w:sz w:val="28"/>
          <w:szCs w:val="28"/>
        </w:rPr>
        <w:t xml:space="preserve">omune, tre in una </w:t>
      </w:r>
      <w:r w:rsidR="0047078B">
        <w:rPr>
          <w:rFonts w:ascii="Garamond" w:hAnsi="Garamond" w:cs="Times New Roman"/>
          <w:color w:val="000000" w:themeColor="text1"/>
          <w:sz w:val="28"/>
          <w:szCs w:val="28"/>
        </w:rPr>
        <w:t>P</w:t>
      </w:r>
      <w:r w:rsidRPr="008052EA">
        <w:rPr>
          <w:rFonts w:ascii="Garamond" w:hAnsi="Garamond" w:cs="Times New Roman"/>
          <w:color w:val="000000" w:themeColor="text1"/>
          <w:sz w:val="28"/>
          <w:szCs w:val="28"/>
        </w:rPr>
        <w:t>rovincia e cinque nell’intero territorio regionale</w:t>
      </w:r>
      <w:r w:rsidR="00C04D8E">
        <w:rPr>
          <w:rStyle w:val="Rimandonotaapidipagina"/>
          <w:rFonts w:ascii="Garamond" w:hAnsi="Garamond" w:cs="Times New Roman"/>
          <w:color w:val="000000" w:themeColor="text1"/>
          <w:sz w:val="28"/>
          <w:szCs w:val="28"/>
        </w:rPr>
        <w:footnoteReference w:id="36"/>
      </w:r>
      <w:r w:rsidRPr="008052EA">
        <w:rPr>
          <w:rFonts w:ascii="Garamond" w:hAnsi="Garamond" w:cs="Times New Roman"/>
          <w:color w:val="000000" w:themeColor="text1"/>
          <w:sz w:val="28"/>
          <w:szCs w:val="28"/>
        </w:rPr>
        <w:t>.</w:t>
      </w:r>
    </w:p>
    <w:p w14:paraId="6DD84C33" w14:textId="0210EA10" w:rsidR="000E13CC" w:rsidRDefault="008052EA" w:rsidP="008052EA">
      <w:pPr>
        <w:spacing w:after="0" w:line="240" w:lineRule="auto"/>
        <w:ind w:firstLine="708"/>
        <w:jc w:val="both"/>
        <w:rPr>
          <w:rFonts w:ascii="Garamond" w:hAnsi="Garamond" w:cs="Times New Roman"/>
          <w:color w:val="000000" w:themeColor="text1"/>
          <w:sz w:val="28"/>
          <w:szCs w:val="28"/>
        </w:rPr>
      </w:pPr>
      <w:r w:rsidRPr="008052EA">
        <w:rPr>
          <w:rFonts w:ascii="Garamond" w:hAnsi="Garamond" w:cs="Times New Roman"/>
          <w:color w:val="000000" w:themeColor="text1"/>
          <w:sz w:val="28"/>
          <w:szCs w:val="28"/>
        </w:rPr>
        <w:t xml:space="preserve"> </w:t>
      </w:r>
    </w:p>
    <w:p w14:paraId="03FDC234" w14:textId="027EB635" w:rsidR="000E13CC" w:rsidRDefault="0047078B" w:rsidP="008052EA">
      <w:pPr>
        <w:spacing w:after="0" w:line="240" w:lineRule="auto"/>
        <w:ind w:firstLine="708"/>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Ancora, la </w:t>
      </w:r>
      <w:r w:rsidRPr="00751644">
        <w:rPr>
          <w:rFonts w:ascii="Garamond" w:hAnsi="Garamond" w:cs="Times New Roman"/>
          <w:b/>
          <w:color w:val="000000" w:themeColor="text1"/>
          <w:sz w:val="28"/>
          <w:szCs w:val="28"/>
        </w:rPr>
        <w:t>Regione Friuli-</w:t>
      </w:r>
      <w:r w:rsidR="008052EA" w:rsidRPr="00751644">
        <w:rPr>
          <w:rFonts w:ascii="Garamond" w:hAnsi="Garamond" w:cs="Times New Roman"/>
          <w:b/>
          <w:color w:val="000000" w:themeColor="text1"/>
          <w:sz w:val="28"/>
          <w:szCs w:val="28"/>
        </w:rPr>
        <w:t>Venezia</w:t>
      </w:r>
      <w:r w:rsidR="008052EA" w:rsidRPr="008052EA">
        <w:rPr>
          <w:rFonts w:ascii="Garamond" w:hAnsi="Garamond" w:cs="Times New Roman"/>
          <w:color w:val="000000" w:themeColor="text1"/>
          <w:sz w:val="28"/>
          <w:szCs w:val="28"/>
        </w:rPr>
        <w:t xml:space="preserve"> Giulia ha introdotto modifiche significative attraverso l’art. 10 della </w:t>
      </w:r>
      <w:r>
        <w:rPr>
          <w:rFonts w:ascii="Garamond" w:hAnsi="Garamond" w:cs="Times New Roman"/>
          <w:color w:val="000000" w:themeColor="text1"/>
          <w:sz w:val="28"/>
          <w:szCs w:val="28"/>
        </w:rPr>
        <w:t xml:space="preserve">L. reg. </w:t>
      </w:r>
      <w:r w:rsidR="008052EA" w:rsidRPr="008052EA">
        <w:rPr>
          <w:rFonts w:ascii="Garamond" w:hAnsi="Garamond" w:cs="Times New Roman"/>
          <w:color w:val="000000" w:themeColor="text1"/>
          <w:sz w:val="28"/>
          <w:szCs w:val="28"/>
        </w:rPr>
        <w:t>30</w:t>
      </w:r>
      <w:r>
        <w:rPr>
          <w:rFonts w:ascii="Garamond" w:hAnsi="Garamond" w:cs="Times New Roman"/>
          <w:color w:val="000000" w:themeColor="text1"/>
          <w:sz w:val="28"/>
          <w:szCs w:val="28"/>
        </w:rPr>
        <w:t>/12/</w:t>
      </w:r>
      <w:r w:rsidR="008052EA" w:rsidRPr="008052EA">
        <w:rPr>
          <w:rFonts w:ascii="Garamond" w:hAnsi="Garamond" w:cs="Times New Roman"/>
          <w:color w:val="000000" w:themeColor="text1"/>
          <w:sz w:val="28"/>
          <w:szCs w:val="28"/>
        </w:rPr>
        <w:t>2024</w:t>
      </w:r>
      <w:r>
        <w:rPr>
          <w:rFonts w:ascii="Garamond" w:hAnsi="Garamond" w:cs="Times New Roman"/>
          <w:color w:val="000000" w:themeColor="text1"/>
          <w:sz w:val="28"/>
          <w:szCs w:val="28"/>
        </w:rPr>
        <w:t>, n. 12</w:t>
      </w:r>
      <w:r w:rsidR="008052EA" w:rsidRPr="008052EA">
        <w:rPr>
          <w:rFonts w:ascii="Garamond" w:hAnsi="Garamond" w:cs="Times New Roman"/>
          <w:color w:val="000000" w:themeColor="text1"/>
          <w:sz w:val="28"/>
          <w:szCs w:val="28"/>
        </w:rPr>
        <w:t xml:space="preserve">, che interviene sulla disciplina del patrimonio, del demanio e dei servizi generali, con un focus particolare sulle concessioni marittime. La riforma prevede una maggiore integrazione tra Regione ed </w:t>
      </w:r>
      <w:r>
        <w:rPr>
          <w:rFonts w:ascii="Garamond" w:hAnsi="Garamond" w:cs="Times New Roman"/>
          <w:color w:val="000000" w:themeColor="text1"/>
          <w:sz w:val="28"/>
          <w:szCs w:val="28"/>
        </w:rPr>
        <w:t>e</w:t>
      </w:r>
      <w:r w:rsidR="008052EA" w:rsidRPr="008052EA">
        <w:rPr>
          <w:rFonts w:ascii="Garamond" w:hAnsi="Garamond" w:cs="Times New Roman"/>
          <w:color w:val="000000" w:themeColor="text1"/>
          <w:sz w:val="28"/>
          <w:szCs w:val="28"/>
        </w:rPr>
        <w:t xml:space="preserve">nti locali nella gestione del demanio marittimo, consentendo alla Regione di delegare le proprie funzioni a società </w:t>
      </w:r>
      <w:r w:rsidR="008052EA" w:rsidRPr="0047078B">
        <w:rPr>
          <w:rFonts w:ascii="Garamond" w:hAnsi="Garamond" w:cs="Times New Roman"/>
          <w:i/>
          <w:color w:val="000000" w:themeColor="text1"/>
          <w:sz w:val="28"/>
          <w:szCs w:val="28"/>
        </w:rPr>
        <w:t>in house</w:t>
      </w:r>
      <w:r w:rsidR="008052EA" w:rsidRPr="008052EA">
        <w:rPr>
          <w:rFonts w:ascii="Garamond" w:hAnsi="Garamond" w:cs="Times New Roman"/>
          <w:color w:val="000000" w:themeColor="text1"/>
          <w:sz w:val="28"/>
          <w:szCs w:val="28"/>
        </w:rPr>
        <w:t xml:space="preserve"> o ad altri enti pubblici. Sul fronte delle concessioni, la normativa regionale introduce un nuovo regime per le concessioni temporanee, che possono essere rilasciate solo previa verifica dell’idoneità dell’uso rispetto al contesto territoriale. Inoltre, vengono rafforzate le tutele nei confronti di aree di particolare valore storico, artistico e ambientale. Un elemento di rilievo è la previsione di concessioni di lunga durata per le aree infrastrutturate, che possono ora essere assegnate per un periodo fino a 20 anni, garantendo maggiore stabilità agli operatori economici e una più efficace programmazione delle attività. Infine, vengono abrogate alcune disposizioni normative ormai superate, con l’obiettivo di razionalizzare il quadro normativo regionale. </w:t>
      </w:r>
    </w:p>
    <w:p w14:paraId="5220B59E" w14:textId="77777777" w:rsidR="00A076E9" w:rsidRDefault="00A076E9" w:rsidP="008052EA">
      <w:pPr>
        <w:spacing w:after="0" w:line="240" w:lineRule="auto"/>
        <w:ind w:firstLine="708"/>
        <w:jc w:val="both"/>
        <w:rPr>
          <w:rFonts w:ascii="Garamond" w:hAnsi="Garamond" w:cs="Times New Roman"/>
          <w:color w:val="000000" w:themeColor="text1"/>
          <w:sz w:val="28"/>
          <w:szCs w:val="28"/>
        </w:rPr>
      </w:pPr>
    </w:p>
    <w:p w14:paraId="317E5635" w14:textId="4979A894" w:rsidR="00AC78DF" w:rsidRDefault="008052EA" w:rsidP="008052EA">
      <w:pPr>
        <w:spacing w:after="0" w:line="240" w:lineRule="auto"/>
        <w:ind w:firstLine="708"/>
        <w:jc w:val="both"/>
        <w:rPr>
          <w:rFonts w:ascii="Garamond" w:hAnsi="Garamond" w:cs="Times New Roman"/>
          <w:color w:val="000000" w:themeColor="text1"/>
          <w:sz w:val="28"/>
          <w:szCs w:val="28"/>
        </w:rPr>
      </w:pPr>
      <w:r w:rsidRPr="008052EA">
        <w:rPr>
          <w:rFonts w:ascii="Garamond" w:hAnsi="Garamond" w:cs="Times New Roman"/>
          <w:color w:val="000000" w:themeColor="text1"/>
          <w:sz w:val="28"/>
          <w:szCs w:val="28"/>
        </w:rPr>
        <w:t xml:space="preserve">Con la </w:t>
      </w:r>
      <w:r w:rsidR="0047078B">
        <w:rPr>
          <w:rFonts w:ascii="Garamond" w:hAnsi="Garamond" w:cs="Times New Roman"/>
          <w:color w:val="000000" w:themeColor="text1"/>
          <w:sz w:val="28"/>
          <w:szCs w:val="28"/>
        </w:rPr>
        <w:t>delibera 54/9 del 30/12/</w:t>
      </w:r>
      <w:r w:rsidRPr="008052EA">
        <w:rPr>
          <w:rFonts w:ascii="Garamond" w:hAnsi="Garamond" w:cs="Times New Roman"/>
          <w:color w:val="000000" w:themeColor="text1"/>
          <w:sz w:val="28"/>
          <w:szCs w:val="28"/>
        </w:rPr>
        <w:t xml:space="preserve">2024, la </w:t>
      </w:r>
      <w:r w:rsidRPr="00751644">
        <w:rPr>
          <w:rFonts w:ascii="Garamond" w:hAnsi="Garamond" w:cs="Times New Roman"/>
          <w:b/>
          <w:color w:val="000000" w:themeColor="text1"/>
          <w:sz w:val="28"/>
          <w:szCs w:val="28"/>
        </w:rPr>
        <w:t>Regione Sardegna</w:t>
      </w:r>
      <w:r w:rsidRPr="008052EA">
        <w:rPr>
          <w:rFonts w:ascii="Garamond" w:hAnsi="Garamond" w:cs="Times New Roman"/>
          <w:color w:val="000000" w:themeColor="text1"/>
          <w:sz w:val="28"/>
          <w:szCs w:val="28"/>
        </w:rPr>
        <w:t xml:space="preserve"> ha introdotto misure transitorie volte a gestire la fase di transizione verso il nuovo regime delle concessioni demaniali. Uno degli interventi principali riguarda la proroga delle c</w:t>
      </w:r>
      <w:r w:rsidR="0047078B">
        <w:rPr>
          <w:rFonts w:ascii="Garamond" w:hAnsi="Garamond" w:cs="Times New Roman"/>
          <w:color w:val="000000" w:themeColor="text1"/>
          <w:sz w:val="28"/>
          <w:szCs w:val="28"/>
        </w:rPr>
        <w:t>oncessioni esistenti fino al 30/09/</w:t>
      </w:r>
      <w:r w:rsidRPr="008052EA">
        <w:rPr>
          <w:rFonts w:ascii="Garamond" w:hAnsi="Garamond" w:cs="Times New Roman"/>
          <w:color w:val="000000" w:themeColor="text1"/>
          <w:sz w:val="28"/>
          <w:szCs w:val="28"/>
        </w:rPr>
        <w:t xml:space="preserve">2027 per le attività turistico-ricreative e sportive, escludendo però le concessioni per la nautica da diporto e altre categorie specifiche. Parallelamente, la Regione ha ribadito l’obbligo di procedere all’assegnazione delle nuove concessioni mediante gare pubbliche, in conformità con la </w:t>
      </w:r>
      <w:r w:rsidR="0047078B">
        <w:rPr>
          <w:rFonts w:ascii="Garamond" w:hAnsi="Garamond" w:cs="Times New Roman"/>
          <w:color w:val="000000" w:themeColor="text1"/>
          <w:sz w:val="28"/>
          <w:szCs w:val="28"/>
        </w:rPr>
        <w:t>d</w:t>
      </w:r>
      <w:r w:rsidRPr="008052EA">
        <w:rPr>
          <w:rFonts w:ascii="Garamond" w:hAnsi="Garamond" w:cs="Times New Roman"/>
          <w:color w:val="000000" w:themeColor="text1"/>
          <w:sz w:val="28"/>
          <w:szCs w:val="28"/>
        </w:rPr>
        <w:t>irettiva Bolkestein e la giurisprudenza nazionale ed europea. Un cronoprogramma dettagliato è stato previsto per garantire l’avvio delle gare, assicurando nel contempo una transizione ordinata e senza interruzioni delle attività economiche operanti sul demanio marittimo</w:t>
      </w:r>
      <w:r w:rsidR="00C04D8E">
        <w:rPr>
          <w:rStyle w:val="Rimandonotaapidipagina"/>
          <w:rFonts w:ascii="Garamond" w:hAnsi="Garamond" w:cs="Times New Roman"/>
          <w:color w:val="000000" w:themeColor="text1"/>
          <w:sz w:val="28"/>
          <w:szCs w:val="28"/>
        </w:rPr>
        <w:footnoteReference w:id="37"/>
      </w:r>
      <w:r w:rsidRPr="008052EA">
        <w:rPr>
          <w:rFonts w:ascii="Garamond" w:hAnsi="Garamond" w:cs="Times New Roman"/>
          <w:color w:val="000000" w:themeColor="text1"/>
          <w:sz w:val="28"/>
          <w:szCs w:val="28"/>
        </w:rPr>
        <w:t xml:space="preserve">. </w:t>
      </w:r>
    </w:p>
    <w:p w14:paraId="124B35DE" w14:textId="77777777" w:rsidR="00A076E9" w:rsidRDefault="00A076E9" w:rsidP="008052EA">
      <w:pPr>
        <w:spacing w:after="0" w:line="240" w:lineRule="auto"/>
        <w:ind w:firstLine="708"/>
        <w:jc w:val="both"/>
        <w:rPr>
          <w:rFonts w:ascii="Garamond" w:hAnsi="Garamond" w:cs="Times New Roman"/>
          <w:color w:val="000000" w:themeColor="text1"/>
          <w:sz w:val="28"/>
          <w:szCs w:val="28"/>
        </w:rPr>
      </w:pPr>
    </w:p>
    <w:p w14:paraId="42B3A589" w14:textId="372BCEA1" w:rsidR="00AC78DF" w:rsidRDefault="008052EA" w:rsidP="008052EA">
      <w:pPr>
        <w:spacing w:after="0" w:line="240" w:lineRule="auto"/>
        <w:ind w:firstLine="708"/>
        <w:jc w:val="both"/>
        <w:rPr>
          <w:rFonts w:ascii="Garamond" w:hAnsi="Garamond" w:cs="Times New Roman"/>
          <w:color w:val="000000" w:themeColor="text1"/>
          <w:sz w:val="28"/>
          <w:szCs w:val="28"/>
        </w:rPr>
      </w:pPr>
      <w:r w:rsidRPr="008052EA">
        <w:rPr>
          <w:rFonts w:ascii="Garamond" w:hAnsi="Garamond" w:cs="Times New Roman"/>
          <w:color w:val="000000" w:themeColor="text1"/>
          <w:sz w:val="28"/>
          <w:szCs w:val="28"/>
        </w:rPr>
        <w:t xml:space="preserve">Infine, a differenza delle altre regioni, la </w:t>
      </w:r>
      <w:r w:rsidRPr="00751644">
        <w:rPr>
          <w:rFonts w:ascii="Garamond" w:hAnsi="Garamond" w:cs="Times New Roman"/>
          <w:b/>
          <w:color w:val="000000" w:themeColor="text1"/>
          <w:sz w:val="28"/>
          <w:szCs w:val="28"/>
        </w:rPr>
        <w:t>Regione Campania</w:t>
      </w:r>
      <w:r w:rsidRPr="008052EA">
        <w:rPr>
          <w:rFonts w:ascii="Garamond" w:hAnsi="Garamond" w:cs="Times New Roman"/>
          <w:color w:val="000000" w:themeColor="text1"/>
          <w:sz w:val="28"/>
          <w:szCs w:val="28"/>
        </w:rPr>
        <w:t xml:space="preserve"> ha adottato un approccio maggiormente orientato al monitoraggio e alla trasparenza, piuttosto che alla riforma diretta delle concessioni. In particolare, ha elaborato un elenco aggiornato semestralmente delle concessioni demaniali marittime a uso turistico e ricreativo, curato dalla Direzione Generale per le Politiche Culturali e il Turismo. Tale strumento si configura come un passo verso una gestione più efficiente e trasparente d</w:t>
      </w:r>
      <w:r w:rsidR="00A076E9">
        <w:rPr>
          <w:rFonts w:ascii="Garamond" w:hAnsi="Garamond" w:cs="Times New Roman"/>
          <w:color w:val="000000" w:themeColor="text1"/>
          <w:sz w:val="28"/>
          <w:szCs w:val="28"/>
        </w:rPr>
        <w:t>el demanio marittimo regionale</w:t>
      </w:r>
      <w:r w:rsidR="00C04D8E">
        <w:rPr>
          <w:rStyle w:val="Rimandonotaapidipagina"/>
          <w:rFonts w:ascii="Garamond" w:hAnsi="Garamond" w:cs="Times New Roman"/>
          <w:color w:val="000000" w:themeColor="text1"/>
          <w:sz w:val="28"/>
          <w:szCs w:val="28"/>
        </w:rPr>
        <w:footnoteReference w:id="38"/>
      </w:r>
      <w:r w:rsidR="00A076E9">
        <w:rPr>
          <w:rFonts w:ascii="Garamond" w:hAnsi="Garamond" w:cs="Times New Roman"/>
          <w:color w:val="000000" w:themeColor="text1"/>
          <w:sz w:val="28"/>
          <w:szCs w:val="28"/>
        </w:rPr>
        <w:t>.</w:t>
      </w:r>
    </w:p>
    <w:p w14:paraId="383CFA79" w14:textId="77777777" w:rsidR="00A076E9" w:rsidRDefault="00A076E9" w:rsidP="008052EA">
      <w:pPr>
        <w:spacing w:after="0" w:line="240" w:lineRule="auto"/>
        <w:ind w:firstLine="708"/>
        <w:jc w:val="both"/>
        <w:rPr>
          <w:rFonts w:ascii="Garamond" w:hAnsi="Garamond" w:cs="Times New Roman"/>
          <w:color w:val="000000" w:themeColor="text1"/>
          <w:sz w:val="28"/>
          <w:szCs w:val="28"/>
        </w:rPr>
      </w:pPr>
    </w:p>
    <w:p w14:paraId="4340BFE3" w14:textId="663A474E" w:rsidR="00374433" w:rsidRPr="008052EA" w:rsidRDefault="008052EA" w:rsidP="008052EA">
      <w:pPr>
        <w:spacing w:after="0" w:line="240" w:lineRule="auto"/>
        <w:ind w:firstLine="708"/>
        <w:jc w:val="both"/>
        <w:rPr>
          <w:rFonts w:ascii="Garamond" w:hAnsi="Garamond" w:cs="Times New Roman"/>
          <w:b/>
          <w:color w:val="000000" w:themeColor="text1"/>
          <w:sz w:val="28"/>
          <w:szCs w:val="28"/>
          <w:u w:val="single"/>
        </w:rPr>
      </w:pPr>
      <w:r w:rsidRPr="008052EA">
        <w:rPr>
          <w:rFonts w:ascii="Garamond" w:hAnsi="Garamond" w:cs="Times New Roman"/>
          <w:color w:val="000000" w:themeColor="text1"/>
          <w:sz w:val="28"/>
          <w:szCs w:val="28"/>
        </w:rPr>
        <w:t xml:space="preserve">Dall’analisi delle misure adottate nelle diverse </w:t>
      </w:r>
      <w:r w:rsidR="0047078B">
        <w:rPr>
          <w:rFonts w:ascii="Garamond" w:hAnsi="Garamond" w:cs="Times New Roman"/>
          <w:color w:val="000000" w:themeColor="text1"/>
          <w:sz w:val="28"/>
          <w:szCs w:val="28"/>
        </w:rPr>
        <w:t>R</w:t>
      </w:r>
      <w:r w:rsidRPr="008052EA">
        <w:rPr>
          <w:rFonts w:ascii="Garamond" w:hAnsi="Garamond" w:cs="Times New Roman"/>
          <w:color w:val="000000" w:themeColor="text1"/>
          <w:sz w:val="28"/>
          <w:szCs w:val="28"/>
        </w:rPr>
        <w:t>egioni, dunque, emerge un panorama normativo in evoluzione, caratterizzato da approcci diversificati alla regolamentazione delle concessioni demaniali marittime. Se alcune regioni, come la Sicilia e la Sardegna, hanno adottato misure volte a facilitare il passaggio ai nuovi regimi co</w:t>
      </w:r>
      <w:r w:rsidR="0047078B">
        <w:rPr>
          <w:rFonts w:ascii="Garamond" w:hAnsi="Garamond" w:cs="Times New Roman"/>
          <w:color w:val="000000" w:themeColor="text1"/>
          <w:sz w:val="28"/>
          <w:szCs w:val="28"/>
        </w:rPr>
        <w:t>ncessori, altre, come il Friuli-</w:t>
      </w:r>
      <w:r w:rsidRPr="008052EA">
        <w:rPr>
          <w:rFonts w:ascii="Garamond" w:hAnsi="Garamond" w:cs="Times New Roman"/>
          <w:color w:val="000000" w:themeColor="text1"/>
          <w:sz w:val="28"/>
          <w:szCs w:val="28"/>
        </w:rPr>
        <w:t>Venezia Giulia e la Puglia, stanno lavorando per introdurre una maggiore uniformità e stabilità normativa. La Campania, invece, si distingue per l’attenzione alla trasparenza e al monitoraggio delle concessioni esistenti. Il comune denominatore di questi interventi è la necessità di garantire un equilibrio tra la tutela della concorrenza, richiesta dalla normativa europea, e la stabilità delle imprese che operano nel settore turistico-ricreativo. Sarà fondamentale osservare gli sviluppi futuri per comprendere l’effettiva efficacia delle misure adottate e il loro impatto sul settore balneare italiano.</w:t>
      </w:r>
    </w:p>
    <w:p w14:paraId="6497C285" w14:textId="77777777" w:rsidR="008052EA" w:rsidRDefault="008052EA" w:rsidP="009A609C">
      <w:pPr>
        <w:spacing w:after="0" w:line="240" w:lineRule="auto"/>
        <w:jc w:val="both"/>
        <w:rPr>
          <w:rFonts w:ascii="Garamond" w:hAnsi="Garamond" w:cs="Times New Roman"/>
          <w:color w:val="000000" w:themeColor="text1"/>
          <w:sz w:val="28"/>
          <w:szCs w:val="28"/>
        </w:rPr>
      </w:pPr>
    </w:p>
    <w:p w14:paraId="417003EA" w14:textId="7577EEBB" w:rsidR="0043164D" w:rsidRPr="00D60D68" w:rsidRDefault="00C45D76" w:rsidP="0043164D">
      <w:pPr>
        <w:spacing w:after="0" w:line="240" w:lineRule="auto"/>
        <w:ind w:firstLine="708"/>
        <w:jc w:val="both"/>
        <w:rPr>
          <w:rFonts w:ascii="Garamond" w:hAnsi="Garamond" w:cs="Times New Roman"/>
          <w:b/>
          <w:color w:val="000000" w:themeColor="text1"/>
          <w:sz w:val="28"/>
          <w:szCs w:val="28"/>
        </w:rPr>
      </w:pPr>
      <w:r w:rsidRPr="00D60D68">
        <w:rPr>
          <w:rFonts w:ascii="Garamond" w:hAnsi="Garamond" w:cs="Times New Roman"/>
          <w:b/>
          <w:color w:val="000000" w:themeColor="text1"/>
          <w:sz w:val="28"/>
          <w:szCs w:val="28"/>
        </w:rPr>
        <w:t>3.2</w:t>
      </w:r>
      <w:r w:rsidR="0043164D" w:rsidRPr="00D60D68">
        <w:rPr>
          <w:rFonts w:ascii="Garamond" w:hAnsi="Garamond" w:cs="Times New Roman"/>
          <w:b/>
          <w:color w:val="000000" w:themeColor="text1"/>
          <w:sz w:val="28"/>
          <w:szCs w:val="28"/>
        </w:rPr>
        <w:t>. Appendice: il regime giuridico de</w:t>
      </w:r>
      <w:r w:rsidR="00D60D68">
        <w:rPr>
          <w:rFonts w:ascii="Garamond" w:hAnsi="Garamond" w:cs="Times New Roman"/>
          <w:b/>
          <w:color w:val="000000" w:themeColor="text1"/>
          <w:sz w:val="28"/>
          <w:szCs w:val="28"/>
        </w:rPr>
        <w:t>l demanio trazzerale in Sicilia</w:t>
      </w:r>
    </w:p>
    <w:p w14:paraId="0152F197" w14:textId="77777777" w:rsidR="0043164D" w:rsidRPr="0043164D" w:rsidRDefault="0043164D" w:rsidP="0043164D">
      <w:pPr>
        <w:spacing w:after="0" w:line="240" w:lineRule="auto"/>
        <w:ind w:firstLine="709"/>
        <w:jc w:val="both"/>
        <w:rPr>
          <w:rFonts w:ascii="Garamond" w:hAnsi="Garamond" w:cs="Times New Roman"/>
          <w:color w:val="000000" w:themeColor="text1"/>
          <w:sz w:val="28"/>
          <w:szCs w:val="28"/>
        </w:rPr>
      </w:pPr>
    </w:p>
    <w:p w14:paraId="660AEF91" w14:textId="01728DB0" w:rsidR="0043164D" w:rsidRPr="0043164D" w:rsidRDefault="0043164D" w:rsidP="0043164D">
      <w:pPr>
        <w:spacing w:after="0" w:line="240" w:lineRule="auto"/>
        <w:ind w:firstLine="709"/>
        <w:jc w:val="both"/>
        <w:rPr>
          <w:rFonts w:ascii="Garamond" w:hAnsi="Garamond" w:cs="Times New Roman"/>
          <w:color w:val="000000" w:themeColor="text1"/>
          <w:sz w:val="28"/>
          <w:szCs w:val="28"/>
        </w:rPr>
      </w:pPr>
      <w:r w:rsidRPr="0043164D">
        <w:rPr>
          <w:rFonts w:ascii="Garamond" w:hAnsi="Garamond" w:cs="Times New Roman"/>
          <w:color w:val="000000" w:themeColor="text1"/>
          <w:sz w:val="28"/>
          <w:szCs w:val="28"/>
        </w:rPr>
        <w:t xml:space="preserve">Il </w:t>
      </w:r>
      <w:r w:rsidRPr="0043164D">
        <w:rPr>
          <w:rFonts w:ascii="Garamond" w:hAnsi="Garamond" w:cs="Times New Roman"/>
          <w:b/>
          <w:color w:val="000000" w:themeColor="text1"/>
          <w:sz w:val="28"/>
          <w:szCs w:val="28"/>
        </w:rPr>
        <w:t>demanio trazzerale</w:t>
      </w:r>
      <w:r w:rsidRPr="0043164D">
        <w:rPr>
          <w:rFonts w:ascii="Garamond" w:hAnsi="Garamond" w:cs="Times New Roman"/>
          <w:color w:val="000000" w:themeColor="text1"/>
          <w:sz w:val="28"/>
          <w:szCs w:val="28"/>
        </w:rPr>
        <w:t xml:space="preserve"> </w:t>
      </w:r>
      <w:r w:rsidRPr="00CB0912">
        <w:rPr>
          <w:rFonts w:ascii="Garamond" w:hAnsi="Garamond" w:cs="Times New Roman"/>
          <w:b/>
          <w:color w:val="000000" w:themeColor="text1"/>
          <w:sz w:val="28"/>
          <w:szCs w:val="28"/>
        </w:rPr>
        <w:t>(o armentizio)</w:t>
      </w:r>
      <w:r w:rsidRPr="0043164D">
        <w:rPr>
          <w:rFonts w:ascii="Garamond" w:hAnsi="Garamond" w:cs="Times New Roman"/>
          <w:color w:val="000000" w:themeColor="text1"/>
          <w:sz w:val="28"/>
          <w:szCs w:val="28"/>
        </w:rPr>
        <w:t xml:space="preserve"> comprende le "Regie Trazzere" della Sicilia, strade utilizzate per il trasferimento degli armenti dai pascoli invernali delle pianure ai pascoli estivi delle montagne.</w:t>
      </w:r>
      <w:r>
        <w:rPr>
          <w:rFonts w:ascii="Garamond" w:hAnsi="Garamond" w:cs="Times New Roman"/>
          <w:color w:val="000000" w:themeColor="text1"/>
          <w:sz w:val="28"/>
          <w:szCs w:val="28"/>
        </w:rPr>
        <w:t xml:space="preserve"> </w:t>
      </w:r>
      <w:r w:rsidRPr="0043164D">
        <w:rPr>
          <w:rFonts w:ascii="Garamond" w:hAnsi="Garamond" w:cs="Times New Roman"/>
          <w:color w:val="000000" w:themeColor="text1"/>
          <w:sz w:val="28"/>
          <w:szCs w:val="28"/>
        </w:rPr>
        <w:t>Già demanio pubblico dello Stato, le trazzere sono state assegnate al demanio pubblico della Regione in forza dell'art 32 dello Statuto speciale, e l'ufficio competente regionale in materia di demanio tra</w:t>
      </w:r>
      <w:r w:rsidR="00CB0912">
        <w:rPr>
          <w:rFonts w:ascii="Garamond" w:hAnsi="Garamond" w:cs="Times New Roman"/>
          <w:color w:val="000000" w:themeColor="text1"/>
          <w:sz w:val="28"/>
          <w:szCs w:val="28"/>
        </w:rPr>
        <w:t>zzerale è stato istituito il 23/08/</w:t>
      </w:r>
      <w:r w:rsidRPr="0043164D">
        <w:rPr>
          <w:rFonts w:ascii="Garamond" w:hAnsi="Garamond" w:cs="Times New Roman"/>
          <w:color w:val="000000" w:themeColor="text1"/>
          <w:sz w:val="28"/>
          <w:szCs w:val="28"/>
        </w:rPr>
        <w:t>1917 (decreto luogotenenziale n. 1540).</w:t>
      </w:r>
    </w:p>
    <w:p w14:paraId="4C9572FB" w14:textId="078446FB" w:rsidR="0043164D" w:rsidRPr="0043164D" w:rsidRDefault="0043164D" w:rsidP="0043164D">
      <w:pPr>
        <w:spacing w:after="0" w:line="240" w:lineRule="auto"/>
        <w:ind w:firstLine="709"/>
        <w:jc w:val="both"/>
        <w:rPr>
          <w:rFonts w:ascii="Garamond" w:hAnsi="Garamond" w:cs="Times New Roman"/>
          <w:color w:val="000000" w:themeColor="text1"/>
          <w:sz w:val="28"/>
          <w:szCs w:val="28"/>
        </w:rPr>
      </w:pPr>
      <w:r w:rsidRPr="0043164D">
        <w:rPr>
          <w:rFonts w:ascii="Garamond" w:hAnsi="Garamond" w:cs="Times New Roman"/>
          <w:color w:val="000000" w:themeColor="text1"/>
          <w:sz w:val="28"/>
          <w:szCs w:val="28"/>
        </w:rPr>
        <w:lastRenderedPageBreak/>
        <w:t>Le trazzere del demanio regionale interessano i territori di quasi tutti i Comuni dell'isola estendendosi co</w:t>
      </w:r>
      <w:r w:rsidR="00CB0912">
        <w:rPr>
          <w:rFonts w:ascii="Garamond" w:hAnsi="Garamond" w:cs="Times New Roman"/>
          <w:color w:val="000000" w:themeColor="text1"/>
          <w:sz w:val="28"/>
          <w:szCs w:val="28"/>
        </w:rPr>
        <w:t>mplessivamente per circa 11 mila</w:t>
      </w:r>
      <w:r w:rsidRPr="0043164D">
        <w:rPr>
          <w:rFonts w:ascii="Garamond" w:hAnsi="Garamond" w:cs="Times New Roman"/>
          <w:color w:val="000000" w:themeColor="text1"/>
          <w:sz w:val="28"/>
          <w:szCs w:val="28"/>
        </w:rPr>
        <w:t xml:space="preserve"> </w:t>
      </w:r>
      <w:r w:rsidR="00CB0912">
        <w:rPr>
          <w:rFonts w:ascii="Garamond" w:hAnsi="Garamond" w:cs="Times New Roman"/>
          <w:color w:val="000000" w:themeColor="text1"/>
          <w:sz w:val="28"/>
          <w:szCs w:val="28"/>
        </w:rPr>
        <w:t>km</w:t>
      </w:r>
      <w:r w:rsidRPr="0043164D">
        <w:rPr>
          <w:rFonts w:ascii="Garamond" w:hAnsi="Garamond" w:cs="Times New Roman"/>
          <w:color w:val="000000" w:themeColor="text1"/>
          <w:sz w:val="28"/>
          <w:szCs w:val="28"/>
        </w:rPr>
        <w:t>.</w:t>
      </w:r>
    </w:p>
    <w:p w14:paraId="7DD85CFF" w14:textId="6522E116" w:rsidR="0043164D" w:rsidRPr="0043164D" w:rsidRDefault="0043164D" w:rsidP="00974AA5">
      <w:pPr>
        <w:spacing w:after="0" w:line="240" w:lineRule="auto"/>
        <w:ind w:firstLine="709"/>
        <w:jc w:val="both"/>
        <w:rPr>
          <w:rFonts w:ascii="Garamond" w:hAnsi="Garamond" w:cs="Times New Roman"/>
          <w:color w:val="000000" w:themeColor="text1"/>
          <w:sz w:val="28"/>
          <w:szCs w:val="28"/>
        </w:rPr>
      </w:pPr>
      <w:r w:rsidRPr="0043164D">
        <w:rPr>
          <w:rFonts w:ascii="Garamond" w:hAnsi="Garamond" w:cs="Times New Roman"/>
          <w:color w:val="000000" w:themeColor="text1"/>
          <w:sz w:val="28"/>
          <w:szCs w:val="28"/>
        </w:rPr>
        <w:t>La consistenza originaria del demanio trazzerale si è nel tempo ridotta a seguito delle alienazioni eseguite negli anni dall'</w:t>
      </w:r>
      <w:r w:rsidR="00CB0912">
        <w:rPr>
          <w:rFonts w:ascii="Garamond" w:hAnsi="Garamond" w:cs="Times New Roman"/>
          <w:color w:val="000000" w:themeColor="text1"/>
          <w:sz w:val="28"/>
          <w:szCs w:val="28"/>
        </w:rPr>
        <w:t>A</w:t>
      </w:r>
      <w:r w:rsidRPr="0043164D">
        <w:rPr>
          <w:rFonts w:ascii="Garamond" w:hAnsi="Garamond" w:cs="Times New Roman"/>
          <w:color w:val="000000" w:themeColor="text1"/>
          <w:sz w:val="28"/>
          <w:szCs w:val="28"/>
        </w:rPr>
        <w:t>mministrazione regionale, con la stipula di oltr</w:t>
      </w:r>
      <w:r w:rsidR="00974AA5">
        <w:rPr>
          <w:rFonts w:ascii="Garamond" w:hAnsi="Garamond" w:cs="Times New Roman"/>
          <w:color w:val="000000" w:themeColor="text1"/>
          <w:sz w:val="28"/>
          <w:szCs w:val="28"/>
        </w:rPr>
        <w:t>e 25 mila atti di liquidazione.</w:t>
      </w:r>
    </w:p>
    <w:p w14:paraId="70749978" w14:textId="77777777" w:rsidR="0043164D" w:rsidRPr="0043164D" w:rsidRDefault="0043164D" w:rsidP="0043164D">
      <w:pPr>
        <w:spacing w:after="0" w:line="240" w:lineRule="auto"/>
        <w:ind w:firstLine="709"/>
        <w:jc w:val="both"/>
        <w:rPr>
          <w:rFonts w:ascii="Garamond" w:hAnsi="Garamond" w:cs="Times New Roman"/>
          <w:color w:val="000000" w:themeColor="text1"/>
          <w:sz w:val="28"/>
          <w:szCs w:val="28"/>
        </w:rPr>
      </w:pPr>
      <w:r w:rsidRPr="0043164D">
        <w:rPr>
          <w:rFonts w:ascii="Garamond" w:hAnsi="Garamond" w:cs="Times New Roman"/>
          <w:color w:val="000000" w:themeColor="text1"/>
          <w:sz w:val="28"/>
          <w:szCs w:val="28"/>
        </w:rPr>
        <w:t xml:space="preserve">Esse sono oggi oggetto di una </w:t>
      </w:r>
      <w:r w:rsidRPr="0043164D">
        <w:rPr>
          <w:rFonts w:ascii="Garamond" w:hAnsi="Garamond" w:cs="Times New Roman"/>
          <w:b/>
          <w:color w:val="000000" w:themeColor="text1"/>
          <w:sz w:val="28"/>
          <w:szCs w:val="28"/>
        </w:rPr>
        <w:t>specifica disciplina normativa</w:t>
      </w:r>
      <w:r w:rsidRPr="0043164D">
        <w:rPr>
          <w:rFonts w:ascii="Garamond" w:hAnsi="Garamond" w:cs="Times New Roman"/>
          <w:color w:val="000000" w:themeColor="text1"/>
          <w:sz w:val="28"/>
          <w:szCs w:val="28"/>
        </w:rPr>
        <w:t>, contenuta nel R.D. n. 3244/1923 e nel successivo R.D. n. 2801/1927.</w:t>
      </w:r>
    </w:p>
    <w:p w14:paraId="4C9484C5" w14:textId="3D687CF6" w:rsidR="0043164D" w:rsidRDefault="007457D1" w:rsidP="0043164D">
      <w:pPr>
        <w:spacing w:after="0" w:line="240" w:lineRule="auto"/>
        <w:ind w:firstLine="709"/>
        <w:jc w:val="both"/>
        <w:rPr>
          <w:rFonts w:ascii="Garamond" w:hAnsi="Garamond" w:cs="Times New Roman"/>
          <w:color w:val="000000" w:themeColor="text1"/>
          <w:sz w:val="28"/>
          <w:szCs w:val="28"/>
        </w:rPr>
      </w:pPr>
      <w:r>
        <w:rPr>
          <w:rFonts w:ascii="Garamond" w:hAnsi="Garamond" w:cs="Times New Roman"/>
          <w:color w:val="000000" w:themeColor="text1"/>
          <w:sz w:val="28"/>
          <w:szCs w:val="28"/>
        </w:rPr>
        <w:t>All</w:t>
      </w:r>
      <w:r w:rsidR="00C432CB">
        <w:rPr>
          <w:rFonts w:ascii="Garamond" w:hAnsi="Garamond" w:cs="Times New Roman"/>
          <w:color w:val="000000" w:themeColor="text1"/>
          <w:sz w:val="28"/>
          <w:szCs w:val="28"/>
        </w:rPr>
        <w:t>'art. 1 del primo regio d</w:t>
      </w:r>
      <w:r w:rsidR="0043164D">
        <w:rPr>
          <w:rFonts w:ascii="Garamond" w:hAnsi="Garamond" w:cs="Times New Roman"/>
          <w:color w:val="000000" w:themeColor="text1"/>
          <w:sz w:val="28"/>
          <w:szCs w:val="28"/>
        </w:rPr>
        <w:t xml:space="preserve">ecreto </w:t>
      </w:r>
      <w:r w:rsidR="00C432CB">
        <w:rPr>
          <w:rFonts w:ascii="Garamond" w:hAnsi="Garamond" w:cs="Times New Roman"/>
          <w:color w:val="000000" w:themeColor="text1"/>
          <w:sz w:val="28"/>
          <w:szCs w:val="28"/>
        </w:rPr>
        <w:t xml:space="preserve">citato </w:t>
      </w:r>
      <w:r w:rsidR="0043164D">
        <w:rPr>
          <w:rFonts w:ascii="Garamond" w:hAnsi="Garamond" w:cs="Times New Roman"/>
          <w:color w:val="000000" w:themeColor="text1"/>
          <w:sz w:val="28"/>
          <w:szCs w:val="28"/>
        </w:rPr>
        <w:t>si è stabilito che "</w:t>
      </w:r>
      <w:r w:rsidR="00C432CB">
        <w:rPr>
          <w:rFonts w:ascii="Garamond" w:hAnsi="Garamond" w:cs="Times New Roman"/>
          <w:color w:val="000000" w:themeColor="text1"/>
          <w:sz w:val="28"/>
          <w:szCs w:val="28"/>
        </w:rPr>
        <w:t>i</w:t>
      </w:r>
      <w:r w:rsidR="00C432CB" w:rsidRPr="00C432CB">
        <w:rPr>
          <w:rFonts w:ascii="Garamond" w:hAnsi="Garamond" w:cs="Times New Roman"/>
          <w:i/>
          <w:color w:val="000000" w:themeColor="text1"/>
          <w:sz w:val="28"/>
          <w:szCs w:val="28"/>
        </w:rPr>
        <w:t xml:space="preserve"> tratturi di Puglia e le trazzere di Sicilia continuano ad essere di demanio pubblico dello Stato e passano dalla dipendenza diretta del Ministero delle finanze a quella del Ministero dell'economia nazionale</w:t>
      </w:r>
      <w:r w:rsidR="0043164D" w:rsidRPr="0043164D">
        <w:rPr>
          <w:rFonts w:ascii="Garamond" w:hAnsi="Garamond" w:cs="Times New Roman"/>
          <w:color w:val="000000" w:themeColor="text1"/>
          <w:sz w:val="28"/>
          <w:szCs w:val="28"/>
        </w:rPr>
        <w:t xml:space="preserve">", fermo restando che quelli, tra essi, non più utilizzati o non più utili </w:t>
      </w:r>
      <w:r w:rsidR="00C432CB">
        <w:rPr>
          <w:rFonts w:ascii="Garamond" w:hAnsi="Garamond" w:cs="Times New Roman"/>
          <w:color w:val="000000" w:themeColor="text1"/>
          <w:sz w:val="28"/>
          <w:szCs w:val="28"/>
        </w:rPr>
        <w:t>possono</w:t>
      </w:r>
      <w:r w:rsidR="0043164D" w:rsidRPr="0043164D">
        <w:rPr>
          <w:rFonts w:ascii="Garamond" w:hAnsi="Garamond" w:cs="Times New Roman"/>
          <w:color w:val="000000" w:themeColor="text1"/>
          <w:sz w:val="28"/>
          <w:szCs w:val="28"/>
        </w:rPr>
        <w:t xml:space="preserve"> essere oggetto di alienazione agli enti pubblici locali per la trasformazione in strade ordinarie o vicinali.</w:t>
      </w:r>
    </w:p>
    <w:p w14:paraId="1D454E14" w14:textId="77777777" w:rsidR="0043164D" w:rsidRDefault="0043164D" w:rsidP="0043164D">
      <w:pPr>
        <w:spacing w:after="0" w:line="240" w:lineRule="auto"/>
        <w:ind w:firstLine="709"/>
        <w:jc w:val="both"/>
        <w:rPr>
          <w:rFonts w:ascii="Garamond" w:hAnsi="Garamond" w:cs="Times New Roman"/>
          <w:color w:val="000000" w:themeColor="text1"/>
          <w:sz w:val="28"/>
          <w:szCs w:val="28"/>
        </w:rPr>
      </w:pPr>
    </w:p>
    <w:p w14:paraId="7C421167" w14:textId="3D6641BF" w:rsidR="00974AA5" w:rsidRDefault="0043164D" w:rsidP="0043164D">
      <w:pPr>
        <w:spacing w:after="0" w:line="240" w:lineRule="auto"/>
        <w:ind w:firstLine="709"/>
        <w:jc w:val="both"/>
        <w:rPr>
          <w:rFonts w:ascii="Garamond" w:hAnsi="Garamond" w:cs="Times New Roman"/>
          <w:color w:val="000000" w:themeColor="text1"/>
          <w:sz w:val="28"/>
          <w:szCs w:val="28"/>
        </w:rPr>
      </w:pPr>
      <w:r w:rsidRPr="0043164D">
        <w:rPr>
          <w:rFonts w:ascii="Garamond" w:hAnsi="Garamond" w:cs="Times New Roman"/>
          <w:color w:val="000000" w:themeColor="text1"/>
          <w:sz w:val="28"/>
          <w:szCs w:val="28"/>
        </w:rPr>
        <w:t xml:space="preserve">L’Associazione Turistica Balneare siciliana il </w:t>
      </w:r>
      <w:r w:rsidR="00C432CB">
        <w:rPr>
          <w:rFonts w:ascii="Garamond" w:hAnsi="Garamond" w:cs="Times New Roman"/>
          <w:color w:val="000000" w:themeColor="text1"/>
          <w:sz w:val="28"/>
          <w:szCs w:val="28"/>
        </w:rPr>
        <w:t>04/02/</w:t>
      </w:r>
      <w:r w:rsidRPr="0043164D">
        <w:rPr>
          <w:rFonts w:ascii="Garamond" w:hAnsi="Garamond" w:cs="Times New Roman"/>
          <w:color w:val="000000" w:themeColor="text1"/>
          <w:sz w:val="28"/>
          <w:szCs w:val="28"/>
        </w:rPr>
        <w:t>2025 ha inviato alla Regione</w:t>
      </w:r>
      <w:r w:rsidR="00974AA5">
        <w:rPr>
          <w:rFonts w:ascii="Garamond" w:hAnsi="Garamond" w:cs="Times New Roman"/>
          <w:color w:val="000000" w:themeColor="text1"/>
          <w:sz w:val="28"/>
          <w:szCs w:val="28"/>
        </w:rPr>
        <w:t xml:space="preserve"> una nota in cui si afferma che la direttiva Bolkestein si applica al demanio marittimo e, quindi, il demanio trazzerale è estraneo all’ambito di applicazione della medesima, quindi esentato dall’obbligo di gara.</w:t>
      </w:r>
    </w:p>
    <w:p w14:paraId="16AE2E2B" w14:textId="22A53CA5" w:rsidR="0043164D" w:rsidRPr="0043164D" w:rsidRDefault="00974AA5" w:rsidP="0043164D">
      <w:pPr>
        <w:spacing w:after="0" w:line="240" w:lineRule="auto"/>
        <w:ind w:firstLine="709"/>
        <w:jc w:val="both"/>
        <w:rPr>
          <w:rFonts w:ascii="Garamond" w:hAnsi="Garamond" w:cs="Times New Roman"/>
          <w:color w:val="000000" w:themeColor="text1"/>
          <w:sz w:val="28"/>
          <w:szCs w:val="28"/>
        </w:rPr>
      </w:pPr>
      <w:r>
        <w:rPr>
          <w:rFonts w:ascii="Garamond" w:hAnsi="Garamond" w:cs="Times New Roman"/>
          <w:color w:val="000000" w:themeColor="text1"/>
          <w:sz w:val="28"/>
          <w:szCs w:val="28"/>
        </w:rPr>
        <w:t>Inoltre, si è rilevato</w:t>
      </w:r>
      <w:r w:rsidR="0043164D" w:rsidRPr="0043164D">
        <w:rPr>
          <w:rFonts w:ascii="Garamond" w:hAnsi="Garamond" w:cs="Times New Roman"/>
          <w:color w:val="000000" w:themeColor="text1"/>
          <w:sz w:val="28"/>
          <w:szCs w:val="28"/>
        </w:rPr>
        <w:t xml:space="preserve"> che le concessioni balneari siciliane sovente insistono sul demanio trazzerale, che si sovrappone a quello mar</w:t>
      </w:r>
      <w:r>
        <w:rPr>
          <w:rFonts w:ascii="Garamond" w:hAnsi="Garamond" w:cs="Times New Roman"/>
          <w:color w:val="000000" w:themeColor="text1"/>
          <w:sz w:val="28"/>
          <w:szCs w:val="28"/>
        </w:rPr>
        <w:t>ittimo.</w:t>
      </w:r>
    </w:p>
    <w:p w14:paraId="03C7A267" w14:textId="1B40A64B" w:rsidR="0043164D" w:rsidRPr="0043164D" w:rsidRDefault="00974AA5" w:rsidP="009C3EB1">
      <w:pPr>
        <w:spacing w:after="0" w:line="240" w:lineRule="auto"/>
        <w:ind w:firstLine="709"/>
        <w:jc w:val="both"/>
        <w:rPr>
          <w:rFonts w:ascii="Garamond" w:hAnsi="Garamond" w:cs="Times New Roman"/>
          <w:color w:val="000000" w:themeColor="text1"/>
          <w:sz w:val="28"/>
          <w:szCs w:val="28"/>
        </w:rPr>
      </w:pPr>
      <w:r>
        <w:rPr>
          <w:rFonts w:ascii="Garamond" w:hAnsi="Garamond" w:cs="Times New Roman"/>
          <w:color w:val="000000" w:themeColor="text1"/>
          <w:sz w:val="28"/>
          <w:szCs w:val="28"/>
        </w:rPr>
        <w:t>C</w:t>
      </w:r>
      <w:r w:rsidR="00C432CB">
        <w:rPr>
          <w:rFonts w:ascii="Garamond" w:hAnsi="Garamond" w:cs="Times New Roman"/>
          <w:color w:val="000000" w:themeColor="text1"/>
          <w:sz w:val="28"/>
          <w:szCs w:val="28"/>
        </w:rPr>
        <w:t>onsiderato che l’art. 6, c.</w:t>
      </w:r>
      <w:r>
        <w:rPr>
          <w:rFonts w:ascii="Garamond" w:hAnsi="Garamond" w:cs="Times New Roman"/>
          <w:color w:val="000000" w:themeColor="text1"/>
          <w:sz w:val="28"/>
          <w:szCs w:val="28"/>
        </w:rPr>
        <w:t xml:space="preserve"> 29</w:t>
      </w:r>
      <w:r w:rsidR="00C432CB">
        <w:rPr>
          <w:rFonts w:ascii="Garamond" w:hAnsi="Garamond" w:cs="Times New Roman"/>
          <w:color w:val="000000" w:themeColor="text1"/>
          <w:sz w:val="28"/>
          <w:szCs w:val="28"/>
        </w:rPr>
        <w:t xml:space="preserve"> L. reg</w:t>
      </w:r>
      <w:r w:rsidR="0043164D" w:rsidRPr="0043164D">
        <w:rPr>
          <w:rFonts w:ascii="Garamond" w:hAnsi="Garamond" w:cs="Times New Roman"/>
          <w:color w:val="000000" w:themeColor="text1"/>
          <w:sz w:val="28"/>
          <w:szCs w:val="28"/>
        </w:rPr>
        <w:t xml:space="preserve">. n. 26/2012 (disposizioni programmatiche e correttive per l’anno 2012, </w:t>
      </w:r>
      <w:r w:rsidR="00C432CB">
        <w:rPr>
          <w:rFonts w:ascii="Garamond" w:hAnsi="Garamond" w:cs="Times New Roman"/>
          <w:color w:val="000000" w:themeColor="text1"/>
          <w:sz w:val="28"/>
          <w:szCs w:val="28"/>
        </w:rPr>
        <w:t>l</w:t>
      </w:r>
      <w:r w:rsidR="0043164D" w:rsidRPr="0043164D">
        <w:rPr>
          <w:rFonts w:ascii="Garamond" w:hAnsi="Garamond" w:cs="Times New Roman"/>
          <w:color w:val="000000" w:themeColor="text1"/>
          <w:sz w:val="28"/>
          <w:szCs w:val="28"/>
        </w:rPr>
        <w:t>egge di stabilità regionale) afferma che “</w:t>
      </w:r>
      <w:r w:rsidR="0043164D" w:rsidRPr="0043164D">
        <w:rPr>
          <w:rFonts w:ascii="Garamond" w:hAnsi="Garamond" w:cs="Times New Roman"/>
          <w:i/>
          <w:color w:val="000000" w:themeColor="text1"/>
          <w:sz w:val="28"/>
          <w:szCs w:val="28"/>
        </w:rPr>
        <w:t>quando i due demani si sovrappongono si applicano le norme del demanio marittimo</w:t>
      </w:r>
      <w:r w:rsidR="0043164D" w:rsidRPr="0043164D">
        <w:rPr>
          <w:rFonts w:ascii="Garamond" w:hAnsi="Garamond" w:cs="Times New Roman"/>
          <w:color w:val="000000" w:themeColor="text1"/>
          <w:sz w:val="28"/>
          <w:szCs w:val="28"/>
        </w:rPr>
        <w:t xml:space="preserve">”, l’Associazione </w:t>
      </w:r>
      <w:r>
        <w:rPr>
          <w:rFonts w:ascii="Garamond" w:hAnsi="Garamond" w:cs="Times New Roman"/>
          <w:color w:val="000000" w:themeColor="text1"/>
          <w:sz w:val="28"/>
          <w:szCs w:val="28"/>
        </w:rPr>
        <w:t xml:space="preserve">ha </w:t>
      </w:r>
      <w:r w:rsidR="0043164D" w:rsidRPr="0043164D">
        <w:rPr>
          <w:rFonts w:ascii="Garamond" w:hAnsi="Garamond" w:cs="Times New Roman"/>
          <w:color w:val="000000" w:themeColor="text1"/>
          <w:sz w:val="28"/>
          <w:szCs w:val="28"/>
        </w:rPr>
        <w:t>propo</w:t>
      </w:r>
      <w:r>
        <w:rPr>
          <w:rFonts w:ascii="Garamond" w:hAnsi="Garamond" w:cs="Times New Roman"/>
          <w:color w:val="000000" w:themeColor="text1"/>
          <w:sz w:val="28"/>
          <w:szCs w:val="28"/>
        </w:rPr>
        <w:t>sto</w:t>
      </w:r>
      <w:r w:rsidR="0043164D" w:rsidRPr="0043164D">
        <w:rPr>
          <w:rFonts w:ascii="Garamond" w:hAnsi="Garamond" w:cs="Times New Roman"/>
          <w:color w:val="000000" w:themeColor="text1"/>
          <w:sz w:val="28"/>
          <w:szCs w:val="28"/>
        </w:rPr>
        <w:t xml:space="preserve"> all’Amministrazione regionale di attivarsi per la modifica del citato comma 29, allo scopo di evitare il “</w:t>
      </w:r>
      <w:r w:rsidR="0043164D" w:rsidRPr="00974AA5">
        <w:rPr>
          <w:rFonts w:ascii="Garamond" w:hAnsi="Garamond" w:cs="Times New Roman"/>
          <w:i/>
          <w:color w:val="000000" w:themeColor="text1"/>
          <w:sz w:val="28"/>
          <w:szCs w:val="28"/>
        </w:rPr>
        <w:t>rischio bando</w:t>
      </w:r>
      <w:r w:rsidR="0043164D" w:rsidRPr="0043164D">
        <w:rPr>
          <w:rFonts w:ascii="Garamond" w:hAnsi="Garamond" w:cs="Times New Roman"/>
          <w:color w:val="000000" w:themeColor="text1"/>
          <w:sz w:val="28"/>
          <w:szCs w:val="28"/>
        </w:rPr>
        <w:t>” per tali aree</w:t>
      </w:r>
      <w:r w:rsidR="0043164D" w:rsidRPr="0043164D">
        <w:rPr>
          <w:rFonts w:ascii="Garamond" w:hAnsi="Garamond" w:cs="Times New Roman"/>
          <w:color w:val="000000" w:themeColor="text1"/>
          <w:sz w:val="28"/>
          <w:szCs w:val="28"/>
          <w:vertAlign w:val="superscript"/>
        </w:rPr>
        <w:footnoteReference w:id="39"/>
      </w:r>
      <w:r w:rsidR="009C3EB1">
        <w:rPr>
          <w:rFonts w:ascii="Garamond" w:hAnsi="Garamond" w:cs="Times New Roman"/>
          <w:color w:val="000000" w:themeColor="text1"/>
          <w:sz w:val="28"/>
          <w:szCs w:val="28"/>
        </w:rPr>
        <w:t>.</w:t>
      </w:r>
    </w:p>
    <w:p w14:paraId="1CADEDB0" w14:textId="77777777" w:rsidR="0043164D" w:rsidRPr="0043164D" w:rsidRDefault="0043164D" w:rsidP="0043164D">
      <w:pPr>
        <w:spacing w:after="0" w:line="240" w:lineRule="auto"/>
        <w:ind w:firstLine="709"/>
        <w:jc w:val="both"/>
        <w:rPr>
          <w:rFonts w:ascii="Garamond" w:hAnsi="Garamond" w:cs="Times New Roman"/>
          <w:color w:val="000000" w:themeColor="text1"/>
          <w:sz w:val="28"/>
          <w:szCs w:val="28"/>
        </w:rPr>
      </w:pPr>
      <w:r w:rsidRPr="0043164D">
        <w:rPr>
          <w:rFonts w:ascii="Garamond" w:hAnsi="Garamond" w:cs="Times New Roman"/>
          <w:color w:val="000000" w:themeColor="text1"/>
          <w:sz w:val="28"/>
          <w:szCs w:val="28"/>
        </w:rPr>
        <w:t xml:space="preserve">Allo stato attuale </w:t>
      </w:r>
      <w:r w:rsidRPr="0043164D">
        <w:rPr>
          <w:rFonts w:ascii="Garamond" w:hAnsi="Garamond" w:cs="Times New Roman"/>
          <w:b/>
          <w:color w:val="000000" w:themeColor="text1"/>
          <w:sz w:val="28"/>
          <w:szCs w:val="28"/>
        </w:rPr>
        <w:t>non vi è ancora giurisprudenza</w:t>
      </w:r>
      <w:r w:rsidRPr="0043164D">
        <w:rPr>
          <w:rFonts w:ascii="Garamond" w:hAnsi="Garamond" w:cs="Times New Roman"/>
          <w:color w:val="000000" w:themeColor="text1"/>
          <w:sz w:val="28"/>
          <w:szCs w:val="28"/>
        </w:rPr>
        <w:t xml:space="preserve"> che si sia occupata della questione.</w:t>
      </w:r>
    </w:p>
    <w:p w14:paraId="756EA344" w14:textId="57363C2B" w:rsidR="0043164D" w:rsidRDefault="0043164D" w:rsidP="0043164D">
      <w:pPr>
        <w:spacing w:after="0" w:line="240" w:lineRule="auto"/>
        <w:jc w:val="both"/>
        <w:rPr>
          <w:rFonts w:ascii="Garamond" w:hAnsi="Garamond" w:cs="Times New Roman"/>
          <w:color w:val="000000" w:themeColor="text1"/>
          <w:sz w:val="28"/>
          <w:szCs w:val="28"/>
        </w:rPr>
      </w:pPr>
    </w:p>
    <w:p w14:paraId="56AF350E" w14:textId="75A83166" w:rsidR="00D60D68" w:rsidRPr="00D60D68" w:rsidRDefault="00D60D68" w:rsidP="0043164D">
      <w:pPr>
        <w:spacing w:after="0" w:line="240" w:lineRule="auto"/>
        <w:jc w:val="both"/>
        <w:rPr>
          <w:rFonts w:ascii="Garamond" w:hAnsi="Garamond" w:cs="Times New Roman"/>
          <w:b/>
          <w:color w:val="000000" w:themeColor="text1"/>
          <w:sz w:val="28"/>
          <w:szCs w:val="28"/>
        </w:rPr>
      </w:pPr>
      <w:r w:rsidRPr="00D60D68">
        <w:rPr>
          <w:rFonts w:ascii="Garamond" w:hAnsi="Garamond" w:cs="Times New Roman"/>
          <w:b/>
          <w:color w:val="000000" w:themeColor="text1"/>
          <w:sz w:val="28"/>
          <w:szCs w:val="28"/>
        </w:rPr>
        <w:t>3.3 Le iniziative dei Comuni</w:t>
      </w:r>
    </w:p>
    <w:p w14:paraId="507C0F37" w14:textId="77777777" w:rsidR="00D60D68" w:rsidRDefault="00D60D68" w:rsidP="0043164D">
      <w:pPr>
        <w:spacing w:after="0" w:line="240" w:lineRule="auto"/>
        <w:jc w:val="both"/>
        <w:rPr>
          <w:rFonts w:ascii="Garamond" w:hAnsi="Garamond" w:cs="Times New Roman"/>
          <w:color w:val="000000" w:themeColor="text1"/>
          <w:sz w:val="28"/>
          <w:szCs w:val="28"/>
        </w:rPr>
      </w:pPr>
    </w:p>
    <w:p w14:paraId="36216EFD" w14:textId="77777777" w:rsidR="00D60D68" w:rsidRPr="00D60D68" w:rsidRDefault="00D60D68" w:rsidP="00D60D68">
      <w:pPr>
        <w:spacing w:after="0" w:line="240" w:lineRule="auto"/>
        <w:jc w:val="both"/>
        <w:rPr>
          <w:rFonts w:ascii="Garamond" w:hAnsi="Garamond" w:cs="Times New Roman"/>
          <w:sz w:val="28"/>
          <w:szCs w:val="28"/>
        </w:rPr>
      </w:pPr>
      <w:r w:rsidRPr="00D60D68">
        <w:rPr>
          <w:rFonts w:ascii="Garamond" w:hAnsi="Garamond" w:cs="Times New Roman"/>
          <w:sz w:val="28"/>
          <w:szCs w:val="28"/>
        </w:rPr>
        <w:t xml:space="preserve">I Comuni stanno lentamente adattandosi alla nuova disciplina. </w:t>
      </w:r>
    </w:p>
    <w:p w14:paraId="3BABA8AB" w14:textId="77777777" w:rsidR="00D60D68" w:rsidRPr="00D60D68" w:rsidRDefault="00D60D68" w:rsidP="00D60D68">
      <w:pPr>
        <w:spacing w:after="0" w:line="240" w:lineRule="auto"/>
        <w:jc w:val="both"/>
        <w:rPr>
          <w:rFonts w:ascii="Garamond" w:hAnsi="Garamond" w:cs="Times New Roman"/>
          <w:sz w:val="28"/>
          <w:szCs w:val="28"/>
        </w:rPr>
      </w:pPr>
      <w:r w:rsidRPr="00D60D68">
        <w:rPr>
          <w:rFonts w:ascii="Garamond" w:hAnsi="Garamond" w:cs="Times New Roman"/>
          <w:sz w:val="28"/>
          <w:szCs w:val="28"/>
        </w:rPr>
        <w:t>Di seguito alcuni esempi.</w:t>
      </w:r>
    </w:p>
    <w:p w14:paraId="437269E9" w14:textId="77777777" w:rsidR="00D60D68" w:rsidRPr="00D60D68" w:rsidRDefault="00D60D68" w:rsidP="00D60D68">
      <w:pPr>
        <w:spacing w:after="0" w:line="240" w:lineRule="auto"/>
        <w:jc w:val="both"/>
        <w:rPr>
          <w:rFonts w:ascii="Garamond" w:hAnsi="Garamond" w:cs="Times New Roman"/>
          <w:sz w:val="28"/>
          <w:szCs w:val="28"/>
        </w:rPr>
      </w:pPr>
      <w:r w:rsidRPr="00D60D68">
        <w:rPr>
          <w:rFonts w:ascii="Garamond" w:hAnsi="Garamond" w:cs="Times New Roman"/>
          <w:sz w:val="28"/>
          <w:szCs w:val="28"/>
        </w:rPr>
        <w:t xml:space="preserve">Il </w:t>
      </w:r>
      <w:r w:rsidRPr="00D60D68">
        <w:rPr>
          <w:rFonts w:ascii="Garamond" w:hAnsi="Garamond" w:cs="Times New Roman"/>
          <w:b/>
          <w:sz w:val="28"/>
          <w:szCs w:val="28"/>
        </w:rPr>
        <w:t>Comune di Genova</w:t>
      </w:r>
      <w:r w:rsidRPr="00D60D68">
        <w:rPr>
          <w:rFonts w:ascii="Garamond" w:hAnsi="Garamond" w:cs="Times New Roman"/>
          <w:sz w:val="28"/>
          <w:szCs w:val="28"/>
        </w:rPr>
        <w:t xml:space="preserve"> ha già aggiudicato le prime quattordici concessioni demaniali marittime per le quali non erano intervenute istanze concorrenti. Per altri otto stabilimenti con istanze concorrenti le valutazioni comparative sono in corso</w:t>
      </w:r>
      <w:r w:rsidRPr="00D60D68">
        <w:rPr>
          <w:rStyle w:val="Rimandonotaapidipagina"/>
          <w:rFonts w:ascii="Garamond" w:hAnsi="Garamond" w:cs="Times New Roman"/>
          <w:sz w:val="28"/>
          <w:szCs w:val="28"/>
        </w:rPr>
        <w:footnoteReference w:id="40"/>
      </w:r>
      <w:r w:rsidRPr="00D60D68">
        <w:rPr>
          <w:rFonts w:ascii="Garamond" w:hAnsi="Garamond" w:cs="Times New Roman"/>
          <w:sz w:val="28"/>
          <w:szCs w:val="28"/>
        </w:rPr>
        <w:t>.</w:t>
      </w:r>
    </w:p>
    <w:p w14:paraId="1755D58E" w14:textId="77777777" w:rsidR="00D60D68" w:rsidRPr="00D60D68" w:rsidRDefault="00D60D68" w:rsidP="00D60D68">
      <w:pPr>
        <w:spacing w:after="0" w:line="240" w:lineRule="auto"/>
        <w:jc w:val="both"/>
        <w:rPr>
          <w:rFonts w:ascii="Garamond" w:hAnsi="Garamond" w:cs="Times New Roman"/>
          <w:sz w:val="28"/>
          <w:szCs w:val="28"/>
        </w:rPr>
      </w:pPr>
      <w:r w:rsidRPr="00D60D68">
        <w:rPr>
          <w:rFonts w:ascii="Garamond" w:hAnsi="Garamond" w:cs="Times New Roman"/>
          <w:b/>
          <w:sz w:val="28"/>
          <w:szCs w:val="28"/>
        </w:rPr>
        <w:t>Roma Capitale</w:t>
      </w:r>
      <w:r w:rsidRPr="00D60D68">
        <w:rPr>
          <w:rFonts w:ascii="Garamond" w:hAnsi="Garamond" w:cs="Times New Roman"/>
          <w:sz w:val="28"/>
          <w:szCs w:val="28"/>
        </w:rPr>
        <w:t xml:space="preserve"> ha comunicato di essere in procinto di pubblicare due avvisi pubblici per le concessioni balneari che riguarderanno la gestione di venticinque stabilimenti.</w:t>
      </w:r>
    </w:p>
    <w:p w14:paraId="52EE6E1E" w14:textId="77777777" w:rsidR="00D60D68" w:rsidRPr="00D60D68" w:rsidRDefault="00D60D68" w:rsidP="00D60D68">
      <w:pPr>
        <w:spacing w:after="0" w:line="240" w:lineRule="auto"/>
        <w:jc w:val="both"/>
        <w:rPr>
          <w:rFonts w:ascii="Garamond" w:hAnsi="Garamond" w:cs="Times New Roman"/>
          <w:sz w:val="28"/>
          <w:szCs w:val="28"/>
        </w:rPr>
      </w:pPr>
      <w:r w:rsidRPr="00D60D68">
        <w:rPr>
          <w:rFonts w:ascii="Garamond" w:hAnsi="Garamond" w:cs="Times New Roman"/>
          <w:sz w:val="28"/>
          <w:szCs w:val="28"/>
        </w:rPr>
        <w:t xml:space="preserve">L’Ente locale aveva già stabilito i principali criteri dei futuri bandi per l’individuazione dell’aggiudicatario: professionalità, esperienza e adeguatezza dell’operatore, senza precludere l'accesso di nuovi operatori; tutela dei diritti dei lavoratori; progettazione ambientale sostenibile mediante l’utilizzo di materiali ecosostenibili per la realizzazione delle strutture; maggiore visibilità del mare, anche mediante accorpamento/affiancamento di volumi, impedendo il confinamento delle aree in concessione con elementi in muratura </w:t>
      </w:r>
      <w:r w:rsidRPr="00D60D68">
        <w:rPr>
          <w:rFonts w:ascii="Garamond" w:hAnsi="Garamond" w:cs="Times New Roman"/>
          <w:sz w:val="28"/>
          <w:szCs w:val="28"/>
        </w:rPr>
        <w:lastRenderedPageBreak/>
        <w:t>e/o altri elementi che possano costituire una continuativa barriera visiva e che inibiscano il libero accesso alla battigia, al fine di eliminare l’attuale effetto prodotto dal cd. “</w:t>
      </w:r>
      <w:proofErr w:type="spellStart"/>
      <w:r w:rsidRPr="00D60D68">
        <w:rPr>
          <w:rFonts w:ascii="Garamond" w:hAnsi="Garamond" w:cs="Times New Roman"/>
          <w:sz w:val="28"/>
          <w:szCs w:val="28"/>
        </w:rPr>
        <w:t>Lungomuro</w:t>
      </w:r>
      <w:proofErr w:type="spellEnd"/>
      <w:r w:rsidRPr="00D60D68">
        <w:rPr>
          <w:rFonts w:ascii="Garamond" w:hAnsi="Garamond" w:cs="Times New Roman"/>
          <w:sz w:val="28"/>
          <w:szCs w:val="28"/>
        </w:rPr>
        <w:t>”; minore impatto ambientale e consumo di risorse; qualità dell’offerta dei servizi anche per migliorare l’accessibilità e la fruibilità da parte dei soggetti con disabilità;</w:t>
      </w:r>
    </w:p>
    <w:p w14:paraId="20036452" w14:textId="77777777" w:rsidR="00D60D68" w:rsidRPr="00D60D68" w:rsidRDefault="00D60D68" w:rsidP="00D60D68">
      <w:pPr>
        <w:spacing w:after="0" w:line="240" w:lineRule="auto"/>
        <w:jc w:val="both"/>
        <w:rPr>
          <w:rFonts w:ascii="Garamond" w:hAnsi="Garamond" w:cs="Times New Roman"/>
          <w:sz w:val="28"/>
          <w:szCs w:val="28"/>
        </w:rPr>
      </w:pPr>
      <w:r w:rsidRPr="00D60D68">
        <w:rPr>
          <w:rFonts w:ascii="Garamond" w:hAnsi="Garamond" w:cs="Times New Roman"/>
          <w:sz w:val="28"/>
          <w:szCs w:val="28"/>
        </w:rPr>
        <w:t>valutazione degli investimenti finalizzati alla migliore qualità dei servizi di interesse pubblico</w:t>
      </w:r>
      <w:r w:rsidRPr="00D60D68">
        <w:rPr>
          <w:rStyle w:val="Rimandonotaapidipagina"/>
          <w:rFonts w:ascii="Garamond" w:hAnsi="Garamond" w:cs="Times New Roman"/>
          <w:sz w:val="28"/>
          <w:szCs w:val="28"/>
        </w:rPr>
        <w:footnoteReference w:id="41"/>
      </w:r>
      <w:r w:rsidRPr="00D60D68">
        <w:rPr>
          <w:rFonts w:ascii="Garamond" w:hAnsi="Garamond" w:cs="Times New Roman"/>
          <w:sz w:val="28"/>
          <w:szCs w:val="28"/>
        </w:rPr>
        <w:t>.</w:t>
      </w:r>
    </w:p>
    <w:p w14:paraId="593C170C" w14:textId="298E1069" w:rsidR="00D60D68" w:rsidRPr="00D60D68" w:rsidRDefault="00D60D68" w:rsidP="0043164D">
      <w:pPr>
        <w:spacing w:after="0" w:line="240" w:lineRule="auto"/>
        <w:jc w:val="both"/>
        <w:rPr>
          <w:rFonts w:ascii="Garamond" w:hAnsi="Garamond" w:cs="Times New Roman"/>
          <w:sz w:val="28"/>
          <w:szCs w:val="28"/>
        </w:rPr>
      </w:pPr>
      <w:r w:rsidRPr="00D60D68">
        <w:rPr>
          <w:rFonts w:ascii="Garamond" w:hAnsi="Garamond" w:cs="Times New Roman"/>
          <w:sz w:val="28"/>
          <w:szCs w:val="28"/>
        </w:rPr>
        <w:t xml:space="preserve">Il </w:t>
      </w:r>
      <w:r w:rsidRPr="00D60D68">
        <w:rPr>
          <w:rFonts w:ascii="Garamond" w:hAnsi="Garamond" w:cs="Times New Roman"/>
          <w:b/>
          <w:sz w:val="28"/>
          <w:szCs w:val="28"/>
        </w:rPr>
        <w:t>Comune di Rimini</w:t>
      </w:r>
      <w:r w:rsidRPr="00D60D68">
        <w:rPr>
          <w:rFonts w:ascii="Garamond" w:hAnsi="Garamond" w:cs="Times New Roman"/>
          <w:sz w:val="28"/>
          <w:szCs w:val="28"/>
        </w:rPr>
        <w:t xml:space="preserve"> ed il </w:t>
      </w:r>
      <w:r w:rsidRPr="00D60D68">
        <w:rPr>
          <w:rFonts w:ascii="Garamond" w:hAnsi="Garamond" w:cs="Times New Roman"/>
          <w:b/>
          <w:sz w:val="28"/>
          <w:szCs w:val="28"/>
        </w:rPr>
        <w:t>Comune di Bari</w:t>
      </w:r>
      <w:r w:rsidRPr="00D60D68">
        <w:rPr>
          <w:rFonts w:ascii="Garamond" w:hAnsi="Garamond" w:cs="Times New Roman"/>
          <w:sz w:val="28"/>
          <w:szCs w:val="28"/>
        </w:rPr>
        <w:t xml:space="preserve"> hanno approvato atti di indirizzo per l’adeguamento delle concessioni demaniali marittime alla nuova normativa. Hanno dato, quindi, mandato ai rispettivi uffici comunali di predisporre le procedure di evidenza pubblica per l’assegnazione delle concessioni e, contestualmente, differito la data di scadenza delle concessioni attualmente in essere al 30/09/2027</w:t>
      </w:r>
      <w:r w:rsidRPr="00D60D68">
        <w:rPr>
          <w:rStyle w:val="Rimandonotaapidipagina"/>
          <w:rFonts w:ascii="Garamond" w:hAnsi="Garamond" w:cs="Times New Roman"/>
          <w:sz w:val="28"/>
          <w:szCs w:val="28"/>
        </w:rPr>
        <w:footnoteReference w:id="42"/>
      </w:r>
      <w:r>
        <w:rPr>
          <w:rFonts w:ascii="Garamond" w:hAnsi="Garamond" w:cs="Times New Roman"/>
          <w:sz w:val="28"/>
          <w:szCs w:val="28"/>
        </w:rPr>
        <w:t>.</w:t>
      </w:r>
    </w:p>
    <w:p w14:paraId="1CA2EC2A" w14:textId="77777777" w:rsidR="00D60D68" w:rsidRPr="003C2366" w:rsidRDefault="00D60D68" w:rsidP="0043164D">
      <w:pPr>
        <w:spacing w:after="0" w:line="240" w:lineRule="auto"/>
        <w:jc w:val="both"/>
        <w:rPr>
          <w:rFonts w:ascii="Garamond" w:hAnsi="Garamond" w:cs="Times New Roman"/>
          <w:color w:val="000000" w:themeColor="text1"/>
          <w:sz w:val="28"/>
          <w:szCs w:val="28"/>
        </w:rPr>
      </w:pPr>
    </w:p>
    <w:p w14:paraId="55A86F24" w14:textId="083139CD" w:rsidR="00F749C8" w:rsidRDefault="00F749C8" w:rsidP="003C2366">
      <w:pPr>
        <w:spacing w:after="0" w:line="240" w:lineRule="auto"/>
        <w:ind w:firstLine="709"/>
        <w:jc w:val="both"/>
        <w:rPr>
          <w:rFonts w:ascii="Garamond" w:hAnsi="Garamond" w:cs="Times New Roman"/>
          <w:sz w:val="28"/>
          <w:szCs w:val="28"/>
        </w:rPr>
      </w:pPr>
    </w:p>
    <w:p w14:paraId="63831C4D" w14:textId="010B9D5F" w:rsidR="008A5716" w:rsidRPr="008A5716" w:rsidRDefault="008A5716" w:rsidP="008A5716">
      <w:pPr>
        <w:spacing w:after="0" w:line="240" w:lineRule="auto"/>
        <w:ind w:firstLine="709"/>
        <w:jc w:val="center"/>
        <w:rPr>
          <w:rFonts w:ascii="Garamond" w:hAnsi="Garamond" w:cs="Times New Roman"/>
          <w:b/>
          <w:sz w:val="28"/>
          <w:szCs w:val="28"/>
        </w:rPr>
      </w:pPr>
      <w:r w:rsidRPr="008A5716">
        <w:rPr>
          <w:rFonts w:ascii="Garamond" w:hAnsi="Garamond" w:cs="Times New Roman"/>
          <w:b/>
          <w:sz w:val="28"/>
          <w:szCs w:val="28"/>
        </w:rPr>
        <w:t>PARTE II</w:t>
      </w:r>
    </w:p>
    <w:p w14:paraId="632E6EB8" w14:textId="77777777" w:rsidR="008A5716" w:rsidRPr="003C2366" w:rsidRDefault="008A5716" w:rsidP="003C2366">
      <w:pPr>
        <w:spacing w:after="0" w:line="240" w:lineRule="auto"/>
        <w:ind w:firstLine="709"/>
        <w:jc w:val="both"/>
        <w:rPr>
          <w:rFonts w:ascii="Garamond" w:hAnsi="Garamond" w:cs="Times New Roman"/>
          <w:sz w:val="28"/>
          <w:szCs w:val="28"/>
        </w:rPr>
      </w:pPr>
    </w:p>
    <w:p w14:paraId="39BC9058" w14:textId="77777777" w:rsidR="00140EF7" w:rsidRPr="003C2366" w:rsidRDefault="00F00A12" w:rsidP="003C2366">
      <w:pPr>
        <w:spacing w:after="0" w:line="240" w:lineRule="auto"/>
        <w:ind w:firstLine="709"/>
        <w:jc w:val="both"/>
        <w:rPr>
          <w:rFonts w:ascii="Garamond" w:hAnsi="Garamond" w:cs="Times New Roman"/>
          <w:b/>
          <w:i/>
          <w:sz w:val="28"/>
          <w:szCs w:val="28"/>
          <w:u w:val="single"/>
        </w:rPr>
      </w:pPr>
      <w:r w:rsidRPr="003C2366">
        <w:rPr>
          <w:rFonts w:ascii="Garamond" w:hAnsi="Garamond" w:cs="Times New Roman"/>
          <w:b/>
          <w:sz w:val="28"/>
          <w:szCs w:val="28"/>
        </w:rPr>
        <w:t>§ 4</w:t>
      </w:r>
      <w:r w:rsidRPr="003C2366">
        <w:rPr>
          <w:rFonts w:ascii="Garamond" w:hAnsi="Garamond" w:cs="Times New Roman"/>
          <w:b/>
          <w:i/>
          <w:sz w:val="28"/>
          <w:szCs w:val="28"/>
        </w:rPr>
        <w:t xml:space="preserve"> </w:t>
      </w:r>
      <w:r w:rsidRPr="003C2366">
        <w:rPr>
          <w:rFonts w:ascii="Garamond" w:hAnsi="Garamond" w:cs="Times New Roman"/>
          <w:b/>
          <w:sz w:val="28"/>
          <w:szCs w:val="28"/>
        </w:rPr>
        <w:t>–</w:t>
      </w:r>
      <w:r w:rsidRPr="003C2366">
        <w:rPr>
          <w:rFonts w:ascii="Garamond" w:hAnsi="Garamond" w:cs="Times New Roman"/>
          <w:b/>
          <w:sz w:val="28"/>
          <w:szCs w:val="28"/>
          <w:u w:val="single"/>
        </w:rPr>
        <w:t xml:space="preserve"> </w:t>
      </w:r>
      <w:r w:rsidR="00140EF7" w:rsidRPr="00EC75ED">
        <w:rPr>
          <w:rFonts w:ascii="Garamond" w:hAnsi="Garamond" w:cs="Times New Roman"/>
          <w:b/>
          <w:sz w:val="28"/>
          <w:szCs w:val="28"/>
          <w:u w:val="single"/>
        </w:rPr>
        <w:t>Le prime applicazioni nella giurisprudenza amministrativa</w:t>
      </w:r>
      <w:r w:rsidRPr="00EC75ED">
        <w:rPr>
          <w:rFonts w:ascii="Garamond" w:hAnsi="Garamond" w:cs="Times New Roman"/>
          <w:b/>
          <w:sz w:val="28"/>
          <w:szCs w:val="28"/>
          <w:u w:val="single"/>
        </w:rPr>
        <w:t>.</w:t>
      </w:r>
    </w:p>
    <w:p w14:paraId="11FA58C3" w14:textId="77777777" w:rsidR="00140EF7" w:rsidRPr="003C2366" w:rsidRDefault="00140EF7" w:rsidP="003C2366">
      <w:pPr>
        <w:spacing w:after="0" w:line="240" w:lineRule="auto"/>
        <w:jc w:val="both"/>
        <w:rPr>
          <w:rFonts w:ascii="Garamond" w:hAnsi="Garamond" w:cs="Times New Roman"/>
          <w:sz w:val="28"/>
          <w:szCs w:val="28"/>
        </w:rPr>
      </w:pPr>
    </w:p>
    <w:p w14:paraId="4C2BEDAE" w14:textId="77777777" w:rsidR="00B4019C" w:rsidRPr="003C2366" w:rsidRDefault="00B4019C" w:rsidP="003C2366">
      <w:pPr>
        <w:spacing w:after="0" w:line="240" w:lineRule="auto"/>
        <w:ind w:firstLine="709"/>
        <w:jc w:val="both"/>
        <w:rPr>
          <w:rFonts w:ascii="Garamond" w:hAnsi="Garamond"/>
          <w:sz w:val="28"/>
          <w:szCs w:val="28"/>
        </w:rPr>
      </w:pPr>
      <w:r w:rsidRPr="003C2366">
        <w:rPr>
          <w:rFonts w:ascii="Garamond" w:hAnsi="Garamond"/>
          <w:sz w:val="28"/>
          <w:szCs w:val="28"/>
        </w:rPr>
        <w:t>La nuova cornice normativa è stata i</w:t>
      </w:r>
      <w:r w:rsidR="00622804" w:rsidRPr="003C2366">
        <w:rPr>
          <w:rFonts w:ascii="Garamond" w:hAnsi="Garamond"/>
          <w:sz w:val="28"/>
          <w:szCs w:val="28"/>
        </w:rPr>
        <w:t>nterpretata</w:t>
      </w:r>
      <w:r w:rsidRPr="003C2366">
        <w:rPr>
          <w:rFonts w:ascii="Garamond" w:hAnsi="Garamond"/>
          <w:sz w:val="28"/>
          <w:szCs w:val="28"/>
        </w:rPr>
        <w:t xml:space="preserve"> in termini non del tutto omogenei da</w:t>
      </w:r>
      <w:r w:rsidR="00622804" w:rsidRPr="003C2366">
        <w:rPr>
          <w:rFonts w:ascii="Garamond" w:hAnsi="Garamond"/>
          <w:sz w:val="28"/>
          <w:szCs w:val="28"/>
        </w:rPr>
        <w:t>lla più recente giurisprudenza amministrativa.</w:t>
      </w:r>
    </w:p>
    <w:p w14:paraId="4C4A18EE" w14:textId="3D192F0B" w:rsidR="00B4019C" w:rsidRPr="003C2366" w:rsidRDefault="00B4019C" w:rsidP="003C2366">
      <w:pPr>
        <w:spacing w:after="0" w:line="240" w:lineRule="auto"/>
        <w:ind w:firstLine="709"/>
        <w:jc w:val="both"/>
        <w:rPr>
          <w:rFonts w:ascii="Garamond" w:hAnsi="Garamond"/>
          <w:sz w:val="28"/>
          <w:szCs w:val="28"/>
        </w:rPr>
      </w:pPr>
      <w:r w:rsidRPr="003C2366">
        <w:rPr>
          <w:rFonts w:ascii="Garamond" w:hAnsi="Garamond"/>
          <w:sz w:val="28"/>
          <w:szCs w:val="28"/>
        </w:rPr>
        <w:t>Le questioni controverse affr</w:t>
      </w:r>
      <w:r w:rsidR="00140EF7" w:rsidRPr="003C2366">
        <w:rPr>
          <w:rFonts w:ascii="Garamond" w:hAnsi="Garamond"/>
          <w:sz w:val="28"/>
          <w:szCs w:val="28"/>
        </w:rPr>
        <w:t xml:space="preserve">ontate dalle pronunce dei </w:t>
      </w:r>
      <w:r w:rsidR="00F910B6" w:rsidRPr="003C2366">
        <w:rPr>
          <w:rFonts w:ascii="Garamond" w:hAnsi="Garamond"/>
          <w:sz w:val="28"/>
          <w:szCs w:val="28"/>
        </w:rPr>
        <w:t>T.A.R.</w:t>
      </w:r>
      <w:r w:rsidRPr="003C2366">
        <w:rPr>
          <w:rFonts w:ascii="Garamond" w:hAnsi="Garamond"/>
          <w:sz w:val="28"/>
          <w:szCs w:val="28"/>
        </w:rPr>
        <w:t xml:space="preserve"> sono essenzialmente due:</w:t>
      </w:r>
    </w:p>
    <w:p w14:paraId="51AB51CE" w14:textId="54CFD14C" w:rsidR="00B4019C" w:rsidRPr="003C2366" w:rsidRDefault="00140EF7" w:rsidP="003C2366">
      <w:pPr>
        <w:numPr>
          <w:ilvl w:val="0"/>
          <w:numId w:val="5"/>
        </w:numPr>
        <w:spacing w:after="0" w:line="240" w:lineRule="auto"/>
        <w:ind w:firstLine="709"/>
        <w:jc w:val="both"/>
        <w:rPr>
          <w:rFonts w:ascii="Garamond" w:hAnsi="Garamond"/>
          <w:sz w:val="28"/>
          <w:szCs w:val="28"/>
        </w:rPr>
      </w:pPr>
      <w:r w:rsidRPr="003C2366">
        <w:rPr>
          <w:rFonts w:ascii="Garamond" w:hAnsi="Garamond"/>
          <w:sz w:val="28"/>
          <w:szCs w:val="28"/>
        </w:rPr>
        <w:t xml:space="preserve">la natura della </w:t>
      </w:r>
      <w:r w:rsidR="008E07C6" w:rsidRPr="003C2366">
        <w:rPr>
          <w:rFonts w:ascii="Garamond" w:hAnsi="Garamond"/>
          <w:sz w:val="28"/>
          <w:szCs w:val="28"/>
        </w:rPr>
        <w:t>L.</w:t>
      </w:r>
      <w:r w:rsidR="00F910B6" w:rsidRPr="003C2366">
        <w:rPr>
          <w:rFonts w:ascii="Garamond" w:hAnsi="Garamond"/>
          <w:sz w:val="28"/>
          <w:szCs w:val="28"/>
        </w:rPr>
        <w:t xml:space="preserve"> n. 118/</w:t>
      </w:r>
      <w:r w:rsidR="00B4019C" w:rsidRPr="003C2366">
        <w:rPr>
          <w:rFonts w:ascii="Garamond" w:hAnsi="Garamond"/>
          <w:sz w:val="28"/>
          <w:szCs w:val="28"/>
        </w:rPr>
        <w:t xml:space="preserve">2022, sia nella sua versione originale che in quella modificata </w:t>
      </w:r>
      <w:r w:rsidRPr="003C2366">
        <w:rPr>
          <w:rFonts w:ascii="Garamond" w:hAnsi="Garamond"/>
          <w:sz w:val="28"/>
          <w:szCs w:val="28"/>
        </w:rPr>
        <w:t xml:space="preserve">dal </w:t>
      </w:r>
      <w:r w:rsidR="008E07C6" w:rsidRPr="003C2366">
        <w:rPr>
          <w:rFonts w:ascii="Garamond" w:hAnsi="Garamond"/>
          <w:sz w:val="28"/>
          <w:szCs w:val="28"/>
        </w:rPr>
        <w:t>d.l.</w:t>
      </w:r>
      <w:r w:rsidR="00F910B6" w:rsidRPr="003C2366">
        <w:rPr>
          <w:rFonts w:ascii="Garamond" w:hAnsi="Garamond"/>
          <w:sz w:val="28"/>
          <w:szCs w:val="28"/>
        </w:rPr>
        <w:t xml:space="preserve"> n. 131/</w:t>
      </w:r>
      <w:r w:rsidR="00B4019C" w:rsidRPr="003C2366">
        <w:rPr>
          <w:rFonts w:ascii="Garamond" w:hAnsi="Garamond"/>
          <w:sz w:val="28"/>
          <w:szCs w:val="28"/>
        </w:rPr>
        <w:t>2024</w:t>
      </w:r>
      <w:r w:rsidR="00F910B6" w:rsidRPr="003C2366">
        <w:rPr>
          <w:rFonts w:ascii="Garamond" w:hAnsi="Garamond"/>
          <w:sz w:val="28"/>
          <w:szCs w:val="28"/>
        </w:rPr>
        <w:t xml:space="preserve"> e dalla legge di conversione</w:t>
      </w:r>
      <w:r w:rsidR="00B4019C" w:rsidRPr="003C2366">
        <w:rPr>
          <w:rFonts w:ascii="Garamond" w:hAnsi="Garamond"/>
          <w:sz w:val="28"/>
          <w:szCs w:val="28"/>
        </w:rPr>
        <w:t>;</w:t>
      </w:r>
    </w:p>
    <w:p w14:paraId="346E2287" w14:textId="1449CD2A" w:rsidR="00B4019C" w:rsidRDefault="00B4019C" w:rsidP="003C2366">
      <w:pPr>
        <w:numPr>
          <w:ilvl w:val="0"/>
          <w:numId w:val="5"/>
        </w:numPr>
        <w:spacing w:after="0" w:line="240" w:lineRule="auto"/>
        <w:ind w:firstLine="709"/>
        <w:jc w:val="both"/>
        <w:rPr>
          <w:rFonts w:ascii="Garamond" w:hAnsi="Garamond"/>
          <w:sz w:val="28"/>
          <w:szCs w:val="28"/>
        </w:rPr>
      </w:pPr>
      <w:r w:rsidRPr="003C2366">
        <w:rPr>
          <w:rFonts w:ascii="Garamond" w:hAnsi="Garamond"/>
          <w:sz w:val="28"/>
          <w:szCs w:val="28"/>
        </w:rPr>
        <w:t xml:space="preserve">la natura </w:t>
      </w:r>
      <w:r w:rsidR="009E6BAB">
        <w:rPr>
          <w:rFonts w:ascii="Garamond" w:hAnsi="Garamond"/>
          <w:sz w:val="28"/>
          <w:szCs w:val="28"/>
        </w:rPr>
        <w:t xml:space="preserve">e la legittimità </w:t>
      </w:r>
      <w:r w:rsidRPr="003C2366">
        <w:rPr>
          <w:rFonts w:ascii="Garamond" w:hAnsi="Garamond"/>
          <w:sz w:val="28"/>
          <w:szCs w:val="28"/>
        </w:rPr>
        <w:t>della proroga disposta dai suindicati testi normativi e la sua conseguente legittimità.</w:t>
      </w:r>
    </w:p>
    <w:p w14:paraId="17C609C3" w14:textId="77777777" w:rsidR="0049000C" w:rsidRPr="003C2366" w:rsidRDefault="0049000C" w:rsidP="0049000C">
      <w:pPr>
        <w:spacing w:after="0" w:line="240" w:lineRule="auto"/>
        <w:ind w:left="720"/>
        <w:jc w:val="both"/>
        <w:rPr>
          <w:rFonts w:ascii="Garamond" w:hAnsi="Garamond"/>
          <w:sz w:val="28"/>
          <w:szCs w:val="28"/>
        </w:rPr>
      </w:pPr>
    </w:p>
    <w:p w14:paraId="002F74F5" w14:textId="2C0F1CBF" w:rsidR="00B4019C" w:rsidRPr="003C2366" w:rsidRDefault="00140EF7"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In merito al primo profilo, il </w:t>
      </w:r>
      <w:r w:rsidR="00F910B6" w:rsidRPr="003C2366">
        <w:rPr>
          <w:rFonts w:ascii="Garamond" w:hAnsi="Garamond"/>
          <w:sz w:val="28"/>
          <w:szCs w:val="28"/>
        </w:rPr>
        <w:t>T.A.R.</w:t>
      </w:r>
      <w:r w:rsidRPr="003C2366">
        <w:rPr>
          <w:rFonts w:ascii="Garamond" w:hAnsi="Garamond"/>
          <w:sz w:val="28"/>
          <w:szCs w:val="28"/>
        </w:rPr>
        <w:t xml:space="preserve"> Campania ha affermato che «</w:t>
      </w:r>
      <w:r w:rsidR="00B4019C" w:rsidRPr="003C2366">
        <w:rPr>
          <w:rFonts w:ascii="Garamond" w:hAnsi="Garamond"/>
          <w:i/>
          <w:sz w:val="28"/>
          <w:szCs w:val="28"/>
        </w:rPr>
        <w:t xml:space="preserve">in particolare, deve ritenersi che l'art. 3, comma 1, della </w:t>
      </w:r>
      <w:r w:rsidR="008E07C6" w:rsidRPr="003C2366">
        <w:rPr>
          <w:rFonts w:ascii="Garamond" w:hAnsi="Garamond"/>
          <w:i/>
          <w:sz w:val="28"/>
          <w:szCs w:val="28"/>
        </w:rPr>
        <w:t>L.</w:t>
      </w:r>
      <w:r w:rsidR="00B4019C" w:rsidRPr="003C2366">
        <w:rPr>
          <w:rFonts w:ascii="Garamond" w:hAnsi="Garamond"/>
          <w:i/>
          <w:sz w:val="28"/>
          <w:szCs w:val="28"/>
        </w:rPr>
        <w:t xml:space="preserve"> 5 agosto 2022, n. 118, il </w:t>
      </w:r>
      <w:r w:rsidR="008E07C6" w:rsidRPr="003C2366">
        <w:rPr>
          <w:rFonts w:ascii="Garamond" w:hAnsi="Garamond"/>
          <w:i/>
          <w:sz w:val="28"/>
          <w:szCs w:val="28"/>
        </w:rPr>
        <w:t>D.L.</w:t>
      </w:r>
      <w:r w:rsidR="00B4019C" w:rsidRPr="003C2366">
        <w:rPr>
          <w:rFonts w:ascii="Garamond" w:hAnsi="Garamond"/>
          <w:i/>
          <w:sz w:val="28"/>
          <w:szCs w:val="28"/>
        </w:rPr>
        <w:t xml:space="preserve"> 29 dicembre 2022, n. 198, convertito con modificazioni dalla </w:t>
      </w:r>
      <w:r w:rsidR="008E07C6" w:rsidRPr="003C2366">
        <w:rPr>
          <w:rFonts w:ascii="Garamond" w:hAnsi="Garamond"/>
          <w:i/>
          <w:sz w:val="28"/>
          <w:szCs w:val="28"/>
        </w:rPr>
        <w:t>L.</w:t>
      </w:r>
      <w:r w:rsidR="00B4019C" w:rsidRPr="003C2366">
        <w:rPr>
          <w:rFonts w:ascii="Garamond" w:hAnsi="Garamond"/>
          <w:i/>
          <w:sz w:val="28"/>
          <w:szCs w:val="28"/>
        </w:rPr>
        <w:t xml:space="preserve"> 24 febbraio 2023, n. 14 ed il </w:t>
      </w:r>
      <w:r w:rsidR="008E07C6" w:rsidRPr="003C2366">
        <w:rPr>
          <w:rFonts w:ascii="Garamond" w:hAnsi="Garamond"/>
          <w:i/>
          <w:sz w:val="28"/>
          <w:szCs w:val="28"/>
        </w:rPr>
        <w:t>D.L.</w:t>
      </w:r>
      <w:r w:rsidR="00B4019C" w:rsidRPr="003C2366">
        <w:rPr>
          <w:rFonts w:ascii="Garamond" w:hAnsi="Garamond"/>
          <w:i/>
          <w:sz w:val="28"/>
          <w:szCs w:val="28"/>
        </w:rPr>
        <w:t xml:space="preserve"> 16 settembre 2024, n. 131 integrino propriamente delle leggi-provvedimento, in quanto detti atti normativi non disciplinano in via astratta e generale lo statuto di tutte le future concessioni demaniali marittime, ma dispongono in concreto su casi e rapporti - ancorché numerosi - specifici e determinati, ovvero su tutte le concessioni demaniali marittime in essere alla data di entrata in vigore della legge sulla base di proroghe o rinnovi disposti anche ai sensi de</w:t>
      </w:r>
      <w:r w:rsidRPr="003C2366">
        <w:rPr>
          <w:rFonts w:ascii="Garamond" w:hAnsi="Garamond"/>
          <w:i/>
          <w:sz w:val="28"/>
          <w:szCs w:val="28"/>
        </w:rPr>
        <w:t xml:space="preserve">lla </w:t>
      </w:r>
      <w:r w:rsidR="008E07C6" w:rsidRPr="003C2366">
        <w:rPr>
          <w:rFonts w:ascii="Garamond" w:hAnsi="Garamond"/>
          <w:i/>
          <w:sz w:val="28"/>
          <w:szCs w:val="28"/>
        </w:rPr>
        <w:t>L.</w:t>
      </w:r>
      <w:r w:rsidRPr="003C2366">
        <w:rPr>
          <w:rFonts w:ascii="Garamond" w:hAnsi="Garamond"/>
          <w:i/>
          <w:sz w:val="28"/>
          <w:szCs w:val="28"/>
        </w:rPr>
        <w:t xml:space="preserve"> 30 dicembre 2018, n. 145</w:t>
      </w:r>
      <w:r w:rsidRPr="003C2366">
        <w:rPr>
          <w:rFonts w:ascii="Garamond" w:hAnsi="Garamond"/>
          <w:sz w:val="28"/>
          <w:szCs w:val="28"/>
        </w:rPr>
        <w:t>»</w:t>
      </w:r>
      <w:r w:rsidRPr="003C2366">
        <w:rPr>
          <w:rFonts w:ascii="Garamond" w:hAnsi="Garamond"/>
          <w:sz w:val="28"/>
          <w:szCs w:val="28"/>
          <w:vertAlign w:val="superscript"/>
        </w:rPr>
        <w:t xml:space="preserve"> </w:t>
      </w:r>
      <w:r w:rsidRPr="003C2366">
        <w:rPr>
          <w:rFonts w:ascii="Garamond" w:hAnsi="Garamond"/>
          <w:sz w:val="28"/>
          <w:szCs w:val="28"/>
          <w:vertAlign w:val="superscript"/>
        </w:rPr>
        <w:footnoteReference w:id="43"/>
      </w:r>
      <w:r w:rsidR="00B4019C" w:rsidRPr="003C2366">
        <w:rPr>
          <w:rFonts w:ascii="Garamond" w:hAnsi="Garamond"/>
          <w:sz w:val="28"/>
          <w:szCs w:val="28"/>
        </w:rPr>
        <w:t xml:space="preserve">. </w:t>
      </w:r>
    </w:p>
    <w:p w14:paraId="37A67B4D" w14:textId="2C6ED23E" w:rsidR="00B4019C" w:rsidRPr="003C2366" w:rsidRDefault="00B4019C" w:rsidP="003C2366">
      <w:pPr>
        <w:spacing w:after="0" w:line="240" w:lineRule="auto"/>
        <w:ind w:firstLine="709"/>
        <w:jc w:val="both"/>
        <w:rPr>
          <w:rFonts w:ascii="Garamond" w:hAnsi="Garamond"/>
          <w:sz w:val="28"/>
          <w:szCs w:val="28"/>
        </w:rPr>
      </w:pPr>
      <w:r w:rsidRPr="003C2366">
        <w:rPr>
          <w:rFonts w:ascii="Garamond" w:hAnsi="Garamond"/>
          <w:sz w:val="28"/>
          <w:szCs w:val="28"/>
        </w:rPr>
        <w:t>La sentenza in esame, richiamando apertamente quanto statuito dalle Adunanze Plenarie n</w:t>
      </w:r>
      <w:r w:rsidR="00F910B6" w:rsidRPr="003C2366">
        <w:rPr>
          <w:rFonts w:ascii="Garamond" w:hAnsi="Garamond"/>
          <w:sz w:val="28"/>
          <w:szCs w:val="28"/>
        </w:rPr>
        <w:t>n</w:t>
      </w:r>
      <w:r w:rsidRPr="003C2366">
        <w:rPr>
          <w:rFonts w:ascii="Garamond" w:hAnsi="Garamond"/>
          <w:sz w:val="28"/>
          <w:szCs w:val="28"/>
        </w:rPr>
        <w:t xml:space="preserve">. 17 e </w:t>
      </w:r>
      <w:r w:rsidR="00F910B6" w:rsidRPr="003C2366">
        <w:rPr>
          <w:rFonts w:ascii="Garamond" w:hAnsi="Garamond"/>
          <w:sz w:val="28"/>
          <w:szCs w:val="28"/>
        </w:rPr>
        <w:t xml:space="preserve">18 del </w:t>
      </w:r>
      <w:r w:rsidRPr="003C2366">
        <w:rPr>
          <w:rFonts w:ascii="Garamond" w:hAnsi="Garamond"/>
          <w:sz w:val="28"/>
          <w:szCs w:val="28"/>
        </w:rPr>
        <w:t>2021 del Consiglio di Stato, aggiunge, inoltre, che “</w:t>
      </w:r>
      <w:r w:rsidRPr="003C2366">
        <w:rPr>
          <w:rFonts w:ascii="Garamond" w:hAnsi="Garamond"/>
          <w:i/>
          <w:sz w:val="28"/>
          <w:szCs w:val="28"/>
        </w:rPr>
        <w:t xml:space="preserve">le previsioni riferite all'efficacia delle concessioni demaniali marittime contenute in tali testi normativi integrano una </w:t>
      </w:r>
      <w:r w:rsidRPr="003C2366">
        <w:rPr>
          <w:rFonts w:ascii="Garamond" w:hAnsi="Garamond"/>
          <w:i/>
          <w:sz w:val="28"/>
          <w:szCs w:val="28"/>
        </w:rPr>
        <w:lastRenderedPageBreak/>
        <w:t>legge provvedimento che intervenendo su un numero delimitato di situazioni concrete, recepisce e "legifica", prorogandone il termine, le concessioni demaniali già rilasciate</w:t>
      </w:r>
      <w:r w:rsidRPr="003C2366">
        <w:rPr>
          <w:rFonts w:ascii="Garamond" w:hAnsi="Garamond"/>
          <w:sz w:val="28"/>
          <w:szCs w:val="28"/>
        </w:rPr>
        <w:t>”.</w:t>
      </w:r>
    </w:p>
    <w:p w14:paraId="08D4F778" w14:textId="2FD421FD" w:rsidR="00B4019C" w:rsidRPr="003C2366" w:rsidRDefault="00F00A12"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La sentenza del </w:t>
      </w:r>
      <w:r w:rsidR="00F910B6" w:rsidRPr="003C2366">
        <w:rPr>
          <w:rFonts w:ascii="Garamond" w:hAnsi="Garamond"/>
          <w:sz w:val="28"/>
          <w:szCs w:val="28"/>
        </w:rPr>
        <w:t>T.A.R.</w:t>
      </w:r>
      <w:r w:rsidRPr="003C2366">
        <w:rPr>
          <w:rFonts w:ascii="Garamond" w:hAnsi="Garamond"/>
          <w:sz w:val="28"/>
          <w:szCs w:val="28"/>
        </w:rPr>
        <w:t xml:space="preserve"> Campania</w:t>
      </w:r>
      <w:r w:rsidR="00B4019C" w:rsidRPr="003C2366">
        <w:rPr>
          <w:rFonts w:ascii="Garamond" w:hAnsi="Garamond"/>
          <w:sz w:val="28"/>
          <w:szCs w:val="28"/>
        </w:rPr>
        <w:t xml:space="preserve"> si pone, dunque, nel solco già tracciato dal Consiglio di Stato e dalla giurisprudenza formatasi in epoca anteriore</w:t>
      </w:r>
      <w:r w:rsidR="00963FA7" w:rsidRPr="003C2366">
        <w:rPr>
          <w:rFonts w:ascii="Garamond" w:hAnsi="Garamond"/>
          <w:sz w:val="28"/>
          <w:szCs w:val="28"/>
        </w:rPr>
        <w:t xml:space="preserve"> all’entrata in vigore del </w:t>
      </w:r>
      <w:r w:rsidR="008E07C6" w:rsidRPr="003C2366">
        <w:rPr>
          <w:rFonts w:ascii="Garamond" w:hAnsi="Garamond"/>
          <w:sz w:val="28"/>
          <w:szCs w:val="28"/>
        </w:rPr>
        <w:t>d.l.</w:t>
      </w:r>
      <w:r w:rsidR="00F910B6" w:rsidRPr="003C2366">
        <w:rPr>
          <w:rFonts w:ascii="Garamond" w:hAnsi="Garamond"/>
          <w:sz w:val="28"/>
          <w:szCs w:val="28"/>
        </w:rPr>
        <w:t xml:space="preserve"> n. 131/</w:t>
      </w:r>
      <w:r w:rsidR="00B4019C" w:rsidRPr="003C2366">
        <w:rPr>
          <w:rFonts w:ascii="Garamond" w:hAnsi="Garamond"/>
          <w:sz w:val="28"/>
          <w:szCs w:val="28"/>
        </w:rPr>
        <w:t xml:space="preserve">2024. </w:t>
      </w:r>
    </w:p>
    <w:p w14:paraId="6D2664D2" w14:textId="77777777" w:rsidR="00963FA7" w:rsidRPr="003C2366" w:rsidRDefault="00B4019C" w:rsidP="003C2366">
      <w:pPr>
        <w:spacing w:after="0" w:line="240" w:lineRule="auto"/>
        <w:ind w:firstLine="709"/>
        <w:jc w:val="both"/>
        <w:rPr>
          <w:rFonts w:ascii="Garamond" w:hAnsi="Garamond"/>
          <w:sz w:val="28"/>
          <w:szCs w:val="28"/>
        </w:rPr>
      </w:pPr>
      <w:r w:rsidRPr="003C2366">
        <w:rPr>
          <w:rFonts w:ascii="Garamond" w:hAnsi="Garamond"/>
          <w:sz w:val="28"/>
          <w:szCs w:val="28"/>
        </w:rPr>
        <w:t>In dottrina, peraltro, sono state evidenziate le possibili criti</w:t>
      </w:r>
      <w:r w:rsidR="00963FA7" w:rsidRPr="003C2366">
        <w:rPr>
          <w:rFonts w:ascii="Garamond" w:hAnsi="Garamond"/>
          <w:sz w:val="28"/>
          <w:szCs w:val="28"/>
        </w:rPr>
        <w:t>cità del sistema così congegnato</w:t>
      </w:r>
      <w:r w:rsidRPr="003C2366">
        <w:rPr>
          <w:rFonts w:ascii="Garamond" w:hAnsi="Garamond"/>
          <w:sz w:val="28"/>
          <w:szCs w:val="28"/>
        </w:rPr>
        <w:t>.</w:t>
      </w:r>
    </w:p>
    <w:p w14:paraId="74F6CF43" w14:textId="2FFB56E6" w:rsidR="00963FA7" w:rsidRPr="003C2366" w:rsidRDefault="00B4019C" w:rsidP="003C2366">
      <w:pPr>
        <w:spacing w:after="0" w:line="240" w:lineRule="auto"/>
        <w:ind w:firstLine="709"/>
        <w:jc w:val="both"/>
        <w:rPr>
          <w:rFonts w:ascii="Garamond" w:hAnsi="Garamond"/>
          <w:sz w:val="28"/>
          <w:szCs w:val="28"/>
        </w:rPr>
      </w:pPr>
      <w:r w:rsidRPr="003C2366">
        <w:rPr>
          <w:rFonts w:ascii="Garamond" w:hAnsi="Garamond"/>
          <w:sz w:val="28"/>
          <w:szCs w:val="28"/>
        </w:rPr>
        <w:t>In particolare, riguardo alle concessioni già scadute alla data del 31</w:t>
      </w:r>
      <w:r w:rsidR="005067AF" w:rsidRPr="003C2366">
        <w:rPr>
          <w:rFonts w:ascii="Garamond" w:hAnsi="Garamond"/>
          <w:sz w:val="28"/>
          <w:szCs w:val="28"/>
        </w:rPr>
        <w:t>/12/</w:t>
      </w:r>
      <w:r w:rsidRPr="003C2366">
        <w:rPr>
          <w:rFonts w:ascii="Garamond" w:hAnsi="Garamond"/>
          <w:sz w:val="28"/>
          <w:szCs w:val="28"/>
        </w:rPr>
        <w:t xml:space="preserve">2023, si è sostenuto che la modifica operata dal legislatore, qualificabile come legge provvedimento, determinerebbe un anomalo fenomeno di “reviviscenza” (o di “rinnovo” automatico), il cui inquadramento dogmatico appare piuttosto controverso. </w:t>
      </w:r>
    </w:p>
    <w:p w14:paraId="3B7A2AA9" w14:textId="4FCE7353" w:rsidR="00B4019C" w:rsidRDefault="00B4019C" w:rsidP="003C2366">
      <w:pPr>
        <w:spacing w:after="0" w:line="240" w:lineRule="auto"/>
        <w:ind w:firstLine="709"/>
        <w:jc w:val="both"/>
        <w:rPr>
          <w:rFonts w:ascii="Garamond" w:hAnsi="Garamond"/>
          <w:sz w:val="28"/>
          <w:szCs w:val="28"/>
        </w:rPr>
      </w:pPr>
      <w:r w:rsidRPr="003C2366">
        <w:rPr>
          <w:rFonts w:ascii="Garamond" w:hAnsi="Garamond"/>
          <w:sz w:val="28"/>
          <w:szCs w:val="28"/>
        </w:rPr>
        <w:t>Invero, per qualificare un provvedimento come proroga è necessario che il termine di efficacia dell’atto a cui si riferisce non sia ancora spirato. Al contrario, il rinnovo è il provvedimento di primo grado, dal contenuto simile al precedente provvedimento che ha cessato la propria efficacia, ma rispetto al quale è del tutto autonomo</w:t>
      </w:r>
      <w:r w:rsidRPr="003C2366">
        <w:rPr>
          <w:rFonts w:ascii="Garamond" w:hAnsi="Garamond"/>
          <w:sz w:val="28"/>
          <w:szCs w:val="28"/>
          <w:vertAlign w:val="superscript"/>
        </w:rPr>
        <w:footnoteReference w:id="44"/>
      </w:r>
      <w:r w:rsidRPr="003C2366">
        <w:rPr>
          <w:rFonts w:ascii="Garamond" w:hAnsi="Garamond"/>
          <w:sz w:val="28"/>
          <w:szCs w:val="28"/>
        </w:rPr>
        <w:t>.</w:t>
      </w:r>
    </w:p>
    <w:p w14:paraId="3E2B041B" w14:textId="77777777" w:rsidR="0049000C" w:rsidRPr="003C2366" w:rsidRDefault="0049000C" w:rsidP="003C2366">
      <w:pPr>
        <w:spacing w:after="0" w:line="240" w:lineRule="auto"/>
        <w:ind w:firstLine="709"/>
        <w:jc w:val="both"/>
        <w:rPr>
          <w:rFonts w:ascii="Garamond" w:hAnsi="Garamond"/>
          <w:sz w:val="28"/>
          <w:szCs w:val="28"/>
        </w:rPr>
      </w:pPr>
    </w:p>
    <w:p w14:paraId="58C36FD5" w14:textId="30AF24E9" w:rsidR="00963FA7" w:rsidRPr="003C2366" w:rsidRDefault="00B4019C"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La seconda questione oggetto di attenzione giurisprudenziale attiene alla natura </w:t>
      </w:r>
      <w:r w:rsidR="009E6BAB">
        <w:rPr>
          <w:rFonts w:ascii="Garamond" w:hAnsi="Garamond"/>
          <w:sz w:val="28"/>
          <w:szCs w:val="28"/>
        </w:rPr>
        <w:t xml:space="preserve">ed alla legittimità </w:t>
      </w:r>
      <w:r w:rsidRPr="003C2366">
        <w:rPr>
          <w:rFonts w:ascii="Garamond" w:hAnsi="Garamond"/>
          <w:sz w:val="28"/>
          <w:szCs w:val="28"/>
        </w:rPr>
        <w:t>della proroga disposta dal legislatore.</w:t>
      </w:r>
    </w:p>
    <w:p w14:paraId="5CA6216F" w14:textId="77777777" w:rsidR="00B4019C" w:rsidRPr="003C2366" w:rsidRDefault="00B4019C" w:rsidP="003C2366">
      <w:pPr>
        <w:spacing w:after="0" w:line="240" w:lineRule="auto"/>
        <w:ind w:firstLine="709"/>
        <w:jc w:val="both"/>
        <w:rPr>
          <w:rFonts w:ascii="Garamond" w:hAnsi="Garamond"/>
          <w:sz w:val="28"/>
          <w:szCs w:val="28"/>
        </w:rPr>
      </w:pPr>
      <w:r w:rsidRPr="003C2366">
        <w:rPr>
          <w:rFonts w:ascii="Garamond" w:hAnsi="Garamond"/>
          <w:sz w:val="28"/>
          <w:szCs w:val="28"/>
        </w:rPr>
        <w:t>Sul punto sono emersi due diversi orientamenti:</w:t>
      </w:r>
    </w:p>
    <w:p w14:paraId="6C5D7E1B" w14:textId="781B39A8" w:rsidR="00963FA7" w:rsidRPr="003C2366" w:rsidRDefault="00963FA7" w:rsidP="003C2366">
      <w:pPr>
        <w:spacing w:after="0" w:line="240" w:lineRule="auto"/>
        <w:ind w:firstLine="709"/>
        <w:jc w:val="both"/>
        <w:rPr>
          <w:rFonts w:ascii="Garamond" w:hAnsi="Garamond"/>
          <w:sz w:val="28"/>
          <w:szCs w:val="28"/>
        </w:rPr>
      </w:pPr>
      <w:r w:rsidRPr="003C2366">
        <w:rPr>
          <w:rFonts w:ascii="Garamond" w:hAnsi="Garamond"/>
          <w:sz w:val="28"/>
          <w:szCs w:val="28"/>
        </w:rPr>
        <w:t>U</w:t>
      </w:r>
      <w:r w:rsidR="00B4019C" w:rsidRPr="003C2366">
        <w:rPr>
          <w:rFonts w:ascii="Garamond" w:hAnsi="Garamond"/>
          <w:sz w:val="28"/>
          <w:szCs w:val="28"/>
        </w:rPr>
        <w:t>na prima impostazione è stata av</w:t>
      </w:r>
      <w:r w:rsidRPr="003C2366">
        <w:rPr>
          <w:rFonts w:ascii="Garamond" w:hAnsi="Garamond"/>
          <w:sz w:val="28"/>
          <w:szCs w:val="28"/>
        </w:rPr>
        <w:t xml:space="preserve">allata dal </w:t>
      </w:r>
      <w:r w:rsidR="007B057E" w:rsidRPr="003C2366">
        <w:rPr>
          <w:rFonts w:ascii="Garamond" w:hAnsi="Garamond"/>
          <w:sz w:val="28"/>
          <w:szCs w:val="28"/>
        </w:rPr>
        <w:t>T.A.R.</w:t>
      </w:r>
      <w:r w:rsidRPr="003C2366">
        <w:rPr>
          <w:rFonts w:ascii="Garamond" w:hAnsi="Garamond"/>
          <w:sz w:val="28"/>
          <w:szCs w:val="28"/>
        </w:rPr>
        <w:t xml:space="preserve"> Liguria</w:t>
      </w:r>
      <w:r w:rsidR="00B4019C" w:rsidRPr="003C2366">
        <w:rPr>
          <w:rFonts w:ascii="Garamond" w:hAnsi="Garamond"/>
          <w:sz w:val="28"/>
          <w:szCs w:val="28"/>
        </w:rPr>
        <w:t xml:space="preserve"> con la sentenza n. 869/2024</w:t>
      </w:r>
      <w:r w:rsidR="00B4019C" w:rsidRPr="003C2366">
        <w:rPr>
          <w:rFonts w:ascii="Garamond" w:hAnsi="Garamond"/>
          <w:sz w:val="28"/>
          <w:szCs w:val="28"/>
          <w:vertAlign w:val="superscript"/>
        </w:rPr>
        <w:footnoteReference w:id="45"/>
      </w:r>
      <w:r w:rsidRPr="003C2366">
        <w:rPr>
          <w:rFonts w:ascii="Garamond" w:hAnsi="Garamond"/>
          <w:sz w:val="28"/>
          <w:szCs w:val="28"/>
        </w:rPr>
        <w:t xml:space="preserve"> e dal </w:t>
      </w:r>
      <w:r w:rsidR="007B057E" w:rsidRPr="003C2366">
        <w:rPr>
          <w:rFonts w:ascii="Garamond" w:hAnsi="Garamond"/>
          <w:sz w:val="28"/>
          <w:szCs w:val="28"/>
        </w:rPr>
        <w:t>T.A.R.</w:t>
      </w:r>
      <w:r w:rsidR="0049000C">
        <w:rPr>
          <w:rFonts w:ascii="Garamond" w:hAnsi="Garamond"/>
          <w:sz w:val="28"/>
          <w:szCs w:val="28"/>
        </w:rPr>
        <w:t xml:space="preserve"> Lazio </w:t>
      </w:r>
      <w:r w:rsidRPr="003C2366">
        <w:rPr>
          <w:rFonts w:ascii="Garamond" w:hAnsi="Garamond"/>
          <w:sz w:val="28"/>
          <w:szCs w:val="28"/>
        </w:rPr>
        <w:t xml:space="preserve">Latina, </w:t>
      </w:r>
      <w:r w:rsidR="00B4019C" w:rsidRPr="003C2366">
        <w:rPr>
          <w:rFonts w:ascii="Garamond" w:hAnsi="Garamond"/>
          <w:sz w:val="28"/>
          <w:szCs w:val="28"/>
        </w:rPr>
        <w:t>con sentenza n. 742/2024</w:t>
      </w:r>
      <w:r w:rsidR="00B4019C" w:rsidRPr="003C2366">
        <w:rPr>
          <w:rFonts w:ascii="Garamond" w:hAnsi="Garamond"/>
          <w:sz w:val="28"/>
          <w:szCs w:val="28"/>
          <w:vertAlign w:val="superscript"/>
        </w:rPr>
        <w:footnoteReference w:id="46"/>
      </w:r>
      <w:r w:rsidR="00B4019C" w:rsidRPr="003C2366">
        <w:rPr>
          <w:rFonts w:ascii="Garamond" w:hAnsi="Garamond"/>
          <w:sz w:val="28"/>
          <w:szCs w:val="28"/>
        </w:rPr>
        <w:t xml:space="preserve">. </w:t>
      </w:r>
    </w:p>
    <w:p w14:paraId="59BBC965" w14:textId="60C0214A" w:rsidR="00B4019C" w:rsidRPr="003C2366" w:rsidRDefault="00B4019C"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Con la prima decisione, è stato respinto un ricorso volto </w:t>
      </w:r>
      <w:r w:rsidR="00943628" w:rsidRPr="003C2366">
        <w:rPr>
          <w:rFonts w:ascii="Garamond" w:hAnsi="Garamond"/>
          <w:sz w:val="28"/>
          <w:szCs w:val="28"/>
        </w:rPr>
        <w:t xml:space="preserve">a </w:t>
      </w:r>
      <w:r w:rsidRPr="003C2366">
        <w:rPr>
          <w:rFonts w:ascii="Garamond" w:hAnsi="Garamond"/>
          <w:sz w:val="28"/>
          <w:szCs w:val="28"/>
        </w:rPr>
        <w:t>chiedere l’annullamento del provvedimento con cui l’</w:t>
      </w:r>
      <w:r w:rsidR="008B2652">
        <w:rPr>
          <w:rFonts w:ascii="Garamond" w:hAnsi="Garamond"/>
          <w:sz w:val="28"/>
          <w:szCs w:val="28"/>
        </w:rPr>
        <w:t>A</w:t>
      </w:r>
      <w:r w:rsidRPr="003C2366">
        <w:rPr>
          <w:rFonts w:ascii="Garamond" w:hAnsi="Garamond"/>
          <w:sz w:val="28"/>
          <w:szCs w:val="28"/>
        </w:rPr>
        <w:t>mministrazione aveva ridotto, in via ricognitiva, la durata di una concessione, precedentemente rilasciata, al 31</w:t>
      </w:r>
      <w:r w:rsidR="007B057E" w:rsidRPr="003C2366">
        <w:rPr>
          <w:rFonts w:ascii="Garamond" w:hAnsi="Garamond"/>
          <w:sz w:val="28"/>
          <w:szCs w:val="28"/>
        </w:rPr>
        <w:t>/12/</w:t>
      </w:r>
      <w:r w:rsidRPr="003C2366">
        <w:rPr>
          <w:rFonts w:ascii="Garamond" w:hAnsi="Garamond"/>
          <w:sz w:val="28"/>
          <w:szCs w:val="28"/>
        </w:rPr>
        <w:t xml:space="preserve">2023, disapplicando la normativa di proroga per asserito contrasto con la giurisprudenza e i princìpi eurounitari, nonché in attuazione dell’Adunanza Plenaria n. 17/2021. </w:t>
      </w:r>
    </w:p>
    <w:p w14:paraId="1429FDA3" w14:textId="3D20850E" w:rsidR="00B4019C" w:rsidRPr="003C2366" w:rsidRDefault="00B4019C" w:rsidP="003C2366">
      <w:pPr>
        <w:spacing w:after="0" w:line="240" w:lineRule="auto"/>
        <w:ind w:firstLine="709"/>
        <w:jc w:val="both"/>
        <w:rPr>
          <w:rFonts w:ascii="Garamond" w:hAnsi="Garamond"/>
          <w:sz w:val="28"/>
          <w:szCs w:val="28"/>
        </w:rPr>
      </w:pPr>
      <w:r w:rsidRPr="003C2366">
        <w:rPr>
          <w:rFonts w:ascii="Garamond" w:hAnsi="Garamond"/>
          <w:sz w:val="28"/>
          <w:szCs w:val="28"/>
        </w:rPr>
        <w:t>Nel caso di spe</w:t>
      </w:r>
      <w:r w:rsidR="00622804" w:rsidRPr="003C2366">
        <w:rPr>
          <w:rFonts w:ascii="Garamond" w:hAnsi="Garamond"/>
          <w:sz w:val="28"/>
          <w:szCs w:val="28"/>
        </w:rPr>
        <w:t xml:space="preserve">cie, il </w:t>
      </w:r>
      <w:r w:rsidR="007B057E" w:rsidRPr="003C2366">
        <w:rPr>
          <w:rFonts w:ascii="Garamond" w:hAnsi="Garamond"/>
          <w:sz w:val="28"/>
          <w:szCs w:val="28"/>
        </w:rPr>
        <w:t xml:space="preserve">T.A.R. </w:t>
      </w:r>
      <w:r w:rsidR="00622804" w:rsidRPr="003C2366">
        <w:rPr>
          <w:rFonts w:ascii="Garamond" w:hAnsi="Garamond"/>
          <w:sz w:val="28"/>
          <w:szCs w:val="28"/>
        </w:rPr>
        <w:t xml:space="preserve">ha rilevato che lo </w:t>
      </w:r>
      <w:r w:rsidR="00622804" w:rsidRPr="003C2366">
        <w:rPr>
          <w:rFonts w:ascii="Garamond" w:hAnsi="Garamond"/>
          <w:i/>
          <w:sz w:val="28"/>
          <w:szCs w:val="28"/>
        </w:rPr>
        <w:t>i</w:t>
      </w:r>
      <w:r w:rsidRPr="003C2366">
        <w:rPr>
          <w:rFonts w:ascii="Garamond" w:hAnsi="Garamond"/>
          <w:i/>
          <w:sz w:val="28"/>
          <w:szCs w:val="28"/>
        </w:rPr>
        <w:t>us superveniens</w:t>
      </w:r>
      <w:r w:rsidRPr="003C2366">
        <w:rPr>
          <w:rFonts w:ascii="Garamond" w:hAnsi="Garamond"/>
          <w:sz w:val="28"/>
          <w:szCs w:val="28"/>
        </w:rPr>
        <w:t>, rappresentato dai vari interventi di proroga che si sono succeduti nel tempo, non può essere invocato dal ricorrente a sostegno dell’estensione di durata del proprio titolo concessorio. Il collegio giudicante ha infatti affermato che i suddetti interventi “</w:t>
      </w:r>
      <w:r w:rsidRPr="008B2652">
        <w:rPr>
          <w:rFonts w:ascii="Garamond" w:hAnsi="Garamond"/>
          <w:i/>
          <w:sz w:val="28"/>
          <w:szCs w:val="28"/>
        </w:rPr>
        <w:t xml:space="preserve">non rappresentino altro che ulteriori proroghe della durata delle concessioni demaniali marittime, illegittime in quanto contrastanti con l'art. 12 della </w:t>
      </w:r>
      <w:r w:rsidR="007B057E" w:rsidRPr="008B2652">
        <w:rPr>
          <w:rFonts w:ascii="Garamond" w:hAnsi="Garamond"/>
          <w:i/>
          <w:sz w:val="28"/>
          <w:szCs w:val="28"/>
        </w:rPr>
        <w:t>d</w:t>
      </w:r>
      <w:r w:rsidRPr="008B2652">
        <w:rPr>
          <w:rFonts w:ascii="Garamond" w:hAnsi="Garamond"/>
          <w:i/>
          <w:sz w:val="28"/>
          <w:szCs w:val="28"/>
        </w:rPr>
        <w:t>irettiva, dunque disapplicabili”. In virtù del principio espresso, “la disciplina legislativa che, da ultimo, ha disposto l'ulteriore proroga dell'efficacia delle concessioni demaniali marittime al 30</w:t>
      </w:r>
      <w:r w:rsidR="007B057E" w:rsidRPr="008B2652">
        <w:rPr>
          <w:rFonts w:ascii="Garamond" w:hAnsi="Garamond"/>
          <w:i/>
          <w:sz w:val="28"/>
          <w:szCs w:val="28"/>
        </w:rPr>
        <w:t>/09/</w:t>
      </w:r>
      <w:r w:rsidRPr="008B2652">
        <w:rPr>
          <w:rFonts w:ascii="Garamond" w:hAnsi="Garamond"/>
          <w:i/>
          <w:sz w:val="28"/>
          <w:szCs w:val="28"/>
        </w:rPr>
        <w:t>2027 deve essere (anch'essa) disapplicata</w:t>
      </w:r>
      <w:r w:rsidRPr="003C2366">
        <w:rPr>
          <w:rFonts w:ascii="Garamond" w:hAnsi="Garamond"/>
          <w:sz w:val="28"/>
          <w:szCs w:val="28"/>
        </w:rPr>
        <w:t>”.</w:t>
      </w:r>
    </w:p>
    <w:p w14:paraId="29F416CE" w14:textId="797F68D2" w:rsidR="00B4019C" w:rsidRPr="003C2366" w:rsidRDefault="00B4019C" w:rsidP="003C2366">
      <w:pPr>
        <w:spacing w:after="0" w:line="240" w:lineRule="auto"/>
        <w:ind w:firstLine="709"/>
        <w:jc w:val="both"/>
        <w:rPr>
          <w:rFonts w:ascii="Garamond" w:hAnsi="Garamond"/>
          <w:sz w:val="28"/>
          <w:szCs w:val="28"/>
        </w:rPr>
      </w:pPr>
      <w:r w:rsidRPr="003C2366">
        <w:rPr>
          <w:rFonts w:ascii="Garamond" w:hAnsi="Garamond"/>
          <w:sz w:val="28"/>
          <w:szCs w:val="28"/>
        </w:rPr>
        <w:t>Con la seconda pronuncia, i giudici amministrativi hanno in questo caso accolto il ricorso proposto avverso un provvedimento di proroga di una concessione, disposto dall’</w:t>
      </w:r>
      <w:r w:rsidR="008B2652">
        <w:rPr>
          <w:rFonts w:ascii="Garamond" w:hAnsi="Garamond"/>
          <w:sz w:val="28"/>
          <w:szCs w:val="28"/>
        </w:rPr>
        <w:t>A</w:t>
      </w:r>
      <w:r w:rsidRPr="003C2366">
        <w:rPr>
          <w:rFonts w:ascii="Garamond" w:hAnsi="Garamond"/>
          <w:sz w:val="28"/>
          <w:szCs w:val="28"/>
        </w:rPr>
        <w:t xml:space="preserve">mministrazione in favore di un diverso gestore. </w:t>
      </w:r>
    </w:p>
    <w:p w14:paraId="141BA658" w14:textId="3DB7B7E5" w:rsidR="00622804" w:rsidRPr="003C2366" w:rsidRDefault="008B2652" w:rsidP="003C2366">
      <w:pPr>
        <w:spacing w:after="0" w:line="240" w:lineRule="auto"/>
        <w:ind w:firstLine="709"/>
        <w:jc w:val="both"/>
        <w:rPr>
          <w:rFonts w:ascii="Garamond" w:hAnsi="Garamond"/>
          <w:sz w:val="28"/>
          <w:szCs w:val="28"/>
        </w:rPr>
      </w:pPr>
      <w:r>
        <w:rPr>
          <w:rFonts w:ascii="Garamond" w:hAnsi="Garamond"/>
          <w:sz w:val="28"/>
          <w:szCs w:val="28"/>
        </w:rPr>
        <w:t>I</w:t>
      </w:r>
      <w:r w:rsidR="00B4019C" w:rsidRPr="003C2366">
        <w:rPr>
          <w:rFonts w:ascii="Garamond" w:hAnsi="Garamond"/>
          <w:sz w:val="28"/>
          <w:szCs w:val="28"/>
        </w:rPr>
        <w:t xml:space="preserve">l </w:t>
      </w:r>
      <w:r w:rsidR="007B057E" w:rsidRPr="003C2366">
        <w:rPr>
          <w:rFonts w:ascii="Garamond" w:hAnsi="Garamond"/>
          <w:sz w:val="28"/>
          <w:szCs w:val="28"/>
        </w:rPr>
        <w:t xml:space="preserve">T.A.R. </w:t>
      </w:r>
      <w:r w:rsidR="00B4019C" w:rsidRPr="003C2366">
        <w:rPr>
          <w:rFonts w:ascii="Garamond" w:hAnsi="Garamond"/>
          <w:sz w:val="28"/>
          <w:szCs w:val="28"/>
        </w:rPr>
        <w:t>perviene alle medesime conclusioni della precedente sentenza. In primo luogo, aderisce all'orientamento ripetutamente espresso dal Consigl</w:t>
      </w:r>
      <w:r w:rsidR="00622804" w:rsidRPr="003C2366">
        <w:rPr>
          <w:rFonts w:ascii="Garamond" w:hAnsi="Garamond"/>
          <w:sz w:val="28"/>
          <w:szCs w:val="28"/>
        </w:rPr>
        <w:t xml:space="preserve">io di Stato secondo il </w:t>
      </w:r>
      <w:r w:rsidR="00622804" w:rsidRPr="003C2366">
        <w:rPr>
          <w:rFonts w:ascii="Garamond" w:hAnsi="Garamond"/>
          <w:sz w:val="28"/>
          <w:szCs w:val="28"/>
        </w:rPr>
        <w:lastRenderedPageBreak/>
        <w:t>quale, "</w:t>
      </w:r>
      <w:r w:rsidR="00622804" w:rsidRPr="003C2366">
        <w:rPr>
          <w:rFonts w:ascii="Garamond" w:hAnsi="Garamond"/>
          <w:i/>
          <w:sz w:val="28"/>
          <w:szCs w:val="28"/>
        </w:rPr>
        <w:t>d</w:t>
      </w:r>
      <w:r w:rsidR="00B4019C" w:rsidRPr="003C2366">
        <w:rPr>
          <w:rFonts w:ascii="Garamond" w:hAnsi="Garamond"/>
          <w:i/>
          <w:sz w:val="28"/>
          <w:szCs w:val="28"/>
        </w:rPr>
        <w:t>evono essere disapplicate perché contrastanti con l'art. 12 della Dir. 2006/123/CE e comunque con l'art. 49 del T.F.U.E., tutte le disposizioni nazionali che hanno introdotto e continuano ad introdurre, con una sistematica violazione del diritto dell'Unione, le proroghe delle concessioni demaniali marittime per finalità turistico-ricreative</w:t>
      </w:r>
      <w:r w:rsidR="00B4019C" w:rsidRPr="003C2366">
        <w:rPr>
          <w:rFonts w:ascii="Garamond" w:hAnsi="Garamond"/>
          <w:sz w:val="28"/>
          <w:szCs w:val="28"/>
        </w:rPr>
        <w:t>”</w:t>
      </w:r>
      <w:r w:rsidR="00B4019C" w:rsidRPr="003C2366">
        <w:rPr>
          <w:rFonts w:ascii="Garamond" w:hAnsi="Garamond"/>
          <w:sz w:val="28"/>
          <w:szCs w:val="28"/>
          <w:vertAlign w:val="superscript"/>
        </w:rPr>
        <w:footnoteReference w:id="47"/>
      </w:r>
      <w:r w:rsidR="00B4019C" w:rsidRPr="003C2366">
        <w:rPr>
          <w:rFonts w:ascii="Garamond" w:hAnsi="Garamond"/>
          <w:sz w:val="28"/>
          <w:szCs w:val="28"/>
        </w:rPr>
        <w:t xml:space="preserve">. </w:t>
      </w:r>
    </w:p>
    <w:p w14:paraId="03C938B7" w14:textId="3B4B607E" w:rsidR="00B4019C" w:rsidRPr="003C2366" w:rsidRDefault="00622804" w:rsidP="003C2366">
      <w:pPr>
        <w:spacing w:after="0" w:line="240" w:lineRule="auto"/>
        <w:ind w:firstLine="709"/>
        <w:jc w:val="both"/>
        <w:rPr>
          <w:rFonts w:ascii="Garamond" w:hAnsi="Garamond"/>
          <w:sz w:val="28"/>
          <w:szCs w:val="28"/>
        </w:rPr>
      </w:pPr>
      <w:r w:rsidRPr="003C2366">
        <w:rPr>
          <w:rFonts w:ascii="Garamond" w:hAnsi="Garamond"/>
          <w:sz w:val="28"/>
          <w:szCs w:val="28"/>
        </w:rPr>
        <w:t>Ribadiscono poi i giudici che «</w:t>
      </w:r>
      <w:r w:rsidR="00B4019C" w:rsidRPr="003C2366">
        <w:rPr>
          <w:rFonts w:ascii="Garamond" w:hAnsi="Garamond"/>
          <w:i/>
          <w:sz w:val="28"/>
          <w:szCs w:val="28"/>
        </w:rPr>
        <w:t xml:space="preserve">a tale principio non si sottrae, quindi, la proroga prevista dall'art. 3 della </w:t>
      </w:r>
      <w:r w:rsidR="008E07C6" w:rsidRPr="003C2366">
        <w:rPr>
          <w:rFonts w:ascii="Garamond" w:hAnsi="Garamond"/>
          <w:i/>
          <w:sz w:val="28"/>
          <w:szCs w:val="28"/>
        </w:rPr>
        <w:t>L.</w:t>
      </w:r>
      <w:r w:rsidR="00B4019C" w:rsidRPr="003C2366">
        <w:rPr>
          <w:rFonts w:ascii="Garamond" w:hAnsi="Garamond"/>
          <w:i/>
          <w:sz w:val="28"/>
          <w:szCs w:val="28"/>
        </w:rPr>
        <w:t xml:space="preserve"> n. 118 del 2022, né con riguardo al termine del 31.12.2024 richiamato nel provvedimento impugnato, né con riguardo al termine del 31.12.2027 come introdotto dall' art. 1, comma 1, lett. a), n. 2), del </w:t>
      </w:r>
      <w:r w:rsidR="008E07C6" w:rsidRPr="003C2366">
        <w:rPr>
          <w:rFonts w:ascii="Garamond" w:hAnsi="Garamond"/>
          <w:i/>
          <w:sz w:val="28"/>
          <w:szCs w:val="28"/>
        </w:rPr>
        <w:t>D.L.</w:t>
      </w:r>
      <w:r w:rsidR="00B4019C" w:rsidRPr="003C2366">
        <w:rPr>
          <w:rFonts w:ascii="Garamond" w:hAnsi="Garamond"/>
          <w:i/>
          <w:sz w:val="28"/>
          <w:szCs w:val="28"/>
        </w:rPr>
        <w:t xml:space="preserve"> 16 settembre 2024, n. 131 che, nelle more dell'odierno giudizio, ha modificato sul punto il predetto art. 3</w:t>
      </w:r>
      <w:r w:rsidRPr="003C2366">
        <w:rPr>
          <w:rFonts w:ascii="Garamond" w:hAnsi="Garamond"/>
          <w:sz w:val="28"/>
          <w:szCs w:val="28"/>
        </w:rPr>
        <w:t>».</w:t>
      </w:r>
    </w:p>
    <w:p w14:paraId="5991878A" w14:textId="3C0DCDD0" w:rsidR="00B4019C" w:rsidRPr="003C2366" w:rsidRDefault="00B4019C" w:rsidP="003C2366">
      <w:pPr>
        <w:spacing w:after="0" w:line="240" w:lineRule="auto"/>
        <w:ind w:firstLine="709"/>
        <w:jc w:val="both"/>
        <w:rPr>
          <w:rFonts w:ascii="Garamond" w:hAnsi="Garamond"/>
          <w:sz w:val="28"/>
          <w:szCs w:val="28"/>
        </w:rPr>
      </w:pPr>
      <w:r w:rsidRPr="003C2366">
        <w:rPr>
          <w:rFonts w:ascii="Garamond" w:hAnsi="Garamond"/>
          <w:sz w:val="28"/>
          <w:szCs w:val="28"/>
        </w:rPr>
        <w:t>Entrambe le decisioni accertano in via perentoria l’illegittimità</w:t>
      </w:r>
      <w:r w:rsidR="00622804" w:rsidRPr="003C2366">
        <w:rPr>
          <w:rFonts w:ascii="Garamond" w:hAnsi="Garamond"/>
          <w:sz w:val="28"/>
          <w:szCs w:val="28"/>
        </w:rPr>
        <w:t xml:space="preserve"> della proroga disposta dal </w:t>
      </w:r>
      <w:r w:rsidR="008E07C6" w:rsidRPr="003C2366">
        <w:rPr>
          <w:rFonts w:ascii="Garamond" w:hAnsi="Garamond"/>
          <w:sz w:val="28"/>
          <w:szCs w:val="28"/>
        </w:rPr>
        <w:t>d.l.</w:t>
      </w:r>
      <w:r w:rsidR="008754D9" w:rsidRPr="003C2366">
        <w:rPr>
          <w:rFonts w:ascii="Garamond" w:hAnsi="Garamond"/>
          <w:sz w:val="28"/>
          <w:szCs w:val="28"/>
        </w:rPr>
        <w:t xml:space="preserve"> n. 131/</w:t>
      </w:r>
      <w:r w:rsidRPr="003C2366">
        <w:rPr>
          <w:rFonts w:ascii="Garamond" w:hAnsi="Garamond"/>
          <w:sz w:val="28"/>
          <w:szCs w:val="28"/>
        </w:rPr>
        <w:t>2024, confermat</w:t>
      </w:r>
      <w:r w:rsidR="00622804" w:rsidRPr="003C2366">
        <w:rPr>
          <w:rFonts w:ascii="Garamond" w:hAnsi="Garamond"/>
          <w:sz w:val="28"/>
          <w:szCs w:val="28"/>
        </w:rPr>
        <w:t xml:space="preserve">a in sede di conversione dalla </w:t>
      </w:r>
      <w:r w:rsidR="008E07C6" w:rsidRPr="003C2366">
        <w:rPr>
          <w:rFonts w:ascii="Garamond" w:hAnsi="Garamond"/>
          <w:sz w:val="28"/>
          <w:szCs w:val="28"/>
        </w:rPr>
        <w:t>L.</w:t>
      </w:r>
      <w:r w:rsidR="008754D9" w:rsidRPr="003C2366">
        <w:rPr>
          <w:rFonts w:ascii="Garamond" w:hAnsi="Garamond"/>
          <w:sz w:val="28"/>
          <w:szCs w:val="28"/>
        </w:rPr>
        <w:t xml:space="preserve"> n. </w:t>
      </w:r>
      <w:r w:rsidR="00622804" w:rsidRPr="003C2366">
        <w:rPr>
          <w:rFonts w:ascii="Garamond" w:hAnsi="Garamond"/>
          <w:sz w:val="28"/>
          <w:szCs w:val="28"/>
        </w:rPr>
        <w:t>166/2024.</w:t>
      </w:r>
    </w:p>
    <w:p w14:paraId="3F09A8C7" w14:textId="77777777" w:rsidR="00622804" w:rsidRPr="003C2366" w:rsidRDefault="00622804" w:rsidP="003C2366">
      <w:pPr>
        <w:spacing w:after="0" w:line="240" w:lineRule="auto"/>
        <w:ind w:firstLine="709"/>
        <w:jc w:val="both"/>
        <w:rPr>
          <w:rFonts w:ascii="Garamond" w:hAnsi="Garamond"/>
          <w:sz w:val="28"/>
          <w:szCs w:val="28"/>
        </w:rPr>
      </w:pPr>
    </w:p>
    <w:p w14:paraId="709CA67E" w14:textId="2680A315" w:rsidR="00622804" w:rsidRPr="003C2366" w:rsidRDefault="00622804" w:rsidP="003C2366">
      <w:pPr>
        <w:spacing w:after="0" w:line="240" w:lineRule="auto"/>
        <w:ind w:firstLine="709"/>
        <w:jc w:val="both"/>
        <w:rPr>
          <w:rFonts w:ascii="Garamond" w:hAnsi="Garamond"/>
          <w:sz w:val="28"/>
          <w:szCs w:val="28"/>
        </w:rPr>
      </w:pPr>
      <w:r w:rsidRPr="003C2366">
        <w:rPr>
          <w:rFonts w:ascii="Garamond" w:hAnsi="Garamond"/>
          <w:sz w:val="28"/>
          <w:szCs w:val="28"/>
        </w:rPr>
        <w:t>U</w:t>
      </w:r>
      <w:r w:rsidR="00B4019C" w:rsidRPr="003C2366">
        <w:rPr>
          <w:rFonts w:ascii="Garamond" w:hAnsi="Garamond"/>
          <w:sz w:val="28"/>
          <w:szCs w:val="28"/>
        </w:rPr>
        <w:t>na differente impostazione è s</w:t>
      </w:r>
      <w:r w:rsidR="008D5259" w:rsidRPr="003C2366">
        <w:rPr>
          <w:rFonts w:ascii="Garamond" w:hAnsi="Garamond"/>
          <w:sz w:val="28"/>
          <w:szCs w:val="28"/>
        </w:rPr>
        <w:t xml:space="preserve">tata sostenuta dal </w:t>
      </w:r>
      <w:r w:rsidR="008754D9" w:rsidRPr="003C2366">
        <w:rPr>
          <w:rFonts w:ascii="Garamond" w:hAnsi="Garamond"/>
          <w:sz w:val="28"/>
          <w:szCs w:val="28"/>
        </w:rPr>
        <w:t>T.A.R.</w:t>
      </w:r>
      <w:r w:rsidR="008D5259" w:rsidRPr="003C2366">
        <w:rPr>
          <w:rFonts w:ascii="Garamond" w:hAnsi="Garamond"/>
          <w:sz w:val="28"/>
          <w:szCs w:val="28"/>
        </w:rPr>
        <w:t xml:space="preserve"> Veneto</w:t>
      </w:r>
      <w:r w:rsidR="00B4019C" w:rsidRPr="003C2366">
        <w:rPr>
          <w:rFonts w:ascii="Garamond" w:hAnsi="Garamond"/>
          <w:sz w:val="28"/>
          <w:szCs w:val="28"/>
        </w:rPr>
        <w:t xml:space="preserve"> con </w:t>
      </w:r>
      <w:r w:rsidR="008D5259" w:rsidRPr="003C2366">
        <w:rPr>
          <w:rFonts w:ascii="Garamond" w:hAnsi="Garamond"/>
          <w:sz w:val="28"/>
          <w:szCs w:val="28"/>
        </w:rPr>
        <w:t xml:space="preserve">la </w:t>
      </w:r>
      <w:r w:rsidR="00B4019C" w:rsidRPr="003C2366">
        <w:rPr>
          <w:rFonts w:ascii="Garamond" w:hAnsi="Garamond"/>
          <w:sz w:val="28"/>
          <w:szCs w:val="28"/>
        </w:rPr>
        <w:t>sentenza n. 2873 del 2024</w:t>
      </w:r>
      <w:r w:rsidR="00B4019C" w:rsidRPr="003C2366">
        <w:rPr>
          <w:rFonts w:ascii="Garamond" w:hAnsi="Garamond"/>
          <w:sz w:val="28"/>
          <w:szCs w:val="28"/>
          <w:vertAlign w:val="superscript"/>
        </w:rPr>
        <w:footnoteReference w:id="48"/>
      </w:r>
      <w:r w:rsidR="00B4019C" w:rsidRPr="003C2366">
        <w:rPr>
          <w:rFonts w:ascii="Garamond" w:hAnsi="Garamond"/>
          <w:sz w:val="28"/>
          <w:szCs w:val="28"/>
        </w:rPr>
        <w:t xml:space="preserve">. </w:t>
      </w:r>
    </w:p>
    <w:p w14:paraId="44AC2590" w14:textId="413637E3" w:rsidR="00B4019C" w:rsidRPr="003C2366" w:rsidRDefault="00B4019C"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Muovendo dai presupposti in forza dei quali sono state disposte le proroghe di cui alla </w:t>
      </w:r>
      <w:r w:rsidR="008E07C6" w:rsidRPr="003C2366">
        <w:rPr>
          <w:rFonts w:ascii="Garamond" w:hAnsi="Garamond"/>
          <w:sz w:val="28"/>
          <w:szCs w:val="28"/>
        </w:rPr>
        <w:t>L.</w:t>
      </w:r>
      <w:r w:rsidRPr="003C2366">
        <w:rPr>
          <w:rFonts w:ascii="Garamond" w:hAnsi="Garamond"/>
          <w:sz w:val="28"/>
          <w:szCs w:val="28"/>
        </w:rPr>
        <w:t xml:space="preserve"> </w:t>
      </w:r>
      <w:r w:rsidR="008754D9" w:rsidRPr="003C2366">
        <w:rPr>
          <w:rFonts w:ascii="Garamond" w:hAnsi="Garamond"/>
          <w:sz w:val="28"/>
          <w:szCs w:val="28"/>
        </w:rPr>
        <w:t xml:space="preserve">n. </w:t>
      </w:r>
      <w:r w:rsidRPr="003C2366">
        <w:rPr>
          <w:rFonts w:ascii="Garamond" w:hAnsi="Garamond"/>
          <w:sz w:val="28"/>
          <w:szCs w:val="28"/>
        </w:rPr>
        <w:t xml:space="preserve">118/2022 e al </w:t>
      </w:r>
      <w:r w:rsidR="008754D9" w:rsidRPr="003C2366">
        <w:rPr>
          <w:rFonts w:ascii="Garamond" w:hAnsi="Garamond"/>
          <w:sz w:val="28"/>
          <w:szCs w:val="28"/>
        </w:rPr>
        <w:t>d</w:t>
      </w:r>
      <w:r w:rsidR="008E07C6" w:rsidRPr="003C2366">
        <w:rPr>
          <w:rFonts w:ascii="Garamond" w:hAnsi="Garamond"/>
          <w:sz w:val="28"/>
          <w:szCs w:val="28"/>
        </w:rPr>
        <w:t>.</w:t>
      </w:r>
      <w:r w:rsidR="008754D9" w:rsidRPr="003C2366">
        <w:rPr>
          <w:rFonts w:ascii="Garamond" w:hAnsi="Garamond"/>
          <w:sz w:val="28"/>
          <w:szCs w:val="28"/>
        </w:rPr>
        <w:t>l</w:t>
      </w:r>
      <w:r w:rsidR="008E07C6" w:rsidRPr="003C2366">
        <w:rPr>
          <w:rFonts w:ascii="Garamond" w:hAnsi="Garamond"/>
          <w:sz w:val="28"/>
          <w:szCs w:val="28"/>
        </w:rPr>
        <w:t>.</w:t>
      </w:r>
      <w:r w:rsidRPr="003C2366">
        <w:rPr>
          <w:rFonts w:ascii="Garamond" w:hAnsi="Garamond"/>
          <w:sz w:val="28"/>
          <w:szCs w:val="28"/>
        </w:rPr>
        <w:t xml:space="preserve"> </w:t>
      </w:r>
      <w:r w:rsidR="008754D9" w:rsidRPr="003C2366">
        <w:rPr>
          <w:rFonts w:ascii="Garamond" w:hAnsi="Garamond"/>
          <w:sz w:val="28"/>
          <w:szCs w:val="28"/>
        </w:rPr>
        <w:t xml:space="preserve">n. </w:t>
      </w:r>
      <w:r w:rsidRPr="003C2366">
        <w:rPr>
          <w:rFonts w:ascii="Garamond" w:hAnsi="Garamond"/>
          <w:sz w:val="28"/>
          <w:szCs w:val="28"/>
        </w:rPr>
        <w:t xml:space="preserve">131/2024, i </w:t>
      </w:r>
      <w:r w:rsidR="008754D9" w:rsidRPr="003C2366">
        <w:rPr>
          <w:rFonts w:ascii="Garamond" w:hAnsi="Garamond"/>
          <w:sz w:val="28"/>
          <w:szCs w:val="28"/>
        </w:rPr>
        <w:t>g</w:t>
      </w:r>
      <w:r w:rsidRPr="003C2366">
        <w:rPr>
          <w:rFonts w:ascii="Garamond" w:hAnsi="Garamond"/>
          <w:sz w:val="28"/>
          <w:szCs w:val="28"/>
        </w:rPr>
        <w:t xml:space="preserve">iudici hanno rilevato che la legificazione del termine ultimo di efficacia delle concessioni demaniali marittime </w:t>
      </w:r>
      <w:r w:rsidR="008B2652">
        <w:rPr>
          <w:rFonts w:ascii="Garamond" w:hAnsi="Garamond"/>
          <w:sz w:val="28"/>
          <w:szCs w:val="28"/>
        </w:rPr>
        <w:t>era</w:t>
      </w:r>
      <w:r w:rsidRPr="003C2366">
        <w:rPr>
          <w:rFonts w:ascii="Garamond" w:hAnsi="Garamond"/>
          <w:sz w:val="28"/>
          <w:szCs w:val="28"/>
        </w:rPr>
        <w:t xml:space="preserve"> già stat</w:t>
      </w:r>
      <w:r w:rsidR="008B2652">
        <w:rPr>
          <w:rFonts w:ascii="Garamond" w:hAnsi="Garamond"/>
          <w:sz w:val="28"/>
          <w:szCs w:val="28"/>
        </w:rPr>
        <w:t>a</w:t>
      </w:r>
      <w:r w:rsidRPr="003C2366">
        <w:rPr>
          <w:rFonts w:ascii="Garamond" w:hAnsi="Garamond"/>
          <w:sz w:val="28"/>
          <w:szCs w:val="28"/>
        </w:rPr>
        <w:t xml:space="preserve"> di</w:t>
      </w:r>
      <w:r w:rsidR="00622804" w:rsidRPr="003C2366">
        <w:rPr>
          <w:rFonts w:ascii="Garamond" w:hAnsi="Garamond"/>
          <w:sz w:val="28"/>
          <w:szCs w:val="28"/>
        </w:rPr>
        <w:t>spost</w:t>
      </w:r>
      <w:r w:rsidR="008B2652">
        <w:rPr>
          <w:rFonts w:ascii="Garamond" w:hAnsi="Garamond"/>
          <w:sz w:val="28"/>
          <w:szCs w:val="28"/>
        </w:rPr>
        <w:t>a</w:t>
      </w:r>
      <w:r w:rsidR="00622804" w:rsidRPr="003C2366">
        <w:rPr>
          <w:rFonts w:ascii="Garamond" w:hAnsi="Garamond"/>
          <w:sz w:val="28"/>
          <w:szCs w:val="28"/>
        </w:rPr>
        <w:t xml:space="preserve"> dall'Adunanza Plenaria, «</w:t>
      </w:r>
      <w:r w:rsidRPr="003C2366">
        <w:rPr>
          <w:rFonts w:ascii="Garamond" w:hAnsi="Garamond"/>
          <w:i/>
          <w:sz w:val="28"/>
          <w:szCs w:val="28"/>
        </w:rPr>
        <w:t xml:space="preserve">al solo scopo di permettere nel frattempo lo svolgimento delle procedure competitive preordinate all'assegnazione delle aree demaniali, come prescritto dall'art. 12 della direttiva 2006/123/CE. Tale impostazione risulta altresì confermata dalla successiva novella introdotta al richiamato comma 1 dell'art. 3 della </w:t>
      </w:r>
      <w:r w:rsidR="008E07C6" w:rsidRPr="003C2366">
        <w:rPr>
          <w:rFonts w:ascii="Garamond" w:hAnsi="Garamond"/>
          <w:i/>
          <w:sz w:val="28"/>
          <w:szCs w:val="28"/>
        </w:rPr>
        <w:t>L.</w:t>
      </w:r>
      <w:r w:rsidRPr="003C2366">
        <w:rPr>
          <w:rFonts w:ascii="Garamond" w:hAnsi="Garamond"/>
          <w:i/>
          <w:sz w:val="28"/>
          <w:szCs w:val="28"/>
        </w:rPr>
        <w:t xml:space="preserve"> n. 118 del 2022 dall'art. 1 del </w:t>
      </w:r>
      <w:r w:rsidR="008E07C6" w:rsidRPr="003C2366">
        <w:rPr>
          <w:rFonts w:ascii="Garamond" w:hAnsi="Garamond"/>
          <w:i/>
          <w:sz w:val="28"/>
          <w:szCs w:val="28"/>
        </w:rPr>
        <w:t>D.L.</w:t>
      </w:r>
      <w:r w:rsidRPr="003C2366">
        <w:rPr>
          <w:rFonts w:ascii="Garamond" w:hAnsi="Garamond"/>
          <w:i/>
          <w:sz w:val="28"/>
          <w:szCs w:val="28"/>
        </w:rPr>
        <w:t xml:space="preserve"> 16 settembre 2024, n. 131 che, pur posticipando il termine di efficacia delle concessioni al 30 settembre 2027, espressamente chiarisce che ciò avviene "Al fine di consentire l'ordinata programmazione delle procedure di affidamento di cui all'articolo 4 e il loro svolgimento nel rispetto del diritto dell'Unione europea e secondo le modalità stabilite dal medesimo articolo 4</w:t>
      </w:r>
      <w:r w:rsidR="00622804" w:rsidRPr="003C2366">
        <w:rPr>
          <w:rFonts w:ascii="Garamond" w:hAnsi="Garamond"/>
          <w:sz w:val="28"/>
          <w:szCs w:val="28"/>
        </w:rPr>
        <w:t>»</w:t>
      </w:r>
      <w:r w:rsidRPr="003C2366">
        <w:rPr>
          <w:rFonts w:ascii="Garamond" w:hAnsi="Garamond"/>
          <w:sz w:val="28"/>
          <w:szCs w:val="28"/>
        </w:rPr>
        <w:t xml:space="preserve">. </w:t>
      </w:r>
    </w:p>
    <w:p w14:paraId="1B29CD79" w14:textId="32A41825" w:rsidR="00B4019C" w:rsidRPr="003C2366" w:rsidRDefault="00622804"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In conclusione, il </w:t>
      </w:r>
      <w:r w:rsidR="009E6BAB" w:rsidRPr="009E6BAB">
        <w:rPr>
          <w:rFonts w:ascii="Garamond" w:hAnsi="Garamond"/>
          <w:sz w:val="28"/>
          <w:szCs w:val="28"/>
        </w:rPr>
        <w:t>T.A.R. Veneto</w:t>
      </w:r>
      <w:r w:rsidRPr="003C2366">
        <w:rPr>
          <w:rFonts w:ascii="Garamond" w:hAnsi="Garamond"/>
          <w:sz w:val="28"/>
          <w:szCs w:val="28"/>
        </w:rPr>
        <w:t xml:space="preserve"> </w:t>
      </w:r>
      <w:r w:rsidR="009E6BAB">
        <w:rPr>
          <w:rFonts w:ascii="Garamond" w:hAnsi="Garamond"/>
          <w:sz w:val="28"/>
          <w:szCs w:val="28"/>
        </w:rPr>
        <w:t xml:space="preserve">ha ritenuto </w:t>
      </w:r>
      <w:r w:rsidRPr="003C2366">
        <w:rPr>
          <w:rFonts w:ascii="Garamond" w:hAnsi="Garamond"/>
          <w:sz w:val="28"/>
          <w:szCs w:val="28"/>
        </w:rPr>
        <w:t>che «</w:t>
      </w:r>
      <w:r w:rsidR="00B4019C" w:rsidRPr="003C2366">
        <w:rPr>
          <w:rFonts w:ascii="Garamond" w:hAnsi="Garamond"/>
          <w:i/>
          <w:sz w:val="28"/>
          <w:szCs w:val="28"/>
        </w:rPr>
        <w:t>l'introduzione del termine finale del 31 dicembre 2023 (ora 30 settembre 2027) costituisce una mera "</w:t>
      </w:r>
      <w:r w:rsidR="00B4019C" w:rsidRPr="003C2366">
        <w:rPr>
          <w:rFonts w:ascii="Garamond" w:hAnsi="Garamond"/>
          <w:b/>
          <w:i/>
          <w:sz w:val="28"/>
          <w:szCs w:val="28"/>
        </w:rPr>
        <w:t>proroga tecnica</w:t>
      </w:r>
      <w:r w:rsidR="00B4019C" w:rsidRPr="003C2366">
        <w:rPr>
          <w:rFonts w:ascii="Garamond" w:hAnsi="Garamond"/>
          <w:i/>
          <w:sz w:val="28"/>
          <w:szCs w:val="28"/>
        </w:rPr>
        <w:t>" disposta dal legislatore al solo scopo di consentire, medio tempore, l'assegnazione della risorsa demaniale mediante una gara pubblica</w:t>
      </w:r>
      <w:r w:rsidRPr="003C2366">
        <w:rPr>
          <w:rFonts w:ascii="Garamond" w:hAnsi="Garamond"/>
          <w:sz w:val="28"/>
          <w:szCs w:val="28"/>
        </w:rPr>
        <w:t>»</w:t>
      </w:r>
      <w:r w:rsidR="00B4019C" w:rsidRPr="003C2366">
        <w:rPr>
          <w:rFonts w:ascii="Garamond" w:hAnsi="Garamond"/>
          <w:sz w:val="28"/>
          <w:szCs w:val="28"/>
        </w:rPr>
        <w:t>.</w:t>
      </w:r>
    </w:p>
    <w:p w14:paraId="2DBC4B5D" w14:textId="77777777" w:rsidR="00B4019C" w:rsidRPr="003C2366" w:rsidRDefault="00B4019C" w:rsidP="003C2366">
      <w:pPr>
        <w:spacing w:after="0" w:line="240" w:lineRule="auto"/>
        <w:ind w:firstLine="709"/>
        <w:jc w:val="both"/>
        <w:rPr>
          <w:rFonts w:ascii="Garamond" w:hAnsi="Garamond"/>
          <w:sz w:val="28"/>
          <w:szCs w:val="28"/>
        </w:rPr>
      </w:pPr>
      <w:r w:rsidRPr="003C2366">
        <w:rPr>
          <w:rFonts w:ascii="Garamond" w:hAnsi="Garamond"/>
          <w:sz w:val="28"/>
          <w:szCs w:val="28"/>
        </w:rPr>
        <w:t>La mutata visione delle proroghe da ultimo disposte, nella veste di proroghe tecniche, pone nuovi interrogativi in ordine alla loro legittimità.</w:t>
      </w:r>
    </w:p>
    <w:p w14:paraId="4B201F82" w14:textId="18E4592A" w:rsidR="00B4019C" w:rsidRDefault="00B4019C" w:rsidP="009E6BAB">
      <w:pPr>
        <w:spacing w:after="0" w:line="240" w:lineRule="auto"/>
        <w:ind w:firstLine="709"/>
        <w:jc w:val="both"/>
        <w:rPr>
          <w:rFonts w:ascii="Garamond" w:hAnsi="Garamond"/>
          <w:sz w:val="28"/>
          <w:szCs w:val="28"/>
        </w:rPr>
      </w:pPr>
      <w:r w:rsidRPr="003C2366">
        <w:rPr>
          <w:rFonts w:ascii="Garamond" w:hAnsi="Garamond"/>
          <w:sz w:val="28"/>
          <w:szCs w:val="28"/>
        </w:rPr>
        <w:t>D</w:t>
      </w:r>
      <w:r w:rsidR="008D5259" w:rsidRPr="003C2366">
        <w:rPr>
          <w:rFonts w:ascii="Garamond" w:hAnsi="Garamond"/>
          <w:sz w:val="28"/>
          <w:szCs w:val="28"/>
        </w:rPr>
        <w:t xml:space="preserve">a ultimo, il </w:t>
      </w:r>
      <w:r w:rsidR="008754D9" w:rsidRPr="003C2366">
        <w:rPr>
          <w:rFonts w:ascii="Garamond" w:hAnsi="Garamond"/>
          <w:sz w:val="28"/>
          <w:szCs w:val="28"/>
        </w:rPr>
        <w:t xml:space="preserve">T.A.R. </w:t>
      </w:r>
      <w:r w:rsidR="009E6BAB">
        <w:rPr>
          <w:rFonts w:ascii="Garamond" w:hAnsi="Garamond"/>
          <w:sz w:val="28"/>
          <w:szCs w:val="28"/>
        </w:rPr>
        <w:t xml:space="preserve">Puglia </w:t>
      </w:r>
      <w:r w:rsidR="008D5259" w:rsidRPr="003C2366">
        <w:rPr>
          <w:rFonts w:ascii="Garamond" w:hAnsi="Garamond"/>
          <w:sz w:val="28"/>
          <w:szCs w:val="28"/>
        </w:rPr>
        <w:t>Lecce</w:t>
      </w:r>
      <w:r w:rsidRPr="003C2366">
        <w:rPr>
          <w:rFonts w:ascii="Garamond" w:hAnsi="Garamond"/>
          <w:sz w:val="28"/>
          <w:szCs w:val="28"/>
        </w:rPr>
        <w:t>, si è pronunciato in via cau</w:t>
      </w:r>
      <w:r w:rsidR="008D5259" w:rsidRPr="003C2366">
        <w:rPr>
          <w:rFonts w:ascii="Garamond" w:hAnsi="Garamond"/>
          <w:sz w:val="28"/>
          <w:szCs w:val="28"/>
        </w:rPr>
        <w:t>telare sulla presente questione.</w:t>
      </w:r>
      <w:r w:rsidR="009E6BAB">
        <w:rPr>
          <w:rFonts w:ascii="Garamond" w:hAnsi="Garamond"/>
          <w:sz w:val="28"/>
          <w:szCs w:val="28"/>
        </w:rPr>
        <w:t xml:space="preserve"> </w:t>
      </w:r>
      <w:r w:rsidRPr="003C2366">
        <w:rPr>
          <w:rFonts w:ascii="Garamond" w:hAnsi="Garamond"/>
          <w:sz w:val="28"/>
          <w:szCs w:val="28"/>
        </w:rPr>
        <w:t xml:space="preserve">Dapprima, con </w:t>
      </w:r>
      <w:r w:rsidR="00374433">
        <w:rPr>
          <w:rFonts w:ascii="Garamond" w:hAnsi="Garamond"/>
          <w:sz w:val="28"/>
          <w:szCs w:val="28"/>
        </w:rPr>
        <w:t>d</w:t>
      </w:r>
      <w:r w:rsidRPr="003C2366">
        <w:rPr>
          <w:rFonts w:ascii="Garamond" w:hAnsi="Garamond"/>
          <w:sz w:val="28"/>
          <w:szCs w:val="28"/>
        </w:rPr>
        <w:t>ecr</w:t>
      </w:r>
      <w:r w:rsidR="009E6BAB">
        <w:rPr>
          <w:rFonts w:ascii="Garamond" w:hAnsi="Garamond"/>
          <w:sz w:val="28"/>
          <w:szCs w:val="28"/>
        </w:rPr>
        <w:t>eto del Presidente n. 842/</w:t>
      </w:r>
      <w:r w:rsidRPr="003C2366">
        <w:rPr>
          <w:rFonts w:ascii="Garamond" w:hAnsi="Garamond"/>
          <w:sz w:val="28"/>
          <w:szCs w:val="28"/>
        </w:rPr>
        <w:t xml:space="preserve">2024, si è accertato che la normativa sopravvenuta di cui alla </w:t>
      </w:r>
      <w:r w:rsidR="008E07C6" w:rsidRPr="003C2366">
        <w:rPr>
          <w:rFonts w:ascii="Garamond" w:hAnsi="Garamond"/>
          <w:sz w:val="28"/>
          <w:szCs w:val="28"/>
        </w:rPr>
        <w:t>L.</w:t>
      </w:r>
      <w:r w:rsidRPr="003C2366">
        <w:rPr>
          <w:rFonts w:ascii="Garamond" w:hAnsi="Garamond"/>
          <w:sz w:val="28"/>
          <w:szCs w:val="28"/>
        </w:rPr>
        <w:t xml:space="preserve"> </w:t>
      </w:r>
      <w:r w:rsidR="002167D0" w:rsidRPr="003C2366">
        <w:rPr>
          <w:rFonts w:ascii="Garamond" w:hAnsi="Garamond"/>
          <w:sz w:val="28"/>
          <w:szCs w:val="28"/>
        </w:rPr>
        <w:t xml:space="preserve">n. </w:t>
      </w:r>
      <w:r w:rsidRPr="003C2366">
        <w:rPr>
          <w:rFonts w:ascii="Garamond" w:hAnsi="Garamond"/>
          <w:sz w:val="28"/>
          <w:szCs w:val="28"/>
        </w:rPr>
        <w:t>166/2024 “</w:t>
      </w:r>
      <w:r w:rsidRPr="003C2366">
        <w:rPr>
          <w:rFonts w:ascii="Garamond" w:hAnsi="Garamond"/>
          <w:i/>
          <w:sz w:val="28"/>
          <w:szCs w:val="28"/>
        </w:rPr>
        <w:t xml:space="preserve">non appare prima </w:t>
      </w:r>
      <w:proofErr w:type="spellStart"/>
      <w:r w:rsidRPr="003C2366">
        <w:rPr>
          <w:rFonts w:ascii="Garamond" w:hAnsi="Garamond"/>
          <w:i/>
          <w:sz w:val="28"/>
          <w:szCs w:val="28"/>
        </w:rPr>
        <w:t>facie</w:t>
      </w:r>
      <w:proofErr w:type="spellEnd"/>
      <w:r w:rsidRPr="003C2366">
        <w:rPr>
          <w:rFonts w:ascii="Garamond" w:hAnsi="Garamond"/>
          <w:i/>
          <w:sz w:val="28"/>
          <w:szCs w:val="28"/>
        </w:rPr>
        <w:t xml:space="preserve"> qualificabile come proroga automatica della durata delle </w:t>
      </w:r>
      <w:proofErr w:type="spellStart"/>
      <w:r w:rsidRPr="003C2366">
        <w:rPr>
          <w:rFonts w:ascii="Garamond" w:hAnsi="Garamond"/>
          <w:i/>
          <w:sz w:val="28"/>
          <w:szCs w:val="28"/>
        </w:rPr>
        <w:t>c.d.m</w:t>
      </w:r>
      <w:proofErr w:type="spellEnd"/>
      <w:r w:rsidRPr="003C2366">
        <w:rPr>
          <w:rFonts w:ascii="Garamond" w:hAnsi="Garamond"/>
          <w:i/>
          <w:sz w:val="28"/>
          <w:szCs w:val="28"/>
        </w:rPr>
        <w:t>. in essere</w:t>
      </w:r>
      <w:r w:rsidRPr="003C2366">
        <w:rPr>
          <w:rFonts w:ascii="Garamond" w:hAnsi="Garamond"/>
          <w:sz w:val="28"/>
          <w:szCs w:val="28"/>
        </w:rPr>
        <w:t>”</w:t>
      </w:r>
      <w:r w:rsidR="009E6BAB" w:rsidRPr="009E6BAB">
        <w:rPr>
          <w:rFonts w:ascii="Garamond" w:hAnsi="Garamond"/>
          <w:sz w:val="28"/>
          <w:szCs w:val="28"/>
          <w:vertAlign w:val="superscript"/>
        </w:rPr>
        <w:t xml:space="preserve"> </w:t>
      </w:r>
      <w:r w:rsidR="009E6BAB" w:rsidRPr="003C2366">
        <w:rPr>
          <w:rFonts w:ascii="Garamond" w:hAnsi="Garamond"/>
          <w:sz w:val="28"/>
          <w:szCs w:val="28"/>
          <w:vertAlign w:val="superscript"/>
        </w:rPr>
        <w:footnoteReference w:id="49"/>
      </w:r>
      <w:r w:rsidRPr="003C2366">
        <w:rPr>
          <w:rFonts w:ascii="Garamond" w:hAnsi="Garamond"/>
          <w:sz w:val="28"/>
          <w:szCs w:val="28"/>
        </w:rPr>
        <w:t>. Successiv</w:t>
      </w:r>
      <w:r w:rsidR="009E6BAB">
        <w:rPr>
          <w:rFonts w:ascii="Garamond" w:hAnsi="Garamond"/>
          <w:sz w:val="28"/>
          <w:szCs w:val="28"/>
        </w:rPr>
        <w:t>amente, con Ordinanza n. 17/</w:t>
      </w:r>
      <w:r w:rsidRPr="003C2366">
        <w:rPr>
          <w:rFonts w:ascii="Garamond" w:hAnsi="Garamond"/>
          <w:sz w:val="28"/>
          <w:szCs w:val="28"/>
        </w:rPr>
        <w:t xml:space="preserve">2025, i </w:t>
      </w:r>
      <w:r w:rsidR="002167D0" w:rsidRPr="003C2366">
        <w:rPr>
          <w:rFonts w:ascii="Garamond" w:hAnsi="Garamond"/>
          <w:sz w:val="28"/>
          <w:szCs w:val="28"/>
        </w:rPr>
        <w:t>g</w:t>
      </w:r>
      <w:r w:rsidRPr="003C2366">
        <w:rPr>
          <w:rFonts w:ascii="Garamond" w:hAnsi="Garamond"/>
          <w:sz w:val="28"/>
          <w:szCs w:val="28"/>
        </w:rPr>
        <w:t>iudici amministrativi hanno accolto l’istanza cautelare che era stata formulata, confermando indirettamente quanto già sommariam</w:t>
      </w:r>
      <w:r w:rsidR="00622804" w:rsidRPr="003C2366">
        <w:rPr>
          <w:rFonts w:ascii="Garamond" w:hAnsi="Garamond"/>
          <w:sz w:val="28"/>
          <w:szCs w:val="28"/>
        </w:rPr>
        <w:t>ente dedotto con il precedente d</w:t>
      </w:r>
      <w:r w:rsidRPr="003C2366">
        <w:rPr>
          <w:rFonts w:ascii="Garamond" w:hAnsi="Garamond"/>
          <w:sz w:val="28"/>
          <w:szCs w:val="28"/>
        </w:rPr>
        <w:t>ecreto</w:t>
      </w:r>
      <w:r w:rsidR="009E6BAB" w:rsidRPr="003C2366">
        <w:rPr>
          <w:rFonts w:ascii="Garamond" w:hAnsi="Garamond"/>
          <w:sz w:val="28"/>
          <w:szCs w:val="28"/>
          <w:vertAlign w:val="superscript"/>
        </w:rPr>
        <w:footnoteReference w:id="50"/>
      </w:r>
      <w:r w:rsidRPr="003C2366">
        <w:rPr>
          <w:rFonts w:ascii="Garamond" w:hAnsi="Garamond"/>
          <w:sz w:val="28"/>
          <w:szCs w:val="28"/>
        </w:rPr>
        <w:t>.</w:t>
      </w:r>
    </w:p>
    <w:p w14:paraId="1FDEF4DC" w14:textId="198DBF62" w:rsidR="001B69E2" w:rsidRDefault="001B69E2" w:rsidP="003C2366">
      <w:pPr>
        <w:spacing w:after="0" w:line="240" w:lineRule="auto"/>
        <w:ind w:firstLine="709"/>
        <w:jc w:val="both"/>
        <w:rPr>
          <w:rFonts w:ascii="Garamond" w:hAnsi="Garamond"/>
          <w:sz w:val="28"/>
          <w:szCs w:val="28"/>
        </w:rPr>
      </w:pPr>
    </w:p>
    <w:p w14:paraId="52E35BDA" w14:textId="412F8958" w:rsidR="001B69E2" w:rsidRDefault="00AC4C0F" w:rsidP="003C2366">
      <w:pPr>
        <w:spacing w:after="0" w:line="240" w:lineRule="auto"/>
        <w:ind w:firstLine="709"/>
        <w:jc w:val="both"/>
        <w:rPr>
          <w:rFonts w:ascii="Garamond" w:hAnsi="Garamond"/>
          <w:sz w:val="28"/>
          <w:szCs w:val="28"/>
        </w:rPr>
      </w:pPr>
      <w:r>
        <w:rPr>
          <w:rFonts w:ascii="Garamond" w:hAnsi="Garamond"/>
          <w:sz w:val="28"/>
          <w:szCs w:val="28"/>
        </w:rPr>
        <w:lastRenderedPageBreak/>
        <w:t>I temi oggetto del dibattito giurisprudenziale sono stati recentemente ampliati da una pronuncia del T.A.R. Liguria</w:t>
      </w:r>
      <w:r>
        <w:rPr>
          <w:rStyle w:val="Rimandonotaapidipagina"/>
          <w:rFonts w:ascii="Garamond" w:hAnsi="Garamond"/>
          <w:sz w:val="28"/>
          <w:szCs w:val="28"/>
        </w:rPr>
        <w:footnoteReference w:id="51"/>
      </w:r>
      <w:r>
        <w:rPr>
          <w:rFonts w:ascii="Garamond" w:hAnsi="Garamond"/>
          <w:sz w:val="28"/>
          <w:szCs w:val="28"/>
        </w:rPr>
        <w:t xml:space="preserve">, che ha affrontato in via diretta le ricadute applicative della nuova disciplina. </w:t>
      </w:r>
    </w:p>
    <w:p w14:paraId="57B4C91D" w14:textId="3ABD5C00" w:rsidR="00AC4C0F" w:rsidRDefault="0084354D" w:rsidP="003C2366">
      <w:pPr>
        <w:spacing w:after="0" w:line="240" w:lineRule="auto"/>
        <w:ind w:firstLine="709"/>
        <w:jc w:val="both"/>
        <w:rPr>
          <w:rFonts w:ascii="Garamond" w:hAnsi="Garamond"/>
          <w:sz w:val="28"/>
          <w:szCs w:val="28"/>
        </w:rPr>
      </w:pPr>
      <w:r>
        <w:rPr>
          <w:rFonts w:ascii="Garamond" w:hAnsi="Garamond"/>
          <w:sz w:val="28"/>
          <w:szCs w:val="28"/>
        </w:rPr>
        <w:t xml:space="preserve">La sentenza in esame ha respinto il ricorso e i successivi </w:t>
      </w:r>
      <w:r w:rsidR="00AA480F">
        <w:rPr>
          <w:rFonts w:ascii="Garamond" w:hAnsi="Garamond"/>
          <w:sz w:val="28"/>
          <w:szCs w:val="28"/>
        </w:rPr>
        <w:t>motivi aggiunti proposti</w:t>
      </w:r>
      <w:r w:rsidRPr="0084354D">
        <w:t xml:space="preserve"> </w:t>
      </w:r>
      <w:r w:rsidRPr="0084354D">
        <w:rPr>
          <w:rFonts w:ascii="Garamond" w:hAnsi="Garamond"/>
          <w:sz w:val="28"/>
          <w:szCs w:val="28"/>
        </w:rPr>
        <w:t>da</w:t>
      </w:r>
      <w:r>
        <w:t xml:space="preserve"> </w:t>
      </w:r>
      <w:r w:rsidRPr="0084354D">
        <w:rPr>
          <w:rFonts w:ascii="Garamond" w:hAnsi="Garamond"/>
          <w:sz w:val="28"/>
          <w:szCs w:val="28"/>
        </w:rPr>
        <w:t>tr</w:t>
      </w:r>
      <w:r>
        <w:rPr>
          <w:rFonts w:ascii="Garamond" w:hAnsi="Garamond"/>
          <w:sz w:val="28"/>
          <w:szCs w:val="28"/>
        </w:rPr>
        <w:t>e operatori economici</w:t>
      </w:r>
      <w:r w:rsidRPr="0084354D">
        <w:rPr>
          <w:rFonts w:ascii="Garamond" w:hAnsi="Garamond"/>
          <w:sz w:val="28"/>
          <w:szCs w:val="28"/>
        </w:rPr>
        <w:t>, titolari di concessioni demaniali marittime assentite con licenze</w:t>
      </w:r>
      <w:r>
        <w:rPr>
          <w:rFonts w:ascii="Garamond" w:hAnsi="Garamond"/>
          <w:sz w:val="28"/>
          <w:szCs w:val="28"/>
        </w:rPr>
        <w:t xml:space="preserve"> </w:t>
      </w:r>
      <w:r w:rsidRPr="0084354D">
        <w:rPr>
          <w:rFonts w:ascii="Garamond" w:hAnsi="Garamond"/>
          <w:sz w:val="28"/>
          <w:szCs w:val="28"/>
        </w:rPr>
        <w:t>più volte prorogate </w:t>
      </w:r>
      <w:r w:rsidRPr="0084354D">
        <w:rPr>
          <w:rFonts w:ascii="Garamond" w:hAnsi="Garamond"/>
          <w:i/>
          <w:iCs/>
          <w:sz w:val="28"/>
          <w:szCs w:val="28"/>
        </w:rPr>
        <w:t>ex lege</w:t>
      </w:r>
      <w:r>
        <w:rPr>
          <w:rFonts w:ascii="Garamond" w:hAnsi="Garamond"/>
          <w:sz w:val="28"/>
          <w:szCs w:val="28"/>
        </w:rPr>
        <w:t>, con cui sono stati impugnati i provvedimenti attraverso i quali l’</w:t>
      </w:r>
      <w:r w:rsidR="009E6BAB">
        <w:rPr>
          <w:rFonts w:ascii="Garamond" w:hAnsi="Garamond"/>
          <w:sz w:val="28"/>
          <w:szCs w:val="28"/>
        </w:rPr>
        <w:t>A</w:t>
      </w:r>
      <w:r>
        <w:rPr>
          <w:rFonts w:ascii="Garamond" w:hAnsi="Garamond"/>
          <w:sz w:val="28"/>
          <w:szCs w:val="28"/>
        </w:rPr>
        <w:t>mministrazione comunale</w:t>
      </w:r>
      <w:r w:rsidRPr="0084354D">
        <w:rPr>
          <w:rFonts w:ascii="Garamond" w:hAnsi="Garamond"/>
          <w:sz w:val="28"/>
          <w:szCs w:val="28"/>
        </w:rPr>
        <w:t xml:space="preserve"> </w:t>
      </w:r>
      <w:r w:rsidR="009E6BAB">
        <w:rPr>
          <w:rFonts w:ascii="Garamond" w:hAnsi="Garamond"/>
          <w:sz w:val="28"/>
          <w:szCs w:val="28"/>
        </w:rPr>
        <w:t>avev</w:t>
      </w:r>
      <w:r w:rsidRPr="0084354D">
        <w:rPr>
          <w:rFonts w:ascii="Garamond" w:hAnsi="Garamond"/>
          <w:sz w:val="28"/>
          <w:szCs w:val="28"/>
        </w:rPr>
        <w:t>a preso atto della cessazi</w:t>
      </w:r>
      <w:r w:rsidR="009E6BAB">
        <w:rPr>
          <w:rFonts w:ascii="Garamond" w:hAnsi="Garamond"/>
          <w:sz w:val="28"/>
          <w:szCs w:val="28"/>
        </w:rPr>
        <w:t>one dei titoli concessori il 31/12/</w:t>
      </w:r>
      <w:r w:rsidRPr="0084354D">
        <w:rPr>
          <w:rFonts w:ascii="Garamond" w:hAnsi="Garamond"/>
          <w:sz w:val="28"/>
          <w:szCs w:val="28"/>
        </w:rPr>
        <w:t>2023 e</w:t>
      </w:r>
      <w:r w:rsidR="009E6BAB">
        <w:rPr>
          <w:rFonts w:ascii="Garamond" w:hAnsi="Garamond"/>
          <w:sz w:val="28"/>
          <w:szCs w:val="28"/>
        </w:rPr>
        <w:t>d avev</w:t>
      </w:r>
      <w:r>
        <w:rPr>
          <w:rFonts w:ascii="Garamond" w:hAnsi="Garamond"/>
          <w:sz w:val="28"/>
          <w:szCs w:val="28"/>
        </w:rPr>
        <w:t>a disposto di bandire procedure selettive</w:t>
      </w:r>
      <w:r w:rsidRPr="0084354D">
        <w:rPr>
          <w:rFonts w:ascii="Garamond" w:hAnsi="Garamond"/>
          <w:sz w:val="28"/>
          <w:szCs w:val="28"/>
        </w:rPr>
        <w:t xml:space="preserve"> per l’assegnazione delle nuove concessioni, rilasciando agli affidatari uscenti </w:t>
      </w:r>
      <w:r w:rsidR="009E6BAB">
        <w:rPr>
          <w:rFonts w:ascii="Garamond" w:hAnsi="Garamond"/>
          <w:sz w:val="28"/>
          <w:szCs w:val="28"/>
        </w:rPr>
        <w:t>un titolo temporaneo sino al 31/10/</w:t>
      </w:r>
      <w:r w:rsidRPr="0084354D">
        <w:rPr>
          <w:rFonts w:ascii="Garamond" w:hAnsi="Garamond"/>
          <w:sz w:val="28"/>
          <w:szCs w:val="28"/>
        </w:rPr>
        <w:t>2024</w:t>
      </w:r>
      <w:r>
        <w:rPr>
          <w:rFonts w:ascii="Garamond" w:hAnsi="Garamond"/>
          <w:sz w:val="28"/>
          <w:szCs w:val="28"/>
        </w:rPr>
        <w:t xml:space="preserve">. </w:t>
      </w:r>
    </w:p>
    <w:p w14:paraId="5394FFDB" w14:textId="71FE6217" w:rsidR="00AA480F" w:rsidRDefault="00AA480F" w:rsidP="00AA480F">
      <w:pPr>
        <w:spacing w:after="0" w:line="276" w:lineRule="auto"/>
        <w:ind w:firstLine="709"/>
        <w:jc w:val="both"/>
        <w:rPr>
          <w:rFonts w:ascii="Garamond" w:hAnsi="Garamond"/>
          <w:sz w:val="28"/>
          <w:szCs w:val="28"/>
        </w:rPr>
      </w:pPr>
      <w:r>
        <w:rPr>
          <w:rFonts w:ascii="Garamond" w:hAnsi="Garamond"/>
          <w:sz w:val="28"/>
          <w:szCs w:val="28"/>
        </w:rPr>
        <w:t xml:space="preserve">Il Giudice </w:t>
      </w:r>
      <w:r w:rsidR="009E6BAB">
        <w:rPr>
          <w:rFonts w:ascii="Garamond" w:hAnsi="Garamond"/>
          <w:sz w:val="28"/>
          <w:szCs w:val="28"/>
        </w:rPr>
        <w:t>ha posto</w:t>
      </w:r>
      <w:r>
        <w:rPr>
          <w:rFonts w:ascii="Garamond" w:hAnsi="Garamond"/>
          <w:sz w:val="28"/>
          <w:szCs w:val="28"/>
        </w:rPr>
        <w:t xml:space="preserve"> l’attenzione su tre di</w:t>
      </w:r>
      <w:r w:rsidR="00DB1CF1">
        <w:rPr>
          <w:rFonts w:ascii="Garamond" w:hAnsi="Garamond"/>
          <w:sz w:val="28"/>
          <w:szCs w:val="28"/>
        </w:rPr>
        <w:t>fferenti profili interpretativi.</w:t>
      </w:r>
    </w:p>
    <w:p w14:paraId="78FBBC13" w14:textId="77777777" w:rsidR="00DB1CF1" w:rsidRPr="00045C95" w:rsidRDefault="00DB1CF1" w:rsidP="00045C95">
      <w:pPr>
        <w:spacing w:after="0" w:line="240" w:lineRule="auto"/>
        <w:ind w:left="708"/>
        <w:jc w:val="both"/>
        <w:rPr>
          <w:rFonts w:ascii="Garamond" w:hAnsi="Garamond"/>
          <w:sz w:val="28"/>
          <w:szCs w:val="28"/>
        </w:rPr>
      </w:pPr>
      <w:r w:rsidRPr="00045C95">
        <w:rPr>
          <w:rFonts w:ascii="Garamond" w:hAnsi="Garamond"/>
          <w:sz w:val="28"/>
          <w:szCs w:val="28"/>
        </w:rPr>
        <w:t>L</w:t>
      </w:r>
      <w:r w:rsidR="00AA480F" w:rsidRPr="00045C95">
        <w:rPr>
          <w:rFonts w:ascii="Garamond" w:hAnsi="Garamond"/>
          <w:sz w:val="28"/>
          <w:szCs w:val="28"/>
        </w:rPr>
        <w:t xml:space="preserve">a durata delle concessioni. </w:t>
      </w:r>
    </w:p>
    <w:p w14:paraId="5B0EC391" w14:textId="52DDD0CA" w:rsidR="00AA480F" w:rsidRPr="00045C95" w:rsidRDefault="00AA480F" w:rsidP="00045C95">
      <w:pPr>
        <w:spacing w:after="0" w:line="240" w:lineRule="auto"/>
        <w:jc w:val="both"/>
        <w:rPr>
          <w:rFonts w:ascii="Garamond" w:hAnsi="Garamond"/>
          <w:sz w:val="28"/>
          <w:szCs w:val="28"/>
        </w:rPr>
      </w:pPr>
      <w:r w:rsidRPr="00045C95">
        <w:rPr>
          <w:rFonts w:ascii="Garamond" w:hAnsi="Garamond"/>
          <w:sz w:val="28"/>
          <w:szCs w:val="28"/>
        </w:rPr>
        <w:t>L</w:t>
      </w:r>
      <w:r w:rsidR="005E797A" w:rsidRPr="00045C95">
        <w:rPr>
          <w:rFonts w:ascii="Garamond" w:hAnsi="Garamond"/>
          <w:sz w:val="28"/>
          <w:szCs w:val="28"/>
        </w:rPr>
        <w:t>a sentenza</w:t>
      </w:r>
      <w:r w:rsidRPr="00045C95">
        <w:rPr>
          <w:rFonts w:ascii="Garamond" w:hAnsi="Garamond"/>
          <w:sz w:val="28"/>
          <w:szCs w:val="28"/>
        </w:rPr>
        <w:t xml:space="preserve"> </w:t>
      </w:r>
      <w:r w:rsidR="00DB1CF1" w:rsidRPr="00045C95">
        <w:rPr>
          <w:rFonts w:ascii="Garamond" w:hAnsi="Garamond"/>
          <w:sz w:val="28"/>
          <w:szCs w:val="28"/>
        </w:rPr>
        <w:t xml:space="preserve">ha </w:t>
      </w:r>
      <w:r w:rsidRPr="00045C95">
        <w:rPr>
          <w:rFonts w:ascii="Garamond" w:hAnsi="Garamond"/>
          <w:sz w:val="28"/>
          <w:szCs w:val="28"/>
        </w:rPr>
        <w:t>respin</w:t>
      </w:r>
      <w:r w:rsidR="00DB1CF1" w:rsidRPr="00045C95">
        <w:rPr>
          <w:rFonts w:ascii="Garamond" w:hAnsi="Garamond"/>
          <w:sz w:val="28"/>
          <w:szCs w:val="28"/>
        </w:rPr>
        <w:t>to</w:t>
      </w:r>
      <w:r w:rsidRPr="00045C95">
        <w:rPr>
          <w:rFonts w:ascii="Garamond" w:hAnsi="Garamond"/>
          <w:sz w:val="28"/>
          <w:szCs w:val="28"/>
        </w:rPr>
        <w:t xml:space="preserve"> le tesi sostenute dalle parti ricorrenti, volte a valorizzare la proroga legislativa</w:t>
      </w:r>
      <w:r w:rsidR="00562C4F" w:rsidRPr="00045C95">
        <w:rPr>
          <w:rFonts w:ascii="Garamond" w:hAnsi="Garamond"/>
          <w:sz w:val="28"/>
          <w:szCs w:val="28"/>
        </w:rPr>
        <w:t>,</w:t>
      </w:r>
      <w:r w:rsidRPr="00045C95">
        <w:rPr>
          <w:rFonts w:ascii="Garamond" w:hAnsi="Garamond"/>
          <w:sz w:val="28"/>
          <w:szCs w:val="28"/>
        </w:rPr>
        <w:t xml:space="preserve"> precedenteme</w:t>
      </w:r>
      <w:r w:rsidR="00562C4F" w:rsidRPr="00045C95">
        <w:rPr>
          <w:rFonts w:ascii="Garamond" w:hAnsi="Garamond"/>
          <w:sz w:val="28"/>
          <w:szCs w:val="28"/>
        </w:rPr>
        <w:t>nte disposta dall’art. 12, c</w:t>
      </w:r>
      <w:r w:rsidR="00DB1CF1" w:rsidRPr="00045C95">
        <w:rPr>
          <w:rFonts w:ascii="Garamond" w:hAnsi="Garamond"/>
          <w:sz w:val="28"/>
          <w:szCs w:val="28"/>
        </w:rPr>
        <w:t>.</w:t>
      </w:r>
      <w:r w:rsidR="00562C4F" w:rsidRPr="00045C95">
        <w:rPr>
          <w:rFonts w:ascii="Garamond" w:hAnsi="Garamond"/>
          <w:sz w:val="28"/>
          <w:szCs w:val="28"/>
        </w:rPr>
        <w:t xml:space="preserve"> 6-</w:t>
      </w:r>
      <w:r w:rsidR="00562C4F" w:rsidRPr="00045C95">
        <w:rPr>
          <w:rFonts w:ascii="Garamond" w:hAnsi="Garamond"/>
          <w:i/>
          <w:iCs/>
          <w:sz w:val="28"/>
          <w:szCs w:val="28"/>
        </w:rPr>
        <w:t>sexies</w:t>
      </w:r>
      <w:r w:rsidR="00562C4F" w:rsidRPr="00045C95">
        <w:rPr>
          <w:rFonts w:ascii="Garamond" w:hAnsi="Garamond"/>
          <w:sz w:val="28"/>
          <w:szCs w:val="28"/>
        </w:rPr>
        <w:t xml:space="preserve"> </w:t>
      </w:r>
      <w:r w:rsidR="00DB1CF1" w:rsidRPr="00045C95">
        <w:rPr>
          <w:rFonts w:ascii="Garamond" w:hAnsi="Garamond"/>
          <w:sz w:val="28"/>
          <w:szCs w:val="28"/>
        </w:rPr>
        <w:t>del d.l. n. 198/2022, conv. in L</w:t>
      </w:r>
      <w:r w:rsidR="00562C4F" w:rsidRPr="00045C95">
        <w:rPr>
          <w:rFonts w:ascii="Garamond" w:hAnsi="Garamond"/>
          <w:sz w:val="28"/>
          <w:szCs w:val="28"/>
        </w:rPr>
        <w:t>. n. 14/2023, che</w:t>
      </w:r>
      <w:r w:rsidR="00562C4F">
        <w:t xml:space="preserve"> </w:t>
      </w:r>
      <w:r w:rsidR="00562C4F" w:rsidRPr="00045C95">
        <w:rPr>
          <w:rFonts w:ascii="Garamond" w:hAnsi="Garamond"/>
          <w:sz w:val="28"/>
          <w:szCs w:val="28"/>
        </w:rPr>
        <w:t>aveva</w:t>
      </w:r>
      <w:r w:rsidR="00DB1CF1" w:rsidRPr="00045C95">
        <w:rPr>
          <w:rFonts w:ascii="Garamond" w:hAnsi="Garamond"/>
          <w:sz w:val="28"/>
          <w:szCs w:val="28"/>
        </w:rPr>
        <w:t xml:space="preserve"> posticipato al 31/12/</w:t>
      </w:r>
      <w:r w:rsidR="00562C4F" w:rsidRPr="00045C95">
        <w:rPr>
          <w:rFonts w:ascii="Garamond" w:hAnsi="Garamond"/>
          <w:sz w:val="28"/>
          <w:szCs w:val="28"/>
        </w:rPr>
        <w:t>2024 la scadenza delle concessioni nonché, da ultimo, quella previs</w:t>
      </w:r>
      <w:r w:rsidR="00DB1CF1" w:rsidRPr="00045C95">
        <w:rPr>
          <w:rFonts w:ascii="Garamond" w:hAnsi="Garamond"/>
          <w:sz w:val="28"/>
          <w:szCs w:val="28"/>
        </w:rPr>
        <w:t>ta dal d.l. 131/2024 sino al 30/09/</w:t>
      </w:r>
      <w:r w:rsidR="00562C4F" w:rsidRPr="00045C95">
        <w:rPr>
          <w:rFonts w:ascii="Garamond" w:hAnsi="Garamond"/>
          <w:sz w:val="28"/>
          <w:szCs w:val="28"/>
        </w:rPr>
        <w:t xml:space="preserve">2027. </w:t>
      </w:r>
    </w:p>
    <w:p w14:paraId="02BC0409" w14:textId="06D4D509" w:rsidR="00562C4F" w:rsidRPr="00045C95" w:rsidRDefault="005E797A" w:rsidP="00045C95">
      <w:pPr>
        <w:spacing w:after="0" w:line="240" w:lineRule="auto"/>
        <w:jc w:val="both"/>
        <w:rPr>
          <w:rFonts w:ascii="Garamond" w:hAnsi="Garamond"/>
          <w:sz w:val="28"/>
          <w:szCs w:val="28"/>
        </w:rPr>
      </w:pPr>
      <w:r w:rsidRPr="00045C95">
        <w:rPr>
          <w:rFonts w:ascii="Garamond" w:hAnsi="Garamond"/>
          <w:sz w:val="28"/>
          <w:szCs w:val="28"/>
        </w:rPr>
        <w:t xml:space="preserve">A mente del T.A.R., </w:t>
      </w:r>
      <w:r w:rsidRPr="00045C95">
        <w:rPr>
          <w:rFonts w:ascii="Garamond" w:hAnsi="Garamond"/>
          <w:b/>
          <w:sz w:val="28"/>
          <w:szCs w:val="28"/>
        </w:rPr>
        <w:t>tali</w:t>
      </w:r>
      <w:r w:rsidR="00562C4F" w:rsidRPr="00045C95">
        <w:rPr>
          <w:rFonts w:ascii="Garamond" w:hAnsi="Garamond"/>
          <w:b/>
          <w:sz w:val="28"/>
          <w:szCs w:val="28"/>
        </w:rPr>
        <w:t xml:space="preserve"> prescrizioni devono essere oggetto di disapplicazione</w:t>
      </w:r>
      <w:r w:rsidR="00562C4F" w:rsidRPr="00045C95">
        <w:rPr>
          <w:rFonts w:ascii="Garamond" w:hAnsi="Garamond"/>
          <w:sz w:val="28"/>
          <w:szCs w:val="28"/>
        </w:rPr>
        <w:t xml:space="preserve"> poiché “</w:t>
      </w:r>
      <w:r w:rsidR="00562C4F" w:rsidRPr="00045C95">
        <w:rPr>
          <w:rFonts w:ascii="Garamond" w:hAnsi="Garamond"/>
          <w:i/>
          <w:sz w:val="28"/>
          <w:szCs w:val="28"/>
        </w:rPr>
        <w:t>in forza delle sentenze dell’Adunanza Plenaria del Consiglio di Stato nn. 17 e 18 del 2021, recepite dall’art. 3 della legge n. 118/2022, le concessioni demaniali marittime per attività turistico-ricreative, beneficiarie di plurime proroghe </w:t>
      </w:r>
      <w:r w:rsidR="00562C4F" w:rsidRPr="00045C95">
        <w:rPr>
          <w:rFonts w:ascii="Garamond" w:hAnsi="Garamond"/>
          <w:i/>
          <w:iCs/>
          <w:sz w:val="28"/>
          <w:szCs w:val="28"/>
        </w:rPr>
        <w:t>ex lege</w:t>
      </w:r>
      <w:r w:rsidR="00562C4F" w:rsidRPr="00045C95">
        <w:rPr>
          <w:rFonts w:ascii="Garamond" w:hAnsi="Garamond"/>
          <w:i/>
          <w:sz w:val="28"/>
          <w:szCs w:val="28"/>
        </w:rPr>
        <w:t>, hanno cessato i loro effetti in data 31 dicembre 2023, sicché le nuove assegnazioni devono avvenire mediante selezioni imparziali e trasparenti tra i potenziali candidati, ai sensi dell’art. 12 della direttiva 2006/123/CE (c.d. Bolkestein) e dell’art. 49 TFUE</w:t>
      </w:r>
      <w:r w:rsidR="00F70D81" w:rsidRPr="00045C95">
        <w:rPr>
          <w:rFonts w:ascii="Garamond" w:hAnsi="Garamond"/>
          <w:sz w:val="28"/>
          <w:szCs w:val="28"/>
        </w:rPr>
        <w:t>”</w:t>
      </w:r>
      <w:r w:rsidR="00562C4F" w:rsidRPr="00045C95">
        <w:rPr>
          <w:rFonts w:ascii="Garamond" w:hAnsi="Garamond"/>
          <w:sz w:val="28"/>
          <w:szCs w:val="28"/>
        </w:rPr>
        <w:t>.</w:t>
      </w:r>
    </w:p>
    <w:p w14:paraId="13D4951F" w14:textId="7B4AF7B4" w:rsidR="00F70D81" w:rsidRPr="00045C95" w:rsidRDefault="00F70D81" w:rsidP="00045C95">
      <w:pPr>
        <w:spacing w:after="0" w:line="240" w:lineRule="auto"/>
        <w:jc w:val="both"/>
        <w:rPr>
          <w:rFonts w:ascii="Garamond" w:hAnsi="Garamond"/>
          <w:sz w:val="28"/>
          <w:szCs w:val="28"/>
        </w:rPr>
      </w:pPr>
      <w:r w:rsidRPr="00045C95">
        <w:rPr>
          <w:rFonts w:ascii="Garamond" w:hAnsi="Garamond"/>
          <w:sz w:val="28"/>
          <w:szCs w:val="28"/>
        </w:rPr>
        <w:t xml:space="preserve">Con particolare riferimento alla nuova cornice normativa, la pronuncia </w:t>
      </w:r>
      <w:r w:rsidR="00DB1CF1" w:rsidRPr="00045C95">
        <w:rPr>
          <w:rFonts w:ascii="Garamond" w:hAnsi="Garamond"/>
          <w:sz w:val="28"/>
          <w:szCs w:val="28"/>
        </w:rPr>
        <w:t>ha disatteso</w:t>
      </w:r>
      <w:r w:rsidRPr="00045C95">
        <w:rPr>
          <w:rFonts w:ascii="Garamond" w:hAnsi="Garamond"/>
          <w:sz w:val="28"/>
          <w:szCs w:val="28"/>
        </w:rPr>
        <w:t xml:space="preserve"> la </w:t>
      </w:r>
      <w:r w:rsidR="00DB1CF1" w:rsidRPr="00045C95">
        <w:rPr>
          <w:rFonts w:ascii="Garamond" w:hAnsi="Garamond"/>
          <w:sz w:val="28"/>
          <w:szCs w:val="28"/>
        </w:rPr>
        <w:t>tesi</w:t>
      </w:r>
      <w:r w:rsidRPr="00045C95">
        <w:rPr>
          <w:rFonts w:ascii="Garamond" w:hAnsi="Garamond"/>
          <w:sz w:val="28"/>
          <w:szCs w:val="28"/>
        </w:rPr>
        <w:t xml:space="preserve"> avanzata dai ricorrenti </w:t>
      </w:r>
      <w:r w:rsidR="00DB1CF1" w:rsidRPr="00045C95">
        <w:rPr>
          <w:rFonts w:ascii="Garamond" w:hAnsi="Garamond"/>
          <w:sz w:val="28"/>
          <w:szCs w:val="28"/>
        </w:rPr>
        <w:t>volta a valorizzare l’</w:t>
      </w:r>
      <w:r w:rsidRPr="00045C95">
        <w:rPr>
          <w:rFonts w:ascii="Garamond" w:hAnsi="Garamond"/>
          <w:sz w:val="28"/>
          <w:szCs w:val="28"/>
        </w:rPr>
        <w:t xml:space="preserve">accordo tra lo Stato italiano e la Commissione </w:t>
      </w:r>
      <w:r w:rsidR="00DB1CF1" w:rsidRPr="00045C95">
        <w:rPr>
          <w:rFonts w:ascii="Garamond" w:hAnsi="Garamond"/>
          <w:sz w:val="28"/>
          <w:szCs w:val="28"/>
        </w:rPr>
        <w:t>e</w:t>
      </w:r>
      <w:r w:rsidRPr="00045C95">
        <w:rPr>
          <w:rFonts w:ascii="Garamond" w:hAnsi="Garamond"/>
          <w:sz w:val="28"/>
          <w:szCs w:val="28"/>
        </w:rPr>
        <w:t xml:space="preserve">uropea, da cui discenderebbe l’obbligo per le </w:t>
      </w:r>
      <w:r w:rsidR="00DB1CF1" w:rsidRPr="00045C95">
        <w:rPr>
          <w:rFonts w:ascii="Garamond" w:hAnsi="Garamond"/>
          <w:sz w:val="28"/>
          <w:szCs w:val="28"/>
        </w:rPr>
        <w:t>A</w:t>
      </w:r>
      <w:r w:rsidRPr="00045C95">
        <w:rPr>
          <w:rFonts w:ascii="Garamond" w:hAnsi="Garamond"/>
          <w:sz w:val="28"/>
          <w:szCs w:val="28"/>
        </w:rPr>
        <w:t>mministrazioni di pror</w:t>
      </w:r>
      <w:r w:rsidR="00DB1CF1" w:rsidRPr="00045C95">
        <w:rPr>
          <w:rFonts w:ascii="Garamond" w:hAnsi="Garamond"/>
          <w:sz w:val="28"/>
          <w:szCs w:val="28"/>
        </w:rPr>
        <w:t>ogare le concessioni sino al 30/09/</w:t>
      </w:r>
      <w:r w:rsidRPr="00045C95">
        <w:rPr>
          <w:rFonts w:ascii="Garamond" w:hAnsi="Garamond"/>
          <w:sz w:val="28"/>
          <w:szCs w:val="28"/>
        </w:rPr>
        <w:t>2027. Ciò</w:t>
      </w:r>
      <w:r w:rsidR="005E797A" w:rsidRPr="00045C95">
        <w:rPr>
          <w:rFonts w:ascii="Garamond" w:hAnsi="Garamond"/>
          <w:sz w:val="28"/>
          <w:szCs w:val="28"/>
        </w:rPr>
        <w:t xml:space="preserve">, da un lato, poiché non </w:t>
      </w:r>
      <w:r w:rsidR="00DB1CF1" w:rsidRPr="00045C95">
        <w:rPr>
          <w:rFonts w:ascii="Garamond" w:hAnsi="Garamond"/>
          <w:sz w:val="28"/>
          <w:szCs w:val="28"/>
        </w:rPr>
        <w:t>è risultato</w:t>
      </w:r>
      <w:r w:rsidR="005E797A" w:rsidRPr="00045C95">
        <w:rPr>
          <w:rFonts w:ascii="Garamond" w:hAnsi="Garamond"/>
          <w:sz w:val="28"/>
          <w:szCs w:val="28"/>
        </w:rPr>
        <w:t xml:space="preserve"> esistere un documento </w:t>
      </w:r>
      <w:r w:rsidR="00DB1CF1" w:rsidRPr="00045C95">
        <w:rPr>
          <w:rFonts w:ascii="Garamond" w:hAnsi="Garamond"/>
          <w:sz w:val="28"/>
          <w:szCs w:val="28"/>
        </w:rPr>
        <w:t>scritto racchiudente tale patto,</w:t>
      </w:r>
      <w:r w:rsidR="005E797A" w:rsidRPr="00045C95">
        <w:rPr>
          <w:rFonts w:ascii="Garamond" w:hAnsi="Garamond"/>
          <w:sz w:val="28"/>
          <w:szCs w:val="28"/>
        </w:rPr>
        <w:t xml:space="preserve"> dall’altro</w:t>
      </w:r>
      <w:r w:rsidR="00DB1CF1" w:rsidRPr="00045C95">
        <w:rPr>
          <w:rFonts w:ascii="Garamond" w:hAnsi="Garamond"/>
          <w:sz w:val="28"/>
          <w:szCs w:val="28"/>
        </w:rPr>
        <w:t>, perché</w:t>
      </w:r>
      <w:r w:rsidR="005E797A" w:rsidRPr="00045C95">
        <w:rPr>
          <w:rFonts w:ascii="Garamond" w:hAnsi="Garamond"/>
          <w:sz w:val="28"/>
          <w:szCs w:val="28"/>
        </w:rPr>
        <w:t xml:space="preserve"> “</w:t>
      </w:r>
      <w:r w:rsidRPr="00045C95">
        <w:rPr>
          <w:rFonts w:ascii="Garamond" w:hAnsi="Garamond"/>
          <w:i/>
          <w:sz w:val="28"/>
          <w:szCs w:val="28"/>
        </w:rPr>
        <w:t>in ogni caso, un simile accordo non potrebbe prevalere sul </w:t>
      </w:r>
      <w:r w:rsidRPr="00045C95">
        <w:rPr>
          <w:rFonts w:ascii="Garamond" w:hAnsi="Garamond"/>
          <w:i/>
          <w:iCs/>
          <w:sz w:val="28"/>
          <w:szCs w:val="28"/>
        </w:rPr>
        <w:t>dictum</w:t>
      </w:r>
      <w:r w:rsidRPr="00045C95">
        <w:rPr>
          <w:rFonts w:ascii="Garamond" w:hAnsi="Garamond"/>
          <w:i/>
          <w:sz w:val="28"/>
          <w:szCs w:val="28"/>
        </w:rPr>
        <w:t xml:space="preserve"> della Corte di Giustizia in ordine all’incompatibilità </w:t>
      </w:r>
      <w:proofErr w:type="spellStart"/>
      <w:r w:rsidRPr="00045C95">
        <w:rPr>
          <w:rFonts w:ascii="Garamond" w:hAnsi="Garamond"/>
          <w:i/>
          <w:sz w:val="28"/>
          <w:szCs w:val="28"/>
        </w:rPr>
        <w:t>unionale</w:t>
      </w:r>
      <w:proofErr w:type="spellEnd"/>
      <w:r w:rsidRPr="00045C95">
        <w:rPr>
          <w:rFonts w:ascii="Garamond" w:hAnsi="Garamond"/>
          <w:i/>
          <w:sz w:val="28"/>
          <w:szCs w:val="28"/>
        </w:rPr>
        <w:t xml:space="preserve"> del rinnovo automatico delle concessioni demaniali per finalità turistico-ricreative (CGUE, sez. V, 14 luglio 2016, cause riunite C-458/14 e C-67/15, </w:t>
      </w:r>
      <w:r w:rsidRPr="00045C95">
        <w:rPr>
          <w:rFonts w:ascii="Garamond" w:hAnsi="Garamond"/>
          <w:i/>
          <w:iCs/>
          <w:sz w:val="28"/>
          <w:szCs w:val="28"/>
        </w:rPr>
        <w:t>Promoimpresa e Melis</w:t>
      </w:r>
      <w:r w:rsidRPr="00045C95">
        <w:rPr>
          <w:rFonts w:ascii="Garamond" w:hAnsi="Garamond"/>
          <w:i/>
          <w:sz w:val="28"/>
          <w:szCs w:val="28"/>
        </w:rPr>
        <w:t>; id., sez. III, 20 aprile 2023, causa C-348/22, </w:t>
      </w:r>
      <w:r w:rsidRPr="00045C95">
        <w:rPr>
          <w:rFonts w:ascii="Garamond" w:hAnsi="Garamond"/>
          <w:i/>
          <w:iCs/>
          <w:sz w:val="28"/>
          <w:szCs w:val="28"/>
        </w:rPr>
        <w:t>Autorità Garante della Concorrenza e del Mercato</w:t>
      </w:r>
      <w:r w:rsidRPr="00045C95">
        <w:rPr>
          <w:rFonts w:ascii="Garamond" w:hAnsi="Garamond"/>
          <w:i/>
          <w:sz w:val="28"/>
          <w:szCs w:val="28"/>
        </w:rPr>
        <w:t>), essendo la Curia europea l’organo deputato all’interpretazione autentica del diritto eurounitario, con effetti vincolanti sia nei confronti delle autorità nazionali che delle altre istituzioni dell’Unione</w:t>
      </w:r>
      <w:r w:rsidR="00DB1CF1" w:rsidRPr="00045C95">
        <w:rPr>
          <w:rFonts w:ascii="Garamond" w:hAnsi="Garamond"/>
          <w:sz w:val="28"/>
          <w:szCs w:val="28"/>
        </w:rPr>
        <w:t>”.</w:t>
      </w:r>
    </w:p>
    <w:p w14:paraId="56B3EC3E" w14:textId="77777777" w:rsidR="00DB1CF1" w:rsidRPr="00045C95" w:rsidRDefault="00DB1CF1" w:rsidP="00045C95">
      <w:pPr>
        <w:pStyle w:val="Paragrafoelenco"/>
        <w:spacing w:after="0" w:line="240" w:lineRule="auto"/>
        <w:ind w:left="1429"/>
        <w:jc w:val="both"/>
        <w:rPr>
          <w:rFonts w:ascii="Garamond" w:hAnsi="Garamond"/>
          <w:sz w:val="28"/>
          <w:szCs w:val="28"/>
        </w:rPr>
      </w:pPr>
      <w:r w:rsidRPr="00045C95">
        <w:rPr>
          <w:rFonts w:ascii="Garamond" w:hAnsi="Garamond"/>
          <w:sz w:val="28"/>
          <w:szCs w:val="28"/>
        </w:rPr>
        <w:t>L</w:t>
      </w:r>
      <w:r w:rsidR="00066877" w:rsidRPr="00045C95">
        <w:rPr>
          <w:rFonts w:ascii="Garamond" w:hAnsi="Garamond"/>
          <w:sz w:val="28"/>
          <w:szCs w:val="28"/>
        </w:rPr>
        <w:t xml:space="preserve">e modalità ed i criteri della selezione. </w:t>
      </w:r>
    </w:p>
    <w:p w14:paraId="313D4DE0" w14:textId="4B59030F" w:rsidR="00D42F46" w:rsidRPr="00045C95" w:rsidRDefault="001E5479" w:rsidP="00045C95">
      <w:pPr>
        <w:spacing w:after="0" w:line="240" w:lineRule="auto"/>
        <w:jc w:val="both"/>
        <w:rPr>
          <w:rFonts w:ascii="Garamond" w:hAnsi="Garamond"/>
          <w:b/>
          <w:sz w:val="28"/>
          <w:szCs w:val="28"/>
        </w:rPr>
      </w:pPr>
      <w:r w:rsidRPr="00045C95">
        <w:rPr>
          <w:rFonts w:ascii="Garamond" w:hAnsi="Garamond"/>
          <w:sz w:val="28"/>
          <w:szCs w:val="28"/>
        </w:rPr>
        <w:t>Il T.A.R. ha ritenuto</w:t>
      </w:r>
      <w:r w:rsidR="00066877" w:rsidRPr="00045C95">
        <w:rPr>
          <w:rFonts w:ascii="Garamond" w:hAnsi="Garamond"/>
          <w:sz w:val="28"/>
          <w:szCs w:val="28"/>
        </w:rPr>
        <w:t xml:space="preserve"> infondata</w:t>
      </w:r>
      <w:r w:rsidRPr="00045C95">
        <w:rPr>
          <w:rFonts w:ascii="Garamond" w:hAnsi="Garamond"/>
          <w:sz w:val="28"/>
          <w:szCs w:val="28"/>
        </w:rPr>
        <w:t xml:space="preserve"> anche</w:t>
      </w:r>
      <w:r w:rsidR="00066877" w:rsidRPr="00045C95">
        <w:rPr>
          <w:rFonts w:ascii="Garamond" w:hAnsi="Garamond"/>
          <w:sz w:val="28"/>
          <w:szCs w:val="28"/>
        </w:rPr>
        <w:t xml:space="preserve"> la tesi dei ricorrenti secondo cui l’atto che dispone l’avviamento di nuove gare </w:t>
      </w:r>
      <w:r w:rsidRPr="00045C95">
        <w:rPr>
          <w:rFonts w:ascii="Garamond" w:hAnsi="Garamond"/>
          <w:sz w:val="28"/>
          <w:szCs w:val="28"/>
        </w:rPr>
        <w:t>sarebbe</w:t>
      </w:r>
      <w:r w:rsidR="00066877" w:rsidRPr="00045C95">
        <w:rPr>
          <w:rFonts w:ascii="Garamond" w:hAnsi="Garamond"/>
          <w:sz w:val="28"/>
          <w:szCs w:val="28"/>
        </w:rPr>
        <w:t xml:space="preserve"> affetto da illegittimità sopravvenuta, per violazione dei criteri introdotti dal d.l. n. 131/2024 tramite la</w:t>
      </w:r>
      <w:r w:rsidR="00D42F46" w:rsidRPr="00045C95">
        <w:rPr>
          <w:rFonts w:ascii="Garamond" w:hAnsi="Garamond"/>
          <w:sz w:val="28"/>
          <w:szCs w:val="28"/>
        </w:rPr>
        <w:t xml:space="preserve"> novella dell’art. 4 della L.</w:t>
      </w:r>
      <w:r w:rsidR="00066877" w:rsidRPr="00045C95">
        <w:rPr>
          <w:rFonts w:ascii="Garamond" w:hAnsi="Garamond"/>
          <w:sz w:val="28"/>
          <w:szCs w:val="28"/>
        </w:rPr>
        <w:t xml:space="preserve"> n. 118/2022. Il T.A.R. rammenta, infatti, che </w:t>
      </w:r>
      <w:r w:rsidRPr="00045C95">
        <w:rPr>
          <w:rFonts w:ascii="Garamond" w:hAnsi="Garamond"/>
          <w:sz w:val="28"/>
          <w:szCs w:val="28"/>
        </w:rPr>
        <w:t>l’art. 1, c.</w:t>
      </w:r>
      <w:r w:rsidR="00066877" w:rsidRPr="00045C95">
        <w:rPr>
          <w:rFonts w:ascii="Garamond" w:hAnsi="Garamond"/>
          <w:sz w:val="28"/>
          <w:szCs w:val="28"/>
        </w:rPr>
        <w:t xml:space="preserve"> 1, lett. a), n. 1.1), del d.l. n. 131/2024 “</w:t>
      </w:r>
      <w:r w:rsidR="00066877" w:rsidRPr="00045C95">
        <w:rPr>
          <w:rFonts w:ascii="Garamond" w:hAnsi="Garamond"/>
          <w:b/>
          <w:i/>
          <w:sz w:val="28"/>
          <w:szCs w:val="28"/>
        </w:rPr>
        <w:t>sancisce espressamente la validità delle selezioni deliberate prima dell’entrata in vigore della nuova disciplina</w:t>
      </w:r>
      <w:r w:rsidR="00D42F46" w:rsidRPr="00045C95">
        <w:rPr>
          <w:rFonts w:ascii="Garamond" w:hAnsi="Garamond"/>
          <w:sz w:val="28"/>
          <w:szCs w:val="28"/>
        </w:rPr>
        <w:t>”</w:t>
      </w:r>
      <w:r w:rsidR="00066877" w:rsidRPr="00045C95">
        <w:rPr>
          <w:rFonts w:ascii="Garamond" w:hAnsi="Garamond"/>
          <w:sz w:val="28"/>
          <w:szCs w:val="28"/>
        </w:rPr>
        <w:t>, stabilendo</w:t>
      </w:r>
      <w:r w:rsidR="00D42F46" w:rsidRPr="00045C95">
        <w:rPr>
          <w:rFonts w:ascii="Garamond" w:hAnsi="Garamond"/>
          <w:sz w:val="28"/>
          <w:szCs w:val="28"/>
        </w:rPr>
        <w:t xml:space="preserve"> che i criteri e le modalità procedurali indicati dall’art. 4 della L. n. 118/2022 </w:t>
      </w:r>
      <w:r w:rsidRPr="00045C95">
        <w:rPr>
          <w:rFonts w:ascii="Garamond" w:hAnsi="Garamond"/>
          <w:b/>
          <w:sz w:val="28"/>
          <w:szCs w:val="28"/>
        </w:rPr>
        <w:t>hanno</w:t>
      </w:r>
      <w:r w:rsidR="00D42F46" w:rsidRPr="00045C95">
        <w:rPr>
          <w:rFonts w:ascii="Garamond" w:hAnsi="Garamond"/>
          <w:b/>
          <w:sz w:val="28"/>
          <w:szCs w:val="28"/>
        </w:rPr>
        <w:t xml:space="preserve"> un ambito operativo limitato </w:t>
      </w:r>
      <w:r w:rsidR="00066877" w:rsidRPr="00045C95">
        <w:rPr>
          <w:rFonts w:ascii="Garamond" w:hAnsi="Garamond"/>
          <w:b/>
          <w:sz w:val="28"/>
          <w:szCs w:val="28"/>
        </w:rPr>
        <w:t>a</w:t>
      </w:r>
      <w:r w:rsidR="00D42F46" w:rsidRPr="00045C95">
        <w:rPr>
          <w:rFonts w:ascii="Garamond" w:hAnsi="Garamond"/>
          <w:b/>
          <w:sz w:val="28"/>
          <w:szCs w:val="28"/>
        </w:rPr>
        <w:t>lle gare avviate successivamente a</w:t>
      </w:r>
      <w:r w:rsidR="00066877" w:rsidRPr="00045C95">
        <w:rPr>
          <w:rFonts w:ascii="Garamond" w:hAnsi="Garamond"/>
          <w:b/>
          <w:sz w:val="28"/>
          <w:szCs w:val="28"/>
        </w:rPr>
        <w:t xml:space="preserve"> tale data</w:t>
      </w:r>
      <w:r w:rsidR="00066877" w:rsidRPr="00045C95">
        <w:rPr>
          <w:rFonts w:ascii="Garamond" w:hAnsi="Garamond"/>
          <w:sz w:val="28"/>
          <w:szCs w:val="28"/>
        </w:rPr>
        <w:t>, nel rispetto dei principi di irretroattività della legge e del </w:t>
      </w:r>
      <w:r w:rsidR="00066877" w:rsidRPr="00045C95">
        <w:rPr>
          <w:rFonts w:ascii="Garamond" w:hAnsi="Garamond"/>
          <w:i/>
          <w:iCs/>
          <w:sz w:val="28"/>
          <w:szCs w:val="28"/>
        </w:rPr>
        <w:t>tempus regit actum</w:t>
      </w:r>
      <w:r w:rsidR="00BD621E" w:rsidRPr="00045C95">
        <w:rPr>
          <w:rFonts w:ascii="Garamond" w:hAnsi="Garamond"/>
          <w:iCs/>
          <w:sz w:val="28"/>
          <w:szCs w:val="28"/>
        </w:rPr>
        <w:t>.</w:t>
      </w:r>
    </w:p>
    <w:p w14:paraId="41E2E5CD" w14:textId="77777777" w:rsidR="006479DA" w:rsidRPr="00045C95" w:rsidRDefault="00D42F46" w:rsidP="00045C95">
      <w:pPr>
        <w:pStyle w:val="Paragrafoelenco"/>
        <w:spacing w:after="0" w:line="240" w:lineRule="auto"/>
        <w:ind w:left="1429"/>
        <w:jc w:val="both"/>
        <w:rPr>
          <w:rFonts w:ascii="Garamond" w:hAnsi="Garamond"/>
          <w:sz w:val="28"/>
          <w:szCs w:val="28"/>
        </w:rPr>
      </w:pPr>
      <w:r w:rsidRPr="00045C95">
        <w:rPr>
          <w:rFonts w:ascii="Garamond" w:hAnsi="Garamond"/>
          <w:sz w:val="28"/>
          <w:szCs w:val="28"/>
        </w:rPr>
        <w:lastRenderedPageBreak/>
        <w:t xml:space="preserve">L’indennizzo in favore del concessionario uscente. </w:t>
      </w:r>
    </w:p>
    <w:p w14:paraId="38135310" w14:textId="0E1D3312" w:rsidR="00D42F46" w:rsidRPr="00045C95" w:rsidRDefault="008B6182" w:rsidP="00045C95">
      <w:pPr>
        <w:spacing w:after="0" w:line="240" w:lineRule="auto"/>
        <w:jc w:val="both"/>
        <w:rPr>
          <w:rFonts w:ascii="Garamond" w:hAnsi="Garamond"/>
          <w:b/>
          <w:sz w:val="28"/>
          <w:szCs w:val="28"/>
        </w:rPr>
      </w:pPr>
      <w:r w:rsidRPr="00045C95">
        <w:rPr>
          <w:rFonts w:ascii="Garamond" w:hAnsi="Garamond"/>
          <w:sz w:val="28"/>
          <w:szCs w:val="28"/>
        </w:rPr>
        <w:t xml:space="preserve">In via preliminare, la pronuncia </w:t>
      </w:r>
      <w:r w:rsidR="006479DA" w:rsidRPr="00045C95">
        <w:rPr>
          <w:rFonts w:ascii="Garamond" w:hAnsi="Garamond"/>
          <w:sz w:val="28"/>
          <w:szCs w:val="28"/>
        </w:rPr>
        <w:t>ha evidenziato</w:t>
      </w:r>
      <w:r w:rsidRPr="00045C95">
        <w:rPr>
          <w:rFonts w:ascii="Garamond" w:hAnsi="Garamond"/>
          <w:sz w:val="28"/>
          <w:szCs w:val="28"/>
        </w:rPr>
        <w:t xml:space="preserve"> come lo stesso atto impugnato </w:t>
      </w:r>
      <w:r w:rsidR="006479DA" w:rsidRPr="00045C95">
        <w:rPr>
          <w:rFonts w:ascii="Garamond" w:hAnsi="Garamond"/>
          <w:sz w:val="28"/>
          <w:szCs w:val="28"/>
        </w:rPr>
        <w:t>prescriveva</w:t>
      </w:r>
      <w:r w:rsidRPr="00045C95">
        <w:rPr>
          <w:rFonts w:ascii="Garamond" w:hAnsi="Garamond"/>
          <w:sz w:val="28"/>
          <w:szCs w:val="28"/>
        </w:rPr>
        <w:t xml:space="preserve"> l’obbligo del concessionario subentrante di indennizzare quello precedente per gli investimenti non ammortiz</w:t>
      </w:r>
      <w:r w:rsidR="006479DA" w:rsidRPr="00045C95">
        <w:rPr>
          <w:rFonts w:ascii="Garamond" w:hAnsi="Garamond"/>
          <w:sz w:val="28"/>
          <w:szCs w:val="28"/>
        </w:rPr>
        <w:t>zati alla data del 31/12/</w:t>
      </w:r>
      <w:r w:rsidRPr="00045C95">
        <w:rPr>
          <w:rFonts w:ascii="Garamond" w:hAnsi="Garamond"/>
          <w:sz w:val="28"/>
          <w:szCs w:val="28"/>
        </w:rPr>
        <w:t>2023,</w:t>
      </w:r>
      <w:r w:rsidR="006479DA" w:rsidRPr="00045C95">
        <w:rPr>
          <w:rFonts w:ascii="Garamond" w:hAnsi="Garamond"/>
          <w:sz w:val="28"/>
          <w:szCs w:val="28"/>
        </w:rPr>
        <w:t xml:space="preserve"> in conformità all’art. 4, c.</w:t>
      </w:r>
      <w:r w:rsidRPr="00045C95">
        <w:rPr>
          <w:rFonts w:ascii="Garamond" w:hAnsi="Garamond"/>
          <w:sz w:val="28"/>
          <w:szCs w:val="28"/>
        </w:rPr>
        <w:t xml:space="preserve"> 2, lett. i), della </w:t>
      </w:r>
      <w:r w:rsidR="006479DA" w:rsidRPr="00045C95">
        <w:rPr>
          <w:rFonts w:ascii="Garamond" w:hAnsi="Garamond"/>
          <w:sz w:val="28"/>
          <w:szCs w:val="28"/>
        </w:rPr>
        <w:t>L.</w:t>
      </w:r>
      <w:r w:rsidRPr="00045C95">
        <w:rPr>
          <w:rFonts w:ascii="Garamond" w:hAnsi="Garamond"/>
          <w:sz w:val="28"/>
          <w:szCs w:val="28"/>
        </w:rPr>
        <w:t xml:space="preserve"> n. 118/2022. </w:t>
      </w:r>
    </w:p>
    <w:p w14:paraId="64DFB0F3" w14:textId="5C63C4F5" w:rsidR="00D42F46" w:rsidRDefault="008B6182" w:rsidP="00045C95">
      <w:pPr>
        <w:spacing w:after="0" w:line="240" w:lineRule="auto"/>
        <w:jc w:val="both"/>
        <w:rPr>
          <w:rFonts w:ascii="Garamond" w:hAnsi="Garamond"/>
          <w:sz w:val="28"/>
          <w:szCs w:val="28"/>
        </w:rPr>
      </w:pPr>
      <w:r w:rsidRPr="00045C95">
        <w:rPr>
          <w:rFonts w:ascii="Garamond" w:hAnsi="Garamond"/>
          <w:sz w:val="28"/>
          <w:szCs w:val="28"/>
        </w:rPr>
        <w:t xml:space="preserve">In seconda battuta, </w:t>
      </w:r>
      <w:r w:rsidR="006479DA" w:rsidRPr="00045C95">
        <w:rPr>
          <w:rFonts w:ascii="Garamond" w:hAnsi="Garamond"/>
          <w:sz w:val="28"/>
          <w:szCs w:val="28"/>
        </w:rPr>
        <w:t>è stata</w:t>
      </w:r>
      <w:r w:rsidRPr="00045C95">
        <w:rPr>
          <w:rFonts w:ascii="Garamond" w:hAnsi="Garamond"/>
          <w:sz w:val="28"/>
          <w:szCs w:val="28"/>
        </w:rPr>
        <w:t xml:space="preserve"> presa in esame la nuova disciplina che, al comma 9 dell’art. 4, L. n. 118/2022, aggiunto dal d.l. n. 131/2024, “</w:t>
      </w:r>
      <w:r w:rsidRPr="00045C95">
        <w:rPr>
          <w:rFonts w:ascii="Garamond" w:hAnsi="Garamond"/>
          <w:i/>
          <w:sz w:val="28"/>
          <w:szCs w:val="28"/>
        </w:rPr>
        <w:t>ha previsto di sommare, al valore degli investimenti non ancora ammortizzati, un’equa remunerazione per gli investimenti effettuati nell’ultimo quinquennio, secondo criteri da definire con apposito decreto ministeriale, nonché di acquisire una perizia asseverata redatta da un professionista scelto in una rosa di nominativi indicati dal Presidente del Consiglio nazionale dei dottori commercialisti (con spese a carico del concessionario uscente)</w:t>
      </w:r>
      <w:r w:rsidRPr="00045C95">
        <w:rPr>
          <w:rFonts w:ascii="Garamond" w:hAnsi="Garamond"/>
          <w:sz w:val="28"/>
          <w:szCs w:val="28"/>
        </w:rPr>
        <w:t xml:space="preserve">”. </w:t>
      </w:r>
      <w:r w:rsidR="00CF2584" w:rsidRPr="00045C95">
        <w:rPr>
          <w:rFonts w:ascii="Garamond" w:hAnsi="Garamond"/>
          <w:sz w:val="28"/>
          <w:szCs w:val="28"/>
        </w:rPr>
        <w:t xml:space="preserve">Tuttavia, </w:t>
      </w:r>
      <w:r w:rsidR="00CF2584" w:rsidRPr="00045C95">
        <w:rPr>
          <w:rFonts w:ascii="Garamond" w:hAnsi="Garamond"/>
          <w:b/>
          <w:sz w:val="28"/>
          <w:szCs w:val="28"/>
        </w:rPr>
        <w:t>l</w:t>
      </w:r>
      <w:r w:rsidRPr="00045C95">
        <w:rPr>
          <w:rFonts w:ascii="Garamond" w:hAnsi="Garamond"/>
          <w:b/>
          <w:sz w:val="28"/>
          <w:szCs w:val="28"/>
        </w:rPr>
        <w:t>a prescrizione normativa è</w:t>
      </w:r>
      <w:r w:rsidR="006479DA" w:rsidRPr="00045C95">
        <w:rPr>
          <w:rFonts w:ascii="Garamond" w:hAnsi="Garamond"/>
          <w:b/>
          <w:sz w:val="28"/>
          <w:szCs w:val="28"/>
        </w:rPr>
        <w:t xml:space="preserve"> stata ritenuta</w:t>
      </w:r>
      <w:r w:rsidR="00CF2584" w:rsidRPr="00045C95">
        <w:rPr>
          <w:rFonts w:ascii="Garamond" w:hAnsi="Garamond"/>
          <w:b/>
          <w:sz w:val="28"/>
          <w:szCs w:val="28"/>
        </w:rPr>
        <w:t xml:space="preserve"> </w:t>
      </w:r>
      <w:r w:rsidR="006479DA" w:rsidRPr="00045C95">
        <w:rPr>
          <w:rFonts w:ascii="Garamond" w:hAnsi="Garamond"/>
          <w:b/>
          <w:sz w:val="28"/>
          <w:szCs w:val="28"/>
        </w:rPr>
        <w:t xml:space="preserve">non </w:t>
      </w:r>
      <w:r w:rsidR="0006328E" w:rsidRPr="00045C95">
        <w:rPr>
          <w:rFonts w:ascii="Garamond" w:hAnsi="Garamond"/>
          <w:b/>
          <w:sz w:val="28"/>
          <w:szCs w:val="28"/>
        </w:rPr>
        <w:t>applicabile nel caso di specie, poiché sprovvista di portata retroattiva</w:t>
      </w:r>
      <w:r w:rsidR="0006328E" w:rsidRPr="00045C95">
        <w:rPr>
          <w:rFonts w:ascii="Garamond" w:hAnsi="Garamond"/>
          <w:sz w:val="28"/>
          <w:szCs w:val="28"/>
        </w:rPr>
        <w:t>, come tutte le nuove disposizioni introdotte.</w:t>
      </w:r>
    </w:p>
    <w:p w14:paraId="0367C541" w14:textId="77777777" w:rsidR="00A457BF" w:rsidRDefault="00A457BF" w:rsidP="00A457BF">
      <w:pPr>
        <w:spacing w:after="0" w:line="240" w:lineRule="auto"/>
        <w:jc w:val="both"/>
        <w:rPr>
          <w:rFonts w:ascii="Garamond" w:hAnsi="Garamond"/>
          <w:sz w:val="28"/>
          <w:szCs w:val="28"/>
        </w:rPr>
      </w:pPr>
    </w:p>
    <w:p w14:paraId="7A87DB51" w14:textId="197E564F" w:rsidR="00A457BF" w:rsidRPr="00045C95" w:rsidRDefault="00A457BF" w:rsidP="00A457BF">
      <w:pPr>
        <w:spacing w:after="0" w:line="240" w:lineRule="auto"/>
        <w:jc w:val="both"/>
        <w:rPr>
          <w:rFonts w:ascii="Garamond" w:hAnsi="Garamond"/>
          <w:sz w:val="28"/>
          <w:szCs w:val="28"/>
        </w:rPr>
      </w:pPr>
      <w:r>
        <w:rPr>
          <w:rFonts w:ascii="Garamond" w:hAnsi="Garamond"/>
          <w:sz w:val="28"/>
          <w:szCs w:val="28"/>
        </w:rPr>
        <w:t>In seguito una portavoce della Commissione europea ha precisato che l’Italia e la Commissione “</w:t>
      </w:r>
      <w:r w:rsidRPr="00A457BF">
        <w:rPr>
          <w:rFonts w:ascii="Garamond" w:hAnsi="Garamond"/>
          <w:i/>
          <w:sz w:val="28"/>
          <w:szCs w:val="28"/>
        </w:rPr>
        <w:t>hanno concordato gli elementi chiave di un’intesa comune per allineare il sistema italiano delle concessioni balneari al diritto UE: le concessioni saranno riassegnate entro i prossimi tre anni (al più tardi entro settembre 2027) sulla base di gare aperte, trasparenti e non discriminatorie. I Comuni hanno pertanto il diritto di organizzare immediatamente gare e assegnare le concessioni anche prima di settembre 2027</w:t>
      </w:r>
      <w:r>
        <w:rPr>
          <w:rFonts w:ascii="Garamond" w:hAnsi="Garamond"/>
          <w:sz w:val="28"/>
          <w:szCs w:val="28"/>
        </w:rPr>
        <w:t>” e “</w:t>
      </w:r>
      <w:r w:rsidRPr="00A457BF">
        <w:rPr>
          <w:rFonts w:ascii="Garamond" w:hAnsi="Garamond"/>
          <w:i/>
          <w:sz w:val="28"/>
          <w:szCs w:val="28"/>
        </w:rPr>
        <w:t>questi elementi sono riflessi nella legislazione italiana</w:t>
      </w:r>
      <w:r>
        <w:rPr>
          <w:rFonts w:ascii="Garamond" w:hAnsi="Garamond"/>
          <w:sz w:val="28"/>
          <w:szCs w:val="28"/>
        </w:rPr>
        <w:t>”</w:t>
      </w:r>
      <w:r>
        <w:rPr>
          <w:rStyle w:val="Rimandonotaapidipagina"/>
          <w:rFonts w:ascii="Garamond" w:hAnsi="Garamond"/>
          <w:sz w:val="28"/>
          <w:szCs w:val="28"/>
        </w:rPr>
        <w:footnoteReference w:id="52"/>
      </w:r>
      <w:r>
        <w:rPr>
          <w:rFonts w:ascii="Garamond" w:hAnsi="Garamond"/>
          <w:sz w:val="28"/>
          <w:szCs w:val="28"/>
        </w:rPr>
        <w:t>.</w:t>
      </w:r>
    </w:p>
    <w:p w14:paraId="7C521325" w14:textId="52B03098" w:rsidR="00F70D81" w:rsidRPr="00562C4F" w:rsidRDefault="00F70D81" w:rsidP="00562C4F">
      <w:pPr>
        <w:pStyle w:val="Paragrafoelenco"/>
        <w:spacing w:after="0" w:line="240" w:lineRule="auto"/>
        <w:ind w:left="1429"/>
        <w:jc w:val="both"/>
        <w:rPr>
          <w:rFonts w:ascii="Garamond" w:hAnsi="Garamond"/>
          <w:sz w:val="28"/>
          <w:szCs w:val="28"/>
        </w:rPr>
      </w:pPr>
      <w:r>
        <w:rPr>
          <w:rFonts w:ascii="Garamond" w:hAnsi="Garamond"/>
          <w:sz w:val="28"/>
          <w:szCs w:val="28"/>
        </w:rPr>
        <w:t xml:space="preserve">  </w:t>
      </w:r>
    </w:p>
    <w:p w14:paraId="0E0E0FA5" w14:textId="67205368" w:rsidR="00374433" w:rsidRPr="003C2366" w:rsidRDefault="00374433" w:rsidP="009F06AD">
      <w:pPr>
        <w:spacing w:after="0" w:line="240" w:lineRule="auto"/>
        <w:jc w:val="both"/>
        <w:rPr>
          <w:rFonts w:ascii="Garamond" w:hAnsi="Garamond"/>
          <w:sz w:val="28"/>
          <w:szCs w:val="28"/>
        </w:rPr>
      </w:pPr>
    </w:p>
    <w:p w14:paraId="183C8231" w14:textId="68894E0E" w:rsidR="00963FA7" w:rsidRDefault="00AD4BF0" w:rsidP="003C2366">
      <w:pPr>
        <w:spacing w:after="0" w:line="240" w:lineRule="auto"/>
        <w:ind w:firstLine="709"/>
        <w:jc w:val="both"/>
        <w:rPr>
          <w:rFonts w:ascii="Garamond" w:hAnsi="Garamond"/>
          <w:b/>
          <w:i/>
          <w:sz w:val="28"/>
          <w:szCs w:val="28"/>
        </w:rPr>
      </w:pPr>
      <w:r w:rsidRPr="003C2366">
        <w:rPr>
          <w:rFonts w:ascii="Garamond" w:hAnsi="Garamond"/>
          <w:b/>
          <w:sz w:val="28"/>
          <w:szCs w:val="28"/>
        </w:rPr>
        <w:t xml:space="preserve">§ 5 – </w:t>
      </w:r>
      <w:r w:rsidR="00963FA7" w:rsidRPr="00EC75ED">
        <w:rPr>
          <w:rFonts w:ascii="Garamond" w:hAnsi="Garamond"/>
          <w:b/>
          <w:sz w:val="28"/>
          <w:szCs w:val="28"/>
          <w:u w:val="single"/>
        </w:rPr>
        <w:t>Considerazioni sulle prime applicazioni giurisprudenziali</w:t>
      </w:r>
      <w:r w:rsidRPr="003C2366">
        <w:rPr>
          <w:rFonts w:ascii="Garamond" w:hAnsi="Garamond"/>
          <w:b/>
          <w:i/>
          <w:sz w:val="28"/>
          <w:szCs w:val="28"/>
        </w:rPr>
        <w:t>.</w:t>
      </w:r>
    </w:p>
    <w:p w14:paraId="7684512A" w14:textId="77777777" w:rsidR="003C2366" w:rsidRPr="003C2366" w:rsidRDefault="003C2366" w:rsidP="003C2366">
      <w:pPr>
        <w:spacing w:after="0" w:line="240" w:lineRule="auto"/>
        <w:ind w:firstLine="709"/>
        <w:jc w:val="both"/>
        <w:rPr>
          <w:rFonts w:ascii="Garamond" w:hAnsi="Garamond"/>
          <w:b/>
          <w:i/>
          <w:sz w:val="28"/>
          <w:szCs w:val="28"/>
        </w:rPr>
      </w:pPr>
    </w:p>
    <w:p w14:paraId="645B5E9A" w14:textId="63D757AC"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Alla luce della sintetica rassegna giurisprudenziale sin qui svolta, è</w:t>
      </w:r>
      <w:r w:rsidR="00B4019C" w:rsidRPr="003C2366">
        <w:rPr>
          <w:rFonts w:ascii="Garamond" w:hAnsi="Garamond"/>
          <w:sz w:val="28"/>
          <w:szCs w:val="28"/>
        </w:rPr>
        <w:t xml:space="preserve"> possibile</w:t>
      </w:r>
      <w:r w:rsidRPr="003C2366">
        <w:rPr>
          <w:rFonts w:ascii="Garamond" w:hAnsi="Garamond"/>
          <w:sz w:val="28"/>
          <w:szCs w:val="28"/>
        </w:rPr>
        <w:t xml:space="preserve"> </w:t>
      </w:r>
      <w:r w:rsidR="009F06AD">
        <w:rPr>
          <w:rFonts w:ascii="Garamond" w:hAnsi="Garamond"/>
          <w:sz w:val="28"/>
          <w:szCs w:val="28"/>
        </w:rPr>
        <w:t>svolgere</w:t>
      </w:r>
      <w:r w:rsidRPr="003C2366">
        <w:rPr>
          <w:rFonts w:ascii="Garamond" w:hAnsi="Garamond"/>
          <w:sz w:val="28"/>
          <w:szCs w:val="28"/>
        </w:rPr>
        <w:t xml:space="preserve"> alcune brevi considerazioni, mettendo in luce sia gli elementi di continuità che di innovazione</w:t>
      </w:r>
      <w:r w:rsidR="00B4019C" w:rsidRPr="003C2366">
        <w:rPr>
          <w:rFonts w:ascii="Garamond" w:hAnsi="Garamond"/>
          <w:sz w:val="28"/>
          <w:szCs w:val="28"/>
        </w:rPr>
        <w:t xml:space="preserve"> </w:t>
      </w:r>
      <w:r w:rsidRPr="003C2366">
        <w:rPr>
          <w:rFonts w:ascii="Garamond" w:hAnsi="Garamond"/>
          <w:sz w:val="28"/>
          <w:szCs w:val="28"/>
        </w:rPr>
        <w:t>rispetto al passato.</w:t>
      </w:r>
    </w:p>
    <w:p w14:paraId="20491AC1" w14:textId="77777777" w:rsidR="008D5259" w:rsidRPr="003C2366" w:rsidRDefault="00B4019C" w:rsidP="003C2366">
      <w:pPr>
        <w:spacing w:after="0" w:line="240" w:lineRule="auto"/>
        <w:ind w:firstLine="709"/>
        <w:jc w:val="both"/>
        <w:rPr>
          <w:rFonts w:ascii="Garamond" w:hAnsi="Garamond"/>
          <w:sz w:val="28"/>
          <w:szCs w:val="28"/>
        </w:rPr>
      </w:pPr>
      <w:r w:rsidRPr="003C2366">
        <w:rPr>
          <w:rFonts w:ascii="Garamond" w:hAnsi="Garamond"/>
          <w:sz w:val="28"/>
          <w:szCs w:val="28"/>
        </w:rPr>
        <w:t>Nessuna perplessità circa la natura dell’intervento normativo, che resta da qualifi</w:t>
      </w:r>
      <w:r w:rsidR="008D5259" w:rsidRPr="003C2366">
        <w:rPr>
          <w:rFonts w:ascii="Garamond" w:hAnsi="Garamond"/>
          <w:sz w:val="28"/>
          <w:szCs w:val="28"/>
        </w:rPr>
        <w:t xml:space="preserve">care come legge provvedimento. </w:t>
      </w:r>
    </w:p>
    <w:p w14:paraId="2F942BAA" w14:textId="6CDBD0BB" w:rsidR="00B4019C" w:rsidRPr="003C2366" w:rsidRDefault="00B4019C" w:rsidP="003C2366">
      <w:pPr>
        <w:spacing w:after="0" w:line="240" w:lineRule="auto"/>
        <w:ind w:firstLine="709"/>
        <w:jc w:val="both"/>
        <w:rPr>
          <w:rFonts w:ascii="Garamond" w:hAnsi="Garamond"/>
          <w:color w:val="FF0000"/>
          <w:sz w:val="28"/>
          <w:szCs w:val="28"/>
        </w:rPr>
      </w:pPr>
      <w:r w:rsidRPr="003C2366">
        <w:rPr>
          <w:rFonts w:ascii="Garamond" w:hAnsi="Garamond"/>
          <w:sz w:val="28"/>
          <w:szCs w:val="28"/>
        </w:rPr>
        <w:t>Maggiori dubbi sono sorti sulla natura della proroga, nell’alternativa tra proroga tecnica e proroga automatica. La questione, come noto, non è da poco. Anzi è dirimente nel valutare questo intervento normativo compatibile con i principi concorrenziali sovranazionali, piuttosto che ridondare nell’ennesima proroga automatica ad essi non conforme. È nel primo senso l’</w:t>
      </w:r>
      <w:r w:rsidR="002167D0" w:rsidRPr="003C2366">
        <w:rPr>
          <w:rFonts w:ascii="Garamond" w:hAnsi="Garamond"/>
          <w:sz w:val="28"/>
          <w:szCs w:val="28"/>
        </w:rPr>
        <w:t xml:space="preserve">orientamento </w:t>
      </w:r>
      <w:r w:rsidR="009F06AD">
        <w:rPr>
          <w:rFonts w:ascii="Garamond" w:hAnsi="Garamond"/>
          <w:sz w:val="28"/>
          <w:szCs w:val="28"/>
        </w:rPr>
        <w:t xml:space="preserve">del </w:t>
      </w:r>
      <w:r w:rsidR="002167D0" w:rsidRPr="003C2366">
        <w:rPr>
          <w:rFonts w:ascii="Garamond" w:hAnsi="Garamond"/>
          <w:sz w:val="28"/>
          <w:szCs w:val="28"/>
        </w:rPr>
        <w:t>T.A.R.</w:t>
      </w:r>
      <w:r w:rsidRPr="003C2366">
        <w:rPr>
          <w:rFonts w:ascii="Garamond" w:hAnsi="Garamond"/>
          <w:sz w:val="28"/>
          <w:szCs w:val="28"/>
        </w:rPr>
        <w:t xml:space="preserve"> Veneto e </w:t>
      </w:r>
      <w:r w:rsidR="009F06AD">
        <w:rPr>
          <w:rFonts w:ascii="Garamond" w:hAnsi="Garamond"/>
          <w:sz w:val="28"/>
          <w:szCs w:val="28"/>
        </w:rPr>
        <w:t xml:space="preserve">del </w:t>
      </w:r>
      <w:r w:rsidR="002167D0" w:rsidRPr="003C2366">
        <w:rPr>
          <w:rFonts w:ascii="Garamond" w:hAnsi="Garamond"/>
          <w:sz w:val="28"/>
          <w:szCs w:val="28"/>
        </w:rPr>
        <w:t xml:space="preserve">T.A.R. </w:t>
      </w:r>
      <w:r w:rsidR="009F06AD">
        <w:rPr>
          <w:rFonts w:ascii="Garamond" w:hAnsi="Garamond"/>
          <w:sz w:val="28"/>
          <w:szCs w:val="28"/>
        </w:rPr>
        <w:t>Puglia</w:t>
      </w:r>
      <w:r w:rsidRPr="003C2366">
        <w:rPr>
          <w:rFonts w:ascii="Garamond" w:hAnsi="Garamond"/>
          <w:sz w:val="28"/>
          <w:szCs w:val="28"/>
        </w:rPr>
        <w:t xml:space="preserve"> che, valorizzando l’esplicita intenzione del legislatore, conclude per la natura tecnica della proroga. Questo lasso temporale – poco più di 30 mesi alla conversione – consentirebbe ai Comuni di fronteggiare i nuovi obblighi con tempistiche congrue a un’istruttoria più approfondita. Del resto </w:t>
      </w:r>
      <w:r w:rsidR="002167D0" w:rsidRPr="003C2366">
        <w:rPr>
          <w:rFonts w:ascii="Garamond" w:hAnsi="Garamond"/>
          <w:sz w:val="28"/>
          <w:szCs w:val="28"/>
        </w:rPr>
        <w:t xml:space="preserve">vi </w:t>
      </w:r>
      <w:r w:rsidRPr="003C2366">
        <w:rPr>
          <w:rFonts w:ascii="Garamond" w:hAnsi="Garamond"/>
          <w:sz w:val="28"/>
          <w:szCs w:val="28"/>
        </w:rPr>
        <w:t xml:space="preserve">sono ancora </w:t>
      </w:r>
      <w:r w:rsidR="002167D0" w:rsidRPr="003C2366">
        <w:rPr>
          <w:rFonts w:ascii="Garamond" w:hAnsi="Garamond"/>
          <w:sz w:val="28"/>
          <w:szCs w:val="28"/>
        </w:rPr>
        <w:t xml:space="preserve">alcune questioni aperte, come quella dei </w:t>
      </w:r>
      <w:r w:rsidRPr="003C2366">
        <w:rPr>
          <w:rFonts w:ascii="Garamond" w:hAnsi="Garamond"/>
          <w:sz w:val="28"/>
          <w:szCs w:val="28"/>
        </w:rPr>
        <w:t xml:space="preserve">criteri per la determinazione </w:t>
      </w:r>
      <w:r w:rsidR="002167D0" w:rsidRPr="003C2366">
        <w:rPr>
          <w:rFonts w:ascii="Garamond" w:hAnsi="Garamond"/>
          <w:sz w:val="28"/>
          <w:szCs w:val="28"/>
        </w:rPr>
        <w:t>dell’</w:t>
      </w:r>
      <w:r w:rsidRPr="003C2366">
        <w:rPr>
          <w:rFonts w:ascii="Garamond" w:hAnsi="Garamond"/>
          <w:sz w:val="28"/>
          <w:szCs w:val="28"/>
        </w:rPr>
        <w:t>equo inden</w:t>
      </w:r>
      <w:r w:rsidR="002167D0" w:rsidRPr="003C2366">
        <w:rPr>
          <w:rFonts w:ascii="Garamond" w:hAnsi="Garamond"/>
          <w:sz w:val="28"/>
          <w:szCs w:val="28"/>
        </w:rPr>
        <w:t>nizzo per il concessionario uscente.</w:t>
      </w:r>
    </w:p>
    <w:p w14:paraId="2470E9FB" w14:textId="77777777" w:rsidR="00140101" w:rsidRDefault="00B4019C" w:rsidP="00140101">
      <w:pPr>
        <w:spacing w:after="0" w:line="240" w:lineRule="auto"/>
        <w:ind w:firstLine="709"/>
        <w:jc w:val="both"/>
        <w:rPr>
          <w:rFonts w:ascii="Garamond" w:hAnsi="Garamond"/>
          <w:sz w:val="28"/>
          <w:szCs w:val="28"/>
        </w:rPr>
      </w:pPr>
      <w:r w:rsidRPr="003C2366">
        <w:rPr>
          <w:rFonts w:ascii="Garamond" w:hAnsi="Garamond"/>
          <w:sz w:val="28"/>
          <w:szCs w:val="28"/>
        </w:rPr>
        <w:t xml:space="preserve">La prospettiva tracciata dall’intervento in esame sembra comunque molto chiara ed innovativa, ed esplicitata nel comma 3 dell’art. 4, a mente del quale, per il futuro, la procedura comparativa andrà avviata con anticipo di almeno sei mesi sulla scadenza della concessione in atto. In sede di prima applicazione tuttavia, come già anticipato, questa </w:t>
      </w:r>
      <w:r w:rsidRPr="003C2366">
        <w:rPr>
          <w:rFonts w:ascii="Garamond" w:hAnsi="Garamond"/>
          <w:sz w:val="28"/>
          <w:szCs w:val="28"/>
        </w:rPr>
        <w:lastRenderedPageBreak/>
        <w:t xml:space="preserve">regola è derogata, potendosi di fatto impiegare fino a 30 mesi – e anche oltre – per espletare la procedura. </w:t>
      </w:r>
    </w:p>
    <w:p w14:paraId="40C941D0" w14:textId="2EFEF3DB" w:rsidR="00140101" w:rsidRDefault="00B4019C" w:rsidP="00140101">
      <w:pPr>
        <w:spacing w:after="0" w:line="240" w:lineRule="auto"/>
        <w:ind w:firstLine="709"/>
        <w:jc w:val="both"/>
        <w:rPr>
          <w:rFonts w:ascii="Garamond" w:hAnsi="Garamond"/>
          <w:sz w:val="28"/>
          <w:szCs w:val="28"/>
        </w:rPr>
      </w:pPr>
      <w:r w:rsidRPr="003C2366">
        <w:rPr>
          <w:rFonts w:ascii="Garamond" w:hAnsi="Garamond"/>
          <w:sz w:val="28"/>
          <w:szCs w:val="28"/>
        </w:rPr>
        <w:t>Di qui può sorgere il dubbio circa l’effettiva natura della proroga, poiché</w:t>
      </w:r>
      <w:r w:rsidR="00BE51BE">
        <w:rPr>
          <w:rFonts w:ascii="Garamond" w:hAnsi="Garamond"/>
          <w:sz w:val="28"/>
          <w:szCs w:val="28"/>
        </w:rPr>
        <w:t xml:space="preserve"> – come alcuni interpreti hanno rilevato –</w:t>
      </w:r>
      <w:r w:rsidRPr="003C2366">
        <w:rPr>
          <w:rFonts w:ascii="Garamond" w:hAnsi="Garamond"/>
          <w:sz w:val="28"/>
          <w:szCs w:val="28"/>
        </w:rPr>
        <w:t xml:space="preserve"> </w:t>
      </w:r>
      <w:r w:rsidR="00BE51BE">
        <w:rPr>
          <w:rFonts w:ascii="Garamond" w:hAnsi="Garamond"/>
          <w:sz w:val="28"/>
          <w:szCs w:val="28"/>
        </w:rPr>
        <w:t>è difficile sostenere l’ammissibilità di una proroga tecnica (</w:t>
      </w:r>
      <w:r w:rsidR="00140101">
        <w:rPr>
          <w:rFonts w:ascii="Garamond" w:hAnsi="Garamond"/>
          <w:sz w:val="28"/>
          <w:szCs w:val="28"/>
        </w:rPr>
        <w:t>che ha natura di provvedimento</w:t>
      </w:r>
      <w:r w:rsidR="00BE51BE">
        <w:rPr>
          <w:rFonts w:ascii="Garamond" w:hAnsi="Garamond"/>
          <w:sz w:val="28"/>
          <w:szCs w:val="28"/>
        </w:rPr>
        <w:t xml:space="preserve"> amministrativo particolare e concreto</w:t>
      </w:r>
      <w:r w:rsidR="0021225B">
        <w:rPr>
          <w:rFonts w:ascii="Garamond" w:hAnsi="Garamond"/>
          <w:sz w:val="28"/>
          <w:szCs w:val="28"/>
        </w:rPr>
        <w:t xml:space="preserve"> finalizzato a prorogare la concessione fintantoché la gara non venga ultimata</w:t>
      </w:r>
      <w:r w:rsidR="00BE51BE">
        <w:rPr>
          <w:rFonts w:ascii="Garamond" w:hAnsi="Garamond"/>
          <w:sz w:val="28"/>
          <w:szCs w:val="28"/>
        </w:rPr>
        <w:t>) generalizzata per tutte le concessioni demaniali marittime nazionali</w:t>
      </w:r>
      <w:r w:rsidR="00140101">
        <w:rPr>
          <w:rFonts w:ascii="Garamond" w:hAnsi="Garamond"/>
          <w:sz w:val="28"/>
          <w:szCs w:val="28"/>
        </w:rPr>
        <w:t>, anche se adottata con legge provvedimento</w:t>
      </w:r>
      <w:r w:rsidR="00BE51BE">
        <w:rPr>
          <w:rFonts w:ascii="Garamond" w:hAnsi="Garamond"/>
          <w:sz w:val="28"/>
          <w:szCs w:val="28"/>
        </w:rPr>
        <w:t>. Essa</w:t>
      </w:r>
      <w:r w:rsidR="00140101">
        <w:rPr>
          <w:rFonts w:ascii="Garamond" w:hAnsi="Garamond"/>
          <w:sz w:val="28"/>
          <w:szCs w:val="28"/>
        </w:rPr>
        <w:t xml:space="preserve">, infatti – in quanto particolare e concreta – </w:t>
      </w:r>
      <w:r w:rsidR="00BE51BE">
        <w:rPr>
          <w:rFonts w:ascii="Garamond" w:hAnsi="Garamond"/>
          <w:sz w:val="28"/>
          <w:szCs w:val="28"/>
        </w:rPr>
        <w:t xml:space="preserve">dovrebbe essere giustificata da ragioni ostative specifiche di ciascuna procedura di gara. Inoltre, lo stesso legislatore sembra cadere in grave contraddizione nel momento in cui, da un lato ritiene necessario prorogare le concessioni di circa tre anni </w:t>
      </w:r>
      <w:r w:rsidR="00140101">
        <w:rPr>
          <w:rFonts w:ascii="Garamond" w:hAnsi="Garamond"/>
          <w:sz w:val="28"/>
          <w:szCs w:val="28"/>
        </w:rPr>
        <w:t xml:space="preserve">(in alcuni casi addirittura fino al 31/03/2028) </w:t>
      </w:r>
      <w:r w:rsidR="00BE51BE">
        <w:rPr>
          <w:rFonts w:ascii="Garamond" w:hAnsi="Garamond"/>
          <w:sz w:val="28"/>
          <w:szCs w:val="28"/>
        </w:rPr>
        <w:t xml:space="preserve">per consentire ai Comuni di espletare le gare, dall’altro ritiene che, dopo la prima applicazione, </w:t>
      </w:r>
      <w:r w:rsidR="00140101">
        <w:rPr>
          <w:rFonts w:ascii="Garamond" w:hAnsi="Garamond"/>
          <w:sz w:val="28"/>
          <w:szCs w:val="28"/>
        </w:rPr>
        <w:t xml:space="preserve">per garantire un </w:t>
      </w:r>
      <w:r w:rsidR="0021225B">
        <w:rPr>
          <w:rFonts w:ascii="Garamond" w:hAnsi="Garamond"/>
          <w:sz w:val="28"/>
          <w:szCs w:val="28"/>
        </w:rPr>
        <w:t>tempestivo</w:t>
      </w:r>
      <w:r w:rsidR="00140101">
        <w:rPr>
          <w:rFonts w:ascii="Garamond" w:hAnsi="Garamond"/>
          <w:sz w:val="28"/>
          <w:szCs w:val="28"/>
        </w:rPr>
        <w:t xml:space="preserve"> avvicendamento dei concessionari </w:t>
      </w:r>
      <w:r w:rsidR="00BE51BE">
        <w:rPr>
          <w:rFonts w:ascii="Garamond" w:hAnsi="Garamond"/>
          <w:sz w:val="28"/>
          <w:szCs w:val="28"/>
        </w:rPr>
        <w:t>sia sufficiente indire dette gare sei mesi prima della scadenza della concessione</w:t>
      </w:r>
      <w:r w:rsidR="00140101">
        <w:rPr>
          <w:rFonts w:ascii="Garamond" w:hAnsi="Garamond"/>
          <w:sz w:val="28"/>
          <w:szCs w:val="28"/>
        </w:rPr>
        <w:t xml:space="preserve">. Il rischio, </w:t>
      </w:r>
      <w:r w:rsidRPr="003C2366">
        <w:rPr>
          <w:rFonts w:ascii="Garamond" w:hAnsi="Garamond"/>
          <w:sz w:val="28"/>
          <w:szCs w:val="28"/>
        </w:rPr>
        <w:t>perciò</w:t>
      </w:r>
      <w:r w:rsidR="00140101">
        <w:rPr>
          <w:rFonts w:ascii="Garamond" w:hAnsi="Garamond"/>
          <w:sz w:val="28"/>
          <w:szCs w:val="28"/>
        </w:rPr>
        <w:t>, è quello</w:t>
      </w:r>
      <w:r w:rsidRPr="003C2366">
        <w:rPr>
          <w:rFonts w:ascii="Garamond" w:hAnsi="Garamond"/>
          <w:sz w:val="28"/>
          <w:szCs w:val="28"/>
        </w:rPr>
        <w:t xml:space="preserve"> di giustificare</w:t>
      </w:r>
      <w:r w:rsidR="00140101">
        <w:rPr>
          <w:rFonts w:ascii="Garamond" w:hAnsi="Garamond"/>
          <w:sz w:val="28"/>
          <w:szCs w:val="28"/>
        </w:rPr>
        <w:t xml:space="preserve"> una proroga per motivi tecnici</w:t>
      </w:r>
      <w:r w:rsidRPr="003C2366">
        <w:rPr>
          <w:rFonts w:ascii="Garamond" w:hAnsi="Garamond"/>
          <w:sz w:val="28"/>
          <w:szCs w:val="28"/>
        </w:rPr>
        <w:t xml:space="preserve"> senza </w:t>
      </w:r>
      <w:r w:rsidR="00140101">
        <w:rPr>
          <w:rFonts w:ascii="Garamond" w:hAnsi="Garamond"/>
          <w:sz w:val="28"/>
          <w:szCs w:val="28"/>
        </w:rPr>
        <w:t>che</w:t>
      </w:r>
      <w:r w:rsidRPr="003C2366">
        <w:rPr>
          <w:rFonts w:ascii="Garamond" w:hAnsi="Garamond"/>
          <w:sz w:val="28"/>
          <w:szCs w:val="28"/>
        </w:rPr>
        <w:t xml:space="preserve"> </w:t>
      </w:r>
      <w:r w:rsidR="00140101">
        <w:rPr>
          <w:rFonts w:ascii="Garamond" w:hAnsi="Garamond"/>
          <w:sz w:val="28"/>
          <w:szCs w:val="28"/>
        </w:rPr>
        <w:t>questi effettivamente sussistano</w:t>
      </w:r>
      <w:r w:rsidRPr="003C2366">
        <w:rPr>
          <w:rFonts w:ascii="Garamond" w:hAnsi="Garamond"/>
          <w:sz w:val="28"/>
          <w:szCs w:val="28"/>
        </w:rPr>
        <w:t xml:space="preserve">. </w:t>
      </w:r>
    </w:p>
    <w:p w14:paraId="5B9E8F92" w14:textId="77777777" w:rsidR="00140101" w:rsidRDefault="00140101" w:rsidP="00140101">
      <w:pPr>
        <w:spacing w:after="0" w:line="240" w:lineRule="auto"/>
        <w:ind w:firstLine="709"/>
        <w:jc w:val="both"/>
        <w:rPr>
          <w:rFonts w:ascii="Garamond" w:hAnsi="Garamond"/>
          <w:sz w:val="28"/>
          <w:szCs w:val="28"/>
        </w:rPr>
      </w:pPr>
    </w:p>
    <w:p w14:paraId="625BF285" w14:textId="1D0923F5" w:rsidR="00963FA7" w:rsidRPr="003C2366" w:rsidRDefault="00B4019C" w:rsidP="00140101">
      <w:pPr>
        <w:spacing w:after="0" w:line="240" w:lineRule="auto"/>
        <w:ind w:firstLine="709"/>
        <w:jc w:val="both"/>
        <w:rPr>
          <w:rFonts w:ascii="Garamond" w:hAnsi="Garamond"/>
          <w:sz w:val="28"/>
          <w:szCs w:val="28"/>
        </w:rPr>
      </w:pPr>
      <w:r w:rsidRPr="003C2366">
        <w:rPr>
          <w:rFonts w:ascii="Garamond" w:hAnsi="Garamond"/>
          <w:sz w:val="28"/>
          <w:szCs w:val="28"/>
        </w:rPr>
        <w:t xml:space="preserve">Allo stesso tempo è bene anche osservare l’ulteriore tratto distintivo della novella in esame, nella misura in cui facoltizza le </w:t>
      </w:r>
      <w:r w:rsidR="00140101">
        <w:rPr>
          <w:rFonts w:ascii="Garamond" w:hAnsi="Garamond"/>
          <w:sz w:val="28"/>
          <w:szCs w:val="28"/>
        </w:rPr>
        <w:t>A</w:t>
      </w:r>
      <w:r w:rsidRPr="003C2366">
        <w:rPr>
          <w:rFonts w:ascii="Garamond" w:hAnsi="Garamond"/>
          <w:sz w:val="28"/>
          <w:szCs w:val="28"/>
        </w:rPr>
        <w:t>mministrazioni locali a</w:t>
      </w:r>
      <w:r w:rsidR="00C2180B">
        <w:rPr>
          <w:rFonts w:ascii="Garamond" w:hAnsi="Garamond"/>
          <w:sz w:val="28"/>
          <w:szCs w:val="28"/>
        </w:rPr>
        <w:t xml:space="preserve">d un avvio anche anticipato </w:t>
      </w:r>
      <w:r w:rsidRPr="003C2366">
        <w:rPr>
          <w:rFonts w:ascii="Garamond" w:hAnsi="Garamond"/>
          <w:sz w:val="28"/>
          <w:szCs w:val="28"/>
        </w:rPr>
        <w:t>delle procedure</w:t>
      </w:r>
      <w:r w:rsidR="00C2180B">
        <w:rPr>
          <w:rFonts w:ascii="Garamond" w:hAnsi="Garamond"/>
          <w:sz w:val="28"/>
          <w:szCs w:val="28"/>
        </w:rPr>
        <w:t xml:space="preserve"> rispetto ai sei mesi</w:t>
      </w:r>
      <w:r w:rsidRPr="003C2366">
        <w:rPr>
          <w:rFonts w:ascii="Garamond" w:hAnsi="Garamond"/>
          <w:sz w:val="28"/>
          <w:szCs w:val="28"/>
        </w:rPr>
        <w:t xml:space="preserve">. </w:t>
      </w:r>
    </w:p>
    <w:p w14:paraId="0101921E" w14:textId="4B3A6538" w:rsidR="00963FA7" w:rsidRPr="003C2366" w:rsidRDefault="00B4019C" w:rsidP="003C2366">
      <w:pPr>
        <w:spacing w:after="0" w:line="240" w:lineRule="auto"/>
        <w:ind w:firstLine="709"/>
        <w:jc w:val="both"/>
        <w:rPr>
          <w:rFonts w:ascii="Garamond" w:hAnsi="Garamond"/>
          <w:sz w:val="28"/>
          <w:szCs w:val="28"/>
        </w:rPr>
      </w:pPr>
      <w:r w:rsidRPr="003C2366">
        <w:rPr>
          <w:rFonts w:ascii="Garamond" w:hAnsi="Garamond"/>
          <w:sz w:val="28"/>
          <w:szCs w:val="28"/>
        </w:rPr>
        <w:t>In questa prospettiva è dunque rimesso alla discrezionalità dell’</w:t>
      </w:r>
      <w:r w:rsidR="00C2180B">
        <w:rPr>
          <w:rFonts w:ascii="Garamond" w:hAnsi="Garamond"/>
          <w:sz w:val="28"/>
          <w:szCs w:val="28"/>
        </w:rPr>
        <w:t>A</w:t>
      </w:r>
      <w:r w:rsidRPr="003C2366">
        <w:rPr>
          <w:rFonts w:ascii="Garamond" w:hAnsi="Garamond"/>
          <w:sz w:val="28"/>
          <w:szCs w:val="28"/>
        </w:rPr>
        <w:t>mministrazione comunale l’avvio del procediment</w:t>
      </w:r>
      <w:r w:rsidR="00963FA7" w:rsidRPr="003C2366">
        <w:rPr>
          <w:rFonts w:ascii="Garamond" w:hAnsi="Garamond"/>
          <w:sz w:val="28"/>
          <w:szCs w:val="28"/>
        </w:rPr>
        <w:t xml:space="preserve">o, purché sia fatto entro </w:t>
      </w:r>
      <w:r w:rsidR="00C2180B" w:rsidRPr="00C2180B">
        <w:rPr>
          <w:rFonts w:ascii="Garamond" w:hAnsi="Garamond"/>
          <w:sz w:val="28"/>
          <w:szCs w:val="28"/>
        </w:rPr>
        <w:t>il 30/06/2027</w:t>
      </w:r>
      <w:r w:rsidR="00963FA7" w:rsidRPr="003C2366">
        <w:rPr>
          <w:rFonts w:ascii="Garamond" w:hAnsi="Garamond"/>
          <w:sz w:val="28"/>
          <w:szCs w:val="28"/>
        </w:rPr>
        <w:t xml:space="preserve">. </w:t>
      </w:r>
    </w:p>
    <w:p w14:paraId="344F3063" w14:textId="29FDBAD6" w:rsidR="00B4019C" w:rsidRPr="003C2366" w:rsidRDefault="00963FA7" w:rsidP="003C2366">
      <w:pPr>
        <w:spacing w:after="0" w:line="240" w:lineRule="auto"/>
        <w:ind w:left="708" w:firstLine="1"/>
        <w:jc w:val="both"/>
        <w:rPr>
          <w:rFonts w:ascii="Garamond" w:hAnsi="Garamond"/>
          <w:sz w:val="28"/>
          <w:szCs w:val="28"/>
        </w:rPr>
      </w:pPr>
      <w:r w:rsidRPr="003C2366">
        <w:rPr>
          <w:rFonts w:ascii="Garamond" w:hAnsi="Garamond"/>
          <w:sz w:val="28"/>
          <w:szCs w:val="28"/>
        </w:rPr>
        <w:t>Occorre tuttavia</w:t>
      </w:r>
      <w:r w:rsidR="00B4019C" w:rsidRPr="003C2366">
        <w:rPr>
          <w:rFonts w:ascii="Garamond" w:hAnsi="Garamond"/>
          <w:sz w:val="28"/>
          <w:szCs w:val="28"/>
        </w:rPr>
        <w:t xml:space="preserve"> chiedersi quanto un</w:t>
      </w:r>
      <w:r w:rsidR="00C2180B">
        <w:rPr>
          <w:rFonts w:ascii="Garamond" w:hAnsi="Garamond"/>
          <w:sz w:val="28"/>
          <w:szCs w:val="28"/>
        </w:rPr>
        <w:t>a</w:t>
      </w:r>
      <w:r w:rsidR="00B4019C" w:rsidRPr="003C2366">
        <w:rPr>
          <w:rFonts w:ascii="Garamond" w:hAnsi="Garamond"/>
          <w:sz w:val="28"/>
          <w:szCs w:val="28"/>
        </w:rPr>
        <w:t xml:space="preserve"> simile </w:t>
      </w:r>
      <w:r w:rsidR="00C2180B">
        <w:rPr>
          <w:rFonts w:ascii="Garamond" w:hAnsi="Garamond"/>
          <w:sz w:val="28"/>
          <w:szCs w:val="28"/>
        </w:rPr>
        <w:t>discrezionalità possa essere motivata</w:t>
      </w:r>
      <w:r w:rsidR="00B4019C" w:rsidRPr="003C2366">
        <w:rPr>
          <w:rFonts w:ascii="Garamond" w:hAnsi="Garamond"/>
          <w:sz w:val="28"/>
          <w:szCs w:val="28"/>
        </w:rPr>
        <w:t xml:space="preserve"> </w:t>
      </w:r>
      <w:r w:rsidR="00B4019C" w:rsidRPr="003C2366">
        <w:rPr>
          <w:rFonts w:ascii="Garamond" w:hAnsi="Garamond"/>
          <w:i/>
          <w:sz w:val="28"/>
          <w:szCs w:val="28"/>
        </w:rPr>
        <w:t>ex ante</w:t>
      </w:r>
      <w:r w:rsidR="00B4019C" w:rsidRPr="003C2366">
        <w:rPr>
          <w:rFonts w:ascii="Garamond" w:hAnsi="Garamond"/>
          <w:sz w:val="28"/>
          <w:szCs w:val="28"/>
        </w:rPr>
        <w:t xml:space="preserve"> come dovut</w:t>
      </w:r>
      <w:r w:rsidR="00C2180B">
        <w:rPr>
          <w:rFonts w:ascii="Garamond" w:hAnsi="Garamond"/>
          <w:sz w:val="28"/>
          <w:szCs w:val="28"/>
        </w:rPr>
        <w:t>a</w:t>
      </w:r>
      <w:r w:rsidR="00B4019C" w:rsidRPr="003C2366">
        <w:rPr>
          <w:rFonts w:ascii="Garamond" w:hAnsi="Garamond"/>
          <w:sz w:val="28"/>
          <w:szCs w:val="28"/>
        </w:rPr>
        <w:t xml:space="preserve"> ad esigenze tecniche – in ciò giustificando la proroga appunto tecnica – o</w:t>
      </w:r>
      <w:r w:rsidR="002A3A23" w:rsidRPr="003C2366">
        <w:rPr>
          <w:rFonts w:ascii="Garamond" w:hAnsi="Garamond"/>
          <w:sz w:val="28"/>
          <w:szCs w:val="28"/>
        </w:rPr>
        <w:t xml:space="preserve"> se</w:t>
      </w:r>
      <w:r w:rsidR="00B4019C" w:rsidRPr="003C2366">
        <w:rPr>
          <w:rFonts w:ascii="Garamond" w:hAnsi="Garamond"/>
          <w:sz w:val="28"/>
          <w:szCs w:val="28"/>
        </w:rPr>
        <w:t xml:space="preserve"> piuttosto la facoltizzazione in termini dell’avvio delle procedure di gara non rischi di far tentennare l’interprete in sede di qualificazione. </w:t>
      </w:r>
    </w:p>
    <w:p w14:paraId="673BB13E" w14:textId="295DCD0C" w:rsidR="008D5259" w:rsidRDefault="008D5259" w:rsidP="00C2180B">
      <w:pPr>
        <w:spacing w:after="0" w:line="240" w:lineRule="auto"/>
        <w:jc w:val="both"/>
        <w:rPr>
          <w:rFonts w:ascii="Garamond" w:hAnsi="Garamond"/>
          <w:sz w:val="28"/>
          <w:szCs w:val="28"/>
        </w:rPr>
      </w:pPr>
    </w:p>
    <w:p w14:paraId="0E900E58" w14:textId="19960E6B" w:rsidR="008A5716" w:rsidRDefault="008A5716" w:rsidP="003C2366">
      <w:pPr>
        <w:spacing w:after="0" w:line="240" w:lineRule="auto"/>
        <w:ind w:firstLine="709"/>
        <w:jc w:val="both"/>
        <w:rPr>
          <w:rFonts w:ascii="Garamond" w:hAnsi="Garamond"/>
          <w:sz w:val="28"/>
          <w:szCs w:val="28"/>
        </w:rPr>
      </w:pPr>
    </w:p>
    <w:p w14:paraId="2CB3E59B" w14:textId="2EADB525" w:rsidR="008A5716" w:rsidRPr="008A5716" w:rsidRDefault="008A5716" w:rsidP="008A5716">
      <w:pPr>
        <w:spacing w:after="0" w:line="240" w:lineRule="auto"/>
        <w:ind w:firstLine="709"/>
        <w:jc w:val="center"/>
        <w:rPr>
          <w:rFonts w:ascii="Garamond" w:hAnsi="Garamond"/>
          <w:b/>
          <w:sz w:val="28"/>
          <w:szCs w:val="28"/>
        </w:rPr>
      </w:pPr>
      <w:r w:rsidRPr="008A5716">
        <w:rPr>
          <w:rFonts w:ascii="Garamond" w:hAnsi="Garamond"/>
          <w:b/>
          <w:sz w:val="28"/>
          <w:szCs w:val="28"/>
        </w:rPr>
        <w:t>PARTE III</w:t>
      </w:r>
    </w:p>
    <w:p w14:paraId="6C494033" w14:textId="77777777" w:rsidR="00374433" w:rsidRPr="003C2366" w:rsidRDefault="00374433" w:rsidP="003C2366">
      <w:pPr>
        <w:spacing w:after="0" w:line="240" w:lineRule="auto"/>
        <w:ind w:firstLine="709"/>
        <w:jc w:val="both"/>
        <w:rPr>
          <w:rFonts w:ascii="Garamond" w:hAnsi="Garamond"/>
          <w:sz w:val="28"/>
          <w:szCs w:val="28"/>
        </w:rPr>
      </w:pPr>
    </w:p>
    <w:p w14:paraId="780B8537" w14:textId="4620A09F" w:rsidR="008D5259" w:rsidRDefault="00AD4BF0" w:rsidP="003C2366">
      <w:pPr>
        <w:spacing w:after="0" w:line="240" w:lineRule="auto"/>
        <w:ind w:firstLine="709"/>
        <w:jc w:val="both"/>
        <w:rPr>
          <w:rFonts w:ascii="Garamond" w:hAnsi="Garamond"/>
          <w:b/>
          <w:i/>
          <w:sz w:val="28"/>
          <w:szCs w:val="28"/>
        </w:rPr>
      </w:pPr>
      <w:r w:rsidRPr="003C2366">
        <w:rPr>
          <w:rFonts w:ascii="Garamond" w:hAnsi="Garamond"/>
          <w:b/>
          <w:sz w:val="28"/>
          <w:szCs w:val="28"/>
        </w:rPr>
        <w:t>§ 6 –</w:t>
      </w:r>
      <w:r w:rsidRPr="00EC75ED">
        <w:rPr>
          <w:rFonts w:ascii="Garamond" w:hAnsi="Garamond"/>
          <w:sz w:val="28"/>
          <w:szCs w:val="28"/>
        </w:rPr>
        <w:t xml:space="preserve"> </w:t>
      </w:r>
      <w:r w:rsidR="00EC75ED" w:rsidRPr="00EC75ED">
        <w:rPr>
          <w:rFonts w:ascii="Garamond" w:hAnsi="Garamond"/>
          <w:b/>
          <w:sz w:val="28"/>
          <w:szCs w:val="28"/>
          <w:u w:val="single"/>
        </w:rPr>
        <w:t>La prospettiva</w:t>
      </w:r>
      <w:r w:rsidR="003A4A61" w:rsidRPr="00EC75ED">
        <w:rPr>
          <w:rFonts w:ascii="Garamond" w:hAnsi="Garamond"/>
          <w:b/>
          <w:sz w:val="28"/>
          <w:szCs w:val="28"/>
          <w:u w:val="single"/>
        </w:rPr>
        <w:t xml:space="preserve"> </w:t>
      </w:r>
      <w:r w:rsidR="008D5259" w:rsidRPr="00EC75ED">
        <w:rPr>
          <w:rFonts w:ascii="Garamond" w:hAnsi="Garamond"/>
          <w:b/>
          <w:sz w:val="28"/>
          <w:szCs w:val="28"/>
          <w:u w:val="single"/>
        </w:rPr>
        <w:t>costituzionalmente orientata della materia</w:t>
      </w:r>
      <w:r w:rsidRPr="003C2366">
        <w:rPr>
          <w:rFonts w:ascii="Garamond" w:hAnsi="Garamond"/>
          <w:b/>
          <w:i/>
          <w:sz w:val="28"/>
          <w:szCs w:val="28"/>
        </w:rPr>
        <w:t>.</w:t>
      </w:r>
    </w:p>
    <w:p w14:paraId="7D24929C" w14:textId="77777777" w:rsidR="003C2366" w:rsidRPr="003C2366" w:rsidRDefault="003C2366" w:rsidP="003C2366">
      <w:pPr>
        <w:spacing w:after="0" w:line="240" w:lineRule="auto"/>
        <w:ind w:firstLine="709"/>
        <w:jc w:val="both"/>
        <w:rPr>
          <w:rFonts w:ascii="Garamond" w:hAnsi="Garamond"/>
          <w:b/>
          <w:i/>
          <w:sz w:val="28"/>
          <w:szCs w:val="28"/>
        </w:rPr>
      </w:pPr>
    </w:p>
    <w:p w14:paraId="6D028C2F" w14:textId="247E7D2F" w:rsidR="00AD4BF0" w:rsidRPr="003C2366" w:rsidRDefault="002241FE" w:rsidP="003C2366">
      <w:pPr>
        <w:spacing w:after="0" w:line="240" w:lineRule="auto"/>
        <w:ind w:firstLine="709"/>
        <w:jc w:val="both"/>
        <w:rPr>
          <w:rFonts w:ascii="Garamond" w:hAnsi="Garamond"/>
          <w:sz w:val="28"/>
          <w:szCs w:val="28"/>
        </w:rPr>
      </w:pPr>
      <w:r>
        <w:rPr>
          <w:rFonts w:ascii="Garamond" w:hAnsi="Garamond"/>
          <w:sz w:val="28"/>
          <w:szCs w:val="28"/>
        </w:rPr>
        <w:t>È necessario</w:t>
      </w:r>
      <w:r w:rsidR="00AD4BF0" w:rsidRPr="003C2366">
        <w:rPr>
          <w:rFonts w:ascii="Garamond" w:hAnsi="Garamond"/>
          <w:sz w:val="28"/>
          <w:szCs w:val="28"/>
        </w:rPr>
        <w:t xml:space="preserve"> fornire un inquadramento costituzionale della materia.</w:t>
      </w:r>
    </w:p>
    <w:p w14:paraId="15C8D4FF" w14:textId="4D9BDE67"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Avendo riguardo al ruolo della Corte costituzionale nella definizione dei titoli di competenza legislativa regionale occorre preliminarmente chiarire che la disciplina delle c</w:t>
      </w:r>
      <w:r w:rsidR="002241FE">
        <w:rPr>
          <w:rFonts w:ascii="Garamond" w:hAnsi="Garamond"/>
          <w:sz w:val="28"/>
          <w:szCs w:val="28"/>
        </w:rPr>
        <w:t>oncessioni demaniali marittime –</w:t>
      </w:r>
      <w:r w:rsidRPr="003C2366">
        <w:rPr>
          <w:rFonts w:ascii="Garamond" w:hAnsi="Garamond"/>
          <w:sz w:val="28"/>
          <w:szCs w:val="28"/>
        </w:rPr>
        <w:t xml:space="preserve"> con particolare riguardo a quelle aventi</w:t>
      </w:r>
      <w:r w:rsidR="002241FE">
        <w:rPr>
          <w:rFonts w:ascii="Garamond" w:hAnsi="Garamond"/>
          <w:sz w:val="28"/>
          <w:szCs w:val="28"/>
        </w:rPr>
        <w:t xml:space="preserve"> finalità turistico-ricreative –</w:t>
      </w:r>
      <w:r w:rsidRPr="003C2366">
        <w:rPr>
          <w:rFonts w:ascii="Garamond" w:hAnsi="Garamond"/>
          <w:sz w:val="28"/>
          <w:szCs w:val="28"/>
        </w:rPr>
        <w:t xml:space="preserve"> ingloba una pluralità di materie ai sensi dell’art. 117 Cost. Fra di esse, alcune sono di competenza esclusiva statale (come la “</w:t>
      </w:r>
      <w:r w:rsidRPr="003A4A61">
        <w:rPr>
          <w:rFonts w:ascii="Garamond" w:hAnsi="Garamond"/>
          <w:i/>
          <w:sz w:val="28"/>
          <w:szCs w:val="28"/>
        </w:rPr>
        <w:t>tutela della concorrenza</w:t>
      </w:r>
      <w:r w:rsidRPr="003C2366">
        <w:rPr>
          <w:rFonts w:ascii="Garamond" w:hAnsi="Garamond"/>
          <w:sz w:val="28"/>
          <w:szCs w:val="28"/>
        </w:rPr>
        <w:t>”), altre di competenza concorrente (quali, ad esempio, il “</w:t>
      </w:r>
      <w:r w:rsidRPr="003A4A61">
        <w:rPr>
          <w:rFonts w:ascii="Garamond" w:hAnsi="Garamond"/>
          <w:i/>
          <w:sz w:val="28"/>
          <w:szCs w:val="28"/>
        </w:rPr>
        <w:t>governo del territorio</w:t>
      </w:r>
      <w:r w:rsidRPr="003C2366">
        <w:rPr>
          <w:rFonts w:ascii="Garamond" w:hAnsi="Garamond"/>
          <w:sz w:val="28"/>
          <w:szCs w:val="28"/>
        </w:rPr>
        <w:t>”), altre ancora invece di competenza residuale (si pensi al “</w:t>
      </w:r>
      <w:r w:rsidRPr="003A4A61">
        <w:rPr>
          <w:rFonts w:ascii="Garamond" w:hAnsi="Garamond"/>
          <w:i/>
          <w:sz w:val="28"/>
          <w:szCs w:val="28"/>
        </w:rPr>
        <w:t>turismo</w:t>
      </w:r>
      <w:r w:rsidRPr="003C2366">
        <w:rPr>
          <w:rFonts w:ascii="Garamond" w:hAnsi="Garamond"/>
          <w:sz w:val="28"/>
          <w:szCs w:val="28"/>
        </w:rPr>
        <w:t>” ed al “</w:t>
      </w:r>
      <w:r w:rsidRPr="003A4A61">
        <w:rPr>
          <w:rFonts w:ascii="Garamond" w:hAnsi="Garamond"/>
          <w:i/>
          <w:sz w:val="28"/>
          <w:szCs w:val="28"/>
        </w:rPr>
        <w:t>commercio</w:t>
      </w:r>
      <w:r w:rsidRPr="003C2366">
        <w:rPr>
          <w:rFonts w:ascii="Garamond" w:hAnsi="Garamond"/>
          <w:sz w:val="28"/>
          <w:szCs w:val="28"/>
        </w:rPr>
        <w:t>”).</w:t>
      </w:r>
    </w:p>
    <w:p w14:paraId="54A00018" w14:textId="32EFE03A"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Sul punto, la stessa Corte costitu</w:t>
      </w:r>
      <w:r w:rsidR="002F47D4">
        <w:rPr>
          <w:rFonts w:ascii="Garamond" w:hAnsi="Garamond"/>
          <w:sz w:val="28"/>
          <w:szCs w:val="28"/>
        </w:rPr>
        <w:t>zionale, con la sentenza del 18/07/</w:t>
      </w:r>
      <w:r w:rsidRPr="003C2366">
        <w:rPr>
          <w:rFonts w:ascii="Garamond" w:hAnsi="Garamond"/>
          <w:sz w:val="28"/>
          <w:szCs w:val="28"/>
        </w:rPr>
        <w:t>2011, n. 213, ha affermato che il regime del rilascio delle concessioni demaniali marittime interessa ambiti di competenza fra loro eterogenei, non solo statali ma anche regionali, precisando nondimeno che su tale terreno – specie quanto a criteri e modalità di affidamento – riveste preminente importanza il principio di libera concorrenza, in ragione della sua natura “</w:t>
      </w:r>
      <w:r w:rsidRPr="003A4A61">
        <w:rPr>
          <w:rFonts w:ascii="Garamond" w:hAnsi="Garamond"/>
          <w:i/>
          <w:sz w:val="28"/>
          <w:szCs w:val="28"/>
        </w:rPr>
        <w:t>trasversale</w:t>
      </w:r>
      <w:r w:rsidRPr="003C2366">
        <w:rPr>
          <w:rFonts w:ascii="Garamond" w:hAnsi="Garamond"/>
          <w:sz w:val="28"/>
          <w:szCs w:val="28"/>
        </w:rPr>
        <w:t xml:space="preserve">”. Pur in presenza della richiamata vocazione espansiva, a tale materia non deve </w:t>
      </w:r>
      <w:r w:rsidRPr="003C2366">
        <w:rPr>
          <w:rFonts w:ascii="Garamond" w:hAnsi="Garamond"/>
          <w:sz w:val="28"/>
          <w:szCs w:val="28"/>
        </w:rPr>
        <w:lastRenderedPageBreak/>
        <w:t>comunque attribuirsi un portato così totalizzante da assorbire “</w:t>
      </w:r>
      <w:r w:rsidRPr="003A4A61">
        <w:rPr>
          <w:rFonts w:ascii="Garamond" w:hAnsi="Garamond"/>
          <w:i/>
          <w:sz w:val="28"/>
          <w:szCs w:val="28"/>
        </w:rPr>
        <w:t>aprioristicamente</w:t>
      </w:r>
      <w:r w:rsidRPr="003C2366">
        <w:rPr>
          <w:rFonts w:ascii="Garamond" w:hAnsi="Garamond"/>
          <w:sz w:val="28"/>
          <w:szCs w:val="28"/>
        </w:rPr>
        <w:t>” gli ambiti di competenza regionale.</w:t>
      </w:r>
    </w:p>
    <w:p w14:paraId="1930812C" w14:textId="77777777"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Ebbene, la tensione tra tutela della concorrenza e autonomie legislative regionali ha reso necessari numerosi interventi della Corte costituzionale, volti a definire il perimetro entro cui ciascun livello di governo può esercitare la propria competenza.</w:t>
      </w:r>
    </w:p>
    <w:p w14:paraId="74D83066" w14:textId="77777777"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Per opportunità di ordine sistematico, occorre previamente soffermarsi sulle dichiarazioni di incostituzionalità rese dalla Corte costituzionale, le quali possono essere tripartite nei seguenti filoni: i meccanismi di dilazionamento temporale, gli indennizzi in favore del concessionario uscente ed i titoli preferenziali.</w:t>
      </w:r>
    </w:p>
    <w:p w14:paraId="24C5BAD5" w14:textId="245F19C8"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Si accennerà</w:t>
      </w:r>
      <w:r w:rsidR="002241FE">
        <w:rPr>
          <w:rFonts w:ascii="Garamond" w:hAnsi="Garamond"/>
          <w:sz w:val="28"/>
          <w:szCs w:val="28"/>
        </w:rPr>
        <w:t>,</w:t>
      </w:r>
      <w:r w:rsidRPr="003C2366">
        <w:rPr>
          <w:rFonts w:ascii="Garamond" w:hAnsi="Garamond"/>
          <w:sz w:val="28"/>
          <w:szCs w:val="28"/>
        </w:rPr>
        <w:t xml:space="preserve"> infine</w:t>
      </w:r>
      <w:r w:rsidR="002241FE">
        <w:rPr>
          <w:rFonts w:ascii="Garamond" w:hAnsi="Garamond"/>
          <w:sz w:val="28"/>
          <w:szCs w:val="28"/>
        </w:rPr>
        <w:t>,</w:t>
      </w:r>
      <w:r w:rsidRPr="003C2366">
        <w:rPr>
          <w:rFonts w:ascii="Garamond" w:hAnsi="Garamond"/>
          <w:sz w:val="28"/>
          <w:szCs w:val="28"/>
        </w:rPr>
        <w:t xml:space="preserve"> a talune “aperture” delle Corte, che inducono a riflettere sui margini d’intervento delle Regioni nella regolamentazione del rilascio delle concessioni demaniali marittime.</w:t>
      </w:r>
    </w:p>
    <w:p w14:paraId="509D47EF" w14:textId="77777777" w:rsidR="008D5259" w:rsidRPr="003C2366" w:rsidRDefault="008D5259" w:rsidP="003C2366">
      <w:pPr>
        <w:spacing w:after="0" w:line="240" w:lineRule="auto"/>
        <w:ind w:firstLine="709"/>
        <w:jc w:val="both"/>
        <w:rPr>
          <w:rFonts w:ascii="Garamond" w:hAnsi="Garamond"/>
          <w:sz w:val="28"/>
          <w:szCs w:val="28"/>
        </w:rPr>
      </w:pPr>
    </w:p>
    <w:p w14:paraId="3CDD6B66" w14:textId="77777777" w:rsidR="008D5259" w:rsidRPr="003C2366" w:rsidRDefault="00AD4BF0" w:rsidP="003C2366">
      <w:pPr>
        <w:spacing w:after="0" w:line="240" w:lineRule="auto"/>
        <w:ind w:firstLine="709"/>
        <w:jc w:val="both"/>
        <w:rPr>
          <w:rFonts w:ascii="Garamond" w:hAnsi="Garamond"/>
          <w:b/>
          <w:sz w:val="28"/>
          <w:szCs w:val="28"/>
        </w:rPr>
      </w:pPr>
      <w:r w:rsidRPr="003C2366">
        <w:rPr>
          <w:rFonts w:ascii="Garamond" w:hAnsi="Garamond"/>
          <w:b/>
          <w:sz w:val="28"/>
          <w:szCs w:val="28"/>
        </w:rPr>
        <w:t>6</w:t>
      </w:r>
      <w:r w:rsidR="008D5259" w:rsidRPr="003C2366">
        <w:rPr>
          <w:rFonts w:ascii="Garamond" w:hAnsi="Garamond"/>
          <w:b/>
          <w:sz w:val="28"/>
          <w:szCs w:val="28"/>
        </w:rPr>
        <w:t>.1 Le pronunce di incostituzionalità aventi ad oggetto gli strumenti di dilazionamento temporale delle concessioni</w:t>
      </w:r>
    </w:p>
    <w:p w14:paraId="156DFE26" w14:textId="77777777"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Un primo, consistente, filone di pronunce di incostituzionalità concerne le statuizioni della Corte costituzionale sulla durata e sulle proroghe delle concessioni demaniali marittime con finalità turistico-ricreative concesse da leggi regionali. </w:t>
      </w:r>
    </w:p>
    <w:p w14:paraId="37BBC655" w14:textId="20E6865C"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Molte di queste normative sono state dichiarate incostituzionali poiché prevedevano meccanismi di proroga o rinnovi automatici, spesso a favore degli attuali concessionari, con effetti negativi sulla parità di trattamento e sulla concorrenza economica, due principi sanciti dal diritto </w:t>
      </w:r>
      <w:r w:rsidR="00804C69">
        <w:rPr>
          <w:rFonts w:ascii="Garamond" w:hAnsi="Garamond"/>
          <w:sz w:val="28"/>
          <w:szCs w:val="28"/>
        </w:rPr>
        <w:t>eurounitario</w:t>
      </w:r>
      <w:r w:rsidRPr="003C2366">
        <w:rPr>
          <w:rFonts w:ascii="Garamond" w:hAnsi="Garamond"/>
          <w:sz w:val="28"/>
          <w:szCs w:val="28"/>
        </w:rPr>
        <w:t>.</w:t>
      </w:r>
    </w:p>
    <w:p w14:paraId="39B46C24" w14:textId="02DD033D"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Segnatamente, la Corte ha censurato tali interventi per la violazione dell’art. 117, </w:t>
      </w:r>
      <w:r w:rsidR="0090696B">
        <w:rPr>
          <w:rFonts w:ascii="Garamond" w:hAnsi="Garamond"/>
          <w:sz w:val="28"/>
          <w:szCs w:val="28"/>
        </w:rPr>
        <w:t>primo comma</w:t>
      </w:r>
      <w:r w:rsidRPr="003C2366">
        <w:rPr>
          <w:rFonts w:ascii="Garamond" w:hAnsi="Garamond"/>
          <w:sz w:val="28"/>
          <w:szCs w:val="28"/>
        </w:rPr>
        <w:t xml:space="preserve"> della Costituzione, per contrasto con i vincoli derivanti dall'ordinamento </w:t>
      </w:r>
      <w:r w:rsidR="0090696B">
        <w:rPr>
          <w:rFonts w:ascii="Garamond" w:hAnsi="Garamond"/>
          <w:sz w:val="28"/>
          <w:szCs w:val="28"/>
        </w:rPr>
        <w:t>euro</w:t>
      </w:r>
      <w:r w:rsidRPr="003C2366">
        <w:rPr>
          <w:rFonts w:ascii="Garamond" w:hAnsi="Garamond"/>
          <w:sz w:val="28"/>
          <w:szCs w:val="28"/>
        </w:rPr>
        <w:t xml:space="preserve">unitario in tema di diritto di stabilimento e di tutela della concorrenza, e/o per la violazione dell’art. 117, </w:t>
      </w:r>
      <w:r w:rsidR="0090696B" w:rsidRPr="003C2366">
        <w:rPr>
          <w:rFonts w:ascii="Garamond" w:hAnsi="Garamond"/>
          <w:sz w:val="28"/>
          <w:szCs w:val="28"/>
        </w:rPr>
        <w:t xml:space="preserve">secondo </w:t>
      </w:r>
      <w:r w:rsidRPr="003C2366">
        <w:rPr>
          <w:rFonts w:ascii="Garamond" w:hAnsi="Garamond"/>
          <w:sz w:val="28"/>
          <w:szCs w:val="28"/>
        </w:rPr>
        <w:t>comma, lett. e) della Costituzione, che riconosce una competenza esclusiva statale in materia di tutela della concorrenza.</w:t>
      </w:r>
    </w:p>
    <w:p w14:paraId="59A582EF" w14:textId="7B19AE04"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Tra i casi esaminati, la Corte ha dichiarato incostituzionali leggi di diverse </w:t>
      </w:r>
      <w:r w:rsidR="002167D0" w:rsidRPr="003C2366">
        <w:rPr>
          <w:rFonts w:ascii="Garamond" w:hAnsi="Garamond"/>
          <w:sz w:val="28"/>
          <w:szCs w:val="28"/>
        </w:rPr>
        <w:t>Regioni</w:t>
      </w:r>
      <w:r w:rsidRPr="003C2366">
        <w:rPr>
          <w:rFonts w:ascii="Garamond" w:hAnsi="Garamond"/>
          <w:sz w:val="28"/>
          <w:szCs w:val="28"/>
        </w:rPr>
        <w:t>, tra cui Emilia Romagna</w:t>
      </w:r>
      <w:r w:rsidRPr="003C2366">
        <w:rPr>
          <w:rFonts w:ascii="Garamond" w:hAnsi="Garamond"/>
          <w:sz w:val="28"/>
          <w:szCs w:val="28"/>
          <w:vertAlign w:val="superscript"/>
        </w:rPr>
        <w:footnoteReference w:id="53"/>
      </w:r>
      <w:r w:rsidRPr="003C2366">
        <w:rPr>
          <w:rFonts w:ascii="Garamond" w:hAnsi="Garamond"/>
          <w:sz w:val="28"/>
          <w:szCs w:val="28"/>
        </w:rPr>
        <w:t>, Toscana</w:t>
      </w:r>
      <w:r w:rsidRPr="003C2366">
        <w:rPr>
          <w:rFonts w:ascii="Garamond" w:hAnsi="Garamond"/>
          <w:sz w:val="28"/>
          <w:szCs w:val="28"/>
          <w:vertAlign w:val="superscript"/>
        </w:rPr>
        <w:footnoteReference w:id="54"/>
      </w:r>
      <w:r w:rsidR="002167D0" w:rsidRPr="003C2366">
        <w:rPr>
          <w:rFonts w:ascii="Garamond" w:hAnsi="Garamond"/>
          <w:sz w:val="28"/>
          <w:szCs w:val="28"/>
        </w:rPr>
        <w:t xml:space="preserve">, Marche, Veneto, </w:t>
      </w:r>
      <w:r w:rsidRPr="003C2366">
        <w:rPr>
          <w:rFonts w:ascii="Garamond" w:hAnsi="Garamond"/>
          <w:sz w:val="28"/>
          <w:szCs w:val="28"/>
        </w:rPr>
        <w:t>Abruzzo</w:t>
      </w:r>
      <w:r w:rsidRPr="003C2366">
        <w:rPr>
          <w:rFonts w:ascii="Garamond" w:hAnsi="Garamond"/>
          <w:sz w:val="28"/>
          <w:szCs w:val="28"/>
          <w:vertAlign w:val="superscript"/>
        </w:rPr>
        <w:footnoteReference w:id="55"/>
      </w:r>
      <w:r w:rsidR="0090696B">
        <w:rPr>
          <w:rFonts w:ascii="Garamond" w:hAnsi="Garamond"/>
          <w:sz w:val="28"/>
          <w:szCs w:val="28"/>
        </w:rPr>
        <w:t>,</w:t>
      </w:r>
      <w:r w:rsidRPr="003C2366">
        <w:rPr>
          <w:rFonts w:ascii="Garamond" w:hAnsi="Garamond"/>
          <w:sz w:val="28"/>
          <w:szCs w:val="28"/>
        </w:rPr>
        <w:t xml:space="preserve"> nonché Friuli-Venezia Giulia</w:t>
      </w:r>
      <w:r w:rsidRPr="003C2366">
        <w:rPr>
          <w:rFonts w:ascii="Garamond" w:hAnsi="Garamond"/>
          <w:sz w:val="28"/>
          <w:szCs w:val="28"/>
          <w:vertAlign w:val="superscript"/>
        </w:rPr>
        <w:footnoteReference w:id="56"/>
      </w:r>
      <w:r w:rsidRPr="003C2366">
        <w:rPr>
          <w:rFonts w:ascii="Garamond" w:hAnsi="Garamond"/>
          <w:sz w:val="28"/>
          <w:szCs w:val="28"/>
        </w:rPr>
        <w:t xml:space="preserve"> per la incoerenza con i vincoli derivanti dall'ordinamento </w:t>
      </w:r>
      <w:r w:rsidR="0090696B" w:rsidRPr="0090696B">
        <w:rPr>
          <w:rFonts w:ascii="Garamond" w:hAnsi="Garamond"/>
          <w:sz w:val="28"/>
          <w:szCs w:val="28"/>
        </w:rPr>
        <w:t>eurounitario</w:t>
      </w:r>
      <w:r w:rsidRPr="003C2366">
        <w:rPr>
          <w:rFonts w:ascii="Garamond" w:hAnsi="Garamond"/>
          <w:sz w:val="28"/>
          <w:szCs w:val="28"/>
        </w:rPr>
        <w:t xml:space="preserve"> in tema di </w:t>
      </w:r>
      <w:r w:rsidRPr="003C2366">
        <w:rPr>
          <w:rFonts w:ascii="Garamond" w:hAnsi="Garamond"/>
          <w:sz w:val="28"/>
          <w:szCs w:val="28"/>
        </w:rPr>
        <w:lastRenderedPageBreak/>
        <w:t>libertà di stabilimento e tutela della concorren</w:t>
      </w:r>
      <w:r w:rsidR="002167D0" w:rsidRPr="003C2366">
        <w:rPr>
          <w:rFonts w:ascii="Garamond" w:hAnsi="Garamond"/>
          <w:sz w:val="28"/>
          <w:szCs w:val="28"/>
        </w:rPr>
        <w:t>za (rispettivamente gli artt.</w:t>
      </w:r>
      <w:r w:rsidRPr="003C2366">
        <w:rPr>
          <w:rFonts w:ascii="Garamond" w:hAnsi="Garamond"/>
          <w:sz w:val="28"/>
          <w:szCs w:val="28"/>
        </w:rPr>
        <w:t xml:space="preserve"> 43 e 81 del Trattato CE</w:t>
      </w:r>
      <w:r w:rsidR="0090696B">
        <w:rPr>
          <w:rFonts w:ascii="Garamond" w:hAnsi="Garamond"/>
          <w:sz w:val="28"/>
          <w:szCs w:val="28"/>
        </w:rPr>
        <w:t>, ora artt. 49 e 101 TFUE</w:t>
      </w:r>
      <w:r w:rsidRPr="003C2366">
        <w:rPr>
          <w:rFonts w:ascii="Garamond" w:hAnsi="Garamond"/>
          <w:sz w:val="28"/>
          <w:szCs w:val="28"/>
        </w:rPr>
        <w:t xml:space="preserve">). </w:t>
      </w:r>
    </w:p>
    <w:p w14:paraId="3D9CED35" w14:textId="0BEACBC1" w:rsidR="008D5259" w:rsidRPr="003C2366" w:rsidRDefault="00085147" w:rsidP="003C2366">
      <w:pPr>
        <w:spacing w:after="0" w:line="240" w:lineRule="auto"/>
        <w:ind w:firstLine="709"/>
        <w:jc w:val="both"/>
        <w:rPr>
          <w:rFonts w:ascii="Garamond" w:hAnsi="Garamond"/>
          <w:sz w:val="28"/>
          <w:szCs w:val="28"/>
        </w:rPr>
      </w:pPr>
      <w:r>
        <w:rPr>
          <w:rFonts w:ascii="Garamond" w:hAnsi="Garamond"/>
          <w:sz w:val="28"/>
          <w:szCs w:val="28"/>
        </w:rPr>
        <w:t>L</w:t>
      </w:r>
      <w:r w:rsidR="008D5259" w:rsidRPr="003C2366">
        <w:rPr>
          <w:rFonts w:ascii="Garamond" w:hAnsi="Garamond"/>
          <w:sz w:val="28"/>
          <w:szCs w:val="28"/>
        </w:rPr>
        <w:t>e predette norme regionali introducevano un diritto di proroga in favore di soggetti gi</w:t>
      </w:r>
      <w:r>
        <w:rPr>
          <w:rFonts w:ascii="Garamond" w:hAnsi="Garamond"/>
          <w:sz w:val="28"/>
          <w:szCs w:val="28"/>
        </w:rPr>
        <w:t xml:space="preserve">à possessori della concessione </w:t>
      </w:r>
      <w:r w:rsidR="008D5259" w:rsidRPr="003C2366">
        <w:rPr>
          <w:rFonts w:ascii="Garamond" w:hAnsi="Garamond"/>
          <w:sz w:val="28"/>
          <w:szCs w:val="28"/>
        </w:rPr>
        <w:t>con evidente disparità di trattamento tra gli operatori economici in violazione dei principi di concorrenza e di libertà di stabilimento.</w:t>
      </w:r>
    </w:p>
    <w:p w14:paraId="4844D0B0" w14:textId="756EA91A"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Più di recente il giudice costituzionale ha avuto modo di censurare ulteriori normative regionali, fra cui, una legge friulana, che individuava nel termine di quarant’anni la durata massima del titolo concessorio: previsione anch’essa ritenuta incoerente con la cornice </w:t>
      </w:r>
      <w:r w:rsidR="00085147">
        <w:rPr>
          <w:rFonts w:ascii="Garamond" w:hAnsi="Garamond"/>
          <w:sz w:val="28"/>
          <w:szCs w:val="28"/>
        </w:rPr>
        <w:t>eurounitaria</w:t>
      </w:r>
      <w:r w:rsidRPr="003C2366">
        <w:rPr>
          <w:rFonts w:ascii="Garamond" w:hAnsi="Garamond"/>
          <w:sz w:val="28"/>
          <w:szCs w:val="28"/>
        </w:rPr>
        <w:t xml:space="preserve"> e lesiva della competenza statale “</w:t>
      </w:r>
      <w:r w:rsidRPr="003C2366">
        <w:rPr>
          <w:rFonts w:ascii="Garamond" w:hAnsi="Garamond"/>
          <w:i/>
          <w:sz w:val="28"/>
          <w:szCs w:val="28"/>
        </w:rPr>
        <w:t>in ragione dell’incidenza che il prolungarsi dell’affidamento assume sulle prospettive legate alle potenzialità di ingresso nel mercato di riferimento di altri potenziali operatori economici</w:t>
      </w:r>
      <w:r w:rsidRPr="003C2366">
        <w:rPr>
          <w:rFonts w:ascii="Garamond" w:hAnsi="Garamond"/>
          <w:sz w:val="28"/>
          <w:szCs w:val="28"/>
        </w:rPr>
        <w:t>”</w:t>
      </w:r>
      <w:r w:rsidR="00085147" w:rsidRPr="00085147">
        <w:rPr>
          <w:rFonts w:ascii="Garamond" w:hAnsi="Garamond"/>
          <w:sz w:val="28"/>
          <w:szCs w:val="28"/>
          <w:vertAlign w:val="superscript"/>
        </w:rPr>
        <w:t xml:space="preserve"> </w:t>
      </w:r>
      <w:r w:rsidR="00085147" w:rsidRPr="003C2366">
        <w:rPr>
          <w:rFonts w:ascii="Garamond" w:hAnsi="Garamond"/>
          <w:sz w:val="28"/>
          <w:szCs w:val="28"/>
          <w:vertAlign w:val="superscript"/>
        </w:rPr>
        <w:footnoteReference w:id="57"/>
      </w:r>
      <w:r w:rsidRPr="003C2366">
        <w:rPr>
          <w:rFonts w:ascii="Garamond" w:hAnsi="Garamond"/>
          <w:sz w:val="28"/>
          <w:szCs w:val="28"/>
        </w:rPr>
        <w:t>.</w:t>
      </w:r>
    </w:p>
    <w:p w14:paraId="1306BFE4" w14:textId="2A3D425E"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Analogamente è stata dichiarata l’incostituzionalità di una legge adottata dalla </w:t>
      </w:r>
      <w:r w:rsidR="0030482D">
        <w:rPr>
          <w:rFonts w:ascii="Garamond" w:hAnsi="Garamond"/>
          <w:sz w:val="28"/>
          <w:szCs w:val="28"/>
        </w:rPr>
        <w:t>R</w:t>
      </w:r>
      <w:r w:rsidRPr="003C2366">
        <w:rPr>
          <w:rFonts w:ascii="Garamond" w:hAnsi="Garamond"/>
          <w:sz w:val="28"/>
          <w:szCs w:val="28"/>
        </w:rPr>
        <w:t>egione Liguria</w:t>
      </w:r>
      <w:r w:rsidRPr="003C2366">
        <w:rPr>
          <w:rFonts w:ascii="Garamond" w:hAnsi="Garamond"/>
          <w:sz w:val="28"/>
          <w:szCs w:val="28"/>
          <w:vertAlign w:val="superscript"/>
        </w:rPr>
        <w:footnoteReference w:id="58"/>
      </w:r>
      <w:r w:rsidRPr="003C2366">
        <w:rPr>
          <w:rFonts w:ascii="Garamond" w:hAnsi="Garamond"/>
          <w:sz w:val="28"/>
          <w:szCs w:val="28"/>
        </w:rPr>
        <w:t xml:space="preserve"> per lesione della competenza esclusiva statale, in quanto la disposizione normativa aveva posto a fondamento dell’ampliamento sino a trent’anni della durata dei titoli concessori – ritenuto eccessivo – l’esigenza di tutelare “</w:t>
      </w:r>
      <w:r w:rsidRPr="0030482D">
        <w:rPr>
          <w:rFonts w:ascii="Garamond" w:hAnsi="Garamond"/>
          <w:i/>
          <w:sz w:val="28"/>
          <w:szCs w:val="28"/>
        </w:rPr>
        <w:t>l’organizzazione sociale delle aree costiere”, la “continuità aziendale delle attività” oltre che “il legittimo affidamento dei concessionari</w:t>
      </w:r>
      <w:r w:rsidRPr="003C2366">
        <w:rPr>
          <w:rFonts w:ascii="Garamond" w:hAnsi="Garamond"/>
          <w:sz w:val="28"/>
          <w:szCs w:val="28"/>
        </w:rPr>
        <w:t xml:space="preserve">”. </w:t>
      </w:r>
    </w:p>
    <w:p w14:paraId="04FC3A0A" w14:textId="66FF5607"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La Corte ha affermato che la finalità di tutelare l’affidamento e la certezza del diritto degli operatori locali, non vale ad escludere il </w:t>
      </w:r>
      <w:r w:rsidRPr="003C2366">
        <w:rPr>
          <w:rFonts w:ascii="Garamond" w:hAnsi="Garamond"/>
          <w:i/>
          <w:sz w:val="28"/>
          <w:szCs w:val="28"/>
        </w:rPr>
        <w:t>vulnus</w:t>
      </w:r>
      <w:r w:rsidRPr="003C2366">
        <w:rPr>
          <w:rFonts w:ascii="Garamond" w:hAnsi="Garamond"/>
          <w:sz w:val="28"/>
          <w:szCs w:val="28"/>
        </w:rPr>
        <w:t xml:space="preserve"> arrecato dalla disposizione alla competenza esclusiva dello </w:t>
      </w:r>
      <w:r w:rsidR="0030482D">
        <w:rPr>
          <w:rFonts w:ascii="Garamond" w:hAnsi="Garamond"/>
          <w:sz w:val="28"/>
          <w:szCs w:val="28"/>
        </w:rPr>
        <w:t>S</w:t>
      </w:r>
      <w:r w:rsidRPr="003C2366">
        <w:rPr>
          <w:rFonts w:ascii="Garamond" w:hAnsi="Garamond"/>
          <w:sz w:val="28"/>
          <w:szCs w:val="28"/>
        </w:rPr>
        <w:t>tato, in materia di tutela della concorrenza</w:t>
      </w:r>
      <w:r w:rsidRPr="003C2366">
        <w:rPr>
          <w:rFonts w:ascii="Garamond" w:hAnsi="Garamond"/>
          <w:sz w:val="28"/>
          <w:szCs w:val="28"/>
          <w:vertAlign w:val="superscript"/>
        </w:rPr>
        <w:footnoteReference w:id="59"/>
      </w:r>
      <w:r w:rsidR="0030482D">
        <w:rPr>
          <w:rFonts w:ascii="Garamond" w:hAnsi="Garamond"/>
          <w:sz w:val="28"/>
          <w:szCs w:val="28"/>
        </w:rPr>
        <w:t>.</w:t>
      </w:r>
    </w:p>
    <w:p w14:paraId="5B4B4B8D" w14:textId="32119D0A"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La Corte costituzionale ha censurato anche normative regionali che replicavano norme statali, come una legge del Friuli-Venezia Giulia che estendeva la validità delle </w:t>
      </w:r>
      <w:r w:rsidR="002167D0" w:rsidRPr="003C2366">
        <w:rPr>
          <w:rFonts w:ascii="Garamond" w:hAnsi="Garamond"/>
          <w:sz w:val="28"/>
          <w:szCs w:val="28"/>
        </w:rPr>
        <w:t>concessioni fino al 31/12/</w:t>
      </w:r>
      <w:r w:rsidRPr="003C2366">
        <w:rPr>
          <w:rFonts w:ascii="Garamond" w:hAnsi="Garamond"/>
          <w:sz w:val="28"/>
          <w:szCs w:val="28"/>
        </w:rPr>
        <w:t>2033</w:t>
      </w:r>
      <w:r w:rsidRPr="003C2366">
        <w:rPr>
          <w:rFonts w:ascii="Garamond" w:hAnsi="Garamond"/>
          <w:sz w:val="28"/>
          <w:szCs w:val="28"/>
          <w:vertAlign w:val="superscript"/>
        </w:rPr>
        <w:footnoteReference w:id="60"/>
      </w:r>
      <w:r w:rsidRPr="003C2366">
        <w:rPr>
          <w:rFonts w:ascii="Garamond" w:hAnsi="Garamond"/>
          <w:sz w:val="28"/>
          <w:szCs w:val="28"/>
        </w:rPr>
        <w:t>. Anche in questi casi, è stata rilevata una violazione della competenza statale esclusiva, in quanto qualsiasi norma che limiti l’accesso al mercato deve rientrare</w:t>
      </w:r>
      <w:r w:rsidR="0030482D">
        <w:rPr>
          <w:rFonts w:ascii="Garamond" w:hAnsi="Garamond"/>
          <w:sz w:val="28"/>
          <w:szCs w:val="28"/>
        </w:rPr>
        <w:t xml:space="preserve"> nella legislazione dello Stato</w:t>
      </w:r>
      <w:r w:rsidRPr="003C2366">
        <w:rPr>
          <w:rFonts w:ascii="Garamond" w:hAnsi="Garamond"/>
          <w:sz w:val="28"/>
          <w:szCs w:val="28"/>
          <w:vertAlign w:val="superscript"/>
        </w:rPr>
        <w:footnoteReference w:id="61"/>
      </w:r>
      <w:r w:rsidR="0030482D">
        <w:rPr>
          <w:rFonts w:ascii="Garamond" w:hAnsi="Garamond"/>
          <w:sz w:val="28"/>
          <w:szCs w:val="28"/>
        </w:rPr>
        <w:t>.</w:t>
      </w:r>
    </w:p>
    <w:p w14:paraId="729E49B8" w14:textId="7A7CA3D0"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Da ultimo</w:t>
      </w:r>
      <w:r w:rsidR="0030482D">
        <w:rPr>
          <w:rFonts w:ascii="Garamond" w:hAnsi="Garamond"/>
          <w:sz w:val="28"/>
          <w:szCs w:val="28"/>
        </w:rPr>
        <w:t>,</w:t>
      </w:r>
      <w:r w:rsidRPr="003C2366">
        <w:rPr>
          <w:rFonts w:ascii="Garamond" w:hAnsi="Garamond"/>
          <w:sz w:val="28"/>
          <w:szCs w:val="28"/>
        </w:rPr>
        <w:t xml:space="preserve"> merita di es</w:t>
      </w:r>
      <w:r w:rsidR="002167D0" w:rsidRPr="003C2366">
        <w:rPr>
          <w:rFonts w:ascii="Garamond" w:hAnsi="Garamond"/>
          <w:sz w:val="28"/>
          <w:szCs w:val="28"/>
        </w:rPr>
        <w:t xml:space="preserve">sere menzionata la sentenza </w:t>
      </w:r>
      <w:r w:rsidR="0030482D">
        <w:rPr>
          <w:rFonts w:ascii="Garamond" w:hAnsi="Garamond"/>
          <w:sz w:val="28"/>
          <w:szCs w:val="28"/>
        </w:rPr>
        <w:t>n. 109/</w:t>
      </w:r>
      <w:r w:rsidRPr="003C2366">
        <w:rPr>
          <w:rFonts w:ascii="Garamond" w:hAnsi="Garamond"/>
          <w:sz w:val="28"/>
          <w:szCs w:val="28"/>
        </w:rPr>
        <w:t>2024, con la quale la Corte costituzionale ha dichiaro l'illegittimità co</w:t>
      </w:r>
      <w:r w:rsidR="0030482D">
        <w:rPr>
          <w:rFonts w:ascii="Garamond" w:hAnsi="Garamond"/>
          <w:sz w:val="28"/>
          <w:szCs w:val="28"/>
        </w:rPr>
        <w:t>stituzionale dell'art. 36</w:t>
      </w:r>
      <w:r w:rsidRPr="003C2366">
        <w:rPr>
          <w:rFonts w:ascii="Garamond" w:hAnsi="Garamond"/>
          <w:sz w:val="28"/>
          <w:szCs w:val="28"/>
        </w:rPr>
        <w:t xml:space="preserve"> </w:t>
      </w:r>
      <w:r w:rsidR="008E07C6" w:rsidRPr="003C2366">
        <w:rPr>
          <w:rFonts w:ascii="Garamond" w:hAnsi="Garamond"/>
          <w:sz w:val="28"/>
          <w:szCs w:val="28"/>
        </w:rPr>
        <w:t>L.</w:t>
      </w:r>
      <w:r w:rsidR="002167D0" w:rsidRPr="003C2366">
        <w:rPr>
          <w:rFonts w:ascii="Garamond" w:hAnsi="Garamond"/>
          <w:sz w:val="28"/>
          <w:szCs w:val="28"/>
        </w:rPr>
        <w:t xml:space="preserve"> reg. Sicilia</w:t>
      </w:r>
      <w:r w:rsidR="002F47D4">
        <w:rPr>
          <w:rFonts w:ascii="Garamond" w:hAnsi="Garamond"/>
          <w:sz w:val="28"/>
          <w:szCs w:val="28"/>
        </w:rPr>
        <w:t xml:space="preserve"> 22/02/</w:t>
      </w:r>
      <w:r w:rsidRPr="003C2366">
        <w:rPr>
          <w:rFonts w:ascii="Garamond" w:hAnsi="Garamond"/>
          <w:sz w:val="28"/>
          <w:szCs w:val="28"/>
        </w:rPr>
        <w:t>2023, n. 2 (</w:t>
      </w:r>
      <w:r w:rsidR="008E07C6" w:rsidRPr="003C2366">
        <w:rPr>
          <w:rFonts w:ascii="Garamond" w:hAnsi="Garamond"/>
          <w:sz w:val="28"/>
          <w:szCs w:val="28"/>
        </w:rPr>
        <w:t>L.</w:t>
      </w:r>
      <w:r w:rsidR="002167D0" w:rsidRPr="003C2366">
        <w:rPr>
          <w:rFonts w:ascii="Garamond" w:hAnsi="Garamond"/>
          <w:sz w:val="28"/>
          <w:szCs w:val="28"/>
        </w:rPr>
        <w:t xml:space="preserve"> reg</w:t>
      </w:r>
      <w:r w:rsidRPr="003C2366">
        <w:rPr>
          <w:rFonts w:ascii="Garamond" w:hAnsi="Garamond"/>
          <w:sz w:val="28"/>
          <w:szCs w:val="28"/>
        </w:rPr>
        <w:t>. 2023-2025), per violaz</w:t>
      </w:r>
      <w:r w:rsidR="0030482D">
        <w:rPr>
          <w:rFonts w:ascii="Garamond" w:hAnsi="Garamond"/>
          <w:sz w:val="28"/>
          <w:szCs w:val="28"/>
        </w:rPr>
        <w:t>ione dell'art. 117, primo comma</w:t>
      </w:r>
      <w:r w:rsidRPr="003C2366">
        <w:rPr>
          <w:rFonts w:ascii="Garamond" w:hAnsi="Garamond"/>
          <w:sz w:val="28"/>
          <w:szCs w:val="28"/>
        </w:rPr>
        <w:t xml:space="preserve"> Cost., in relazione alle previsio</w:t>
      </w:r>
      <w:r w:rsidR="0030482D">
        <w:rPr>
          <w:rFonts w:ascii="Garamond" w:hAnsi="Garamond"/>
          <w:sz w:val="28"/>
          <w:szCs w:val="28"/>
        </w:rPr>
        <w:t>ni interposte dell'art. 12</w:t>
      </w:r>
      <w:r w:rsidRPr="003C2366">
        <w:rPr>
          <w:rFonts w:ascii="Garamond" w:hAnsi="Garamond"/>
          <w:sz w:val="28"/>
          <w:szCs w:val="28"/>
        </w:rPr>
        <w:t xml:space="preserve"> direttiva 2006/123/CE. </w:t>
      </w:r>
    </w:p>
    <w:p w14:paraId="3D7F0E75" w14:textId="628AD280"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Ha osservato la Corte che la possibilità di rinnovazione della presentazione, da parte del titolare in scadenza, dell'istanza di proroga del titolo autorizzativo finisce con l'incidere sul regime di durata dei rapporti in corso</w:t>
      </w:r>
      <w:r w:rsidR="0030482D">
        <w:rPr>
          <w:rFonts w:ascii="Garamond" w:hAnsi="Garamond"/>
          <w:sz w:val="28"/>
          <w:szCs w:val="28"/>
        </w:rPr>
        <w:t>, perpetuandone il mantenimento</w:t>
      </w:r>
      <w:r w:rsidRPr="003C2366">
        <w:rPr>
          <w:rFonts w:ascii="Garamond" w:hAnsi="Garamond"/>
          <w:sz w:val="28"/>
          <w:szCs w:val="28"/>
        </w:rPr>
        <w:t xml:space="preserve"> e</w:t>
      </w:r>
      <w:r w:rsidR="0030482D">
        <w:rPr>
          <w:rFonts w:ascii="Garamond" w:hAnsi="Garamond"/>
          <w:sz w:val="28"/>
          <w:szCs w:val="28"/>
        </w:rPr>
        <w:t>,</w:t>
      </w:r>
      <w:r w:rsidRPr="003C2366">
        <w:rPr>
          <w:rFonts w:ascii="Garamond" w:hAnsi="Garamond"/>
          <w:sz w:val="28"/>
          <w:szCs w:val="28"/>
        </w:rPr>
        <w:t xml:space="preserve"> quindi</w:t>
      </w:r>
      <w:r w:rsidR="0030482D">
        <w:rPr>
          <w:rFonts w:ascii="Garamond" w:hAnsi="Garamond"/>
          <w:sz w:val="28"/>
          <w:szCs w:val="28"/>
        </w:rPr>
        <w:t>,</w:t>
      </w:r>
      <w:r w:rsidRPr="003C2366">
        <w:rPr>
          <w:rFonts w:ascii="Garamond" w:hAnsi="Garamond"/>
          <w:sz w:val="28"/>
          <w:szCs w:val="28"/>
        </w:rPr>
        <w:t xml:space="preserve"> rafforza, in contrasto con i principi del diritto </w:t>
      </w:r>
      <w:r w:rsidR="0030482D">
        <w:rPr>
          <w:rFonts w:ascii="Garamond" w:hAnsi="Garamond"/>
          <w:sz w:val="28"/>
          <w:szCs w:val="28"/>
        </w:rPr>
        <w:t>eurounitario</w:t>
      </w:r>
      <w:r w:rsidRPr="003C2366">
        <w:rPr>
          <w:rFonts w:ascii="Garamond" w:hAnsi="Garamond"/>
          <w:sz w:val="28"/>
          <w:szCs w:val="28"/>
        </w:rPr>
        <w:t xml:space="preserve"> sulla concorrenza, la barriera </w:t>
      </w:r>
      <w:r w:rsidRPr="003C2366">
        <w:rPr>
          <w:rFonts w:ascii="Garamond" w:hAnsi="Garamond"/>
          <w:sz w:val="28"/>
          <w:szCs w:val="28"/>
        </w:rPr>
        <w:lastRenderedPageBreak/>
        <w:t xml:space="preserve">in entrata per nuovi operatori economici potenzialmente interessati alla utilizzazione, a fini imprenditoriali, delle aree del demanio marittimo. </w:t>
      </w:r>
    </w:p>
    <w:p w14:paraId="4E5A66A9" w14:textId="7607213B"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In estrema sintesi, è possibile affermare che con le richiamate pronunce il giudice costituzionale ha stabilito un chiaro limite alle competenze regionali, individuando nella tutela della concorrenza un principio inviolabile. Tutti i tentativi regionali di prolungare la durata delle concessioni, attraverso proroghe o rinnovi automatici, sono stati censurati dalla Corte, che ha ribadito l'importanza di garantire il libero accesso al mercato e il rispetto delle regole </w:t>
      </w:r>
      <w:r w:rsidR="00E54C18">
        <w:rPr>
          <w:rFonts w:ascii="Garamond" w:hAnsi="Garamond"/>
          <w:sz w:val="28"/>
          <w:szCs w:val="28"/>
        </w:rPr>
        <w:t>eurounitarie</w:t>
      </w:r>
      <w:r w:rsidRPr="003C2366">
        <w:rPr>
          <w:rFonts w:ascii="Garamond" w:hAnsi="Garamond"/>
          <w:sz w:val="28"/>
          <w:szCs w:val="28"/>
        </w:rPr>
        <w:t xml:space="preserve"> e statali in materia di competizione economica.</w:t>
      </w:r>
    </w:p>
    <w:p w14:paraId="7D213828" w14:textId="77777777" w:rsidR="008D5259" w:rsidRPr="003C2366" w:rsidRDefault="008D5259" w:rsidP="003C2366">
      <w:pPr>
        <w:spacing w:after="0" w:line="240" w:lineRule="auto"/>
        <w:ind w:firstLine="709"/>
        <w:jc w:val="both"/>
        <w:rPr>
          <w:rFonts w:ascii="Garamond" w:hAnsi="Garamond"/>
          <w:sz w:val="28"/>
          <w:szCs w:val="28"/>
        </w:rPr>
      </w:pPr>
    </w:p>
    <w:p w14:paraId="7E7463C5" w14:textId="77777777" w:rsidR="008D5259" w:rsidRPr="003C2366" w:rsidRDefault="00AD4BF0" w:rsidP="003C2366">
      <w:pPr>
        <w:spacing w:after="0" w:line="240" w:lineRule="auto"/>
        <w:ind w:firstLine="709"/>
        <w:jc w:val="both"/>
        <w:rPr>
          <w:rFonts w:ascii="Garamond" w:hAnsi="Garamond"/>
          <w:b/>
          <w:sz w:val="28"/>
          <w:szCs w:val="28"/>
        </w:rPr>
      </w:pPr>
      <w:r w:rsidRPr="003C2366">
        <w:rPr>
          <w:rFonts w:ascii="Garamond" w:hAnsi="Garamond"/>
          <w:b/>
          <w:sz w:val="28"/>
          <w:szCs w:val="28"/>
        </w:rPr>
        <w:t>6</w:t>
      </w:r>
      <w:r w:rsidR="008D5259" w:rsidRPr="003C2366">
        <w:rPr>
          <w:rFonts w:ascii="Garamond" w:hAnsi="Garamond"/>
          <w:b/>
          <w:sz w:val="28"/>
          <w:szCs w:val="28"/>
        </w:rPr>
        <w:t>.2 Le pronunce di incostituzionalità sugli indennizzi in favore del concessionario uscente</w:t>
      </w:r>
    </w:p>
    <w:p w14:paraId="5224658A" w14:textId="77777777"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Un secondo filone di pronunce della Corte costituzionale in tema di concessioni balneari con finalità turistico ricreative attiene alle misure introdotte dalle normative regionali volte ad assicurare indennizzi, posti a carico del concessionario subentrante, in favore del concessionario uscente.</w:t>
      </w:r>
    </w:p>
    <w:p w14:paraId="59584B67" w14:textId="4ECF7D45"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Si pensi ad esempio alla declaratoria di incostituzionalità, per violazione dell’art. 117, </w:t>
      </w:r>
      <w:r w:rsidR="005059CD">
        <w:rPr>
          <w:rFonts w:ascii="Garamond" w:hAnsi="Garamond"/>
          <w:sz w:val="28"/>
          <w:szCs w:val="28"/>
        </w:rPr>
        <w:t>secondo comma,</w:t>
      </w:r>
      <w:r w:rsidRPr="003C2366">
        <w:rPr>
          <w:rFonts w:ascii="Garamond" w:hAnsi="Garamond"/>
          <w:sz w:val="28"/>
          <w:szCs w:val="28"/>
        </w:rPr>
        <w:t xml:space="preserve"> le</w:t>
      </w:r>
      <w:r w:rsidR="002167D0" w:rsidRPr="003C2366">
        <w:rPr>
          <w:rFonts w:ascii="Garamond" w:hAnsi="Garamond"/>
          <w:sz w:val="28"/>
          <w:szCs w:val="28"/>
        </w:rPr>
        <w:t>t</w:t>
      </w:r>
      <w:r w:rsidR="00E727CE">
        <w:rPr>
          <w:rFonts w:ascii="Garamond" w:hAnsi="Garamond"/>
          <w:sz w:val="28"/>
          <w:szCs w:val="28"/>
        </w:rPr>
        <w:t>t. e)</w:t>
      </w:r>
      <w:r w:rsidR="005059CD">
        <w:rPr>
          <w:rFonts w:ascii="Garamond" w:hAnsi="Garamond"/>
          <w:sz w:val="28"/>
          <w:szCs w:val="28"/>
        </w:rPr>
        <w:t xml:space="preserve"> Cost.</w:t>
      </w:r>
      <w:r w:rsidR="00E727CE">
        <w:rPr>
          <w:rFonts w:ascii="Garamond" w:hAnsi="Garamond"/>
          <w:sz w:val="28"/>
          <w:szCs w:val="28"/>
        </w:rPr>
        <w:t xml:space="preserve"> della L. reg. </w:t>
      </w:r>
      <w:r w:rsidR="002167D0" w:rsidRPr="003C2366">
        <w:rPr>
          <w:rFonts w:ascii="Garamond" w:hAnsi="Garamond"/>
          <w:sz w:val="28"/>
          <w:szCs w:val="28"/>
        </w:rPr>
        <w:t xml:space="preserve">Toscana </w:t>
      </w:r>
      <w:r w:rsidRPr="003C2366">
        <w:rPr>
          <w:rFonts w:ascii="Garamond" w:hAnsi="Garamond"/>
          <w:sz w:val="28"/>
          <w:szCs w:val="28"/>
        </w:rPr>
        <w:t xml:space="preserve">del </w:t>
      </w:r>
      <w:r w:rsidR="005059CD">
        <w:rPr>
          <w:rFonts w:ascii="Garamond" w:hAnsi="Garamond"/>
          <w:sz w:val="28"/>
          <w:szCs w:val="28"/>
        </w:rPr>
        <w:t>0</w:t>
      </w:r>
      <w:r w:rsidRPr="003C2366">
        <w:rPr>
          <w:rFonts w:ascii="Garamond" w:hAnsi="Garamond"/>
          <w:sz w:val="28"/>
          <w:szCs w:val="28"/>
        </w:rPr>
        <w:t>9</w:t>
      </w:r>
      <w:r w:rsidR="005059CD">
        <w:rPr>
          <w:rFonts w:ascii="Garamond" w:hAnsi="Garamond"/>
          <w:sz w:val="28"/>
          <w:szCs w:val="28"/>
        </w:rPr>
        <w:t>/05/</w:t>
      </w:r>
      <w:r w:rsidRPr="003C2366">
        <w:rPr>
          <w:rFonts w:ascii="Garamond" w:hAnsi="Garamond"/>
          <w:sz w:val="28"/>
          <w:szCs w:val="28"/>
        </w:rPr>
        <w:t>2016</w:t>
      </w:r>
      <w:r w:rsidR="002167D0" w:rsidRPr="003C2366">
        <w:rPr>
          <w:rFonts w:ascii="Garamond" w:hAnsi="Garamond"/>
          <w:sz w:val="28"/>
          <w:szCs w:val="28"/>
        </w:rPr>
        <w:t>, n. 31</w:t>
      </w:r>
      <w:r w:rsidRPr="003C2366">
        <w:rPr>
          <w:rFonts w:ascii="Garamond" w:hAnsi="Garamond"/>
          <w:sz w:val="28"/>
          <w:szCs w:val="28"/>
        </w:rPr>
        <w:t xml:space="preserve">, che aveva previsto a carico del concessionario subentrante il pagamento, prima dell’eventuale subentro, di un indennizzo – pari al </w:t>
      </w:r>
      <w:r w:rsidR="005059CD">
        <w:rPr>
          <w:rFonts w:ascii="Garamond" w:hAnsi="Garamond"/>
          <w:sz w:val="28"/>
          <w:szCs w:val="28"/>
        </w:rPr>
        <w:t>90 %</w:t>
      </w:r>
      <w:r w:rsidRPr="003C2366">
        <w:rPr>
          <w:rFonts w:ascii="Garamond" w:hAnsi="Garamond"/>
          <w:sz w:val="28"/>
          <w:szCs w:val="28"/>
        </w:rPr>
        <w:t xml:space="preserve"> del valore aziendale di riferimento – in fa</w:t>
      </w:r>
      <w:r w:rsidR="005059CD">
        <w:rPr>
          <w:rFonts w:ascii="Garamond" w:hAnsi="Garamond"/>
          <w:sz w:val="28"/>
          <w:szCs w:val="28"/>
        </w:rPr>
        <w:t>vore del concessionario uscente</w:t>
      </w:r>
      <w:r w:rsidRPr="003C2366">
        <w:rPr>
          <w:rFonts w:ascii="Garamond" w:hAnsi="Garamond"/>
          <w:sz w:val="28"/>
          <w:szCs w:val="28"/>
          <w:vertAlign w:val="superscript"/>
        </w:rPr>
        <w:footnoteReference w:id="62"/>
      </w:r>
      <w:r w:rsidR="005059CD">
        <w:rPr>
          <w:rFonts w:ascii="Garamond" w:hAnsi="Garamond"/>
          <w:sz w:val="28"/>
          <w:szCs w:val="28"/>
        </w:rPr>
        <w:t>.</w:t>
      </w:r>
      <w:r w:rsidRPr="003C2366">
        <w:rPr>
          <w:rFonts w:ascii="Garamond" w:hAnsi="Garamond"/>
          <w:sz w:val="28"/>
          <w:szCs w:val="28"/>
        </w:rPr>
        <w:t xml:space="preserve"> Secondo i giudici della Corte la previsione dell’indennizzo – proprio in quanto subordinava il subentro nella concessione al relativo pagamento – influiva sensibilmente sulle possibilità di accesso al mercato, costituendo in tal modo un disincentivo alla partecipazione alla procedura selettiva per gli operatori diversi dal concessionario uscente, a nulla rilevando la prospettazione difensiva della Regione secondo la quale la normativa era volta ad evitare un indebito arricchimento di quello subentrante, dovendosi comunque ricondurre la normat</w:t>
      </w:r>
      <w:r w:rsidR="005059CD">
        <w:rPr>
          <w:rFonts w:ascii="Garamond" w:hAnsi="Garamond"/>
          <w:sz w:val="28"/>
          <w:szCs w:val="28"/>
        </w:rPr>
        <w:t>iva censurata alle materie del turismo e della gestione del demanio marittimo</w:t>
      </w:r>
      <w:r w:rsidRPr="003C2366">
        <w:rPr>
          <w:rFonts w:ascii="Garamond" w:hAnsi="Garamond"/>
          <w:sz w:val="28"/>
          <w:szCs w:val="28"/>
        </w:rPr>
        <w:t>.</w:t>
      </w:r>
    </w:p>
    <w:p w14:paraId="2B519A51" w14:textId="33FFB113"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Di analogo contenuto è </w:t>
      </w:r>
      <w:r w:rsidR="009D1546">
        <w:rPr>
          <w:rFonts w:ascii="Garamond" w:hAnsi="Garamond"/>
          <w:sz w:val="28"/>
          <w:szCs w:val="28"/>
        </w:rPr>
        <w:t xml:space="preserve">stata la sentenza </w:t>
      </w:r>
      <w:r w:rsidR="002F47D4">
        <w:rPr>
          <w:rFonts w:ascii="Garamond" w:hAnsi="Garamond"/>
          <w:sz w:val="28"/>
          <w:szCs w:val="28"/>
        </w:rPr>
        <w:t>23/10/</w:t>
      </w:r>
      <w:r w:rsidRPr="003C2366">
        <w:rPr>
          <w:rFonts w:ascii="Garamond" w:hAnsi="Garamond"/>
          <w:sz w:val="28"/>
          <w:szCs w:val="28"/>
        </w:rPr>
        <w:t>2020</w:t>
      </w:r>
      <w:r w:rsidR="00016733">
        <w:rPr>
          <w:rFonts w:ascii="Garamond" w:hAnsi="Garamond"/>
          <w:sz w:val="28"/>
          <w:szCs w:val="28"/>
        </w:rPr>
        <w:t>, n. 222</w:t>
      </w:r>
      <w:r w:rsidRPr="003C2366">
        <w:rPr>
          <w:rFonts w:ascii="Garamond" w:hAnsi="Garamond"/>
          <w:sz w:val="28"/>
          <w:szCs w:val="28"/>
          <w:vertAlign w:val="superscript"/>
        </w:rPr>
        <w:footnoteReference w:id="63"/>
      </w:r>
      <w:r w:rsidRPr="003C2366">
        <w:rPr>
          <w:rFonts w:ascii="Garamond" w:hAnsi="Garamond"/>
          <w:sz w:val="28"/>
          <w:szCs w:val="28"/>
        </w:rPr>
        <w:t>, con cui la Corte costituzionale ha dichiarato l’illegittimità co</w:t>
      </w:r>
      <w:r w:rsidR="002167D0" w:rsidRPr="003C2366">
        <w:rPr>
          <w:rFonts w:ascii="Garamond" w:hAnsi="Garamond"/>
          <w:sz w:val="28"/>
          <w:szCs w:val="28"/>
        </w:rPr>
        <w:t>stituzionale dell’art. 54, cc. 2, 3, 4 e 5</w:t>
      </w:r>
      <w:r w:rsidRPr="003C2366">
        <w:rPr>
          <w:rFonts w:ascii="Garamond" w:hAnsi="Garamond"/>
          <w:sz w:val="28"/>
          <w:szCs w:val="28"/>
        </w:rPr>
        <w:t xml:space="preserve"> della </w:t>
      </w:r>
      <w:r w:rsidR="00E727CE">
        <w:rPr>
          <w:rFonts w:ascii="Garamond" w:hAnsi="Garamond"/>
          <w:sz w:val="28"/>
          <w:szCs w:val="28"/>
        </w:rPr>
        <w:t>L. reg.</w:t>
      </w:r>
      <w:r w:rsidRPr="003C2366">
        <w:rPr>
          <w:rFonts w:ascii="Garamond" w:hAnsi="Garamond"/>
          <w:sz w:val="28"/>
          <w:szCs w:val="28"/>
        </w:rPr>
        <w:t xml:space="preserve"> Veneto, </w:t>
      </w:r>
      <w:r w:rsidR="002F47D4">
        <w:rPr>
          <w:rFonts w:ascii="Garamond" w:hAnsi="Garamond"/>
          <w:sz w:val="28"/>
          <w:szCs w:val="28"/>
        </w:rPr>
        <w:t>04/11/</w:t>
      </w:r>
      <w:r w:rsidRPr="003C2366">
        <w:rPr>
          <w:rFonts w:ascii="Garamond" w:hAnsi="Garamond"/>
          <w:sz w:val="28"/>
          <w:szCs w:val="28"/>
        </w:rPr>
        <w:t>2002, n. 33, recante “</w:t>
      </w:r>
      <w:r w:rsidRPr="002F47D4">
        <w:rPr>
          <w:rFonts w:ascii="Garamond" w:hAnsi="Garamond"/>
          <w:i/>
          <w:sz w:val="28"/>
          <w:szCs w:val="28"/>
        </w:rPr>
        <w:t>Testo unico delle leggi regionali in materia di turismo</w:t>
      </w:r>
      <w:r w:rsidRPr="003C2366">
        <w:rPr>
          <w:rFonts w:ascii="Garamond" w:hAnsi="Garamond"/>
          <w:sz w:val="28"/>
          <w:szCs w:val="28"/>
        </w:rPr>
        <w:t xml:space="preserve">”. </w:t>
      </w:r>
    </w:p>
    <w:p w14:paraId="7499DE7A" w14:textId="3B3347ED"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Secondo i </w:t>
      </w:r>
      <w:r w:rsidR="00CF4903" w:rsidRPr="003C2366">
        <w:rPr>
          <w:rFonts w:ascii="Garamond" w:hAnsi="Garamond"/>
          <w:sz w:val="28"/>
          <w:szCs w:val="28"/>
        </w:rPr>
        <w:t>g</w:t>
      </w:r>
      <w:r w:rsidRPr="003C2366">
        <w:rPr>
          <w:rFonts w:ascii="Garamond" w:hAnsi="Garamond"/>
          <w:sz w:val="28"/>
          <w:szCs w:val="28"/>
        </w:rPr>
        <w:t xml:space="preserve">iudici condizionare il subentro nel rapporto concessorio al pagamento di un indennizzo in favore del concessionario uscente influisce sulle possibilità di accesso al mercato e rappresenta un disincentivo alla partecipazione alla procedura di affidamento, da ciò deducendo </w:t>
      </w:r>
      <w:r w:rsidR="009D1546">
        <w:rPr>
          <w:rFonts w:ascii="Garamond" w:hAnsi="Garamond"/>
          <w:sz w:val="28"/>
          <w:szCs w:val="28"/>
        </w:rPr>
        <w:t xml:space="preserve">la violazione della lett. e) del secondo comma </w:t>
      </w:r>
      <w:r w:rsidRPr="003C2366">
        <w:rPr>
          <w:rFonts w:ascii="Garamond" w:hAnsi="Garamond"/>
          <w:sz w:val="28"/>
          <w:szCs w:val="28"/>
        </w:rPr>
        <w:t>dell’art. 117 Cost.</w:t>
      </w:r>
    </w:p>
    <w:p w14:paraId="4DF8F258" w14:textId="4ADD80CF"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 Inoltre</w:t>
      </w:r>
      <w:r w:rsidR="009D1546">
        <w:rPr>
          <w:rFonts w:ascii="Garamond" w:hAnsi="Garamond"/>
          <w:sz w:val="28"/>
          <w:szCs w:val="28"/>
        </w:rPr>
        <w:t>,</w:t>
      </w:r>
      <w:r w:rsidRPr="003C2366">
        <w:rPr>
          <w:rFonts w:ascii="Garamond" w:hAnsi="Garamond"/>
          <w:sz w:val="28"/>
          <w:szCs w:val="28"/>
        </w:rPr>
        <w:t xml:space="preserve"> il Collegio ha escluso che la disciplina censurata potes</w:t>
      </w:r>
      <w:r w:rsidR="009D1546">
        <w:rPr>
          <w:rFonts w:ascii="Garamond" w:hAnsi="Garamond"/>
          <w:sz w:val="28"/>
          <w:szCs w:val="28"/>
        </w:rPr>
        <w:t xml:space="preserve">se rientrare nella materia del </w:t>
      </w:r>
      <w:r w:rsidRPr="009D1546">
        <w:rPr>
          <w:rFonts w:ascii="Garamond" w:hAnsi="Garamond"/>
          <w:sz w:val="28"/>
          <w:szCs w:val="28"/>
        </w:rPr>
        <w:t>governo del territorio</w:t>
      </w:r>
      <w:r w:rsidRPr="003C2366">
        <w:rPr>
          <w:rFonts w:ascii="Garamond" w:hAnsi="Garamond"/>
          <w:sz w:val="28"/>
          <w:szCs w:val="28"/>
        </w:rPr>
        <w:t xml:space="preserve"> – così come sostenuto dalla </w:t>
      </w:r>
      <w:r w:rsidR="009D1546">
        <w:rPr>
          <w:rFonts w:ascii="Garamond" w:hAnsi="Garamond"/>
          <w:sz w:val="28"/>
          <w:szCs w:val="28"/>
        </w:rPr>
        <w:t>R</w:t>
      </w:r>
      <w:r w:rsidRPr="003C2366">
        <w:rPr>
          <w:rFonts w:ascii="Garamond" w:hAnsi="Garamond"/>
          <w:sz w:val="28"/>
          <w:szCs w:val="28"/>
        </w:rPr>
        <w:t xml:space="preserve">egione interessata </w:t>
      </w:r>
      <w:r w:rsidR="002F47D4" w:rsidRPr="002F47D4">
        <w:rPr>
          <w:rFonts w:ascii="Garamond" w:hAnsi="Garamond"/>
          <w:sz w:val="28"/>
          <w:szCs w:val="28"/>
        </w:rPr>
        <w:t>–</w:t>
      </w:r>
      <w:r w:rsidRPr="003C2366">
        <w:rPr>
          <w:rFonts w:ascii="Garamond" w:hAnsi="Garamond"/>
          <w:sz w:val="28"/>
          <w:szCs w:val="28"/>
        </w:rPr>
        <w:t xml:space="preserve"> atteso </w:t>
      </w:r>
      <w:r w:rsidRPr="003C2366">
        <w:rPr>
          <w:rFonts w:ascii="Garamond" w:hAnsi="Garamond"/>
          <w:sz w:val="28"/>
          <w:szCs w:val="28"/>
        </w:rPr>
        <w:lastRenderedPageBreak/>
        <w:t>che i criteri e le modalità di affidamento delle concessioni demaniali marittime sono da considerarsi ricadenti entro il perimetro del sopracitato art. 117 Cost.</w:t>
      </w:r>
    </w:p>
    <w:p w14:paraId="6275F5E7" w14:textId="71443968" w:rsidR="008D5259"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In sintesi</w:t>
      </w:r>
      <w:r w:rsidR="009D1546">
        <w:rPr>
          <w:rFonts w:ascii="Garamond" w:hAnsi="Garamond"/>
          <w:sz w:val="28"/>
          <w:szCs w:val="28"/>
        </w:rPr>
        <w:t>,</w:t>
      </w:r>
      <w:r w:rsidRPr="003C2366">
        <w:rPr>
          <w:rFonts w:ascii="Garamond" w:hAnsi="Garamond"/>
          <w:sz w:val="28"/>
          <w:szCs w:val="28"/>
        </w:rPr>
        <w:t xml:space="preserve"> la Corte ha nuovamente riconosciuto alla </w:t>
      </w:r>
      <w:r w:rsidR="009D1546">
        <w:rPr>
          <w:rFonts w:ascii="Garamond" w:hAnsi="Garamond"/>
          <w:sz w:val="28"/>
          <w:szCs w:val="28"/>
        </w:rPr>
        <w:t>tutela della concorrenza</w:t>
      </w:r>
      <w:r w:rsidRPr="003C2366">
        <w:rPr>
          <w:rFonts w:ascii="Garamond" w:hAnsi="Garamond"/>
          <w:sz w:val="28"/>
          <w:szCs w:val="28"/>
        </w:rPr>
        <w:t xml:space="preserve"> un’estensione tale da arginare quelle iniziative regionali che, rivendicando margi</w:t>
      </w:r>
      <w:r w:rsidR="009D1546">
        <w:rPr>
          <w:rFonts w:ascii="Garamond" w:hAnsi="Garamond"/>
          <w:sz w:val="28"/>
          <w:szCs w:val="28"/>
        </w:rPr>
        <w:t xml:space="preserve">ni d’intervento sul fronte </w:t>
      </w:r>
      <w:r w:rsidR="009D1546" w:rsidRPr="009D1546">
        <w:rPr>
          <w:rFonts w:ascii="Garamond" w:hAnsi="Garamond"/>
          <w:sz w:val="28"/>
          <w:szCs w:val="28"/>
        </w:rPr>
        <w:t xml:space="preserve">del </w:t>
      </w:r>
      <w:r w:rsidRPr="009D1546">
        <w:rPr>
          <w:rFonts w:ascii="Garamond" w:hAnsi="Garamond"/>
          <w:sz w:val="28"/>
          <w:szCs w:val="28"/>
        </w:rPr>
        <w:t>turismo</w:t>
      </w:r>
      <w:r w:rsidR="009D1546" w:rsidRPr="009D1546">
        <w:rPr>
          <w:rFonts w:ascii="Garamond" w:hAnsi="Garamond"/>
          <w:sz w:val="28"/>
          <w:szCs w:val="28"/>
        </w:rPr>
        <w:t xml:space="preserve"> o del </w:t>
      </w:r>
      <w:r w:rsidRPr="009D1546">
        <w:rPr>
          <w:rFonts w:ascii="Garamond" w:hAnsi="Garamond"/>
          <w:sz w:val="28"/>
          <w:szCs w:val="28"/>
        </w:rPr>
        <w:t>governo del territorio,</w:t>
      </w:r>
      <w:r w:rsidRPr="003C2366">
        <w:rPr>
          <w:rFonts w:ascii="Garamond" w:hAnsi="Garamond"/>
          <w:sz w:val="28"/>
          <w:szCs w:val="28"/>
        </w:rPr>
        <w:t xml:space="preserve"> si erano spinte nella disciplina degli interessi economici dei concessionari.</w:t>
      </w:r>
    </w:p>
    <w:p w14:paraId="2188F4D6" w14:textId="77777777" w:rsidR="003C2366" w:rsidRPr="003C2366" w:rsidRDefault="003C2366" w:rsidP="003C2366">
      <w:pPr>
        <w:spacing w:after="0" w:line="240" w:lineRule="auto"/>
        <w:ind w:firstLine="709"/>
        <w:jc w:val="both"/>
        <w:rPr>
          <w:rFonts w:ascii="Garamond" w:hAnsi="Garamond"/>
          <w:sz w:val="28"/>
          <w:szCs w:val="28"/>
        </w:rPr>
      </w:pPr>
    </w:p>
    <w:p w14:paraId="62679A40" w14:textId="77777777" w:rsidR="008D5259" w:rsidRPr="003C2366" w:rsidRDefault="00AD4BF0" w:rsidP="003C2366">
      <w:pPr>
        <w:spacing w:after="0" w:line="240" w:lineRule="auto"/>
        <w:ind w:firstLine="709"/>
        <w:jc w:val="both"/>
        <w:rPr>
          <w:rFonts w:ascii="Garamond" w:hAnsi="Garamond"/>
          <w:b/>
          <w:sz w:val="28"/>
          <w:szCs w:val="28"/>
        </w:rPr>
      </w:pPr>
      <w:r w:rsidRPr="003C2366">
        <w:rPr>
          <w:rFonts w:ascii="Garamond" w:hAnsi="Garamond"/>
          <w:b/>
          <w:sz w:val="28"/>
          <w:szCs w:val="28"/>
        </w:rPr>
        <w:t>6</w:t>
      </w:r>
      <w:r w:rsidR="008D5259" w:rsidRPr="003C2366">
        <w:rPr>
          <w:rFonts w:ascii="Garamond" w:hAnsi="Garamond"/>
          <w:b/>
          <w:sz w:val="28"/>
          <w:szCs w:val="28"/>
        </w:rPr>
        <w:t>.3 Le pronunce di incostituzionalità sui meccanismi di preferenza</w:t>
      </w:r>
    </w:p>
    <w:p w14:paraId="3B956257" w14:textId="049E5603"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Un terzo filone che può essere individuato nell’ambito delle sentenze pronunciate dalla Corte in tema di concessioni demaniali marittime con finalità turistico</w:t>
      </w:r>
      <w:r w:rsidR="00407C78">
        <w:rPr>
          <w:rFonts w:ascii="Garamond" w:hAnsi="Garamond"/>
          <w:sz w:val="28"/>
          <w:szCs w:val="28"/>
        </w:rPr>
        <w:t>-</w:t>
      </w:r>
      <w:r w:rsidRPr="003C2366">
        <w:rPr>
          <w:rFonts w:ascii="Garamond" w:hAnsi="Garamond"/>
          <w:sz w:val="28"/>
          <w:szCs w:val="28"/>
        </w:rPr>
        <w:t>ricreative riguarda il sindacato sui diversi meccanismi di preferenza contemplati dalle varie leggi regionali in favore dei concessionari uscenti.</w:t>
      </w:r>
    </w:p>
    <w:p w14:paraId="6CEA7C51" w14:textId="3854D091" w:rsidR="008D5259"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Si pensi, a titolo meramente esemplificat</w:t>
      </w:r>
      <w:r w:rsidR="00CF4903" w:rsidRPr="003C2366">
        <w:rPr>
          <w:rFonts w:ascii="Garamond" w:hAnsi="Garamond"/>
          <w:sz w:val="28"/>
          <w:szCs w:val="28"/>
        </w:rPr>
        <w:t>ivo, al</w:t>
      </w:r>
      <w:r w:rsidR="00407C78">
        <w:rPr>
          <w:rFonts w:ascii="Garamond" w:hAnsi="Garamond"/>
          <w:sz w:val="28"/>
          <w:szCs w:val="28"/>
        </w:rPr>
        <w:t xml:space="preserve">la sentenza </w:t>
      </w:r>
      <w:r w:rsidR="00CF4903" w:rsidRPr="003C2366">
        <w:rPr>
          <w:rFonts w:ascii="Garamond" w:hAnsi="Garamond"/>
          <w:sz w:val="28"/>
          <w:szCs w:val="28"/>
        </w:rPr>
        <w:t>05/12/</w:t>
      </w:r>
      <w:r w:rsidRPr="003C2366">
        <w:rPr>
          <w:rFonts w:ascii="Garamond" w:hAnsi="Garamond"/>
          <w:sz w:val="28"/>
          <w:szCs w:val="28"/>
        </w:rPr>
        <w:t>2018</w:t>
      </w:r>
      <w:r w:rsidR="00407C78">
        <w:rPr>
          <w:rFonts w:ascii="Garamond" w:hAnsi="Garamond"/>
          <w:sz w:val="28"/>
          <w:szCs w:val="28"/>
        </w:rPr>
        <w:t>, n. 221</w:t>
      </w:r>
      <w:r w:rsidRPr="003C2366">
        <w:rPr>
          <w:rFonts w:ascii="Garamond" w:hAnsi="Garamond"/>
          <w:sz w:val="28"/>
          <w:szCs w:val="28"/>
        </w:rPr>
        <w:t>, resa dalla Corte costituzionale con la quale è stata dichiarata l’illegittimità c</w:t>
      </w:r>
      <w:r w:rsidR="00CF4903" w:rsidRPr="003C2366">
        <w:rPr>
          <w:rFonts w:ascii="Garamond" w:hAnsi="Garamond"/>
          <w:sz w:val="28"/>
          <w:szCs w:val="28"/>
        </w:rPr>
        <w:t>ostituzionale dell’art. 1, c.</w:t>
      </w:r>
      <w:r w:rsidR="002F47D4">
        <w:rPr>
          <w:rFonts w:ascii="Garamond" w:hAnsi="Garamond"/>
          <w:sz w:val="28"/>
          <w:szCs w:val="28"/>
        </w:rPr>
        <w:t xml:space="preserve"> 2</w:t>
      </w:r>
      <w:r w:rsidR="00407C78">
        <w:rPr>
          <w:rFonts w:ascii="Garamond" w:hAnsi="Garamond"/>
          <w:sz w:val="28"/>
          <w:szCs w:val="28"/>
        </w:rPr>
        <w:t>,</w:t>
      </w:r>
      <w:r w:rsidR="00CF4903" w:rsidRPr="003C2366">
        <w:rPr>
          <w:rFonts w:ascii="Garamond" w:hAnsi="Garamond"/>
          <w:sz w:val="28"/>
          <w:szCs w:val="28"/>
        </w:rPr>
        <w:t xml:space="preserve"> dell’art. 3, dell’art. 4, cc.</w:t>
      </w:r>
      <w:r w:rsidRPr="003C2366">
        <w:rPr>
          <w:rFonts w:ascii="Garamond" w:hAnsi="Garamond"/>
          <w:sz w:val="28"/>
          <w:szCs w:val="28"/>
        </w:rPr>
        <w:t xml:space="preserve"> 1, lett. b) e 2, nonch</w:t>
      </w:r>
      <w:r w:rsidR="00E727CE">
        <w:rPr>
          <w:rFonts w:ascii="Garamond" w:hAnsi="Garamond"/>
          <w:sz w:val="28"/>
          <w:szCs w:val="28"/>
        </w:rPr>
        <w:t xml:space="preserve">é dell’art. 6 della L. reg. </w:t>
      </w:r>
      <w:r w:rsidR="002F47D4">
        <w:rPr>
          <w:rFonts w:ascii="Garamond" w:hAnsi="Garamond"/>
          <w:sz w:val="28"/>
          <w:szCs w:val="28"/>
        </w:rPr>
        <w:t>Liguria 10/11/</w:t>
      </w:r>
      <w:r w:rsidRPr="003C2366">
        <w:rPr>
          <w:rFonts w:ascii="Garamond" w:hAnsi="Garamond"/>
          <w:sz w:val="28"/>
          <w:szCs w:val="28"/>
        </w:rPr>
        <w:t>2017, n. 2546. Tal</w:t>
      </w:r>
      <w:r w:rsidR="00407C78">
        <w:rPr>
          <w:rFonts w:ascii="Garamond" w:hAnsi="Garamond"/>
          <w:sz w:val="28"/>
          <w:szCs w:val="28"/>
        </w:rPr>
        <w:t>i</w:t>
      </w:r>
      <w:r w:rsidRPr="003C2366">
        <w:rPr>
          <w:rFonts w:ascii="Garamond" w:hAnsi="Garamond"/>
          <w:sz w:val="28"/>
          <w:szCs w:val="28"/>
        </w:rPr>
        <w:t xml:space="preserve"> norm</w:t>
      </w:r>
      <w:r w:rsidR="00407C78">
        <w:rPr>
          <w:rFonts w:ascii="Garamond" w:hAnsi="Garamond"/>
          <w:sz w:val="28"/>
          <w:szCs w:val="28"/>
        </w:rPr>
        <w:t>e</w:t>
      </w:r>
      <w:r w:rsidRPr="003C2366">
        <w:rPr>
          <w:rFonts w:ascii="Garamond" w:hAnsi="Garamond"/>
          <w:sz w:val="28"/>
          <w:szCs w:val="28"/>
        </w:rPr>
        <w:t xml:space="preserve"> aveva</w:t>
      </w:r>
      <w:r w:rsidR="00407C78">
        <w:rPr>
          <w:rFonts w:ascii="Garamond" w:hAnsi="Garamond"/>
          <w:sz w:val="28"/>
          <w:szCs w:val="28"/>
        </w:rPr>
        <w:t>no</w:t>
      </w:r>
      <w:r w:rsidRPr="003C2366">
        <w:rPr>
          <w:rFonts w:ascii="Garamond" w:hAnsi="Garamond"/>
          <w:sz w:val="28"/>
          <w:szCs w:val="28"/>
        </w:rPr>
        <w:t xml:space="preserve"> introdotto la figura delle “</w:t>
      </w:r>
      <w:r w:rsidRPr="002F47D4">
        <w:rPr>
          <w:rFonts w:ascii="Garamond" w:hAnsi="Garamond"/>
          <w:i/>
          <w:sz w:val="28"/>
          <w:szCs w:val="28"/>
        </w:rPr>
        <w:t>imprese balneari liguri</w:t>
      </w:r>
      <w:r w:rsidRPr="003C2366">
        <w:rPr>
          <w:rFonts w:ascii="Garamond" w:hAnsi="Garamond"/>
          <w:sz w:val="28"/>
          <w:szCs w:val="28"/>
        </w:rPr>
        <w:t>”, quali enti caratterizzanti il paesaggio costiero nonché il patrimonio storico, culturale e sociale del luogo. Nel definire detta qualifica, inoltre, la legge promuoveva la realizzazione di un apposito “</w:t>
      </w:r>
      <w:r w:rsidRPr="00407C78">
        <w:rPr>
          <w:rFonts w:ascii="Garamond" w:hAnsi="Garamond"/>
          <w:i/>
          <w:sz w:val="28"/>
          <w:szCs w:val="28"/>
        </w:rPr>
        <w:t>marchio di qualità</w:t>
      </w:r>
      <w:r w:rsidRPr="003C2366">
        <w:rPr>
          <w:rFonts w:ascii="Garamond" w:hAnsi="Garamond"/>
          <w:sz w:val="28"/>
          <w:szCs w:val="28"/>
        </w:rPr>
        <w:t>”, concepito per distinguere e tutelare tale categoria di impresa “</w:t>
      </w:r>
      <w:r w:rsidRPr="002F47D4">
        <w:rPr>
          <w:rFonts w:ascii="Garamond" w:hAnsi="Garamond"/>
          <w:i/>
          <w:sz w:val="28"/>
          <w:szCs w:val="28"/>
        </w:rPr>
        <w:t>in quanto attività radicata nel territorio regionale e rappresentante parte della cultura e storia locale</w:t>
      </w:r>
      <w:r w:rsidRPr="003C2366">
        <w:rPr>
          <w:rFonts w:ascii="Garamond" w:hAnsi="Garamond"/>
          <w:sz w:val="28"/>
          <w:szCs w:val="28"/>
        </w:rPr>
        <w:t>”. La Corte costituzionale ha ribadito che i criteri e le modalità di affidamento delle concessioni sui beni del demanio marittimo – dovendo essere definiti in ossequio ai principi di libera concorrenza e di libertà di stabilimento – corrispondono ad ambiti riservati alla competenza esclusiva stata</w:t>
      </w:r>
      <w:r w:rsidR="00CF4903" w:rsidRPr="003C2366">
        <w:rPr>
          <w:rFonts w:ascii="Garamond" w:hAnsi="Garamond"/>
          <w:sz w:val="28"/>
          <w:szCs w:val="28"/>
        </w:rPr>
        <w:t xml:space="preserve">le ai sensi dell’art. 117, </w:t>
      </w:r>
      <w:r w:rsidR="00407C78">
        <w:rPr>
          <w:rFonts w:ascii="Garamond" w:hAnsi="Garamond"/>
          <w:sz w:val="28"/>
          <w:szCs w:val="28"/>
        </w:rPr>
        <w:t>secondo comma</w:t>
      </w:r>
      <w:r w:rsidRPr="003C2366">
        <w:rPr>
          <w:rFonts w:ascii="Garamond" w:hAnsi="Garamond"/>
          <w:sz w:val="28"/>
          <w:szCs w:val="28"/>
        </w:rPr>
        <w:t>, lett. e)</w:t>
      </w:r>
      <w:r w:rsidR="00CF4903" w:rsidRPr="003C2366">
        <w:rPr>
          <w:rFonts w:ascii="Garamond" w:hAnsi="Garamond"/>
          <w:sz w:val="28"/>
          <w:szCs w:val="28"/>
        </w:rPr>
        <w:t xml:space="preserve"> Cost</w:t>
      </w:r>
      <w:r w:rsidRPr="003C2366">
        <w:rPr>
          <w:rFonts w:ascii="Garamond" w:hAnsi="Garamond"/>
          <w:sz w:val="28"/>
          <w:szCs w:val="28"/>
        </w:rPr>
        <w:t>. In altri termini, dunque, il giudice costituzionale ha confermato che le competenze regionali trovano un limite impenetrabile nella competenza esclusiva statale sulla tutela della concorrenza, non potendo le stesse contemplare alcun “</w:t>
      </w:r>
      <w:r w:rsidRPr="002F47D4">
        <w:rPr>
          <w:rFonts w:ascii="Garamond" w:hAnsi="Garamond"/>
          <w:i/>
          <w:sz w:val="28"/>
          <w:szCs w:val="28"/>
        </w:rPr>
        <w:t>titolo preferenziale</w:t>
      </w:r>
      <w:r w:rsidRPr="003C2366">
        <w:rPr>
          <w:rFonts w:ascii="Garamond" w:hAnsi="Garamond"/>
          <w:sz w:val="28"/>
          <w:szCs w:val="28"/>
        </w:rPr>
        <w:t>” a vantaggio dell’operatore uscente</w:t>
      </w:r>
      <w:r w:rsidRPr="003C2366">
        <w:rPr>
          <w:rFonts w:ascii="Garamond" w:hAnsi="Garamond"/>
          <w:sz w:val="28"/>
          <w:szCs w:val="28"/>
          <w:vertAlign w:val="superscript"/>
        </w:rPr>
        <w:footnoteReference w:id="64"/>
      </w:r>
      <w:r w:rsidRPr="003C2366">
        <w:rPr>
          <w:rFonts w:ascii="Garamond" w:hAnsi="Garamond"/>
          <w:sz w:val="28"/>
          <w:szCs w:val="28"/>
        </w:rPr>
        <w:t>.</w:t>
      </w:r>
    </w:p>
    <w:p w14:paraId="5F305ADD" w14:textId="77777777" w:rsidR="003C2366" w:rsidRPr="003C2366" w:rsidRDefault="003C2366" w:rsidP="003C2366">
      <w:pPr>
        <w:spacing w:after="0" w:line="240" w:lineRule="auto"/>
        <w:ind w:firstLine="709"/>
        <w:jc w:val="both"/>
        <w:rPr>
          <w:rFonts w:ascii="Garamond" w:hAnsi="Garamond"/>
          <w:sz w:val="28"/>
          <w:szCs w:val="28"/>
        </w:rPr>
      </w:pPr>
    </w:p>
    <w:p w14:paraId="7AB03206" w14:textId="1E0A14BC" w:rsidR="008D5259" w:rsidRPr="003C2366" w:rsidRDefault="00AD4BF0" w:rsidP="003C2366">
      <w:pPr>
        <w:spacing w:after="0" w:line="240" w:lineRule="auto"/>
        <w:ind w:firstLine="709"/>
        <w:jc w:val="both"/>
        <w:rPr>
          <w:rFonts w:ascii="Garamond" w:hAnsi="Garamond"/>
          <w:b/>
          <w:sz w:val="28"/>
          <w:szCs w:val="28"/>
        </w:rPr>
      </w:pPr>
      <w:r w:rsidRPr="003C2366">
        <w:rPr>
          <w:rFonts w:ascii="Garamond" w:hAnsi="Garamond"/>
          <w:b/>
          <w:sz w:val="28"/>
          <w:szCs w:val="28"/>
        </w:rPr>
        <w:t>6</w:t>
      </w:r>
      <w:r w:rsidR="008D5259" w:rsidRPr="003C2366">
        <w:rPr>
          <w:rFonts w:ascii="Garamond" w:hAnsi="Garamond"/>
          <w:b/>
          <w:sz w:val="28"/>
          <w:szCs w:val="28"/>
        </w:rPr>
        <w:t>.4 Le “aperture” riconosciute dalla Corte rispetto a</w:t>
      </w:r>
      <w:r w:rsidR="00EC75ED">
        <w:rPr>
          <w:rFonts w:ascii="Garamond" w:hAnsi="Garamond"/>
          <w:b/>
          <w:sz w:val="28"/>
          <w:szCs w:val="28"/>
        </w:rPr>
        <w:t>ll’azione legislativa regionale</w:t>
      </w:r>
    </w:p>
    <w:p w14:paraId="547C0119" w14:textId="4D14CE48"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Posto che l'intervento delle Regioni non può interferire con la tutela della concorrenza, la Corte costituzional</w:t>
      </w:r>
      <w:r w:rsidR="0052087E">
        <w:rPr>
          <w:rFonts w:ascii="Garamond" w:hAnsi="Garamond"/>
          <w:sz w:val="28"/>
          <w:szCs w:val="28"/>
        </w:rPr>
        <w:t>e ha recentemente riconosciuto</w:t>
      </w:r>
      <w:r w:rsidRPr="003C2366">
        <w:rPr>
          <w:rFonts w:ascii="Garamond" w:hAnsi="Garamond"/>
          <w:sz w:val="28"/>
          <w:szCs w:val="28"/>
        </w:rPr>
        <w:t xml:space="preserve"> spazi per l'azione legislativa regionale.</w:t>
      </w:r>
    </w:p>
    <w:p w14:paraId="3442EBBB" w14:textId="1C853063"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La Corte costituzional</w:t>
      </w:r>
      <w:r w:rsidR="0052087E">
        <w:rPr>
          <w:rFonts w:ascii="Garamond" w:hAnsi="Garamond"/>
          <w:sz w:val="28"/>
          <w:szCs w:val="28"/>
        </w:rPr>
        <w:t xml:space="preserve">e, con la sentenza </w:t>
      </w:r>
      <w:r w:rsidR="002F47D4">
        <w:rPr>
          <w:rFonts w:ascii="Garamond" w:hAnsi="Garamond"/>
          <w:sz w:val="28"/>
          <w:szCs w:val="28"/>
        </w:rPr>
        <w:t>24/02/</w:t>
      </w:r>
      <w:r w:rsidRPr="003C2366">
        <w:rPr>
          <w:rFonts w:ascii="Garamond" w:hAnsi="Garamond"/>
          <w:sz w:val="28"/>
          <w:szCs w:val="28"/>
        </w:rPr>
        <w:t>2017</w:t>
      </w:r>
      <w:r w:rsidR="0052087E">
        <w:rPr>
          <w:rFonts w:ascii="Garamond" w:hAnsi="Garamond"/>
          <w:sz w:val="28"/>
          <w:szCs w:val="28"/>
        </w:rPr>
        <w:t>, n. 40</w:t>
      </w:r>
      <w:r w:rsidRPr="003C2366">
        <w:rPr>
          <w:rFonts w:ascii="Garamond" w:hAnsi="Garamond"/>
          <w:sz w:val="28"/>
          <w:szCs w:val="28"/>
        </w:rPr>
        <w:t xml:space="preserve"> ha riconosciuto la legittimità co</w:t>
      </w:r>
      <w:r w:rsidR="002F47D4">
        <w:rPr>
          <w:rFonts w:ascii="Garamond" w:hAnsi="Garamond"/>
          <w:sz w:val="28"/>
          <w:szCs w:val="28"/>
        </w:rPr>
        <w:t>stituzionale dell’art. 14, c. 8</w:t>
      </w:r>
      <w:r w:rsidR="0052087E">
        <w:rPr>
          <w:rFonts w:ascii="Garamond" w:hAnsi="Garamond"/>
          <w:sz w:val="28"/>
          <w:szCs w:val="28"/>
        </w:rPr>
        <w:t xml:space="preserve"> L</w:t>
      </w:r>
      <w:r w:rsidR="002F47D4">
        <w:rPr>
          <w:rFonts w:ascii="Garamond" w:hAnsi="Garamond"/>
          <w:sz w:val="28"/>
          <w:szCs w:val="28"/>
        </w:rPr>
        <w:t xml:space="preserve">egge </w:t>
      </w:r>
      <w:r w:rsidR="0052087E">
        <w:rPr>
          <w:rFonts w:ascii="Garamond" w:hAnsi="Garamond"/>
          <w:sz w:val="28"/>
          <w:szCs w:val="28"/>
        </w:rPr>
        <w:t>reg.</w:t>
      </w:r>
      <w:r w:rsidR="002F47D4">
        <w:rPr>
          <w:rFonts w:ascii="Garamond" w:hAnsi="Garamond"/>
          <w:sz w:val="28"/>
          <w:szCs w:val="28"/>
        </w:rPr>
        <w:t xml:space="preserve"> Puglia 10/04/</w:t>
      </w:r>
      <w:r w:rsidRPr="003C2366">
        <w:rPr>
          <w:rFonts w:ascii="Garamond" w:hAnsi="Garamond"/>
          <w:sz w:val="28"/>
          <w:szCs w:val="28"/>
        </w:rPr>
        <w:t>2015, n. 17, che prevedeva che in sede di redazione dei piani costieri comunali la quota del territorio demaniale marittimo concedibile a privati fosse individuata in corrispondenza delle aree già oggetto di concessione e che, qualora la somma di tali aree fosse risultata superiore al limite massimo concedibile stabilito dal comma 5 de</w:t>
      </w:r>
      <w:r w:rsidR="002F47D4">
        <w:rPr>
          <w:rFonts w:ascii="Garamond" w:hAnsi="Garamond"/>
          <w:sz w:val="28"/>
          <w:szCs w:val="28"/>
        </w:rPr>
        <w:t>llo stesso art. 14 (ossia il 40 %</w:t>
      </w:r>
      <w:r w:rsidRPr="003C2366">
        <w:rPr>
          <w:rFonts w:ascii="Garamond" w:hAnsi="Garamond"/>
          <w:sz w:val="28"/>
          <w:szCs w:val="28"/>
        </w:rPr>
        <w:t xml:space="preserve"> della linea di costa utile di ciascun Comune), si dovesse procedere a una revoca parziale, in misura non superiore al 50 </w:t>
      </w:r>
      <w:r w:rsidR="002F47D4">
        <w:rPr>
          <w:rFonts w:ascii="Garamond" w:hAnsi="Garamond"/>
          <w:sz w:val="28"/>
          <w:szCs w:val="28"/>
        </w:rPr>
        <w:t>%</w:t>
      </w:r>
      <w:r w:rsidRPr="003C2366">
        <w:rPr>
          <w:rFonts w:ascii="Garamond" w:hAnsi="Garamond"/>
          <w:sz w:val="28"/>
          <w:szCs w:val="28"/>
        </w:rPr>
        <w:t>, delle singole concessioni già assentite.</w:t>
      </w:r>
    </w:p>
    <w:p w14:paraId="065A4200" w14:textId="3C9E1936" w:rsidR="008D5259"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lastRenderedPageBreak/>
        <w:t xml:space="preserve">Secondo i giudici costituzionali il legislatore regionale ha operato nel rispetto delle competenze statali e nel rispetto del diritto </w:t>
      </w:r>
      <w:r w:rsidR="00D97A81">
        <w:rPr>
          <w:rFonts w:ascii="Garamond" w:hAnsi="Garamond"/>
          <w:sz w:val="28"/>
          <w:szCs w:val="28"/>
        </w:rPr>
        <w:t>eurounitario</w:t>
      </w:r>
      <w:r w:rsidRPr="003C2366">
        <w:rPr>
          <w:rFonts w:ascii="Garamond" w:hAnsi="Garamond"/>
          <w:sz w:val="28"/>
          <w:szCs w:val="28"/>
        </w:rPr>
        <w:t>, avendo legiferato in ambiti legati al governo del territorio ed al turismo, bilanciando l'interesse pubblico alla fruibilità degli arenili con quello privato allo sfruttamento turistico</w:t>
      </w:r>
      <w:r w:rsidR="00D97A81" w:rsidRPr="003C2366">
        <w:rPr>
          <w:rFonts w:ascii="Garamond" w:hAnsi="Garamond"/>
          <w:sz w:val="28"/>
          <w:szCs w:val="28"/>
          <w:vertAlign w:val="superscript"/>
        </w:rPr>
        <w:footnoteReference w:id="65"/>
      </w:r>
      <w:r w:rsidRPr="003C2366">
        <w:rPr>
          <w:rFonts w:ascii="Garamond" w:hAnsi="Garamond"/>
          <w:sz w:val="28"/>
          <w:szCs w:val="28"/>
        </w:rPr>
        <w:t>.</w:t>
      </w:r>
    </w:p>
    <w:p w14:paraId="756D81AC" w14:textId="77777777" w:rsidR="003C2366" w:rsidRPr="003C2366" w:rsidRDefault="003C2366" w:rsidP="003C2366">
      <w:pPr>
        <w:spacing w:after="0" w:line="240" w:lineRule="auto"/>
        <w:ind w:firstLine="709"/>
        <w:jc w:val="both"/>
        <w:rPr>
          <w:rFonts w:ascii="Garamond" w:hAnsi="Garamond"/>
          <w:sz w:val="28"/>
          <w:szCs w:val="28"/>
        </w:rPr>
      </w:pPr>
    </w:p>
    <w:p w14:paraId="6AD0F211" w14:textId="53B94AC4" w:rsidR="003C2366" w:rsidRPr="003C2366" w:rsidRDefault="00AD4BF0" w:rsidP="003C2366">
      <w:pPr>
        <w:spacing w:after="0" w:line="240" w:lineRule="auto"/>
        <w:ind w:firstLine="709"/>
        <w:jc w:val="both"/>
        <w:rPr>
          <w:rFonts w:ascii="Garamond" w:hAnsi="Garamond"/>
          <w:b/>
          <w:bCs/>
          <w:sz w:val="28"/>
          <w:szCs w:val="28"/>
        </w:rPr>
      </w:pPr>
      <w:r w:rsidRPr="003C2366">
        <w:rPr>
          <w:rFonts w:ascii="Garamond" w:hAnsi="Garamond"/>
          <w:b/>
          <w:sz w:val="28"/>
          <w:szCs w:val="28"/>
        </w:rPr>
        <w:t>6</w:t>
      </w:r>
      <w:r w:rsidR="008D5259" w:rsidRPr="003C2366">
        <w:rPr>
          <w:rFonts w:ascii="Garamond" w:hAnsi="Garamond"/>
          <w:b/>
          <w:sz w:val="28"/>
          <w:szCs w:val="28"/>
        </w:rPr>
        <w:t xml:space="preserve">.5 Non solo concessioni demaniali marittime, ma anche concessioni idroelettriche. </w:t>
      </w:r>
      <w:r w:rsidR="008D5259" w:rsidRPr="003C2366">
        <w:rPr>
          <w:rFonts w:ascii="Garamond" w:hAnsi="Garamond"/>
          <w:b/>
          <w:bCs/>
          <w:sz w:val="28"/>
          <w:szCs w:val="28"/>
        </w:rPr>
        <w:t>L’ordinanza della Corte costitu</w:t>
      </w:r>
      <w:r w:rsidR="00BC28F3">
        <w:rPr>
          <w:rFonts w:ascii="Garamond" w:hAnsi="Garamond"/>
          <w:b/>
          <w:bCs/>
          <w:sz w:val="28"/>
          <w:szCs w:val="28"/>
        </w:rPr>
        <w:t>zionale di rimessione alla CGUE</w:t>
      </w:r>
    </w:p>
    <w:p w14:paraId="2C95CDA3" w14:textId="0520F6D0"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La Corte costituzionale h</w:t>
      </w:r>
      <w:r w:rsidR="00F00A12" w:rsidRPr="003C2366">
        <w:rPr>
          <w:rFonts w:ascii="Garamond" w:hAnsi="Garamond"/>
          <w:sz w:val="28"/>
          <w:szCs w:val="28"/>
        </w:rPr>
        <w:t xml:space="preserve">a recentemente rimesso alla </w:t>
      </w:r>
      <w:r w:rsidR="00E60E42" w:rsidRPr="003C2366">
        <w:rPr>
          <w:rFonts w:ascii="Garamond" w:hAnsi="Garamond"/>
          <w:sz w:val="28"/>
          <w:szCs w:val="28"/>
        </w:rPr>
        <w:t>CG</w:t>
      </w:r>
      <w:r w:rsidR="00F00A12" w:rsidRPr="003C2366">
        <w:rPr>
          <w:rFonts w:ascii="Garamond" w:hAnsi="Garamond"/>
          <w:sz w:val="28"/>
          <w:szCs w:val="28"/>
        </w:rPr>
        <w:t>UE</w:t>
      </w:r>
      <w:r w:rsidRPr="003C2366">
        <w:rPr>
          <w:rFonts w:ascii="Garamond" w:hAnsi="Garamond"/>
          <w:sz w:val="28"/>
          <w:szCs w:val="28"/>
        </w:rPr>
        <w:t xml:space="preserve"> la questione della compatibilità tra le normative italiane e il diritto </w:t>
      </w:r>
      <w:r w:rsidR="0039539A">
        <w:rPr>
          <w:rFonts w:ascii="Garamond" w:hAnsi="Garamond"/>
          <w:sz w:val="28"/>
          <w:szCs w:val="28"/>
        </w:rPr>
        <w:t>eurounitario</w:t>
      </w:r>
      <w:r w:rsidRPr="003C2366">
        <w:rPr>
          <w:rFonts w:ascii="Garamond" w:hAnsi="Garamond"/>
          <w:sz w:val="28"/>
          <w:szCs w:val="28"/>
        </w:rPr>
        <w:t xml:space="preserve"> in tema di concessioni idroelettriche.</w:t>
      </w:r>
    </w:p>
    <w:p w14:paraId="09FE9E31" w14:textId="655D7AC3"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L’ordinanza n. 161/2024 rappresenta un importante sviluppo nel dibattito sulle concessioni, in relazione anche alla necessità di garantire t</w:t>
      </w:r>
      <w:r w:rsidR="0039539A">
        <w:rPr>
          <w:rFonts w:ascii="Garamond" w:hAnsi="Garamond"/>
          <w:sz w:val="28"/>
          <w:szCs w:val="28"/>
        </w:rPr>
        <w:t xml:space="preserve">rasparenza e competitività nella loro </w:t>
      </w:r>
      <w:r w:rsidRPr="003C2366">
        <w:rPr>
          <w:rFonts w:ascii="Garamond" w:hAnsi="Garamond"/>
          <w:sz w:val="28"/>
          <w:szCs w:val="28"/>
        </w:rPr>
        <w:t xml:space="preserve">assegnazione. </w:t>
      </w:r>
    </w:p>
    <w:p w14:paraId="08076538" w14:textId="77777777"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Le concessioni idroelettriche, analogamente a quelle marittime, coinvolgono risorse scarse e richiedono un bilanciamento tra le esigenze di sviluppo economico e la tutela dell’ambiente.</w:t>
      </w:r>
    </w:p>
    <w:p w14:paraId="1EC2B74A" w14:textId="77777777"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La Corte ha sottolineato che, sebbene le Regioni abbiano competenze in materia di energia, queste non possono compromettere il rispetto del principio di concorrenza, che rientra nella sfera esclusiva dello Stato.</w:t>
      </w:r>
    </w:p>
    <w:p w14:paraId="2EFE5039" w14:textId="13AE3D87"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L’ordinanza evidenzia inoltre la necessità di criteri obiettivi</w:t>
      </w:r>
      <w:r w:rsidR="002478DB">
        <w:rPr>
          <w:rFonts w:ascii="Garamond" w:hAnsi="Garamond"/>
          <w:sz w:val="28"/>
          <w:szCs w:val="28"/>
        </w:rPr>
        <w:t xml:space="preserve"> e trasparenti per valutare la scarsità</w:t>
      </w:r>
      <w:r w:rsidRPr="003C2366">
        <w:rPr>
          <w:rFonts w:ascii="Garamond" w:hAnsi="Garamond"/>
          <w:sz w:val="28"/>
          <w:szCs w:val="28"/>
        </w:rPr>
        <w:t xml:space="preserve"> delle risorse, richiedendo un coordinamento tra Stato e Regioni. Questo approccio riflette un tentativo di armonizzare le esigenze locali con gli obblighi </w:t>
      </w:r>
      <w:r w:rsidR="002478DB">
        <w:rPr>
          <w:rFonts w:ascii="Garamond" w:hAnsi="Garamond"/>
          <w:sz w:val="28"/>
          <w:szCs w:val="28"/>
        </w:rPr>
        <w:t>eurounitari</w:t>
      </w:r>
      <w:r w:rsidRPr="003C2366">
        <w:rPr>
          <w:rFonts w:ascii="Garamond" w:hAnsi="Garamond"/>
          <w:sz w:val="28"/>
          <w:szCs w:val="28"/>
        </w:rPr>
        <w:t>, evitando disparità territoriali.</w:t>
      </w:r>
    </w:p>
    <w:p w14:paraId="6D587957" w14:textId="1E1467DB" w:rsidR="008D5259"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In estrema sintesi, la citata ordinanza ha rimesso alla </w:t>
      </w:r>
      <w:r w:rsidR="00E60E42" w:rsidRPr="003C2366">
        <w:rPr>
          <w:rFonts w:ascii="Garamond" w:hAnsi="Garamond"/>
          <w:sz w:val="28"/>
          <w:szCs w:val="28"/>
        </w:rPr>
        <w:t>CG</w:t>
      </w:r>
      <w:r w:rsidRPr="003C2366">
        <w:rPr>
          <w:rFonts w:ascii="Garamond" w:hAnsi="Garamond"/>
          <w:sz w:val="28"/>
          <w:szCs w:val="28"/>
        </w:rPr>
        <w:t xml:space="preserve">UE la soluzione dei seguenti quesiti interpretativi: a) se la direttiva servizi 2006/123/CE debba ritenersi applicabile anche a impianti che svolgono attività di mera produzione di energia elettrica; b) ove tale applicabilità sia riconosciuta, se la direttiva servizi osti alla disciplina di uno Stato membro, che si avvalga, quale criterio per distinguere l'attitudine o meno degli impianti di derivazione a rendere scarsa la risorsa idroelettrica, della differenza fra grandi </w:t>
      </w:r>
      <w:r w:rsidRPr="003C2366">
        <w:rPr>
          <w:rFonts w:ascii="Garamond" w:hAnsi="Garamond"/>
          <w:sz w:val="28"/>
          <w:szCs w:val="28"/>
        </w:rPr>
        <w:lastRenderedPageBreak/>
        <w:t>e piccoli impianti; c) infine, in caso di risposta affermativa al primo e al secondo quesito, se la direttiva servizi osti alla disciplina di uno Stato membro che preveda una proroga della concessione, motivata dall'esigenza di consentire l'utilizzo integrale degli incentivi ottenuti per la produzione di energia da fonti rinnovabili, fermo restando il limite dei trent'anni che sin dall'inizio può essere assegnato a una concessione per pi</w:t>
      </w:r>
      <w:r w:rsidR="002478DB">
        <w:rPr>
          <w:rFonts w:ascii="Garamond" w:hAnsi="Garamond"/>
          <w:sz w:val="28"/>
          <w:szCs w:val="28"/>
        </w:rPr>
        <w:t>ccola derivazione idroelettrica</w:t>
      </w:r>
      <w:r w:rsidRPr="003C2366">
        <w:rPr>
          <w:rFonts w:ascii="Garamond" w:hAnsi="Garamond"/>
          <w:sz w:val="28"/>
          <w:szCs w:val="28"/>
          <w:vertAlign w:val="superscript"/>
        </w:rPr>
        <w:footnoteReference w:id="66"/>
      </w:r>
      <w:r w:rsidR="002478DB">
        <w:rPr>
          <w:rFonts w:ascii="Garamond" w:hAnsi="Garamond"/>
          <w:sz w:val="28"/>
          <w:szCs w:val="28"/>
        </w:rPr>
        <w:t>.</w:t>
      </w:r>
    </w:p>
    <w:p w14:paraId="0E6481F7" w14:textId="77777777" w:rsidR="003C2366" w:rsidRPr="003C2366" w:rsidRDefault="003C2366" w:rsidP="003C2366">
      <w:pPr>
        <w:spacing w:after="0" w:line="240" w:lineRule="auto"/>
        <w:ind w:firstLine="709"/>
        <w:jc w:val="both"/>
        <w:rPr>
          <w:rFonts w:ascii="Garamond" w:hAnsi="Garamond"/>
          <w:sz w:val="28"/>
          <w:szCs w:val="28"/>
        </w:rPr>
      </w:pPr>
    </w:p>
    <w:p w14:paraId="16928C98" w14:textId="0BDABFA8" w:rsidR="003C2366" w:rsidRPr="003C2366" w:rsidRDefault="00AD4BF0" w:rsidP="003C2366">
      <w:pPr>
        <w:spacing w:after="0" w:line="240" w:lineRule="auto"/>
        <w:ind w:firstLine="709"/>
        <w:jc w:val="both"/>
        <w:rPr>
          <w:rFonts w:ascii="Garamond" w:hAnsi="Garamond"/>
          <w:b/>
          <w:bCs/>
          <w:sz w:val="28"/>
          <w:szCs w:val="28"/>
        </w:rPr>
      </w:pPr>
      <w:r w:rsidRPr="003C2366">
        <w:rPr>
          <w:rFonts w:ascii="Garamond" w:hAnsi="Garamond"/>
          <w:b/>
          <w:bCs/>
          <w:sz w:val="28"/>
          <w:szCs w:val="28"/>
        </w:rPr>
        <w:t>6</w:t>
      </w:r>
      <w:r w:rsidR="008D5259" w:rsidRPr="003C2366">
        <w:rPr>
          <w:rFonts w:ascii="Garamond" w:hAnsi="Garamond"/>
          <w:b/>
          <w:bCs/>
          <w:sz w:val="28"/>
          <w:szCs w:val="28"/>
        </w:rPr>
        <w:t>.6 Conclusioni</w:t>
      </w:r>
    </w:p>
    <w:p w14:paraId="4061E3F3" w14:textId="0CE57528" w:rsidR="00F00A12"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Le pronunce della Corte costituzionale delineano un quadro giuridico in cui il rispetto della concorrenza prevale, ma non esclude completamente gli interventi regionali, purché questi rispettino i limiti imposti dalla normativa </w:t>
      </w:r>
      <w:r w:rsidR="00E32AEE">
        <w:rPr>
          <w:rFonts w:ascii="Garamond" w:hAnsi="Garamond"/>
          <w:sz w:val="28"/>
          <w:szCs w:val="28"/>
        </w:rPr>
        <w:t>eurounitaria</w:t>
      </w:r>
      <w:r w:rsidRPr="003C2366">
        <w:rPr>
          <w:rFonts w:ascii="Garamond" w:hAnsi="Garamond"/>
          <w:sz w:val="28"/>
          <w:szCs w:val="28"/>
        </w:rPr>
        <w:t xml:space="preserve"> e statale. </w:t>
      </w:r>
    </w:p>
    <w:p w14:paraId="0672AF22" w14:textId="77777777"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Le sfide poste dalle concessioni balneari e idroelettriche testimoniano l’importanza di un approccio equilibrato tra salvaguardia degli interessi locali e apertura al mercato.</w:t>
      </w:r>
    </w:p>
    <w:p w14:paraId="78B55442" w14:textId="5ECE5481" w:rsidR="008D5259" w:rsidRPr="003C2366" w:rsidRDefault="008D5259" w:rsidP="003C2366">
      <w:pPr>
        <w:spacing w:after="0" w:line="240" w:lineRule="auto"/>
        <w:ind w:firstLine="709"/>
        <w:jc w:val="both"/>
        <w:rPr>
          <w:rFonts w:ascii="Garamond" w:hAnsi="Garamond"/>
          <w:sz w:val="28"/>
          <w:szCs w:val="28"/>
        </w:rPr>
      </w:pPr>
      <w:r w:rsidRPr="003C2366">
        <w:rPr>
          <w:rFonts w:ascii="Garamond" w:hAnsi="Garamond"/>
          <w:sz w:val="28"/>
          <w:szCs w:val="28"/>
        </w:rPr>
        <w:t>Da ultimo,</w:t>
      </w:r>
      <w:r w:rsidR="00F00A12" w:rsidRPr="003C2366">
        <w:rPr>
          <w:rFonts w:ascii="Garamond" w:hAnsi="Garamond"/>
          <w:sz w:val="28"/>
          <w:szCs w:val="28"/>
        </w:rPr>
        <w:t xml:space="preserve"> come meglio si dirà,</w:t>
      </w:r>
      <w:r w:rsidRPr="003C2366">
        <w:rPr>
          <w:rFonts w:ascii="Garamond" w:hAnsi="Garamond"/>
          <w:sz w:val="28"/>
          <w:szCs w:val="28"/>
        </w:rPr>
        <w:t xml:space="preserve"> il panorama sovranazionale apre a possibili soluzioni (o nuovi conflitti) alla luce di evolutive interpretazioni della Convenzione </w:t>
      </w:r>
      <w:r w:rsidR="00E32AEE">
        <w:rPr>
          <w:rFonts w:ascii="Garamond" w:hAnsi="Garamond"/>
          <w:sz w:val="28"/>
          <w:szCs w:val="28"/>
        </w:rPr>
        <w:t>e</w:t>
      </w:r>
      <w:r w:rsidRPr="003C2366">
        <w:rPr>
          <w:rFonts w:ascii="Garamond" w:hAnsi="Garamond"/>
          <w:sz w:val="28"/>
          <w:szCs w:val="28"/>
        </w:rPr>
        <w:t xml:space="preserve">uropea dei Diritti dell’Uomo. </w:t>
      </w:r>
    </w:p>
    <w:p w14:paraId="5F6E6EEC" w14:textId="40490E48" w:rsidR="008D5259" w:rsidRDefault="008D5259" w:rsidP="003C2366">
      <w:pPr>
        <w:spacing w:after="0" w:line="240" w:lineRule="auto"/>
        <w:jc w:val="both"/>
        <w:rPr>
          <w:rFonts w:ascii="Garamond" w:hAnsi="Garamond"/>
          <w:sz w:val="28"/>
          <w:szCs w:val="28"/>
        </w:rPr>
      </w:pPr>
      <w:r w:rsidRPr="003C2366">
        <w:rPr>
          <w:rFonts w:ascii="Garamond" w:hAnsi="Garamond"/>
          <w:sz w:val="28"/>
          <w:szCs w:val="28"/>
        </w:rPr>
        <w:t xml:space="preserve"> </w:t>
      </w:r>
    </w:p>
    <w:p w14:paraId="4DB5AE75" w14:textId="77777777" w:rsidR="00374433" w:rsidRPr="003C2366" w:rsidRDefault="00374433" w:rsidP="003C2366">
      <w:pPr>
        <w:spacing w:after="0" w:line="240" w:lineRule="auto"/>
        <w:jc w:val="both"/>
        <w:rPr>
          <w:rFonts w:ascii="Garamond" w:hAnsi="Garamond"/>
          <w:b/>
          <w:bCs/>
          <w:sz w:val="28"/>
          <w:szCs w:val="28"/>
        </w:rPr>
      </w:pPr>
    </w:p>
    <w:p w14:paraId="2AA232D2" w14:textId="14B5C51F" w:rsidR="008D5259" w:rsidRDefault="00AD4BF0" w:rsidP="003C2366">
      <w:pPr>
        <w:spacing w:after="0" w:line="240" w:lineRule="auto"/>
        <w:ind w:firstLine="709"/>
        <w:jc w:val="both"/>
        <w:rPr>
          <w:rFonts w:ascii="Garamond" w:hAnsi="Garamond"/>
          <w:b/>
          <w:bCs/>
          <w:i/>
          <w:sz w:val="28"/>
          <w:szCs w:val="28"/>
        </w:rPr>
      </w:pPr>
      <w:r w:rsidRPr="003C2366">
        <w:rPr>
          <w:rFonts w:ascii="Garamond" w:hAnsi="Garamond"/>
          <w:b/>
          <w:bCs/>
          <w:sz w:val="28"/>
          <w:szCs w:val="28"/>
        </w:rPr>
        <w:t xml:space="preserve">§ 7 – </w:t>
      </w:r>
      <w:r w:rsidR="008D5259" w:rsidRPr="00BC28F3">
        <w:rPr>
          <w:rFonts w:ascii="Garamond" w:hAnsi="Garamond"/>
          <w:b/>
          <w:bCs/>
          <w:sz w:val="28"/>
          <w:szCs w:val="28"/>
          <w:u w:val="single"/>
        </w:rPr>
        <w:t>La prospettiva europea</w:t>
      </w:r>
      <w:r w:rsidRPr="003C2366">
        <w:rPr>
          <w:rFonts w:ascii="Garamond" w:hAnsi="Garamond"/>
          <w:b/>
          <w:bCs/>
          <w:i/>
          <w:sz w:val="28"/>
          <w:szCs w:val="28"/>
        </w:rPr>
        <w:t>.</w:t>
      </w:r>
    </w:p>
    <w:p w14:paraId="1C58035E" w14:textId="77777777" w:rsidR="003C2366" w:rsidRPr="003C2366" w:rsidRDefault="003C2366" w:rsidP="003C2366">
      <w:pPr>
        <w:spacing w:after="0" w:line="240" w:lineRule="auto"/>
        <w:ind w:firstLine="709"/>
        <w:jc w:val="both"/>
        <w:rPr>
          <w:rFonts w:ascii="Garamond" w:hAnsi="Garamond"/>
          <w:b/>
          <w:bCs/>
          <w:i/>
          <w:sz w:val="28"/>
          <w:szCs w:val="28"/>
        </w:rPr>
      </w:pPr>
    </w:p>
    <w:p w14:paraId="2B846906" w14:textId="0DA161D8" w:rsidR="00385D3B" w:rsidRPr="003C2366"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Il regime delle concessioni demaniali marittime, con particolare riguardo a quelle aventi scopo turistico-ricreativo, rappresenta un tema di indubbia attualità nello studio del rapporto tra diritto interno ed </w:t>
      </w:r>
      <w:r w:rsidR="004574FC">
        <w:rPr>
          <w:rFonts w:ascii="Garamond" w:hAnsi="Garamond"/>
          <w:sz w:val="28"/>
          <w:szCs w:val="28"/>
        </w:rPr>
        <w:t>eurounitario e diritto interno e convenzionale</w:t>
      </w:r>
      <w:r w:rsidRPr="003C2366">
        <w:rPr>
          <w:rFonts w:ascii="Garamond" w:hAnsi="Garamond"/>
          <w:sz w:val="28"/>
          <w:szCs w:val="28"/>
        </w:rPr>
        <w:t>.</w:t>
      </w:r>
    </w:p>
    <w:p w14:paraId="11BDD0A4" w14:textId="7B8F6E2F" w:rsidR="00F00A12" w:rsidRPr="003C2366"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Si registrano</w:t>
      </w:r>
      <w:r w:rsidR="004574FC">
        <w:rPr>
          <w:rFonts w:ascii="Garamond" w:hAnsi="Garamond"/>
          <w:sz w:val="28"/>
          <w:szCs w:val="28"/>
        </w:rPr>
        <w:t>,</w:t>
      </w:r>
      <w:r w:rsidRPr="003C2366">
        <w:rPr>
          <w:rFonts w:ascii="Garamond" w:hAnsi="Garamond"/>
          <w:sz w:val="28"/>
          <w:szCs w:val="28"/>
        </w:rPr>
        <w:t xml:space="preserve"> infatti</w:t>
      </w:r>
      <w:r w:rsidR="004574FC">
        <w:rPr>
          <w:rFonts w:ascii="Garamond" w:hAnsi="Garamond"/>
          <w:sz w:val="28"/>
          <w:szCs w:val="28"/>
        </w:rPr>
        <w:t>,</w:t>
      </w:r>
      <w:r w:rsidRPr="003C2366">
        <w:rPr>
          <w:rFonts w:ascii="Garamond" w:hAnsi="Garamond"/>
          <w:sz w:val="28"/>
          <w:szCs w:val="28"/>
        </w:rPr>
        <w:t xml:space="preserve"> contrapposte sensibilità in ordine alla gestione del patrimonio demaniale marittimo italiano: l’una orientata alla salvaguardia delle posizioni dei gestori degli stabilimenti balneari, l’altra protesa alla più ampia apertura al mercato. </w:t>
      </w:r>
    </w:p>
    <w:p w14:paraId="39F9E5AA" w14:textId="790AA4A8" w:rsidR="008D5259" w:rsidRPr="003C2366"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Così, se da un lato il legislatore interno ha adottato (e reiterato) meccanismi normativi di dilazionamento temporale dei regimi conce</w:t>
      </w:r>
      <w:r w:rsidR="008D5259" w:rsidRPr="003C2366">
        <w:rPr>
          <w:rFonts w:ascii="Garamond" w:hAnsi="Garamond"/>
          <w:sz w:val="28"/>
          <w:szCs w:val="28"/>
        </w:rPr>
        <w:t>ssori in essere, dall’altro l’Unione</w:t>
      </w:r>
      <w:r w:rsidRPr="003C2366">
        <w:rPr>
          <w:rFonts w:ascii="Garamond" w:hAnsi="Garamond"/>
          <w:sz w:val="28"/>
          <w:szCs w:val="28"/>
        </w:rPr>
        <w:t xml:space="preserve"> </w:t>
      </w:r>
      <w:r w:rsidR="004574FC">
        <w:rPr>
          <w:rFonts w:ascii="Garamond" w:hAnsi="Garamond"/>
          <w:sz w:val="28"/>
          <w:szCs w:val="28"/>
        </w:rPr>
        <w:t xml:space="preserve">europea ha più volte stigmatizzato </w:t>
      </w:r>
      <w:r w:rsidRPr="003C2366">
        <w:rPr>
          <w:rFonts w:ascii="Garamond" w:hAnsi="Garamond"/>
          <w:sz w:val="28"/>
          <w:szCs w:val="28"/>
        </w:rPr>
        <w:t>prassi di tal genere, invocando la piena applicazione del principio concorrenziale</w:t>
      </w:r>
      <w:r w:rsidR="004574FC">
        <w:rPr>
          <w:rFonts w:ascii="Garamond" w:hAnsi="Garamond"/>
          <w:sz w:val="28"/>
          <w:szCs w:val="28"/>
        </w:rPr>
        <w:t xml:space="preserve"> e di libero stabilimento</w:t>
      </w:r>
      <w:r w:rsidRPr="003C2366">
        <w:rPr>
          <w:rFonts w:ascii="Garamond" w:hAnsi="Garamond"/>
          <w:sz w:val="28"/>
          <w:szCs w:val="28"/>
        </w:rPr>
        <w:t>.</w:t>
      </w:r>
    </w:p>
    <w:p w14:paraId="42EC8C8A" w14:textId="77777777" w:rsidR="00385D3B" w:rsidRPr="003C2366"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A ciò si aggiunge un ulteriore elemento di complessità inerente al ruolo delle Regioni nell</w:t>
      </w:r>
      <w:r w:rsidR="00F00A12" w:rsidRPr="003C2366">
        <w:rPr>
          <w:rFonts w:ascii="Garamond" w:hAnsi="Garamond"/>
          <w:sz w:val="28"/>
          <w:szCs w:val="28"/>
        </w:rPr>
        <w:t>a regolamentazione del fenomeno</w:t>
      </w:r>
      <w:r w:rsidRPr="003C2366">
        <w:rPr>
          <w:rFonts w:ascii="Garamond" w:hAnsi="Garamond"/>
          <w:sz w:val="28"/>
          <w:szCs w:val="28"/>
          <w:vertAlign w:val="superscript"/>
        </w:rPr>
        <w:footnoteReference w:id="67"/>
      </w:r>
      <w:r w:rsidR="00F00A12" w:rsidRPr="003C2366">
        <w:rPr>
          <w:rFonts w:ascii="Garamond" w:hAnsi="Garamond"/>
          <w:sz w:val="28"/>
          <w:szCs w:val="28"/>
        </w:rPr>
        <w:t>.</w:t>
      </w:r>
    </w:p>
    <w:p w14:paraId="07D8658D" w14:textId="567B11AB" w:rsidR="00385D3B" w:rsidRPr="003C2366"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Al fine di un esaustivo inquadramento generale, risulta utile ripercorrere in maniera discendente il panorama giurisprudenziale della </w:t>
      </w:r>
      <w:r w:rsidR="00E60E42" w:rsidRPr="003C2366">
        <w:rPr>
          <w:rFonts w:ascii="Garamond" w:hAnsi="Garamond"/>
          <w:sz w:val="28"/>
          <w:szCs w:val="28"/>
        </w:rPr>
        <w:t>CG</w:t>
      </w:r>
      <w:r w:rsidR="00F00A12" w:rsidRPr="003C2366">
        <w:rPr>
          <w:rFonts w:ascii="Garamond" w:hAnsi="Garamond"/>
          <w:sz w:val="28"/>
          <w:szCs w:val="28"/>
        </w:rPr>
        <w:t>UE</w:t>
      </w:r>
      <w:r w:rsidR="008D5259" w:rsidRPr="003C2366">
        <w:rPr>
          <w:rFonts w:ascii="Garamond" w:hAnsi="Garamond"/>
          <w:sz w:val="28"/>
          <w:szCs w:val="28"/>
        </w:rPr>
        <w:t>,</w:t>
      </w:r>
      <w:r w:rsidRPr="003C2366">
        <w:rPr>
          <w:rFonts w:ascii="Garamond" w:hAnsi="Garamond"/>
          <w:sz w:val="28"/>
          <w:szCs w:val="28"/>
        </w:rPr>
        <w:t xml:space="preserve"> con alcuni c</w:t>
      </w:r>
      <w:r w:rsidR="008D5259" w:rsidRPr="003C2366">
        <w:rPr>
          <w:rFonts w:ascii="Garamond" w:hAnsi="Garamond"/>
          <w:sz w:val="28"/>
          <w:szCs w:val="28"/>
        </w:rPr>
        <w:t>enni</w:t>
      </w:r>
      <w:r w:rsidRPr="003C2366">
        <w:rPr>
          <w:rFonts w:ascii="Garamond" w:hAnsi="Garamond"/>
          <w:sz w:val="28"/>
          <w:szCs w:val="28"/>
        </w:rPr>
        <w:t xml:space="preserve"> ai possibili profili di incompatibilità con i diritti fondamentali riconosciuti dalla Convenzione </w:t>
      </w:r>
      <w:r w:rsidR="004574FC">
        <w:rPr>
          <w:rFonts w:ascii="Garamond" w:hAnsi="Garamond"/>
          <w:sz w:val="28"/>
          <w:szCs w:val="28"/>
        </w:rPr>
        <w:t>e</w:t>
      </w:r>
      <w:r w:rsidRPr="003C2366">
        <w:rPr>
          <w:rFonts w:ascii="Garamond" w:hAnsi="Garamond"/>
          <w:sz w:val="28"/>
          <w:szCs w:val="28"/>
        </w:rPr>
        <w:t xml:space="preserve">uropea dei Diritti dell’Uomo.  </w:t>
      </w:r>
    </w:p>
    <w:p w14:paraId="3CA5A139" w14:textId="77777777" w:rsidR="00F23B52" w:rsidRDefault="00F23B52" w:rsidP="00F23B52">
      <w:pPr>
        <w:spacing w:after="0" w:line="240" w:lineRule="auto"/>
        <w:jc w:val="both"/>
        <w:rPr>
          <w:rFonts w:ascii="Garamond" w:hAnsi="Garamond"/>
          <w:sz w:val="28"/>
          <w:szCs w:val="28"/>
        </w:rPr>
      </w:pPr>
    </w:p>
    <w:p w14:paraId="5D4CC5FD" w14:textId="4DD69882" w:rsidR="00723EBC" w:rsidRPr="00F23B52" w:rsidRDefault="00723EBC" w:rsidP="00F23B52">
      <w:pPr>
        <w:spacing w:after="0" w:line="240" w:lineRule="auto"/>
        <w:ind w:firstLine="708"/>
        <w:jc w:val="both"/>
        <w:rPr>
          <w:rFonts w:ascii="Garamond" w:hAnsi="Garamond" w:cs="Times New Roman"/>
          <w:b/>
          <w:sz w:val="28"/>
          <w:szCs w:val="28"/>
        </w:rPr>
      </w:pPr>
      <w:r w:rsidRPr="00F23B52">
        <w:rPr>
          <w:rFonts w:ascii="Garamond" w:hAnsi="Garamond" w:cs="Times New Roman"/>
          <w:b/>
          <w:sz w:val="28"/>
          <w:szCs w:val="28"/>
        </w:rPr>
        <w:t>7.1.1. Breve panoramica sulla normativa adottata da altri Stati Membri in materia.</w:t>
      </w:r>
    </w:p>
    <w:p w14:paraId="4F915A48" w14:textId="0779B9AC" w:rsidR="00723EBC" w:rsidRDefault="00723EBC" w:rsidP="00723EBC">
      <w:pPr>
        <w:spacing w:after="0" w:line="240" w:lineRule="auto"/>
        <w:ind w:firstLine="708"/>
        <w:jc w:val="both"/>
        <w:rPr>
          <w:rFonts w:ascii="Garamond" w:hAnsi="Garamond" w:cs="Times New Roman"/>
          <w:sz w:val="28"/>
          <w:szCs w:val="28"/>
        </w:rPr>
      </w:pPr>
      <w:r>
        <w:rPr>
          <w:rFonts w:ascii="Garamond" w:hAnsi="Garamond" w:cs="Times New Roman"/>
          <w:sz w:val="28"/>
          <w:szCs w:val="28"/>
        </w:rPr>
        <w:lastRenderedPageBreak/>
        <w:t xml:space="preserve">Prima di addentrarsi nell’analisi giurisprudenziale, può essere interessante affrontare in modo sintetico la normativa vigente in alcuni Stati </w:t>
      </w:r>
      <w:r w:rsidR="00D36635">
        <w:rPr>
          <w:rFonts w:ascii="Garamond" w:hAnsi="Garamond" w:cs="Times New Roman"/>
          <w:sz w:val="28"/>
          <w:szCs w:val="28"/>
        </w:rPr>
        <w:t>m</w:t>
      </w:r>
      <w:r>
        <w:rPr>
          <w:rFonts w:ascii="Garamond" w:hAnsi="Garamond" w:cs="Times New Roman"/>
          <w:sz w:val="28"/>
          <w:szCs w:val="28"/>
        </w:rPr>
        <w:t>embri</w:t>
      </w:r>
      <w:r w:rsidR="007A1971">
        <w:rPr>
          <w:rFonts w:ascii="Garamond" w:hAnsi="Garamond" w:cs="Times New Roman"/>
          <w:sz w:val="28"/>
          <w:szCs w:val="28"/>
        </w:rPr>
        <w:t>. Si tratta in particolare di Croazia, Francia, Grecia, Portogallo e Spagna i quali condividono con il nostro una forte vocazione balneare per l’ampia esposizione costiera che ne caratterizza il territorio.</w:t>
      </w:r>
      <w:r w:rsidR="00F23B52">
        <w:rPr>
          <w:rFonts w:ascii="Garamond" w:hAnsi="Garamond" w:cs="Times New Roman"/>
          <w:sz w:val="28"/>
          <w:szCs w:val="28"/>
        </w:rPr>
        <w:t xml:space="preserve"> Una tabella conclusiva renderà ancor più immediata la panoramica comparativa</w:t>
      </w:r>
      <w:r w:rsidR="007A1971">
        <w:rPr>
          <w:rFonts w:ascii="Garamond" w:hAnsi="Garamond" w:cs="Times New Roman"/>
          <w:sz w:val="28"/>
          <w:szCs w:val="28"/>
        </w:rPr>
        <w:t xml:space="preserve"> che si intende offrire in questa sede</w:t>
      </w:r>
      <w:r w:rsidR="00F23B52">
        <w:rPr>
          <w:rFonts w:ascii="Garamond" w:hAnsi="Garamond" w:cs="Times New Roman"/>
          <w:sz w:val="28"/>
          <w:szCs w:val="28"/>
        </w:rPr>
        <w:t>.</w:t>
      </w:r>
    </w:p>
    <w:p w14:paraId="63D4BD0C" w14:textId="38E8786A" w:rsidR="003B3C24" w:rsidRDefault="003B3C24" w:rsidP="00723EBC">
      <w:pPr>
        <w:spacing w:after="0" w:line="240" w:lineRule="auto"/>
        <w:ind w:firstLine="708"/>
        <w:jc w:val="both"/>
        <w:rPr>
          <w:rFonts w:ascii="Garamond" w:hAnsi="Garamond" w:cs="Times New Roman"/>
          <w:sz w:val="28"/>
          <w:szCs w:val="28"/>
        </w:rPr>
      </w:pPr>
    </w:p>
    <w:p w14:paraId="40463B75" w14:textId="47AD44E0" w:rsidR="003B3C24" w:rsidRPr="003B3C24" w:rsidRDefault="003B3C24" w:rsidP="003B3C24">
      <w:pPr>
        <w:spacing w:after="0" w:line="240" w:lineRule="auto"/>
        <w:ind w:firstLine="708"/>
        <w:jc w:val="both"/>
        <w:rPr>
          <w:rFonts w:ascii="Garamond" w:hAnsi="Garamond" w:cs="Times New Roman"/>
          <w:sz w:val="28"/>
          <w:szCs w:val="28"/>
        </w:rPr>
      </w:pPr>
      <w:r>
        <w:rPr>
          <w:rFonts w:ascii="Garamond" w:hAnsi="Garamond" w:cs="Times New Roman"/>
          <w:sz w:val="28"/>
          <w:szCs w:val="28"/>
        </w:rPr>
        <w:t>S</w:t>
      </w:r>
      <w:r w:rsidRPr="003B3C24">
        <w:rPr>
          <w:rFonts w:ascii="Garamond" w:hAnsi="Garamond" w:cs="Times New Roman"/>
          <w:sz w:val="28"/>
          <w:szCs w:val="28"/>
        </w:rPr>
        <w:t xml:space="preserve">i evidenzia la non conformità al diritto eurounitario delle normative di altri Stati membri. </w:t>
      </w:r>
    </w:p>
    <w:p w14:paraId="6163E127" w14:textId="255A9007" w:rsidR="003B3C24" w:rsidRPr="003B3C24" w:rsidRDefault="003B3C24" w:rsidP="003B3C24">
      <w:pPr>
        <w:spacing w:after="0" w:line="240" w:lineRule="auto"/>
        <w:ind w:firstLine="708"/>
        <w:jc w:val="both"/>
        <w:rPr>
          <w:rFonts w:ascii="Garamond" w:hAnsi="Garamond" w:cs="Times New Roman"/>
          <w:sz w:val="28"/>
          <w:szCs w:val="28"/>
        </w:rPr>
      </w:pPr>
      <w:r w:rsidRPr="003B3C24">
        <w:rPr>
          <w:rFonts w:ascii="Garamond" w:hAnsi="Garamond" w:cs="Times New Roman"/>
          <w:sz w:val="28"/>
          <w:szCs w:val="28"/>
        </w:rPr>
        <w:t xml:space="preserve">Tale conflittualità è, peraltro, resa ben evidente da uno </w:t>
      </w:r>
      <w:r w:rsidRPr="00162041">
        <w:rPr>
          <w:rFonts w:ascii="Garamond" w:hAnsi="Garamond" w:cs="Times New Roman"/>
          <w:b/>
          <w:sz w:val="28"/>
          <w:szCs w:val="28"/>
        </w:rPr>
        <w:t>studio reso disponibile dalla Camera dei Deputati ed elaborato nel 2018</w:t>
      </w:r>
      <w:r w:rsidR="00747331">
        <w:rPr>
          <w:rStyle w:val="Rimandonotaapidipagina"/>
          <w:rFonts w:ascii="Garamond" w:hAnsi="Garamond" w:cs="Times New Roman"/>
          <w:b/>
          <w:sz w:val="28"/>
          <w:szCs w:val="28"/>
        </w:rPr>
        <w:footnoteReference w:id="68"/>
      </w:r>
      <w:r w:rsidRPr="003B3C24">
        <w:rPr>
          <w:rFonts w:ascii="Garamond" w:hAnsi="Garamond" w:cs="Times New Roman"/>
          <w:sz w:val="28"/>
          <w:szCs w:val="28"/>
        </w:rPr>
        <w:t xml:space="preserve"> che pone a comparazione la normativa in tema di concessioni demaniali marittime in Croazia, Francia, Grecia, Portogallo e Spagna.</w:t>
      </w:r>
    </w:p>
    <w:p w14:paraId="4FC1735A" w14:textId="5BF57149" w:rsidR="003B3C24" w:rsidRPr="003B3C24" w:rsidRDefault="003B3C24" w:rsidP="003B3C24">
      <w:pPr>
        <w:spacing w:after="0" w:line="240" w:lineRule="auto"/>
        <w:ind w:firstLine="708"/>
        <w:jc w:val="both"/>
        <w:rPr>
          <w:rFonts w:ascii="Garamond" w:hAnsi="Garamond" w:cs="Times New Roman"/>
          <w:sz w:val="28"/>
          <w:szCs w:val="28"/>
        </w:rPr>
      </w:pPr>
      <w:r w:rsidRPr="003B3C24">
        <w:rPr>
          <w:rFonts w:ascii="Garamond" w:hAnsi="Garamond" w:cs="Times New Roman"/>
          <w:sz w:val="28"/>
          <w:szCs w:val="28"/>
        </w:rPr>
        <w:t xml:space="preserve">Si segnalano, peraltro, diverse procedure di infrazione recentemente elevate a carico di questi </w:t>
      </w:r>
      <w:r w:rsidR="00162041">
        <w:rPr>
          <w:rFonts w:ascii="Garamond" w:hAnsi="Garamond" w:cs="Times New Roman"/>
          <w:sz w:val="28"/>
          <w:szCs w:val="28"/>
        </w:rPr>
        <w:t>S</w:t>
      </w:r>
      <w:r w:rsidRPr="003B3C24">
        <w:rPr>
          <w:rFonts w:ascii="Garamond" w:hAnsi="Garamond" w:cs="Times New Roman"/>
          <w:sz w:val="28"/>
          <w:szCs w:val="28"/>
        </w:rPr>
        <w:t>tati</w:t>
      </w:r>
      <w:r w:rsidR="00747331">
        <w:rPr>
          <w:rStyle w:val="Rimandonotaapidipagina"/>
          <w:rFonts w:ascii="Garamond" w:hAnsi="Garamond" w:cs="Times New Roman"/>
          <w:sz w:val="28"/>
          <w:szCs w:val="28"/>
        </w:rPr>
        <w:footnoteReference w:id="69"/>
      </w:r>
      <w:r w:rsidRPr="003B3C24">
        <w:rPr>
          <w:rFonts w:ascii="Garamond" w:hAnsi="Garamond" w:cs="Times New Roman"/>
          <w:sz w:val="28"/>
          <w:szCs w:val="28"/>
        </w:rPr>
        <w:t>.</w:t>
      </w:r>
    </w:p>
    <w:p w14:paraId="4B7329E6" w14:textId="77777777" w:rsidR="003B3C24" w:rsidRPr="003B3C24" w:rsidRDefault="003B3C24" w:rsidP="003B3C24">
      <w:pPr>
        <w:spacing w:after="0" w:line="240" w:lineRule="auto"/>
        <w:ind w:firstLine="708"/>
        <w:jc w:val="both"/>
        <w:rPr>
          <w:rFonts w:ascii="Garamond" w:hAnsi="Garamond" w:cs="Times New Roman"/>
          <w:sz w:val="28"/>
          <w:szCs w:val="28"/>
        </w:rPr>
      </w:pPr>
      <w:r w:rsidRPr="003B3C24">
        <w:rPr>
          <w:rFonts w:ascii="Garamond" w:hAnsi="Garamond" w:cs="Times New Roman"/>
          <w:sz w:val="28"/>
          <w:szCs w:val="28"/>
        </w:rPr>
        <w:t>Con la procedura di infrazione n. 2024/2243 la Commissione europea ha inviato una lettera di messa in mora alla Grecia per aver fallito all’adempimento delle regole di uso pubblico delle aree costiere. In particolare, anche in Grecia gli operatori possono fare uso delle spiagge adiacenti i loro stabilimenti senza procedura di gara. La Commissione ha rilevato la violazione della direttiva 2006/123 e dei principi di libertà di stabilimento ex art. 49 TFUE. Si ritengono violati il principio di imparzialità e trasparenza che la direttiva assicura tramite la procedura di gara, nonché i principi di gara tutelati dal Trattato laddove la gestione di un bene o un’attività manifesti un interesse transfrontaliero certo.</w:t>
      </w:r>
    </w:p>
    <w:p w14:paraId="1C1B2D1B" w14:textId="77777777" w:rsidR="003B3C24" w:rsidRPr="003B3C24" w:rsidRDefault="003B3C24" w:rsidP="003B3C24">
      <w:pPr>
        <w:spacing w:after="0" w:line="240" w:lineRule="auto"/>
        <w:ind w:firstLine="708"/>
        <w:jc w:val="both"/>
        <w:rPr>
          <w:rFonts w:ascii="Garamond" w:hAnsi="Garamond" w:cs="Times New Roman"/>
          <w:sz w:val="28"/>
          <w:szCs w:val="28"/>
        </w:rPr>
      </w:pPr>
      <w:r w:rsidRPr="003B3C24">
        <w:rPr>
          <w:rFonts w:ascii="Garamond" w:hAnsi="Garamond" w:cs="Times New Roman"/>
          <w:sz w:val="28"/>
          <w:szCs w:val="28"/>
        </w:rPr>
        <w:t>Per gli stessi motivi, negli anni addietro, anche la Spagna e il Portogallo erano stati destinatari di una lettera di messa in mora.</w:t>
      </w:r>
    </w:p>
    <w:p w14:paraId="49604177" w14:textId="599E2266" w:rsidR="003B3C24" w:rsidRDefault="003B3C24" w:rsidP="003B3C24">
      <w:pPr>
        <w:spacing w:after="0" w:line="240" w:lineRule="auto"/>
        <w:ind w:firstLine="708"/>
        <w:jc w:val="both"/>
        <w:rPr>
          <w:rFonts w:ascii="Garamond" w:hAnsi="Garamond" w:cs="Times New Roman"/>
          <w:sz w:val="28"/>
          <w:szCs w:val="28"/>
        </w:rPr>
      </w:pPr>
      <w:r w:rsidRPr="003B3C24">
        <w:rPr>
          <w:rFonts w:ascii="Garamond" w:hAnsi="Garamond" w:cs="Times New Roman"/>
          <w:sz w:val="28"/>
          <w:szCs w:val="28"/>
        </w:rPr>
        <w:t>La legge spagnola sulle coste, in particolare, prevede la possibilità di rilasciare concessioni per la costruzione di strutture permanenti nel cosiddetto demanio pubblico marittimo-terrestre, al di fuori dei porti, senza una procedura di selezione aperta e trasparente. Prevede, altresì, la possibilità di estendere la loro durata fino a 75 anni, sempre senza una procedura di selezione. Statuizioni ritenute contrastanti con la direttiva servizi.</w:t>
      </w:r>
    </w:p>
    <w:p w14:paraId="381FE1EB" w14:textId="77777777" w:rsidR="00F23B52" w:rsidRDefault="00F23B52" w:rsidP="00723EBC">
      <w:pPr>
        <w:spacing w:after="0" w:line="240" w:lineRule="auto"/>
        <w:ind w:firstLine="708"/>
        <w:jc w:val="both"/>
        <w:rPr>
          <w:rFonts w:ascii="Garamond" w:hAnsi="Garamond" w:cs="Times New Roman"/>
          <w:b/>
          <w:sz w:val="28"/>
          <w:szCs w:val="28"/>
        </w:rPr>
      </w:pPr>
    </w:p>
    <w:p w14:paraId="65545F9D" w14:textId="053AB434" w:rsidR="00723EBC" w:rsidRPr="00D36635" w:rsidRDefault="00723EBC" w:rsidP="00723EBC">
      <w:pPr>
        <w:spacing w:after="0" w:line="240" w:lineRule="auto"/>
        <w:ind w:firstLine="708"/>
        <w:jc w:val="both"/>
        <w:rPr>
          <w:rFonts w:ascii="Garamond" w:hAnsi="Garamond" w:cs="Times New Roman"/>
          <w:b/>
          <w:sz w:val="28"/>
          <w:szCs w:val="28"/>
        </w:rPr>
      </w:pPr>
      <w:r w:rsidRPr="00D36635">
        <w:rPr>
          <w:rFonts w:ascii="Garamond" w:hAnsi="Garamond" w:cs="Times New Roman"/>
          <w:b/>
          <w:sz w:val="28"/>
          <w:szCs w:val="28"/>
        </w:rPr>
        <w:t>7.1.2. Croazia</w:t>
      </w:r>
    </w:p>
    <w:p w14:paraId="5701E365" w14:textId="36395316" w:rsidR="00F23B52" w:rsidRPr="00F23B52" w:rsidRDefault="00F23B52" w:rsidP="00F23B52">
      <w:pPr>
        <w:spacing w:after="0" w:line="240" w:lineRule="auto"/>
        <w:ind w:firstLine="708"/>
        <w:jc w:val="both"/>
        <w:rPr>
          <w:rFonts w:ascii="Garamond" w:hAnsi="Garamond" w:cs="Times New Roman"/>
          <w:sz w:val="28"/>
          <w:szCs w:val="28"/>
        </w:rPr>
      </w:pPr>
      <w:r w:rsidRPr="00F23B52">
        <w:rPr>
          <w:rFonts w:ascii="Garamond" w:hAnsi="Garamond" w:cs="Times New Roman"/>
          <w:sz w:val="28"/>
          <w:szCs w:val="28"/>
        </w:rPr>
        <w:t>In Croazia, il demanio marittimo è costituzionalmente protetto ai sensi dell’art. 52 della Costituzione del 1990</w:t>
      </w:r>
      <w:r>
        <w:rPr>
          <w:rStyle w:val="Rimandonotaapidipagina"/>
          <w:rFonts w:ascii="Garamond" w:hAnsi="Garamond" w:cs="Times New Roman"/>
          <w:sz w:val="28"/>
          <w:szCs w:val="28"/>
        </w:rPr>
        <w:footnoteReference w:id="70"/>
      </w:r>
      <w:r w:rsidRPr="00F23B52">
        <w:rPr>
          <w:rFonts w:ascii="Garamond" w:hAnsi="Garamond" w:cs="Times New Roman"/>
          <w:sz w:val="28"/>
          <w:szCs w:val="28"/>
        </w:rPr>
        <w:t xml:space="preserve">. La disciplina di dettaglio è prevista dal </w:t>
      </w:r>
      <w:r w:rsidRPr="00D36635">
        <w:rPr>
          <w:rFonts w:ascii="Garamond" w:hAnsi="Garamond" w:cs="Times New Roman"/>
          <w:bCs/>
          <w:sz w:val="28"/>
          <w:szCs w:val="28"/>
        </w:rPr>
        <w:t xml:space="preserve">Maritime Domain and </w:t>
      </w:r>
      <w:proofErr w:type="spellStart"/>
      <w:r w:rsidRPr="00D36635">
        <w:rPr>
          <w:rFonts w:ascii="Garamond" w:hAnsi="Garamond" w:cs="Times New Roman"/>
          <w:bCs/>
          <w:sz w:val="28"/>
          <w:szCs w:val="28"/>
        </w:rPr>
        <w:t>Seaports</w:t>
      </w:r>
      <w:proofErr w:type="spellEnd"/>
      <w:r w:rsidRPr="00D36635">
        <w:rPr>
          <w:rFonts w:ascii="Garamond" w:hAnsi="Garamond" w:cs="Times New Roman"/>
          <w:bCs/>
          <w:sz w:val="28"/>
          <w:szCs w:val="28"/>
        </w:rPr>
        <w:t xml:space="preserve"> Act n. 11/2002</w:t>
      </w:r>
      <w:r>
        <w:rPr>
          <w:rFonts w:ascii="Garamond" w:hAnsi="Garamond" w:cs="Times New Roman"/>
          <w:sz w:val="28"/>
          <w:szCs w:val="28"/>
        </w:rPr>
        <w:t xml:space="preserve"> </w:t>
      </w:r>
      <w:r>
        <w:rPr>
          <w:rStyle w:val="Rimandonotaapidipagina"/>
          <w:rFonts w:ascii="Garamond" w:hAnsi="Garamond" w:cs="Times New Roman"/>
          <w:sz w:val="28"/>
          <w:szCs w:val="28"/>
        </w:rPr>
        <w:footnoteReference w:id="71"/>
      </w:r>
      <w:r w:rsidRPr="00F23B52">
        <w:rPr>
          <w:rFonts w:ascii="Garamond" w:hAnsi="Garamond" w:cs="Times New Roman"/>
          <w:sz w:val="28"/>
          <w:szCs w:val="28"/>
        </w:rPr>
        <w:t>, che ribadisce la speciale tutela sui beni demaniali (mare, spiagge, fondali, risorse naturali) e definisce le concessioni come titoli esclusivi o parzialmente esclusivi che, a seguito di gara pubblica, consentono lo sfruttamento commerciale delle aree demaniali. La durata può variare tra 5 e 99 anni, in relazione all’importanza del progetto e agli investimenti; quando si tratta di opere di rilevanza nazionale, la concessione può arrivare fino a 50 anni (estendibili a 60) o superare tale soglia previo assenso parlamen</w:t>
      </w:r>
      <w:r w:rsidR="00D36635">
        <w:rPr>
          <w:rFonts w:ascii="Garamond" w:hAnsi="Garamond" w:cs="Times New Roman"/>
          <w:sz w:val="28"/>
          <w:szCs w:val="28"/>
        </w:rPr>
        <w:t>tare. Inoltre, esiste anche il “</w:t>
      </w:r>
      <w:r w:rsidR="00D36635" w:rsidRPr="00D36635">
        <w:rPr>
          <w:rFonts w:ascii="Garamond" w:hAnsi="Garamond" w:cs="Times New Roman"/>
          <w:i/>
          <w:sz w:val="28"/>
          <w:szCs w:val="28"/>
        </w:rPr>
        <w:t>permesso di concessione</w:t>
      </w:r>
      <w:r w:rsidR="00D36635">
        <w:rPr>
          <w:rFonts w:ascii="Garamond" w:hAnsi="Garamond" w:cs="Times New Roman"/>
          <w:sz w:val="28"/>
          <w:szCs w:val="28"/>
        </w:rPr>
        <w:t>”</w:t>
      </w:r>
      <w:r w:rsidRPr="00F23B52">
        <w:rPr>
          <w:rFonts w:ascii="Garamond" w:hAnsi="Garamond" w:cs="Times New Roman"/>
          <w:sz w:val="28"/>
          <w:szCs w:val="28"/>
        </w:rPr>
        <w:t xml:space="preserve">, un titolo di </w:t>
      </w:r>
      <w:r w:rsidRPr="00F23B52">
        <w:rPr>
          <w:rFonts w:ascii="Garamond" w:hAnsi="Garamond" w:cs="Times New Roman"/>
          <w:sz w:val="28"/>
          <w:szCs w:val="28"/>
        </w:rPr>
        <w:lastRenderedPageBreak/>
        <w:t>massimo 5 anni che non limita l’uso pubblico della spiaggia (ad esempio per noleggio di ombrelloni o attività sportive), aggiudicate con procedure semplificate. </w:t>
      </w:r>
    </w:p>
    <w:p w14:paraId="7E7D76A3" w14:textId="666B8915" w:rsidR="00F23B52" w:rsidRPr="00F23B52" w:rsidRDefault="00F23B52" w:rsidP="00F23B52">
      <w:pPr>
        <w:spacing w:after="0" w:line="240" w:lineRule="auto"/>
        <w:ind w:firstLine="708"/>
        <w:jc w:val="both"/>
        <w:rPr>
          <w:rFonts w:ascii="Garamond" w:hAnsi="Garamond" w:cs="Times New Roman"/>
          <w:sz w:val="28"/>
          <w:szCs w:val="28"/>
        </w:rPr>
      </w:pPr>
      <w:r w:rsidRPr="00F23B52">
        <w:rPr>
          <w:rFonts w:ascii="Garamond" w:hAnsi="Garamond" w:cs="Times New Roman"/>
          <w:sz w:val="28"/>
          <w:szCs w:val="28"/>
        </w:rPr>
        <w:t xml:space="preserve">Per le concessioni ordinarie la legge prevede il </w:t>
      </w:r>
      <w:r w:rsidRPr="00F23B52">
        <w:rPr>
          <w:rFonts w:ascii="Garamond" w:hAnsi="Garamond" w:cs="Times New Roman"/>
          <w:b/>
          <w:bCs/>
          <w:sz w:val="28"/>
          <w:szCs w:val="28"/>
        </w:rPr>
        <w:t>ricorso alla gara pubblica:</w:t>
      </w:r>
      <w:r w:rsidRPr="00F23B52">
        <w:rPr>
          <w:rFonts w:ascii="Garamond" w:hAnsi="Garamond" w:cs="Times New Roman"/>
          <w:sz w:val="28"/>
          <w:szCs w:val="28"/>
        </w:rPr>
        <w:t xml:space="preserve"> l’</w:t>
      </w:r>
      <w:r w:rsidRPr="00F23B52">
        <w:rPr>
          <w:rFonts w:ascii="Garamond" w:hAnsi="Garamond" w:cs="Times New Roman"/>
          <w:b/>
          <w:bCs/>
          <w:sz w:val="28"/>
          <w:szCs w:val="28"/>
        </w:rPr>
        <w:t>amministrazione regionale</w:t>
      </w:r>
      <w:r w:rsidRPr="00F23B52">
        <w:rPr>
          <w:rFonts w:ascii="Garamond" w:hAnsi="Garamond" w:cs="Times New Roman"/>
          <w:sz w:val="28"/>
          <w:szCs w:val="28"/>
        </w:rPr>
        <w:t xml:space="preserve"> o, in casi più rilevanti, il </w:t>
      </w:r>
      <w:r w:rsidR="00D36635">
        <w:rPr>
          <w:rFonts w:ascii="Garamond" w:hAnsi="Garamond" w:cs="Times New Roman"/>
          <w:b/>
          <w:bCs/>
          <w:sz w:val="28"/>
          <w:szCs w:val="28"/>
        </w:rPr>
        <w:t>g</w:t>
      </w:r>
      <w:r w:rsidRPr="00F23B52">
        <w:rPr>
          <w:rFonts w:ascii="Garamond" w:hAnsi="Garamond" w:cs="Times New Roman"/>
          <w:b/>
          <w:bCs/>
          <w:sz w:val="28"/>
          <w:szCs w:val="28"/>
        </w:rPr>
        <w:t>overno</w:t>
      </w:r>
      <w:r w:rsidRPr="00F23B52">
        <w:rPr>
          <w:rFonts w:ascii="Garamond" w:hAnsi="Garamond" w:cs="Times New Roman"/>
          <w:sz w:val="28"/>
          <w:szCs w:val="28"/>
        </w:rPr>
        <w:t xml:space="preserve"> indic</w:t>
      </w:r>
      <w:r w:rsidR="00D36635">
        <w:rPr>
          <w:rFonts w:ascii="Garamond" w:hAnsi="Garamond" w:cs="Times New Roman"/>
          <w:sz w:val="28"/>
          <w:szCs w:val="28"/>
        </w:rPr>
        <w:t>ono</w:t>
      </w:r>
      <w:r w:rsidRPr="00F23B52">
        <w:rPr>
          <w:rFonts w:ascii="Garamond" w:hAnsi="Garamond" w:cs="Times New Roman"/>
          <w:sz w:val="28"/>
          <w:szCs w:val="28"/>
        </w:rPr>
        <w:t xml:space="preserve"> il bando di gara, valuta</w:t>
      </w:r>
      <w:r w:rsidR="00D36635">
        <w:rPr>
          <w:rFonts w:ascii="Garamond" w:hAnsi="Garamond" w:cs="Times New Roman"/>
          <w:sz w:val="28"/>
          <w:szCs w:val="28"/>
        </w:rPr>
        <w:t>no</w:t>
      </w:r>
      <w:r w:rsidRPr="00F23B52">
        <w:rPr>
          <w:rFonts w:ascii="Garamond" w:hAnsi="Garamond" w:cs="Times New Roman"/>
          <w:sz w:val="28"/>
          <w:szCs w:val="28"/>
        </w:rPr>
        <w:t xml:space="preserve"> le offerte, e proced</w:t>
      </w:r>
      <w:r w:rsidR="00D36635">
        <w:rPr>
          <w:rFonts w:ascii="Garamond" w:hAnsi="Garamond" w:cs="Times New Roman"/>
          <w:sz w:val="28"/>
          <w:szCs w:val="28"/>
        </w:rPr>
        <w:t>ono</w:t>
      </w:r>
      <w:r w:rsidRPr="00F23B52">
        <w:rPr>
          <w:rFonts w:ascii="Garamond" w:hAnsi="Garamond" w:cs="Times New Roman"/>
          <w:sz w:val="28"/>
          <w:szCs w:val="28"/>
        </w:rPr>
        <w:t xml:space="preserve"> all’aggiudicazione sulla base di criteri economici e tecnico-ambientali.</w:t>
      </w:r>
    </w:p>
    <w:p w14:paraId="317C4337" w14:textId="77777777" w:rsidR="00F23B52" w:rsidRDefault="00F23B52" w:rsidP="00723EBC">
      <w:pPr>
        <w:spacing w:after="0" w:line="240" w:lineRule="auto"/>
        <w:ind w:firstLine="708"/>
        <w:jc w:val="both"/>
        <w:rPr>
          <w:rFonts w:ascii="Garamond" w:hAnsi="Garamond" w:cs="Times New Roman"/>
          <w:sz w:val="28"/>
          <w:szCs w:val="28"/>
        </w:rPr>
      </w:pPr>
    </w:p>
    <w:p w14:paraId="70E4E8AB" w14:textId="6E1C89C3" w:rsidR="00723EBC" w:rsidRPr="00D36635" w:rsidRDefault="00723EBC" w:rsidP="00723EBC">
      <w:pPr>
        <w:spacing w:after="0" w:line="240" w:lineRule="auto"/>
        <w:ind w:firstLine="708"/>
        <w:jc w:val="both"/>
        <w:rPr>
          <w:rFonts w:ascii="Garamond" w:hAnsi="Garamond" w:cs="Times New Roman"/>
          <w:b/>
          <w:sz w:val="28"/>
          <w:szCs w:val="28"/>
        </w:rPr>
      </w:pPr>
      <w:r w:rsidRPr="00D36635">
        <w:rPr>
          <w:rFonts w:ascii="Garamond" w:hAnsi="Garamond" w:cs="Times New Roman"/>
          <w:b/>
          <w:sz w:val="28"/>
          <w:szCs w:val="28"/>
        </w:rPr>
        <w:t>7.1.3. Francia</w:t>
      </w:r>
    </w:p>
    <w:p w14:paraId="0790CD25" w14:textId="5356C8D7" w:rsidR="00F23B52" w:rsidRPr="00F23B52" w:rsidRDefault="00F23B52" w:rsidP="002A2E13">
      <w:pPr>
        <w:spacing w:after="0" w:line="240" w:lineRule="auto"/>
        <w:ind w:firstLine="708"/>
        <w:jc w:val="both"/>
        <w:rPr>
          <w:rFonts w:ascii="Garamond" w:hAnsi="Garamond" w:cs="Times New Roman"/>
          <w:sz w:val="28"/>
          <w:szCs w:val="28"/>
        </w:rPr>
      </w:pPr>
      <w:r w:rsidRPr="00F23B52">
        <w:rPr>
          <w:rFonts w:ascii="Garamond" w:hAnsi="Garamond" w:cs="Times New Roman"/>
          <w:sz w:val="28"/>
          <w:szCs w:val="28"/>
        </w:rPr>
        <w:t xml:space="preserve">Il demanio marittimo è disciplinato dal </w:t>
      </w:r>
      <w:r w:rsidRPr="00F23B52">
        <w:rPr>
          <w:rFonts w:ascii="Garamond" w:hAnsi="Garamond" w:cs="Times New Roman"/>
          <w:i/>
          <w:iCs/>
          <w:sz w:val="28"/>
          <w:szCs w:val="28"/>
        </w:rPr>
        <w:t xml:space="preserve">Code </w:t>
      </w:r>
      <w:proofErr w:type="spellStart"/>
      <w:r w:rsidRPr="00F23B52">
        <w:rPr>
          <w:rFonts w:ascii="Garamond" w:hAnsi="Garamond" w:cs="Times New Roman"/>
          <w:i/>
          <w:iCs/>
          <w:sz w:val="28"/>
          <w:szCs w:val="28"/>
        </w:rPr>
        <w:t>général</w:t>
      </w:r>
      <w:proofErr w:type="spellEnd"/>
      <w:r w:rsidRPr="00F23B52">
        <w:rPr>
          <w:rFonts w:ascii="Garamond" w:hAnsi="Garamond" w:cs="Times New Roman"/>
          <w:i/>
          <w:iCs/>
          <w:sz w:val="28"/>
          <w:szCs w:val="28"/>
        </w:rPr>
        <w:t xml:space="preserve"> de la </w:t>
      </w:r>
      <w:proofErr w:type="spellStart"/>
      <w:r w:rsidRPr="00F23B52">
        <w:rPr>
          <w:rFonts w:ascii="Garamond" w:hAnsi="Garamond" w:cs="Times New Roman"/>
          <w:i/>
          <w:iCs/>
          <w:sz w:val="28"/>
          <w:szCs w:val="28"/>
        </w:rPr>
        <w:t>propriété</w:t>
      </w:r>
      <w:proofErr w:type="spellEnd"/>
      <w:r w:rsidRPr="00F23B52">
        <w:rPr>
          <w:rFonts w:ascii="Garamond" w:hAnsi="Garamond" w:cs="Times New Roman"/>
          <w:i/>
          <w:iCs/>
          <w:sz w:val="28"/>
          <w:szCs w:val="28"/>
        </w:rPr>
        <w:t xml:space="preserve"> </w:t>
      </w:r>
      <w:proofErr w:type="spellStart"/>
      <w:r w:rsidRPr="00F23B52">
        <w:rPr>
          <w:rFonts w:ascii="Garamond" w:hAnsi="Garamond" w:cs="Times New Roman"/>
          <w:i/>
          <w:iCs/>
          <w:sz w:val="28"/>
          <w:szCs w:val="28"/>
        </w:rPr>
        <w:t>des</w:t>
      </w:r>
      <w:proofErr w:type="spellEnd"/>
      <w:r w:rsidRPr="00F23B52">
        <w:rPr>
          <w:rFonts w:ascii="Garamond" w:hAnsi="Garamond" w:cs="Times New Roman"/>
          <w:i/>
          <w:iCs/>
          <w:sz w:val="28"/>
          <w:szCs w:val="28"/>
        </w:rPr>
        <w:t xml:space="preserve"> </w:t>
      </w:r>
      <w:proofErr w:type="spellStart"/>
      <w:r w:rsidRPr="00F23B52">
        <w:rPr>
          <w:rFonts w:ascii="Garamond" w:hAnsi="Garamond" w:cs="Times New Roman"/>
          <w:i/>
          <w:iCs/>
          <w:sz w:val="28"/>
          <w:szCs w:val="28"/>
        </w:rPr>
        <w:t>personnes</w:t>
      </w:r>
      <w:proofErr w:type="spellEnd"/>
      <w:r w:rsidRPr="00F23B52">
        <w:rPr>
          <w:rFonts w:ascii="Garamond" w:hAnsi="Garamond" w:cs="Times New Roman"/>
          <w:i/>
          <w:iCs/>
          <w:sz w:val="28"/>
          <w:szCs w:val="28"/>
        </w:rPr>
        <w:t xml:space="preserve"> </w:t>
      </w:r>
      <w:proofErr w:type="spellStart"/>
      <w:r w:rsidRPr="00F23B52">
        <w:rPr>
          <w:rFonts w:ascii="Garamond" w:hAnsi="Garamond" w:cs="Times New Roman"/>
          <w:i/>
          <w:iCs/>
          <w:sz w:val="28"/>
          <w:szCs w:val="28"/>
        </w:rPr>
        <w:t>publiques</w:t>
      </w:r>
      <w:proofErr w:type="spellEnd"/>
      <w:r w:rsidRPr="00F23B52">
        <w:rPr>
          <w:rFonts w:ascii="Garamond" w:hAnsi="Garamond" w:cs="Times New Roman"/>
          <w:sz w:val="28"/>
          <w:szCs w:val="28"/>
        </w:rPr>
        <w:t xml:space="preserve"> (CGPPP)</w:t>
      </w:r>
      <w:r>
        <w:rPr>
          <w:rStyle w:val="Rimandonotaapidipagina"/>
          <w:rFonts w:ascii="Garamond" w:hAnsi="Garamond" w:cs="Times New Roman"/>
          <w:sz w:val="28"/>
          <w:szCs w:val="28"/>
        </w:rPr>
        <w:footnoteReference w:id="72"/>
      </w:r>
      <w:r>
        <w:rPr>
          <w:rFonts w:ascii="Garamond" w:hAnsi="Garamond" w:cs="Times New Roman"/>
          <w:sz w:val="28"/>
          <w:szCs w:val="28"/>
        </w:rPr>
        <w:t xml:space="preserve"> </w:t>
      </w:r>
      <w:r w:rsidRPr="00F23B52">
        <w:rPr>
          <w:rFonts w:ascii="Garamond" w:hAnsi="Garamond" w:cs="Times New Roman"/>
          <w:sz w:val="28"/>
          <w:szCs w:val="28"/>
        </w:rPr>
        <w:t xml:space="preserve">, emanato con </w:t>
      </w:r>
      <w:r w:rsidRPr="00175FFF">
        <w:rPr>
          <w:rFonts w:ascii="Garamond" w:hAnsi="Garamond" w:cs="Times New Roman"/>
          <w:sz w:val="28"/>
          <w:szCs w:val="28"/>
        </w:rPr>
        <w:t>l’</w:t>
      </w:r>
      <w:proofErr w:type="spellStart"/>
      <w:r w:rsidRPr="00175FFF">
        <w:rPr>
          <w:rFonts w:ascii="Garamond" w:hAnsi="Garamond" w:cs="Times New Roman"/>
          <w:bCs/>
          <w:sz w:val="28"/>
          <w:szCs w:val="28"/>
        </w:rPr>
        <w:t>Ordonnance</w:t>
      </w:r>
      <w:proofErr w:type="spellEnd"/>
      <w:r w:rsidRPr="00175FFF">
        <w:rPr>
          <w:rFonts w:ascii="Garamond" w:hAnsi="Garamond" w:cs="Times New Roman"/>
          <w:bCs/>
          <w:sz w:val="28"/>
          <w:szCs w:val="28"/>
        </w:rPr>
        <w:t xml:space="preserve"> n. 2006-460 del 21 aprile 2006</w:t>
      </w:r>
      <w:r w:rsidRPr="00175FFF">
        <w:rPr>
          <w:rStyle w:val="Rimandonotaapidipagina"/>
          <w:rFonts w:ascii="Garamond" w:hAnsi="Garamond" w:cs="Times New Roman"/>
          <w:bCs/>
          <w:sz w:val="28"/>
          <w:szCs w:val="28"/>
        </w:rPr>
        <w:footnoteReference w:id="73"/>
      </w:r>
      <w:r w:rsidRPr="00175FFF">
        <w:rPr>
          <w:rFonts w:ascii="Garamond" w:hAnsi="Garamond" w:cs="Times New Roman"/>
          <w:sz w:val="28"/>
          <w:szCs w:val="28"/>
        </w:rPr>
        <w:t xml:space="preserve">, poi integrato da vari decreti, tra cui il </w:t>
      </w:r>
      <w:proofErr w:type="spellStart"/>
      <w:r w:rsidRPr="00175FFF">
        <w:rPr>
          <w:rFonts w:ascii="Garamond" w:hAnsi="Garamond" w:cs="Times New Roman"/>
          <w:bCs/>
          <w:sz w:val="28"/>
          <w:szCs w:val="28"/>
        </w:rPr>
        <w:t>Décret</w:t>
      </w:r>
      <w:proofErr w:type="spellEnd"/>
      <w:r w:rsidRPr="00175FFF">
        <w:rPr>
          <w:rFonts w:ascii="Garamond" w:hAnsi="Garamond" w:cs="Times New Roman"/>
          <w:bCs/>
          <w:sz w:val="28"/>
          <w:szCs w:val="28"/>
        </w:rPr>
        <w:t xml:space="preserve"> n. 2011-1612 del 22 novembre 2011</w:t>
      </w:r>
      <w:r w:rsidRPr="00175FFF">
        <w:rPr>
          <w:rStyle w:val="Rimandonotaapidipagina"/>
          <w:rFonts w:ascii="Garamond" w:hAnsi="Garamond" w:cs="Times New Roman"/>
          <w:bCs/>
          <w:sz w:val="28"/>
          <w:szCs w:val="28"/>
        </w:rPr>
        <w:footnoteReference w:id="74"/>
      </w:r>
      <w:r w:rsidRPr="00175FFF">
        <w:rPr>
          <w:rFonts w:ascii="Garamond" w:hAnsi="Garamond" w:cs="Times New Roman"/>
          <w:sz w:val="28"/>
          <w:szCs w:val="28"/>
        </w:rPr>
        <w:t>.</w:t>
      </w:r>
      <w:r w:rsidRPr="00F23B52">
        <w:rPr>
          <w:rFonts w:ascii="Garamond" w:hAnsi="Garamond" w:cs="Times New Roman"/>
          <w:sz w:val="28"/>
          <w:szCs w:val="28"/>
        </w:rPr>
        <w:t xml:space="preserve"> Le spiagge sono tutelate per garantire la libera fruizione ai cittadini, </w:t>
      </w:r>
      <w:r w:rsidRPr="002A2E13">
        <w:rPr>
          <w:rFonts w:ascii="Garamond" w:hAnsi="Garamond" w:cs="Times New Roman"/>
          <w:sz w:val="28"/>
          <w:szCs w:val="28"/>
          <w:u w:val="single"/>
        </w:rPr>
        <w:t>lasciando almeno l’80% dell’arenile libero da installazioni</w:t>
      </w:r>
      <w:r w:rsidRPr="00F23B52">
        <w:rPr>
          <w:rFonts w:ascii="Garamond" w:hAnsi="Garamond" w:cs="Times New Roman"/>
          <w:sz w:val="28"/>
          <w:szCs w:val="28"/>
        </w:rPr>
        <w:t xml:space="preserve">. Le concessioni, rilasciate dal </w:t>
      </w:r>
      <w:r w:rsidRPr="00175FFF">
        <w:rPr>
          <w:rFonts w:ascii="Garamond" w:hAnsi="Garamond" w:cs="Times New Roman"/>
          <w:b/>
          <w:sz w:val="28"/>
          <w:szCs w:val="28"/>
        </w:rPr>
        <w:t>prefetto</w:t>
      </w:r>
      <w:r w:rsidRPr="00F23B52">
        <w:rPr>
          <w:rFonts w:ascii="Garamond" w:hAnsi="Garamond" w:cs="Times New Roman"/>
          <w:sz w:val="28"/>
          <w:szCs w:val="28"/>
        </w:rPr>
        <w:t xml:space="preserve"> dopo un’inchiesta pubblica, durano al massimo 12 anni. I </w:t>
      </w:r>
      <w:r w:rsidR="00175FFF">
        <w:rPr>
          <w:rFonts w:ascii="Garamond" w:hAnsi="Garamond" w:cs="Times New Roman"/>
          <w:sz w:val="28"/>
          <w:szCs w:val="28"/>
        </w:rPr>
        <w:t>C</w:t>
      </w:r>
      <w:r w:rsidRPr="00F23B52">
        <w:rPr>
          <w:rFonts w:ascii="Garamond" w:hAnsi="Garamond" w:cs="Times New Roman"/>
          <w:sz w:val="28"/>
          <w:szCs w:val="28"/>
        </w:rPr>
        <w:t xml:space="preserve">omuni (o le loro associazioni) hanno un diritto di prelazione; se non lo esercitano, l’assegnazione avviene mediante procedura comparativa (ispirata alla </w:t>
      </w:r>
      <w:r w:rsidRPr="00F23B52">
        <w:rPr>
          <w:rFonts w:ascii="Garamond" w:hAnsi="Garamond" w:cs="Times New Roman"/>
          <w:i/>
          <w:iCs/>
          <w:sz w:val="28"/>
          <w:szCs w:val="28"/>
        </w:rPr>
        <w:t xml:space="preserve">Loi </w:t>
      </w:r>
      <w:proofErr w:type="spellStart"/>
      <w:r w:rsidRPr="00F23B52">
        <w:rPr>
          <w:rFonts w:ascii="Garamond" w:hAnsi="Garamond" w:cs="Times New Roman"/>
          <w:i/>
          <w:iCs/>
          <w:sz w:val="28"/>
          <w:szCs w:val="28"/>
        </w:rPr>
        <w:t>Sapin</w:t>
      </w:r>
      <w:proofErr w:type="spellEnd"/>
      <w:r w:rsidRPr="00F23B52">
        <w:rPr>
          <w:rFonts w:ascii="Garamond" w:hAnsi="Garamond" w:cs="Times New Roman"/>
          <w:sz w:val="28"/>
          <w:szCs w:val="28"/>
        </w:rPr>
        <w:t>). Le strutture autorizzate devono essere amovibili, così da poter ripristinare lo stato originario dell’area</w:t>
      </w:r>
      <w:r w:rsidR="002A2E13">
        <w:rPr>
          <w:rFonts w:ascii="Garamond" w:hAnsi="Garamond" w:cs="Times New Roman"/>
          <w:sz w:val="28"/>
          <w:szCs w:val="28"/>
        </w:rPr>
        <w:t xml:space="preserve"> demaniale a fine concessione. </w:t>
      </w:r>
    </w:p>
    <w:p w14:paraId="591AC4E1" w14:textId="74E7054D" w:rsidR="00F23B52" w:rsidRPr="00F23B52" w:rsidRDefault="00F23B52" w:rsidP="00F23B52">
      <w:pPr>
        <w:spacing w:after="0" w:line="240" w:lineRule="auto"/>
        <w:ind w:firstLine="708"/>
        <w:jc w:val="both"/>
        <w:rPr>
          <w:rFonts w:ascii="Garamond" w:hAnsi="Garamond" w:cs="Times New Roman"/>
          <w:sz w:val="28"/>
          <w:szCs w:val="28"/>
        </w:rPr>
      </w:pPr>
      <w:r w:rsidRPr="00F23B52">
        <w:rPr>
          <w:rFonts w:ascii="Garamond" w:hAnsi="Garamond" w:cs="Times New Roman"/>
          <w:sz w:val="28"/>
          <w:szCs w:val="28"/>
        </w:rPr>
        <w:t xml:space="preserve">Il </w:t>
      </w:r>
      <w:r w:rsidRPr="00175FFF">
        <w:rPr>
          <w:rFonts w:ascii="Garamond" w:hAnsi="Garamond" w:cs="Times New Roman"/>
          <w:b/>
          <w:bCs/>
          <w:sz w:val="28"/>
          <w:szCs w:val="28"/>
        </w:rPr>
        <w:t>prefetto</w:t>
      </w:r>
      <w:r w:rsidRPr="00F23B52">
        <w:rPr>
          <w:rFonts w:ascii="Garamond" w:hAnsi="Garamond" w:cs="Times New Roman"/>
          <w:sz w:val="28"/>
          <w:szCs w:val="28"/>
        </w:rPr>
        <w:t xml:space="preserve"> è il soggetto competente a rilasciare le concessioni. Quando si intende mettere a gara una porzione di demanio marittimo o rinnovare una concessione esistente, viene avviata un’</w:t>
      </w:r>
      <w:r w:rsidRPr="00F23B52">
        <w:rPr>
          <w:rFonts w:ascii="Garamond" w:hAnsi="Garamond" w:cs="Times New Roman"/>
          <w:b/>
          <w:bCs/>
          <w:sz w:val="28"/>
          <w:szCs w:val="28"/>
        </w:rPr>
        <w:t>inchiesta pubblica</w:t>
      </w:r>
      <w:r w:rsidR="002A2E13">
        <w:rPr>
          <w:rStyle w:val="Rimandonotaapidipagina"/>
          <w:rFonts w:ascii="Garamond" w:hAnsi="Garamond" w:cs="Times New Roman"/>
          <w:b/>
          <w:bCs/>
          <w:sz w:val="28"/>
          <w:szCs w:val="28"/>
        </w:rPr>
        <w:footnoteReference w:id="75"/>
      </w:r>
      <w:r w:rsidRPr="00F23B52">
        <w:rPr>
          <w:rFonts w:ascii="Garamond" w:hAnsi="Garamond" w:cs="Times New Roman"/>
          <w:sz w:val="28"/>
          <w:szCs w:val="28"/>
        </w:rPr>
        <w:t xml:space="preserve"> per raccogliere osservazioni e valutare l’impatto dell’occupazione. </w:t>
      </w:r>
    </w:p>
    <w:p w14:paraId="72FFCDAB" w14:textId="433D6946" w:rsidR="00F23B52" w:rsidRPr="00F23B52" w:rsidRDefault="00F23B52" w:rsidP="00F23B52">
      <w:pPr>
        <w:spacing w:after="0" w:line="240" w:lineRule="auto"/>
        <w:ind w:firstLine="708"/>
        <w:jc w:val="both"/>
        <w:rPr>
          <w:rFonts w:ascii="Garamond" w:hAnsi="Garamond" w:cs="Times New Roman"/>
          <w:sz w:val="28"/>
          <w:szCs w:val="28"/>
        </w:rPr>
      </w:pPr>
      <w:r w:rsidRPr="00F23B52">
        <w:rPr>
          <w:rFonts w:ascii="Garamond" w:hAnsi="Garamond" w:cs="Times New Roman"/>
          <w:b/>
          <w:bCs/>
          <w:sz w:val="28"/>
          <w:szCs w:val="28"/>
        </w:rPr>
        <w:t>Prioritariamente</w:t>
      </w:r>
      <w:r w:rsidRPr="00F23B52">
        <w:rPr>
          <w:rFonts w:ascii="Garamond" w:hAnsi="Garamond" w:cs="Times New Roman"/>
          <w:sz w:val="28"/>
          <w:szCs w:val="28"/>
        </w:rPr>
        <w:t xml:space="preserve">, la concessione è offerta a </w:t>
      </w:r>
      <w:r w:rsidR="00175FFF">
        <w:rPr>
          <w:rFonts w:ascii="Garamond" w:hAnsi="Garamond" w:cs="Times New Roman"/>
          <w:b/>
          <w:sz w:val="28"/>
          <w:szCs w:val="28"/>
        </w:rPr>
        <w:t>C</w:t>
      </w:r>
      <w:r w:rsidRPr="002A2E13">
        <w:rPr>
          <w:rFonts w:ascii="Garamond" w:hAnsi="Garamond" w:cs="Times New Roman"/>
          <w:b/>
          <w:sz w:val="28"/>
          <w:szCs w:val="28"/>
        </w:rPr>
        <w:t>omuni</w:t>
      </w:r>
      <w:r w:rsidRPr="00F23B52">
        <w:rPr>
          <w:rFonts w:ascii="Garamond" w:hAnsi="Garamond" w:cs="Times New Roman"/>
          <w:sz w:val="28"/>
          <w:szCs w:val="28"/>
        </w:rPr>
        <w:t xml:space="preserve"> (o loro associazioni), i quali possono esercitare un diritto di prelazione. Se rinunciano, si procede a una procedura </w:t>
      </w:r>
      <w:r w:rsidRPr="00F23B52">
        <w:rPr>
          <w:rFonts w:ascii="Garamond" w:hAnsi="Garamond" w:cs="Times New Roman"/>
          <w:b/>
          <w:bCs/>
          <w:sz w:val="28"/>
          <w:szCs w:val="28"/>
        </w:rPr>
        <w:t>comparativa</w:t>
      </w:r>
      <w:r w:rsidRPr="00F23B52">
        <w:rPr>
          <w:rFonts w:ascii="Garamond" w:hAnsi="Garamond" w:cs="Times New Roman"/>
          <w:sz w:val="28"/>
          <w:szCs w:val="28"/>
        </w:rPr>
        <w:t xml:space="preserve"> (in applicazione della </w:t>
      </w:r>
      <w:r w:rsidR="002A2E13">
        <w:rPr>
          <w:rFonts w:ascii="Garamond" w:hAnsi="Garamond" w:cs="Times New Roman"/>
          <w:i/>
          <w:iCs/>
          <w:sz w:val="28"/>
          <w:szCs w:val="28"/>
        </w:rPr>
        <w:t xml:space="preserve">Loi </w:t>
      </w:r>
      <w:proofErr w:type="spellStart"/>
      <w:r w:rsidR="002A2E13">
        <w:rPr>
          <w:rFonts w:ascii="Garamond" w:hAnsi="Garamond" w:cs="Times New Roman"/>
          <w:i/>
          <w:iCs/>
          <w:sz w:val="28"/>
          <w:szCs w:val="28"/>
        </w:rPr>
        <w:t>Sapin</w:t>
      </w:r>
      <w:proofErr w:type="spellEnd"/>
      <w:r w:rsidR="002A2E13" w:rsidRPr="002A2E13">
        <w:rPr>
          <w:rStyle w:val="Rimandonotaapidipagina"/>
          <w:rFonts w:ascii="Garamond" w:hAnsi="Garamond" w:cs="Times New Roman"/>
          <w:iCs/>
          <w:sz w:val="28"/>
          <w:szCs w:val="28"/>
        </w:rPr>
        <w:footnoteReference w:id="76"/>
      </w:r>
      <w:r w:rsidRPr="00F23B52">
        <w:rPr>
          <w:rFonts w:ascii="Garamond" w:hAnsi="Garamond" w:cs="Times New Roman"/>
          <w:sz w:val="28"/>
          <w:szCs w:val="28"/>
        </w:rPr>
        <w:t xml:space="preserve">), sostanzialmente una gara pubblica in cui vengono valutate diverse offerte. Anche se il </w:t>
      </w:r>
      <w:r w:rsidR="00175FFF">
        <w:rPr>
          <w:rFonts w:ascii="Garamond" w:hAnsi="Garamond" w:cs="Times New Roman"/>
          <w:sz w:val="28"/>
          <w:szCs w:val="28"/>
        </w:rPr>
        <w:t>C</w:t>
      </w:r>
      <w:r w:rsidRPr="00F23B52">
        <w:rPr>
          <w:rFonts w:ascii="Garamond" w:hAnsi="Garamond" w:cs="Times New Roman"/>
          <w:sz w:val="28"/>
          <w:szCs w:val="28"/>
        </w:rPr>
        <w:t xml:space="preserve">omune ottiene la concessione, qualora a sua volta decida di </w:t>
      </w:r>
      <w:proofErr w:type="spellStart"/>
      <w:r w:rsidRPr="00F23B52">
        <w:rPr>
          <w:rFonts w:ascii="Garamond" w:hAnsi="Garamond" w:cs="Times New Roman"/>
          <w:sz w:val="28"/>
          <w:szCs w:val="28"/>
        </w:rPr>
        <w:t>subconcedere</w:t>
      </w:r>
      <w:proofErr w:type="spellEnd"/>
      <w:r w:rsidRPr="00F23B52">
        <w:rPr>
          <w:rFonts w:ascii="Garamond" w:hAnsi="Garamond" w:cs="Times New Roman"/>
          <w:sz w:val="28"/>
          <w:szCs w:val="28"/>
        </w:rPr>
        <w:t xml:space="preserve"> parti di spiaggia, deve seguire le procedure previste per le </w:t>
      </w:r>
      <w:proofErr w:type="spellStart"/>
      <w:r w:rsidRPr="00F23B52">
        <w:rPr>
          <w:rFonts w:ascii="Garamond" w:hAnsi="Garamond" w:cs="Times New Roman"/>
          <w:i/>
          <w:sz w:val="28"/>
          <w:szCs w:val="28"/>
        </w:rPr>
        <w:t>delegations</w:t>
      </w:r>
      <w:proofErr w:type="spellEnd"/>
      <w:r w:rsidRPr="00F23B52">
        <w:rPr>
          <w:rFonts w:ascii="Garamond" w:hAnsi="Garamond" w:cs="Times New Roman"/>
          <w:i/>
          <w:sz w:val="28"/>
          <w:szCs w:val="28"/>
        </w:rPr>
        <w:t xml:space="preserve"> de service public</w:t>
      </w:r>
      <w:r w:rsidRPr="00F23B52">
        <w:rPr>
          <w:rFonts w:ascii="Garamond" w:hAnsi="Garamond" w:cs="Times New Roman"/>
          <w:sz w:val="28"/>
          <w:szCs w:val="28"/>
        </w:rPr>
        <w:t>, con valutazione concorrenziale delle candidature. </w:t>
      </w:r>
    </w:p>
    <w:p w14:paraId="57DDF56D" w14:textId="77777777" w:rsidR="00F23B52" w:rsidRDefault="00F23B52" w:rsidP="00723EBC">
      <w:pPr>
        <w:spacing w:after="0" w:line="240" w:lineRule="auto"/>
        <w:ind w:firstLine="708"/>
        <w:jc w:val="both"/>
        <w:rPr>
          <w:rFonts w:ascii="Garamond" w:hAnsi="Garamond" w:cs="Times New Roman"/>
          <w:sz w:val="28"/>
          <w:szCs w:val="28"/>
        </w:rPr>
      </w:pPr>
    </w:p>
    <w:p w14:paraId="18BED1C6" w14:textId="6694560B" w:rsidR="00723EBC" w:rsidRPr="00175FFF" w:rsidRDefault="00723EBC" w:rsidP="00723EBC">
      <w:pPr>
        <w:spacing w:after="0" w:line="240" w:lineRule="auto"/>
        <w:ind w:firstLine="708"/>
        <w:jc w:val="both"/>
        <w:rPr>
          <w:rFonts w:ascii="Garamond" w:hAnsi="Garamond" w:cs="Times New Roman"/>
          <w:b/>
          <w:sz w:val="28"/>
          <w:szCs w:val="28"/>
        </w:rPr>
      </w:pPr>
      <w:r w:rsidRPr="00175FFF">
        <w:rPr>
          <w:rFonts w:ascii="Garamond" w:hAnsi="Garamond" w:cs="Times New Roman"/>
          <w:b/>
          <w:sz w:val="28"/>
          <w:szCs w:val="28"/>
        </w:rPr>
        <w:t>7.1.4. Grecia</w:t>
      </w:r>
    </w:p>
    <w:p w14:paraId="56A6659A" w14:textId="5E62F7BD" w:rsidR="002A2E13" w:rsidRPr="002A2E13" w:rsidRDefault="002A2E13" w:rsidP="002A2E13">
      <w:pPr>
        <w:spacing w:after="0" w:line="240" w:lineRule="auto"/>
        <w:ind w:firstLine="708"/>
        <w:jc w:val="both"/>
        <w:rPr>
          <w:rFonts w:ascii="Garamond" w:hAnsi="Garamond" w:cs="Times New Roman"/>
          <w:sz w:val="28"/>
          <w:szCs w:val="28"/>
        </w:rPr>
      </w:pPr>
      <w:r w:rsidRPr="002A2E13">
        <w:rPr>
          <w:rFonts w:ascii="Garamond" w:hAnsi="Garamond" w:cs="Times New Roman"/>
          <w:sz w:val="28"/>
          <w:szCs w:val="28"/>
        </w:rPr>
        <w:t xml:space="preserve">La </w:t>
      </w:r>
      <w:r w:rsidRPr="002A2E13">
        <w:rPr>
          <w:rFonts w:ascii="Garamond" w:hAnsi="Garamond" w:cs="Times New Roman"/>
          <w:b/>
          <w:bCs/>
          <w:sz w:val="28"/>
          <w:szCs w:val="28"/>
        </w:rPr>
        <w:t>Legge n. 2971/2001</w:t>
      </w:r>
      <w:r w:rsidRPr="002A2E13">
        <w:rPr>
          <w:rStyle w:val="Rimandonotaapidipagina"/>
          <w:rFonts w:ascii="Garamond" w:hAnsi="Garamond" w:cs="Times New Roman"/>
          <w:bCs/>
          <w:sz w:val="28"/>
          <w:szCs w:val="28"/>
        </w:rPr>
        <w:footnoteReference w:id="77"/>
      </w:r>
      <w:r w:rsidRPr="002A2E13">
        <w:rPr>
          <w:rFonts w:ascii="Garamond" w:hAnsi="Garamond" w:cs="Times New Roman"/>
          <w:sz w:val="28"/>
          <w:szCs w:val="28"/>
        </w:rPr>
        <w:t xml:space="preserve">, in linea con i principi della </w:t>
      </w:r>
      <w:r w:rsidR="00175FFF">
        <w:rPr>
          <w:rFonts w:ascii="Garamond" w:hAnsi="Garamond" w:cs="Times New Roman"/>
          <w:sz w:val="28"/>
          <w:szCs w:val="28"/>
        </w:rPr>
        <w:t>d</w:t>
      </w:r>
      <w:r w:rsidRPr="002A2E13">
        <w:rPr>
          <w:rFonts w:ascii="Garamond" w:hAnsi="Garamond" w:cs="Times New Roman"/>
          <w:sz w:val="28"/>
          <w:szCs w:val="28"/>
        </w:rPr>
        <w:t>irett</w:t>
      </w:r>
      <w:r>
        <w:rPr>
          <w:rFonts w:ascii="Garamond" w:hAnsi="Garamond" w:cs="Times New Roman"/>
          <w:sz w:val="28"/>
          <w:szCs w:val="28"/>
        </w:rPr>
        <w:t>iva 2006/123/CE (Bolkestein)</w:t>
      </w:r>
      <w:r w:rsidRPr="002A2E13">
        <w:rPr>
          <w:rFonts w:ascii="Garamond" w:hAnsi="Garamond" w:cs="Times New Roman"/>
          <w:sz w:val="28"/>
          <w:szCs w:val="28"/>
        </w:rPr>
        <w:t xml:space="preserve">, stabilisce che le attività turistiche sulle spiagge greche </w:t>
      </w:r>
      <w:r w:rsidR="00175FFF">
        <w:rPr>
          <w:rFonts w:ascii="Garamond" w:hAnsi="Garamond" w:cs="Times New Roman"/>
          <w:sz w:val="28"/>
          <w:szCs w:val="28"/>
        </w:rPr>
        <w:t>sono</w:t>
      </w:r>
      <w:r w:rsidRPr="002A2E13">
        <w:rPr>
          <w:rFonts w:ascii="Garamond" w:hAnsi="Garamond" w:cs="Times New Roman"/>
          <w:sz w:val="28"/>
          <w:szCs w:val="28"/>
        </w:rPr>
        <w:t xml:space="preserve"> affidate tramite gara pubblica, garantendo imparzialità e trasparenza. L’unica eccezione interessa gli hotel prospicienti il mare, che possono ottenere un’autorizzazione annuale. Con la Legge 3544/2010</w:t>
      </w:r>
      <w:r>
        <w:rPr>
          <w:rStyle w:val="Rimandonotaapidipagina"/>
          <w:rFonts w:ascii="Garamond" w:hAnsi="Garamond" w:cs="Times New Roman"/>
          <w:sz w:val="28"/>
          <w:szCs w:val="28"/>
        </w:rPr>
        <w:footnoteReference w:id="78"/>
      </w:r>
      <w:r w:rsidRPr="002A2E13">
        <w:rPr>
          <w:rFonts w:ascii="Garamond" w:hAnsi="Garamond" w:cs="Times New Roman"/>
          <w:sz w:val="28"/>
          <w:szCs w:val="28"/>
        </w:rPr>
        <w:t xml:space="preserve"> sono state introdotte semplificazioni e chiarimenti su questo regime. Le costruzioni permanenti sono vietate entro 100 metri dal litorale, a meno di delimitazioni già formalizzate. La legislazione ammette la concessione in leasing di aree costiere per scopi economici o di pubblica utilità, ma vieta espressamente alterazioni morfologiche rilevanti e riconosce all’amministrazione il diritto di recedere unilateralmente se necessario. </w:t>
      </w:r>
    </w:p>
    <w:p w14:paraId="4894A321" w14:textId="77777777" w:rsidR="002A2E13" w:rsidRPr="002A2E13" w:rsidRDefault="002A2E13" w:rsidP="002A2E13">
      <w:pPr>
        <w:spacing w:after="0" w:line="240" w:lineRule="auto"/>
        <w:ind w:firstLine="708"/>
        <w:jc w:val="both"/>
        <w:rPr>
          <w:rFonts w:ascii="Garamond" w:hAnsi="Garamond" w:cs="Times New Roman"/>
          <w:sz w:val="28"/>
          <w:szCs w:val="28"/>
        </w:rPr>
      </w:pPr>
      <w:r w:rsidRPr="002A2E13">
        <w:rPr>
          <w:rFonts w:ascii="Garamond" w:hAnsi="Garamond" w:cs="Times New Roman"/>
          <w:sz w:val="28"/>
          <w:szCs w:val="28"/>
        </w:rPr>
        <w:lastRenderedPageBreak/>
        <w:t xml:space="preserve">In ordine alla scelta del contraente la norma dispone una </w:t>
      </w:r>
      <w:r w:rsidRPr="002A2E13">
        <w:rPr>
          <w:rFonts w:ascii="Garamond" w:hAnsi="Garamond" w:cs="Times New Roman"/>
          <w:b/>
          <w:bCs/>
          <w:sz w:val="28"/>
          <w:szCs w:val="28"/>
        </w:rPr>
        <w:t>procedura concorsuale</w:t>
      </w:r>
      <w:r w:rsidRPr="002A2E13">
        <w:rPr>
          <w:rFonts w:ascii="Garamond" w:hAnsi="Garamond" w:cs="Times New Roman"/>
          <w:sz w:val="28"/>
          <w:szCs w:val="28"/>
        </w:rPr>
        <w:t xml:space="preserve"> (asta pubblica) in cui vengono valutati requisiti di capacità tecnica, economica e organizzativa. L’obiettivo è assicurare parità di trattamento, trasparenza e il corretto uso del bene demaniale, coerentemente con la disciplina europea sulla libera prestazione di servizi. </w:t>
      </w:r>
    </w:p>
    <w:p w14:paraId="63B5C2EE" w14:textId="1D8E9407" w:rsidR="002A2E13" w:rsidRDefault="002A2E13" w:rsidP="002A2E13">
      <w:pPr>
        <w:spacing w:after="0" w:line="240" w:lineRule="auto"/>
        <w:ind w:firstLine="708"/>
        <w:jc w:val="both"/>
        <w:rPr>
          <w:rFonts w:ascii="Garamond" w:hAnsi="Garamond" w:cs="Times New Roman"/>
          <w:sz w:val="28"/>
          <w:szCs w:val="28"/>
        </w:rPr>
      </w:pPr>
      <w:r w:rsidRPr="002A2E13">
        <w:rPr>
          <w:rFonts w:ascii="Garamond" w:hAnsi="Garamond" w:cs="Times New Roman"/>
          <w:sz w:val="28"/>
          <w:szCs w:val="28"/>
        </w:rPr>
        <w:t> </w:t>
      </w:r>
    </w:p>
    <w:p w14:paraId="6B8250E6" w14:textId="3C13805A" w:rsidR="00723EBC" w:rsidRPr="00175FFF" w:rsidRDefault="00723EBC" w:rsidP="00723EBC">
      <w:pPr>
        <w:spacing w:after="0" w:line="240" w:lineRule="auto"/>
        <w:ind w:firstLine="708"/>
        <w:jc w:val="both"/>
        <w:rPr>
          <w:rFonts w:ascii="Garamond" w:hAnsi="Garamond" w:cs="Times New Roman"/>
          <w:b/>
          <w:sz w:val="28"/>
          <w:szCs w:val="28"/>
        </w:rPr>
      </w:pPr>
      <w:r w:rsidRPr="00175FFF">
        <w:rPr>
          <w:rFonts w:ascii="Garamond" w:hAnsi="Garamond" w:cs="Times New Roman"/>
          <w:b/>
          <w:sz w:val="28"/>
          <w:szCs w:val="28"/>
        </w:rPr>
        <w:t>7.1.5. Portogallo</w:t>
      </w:r>
    </w:p>
    <w:p w14:paraId="4505150E" w14:textId="322FC084" w:rsidR="002A2E13" w:rsidRPr="002A2E13" w:rsidRDefault="002A2E13" w:rsidP="002A2E13">
      <w:pPr>
        <w:spacing w:after="0" w:line="240" w:lineRule="auto"/>
        <w:ind w:firstLine="708"/>
        <w:jc w:val="both"/>
        <w:rPr>
          <w:rFonts w:ascii="Garamond" w:hAnsi="Garamond" w:cs="Times New Roman"/>
          <w:sz w:val="28"/>
          <w:szCs w:val="28"/>
        </w:rPr>
      </w:pPr>
      <w:r w:rsidRPr="002A2E13">
        <w:rPr>
          <w:rFonts w:ascii="Garamond" w:hAnsi="Garamond" w:cs="Times New Roman"/>
          <w:sz w:val="28"/>
          <w:szCs w:val="28"/>
        </w:rPr>
        <w:t xml:space="preserve">In Portogallo, il </w:t>
      </w:r>
      <w:r w:rsidR="00175FFF">
        <w:rPr>
          <w:rFonts w:ascii="Garamond" w:hAnsi="Garamond" w:cs="Times New Roman"/>
          <w:bCs/>
          <w:sz w:val="28"/>
          <w:szCs w:val="28"/>
        </w:rPr>
        <w:t>d</w:t>
      </w:r>
      <w:r w:rsidRPr="00175FFF">
        <w:rPr>
          <w:rFonts w:ascii="Garamond" w:hAnsi="Garamond" w:cs="Times New Roman"/>
          <w:bCs/>
          <w:sz w:val="28"/>
          <w:szCs w:val="28"/>
        </w:rPr>
        <w:t>ecreto legge 226-A/2007</w:t>
      </w:r>
      <w:r>
        <w:rPr>
          <w:rFonts w:ascii="Garamond" w:hAnsi="Garamond" w:cs="Times New Roman"/>
          <w:sz w:val="28"/>
          <w:szCs w:val="28"/>
        </w:rPr>
        <w:t xml:space="preserve"> </w:t>
      </w:r>
      <w:r>
        <w:rPr>
          <w:rStyle w:val="Rimandonotaapidipagina"/>
          <w:rFonts w:ascii="Garamond" w:hAnsi="Garamond" w:cs="Times New Roman"/>
          <w:sz w:val="28"/>
          <w:szCs w:val="28"/>
        </w:rPr>
        <w:footnoteReference w:id="79"/>
      </w:r>
      <w:r w:rsidRPr="002A2E13">
        <w:rPr>
          <w:rFonts w:ascii="Garamond" w:hAnsi="Garamond" w:cs="Times New Roman"/>
          <w:sz w:val="28"/>
          <w:szCs w:val="28"/>
        </w:rPr>
        <w:t xml:space="preserve">, attuativo della Legge n. 58/2005 (Lei da </w:t>
      </w:r>
      <w:proofErr w:type="spellStart"/>
      <w:r w:rsidRPr="002A2E13">
        <w:rPr>
          <w:rFonts w:ascii="Garamond" w:hAnsi="Garamond" w:cs="Times New Roman"/>
          <w:sz w:val="28"/>
          <w:szCs w:val="28"/>
        </w:rPr>
        <w:t>Água</w:t>
      </w:r>
      <w:proofErr w:type="spellEnd"/>
      <w:r>
        <w:rPr>
          <w:rFonts w:ascii="Garamond" w:hAnsi="Garamond" w:cs="Times New Roman"/>
          <w:sz w:val="28"/>
          <w:szCs w:val="28"/>
        </w:rPr>
        <w:t>)</w:t>
      </w:r>
      <w:r>
        <w:rPr>
          <w:rStyle w:val="Rimandonotaapidipagina"/>
          <w:rFonts w:ascii="Garamond" w:hAnsi="Garamond" w:cs="Times New Roman"/>
          <w:sz w:val="28"/>
          <w:szCs w:val="28"/>
        </w:rPr>
        <w:footnoteReference w:id="80"/>
      </w:r>
      <w:r w:rsidRPr="002A2E13">
        <w:rPr>
          <w:rFonts w:ascii="Garamond" w:hAnsi="Garamond" w:cs="Times New Roman"/>
          <w:sz w:val="28"/>
          <w:szCs w:val="28"/>
        </w:rPr>
        <w:t xml:space="preserve"> – a sua volta recepimento della </w:t>
      </w:r>
      <w:r w:rsidR="00175FFF">
        <w:rPr>
          <w:rFonts w:ascii="Garamond" w:hAnsi="Garamond" w:cs="Times New Roman"/>
          <w:sz w:val="28"/>
          <w:szCs w:val="28"/>
        </w:rPr>
        <w:t>d</w:t>
      </w:r>
      <w:r w:rsidRPr="002A2E13">
        <w:rPr>
          <w:rFonts w:ascii="Garamond" w:hAnsi="Garamond" w:cs="Times New Roman"/>
          <w:sz w:val="28"/>
          <w:szCs w:val="28"/>
        </w:rPr>
        <w:t>irettiva 2000/60/CE</w:t>
      </w:r>
      <w:r>
        <w:rPr>
          <w:rStyle w:val="Rimandonotaapidipagina"/>
          <w:rFonts w:ascii="Garamond" w:hAnsi="Garamond" w:cs="Times New Roman"/>
          <w:sz w:val="28"/>
          <w:szCs w:val="28"/>
        </w:rPr>
        <w:footnoteReference w:id="81"/>
      </w:r>
      <w:r w:rsidRPr="002A2E13">
        <w:rPr>
          <w:rFonts w:ascii="Garamond" w:hAnsi="Garamond" w:cs="Times New Roman"/>
          <w:sz w:val="28"/>
          <w:szCs w:val="28"/>
        </w:rPr>
        <w:t xml:space="preserve">– stabilisce una procedura concorsuale per l’assegnazione delle concessioni balneari a fini turistici. Al contempo, riconosce un </w:t>
      </w:r>
      <w:r w:rsidRPr="002A2E13">
        <w:rPr>
          <w:rFonts w:ascii="Garamond" w:hAnsi="Garamond" w:cs="Times New Roman"/>
          <w:b/>
          <w:bCs/>
          <w:sz w:val="28"/>
          <w:szCs w:val="28"/>
        </w:rPr>
        <w:t>diritto di prelazione</w:t>
      </w:r>
      <w:r w:rsidRPr="002A2E13">
        <w:rPr>
          <w:rFonts w:ascii="Garamond" w:hAnsi="Garamond" w:cs="Times New Roman"/>
          <w:sz w:val="28"/>
          <w:szCs w:val="28"/>
        </w:rPr>
        <w:t xml:space="preserve"> al concessionario uscente, se questi manifesta l’intenzione di proseguire almeno un anno prima della scadenza del titolo. Se nel frattempo sono stati effettuati investimenti non ancora ammortizzati, il concessionario può ottenere una proroga sino a 75 anni o un eventuale rimborso, a discrezione dell’autorità competente. Questo regime presenta tuttora aspetti in parte difformi dai criteri di concorrenzialità previsti dalla </w:t>
      </w:r>
      <w:r w:rsidR="00175FFF">
        <w:rPr>
          <w:rFonts w:ascii="Garamond" w:hAnsi="Garamond" w:cs="Times New Roman"/>
          <w:sz w:val="28"/>
          <w:szCs w:val="28"/>
        </w:rPr>
        <w:t>d</w:t>
      </w:r>
      <w:r w:rsidRPr="002A2E13">
        <w:rPr>
          <w:rFonts w:ascii="Garamond" w:hAnsi="Garamond" w:cs="Times New Roman"/>
          <w:sz w:val="28"/>
          <w:szCs w:val="28"/>
        </w:rPr>
        <w:t>irettiva Bolkestein, poiché attribuisce favori e garanzie speciali ai titolari originari. </w:t>
      </w:r>
    </w:p>
    <w:p w14:paraId="6F05A395" w14:textId="207853B2" w:rsidR="002A2E13" w:rsidRPr="002A2E13" w:rsidRDefault="002A2E13" w:rsidP="002A2E13">
      <w:pPr>
        <w:spacing w:after="0" w:line="240" w:lineRule="auto"/>
        <w:ind w:firstLine="708"/>
        <w:jc w:val="both"/>
        <w:rPr>
          <w:rFonts w:ascii="Garamond" w:hAnsi="Garamond" w:cs="Times New Roman"/>
          <w:sz w:val="28"/>
          <w:szCs w:val="28"/>
        </w:rPr>
      </w:pPr>
      <w:r w:rsidRPr="002A2E13">
        <w:rPr>
          <w:rFonts w:ascii="Garamond" w:hAnsi="Garamond" w:cs="Times New Roman"/>
          <w:sz w:val="28"/>
          <w:szCs w:val="28"/>
        </w:rPr>
        <w:t xml:space="preserve">Il principio generale è la </w:t>
      </w:r>
      <w:r w:rsidRPr="002A2E13">
        <w:rPr>
          <w:rFonts w:ascii="Garamond" w:hAnsi="Garamond" w:cs="Times New Roman"/>
          <w:b/>
          <w:bCs/>
          <w:sz w:val="28"/>
          <w:szCs w:val="28"/>
        </w:rPr>
        <w:t>gara pubblica</w:t>
      </w:r>
      <w:r w:rsidRPr="002A2E13">
        <w:rPr>
          <w:rFonts w:ascii="Garamond" w:hAnsi="Garamond" w:cs="Times New Roman"/>
          <w:sz w:val="28"/>
          <w:szCs w:val="28"/>
        </w:rPr>
        <w:t xml:space="preserve"> per le concessioni demaniali. Tuttavia, una volta selezionata l’offerta vincitrice, il concessionario uscente può esercitare la prelazione nei 10 giorni successivi. Se sceglie di adeguarsi alle condizioni previste per il nuovo affidatario, l’amministrazione deve assegnargli la concessione</w:t>
      </w:r>
      <w:r w:rsidR="00175FFF">
        <w:rPr>
          <w:rFonts w:ascii="Garamond" w:hAnsi="Garamond" w:cs="Times New Roman"/>
          <w:sz w:val="28"/>
          <w:szCs w:val="28"/>
        </w:rPr>
        <w:t>.</w:t>
      </w:r>
    </w:p>
    <w:p w14:paraId="532FC334" w14:textId="77777777" w:rsidR="002A2E13" w:rsidRDefault="002A2E13" w:rsidP="00723EBC">
      <w:pPr>
        <w:spacing w:after="0" w:line="240" w:lineRule="auto"/>
        <w:ind w:firstLine="708"/>
        <w:jc w:val="both"/>
        <w:rPr>
          <w:rFonts w:ascii="Garamond" w:hAnsi="Garamond" w:cs="Times New Roman"/>
          <w:sz w:val="28"/>
          <w:szCs w:val="28"/>
        </w:rPr>
      </w:pPr>
    </w:p>
    <w:p w14:paraId="2505D1FF" w14:textId="771D0A65" w:rsidR="002A2E13" w:rsidRPr="00175FFF" w:rsidRDefault="00175FFF" w:rsidP="00175FFF">
      <w:pPr>
        <w:spacing w:after="0" w:line="240" w:lineRule="auto"/>
        <w:ind w:firstLine="708"/>
        <w:jc w:val="both"/>
        <w:rPr>
          <w:rFonts w:ascii="Garamond" w:hAnsi="Garamond" w:cs="Times New Roman"/>
          <w:b/>
          <w:sz w:val="28"/>
          <w:szCs w:val="28"/>
        </w:rPr>
      </w:pPr>
      <w:r w:rsidRPr="00175FFF">
        <w:rPr>
          <w:rFonts w:ascii="Garamond" w:hAnsi="Garamond" w:cs="Times New Roman"/>
          <w:b/>
          <w:sz w:val="28"/>
          <w:szCs w:val="28"/>
        </w:rPr>
        <w:t>7.1.6. Spagna</w:t>
      </w:r>
    </w:p>
    <w:p w14:paraId="7FFF88E3" w14:textId="5E622938" w:rsidR="002A2E13" w:rsidRPr="002A2E13" w:rsidRDefault="002A2E13" w:rsidP="002A2E13">
      <w:pPr>
        <w:spacing w:after="0" w:line="240" w:lineRule="auto"/>
        <w:ind w:firstLine="708"/>
        <w:jc w:val="both"/>
        <w:rPr>
          <w:rFonts w:ascii="Garamond" w:hAnsi="Garamond" w:cs="Times New Roman"/>
          <w:sz w:val="28"/>
          <w:szCs w:val="28"/>
        </w:rPr>
      </w:pPr>
      <w:r w:rsidRPr="002A2E13">
        <w:rPr>
          <w:rFonts w:ascii="Garamond" w:hAnsi="Garamond" w:cs="Times New Roman"/>
          <w:sz w:val="28"/>
          <w:szCs w:val="28"/>
        </w:rPr>
        <w:t>L’art. 132 della</w:t>
      </w:r>
      <w:r>
        <w:rPr>
          <w:rFonts w:ascii="Garamond" w:hAnsi="Garamond" w:cs="Times New Roman"/>
          <w:sz w:val="28"/>
          <w:szCs w:val="28"/>
        </w:rPr>
        <w:t xml:space="preserve"> Costituzione spagnola del 1978</w:t>
      </w:r>
      <w:r>
        <w:rPr>
          <w:rStyle w:val="Rimandonotaapidipagina"/>
          <w:rFonts w:ascii="Garamond" w:hAnsi="Garamond" w:cs="Times New Roman"/>
          <w:sz w:val="28"/>
          <w:szCs w:val="28"/>
        </w:rPr>
        <w:footnoteReference w:id="82"/>
      </w:r>
      <w:r>
        <w:rPr>
          <w:rFonts w:ascii="Garamond" w:hAnsi="Garamond" w:cs="Times New Roman"/>
          <w:sz w:val="28"/>
          <w:szCs w:val="28"/>
        </w:rPr>
        <w:t xml:space="preserve"> </w:t>
      </w:r>
      <w:r w:rsidRPr="002A2E13">
        <w:rPr>
          <w:rFonts w:ascii="Garamond" w:hAnsi="Garamond" w:cs="Times New Roman"/>
          <w:sz w:val="28"/>
          <w:szCs w:val="28"/>
        </w:rPr>
        <w:t xml:space="preserve">annovera tra i beni demaniali statali la zona marittimo-terrestre e le spiagge. La disciplina principale è la </w:t>
      </w:r>
      <w:r w:rsidRPr="00175FFF">
        <w:rPr>
          <w:rFonts w:ascii="Garamond" w:hAnsi="Garamond" w:cs="Times New Roman"/>
          <w:bCs/>
          <w:sz w:val="28"/>
          <w:szCs w:val="28"/>
        </w:rPr>
        <w:t xml:space="preserve">Ley 22/1988, de 28 de </w:t>
      </w:r>
      <w:proofErr w:type="spellStart"/>
      <w:r w:rsidRPr="00175FFF">
        <w:rPr>
          <w:rFonts w:ascii="Garamond" w:hAnsi="Garamond" w:cs="Times New Roman"/>
          <w:bCs/>
          <w:sz w:val="28"/>
          <w:szCs w:val="28"/>
        </w:rPr>
        <w:t>julio</w:t>
      </w:r>
      <w:proofErr w:type="spellEnd"/>
      <w:r w:rsidRPr="00175FFF">
        <w:rPr>
          <w:rFonts w:ascii="Garamond" w:hAnsi="Garamond" w:cs="Times New Roman"/>
          <w:bCs/>
          <w:sz w:val="28"/>
          <w:szCs w:val="28"/>
        </w:rPr>
        <w:t>, de Costas</w:t>
      </w:r>
      <w:r w:rsidRPr="00175FFF">
        <w:rPr>
          <w:rStyle w:val="Rimandonotaapidipagina"/>
          <w:rFonts w:ascii="Garamond" w:hAnsi="Garamond" w:cs="Times New Roman"/>
          <w:sz w:val="28"/>
          <w:szCs w:val="28"/>
        </w:rPr>
        <w:footnoteReference w:id="83"/>
      </w:r>
      <w:r w:rsidRPr="00175FFF">
        <w:rPr>
          <w:rFonts w:ascii="Garamond" w:hAnsi="Garamond" w:cs="Times New Roman"/>
          <w:sz w:val="28"/>
          <w:szCs w:val="28"/>
        </w:rPr>
        <w:t xml:space="preserve">, rivista dalla </w:t>
      </w:r>
      <w:r w:rsidRPr="00175FFF">
        <w:rPr>
          <w:rFonts w:ascii="Garamond" w:hAnsi="Garamond" w:cs="Times New Roman"/>
          <w:bCs/>
          <w:sz w:val="28"/>
          <w:szCs w:val="28"/>
        </w:rPr>
        <w:t xml:space="preserve">Ley 2/2013, de 29 de </w:t>
      </w:r>
      <w:proofErr w:type="spellStart"/>
      <w:r w:rsidRPr="00175FFF">
        <w:rPr>
          <w:rFonts w:ascii="Garamond" w:hAnsi="Garamond" w:cs="Times New Roman"/>
          <w:bCs/>
          <w:sz w:val="28"/>
          <w:szCs w:val="28"/>
        </w:rPr>
        <w:t>mayo</w:t>
      </w:r>
      <w:proofErr w:type="spellEnd"/>
      <w:r w:rsidRPr="00175FFF">
        <w:rPr>
          <w:rStyle w:val="Rimandonotaapidipagina"/>
          <w:rFonts w:ascii="Garamond" w:hAnsi="Garamond" w:cs="Times New Roman"/>
          <w:sz w:val="28"/>
          <w:szCs w:val="28"/>
        </w:rPr>
        <w:footnoteReference w:id="84"/>
      </w:r>
      <w:r w:rsidRPr="00175FFF">
        <w:rPr>
          <w:rFonts w:ascii="Garamond" w:hAnsi="Garamond" w:cs="Times New Roman"/>
          <w:sz w:val="28"/>
          <w:szCs w:val="28"/>
        </w:rPr>
        <w:t xml:space="preserve">, </w:t>
      </w:r>
      <w:r w:rsidRPr="002A2E13">
        <w:rPr>
          <w:rFonts w:ascii="Garamond" w:hAnsi="Garamond" w:cs="Times New Roman"/>
          <w:sz w:val="28"/>
          <w:szCs w:val="28"/>
        </w:rPr>
        <w:t xml:space="preserve">che mira a conservare il litorale e a garantirne la fruizione pubblica. Inizialmente, le concessioni demaniali avevano una durata massima di 30 anni; la riforma del 2013 consente di prorogarle fino a 75 anni, previa valutazione ambientale. È ammessa la trasmissione del titolo sia </w:t>
      </w:r>
      <w:proofErr w:type="spellStart"/>
      <w:r w:rsidRPr="002A2E13">
        <w:rPr>
          <w:rFonts w:ascii="Garamond" w:hAnsi="Garamond" w:cs="Times New Roman"/>
          <w:i/>
          <w:iCs/>
          <w:sz w:val="28"/>
          <w:szCs w:val="28"/>
        </w:rPr>
        <w:t>mortis</w:t>
      </w:r>
      <w:proofErr w:type="spellEnd"/>
      <w:r w:rsidRPr="002A2E13">
        <w:rPr>
          <w:rFonts w:ascii="Garamond" w:hAnsi="Garamond" w:cs="Times New Roman"/>
          <w:i/>
          <w:iCs/>
          <w:sz w:val="28"/>
          <w:szCs w:val="28"/>
        </w:rPr>
        <w:t xml:space="preserve"> causa</w:t>
      </w:r>
      <w:r w:rsidRPr="002A2E13">
        <w:rPr>
          <w:rFonts w:ascii="Garamond" w:hAnsi="Garamond" w:cs="Times New Roman"/>
          <w:sz w:val="28"/>
          <w:szCs w:val="28"/>
        </w:rPr>
        <w:t xml:space="preserve"> sia tra vivi, previa autorizzazione. Le autorizzazioni per installazioni temporanee (chioschi, noleggio attrezzature) possono durare fino a 4 anni. Il regolamento generale è contenuto nel </w:t>
      </w:r>
      <w:r w:rsidRPr="00175FFF">
        <w:rPr>
          <w:rFonts w:ascii="Garamond" w:hAnsi="Garamond" w:cs="Times New Roman"/>
          <w:bCs/>
          <w:sz w:val="28"/>
          <w:szCs w:val="28"/>
        </w:rPr>
        <w:t>Real Decreto 876/2014</w:t>
      </w:r>
      <w:r>
        <w:rPr>
          <w:rStyle w:val="Rimandonotaapidipagina"/>
          <w:rFonts w:ascii="Garamond" w:hAnsi="Garamond" w:cs="Times New Roman"/>
          <w:sz w:val="28"/>
          <w:szCs w:val="28"/>
        </w:rPr>
        <w:footnoteReference w:id="85"/>
      </w:r>
      <w:r w:rsidRPr="002A2E13">
        <w:rPr>
          <w:rFonts w:ascii="Garamond" w:hAnsi="Garamond" w:cs="Times New Roman"/>
          <w:sz w:val="28"/>
          <w:szCs w:val="28"/>
        </w:rPr>
        <w:t>, che dà attuazione alle disposizioni della riforma, confermando l’equilibrio tra sfruttamento economico e protezione della fascia costiera. </w:t>
      </w:r>
    </w:p>
    <w:p w14:paraId="7959DBB9" w14:textId="034BA127" w:rsidR="0089048B" w:rsidRDefault="002A2E13" w:rsidP="009F4205">
      <w:pPr>
        <w:spacing w:after="0" w:line="240" w:lineRule="auto"/>
        <w:ind w:firstLine="708"/>
        <w:jc w:val="both"/>
        <w:rPr>
          <w:rFonts w:ascii="Garamond" w:hAnsi="Garamond" w:cs="Times New Roman"/>
          <w:sz w:val="28"/>
          <w:szCs w:val="28"/>
        </w:rPr>
      </w:pPr>
      <w:r w:rsidRPr="002A2E13">
        <w:rPr>
          <w:rFonts w:ascii="Garamond" w:hAnsi="Garamond" w:cs="Times New Roman"/>
          <w:sz w:val="28"/>
          <w:szCs w:val="28"/>
        </w:rPr>
        <w:t xml:space="preserve">Ai fini dell’assegnazione si richiede un procedimento compartivo che preveda una fase istruttoria </w:t>
      </w:r>
      <w:r>
        <w:rPr>
          <w:rFonts w:ascii="Garamond" w:hAnsi="Garamond" w:cs="Times New Roman"/>
          <w:sz w:val="28"/>
          <w:szCs w:val="28"/>
        </w:rPr>
        <w:t>nella quale confrontare</w:t>
      </w:r>
      <w:r w:rsidRPr="002A2E13">
        <w:rPr>
          <w:rFonts w:ascii="Garamond" w:hAnsi="Garamond" w:cs="Times New Roman"/>
          <w:sz w:val="28"/>
          <w:szCs w:val="28"/>
        </w:rPr>
        <w:t xml:space="preserve"> le proposte dei richiedenti.</w:t>
      </w:r>
    </w:p>
    <w:p w14:paraId="0772110A" w14:textId="77777777" w:rsidR="00175FFF" w:rsidRDefault="00175FFF" w:rsidP="009F4205">
      <w:pPr>
        <w:spacing w:after="0" w:line="240" w:lineRule="auto"/>
        <w:ind w:firstLine="708"/>
        <w:jc w:val="both"/>
        <w:rPr>
          <w:rFonts w:ascii="Garamond" w:hAnsi="Garamond" w:cs="Times New Roman"/>
          <w:sz w:val="28"/>
          <w:szCs w:val="28"/>
        </w:rPr>
      </w:pPr>
    </w:p>
    <w:p w14:paraId="4CF36023" w14:textId="639D6E4A" w:rsidR="00F23B52" w:rsidRPr="00175FFF" w:rsidRDefault="00175FFF" w:rsidP="00723EBC">
      <w:pPr>
        <w:spacing w:after="0" w:line="240" w:lineRule="auto"/>
        <w:ind w:firstLine="708"/>
        <w:jc w:val="both"/>
        <w:rPr>
          <w:rFonts w:ascii="Garamond" w:hAnsi="Garamond" w:cs="Times New Roman"/>
          <w:b/>
          <w:sz w:val="28"/>
          <w:szCs w:val="28"/>
        </w:rPr>
      </w:pPr>
      <w:r>
        <w:rPr>
          <w:rFonts w:ascii="Garamond" w:hAnsi="Garamond" w:cs="Times New Roman"/>
          <w:b/>
          <w:sz w:val="28"/>
          <w:szCs w:val="28"/>
        </w:rPr>
        <w:t>7.1.7. Tabella</w:t>
      </w:r>
    </w:p>
    <w:tbl>
      <w:tblPr>
        <w:tblpPr w:leftFromText="142" w:rightFromText="142" w:topFromText="567" w:bottomFromText="567" w:vertAnchor="text" w:horzAnchor="page" w:tblpXSpec="center" w:tblpY="568"/>
        <w:tblW w:w="10841" w:type="dxa"/>
        <w:jc w:val="center"/>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577"/>
        <w:gridCol w:w="2556"/>
        <w:gridCol w:w="2712"/>
        <w:gridCol w:w="2427"/>
        <w:gridCol w:w="2569"/>
      </w:tblGrid>
      <w:tr w:rsidR="0089048B" w:rsidRPr="00E069B2" w14:paraId="3D304615" w14:textId="77777777" w:rsidTr="00F27608">
        <w:trPr>
          <w:cantSplit/>
          <w:trHeight w:val="1235"/>
          <w:jc w:val="center"/>
        </w:trPr>
        <w:tc>
          <w:tcPr>
            <w:tcW w:w="577" w:type="dxa"/>
            <w:tcBorders>
              <w:top w:val="single" w:sz="6" w:space="0" w:color="auto"/>
              <w:left w:val="single" w:sz="6" w:space="0" w:color="auto"/>
              <w:bottom w:val="single" w:sz="6" w:space="0" w:color="auto"/>
              <w:right w:val="single" w:sz="6" w:space="0" w:color="auto"/>
            </w:tcBorders>
            <w:shd w:val="clear" w:color="auto" w:fill="auto"/>
            <w:textDirection w:val="btLr"/>
            <w:hideMark/>
          </w:tcPr>
          <w:p w14:paraId="3FF3D54D" w14:textId="3B8BAFC8" w:rsidR="0089048B" w:rsidRPr="00E069B2" w:rsidRDefault="0089048B" w:rsidP="001B69E2">
            <w:pPr>
              <w:spacing w:after="0" w:line="240" w:lineRule="auto"/>
              <w:ind w:left="113" w:right="113"/>
              <w:jc w:val="center"/>
              <w:textAlignment w:val="baseline"/>
              <w:rPr>
                <w:rFonts w:ascii="Segoe UI" w:eastAsia="Times New Roman" w:hAnsi="Segoe UI" w:cs="Segoe UI"/>
                <w:sz w:val="18"/>
                <w:szCs w:val="18"/>
                <w:lang w:eastAsia="it-IT"/>
              </w:rPr>
            </w:pPr>
            <w:r>
              <w:rPr>
                <w:rFonts w:ascii="Arial" w:eastAsia="Times New Roman" w:hAnsi="Arial" w:cs="Arial"/>
                <w:sz w:val="24"/>
                <w:szCs w:val="24"/>
                <w:lang w:eastAsia="it-IT"/>
              </w:rPr>
              <w:lastRenderedPageBreak/>
              <w:t>Stato Membro</w:t>
            </w:r>
          </w:p>
        </w:tc>
        <w:tc>
          <w:tcPr>
            <w:tcW w:w="2556" w:type="dxa"/>
            <w:tcBorders>
              <w:top w:val="single" w:sz="6" w:space="0" w:color="auto"/>
              <w:left w:val="single" w:sz="6" w:space="0" w:color="auto"/>
              <w:bottom w:val="single" w:sz="6" w:space="0" w:color="auto"/>
              <w:right w:val="single" w:sz="6" w:space="0" w:color="auto"/>
            </w:tcBorders>
            <w:shd w:val="clear" w:color="auto" w:fill="auto"/>
            <w:hideMark/>
          </w:tcPr>
          <w:p w14:paraId="084ACC9C" w14:textId="4455EF9A" w:rsidR="0089048B" w:rsidRPr="0089048B" w:rsidRDefault="0089048B" w:rsidP="0089048B">
            <w:pPr>
              <w:spacing w:after="0" w:line="240" w:lineRule="auto"/>
              <w:jc w:val="center"/>
              <w:textAlignment w:val="baseline"/>
              <w:rPr>
                <w:rFonts w:ascii="Segoe UI" w:eastAsia="Times New Roman" w:hAnsi="Segoe UI" w:cs="Segoe UI"/>
                <w:b/>
                <w:szCs w:val="18"/>
                <w:lang w:eastAsia="it-IT"/>
              </w:rPr>
            </w:pPr>
            <w:r w:rsidRPr="0089048B">
              <w:rPr>
                <w:rFonts w:ascii="Arial" w:eastAsia="Times New Roman" w:hAnsi="Arial" w:cs="Arial"/>
                <w:b/>
                <w:bCs/>
                <w:szCs w:val="24"/>
                <w:lang w:eastAsia="it-IT"/>
              </w:rPr>
              <w:t>Procedura di scelta del contraente</w:t>
            </w:r>
          </w:p>
          <w:p w14:paraId="389823C9" w14:textId="2FD5B1BA" w:rsidR="0089048B" w:rsidRPr="0089048B" w:rsidRDefault="0089048B" w:rsidP="0089048B">
            <w:pPr>
              <w:spacing w:after="0" w:line="240" w:lineRule="auto"/>
              <w:jc w:val="center"/>
              <w:textAlignment w:val="baseline"/>
              <w:rPr>
                <w:rFonts w:ascii="Segoe UI" w:eastAsia="Times New Roman" w:hAnsi="Segoe UI" w:cs="Segoe UI"/>
                <w:b/>
                <w:szCs w:val="18"/>
                <w:lang w:eastAsia="it-IT"/>
              </w:rPr>
            </w:pPr>
          </w:p>
        </w:tc>
        <w:tc>
          <w:tcPr>
            <w:tcW w:w="2712" w:type="dxa"/>
            <w:tcBorders>
              <w:top w:val="single" w:sz="6" w:space="0" w:color="auto"/>
              <w:left w:val="single" w:sz="6" w:space="0" w:color="auto"/>
              <w:bottom w:val="single" w:sz="6" w:space="0" w:color="auto"/>
              <w:right w:val="single" w:sz="6" w:space="0" w:color="auto"/>
            </w:tcBorders>
            <w:shd w:val="clear" w:color="auto" w:fill="auto"/>
            <w:hideMark/>
          </w:tcPr>
          <w:p w14:paraId="3FA1A8D1" w14:textId="340FEAB0" w:rsidR="0089048B" w:rsidRPr="0089048B" w:rsidRDefault="0089048B" w:rsidP="0089048B">
            <w:pPr>
              <w:spacing w:after="0" w:line="240" w:lineRule="auto"/>
              <w:jc w:val="center"/>
              <w:textAlignment w:val="baseline"/>
              <w:rPr>
                <w:rFonts w:ascii="Segoe UI" w:eastAsia="Times New Roman" w:hAnsi="Segoe UI" w:cs="Segoe UI"/>
                <w:b/>
                <w:szCs w:val="18"/>
                <w:lang w:eastAsia="it-IT"/>
              </w:rPr>
            </w:pPr>
            <w:r w:rsidRPr="0089048B">
              <w:rPr>
                <w:rFonts w:ascii="Arial" w:eastAsia="Times New Roman" w:hAnsi="Arial" w:cs="Arial"/>
                <w:b/>
                <w:bCs/>
                <w:szCs w:val="24"/>
                <w:lang w:eastAsia="it-IT"/>
              </w:rPr>
              <w:t>Durata massima della concessione</w:t>
            </w:r>
          </w:p>
          <w:p w14:paraId="37D628C0" w14:textId="61AB2BAA" w:rsidR="0089048B" w:rsidRPr="0089048B" w:rsidRDefault="0089048B" w:rsidP="0089048B">
            <w:pPr>
              <w:spacing w:after="0" w:line="240" w:lineRule="auto"/>
              <w:jc w:val="center"/>
              <w:textAlignment w:val="baseline"/>
              <w:rPr>
                <w:rFonts w:ascii="Segoe UI" w:eastAsia="Times New Roman" w:hAnsi="Segoe UI" w:cs="Segoe UI"/>
                <w:b/>
                <w:szCs w:val="18"/>
                <w:lang w:eastAsia="it-IT"/>
              </w:rPr>
            </w:pPr>
          </w:p>
        </w:tc>
        <w:tc>
          <w:tcPr>
            <w:tcW w:w="2427" w:type="dxa"/>
            <w:tcBorders>
              <w:top w:val="single" w:sz="6" w:space="0" w:color="auto"/>
              <w:left w:val="single" w:sz="6" w:space="0" w:color="auto"/>
              <w:bottom w:val="single" w:sz="6" w:space="0" w:color="auto"/>
              <w:right w:val="single" w:sz="6" w:space="0" w:color="auto"/>
            </w:tcBorders>
            <w:shd w:val="clear" w:color="auto" w:fill="auto"/>
            <w:hideMark/>
          </w:tcPr>
          <w:p w14:paraId="2DE62AE3" w14:textId="7EB70EC4" w:rsidR="0089048B" w:rsidRPr="0089048B" w:rsidRDefault="0089048B" w:rsidP="0089048B">
            <w:pPr>
              <w:spacing w:after="0" w:line="240" w:lineRule="auto"/>
              <w:jc w:val="center"/>
              <w:textAlignment w:val="baseline"/>
              <w:rPr>
                <w:rFonts w:ascii="Segoe UI" w:eastAsia="Times New Roman" w:hAnsi="Segoe UI" w:cs="Segoe UI"/>
                <w:b/>
                <w:szCs w:val="18"/>
                <w:lang w:eastAsia="it-IT"/>
              </w:rPr>
            </w:pPr>
            <w:r w:rsidRPr="0089048B">
              <w:rPr>
                <w:rFonts w:ascii="Arial" w:eastAsia="Times New Roman" w:hAnsi="Arial" w:cs="Arial"/>
                <w:b/>
                <w:bCs/>
                <w:szCs w:val="24"/>
                <w:lang w:eastAsia="it-IT"/>
              </w:rPr>
              <w:t>Esclusività dell’uso dell’arenile</w:t>
            </w:r>
          </w:p>
          <w:p w14:paraId="720817D6" w14:textId="4FBE78A0" w:rsidR="0089048B" w:rsidRPr="0089048B" w:rsidRDefault="0089048B" w:rsidP="0089048B">
            <w:pPr>
              <w:spacing w:after="0" w:line="240" w:lineRule="auto"/>
              <w:jc w:val="center"/>
              <w:textAlignment w:val="baseline"/>
              <w:rPr>
                <w:rFonts w:ascii="Segoe UI" w:eastAsia="Times New Roman" w:hAnsi="Segoe UI" w:cs="Segoe UI"/>
                <w:b/>
                <w:szCs w:val="18"/>
                <w:lang w:eastAsia="it-IT"/>
              </w:rPr>
            </w:pPr>
          </w:p>
        </w:tc>
        <w:tc>
          <w:tcPr>
            <w:tcW w:w="2569" w:type="dxa"/>
            <w:tcBorders>
              <w:top w:val="single" w:sz="6" w:space="0" w:color="auto"/>
              <w:left w:val="single" w:sz="6" w:space="0" w:color="auto"/>
              <w:bottom w:val="single" w:sz="6" w:space="0" w:color="auto"/>
              <w:right w:val="single" w:sz="6" w:space="0" w:color="auto"/>
            </w:tcBorders>
            <w:shd w:val="clear" w:color="auto" w:fill="auto"/>
            <w:hideMark/>
          </w:tcPr>
          <w:p w14:paraId="3B87509F" w14:textId="5926830A" w:rsidR="0089048B" w:rsidRPr="0089048B" w:rsidRDefault="0089048B" w:rsidP="0089048B">
            <w:pPr>
              <w:spacing w:after="0" w:line="240" w:lineRule="auto"/>
              <w:jc w:val="center"/>
              <w:textAlignment w:val="baseline"/>
              <w:rPr>
                <w:rFonts w:ascii="Segoe UI" w:eastAsia="Times New Roman" w:hAnsi="Segoe UI" w:cs="Segoe UI"/>
                <w:b/>
                <w:szCs w:val="18"/>
                <w:lang w:eastAsia="it-IT"/>
              </w:rPr>
            </w:pPr>
            <w:r w:rsidRPr="0089048B">
              <w:rPr>
                <w:rFonts w:ascii="Arial" w:eastAsia="Times New Roman" w:hAnsi="Arial" w:cs="Arial"/>
                <w:b/>
                <w:bCs/>
                <w:szCs w:val="24"/>
                <w:lang w:eastAsia="it-IT"/>
              </w:rPr>
              <w:t>Indennizzo in caso di nuova gara</w:t>
            </w:r>
          </w:p>
          <w:p w14:paraId="512CC28C" w14:textId="357E0C92" w:rsidR="0089048B" w:rsidRPr="0089048B" w:rsidRDefault="0089048B" w:rsidP="0089048B">
            <w:pPr>
              <w:spacing w:after="0" w:line="240" w:lineRule="auto"/>
              <w:jc w:val="center"/>
              <w:textAlignment w:val="baseline"/>
              <w:rPr>
                <w:rFonts w:ascii="Segoe UI" w:eastAsia="Times New Roman" w:hAnsi="Segoe UI" w:cs="Segoe UI"/>
                <w:b/>
                <w:szCs w:val="18"/>
                <w:lang w:eastAsia="it-IT"/>
              </w:rPr>
            </w:pPr>
          </w:p>
        </w:tc>
      </w:tr>
      <w:tr w:rsidR="0089048B" w:rsidRPr="00E069B2" w14:paraId="5EEC169D" w14:textId="77777777" w:rsidTr="00F27608">
        <w:trPr>
          <w:cantSplit/>
          <w:trHeight w:val="1235"/>
          <w:jc w:val="center"/>
        </w:trPr>
        <w:tc>
          <w:tcPr>
            <w:tcW w:w="577" w:type="dxa"/>
            <w:tcBorders>
              <w:top w:val="single" w:sz="6" w:space="0" w:color="auto"/>
              <w:left w:val="single" w:sz="6" w:space="0" w:color="auto"/>
              <w:bottom w:val="single" w:sz="6" w:space="0" w:color="auto"/>
              <w:right w:val="single" w:sz="6" w:space="0" w:color="auto"/>
            </w:tcBorders>
            <w:shd w:val="clear" w:color="auto" w:fill="auto"/>
            <w:textDirection w:val="btLr"/>
            <w:vAlign w:val="center"/>
            <w:hideMark/>
          </w:tcPr>
          <w:p w14:paraId="7FFD6991" w14:textId="77777777" w:rsidR="0089048B" w:rsidRPr="00E069B2" w:rsidRDefault="0089048B" w:rsidP="001B69E2">
            <w:pPr>
              <w:spacing w:after="0" w:line="240" w:lineRule="auto"/>
              <w:ind w:left="113" w:right="113"/>
              <w:jc w:val="center"/>
              <w:textAlignment w:val="baseline"/>
              <w:rPr>
                <w:rFonts w:ascii="Segoe UI" w:eastAsia="Times New Roman" w:hAnsi="Segoe UI" w:cs="Segoe UI"/>
                <w:sz w:val="18"/>
                <w:szCs w:val="18"/>
                <w:lang w:eastAsia="it-IT"/>
              </w:rPr>
            </w:pPr>
            <w:r w:rsidRPr="00E069B2">
              <w:rPr>
                <w:rFonts w:ascii="Arial" w:eastAsia="Times New Roman" w:hAnsi="Arial" w:cs="Arial"/>
                <w:b/>
                <w:bCs/>
                <w:sz w:val="24"/>
                <w:szCs w:val="24"/>
                <w:lang w:eastAsia="it-IT"/>
              </w:rPr>
              <w:t>Croazia</w:t>
            </w:r>
          </w:p>
          <w:p w14:paraId="37C7ECFE" w14:textId="77777777" w:rsidR="0089048B" w:rsidRPr="00E069B2" w:rsidRDefault="0089048B" w:rsidP="001B69E2">
            <w:pPr>
              <w:spacing w:after="0" w:line="240" w:lineRule="auto"/>
              <w:ind w:left="113" w:right="113"/>
              <w:jc w:val="center"/>
              <w:textAlignment w:val="baseline"/>
              <w:rPr>
                <w:rFonts w:ascii="Segoe UI" w:eastAsia="Times New Roman" w:hAnsi="Segoe UI" w:cs="Segoe UI"/>
                <w:sz w:val="18"/>
                <w:szCs w:val="18"/>
                <w:lang w:eastAsia="it-IT"/>
              </w:rPr>
            </w:pPr>
          </w:p>
        </w:tc>
        <w:tc>
          <w:tcPr>
            <w:tcW w:w="2556" w:type="dxa"/>
            <w:tcBorders>
              <w:top w:val="single" w:sz="6" w:space="0" w:color="auto"/>
              <w:left w:val="single" w:sz="6" w:space="0" w:color="auto"/>
              <w:bottom w:val="single" w:sz="6" w:space="0" w:color="auto"/>
              <w:right w:val="single" w:sz="6" w:space="0" w:color="auto"/>
            </w:tcBorders>
            <w:shd w:val="clear" w:color="auto" w:fill="auto"/>
            <w:hideMark/>
          </w:tcPr>
          <w:p w14:paraId="119842AD" w14:textId="77777777" w:rsidR="00F27608"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xml:space="preserve">- Concessioni per uso commerciale: assegnazione mediante </w:t>
            </w:r>
            <w:r w:rsidRPr="00E069B2">
              <w:rPr>
                <w:rFonts w:ascii="Arial" w:eastAsia="Times New Roman" w:hAnsi="Arial" w:cs="Arial"/>
                <w:b/>
                <w:bCs/>
                <w:sz w:val="24"/>
                <w:szCs w:val="24"/>
                <w:lang w:eastAsia="it-IT"/>
              </w:rPr>
              <w:t>gara pubblica</w:t>
            </w:r>
            <w:r w:rsidRPr="00E069B2">
              <w:rPr>
                <w:rFonts w:ascii="Arial" w:eastAsia="Times New Roman" w:hAnsi="Arial" w:cs="Arial"/>
                <w:sz w:val="24"/>
                <w:szCs w:val="24"/>
                <w:lang w:eastAsia="it-IT"/>
              </w:rPr>
              <w:t>.</w:t>
            </w:r>
          </w:p>
          <w:p w14:paraId="2481A8BD" w14:textId="5FEFE7B0" w:rsidR="0089048B"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Permesso di concessione (fino a 5 anni) per attività che non escludono l’uso generale.</w:t>
            </w:r>
          </w:p>
          <w:p w14:paraId="0BDB95EE" w14:textId="2724D5ED"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Pr>
                <w:rFonts w:ascii="Arial" w:eastAsia="Times New Roman" w:hAnsi="Arial" w:cs="Arial"/>
                <w:sz w:val="24"/>
                <w:szCs w:val="24"/>
                <w:lang w:eastAsia="it-IT"/>
              </w:rPr>
              <w:t>-</w:t>
            </w:r>
            <w:r w:rsidR="00175FFF">
              <w:rPr>
                <w:rFonts w:ascii="Arial" w:eastAsia="Times New Roman" w:hAnsi="Arial" w:cs="Arial"/>
                <w:sz w:val="24"/>
                <w:szCs w:val="24"/>
                <w:lang w:eastAsia="it-IT"/>
              </w:rPr>
              <w:t xml:space="preserve"> </w:t>
            </w:r>
            <w:r w:rsidRPr="00E069B2">
              <w:rPr>
                <w:rFonts w:ascii="Arial" w:eastAsia="Times New Roman" w:hAnsi="Arial" w:cs="Arial"/>
                <w:sz w:val="24"/>
                <w:szCs w:val="24"/>
                <w:lang w:eastAsia="it-IT"/>
              </w:rPr>
              <w:t>Competenza regionale o nazionale a seconda della rilevanza dell’opera. </w:t>
            </w:r>
          </w:p>
          <w:p w14:paraId="02139425"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tc>
        <w:tc>
          <w:tcPr>
            <w:tcW w:w="2712" w:type="dxa"/>
            <w:tcBorders>
              <w:top w:val="single" w:sz="6" w:space="0" w:color="auto"/>
              <w:left w:val="single" w:sz="6" w:space="0" w:color="auto"/>
              <w:bottom w:val="single" w:sz="6" w:space="0" w:color="auto"/>
              <w:right w:val="single" w:sz="6" w:space="0" w:color="auto"/>
            </w:tcBorders>
            <w:shd w:val="clear" w:color="auto" w:fill="auto"/>
            <w:hideMark/>
          </w:tcPr>
          <w:p w14:paraId="706C5C32" w14:textId="77777777" w:rsidR="00F27608"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xml:space="preserve">- Da </w:t>
            </w:r>
            <w:r w:rsidRPr="00E069B2">
              <w:rPr>
                <w:rFonts w:ascii="Arial" w:eastAsia="Times New Roman" w:hAnsi="Arial" w:cs="Arial"/>
                <w:b/>
                <w:bCs/>
                <w:sz w:val="24"/>
                <w:szCs w:val="24"/>
                <w:lang w:eastAsia="it-IT"/>
              </w:rPr>
              <w:t>5 a 99 anni</w:t>
            </w:r>
            <w:r w:rsidRPr="00E069B2">
              <w:rPr>
                <w:rFonts w:ascii="Arial" w:eastAsia="Times New Roman" w:hAnsi="Arial" w:cs="Arial"/>
                <w:sz w:val="24"/>
                <w:szCs w:val="24"/>
                <w:lang w:eastAsia="it-IT"/>
              </w:rPr>
              <w:t xml:space="preserve"> complessiv</w:t>
            </w:r>
            <w:r w:rsidR="00F27608">
              <w:rPr>
                <w:rFonts w:ascii="Arial" w:eastAsia="Times New Roman" w:hAnsi="Arial" w:cs="Arial"/>
                <w:sz w:val="24"/>
                <w:szCs w:val="24"/>
                <w:lang w:eastAsia="it-IT"/>
              </w:rPr>
              <w:t>i, a seconda degli investimenti:</w:t>
            </w:r>
          </w:p>
          <w:p w14:paraId="7676E156" w14:textId="1841FA0D" w:rsidR="00F27608"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xml:space="preserve">- </w:t>
            </w:r>
            <w:r w:rsidRPr="00F27608">
              <w:rPr>
                <w:rFonts w:ascii="Arial" w:eastAsia="Times New Roman" w:hAnsi="Arial" w:cs="Arial"/>
                <w:b/>
                <w:sz w:val="24"/>
                <w:szCs w:val="24"/>
                <w:lang w:eastAsia="it-IT"/>
              </w:rPr>
              <w:t>20 anni</w:t>
            </w:r>
            <w:r w:rsidRPr="00E069B2">
              <w:rPr>
                <w:rFonts w:ascii="Arial" w:eastAsia="Times New Roman" w:hAnsi="Arial" w:cs="Arial"/>
                <w:sz w:val="24"/>
                <w:szCs w:val="24"/>
                <w:lang w:eastAsia="it-IT"/>
              </w:rPr>
              <w:t xml:space="preserve"> se di rilievo regionale (ri</w:t>
            </w:r>
            <w:r w:rsidR="00F27608">
              <w:rPr>
                <w:rFonts w:ascii="Arial" w:eastAsia="Times New Roman" w:hAnsi="Arial" w:cs="Arial"/>
                <w:sz w:val="24"/>
                <w:szCs w:val="24"/>
                <w:lang w:eastAsia="it-IT"/>
              </w:rPr>
              <w:t>lasciati da autorità regionali);</w:t>
            </w:r>
          </w:p>
          <w:p w14:paraId="7B0E5531" w14:textId="6FB46440" w:rsidR="00F27608"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xml:space="preserve">- </w:t>
            </w:r>
            <w:r w:rsidRPr="00F27608">
              <w:rPr>
                <w:rFonts w:ascii="Arial" w:eastAsia="Times New Roman" w:hAnsi="Arial" w:cs="Arial"/>
                <w:b/>
                <w:sz w:val="24"/>
                <w:szCs w:val="24"/>
                <w:lang w:eastAsia="it-IT"/>
              </w:rPr>
              <w:t>50 anni</w:t>
            </w:r>
            <w:r w:rsidRPr="00E069B2">
              <w:rPr>
                <w:rFonts w:ascii="Arial" w:eastAsia="Times New Roman" w:hAnsi="Arial" w:cs="Arial"/>
                <w:sz w:val="24"/>
                <w:szCs w:val="24"/>
                <w:lang w:eastAsia="it-IT"/>
              </w:rPr>
              <w:t xml:space="preserve"> per opere di importanza nazionale (rilasciati dal Governo), prorogabili fino a 60 in presenza di nuove opere o eventi eccezionali.</w:t>
            </w:r>
          </w:p>
          <w:p w14:paraId="44270A43" w14:textId="6F49BE16"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Possibile ulteriore proroga oltre i 50/60 anni previo assenso del Parlamento. </w:t>
            </w:r>
          </w:p>
          <w:p w14:paraId="28C17660"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tc>
        <w:tc>
          <w:tcPr>
            <w:tcW w:w="2427" w:type="dxa"/>
            <w:tcBorders>
              <w:top w:val="single" w:sz="6" w:space="0" w:color="auto"/>
              <w:left w:val="single" w:sz="6" w:space="0" w:color="auto"/>
              <w:bottom w:val="single" w:sz="6" w:space="0" w:color="auto"/>
              <w:right w:val="single" w:sz="6" w:space="0" w:color="auto"/>
            </w:tcBorders>
            <w:shd w:val="clear" w:color="auto" w:fill="auto"/>
            <w:hideMark/>
          </w:tcPr>
          <w:p w14:paraId="69A6F93E" w14:textId="77777777" w:rsidR="00F27608"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La concessione può escludere in tutto o in parte il bene dal libero uso generale.</w:t>
            </w:r>
          </w:p>
          <w:p w14:paraId="20E6F6AD" w14:textId="5B305E85"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xml:space="preserve">- </w:t>
            </w:r>
            <w:r w:rsidRPr="00F27608">
              <w:rPr>
                <w:rFonts w:ascii="Arial" w:eastAsia="Times New Roman" w:hAnsi="Arial" w:cs="Arial"/>
                <w:bCs/>
                <w:sz w:val="24"/>
                <w:szCs w:val="24"/>
                <w:lang w:eastAsia="it-IT"/>
              </w:rPr>
              <w:t>Permesso di concessione</w:t>
            </w:r>
            <w:r w:rsidRPr="00E069B2">
              <w:rPr>
                <w:rFonts w:ascii="Arial" w:eastAsia="Times New Roman" w:hAnsi="Arial" w:cs="Arial"/>
                <w:sz w:val="24"/>
                <w:szCs w:val="24"/>
                <w:lang w:eastAsia="it-IT"/>
              </w:rPr>
              <w:t xml:space="preserve"> </w:t>
            </w:r>
            <w:r w:rsidRPr="00F27608">
              <w:rPr>
                <w:rFonts w:ascii="Arial" w:eastAsia="Times New Roman" w:hAnsi="Arial" w:cs="Arial"/>
                <w:b/>
                <w:sz w:val="24"/>
                <w:szCs w:val="24"/>
                <w:lang w:eastAsia="it-IT"/>
              </w:rPr>
              <w:t>non esclude la fruizione pubblica</w:t>
            </w:r>
            <w:r w:rsidRPr="00E069B2">
              <w:rPr>
                <w:rFonts w:ascii="Arial" w:eastAsia="Times New Roman" w:hAnsi="Arial" w:cs="Arial"/>
                <w:sz w:val="24"/>
                <w:szCs w:val="24"/>
                <w:lang w:eastAsia="it-IT"/>
              </w:rPr>
              <w:t>. </w:t>
            </w:r>
          </w:p>
          <w:p w14:paraId="57920E5B"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tc>
        <w:tc>
          <w:tcPr>
            <w:tcW w:w="2569" w:type="dxa"/>
            <w:tcBorders>
              <w:top w:val="single" w:sz="6" w:space="0" w:color="auto"/>
              <w:left w:val="single" w:sz="6" w:space="0" w:color="auto"/>
              <w:bottom w:val="single" w:sz="6" w:space="0" w:color="auto"/>
              <w:right w:val="single" w:sz="6" w:space="0" w:color="auto"/>
            </w:tcBorders>
            <w:shd w:val="clear" w:color="auto" w:fill="auto"/>
            <w:hideMark/>
          </w:tcPr>
          <w:p w14:paraId="5AA5FBBC" w14:textId="77777777" w:rsidR="00F27608"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Non è espressamente disciplinato un indennizzo per il concessionario uscente.</w:t>
            </w:r>
          </w:p>
          <w:p w14:paraId="193DAC27" w14:textId="1959D06E"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xml:space="preserve">- </w:t>
            </w:r>
            <w:r w:rsidR="00F27608">
              <w:rPr>
                <w:rFonts w:ascii="Arial" w:eastAsia="Times New Roman" w:hAnsi="Arial" w:cs="Arial"/>
                <w:b/>
                <w:sz w:val="24"/>
                <w:szCs w:val="24"/>
                <w:lang w:eastAsia="it-IT"/>
              </w:rPr>
              <w:t>I</w:t>
            </w:r>
            <w:r w:rsidRPr="00F27608">
              <w:rPr>
                <w:rFonts w:ascii="Arial" w:eastAsia="Times New Roman" w:hAnsi="Arial" w:cs="Arial"/>
                <w:b/>
                <w:sz w:val="24"/>
                <w:szCs w:val="24"/>
                <w:lang w:eastAsia="it-IT"/>
              </w:rPr>
              <w:t>nvestimenti non ammortizzati</w:t>
            </w:r>
            <w:r w:rsidRPr="00E069B2">
              <w:rPr>
                <w:rFonts w:ascii="Arial" w:eastAsia="Times New Roman" w:hAnsi="Arial" w:cs="Arial"/>
                <w:sz w:val="24"/>
                <w:szCs w:val="24"/>
                <w:lang w:eastAsia="it-IT"/>
              </w:rPr>
              <w:t xml:space="preserve"> possono giustificare proroghe. </w:t>
            </w:r>
          </w:p>
          <w:p w14:paraId="6E0207A4"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tc>
      </w:tr>
      <w:tr w:rsidR="0089048B" w:rsidRPr="00E069B2" w14:paraId="7365401E" w14:textId="77777777" w:rsidTr="00F27608">
        <w:trPr>
          <w:cantSplit/>
          <w:trHeight w:val="1235"/>
          <w:jc w:val="center"/>
        </w:trPr>
        <w:tc>
          <w:tcPr>
            <w:tcW w:w="577" w:type="dxa"/>
            <w:tcBorders>
              <w:top w:val="single" w:sz="6" w:space="0" w:color="auto"/>
              <w:left w:val="single" w:sz="6" w:space="0" w:color="auto"/>
              <w:bottom w:val="single" w:sz="6" w:space="0" w:color="auto"/>
              <w:right w:val="single" w:sz="6" w:space="0" w:color="auto"/>
            </w:tcBorders>
            <w:shd w:val="clear" w:color="auto" w:fill="auto"/>
            <w:textDirection w:val="btLr"/>
            <w:vAlign w:val="center"/>
            <w:hideMark/>
          </w:tcPr>
          <w:p w14:paraId="222C5E94" w14:textId="77777777" w:rsidR="0089048B" w:rsidRPr="00E069B2" w:rsidRDefault="0089048B" w:rsidP="001B69E2">
            <w:pPr>
              <w:spacing w:after="0" w:line="240" w:lineRule="auto"/>
              <w:ind w:left="113" w:right="113"/>
              <w:jc w:val="center"/>
              <w:textAlignment w:val="baseline"/>
              <w:rPr>
                <w:rFonts w:ascii="Segoe UI" w:eastAsia="Times New Roman" w:hAnsi="Segoe UI" w:cs="Segoe UI"/>
                <w:sz w:val="18"/>
                <w:szCs w:val="18"/>
                <w:lang w:eastAsia="it-IT"/>
              </w:rPr>
            </w:pPr>
            <w:r w:rsidRPr="00E069B2">
              <w:rPr>
                <w:rFonts w:ascii="Arial" w:eastAsia="Times New Roman" w:hAnsi="Arial" w:cs="Arial"/>
                <w:b/>
                <w:bCs/>
                <w:sz w:val="24"/>
                <w:szCs w:val="24"/>
                <w:lang w:eastAsia="it-IT"/>
              </w:rPr>
              <w:t>Francia</w:t>
            </w:r>
          </w:p>
          <w:p w14:paraId="1B350991" w14:textId="77777777" w:rsidR="0089048B" w:rsidRPr="00E069B2" w:rsidRDefault="0089048B" w:rsidP="001B69E2">
            <w:pPr>
              <w:spacing w:after="0" w:line="240" w:lineRule="auto"/>
              <w:ind w:left="113" w:right="113"/>
              <w:jc w:val="center"/>
              <w:textAlignment w:val="baseline"/>
              <w:rPr>
                <w:rFonts w:ascii="Segoe UI" w:eastAsia="Times New Roman" w:hAnsi="Segoe UI" w:cs="Segoe UI"/>
                <w:sz w:val="18"/>
                <w:szCs w:val="18"/>
                <w:lang w:eastAsia="it-IT"/>
              </w:rPr>
            </w:pPr>
          </w:p>
        </w:tc>
        <w:tc>
          <w:tcPr>
            <w:tcW w:w="2556" w:type="dxa"/>
            <w:tcBorders>
              <w:top w:val="single" w:sz="6" w:space="0" w:color="auto"/>
              <w:left w:val="single" w:sz="6" w:space="0" w:color="auto"/>
              <w:bottom w:val="single" w:sz="6" w:space="0" w:color="auto"/>
              <w:right w:val="single" w:sz="6" w:space="0" w:color="auto"/>
            </w:tcBorders>
            <w:shd w:val="clear" w:color="auto" w:fill="auto"/>
            <w:hideMark/>
          </w:tcPr>
          <w:p w14:paraId="25BB3634" w14:textId="77777777" w:rsidR="00F27608"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xml:space="preserve">- Rilascio di concessione da parte del </w:t>
            </w:r>
            <w:r w:rsidRPr="00E069B2">
              <w:rPr>
                <w:rFonts w:ascii="Arial" w:eastAsia="Times New Roman" w:hAnsi="Arial" w:cs="Arial"/>
                <w:b/>
                <w:bCs/>
                <w:sz w:val="24"/>
                <w:szCs w:val="24"/>
                <w:lang w:eastAsia="it-IT"/>
              </w:rPr>
              <w:t>Prefetto</w:t>
            </w:r>
            <w:r w:rsidRPr="00E069B2">
              <w:rPr>
                <w:rFonts w:ascii="Arial" w:eastAsia="Times New Roman" w:hAnsi="Arial" w:cs="Arial"/>
                <w:sz w:val="24"/>
                <w:szCs w:val="24"/>
                <w:lang w:eastAsia="it-IT"/>
              </w:rPr>
              <w:t>.</w:t>
            </w:r>
          </w:p>
          <w:p w14:paraId="26A50EB1" w14:textId="77777777" w:rsidR="00F27608"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Diritto di prelazione per i comuni o loro associazioni.</w:t>
            </w:r>
          </w:p>
          <w:p w14:paraId="092A4DC8" w14:textId="77777777" w:rsidR="00F27608"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xml:space="preserve">- Se non esercitato, si procede a </w:t>
            </w:r>
            <w:r w:rsidRPr="00E069B2">
              <w:rPr>
                <w:rFonts w:ascii="Arial" w:eastAsia="Times New Roman" w:hAnsi="Arial" w:cs="Arial"/>
                <w:b/>
                <w:bCs/>
                <w:sz w:val="24"/>
                <w:szCs w:val="24"/>
                <w:lang w:eastAsia="it-IT"/>
              </w:rPr>
              <w:t>procedura comparativa</w:t>
            </w:r>
            <w:r w:rsidRPr="00E069B2">
              <w:rPr>
                <w:rFonts w:ascii="Arial" w:eastAsia="Times New Roman" w:hAnsi="Arial" w:cs="Arial"/>
                <w:sz w:val="24"/>
                <w:szCs w:val="24"/>
                <w:lang w:eastAsia="it-IT"/>
              </w:rPr>
              <w:t xml:space="preserve"> (Loi </w:t>
            </w:r>
            <w:proofErr w:type="spellStart"/>
            <w:r w:rsidRPr="00E069B2">
              <w:rPr>
                <w:rFonts w:ascii="Arial" w:eastAsia="Times New Roman" w:hAnsi="Arial" w:cs="Arial"/>
                <w:sz w:val="24"/>
                <w:szCs w:val="24"/>
                <w:lang w:eastAsia="it-IT"/>
              </w:rPr>
              <w:t>Sapin</w:t>
            </w:r>
            <w:proofErr w:type="spellEnd"/>
            <w:r w:rsidRPr="00E069B2">
              <w:rPr>
                <w:rFonts w:ascii="Arial" w:eastAsia="Times New Roman" w:hAnsi="Arial" w:cs="Arial"/>
                <w:sz w:val="24"/>
                <w:szCs w:val="24"/>
                <w:lang w:eastAsia="it-IT"/>
              </w:rPr>
              <w:t>).</w:t>
            </w:r>
          </w:p>
          <w:p w14:paraId="5CBCC32F" w14:textId="4FB2606E"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xml:space="preserve">- Prevista </w:t>
            </w:r>
            <w:r w:rsidRPr="00E069B2">
              <w:rPr>
                <w:rFonts w:ascii="Arial" w:eastAsia="Times New Roman" w:hAnsi="Arial" w:cs="Arial"/>
                <w:b/>
                <w:bCs/>
                <w:sz w:val="24"/>
                <w:szCs w:val="24"/>
                <w:lang w:eastAsia="it-IT"/>
              </w:rPr>
              <w:t>inchiesta pubblica</w:t>
            </w:r>
            <w:r w:rsidRPr="00E069B2">
              <w:rPr>
                <w:rFonts w:ascii="Arial" w:eastAsia="Times New Roman" w:hAnsi="Arial" w:cs="Arial"/>
                <w:sz w:val="24"/>
                <w:szCs w:val="24"/>
                <w:lang w:eastAsia="it-IT"/>
              </w:rPr>
              <w:t xml:space="preserve"> prima del rilascio/rinnovo. </w:t>
            </w:r>
          </w:p>
          <w:p w14:paraId="5098D52A"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tc>
        <w:tc>
          <w:tcPr>
            <w:tcW w:w="2712" w:type="dxa"/>
            <w:tcBorders>
              <w:top w:val="single" w:sz="6" w:space="0" w:color="auto"/>
              <w:left w:val="single" w:sz="6" w:space="0" w:color="auto"/>
              <w:bottom w:val="single" w:sz="6" w:space="0" w:color="auto"/>
              <w:right w:val="single" w:sz="6" w:space="0" w:color="auto"/>
            </w:tcBorders>
            <w:shd w:val="clear" w:color="auto" w:fill="auto"/>
            <w:hideMark/>
          </w:tcPr>
          <w:p w14:paraId="476617D8" w14:textId="77777777" w:rsidR="00F27608"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xml:space="preserve">- </w:t>
            </w:r>
            <w:r w:rsidRPr="00E069B2">
              <w:rPr>
                <w:rFonts w:ascii="Arial" w:eastAsia="Times New Roman" w:hAnsi="Arial" w:cs="Arial"/>
                <w:b/>
                <w:bCs/>
                <w:sz w:val="24"/>
                <w:szCs w:val="24"/>
                <w:lang w:eastAsia="it-IT"/>
              </w:rPr>
              <w:t>12 anni</w:t>
            </w:r>
            <w:r w:rsidRPr="00E069B2">
              <w:rPr>
                <w:rFonts w:ascii="Arial" w:eastAsia="Times New Roman" w:hAnsi="Arial" w:cs="Arial"/>
                <w:sz w:val="24"/>
                <w:szCs w:val="24"/>
                <w:lang w:eastAsia="it-IT"/>
              </w:rPr>
              <w:t xml:space="preserve"> di regola per le concessioni sulle spiagge. </w:t>
            </w:r>
          </w:p>
          <w:p w14:paraId="1236861A" w14:textId="671FBB6C"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Non sono previste eccezioni formali (il limite massimo è piuttosto stringente). </w:t>
            </w:r>
          </w:p>
          <w:p w14:paraId="50C33EC1"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p w14:paraId="6D4B4B80"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p w14:paraId="7C9C6216"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p w14:paraId="166BD81C"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p w14:paraId="424E7639"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p w14:paraId="571A508E"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tc>
        <w:tc>
          <w:tcPr>
            <w:tcW w:w="2427" w:type="dxa"/>
            <w:tcBorders>
              <w:top w:val="single" w:sz="6" w:space="0" w:color="auto"/>
              <w:left w:val="single" w:sz="6" w:space="0" w:color="auto"/>
              <w:bottom w:val="single" w:sz="6" w:space="0" w:color="auto"/>
              <w:right w:val="single" w:sz="6" w:space="0" w:color="auto"/>
            </w:tcBorders>
            <w:shd w:val="clear" w:color="auto" w:fill="auto"/>
            <w:hideMark/>
          </w:tcPr>
          <w:p w14:paraId="1CF48E90" w14:textId="77777777" w:rsidR="00F27608"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xml:space="preserve">- L’uso da parte del concessionario non può impedire la </w:t>
            </w:r>
            <w:r w:rsidRPr="00E069B2">
              <w:rPr>
                <w:rFonts w:ascii="Arial" w:eastAsia="Times New Roman" w:hAnsi="Arial" w:cs="Arial"/>
                <w:b/>
                <w:bCs/>
                <w:sz w:val="24"/>
                <w:szCs w:val="24"/>
                <w:lang w:eastAsia="it-IT"/>
              </w:rPr>
              <w:t>libera circolazione</w:t>
            </w:r>
            <w:r w:rsidRPr="00E069B2">
              <w:rPr>
                <w:rFonts w:ascii="Arial" w:eastAsia="Times New Roman" w:hAnsi="Arial" w:cs="Arial"/>
                <w:sz w:val="24"/>
                <w:szCs w:val="24"/>
                <w:lang w:eastAsia="it-IT"/>
              </w:rPr>
              <w:t xml:space="preserve"> né la permanenza dei bagnanti su almeno l’80% dell’arenile.</w:t>
            </w:r>
          </w:p>
          <w:p w14:paraId="27914E59" w14:textId="66927DE4"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xml:space="preserve">- Strutture solo </w:t>
            </w:r>
            <w:r w:rsidRPr="00E069B2">
              <w:rPr>
                <w:rFonts w:ascii="Arial" w:eastAsia="Times New Roman" w:hAnsi="Arial" w:cs="Arial"/>
                <w:b/>
                <w:bCs/>
                <w:sz w:val="24"/>
                <w:szCs w:val="24"/>
                <w:lang w:eastAsia="it-IT"/>
              </w:rPr>
              <w:t>amovibili</w:t>
            </w:r>
            <w:r w:rsidRPr="00E069B2">
              <w:rPr>
                <w:rFonts w:ascii="Arial" w:eastAsia="Times New Roman" w:hAnsi="Arial" w:cs="Arial"/>
                <w:sz w:val="24"/>
                <w:szCs w:val="24"/>
                <w:lang w:eastAsia="it-IT"/>
              </w:rPr>
              <w:t xml:space="preserve"> e limitate nel tempo. </w:t>
            </w:r>
          </w:p>
          <w:p w14:paraId="0C77825A"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tc>
        <w:tc>
          <w:tcPr>
            <w:tcW w:w="2569" w:type="dxa"/>
            <w:tcBorders>
              <w:top w:val="single" w:sz="6" w:space="0" w:color="auto"/>
              <w:left w:val="single" w:sz="6" w:space="0" w:color="auto"/>
              <w:bottom w:val="single" w:sz="6" w:space="0" w:color="auto"/>
              <w:right w:val="single" w:sz="6" w:space="0" w:color="auto"/>
            </w:tcBorders>
            <w:shd w:val="clear" w:color="auto" w:fill="auto"/>
            <w:hideMark/>
          </w:tcPr>
          <w:p w14:paraId="09F508F9" w14:textId="77777777" w:rsidR="00F27608"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xml:space="preserve">- Non è prevista una disciplina specifica di </w:t>
            </w:r>
            <w:r w:rsidRPr="00E069B2">
              <w:rPr>
                <w:rFonts w:ascii="Arial" w:eastAsia="Times New Roman" w:hAnsi="Arial" w:cs="Arial"/>
                <w:b/>
                <w:bCs/>
                <w:sz w:val="24"/>
                <w:szCs w:val="24"/>
                <w:lang w:eastAsia="it-IT"/>
              </w:rPr>
              <w:t>indennizzo</w:t>
            </w:r>
            <w:r w:rsidRPr="00E069B2">
              <w:rPr>
                <w:rFonts w:ascii="Arial" w:eastAsia="Times New Roman" w:hAnsi="Arial" w:cs="Arial"/>
                <w:sz w:val="24"/>
                <w:szCs w:val="24"/>
                <w:lang w:eastAsia="it-IT"/>
              </w:rPr>
              <w:t xml:space="preserve"> per il concessionario uscente in caso di nuova gara.</w:t>
            </w:r>
          </w:p>
          <w:p w14:paraId="5FD07E40" w14:textId="663E955D"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Canone d’uso corrisposto allo Stato; non è stabilito un compenso al concessionario cessante. </w:t>
            </w:r>
          </w:p>
          <w:p w14:paraId="5C8848FF"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tc>
      </w:tr>
      <w:tr w:rsidR="0089048B" w:rsidRPr="00E069B2" w14:paraId="3DE15158" w14:textId="77777777" w:rsidTr="00F27608">
        <w:trPr>
          <w:cantSplit/>
          <w:trHeight w:val="1235"/>
          <w:jc w:val="center"/>
        </w:trPr>
        <w:tc>
          <w:tcPr>
            <w:tcW w:w="577" w:type="dxa"/>
            <w:tcBorders>
              <w:top w:val="single" w:sz="6" w:space="0" w:color="auto"/>
              <w:left w:val="single" w:sz="6" w:space="0" w:color="auto"/>
              <w:bottom w:val="single" w:sz="6" w:space="0" w:color="auto"/>
              <w:right w:val="single" w:sz="6" w:space="0" w:color="auto"/>
            </w:tcBorders>
            <w:shd w:val="clear" w:color="auto" w:fill="auto"/>
            <w:textDirection w:val="btLr"/>
            <w:vAlign w:val="center"/>
            <w:hideMark/>
          </w:tcPr>
          <w:p w14:paraId="0E59A4CE" w14:textId="77777777" w:rsidR="0089048B" w:rsidRPr="00E069B2" w:rsidRDefault="0089048B" w:rsidP="001B69E2">
            <w:pPr>
              <w:spacing w:after="0" w:line="240" w:lineRule="auto"/>
              <w:ind w:left="113" w:right="113"/>
              <w:jc w:val="center"/>
              <w:textAlignment w:val="baseline"/>
              <w:rPr>
                <w:rFonts w:ascii="Segoe UI" w:eastAsia="Times New Roman" w:hAnsi="Segoe UI" w:cs="Segoe UI"/>
                <w:sz w:val="18"/>
                <w:szCs w:val="18"/>
                <w:lang w:eastAsia="it-IT"/>
              </w:rPr>
            </w:pPr>
            <w:r w:rsidRPr="00E069B2">
              <w:rPr>
                <w:rFonts w:ascii="Arial" w:eastAsia="Times New Roman" w:hAnsi="Arial" w:cs="Arial"/>
                <w:b/>
                <w:bCs/>
                <w:sz w:val="24"/>
                <w:szCs w:val="24"/>
                <w:lang w:eastAsia="it-IT"/>
              </w:rPr>
              <w:t>Grecia</w:t>
            </w:r>
          </w:p>
          <w:p w14:paraId="20142783" w14:textId="77777777" w:rsidR="0089048B" w:rsidRPr="00E069B2" w:rsidRDefault="0089048B" w:rsidP="001B69E2">
            <w:pPr>
              <w:spacing w:after="0" w:line="240" w:lineRule="auto"/>
              <w:ind w:left="113" w:right="113"/>
              <w:jc w:val="center"/>
              <w:textAlignment w:val="baseline"/>
              <w:rPr>
                <w:rFonts w:ascii="Segoe UI" w:eastAsia="Times New Roman" w:hAnsi="Segoe UI" w:cs="Segoe UI"/>
                <w:sz w:val="18"/>
                <w:szCs w:val="18"/>
                <w:lang w:eastAsia="it-IT"/>
              </w:rPr>
            </w:pPr>
          </w:p>
        </w:tc>
        <w:tc>
          <w:tcPr>
            <w:tcW w:w="2556" w:type="dxa"/>
            <w:tcBorders>
              <w:top w:val="single" w:sz="6" w:space="0" w:color="auto"/>
              <w:left w:val="single" w:sz="6" w:space="0" w:color="auto"/>
              <w:bottom w:val="single" w:sz="6" w:space="0" w:color="auto"/>
              <w:right w:val="single" w:sz="6" w:space="0" w:color="auto"/>
            </w:tcBorders>
            <w:shd w:val="clear" w:color="auto" w:fill="auto"/>
            <w:hideMark/>
          </w:tcPr>
          <w:p w14:paraId="70064FEF" w14:textId="255BC16C"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xml:space="preserve">- In base alla </w:t>
            </w:r>
            <w:r w:rsidRPr="00E069B2">
              <w:rPr>
                <w:rFonts w:ascii="Arial" w:eastAsia="Times New Roman" w:hAnsi="Arial" w:cs="Arial"/>
                <w:b/>
                <w:bCs/>
                <w:sz w:val="24"/>
                <w:szCs w:val="24"/>
                <w:lang w:eastAsia="it-IT"/>
              </w:rPr>
              <w:t>Legge 2971/2001</w:t>
            </w:r>
            <w:r w:rsidRPr="00E069B2">
              <w:rPr>
                <w:rFonts w:ascii="Arial" w:eastAsia="Times New Roman" w:hAnsi="Arial" w:cs="Arial"/>
                <w:sz w:val="24"/>
                <w:szCs w:val="24"/>
                <w:lang w:eastAsia="it-IT"/>
              </w:rPr>
              <w:t xml:space="preserve">, è obbligatoria la gara pubblica in tutti i casi di concessione per attività turistiche, </w:t>
            </w:r>
            <w:r w:rsidRPr="00E069B2">
              <w:rPr>
                <w:rFonts w:ascii="Arial" w:eastAsia="Times New Roman" w:hAnsi="Arial" w:cs="Arial"/>
                <w:b/>
                <w:bCs/>
                <w:sz w:val="24"/>
                <w:szCs w:val="24"/>
                <w:lang w:eastAsia="it-IT"/>
              </w:rPr>
              <w:t>eccetto</w:t>
            </w:r>
            <w:r w:rsidRPr="00E069B2">
              <w:rPr>
                <w:rFonts w:ascii="Arial" w:eastAsia="Times New Roman" w:hAnsi="Arial" w:cs="Arial"/>
                <w:sz w:val="24"/>
                <w:szCs w:val="24"/>
                <w:lang w:eastAsia="it-IT"/>
              </w:rPr>
              <w:t xml:space="preserve"> per gli alberghi fronte spiaggia, che hanno un titolo annuale semplificato per motivi di posizione. </w:t>
            </w:r>
          </w:p>
        </w:tc>
        <w:tc>
          <w:tcPr>
            <w:tcW w:w="2712" w:type="dxa"/>
            <w:tcBorders>
              <w:top w:val="single" w:sz="6" w:space="0" w:color="auto"/>
              <w:left w:val="single" w:sz="6" w:space="0" w:color="auto"/>
              <w:bottom w:val="single" w:sz="6" w:space="0" w:color="auto"/>
              <w:right w:val="single" w:sz="6" w:space="0" w:color="auto"/>
            </w:tcBorders>
            <w:shd w:val="clear" w:color="auto" w:fill="auto"/>
            <w:hideMark/>
          </w:tcPr>
          <w:p w14:paraId="0F41A661" w14:textId="77777777" w:rsidR="00F27608"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xml:space="preserve">- Il testo non specifica una </w:t>
            </w:r>
            <w:r w:rsidRPr="00E069B2">
              <w:rPr>
                <w:rFonts w:ascii="Arial" w:eastAsia="Times New Roman" w:hAnsi="Arial" w:cs="Arial"/>
                <w:b/>
                <w:bCs/>
                <w:sz w:val="24"/>
                <w:szCs w:val="24"/>
                <w:lang w:eastAsia="it-IT"/>
              </w:rPr>
              <w:t>durata massima univoca</w:t>
            </w:r>
            <w:r w:rsidRPr="00E069B2">
              <w:rPr>
                <w:rFonts w:ascii="Arial" w:eastAsia="Times New Roman" w:hAnsi="Arial" w:cs="Arial"/>
                <w:sz w:val="24"/>
                <w:szCs w:val="24"/>
                <w:lang w:eastAsia="it-IT"/>
              </w:rPr>
              <w:t>.</w:t>
            </w:r>
          </w:p>
          <w:p w14:paraId="3D357E68" w14:textId="7062C4BB" w:rsidR="0089048B" w:rsidRPr="00E069B2" w:rsidRDefault="00F27608" w:rsidP="0089048B">
            <w:pPr>
              <w:spacing w:after="0" w:line="240" w:lineRule="auto"/>
              <w:jc w:val="both"/>
              <w:textAlignment w:val="baseline"/>
              <w:rPr>
                <w:rFonts w:ascii="Segoe UI" w:eastAsia="Times New Roman" w:hAnsi="Segoe UI" w:cs="Segoe UI"/>
                <w:sz w:val="18"/>
                <w:szCs w:val="18"/>
                <w:lang w:eastAsia="it-IT"/>
              </w:rPr>
            </w:pPr>
            <w:r>
              <w:rPr>
                <w:rFonts w:ascii="Arial" w:eastAsia="Times New Roman" w:hAnsi="Arial" w:cs="Arial"/>
                <w:sz w:val="24"/>
                <w:szCs w:val="24"/>
                <w:lang w:eastAsia="it-IT"/>
              </w:rPr>
              <w:t>-</w:t>
            </w:r>
            <w:r w:rsidR="00175FFF">
              <w:rPr>
                <w:rFonts w:ascii="Arial" w:eastAsia="Times New Roman" w:hAnsi="Arial" w:cs="Arial"/>
                <w:sz w:val="24"/>
                <w:szCs w:val="24"/>
                <w:lang w:eastAsia="it-IT"/>
              </w:rPr>
              <w:t xml:space="preserve"> </w:t>
            </w:r>
            <w:r w:rsidR="0089048B" w:rsidRPr="00E069B2">
              <w:rPr>
                <w:rFonts w:ascii="Arial" w:eastAsia="Times New Roman" w:hAnsi="Arial" w:cs="Arial"/>
                <w:sz w:val="24"/>
                <w:szCs w:val="24"/>
                <w:lang w:eastAsia="it-IT"/>
              </w:rPr>
              <w:t>Concessioni e leasing con durata fissata di volta in volta dalla Pubblica Amministrazione. </w:t>
            </w:r>
          </w:p>
          <w:p w14:paraId="483F3BEA"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tc>
        <w:tc>
          <w:tcPr>
            <w:tcW w:w="2427" w:type="dxa"/>
            <w:tcBorders>
              <w:top w:val="single" w:sz="6" w:space="0" w:color="auto"/>
              <w:left w:val="single" w:sz="6" w:space="0" w:color="auto"/>
              <w:bottom w:val="single" w:sz="6" w:space="0" w:color="auto"/>
              <w:right w:val="single" w:sz="6" w:space="0" w:color="auto"/>
            </w:tcBorders>
            <w:shd w:val="clear" w:color="auto" w:fill="auto"/>
            <w:hideMark/>
          </w:tcPr>
          <w:p w14:paraId="14C72FEE" w14:textId="0B56634B" w:rsidR="00F27608"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Non pare esservi un’</w:t>
            </w:r>
            <w:r w:rsidRPr="00E069B2">
              <w:rPr>
                <w:rFonts w:ascii="Arial" w:eastAsia="Times New Roman" w:hAnsi="Arial" w:cs="Arial"/>
                <w:b/>
                <w:bCs/>
                <w:sz w:val="24"/>
                <w:szCs w:val="24"/>
                <w:lang w:eastAsia="it-IT"/>
              </w:rPr>
              <w:t>esclusività piena</w:t>
            </w:r>
            <w:r w:rsidR="00175FFF">
              <w:rPr>
                <w:rFonts w:ascii="Arial" w:eastAsia="Times New Roman" w:hAnsi="Arial" w:cs="Arial"/>
                <w:sz w:val="24"/>
                <w:szCs w:val="24"/>
                <w:lang w:eastAsia="it-IT"/>
              </w:rPr>
              <w:t xml:space="preserve"> dell’uso della spiaggia.</w:t>
            </w:r>
            <w:r w:rsidRPr="00E069B2">
              <w:rPr>
                <w:rFonts w:ascii="Arial" w:eastAsia="Times New Roman" w:hAnsi="Arial" w:cs="Arial"/>
                <w:sz w:val="24"/>
                <w:szCs w:val="24"/>
                <w:lang w:eastAsia="it-IT"/>
              </w:rPr>
              <w:t xml:space="preserve"> </w:t>
            </w:r>
          </w:p>
          <w:p w14:paraId="3CEA5B92" w14:textId="741D34D2" w:rsidR="0089048B" w:rsidRPr="00E069B2" w:rsidRDefault="00F27608" w:rsidP="0089048B">
            <w:pPr>
              <w:spacing w:after="0" w:line="240" w:lineRule="auto"/>
              <w:jc w:val="both"/>
              <w:textAlignment w:val="baseline"/>
              <w:rPr>
                <w:rFonts w:ascii="Segoe UI" w:eastAsia="Times New Roman" w:hAnsi="Segoe UI" w:cs="Segoe UI"/>
                <w:sz w:val="18"/>
                <w:szCs w:val="18"/>
                <w:lang w:eastAsia="it-IT"/>
              </w:rPr>
            </w:pPr>
            <w:r>
              <w:rPr>
                <w:rFonts w:ascii="Arial" w:eastAsia="Times New Roman" w:hAnsi="Arial" w:cs="Arial"/>
                <w:sz w:val="24"/>
                <w:szCs w:val="24"/>
                <w:lang w:eastAsia="it-IT"/>
              </w:rPr>
              <w:t xml:space="preserve">- </w:t>
            </w:r>
            <w:r w:rsidR="00175FFF">
              <w:rPr>
                <w:rFonts w:ascii="Arial" w:eastAsia="Times New Roman" w:hAnsi="Arial" w:cs="Arial"/>
                <w:sz w:val="24"/>
                <w:szCs w:val="24"/>
                <w:lang w:eastAsia="it-IT"/>
              </w:rPr>
              <w:t>L</w:t>
            </w:r>
            <w:r w:rsidR="0089048B" w:rsidRPr="00E069B2">
              <w:rPr>
                <w:rFonts w:ascii="Arial" w:eastAsia="Times New Roman" w:hAnsi="Arial" w:cs="Arial"/>
                <w:sz w:val="24"/>
                <w:szCs w:val="24"/>
                <w:lang w:eastAsia="it-IT"/>
              </w:rPr>
              <w:t xml:space="preserve">a legge mira soprattutto a evitare modifiche morfologiche e a </w:t>
            </w:r>
            <w:r w:rsidR="0089048B" w:rsidRPr="00F27608">
              <w:rPr>
                <w:rFonts w:ascii="Arial" w:eastAsia="Times New Roman" w:hAnsi="Arial" w:cs="Arial"/>
                <w:b/>
                <w:sz w:val="24"/>
                <w:szCs w:val="24"/>
                <w:lang w:eastAsia="it-IT"/>
              </w:rPr>
              <w:t>salvaguardare la fruizione pubblica</w:t>
            </w:r>
            <w:r w:rsidR="0089048B" w:rsidRPr="00E069B2">
              <w:rPr>
                <w:rFonts w:ascii="Arial" w:eastAsia="Times New Roman" w:hAnsi="Arial" w:cs="Arial"/>
                <w:sz w:val="24"/>
                <w:szCs w:val="24"/>
                <w:lang w:eastAsia="it-IT"/>
              </w:rPr>
              <w:t>. </w:t>
            </w:r>
          </w:p>
          <w:p w14:paraId="05C7C889"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tc>
        <w:tc>
          <w:tcPr>
            <w:tcW w:w="2569" w:type="dxa"/>
            <w:tcBorders>
              <w:top w:val="single" w:sz="6" w:space="0" w:color="auto"/>
              <w:left w:val="single" w:sz="6" w:space="0" w:color="auto"/>
              <w:bottom w:val="single" w:sz="6" w:space="0" w:color="auto"/>
              <w:right w:val="single" w:sz="6" w:space="0" w:color="auto"/>
            </w:tcBorders>
            <w:shd w:val="clear" w:color="auto" w:fill="auto"/>
            <w:hideMark/>
          </w:tcPr>
          <w:p w14:paraId="4E547448" w14:textId="77777777" w:rsidR="00F27608"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Non è indicata una disciplina espressa di indennizzo.</w:t>
            </w:r>
          </w:p>
          <w:p w14:paraId="5C64D0BD" w14:textId="13FC3A4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xml:space="preserve">- L’amministrazione si riserva il diritto di </w:t>
            </w:r>
            <w:r w:rsidRPr="00E069B2">
              <w:rPr>
                <w:rFonts w:ascii="Arial" w:eastAsia="Times New Roman" w:hAnsi="Arial" w:cs="Arial"/>
                <w:b/>
                <w:bCs/>
                <w:sz w:val="24"/>
                <w:szCs w:val="24"/>
                <w:lang w:eastAsia="it-IT"/>
              </w:rPr>
              <w:t>recedere unilateralmente</w:t>
            </w:r>
            <w:r w:rsidRPr="00E069B2">
              <w:rPr>
                <w:rFonts w:ascii="Arial" w:eastAsia="Times New Roman" w:hAnsi="Arial" w:cs="Arial"/>
                <w:sz w:val="24"/>
                <w:szCs w:val="24"/>
                <w:lang w:eastAsia="it-IT"/>
              </w:rPr>
              <w:t>. </w:t>
            </w:r>
          </w:p>
          <w:p w14:paraId="22A8B981"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tc>
      </w:tr>
      <w:tr w:rsidR="0089048B" w:rsidRPr="00E069B2" w14:paraId="405545A3" w14:textId="77777777" w:rsidTr="00F27608">
        <w:trPr>
          <w:cantSplit/>
          <w:trHeight w:val="1235"/>
          <w:jc w:val="center"/>
        </w:trPr>
        <w:tc>
          <w:tcPr>
            <w:tcW w:w="577" w:type="dxa"/>
            <w:tcBorders>
              <w:top w:val="single" w:sz="6" w:space="0" w:color="auto"/>
              <w:left w:val="single" w:sz="6" w:space="0" w:color="auto"/>
              <w:bottom w:val="single" w:sz="6" w:space="0" w:color="auto"/>
              <w:right w:val="single" w:sz="6" w:space="0" w:color="auto"/>
            </w:tcBorders>
            <w:shd w:val="clear" w:color="auto" w:fill="auto"/>
            <w:textDirection w:val="btLr"/>
            <w:vAlign w:val="center"/>
            <w:hideMark/>
          </w:tcPr>
          <w:p w14:paraId="07FA81C0" w14:textId="77777777" w:rsidR="0089048B" w:rsidRPr="00E069B2" w:rsidRDefault="0089048B" w:rsidP="001B69E2">
            <w:pPr>
              <w:spacing w:after="0" w:line="240" w:lineRule="auto"/>
              <w:ind w:left="113" w:right="113"/>
              <w:jc w:val="center"/>
              <w:textAlignment w:val="baseline"/>
              <w:rPr>
                <w:rFonts w:ascii="Segoe UI" w:eastAsia="Times New Roman" w:hAnsi="Segoe UI" w:cs="Segoe UI"/>
                <w:sz w:val="18"/>
                <w:szCs w:val="18"/>
                <w:lang w:eastAsia="it-IT"/>
              </w:rPr>
            </w:pPr>
            <w:r w:rsidRPr="00E069B2">
              <w:rPr>
                <w:rFonts w:ascii="Arial" w:eastAsia="Times New Roman" w:hAnsi="Arial" w:cs="Arial"/>
                <w:b/>
                <w:bCs/>
                <w:sz w:val="24"/>
                <w:szCs w:val="24"/>
                <w:lang w:eastAsia="it-IT"/>
              </w:rPr>
              <w:lastRenderedPageBreak/>
              <w:t>Portogallo</w:t>
            </w:r>
          </w:p>
          <w:p w14:paraId="305061FE" w14:textId="77777777" w:rsidR="0089048B" w:rsidRPr="00E069B2" w:rsidRDefault="0089048B" w:rsidP="001B69E2">
            <w:pPr>
              <w:spacing w:after="0" w:line="240" w:lineRule="auto"/>
              <w:ind w:left="113" w:right="113"/>
              <w:jc w:val="center"/>
              <w:textAlignment w:val="baseline"/>
              <w:rPr>
                <w:rFonts w:ascii="Segoe UI" w:eastAsia="Times New Roman" w:hAnsi="Segoe UI" w:cs="Segoe UI"/>
                <w:sz w:val="18"/>
                <w:szCs w:val="18"/>
                <w:lang w:eastAsia="it-IT"/>
              </w:rPr>
            </w:pPr>
          </w:p>
        </w:tc>
        <w:tc>
          <w:tcPr>
            <w:tcW w:w="2556" w:type="dxa"/>
            <w:tcBorders>
              <w:top w:val="single" w:sz="6" w:space="0" w:color="auto"/>
              <w:left w:val="single" w:sz="6" w:space="0" w:color="auto"/>
              <w:bottom w:val="single" w:sz="6" w:space="0" w:color="auto"/>
              <w:right w:val="single" w:sz="6" w:space="0" w:color="auto"/>
            </w:tcBorders>
            <w:shd w:val="clear" w:color="auto" w:fill="auto"/>
            <w:hideMark/>
          </w:tcPr>
          <w:p w14:paraId="754BC6B4" w14:textId="77777777" w:rsidR="00F27608"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xml:space="preserve">- </w:t>
            </w:r>
            <w:r w:rsidR="00F27608">
              <w:rPr>
                <w:rFonts w:ascii="Arial" w:eastAsia="Times New Roman" w:hAnsi="Arial" w:cs="Arial"/>
                <w:sz w:val="24"/>
                <w:szCs w:val="24"/>
                <w:lang w:eastAsia="it-IT"/>
              </w:rPr>
              <w:t>Procedura</w:t>
            </w:r>
            <w:r w:rsidRPr="00E069B2">
              <w:rPr>
                <w:rFonts w:ascii="Arial" w:eastAsia="Times New Roman" w:hAnsi="Arial" w:cs="Arial"/>
                <w:sz w:val="24"/>
                <w:szCs w:val="24"/>
                <w:lang w:eastAsia="it-IT"/>
              </w:rPr>
              <w:t xml:space="preserve"> </w:t>
            </w:r>
            <w:r w:rsidRPr="00E069B2">
              <w:rPr>
                <w:rFonts w:ascii="Arial" w:eastAsia="Times New Roman" w:hAnsi="Arial" w:cs="Arial"/>
                <w:b/>
                <w:bCs/>
                <w:sz w:val="24"/>
                <w:szCs w:val="24"/>
                <w:lang w:eastAsia="it-IT"/>
              </w:rPr>
              <w:t>concorsuale</w:t>
            </w:r>
            <w:r w:rsidRPr="00E069B2">
              <w:rPr>
                <w:rFonts w:ascii="Arial" w:eastAsia="Times New Roman" w:hAnsi="Arial" w:cs="Arial"/>
                <w:sz w:val="24"/>
                <w:szCs w:val="24"/>
                <w:lang w:eastAsia="it-IT"/>
              </w:rPr>
              <w:t xml:space="preserve"> per l’ottenimento di licenze e concessioni per lo sfruttamento turistico delle spiagge.</w:t>
            </w:r>
          </w:p>
          <w:p w14:paraId="16CC0C71" w14:textId="63D11725"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xml:space="preserve">- </w:t>
            </w:r>
            <w:r w:rsidRPr="00E069B2">
              <w:rPr>
                <w:rFonts w:ascii="Arial" w:eastAsia="Times New Roman" w:hAnsi="Arial" w:cs="Arial"/>
                <w:b/>
                <w:bCs/>
                <w:sz w:val="24"/>
                <w:szCs w:val="24"/>
                <w:lang w:eastAsia="it-IT"/>
              </w:rPr>
              <w:t>Diritto di prelazione</w:t>
            </w:r>
            <w:r w:rsidRPr="00E069B2">
              <w:rPr>
                <w:rFonts w:ascii="Arial" w:eastAsia="Times New Roman" w:hAnsi="Arial" w:cs="Arial"/>
                <w:sz w:val="24"/>
                <w:szCs w:val="24"/>
                <w:lang w:eastAsia="it-IT"/>
              </w:rPr>
              <w:t xml:space="preserve"> del concessionario uscente se comunica l’interesse </w:t>
            </w:r>
            <w:r w:rsidR="00F27608">
              <w:rPr>
                <w:rFonts w:ascii="Arial" w:eastAsia="Times New Roman" w:hAnsi="Arial" w:cs="Arial"/>
                <w:sz w:val="24"/>
                <w:szCs w:val="24"/>
                <w:lang w:eastAsia="it-IT"/>
              </w:rPr>
              <w:t>al rinnovo almeno un anno prima o 10 giorni dopo l’aggiudicazione se si conforma alle nuove condizioni.</w:t>
            </w:r>
            <w:r w:rsidRPr="00E069B2">
              <w:rPr>
                <w:rFonts w:ascii="Arial" w:eastAsia="Times New Roman" w:hAnsi="Arial" w:cs="Arial"/>
                <w:sz w:val="24"/>
                <w:szCs w:val="24"/>
                <w:lang w:eastAsia="it-IT"/>
              </w:rPr>
              <w:t> </w:t>
            </w:r>
          </w:p>
          <w:p w14:paraId="2D060340"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tc>
        <w:tc>
          <w:tcPr>
            <w:tcW w:w="2712" w:type="dxa"/>
            <w:tcBorders>
              <w:top w:val="single" w:sz="6" w:space="0" w:color="auto"/>
              <w:left w:val="single" w:sz="6" w:space="0" w:color="auto"/>
              <w:bottom w:val="single" w:sz="6" w:space="0" w:color="auto"/>
              <w:right w:val="single" w:sz="6" w:space="0" w:color="auto"/>
            </w:tcBorders>
            <w:shd w:val="clear" w:color="auto" w:fill="auto"/>
            <w:hideMark/>
          </w:tcPr>
          <w:p w14:paraId="185BA1A4" w14:textId="77777777" w:rsidR="00F27608"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In linea generale, durata variabile secondo le condizioni.</w:t>
            </w:r>
          </w:p>
          <w:p w14:paraId="5AB76A91" w14:textId="5B5CF624"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xml:space="preserve">- Possibile </w:t>
            </w:r>
            <w:r w:rsidRPr="00E069B2">
              <w:rPr>
                <w:rFonts w:ascii="Arial" w:eastAsia="Times New Roman" w:hAnsi="Arial" w:cs="Arial"/>
                <w:b/>
                <w:bCs/>
                <w:sz w:val="24"/>
                <w:szCs w:val="24"/>
                <w:lang w:eastAsia="it-IT"/>
              </w:rPr>
              <w:t>proroga fino a 75 anni</w:t>
            </w:r>
            <w:r w:rsidRPr="00E069B2">
              <w:rPr>
                <w:rFonts w:ascii="Arial" w:eastAsia="Times New Roman" w:hAnsi="Arial" w:cs="Arial"/>
                <w:sz w:val="24"/>
                <w:szCs w:val="24"/>
                <w:lang w:eastAsia="it-IT"/>
              </w:rPr>
              <w:t xml:space="preserve"> se ci sono investimenti aggiuntivi non ancora ammortizzati. </w:t>
            </w:r>
          </w:p>
          <w:p w14:paraId="49801EFB"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tc>
        <w:tc>
          <w:tcPr>
            <w:tcW w:w="2427" w:type="dxa"/>
            <w:tcBorders>
              <w:top w:val="single" w:sz="6" w:space="0" w:color="auto"/>
              <w:left w:val="single" w:sz="6" w:space="0" w:color="auto"/>
              <w:bottom w:val="single" w:sz="6" w:space="0" w:color="auto"/>
              <w:right w:val="single" w:sz="6" w:space="0" w:color="auto"/>
            </w:tcBorders>
            <w:shd w:val="clear" w:color="auto" w:fill="auto"/>
            <w:hideMark/>
          </w:tcPr>
          <w:p w14:paraId="15CB5747" w14:textId="77777777" w:rsidR="00F27608"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xml:space="preserve">- Non è esclusa la possibilità di un uso </w:t>
            </w:r>
            <w:r w:rsidRPr="00E069B2">
              <w:rPr>
                <w:rFonts w:ascii="Arial" w:eastAsia="Times New Roman" w:hAnsi="Arial" w:cs="Arial"/>
                <w:b/>
                <w:bCs/>
                <w:sz w:val="24"/>
                <w:szCs w:val="24"/>
                <w:lang w:eastAsia="it-IT"/>
              </w:rPr>
              <w:t>esclusivo</w:t>
            </w:r>
            <w:r w:rsidRPr="00E069B2">
              <w:rPr>
                <w:rFonts w:ascii="Arial" w:eastAsia="Times New Roman" w:hAnsi="Arial" w:cs="Arial"/>
                <w:sz w:val="24"/>
                <w:szCs w:val="24"/>
                <w:lang w:eastAsia="it-IT"/>
              </w:rPr>
              <w:t xml:space="preserve"> dell’area, anche se il regime riconosce la finalità pubblica e la balneabilità generale dell’arenile.</w:t>
            </w:r>
          </w:p>
          <w:p w14:paraId="53316903" w14:textId="66C7B082"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La legge prevede però limiti (ad es. aree libere). </w:t>
            </w:r>
          </w:p>
          <w:p w14:paraId="29966C29"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tc>
        <w:tc>
          <w:tcPr>
            <w:tcW w:w="2569" w:type="dxa"/>
            <w:tcBorders>
              <w:top w:val="single" w:sz="6" w:space="0" w:color="auto"/>
              <w:left w:val="single" w:sz="6" w:space="0" w:color="auto"/>
              <w:bottom w:val="single" w:sz="6" w:space="0" w:color="auto"/>
              <w:right w:val="single" w:sz="6" w:space="0" w:color="auto"/>
            </w:tcBorders>
            <w:shd w:val="clear" w:color="auto" w:fill="auto"/>
            <w:hideMark/>
          </w:tcPr>
          <w:p w14:paraId="13A6C7B2" w14:textId="77777777" w:rsidR="00F27608"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xml:space="preserve">- Se l’investimento non è stato recuperato, il concessionario può ottenere </w:t>
            </w:r>
            <w:r w:rsidRPr="00E069B2">
              <w:rPr>
                <w:rFonts w:ascii="Arial" w:eastAsia="Times New Roman" w:hAnsi="Arial" w:cs="Arial"/>
                <w:b/>
                <w:bCs/>
                <w:sz w:val="24"/>
                <w:szCs w:val="24"/>
                <w:lang w:eastAsia="it-IT"/>
              </w:rPr>
              <w:t>rimborso</w:t>
            </w:r>
            <w:r w:rsidRPr="00E069B2">
              <w:rPr>
                <w:rFonts w:ascii="Arial" w:eastAsia="Times New Roman" w:hAnsi="Arial" w:cs="Arial"/>
                <w:sz w:val="24"/>
                <w:szCs w:val="24"/>
                <w:lang w:eastAsia="it-IT"/>
              </w:rPr>
              <w:t xml:space="preserve"> o proroga.</w:t>
            </w:r>
          </w:p>
          <w:p w14:paraId="0AC03318" w14:textId="0954C218"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Non è previsto un meccanismo di indennizzo “automatico” ma opera il diritto di prelazione o la proroga legata agli investimenti. </w:t>
            </w:r>
          </w:p>
          <w:p w14:paraId="0A74DD2A"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tc>
      </w:tr>
      <w:tr w:rsidR="0089048B" w:rsidRPr="00E069B2" w14:paraId="6C2180A3" w14:textId="77777777" w:rsidTr="00F27608">
        <w:trPr>
          <w:cantSplit/>
          <w:trHeight w:val="1235"/>
          <w:jc w:val="center"/>
        </w:trPr>
        <w:tc>
          <w:tcPr>
            <w:tcW w:w="577" w:type="dxa"/>
            <w:tcBorders>
              <w:top w:val="single" w:sz="6" w:space="0" w:color="auto"/>
              <w:left w:val="single" w:sz="6" w:space="0" w:color="auto"/>
              <w:bottom w:val="single" w:sz="6" w:space="0" w:color="auto"/>
              <w:right w:val="single" w:sz="6" w:space="0" w:color="auto"/>
            </w:tcBorders>
            <w:shd w:val="clear" w:color="auto" w:fill="auto"/>
            <w:textDirection w:val="btLr"/>
            <w:vAlign w:val="center"/>
            <w:hideMark/>
          </w:tcPr>
          <w:p w14:paraId="225D4C98" w14:textId="77777777" w:rsidR="0089048B" w:rsidRPr="00E069B2" w:rsidRDefault="0089048B" w:rsidP="001B69E2">
            <w:pPr>
              <w:spacing w:after="0" w:line="240" w:lineRule="auto"/>
              <w:ind w:left="113" w:right="113"/>
              <w:jc w:val="center"/>
              <w:textAlignment w:val="baseline"/>
              <w:rPr>
                <w:rFonts w:ascii="Segoe UI" w:eastAsia="Times New Roman" w:hAnsi="Segoe UI" w:cs="Segoe UI"/>
                <w:sz w:val="18"/>
                <w:szCs w:val="18"/>
                <w:lang w:eastAsia="it-IT"/>
              </w:rPr>
            </w:pPr>
            <w:r w:rsidRPr="00E069B2">
              <w:rPr>
                <w:rFonts w:ascii="Arial" w:eastAsia="Times New Roman" w:hAnsi="Arial" w:cs="Arial"/>
                <w:b/>
                <w:bCs/>
                <w:sz w:val="24"/>
                <w:szCs w:val="24"/>
                <w:lang w:eastAsia="it-IT"/>
              </w:rPr>
              <w:t>Spagna</w:t>
            </w:r>
          </w:p>
          <w:p w14:paraId="7050168B" w14:textId="77777777" w:rsidR="0089048B" w:rsidRPr="00E069B2" w:rsidRDefault="0089048B" w:rsidP="001B69E2">
            <w:pPr>
              <w:spacing w:after="0" w:line="240" w:lineRule="auto"/>
              <w:ind w:left="113" w:right="113"/>
              <w:jc w:val="center"/>
              <w:textAlignment w:val="baseline"/>
              <w:rPr>
                <w:rFonts w:ascii="Segoe UI" w:eastAsia="Times New Roman" w:hAnsi="Segoe UI" w:cs="Segoe UI"/>
                <w:sz w:val="18"/>
                <w:szCs w:val="18"/>
                <w:lang w:eastAsia="it-IT"/>
              </w:rPr>
            </w:pPr>
          </w:p>
        </w:tc>
        <w:tc>
          <w:tcPr>
            <w:tcW w:w="2556" w:type="dxa"/>
            <w:tcBorders>
              <w:top w:val="single" w:sz="6" w:space="0" w:color="auto"/>
              <w:left w:val="single" w:sz="6" w:space="0" w:color="auto"/>
              <w:bottom w:val="single" w:sz="6" w:space="0" w:color="auto"/>
              <w:right w:val="single" w:sz="6" w:space="0" w:color="auto"/>
            </w:tcBorders>
            <w:shd w:val="clear" w:color="auto" w:fill="auto"/>
            <w:hideMark/>
          </w:tcPr>
          <w:p w14:paraId="7C87B9D2" w14:textId="77777777" w:rsidR="007A1971"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xml:space="preserve">- La Ley de Costas (22/1988), modificata dalla Ley 2/2013, prevede l’occupazione del demanio con </w:t>
            </w:r>
            <w:r w:rsidRPr="00E069B2">
              <w:rPr>
                <w:rFonts w:ascii="Arial" w:eastAsia="Times New Roman" w:hAnsi="Arial" w:cs="Arial"/>
                <w:b/>
                <w:bCs/>
                <w:sz w:val="24"/>
                <w:szCs w:val="24"/>
                <w:lang w:eastAsia="it-IT"/>
              </w:rPr>
              <w:t>titoli concessori</w:t>
            </w:r>
            <w:r w:rsidRPr="00E069B2">
              <w:rPr>
                <w:rFonts w:ascii="Arial" w:eastAsia="Times New Roman" w:hAnsi="Arial" w:cs="Arial"/>
                <w:sz w:val="24"/>
                <w:szCs w:val="24"/>
                <w:lang w:eastAsia="it-IT"/>
              </w:rPr>
              <w:t xml:space="preserve"> rilasciati dall’Amministrazione statale competente.</w:t>
            </w:r>
          </w:p>
          <w:p w14:paraId="4B7DBC98" w14:textId="6B8C32DA"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Non vi è un riferimento specifico a una “gara pubblica” generalizzata come in altri contesti, ma la concessione segue un iter amministrativo. </w:t>
            </w:r>
          </w:p>
          <w:p w14:paraId="31B8F4DA"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tc>
        <w:tc>
          <w:tcPr>
            <w:tcW w:w="2712" w:type="dxa"/>
            <w:tcBorders>
              <w:top w:val="single" w:sz="6" w:space="0" w:color="auto"/>
              <w:left w:val="single" w:sz="6" w:space="0" w:color="auto"/>
              <w:bottom w:val="single" w:sz="6" w:space="0" w:color="auto"/>
              <w:right w:val="single" w:sz="6" w:space="0" w:color="auto"/>
            </w:tcBorders>
            <w:shd w:val="clear" w:color="auto" w:fill="auto"/>
            <w:hideMark/>
          </w:tcPr>
          <w:p w14:paraId="06492E13" w14:textId="06CF0AB4" w:rsidR="00861D40"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xml:space="preserve">- Prima del 2013 era </w:t>
            </w:r>
            <w:r w:rsidR="00861D40">
              <w:rPr>
                <w:rFonts w:ascii="Arial" w:eastAsia="Times New Roman" w:hAnsi="Arial" w:cs="Arial"/>
                <w:sz w:val="24"/>
                <w:szCs w:val="24"/>
                <w:lang w:eastAsia="it-IT"/>
              </w:rPr>
              <w:t>di massimo</w:t>
            </w:r>
            <w:r w:rsidRPr="00E069B2">
              <w:rPr>
                <w:rFonts w:ascii="Arial" w:eastAsia="Times New Roman" w:hAnsi="Arial" w:cs="Arial"/>
                <w:sz w:val="24"/>
                <w:szCs w:val="24"/>
                <w:lang w:eastAsia="it-IT"/>
              </w:rPr>
              <w:t xml:space="preserve"> </w:t>
            </w:r>
            <w:r w:rsidRPr="00E069B2">
              <w:rPr>
                <w:rFonts w:ascii="Arial" w:eastAsia="Times New Roman" w:hAnsi="Arial" w:cs="Arial"/>
                <w:b/>
                <w:bCs/>
                <w:sz w:val="24"/>
                <w:szCs w:val="24"/>
                <w:lang w:eastAsia="it-IT"/>
              </w:rPr>
              <w:t>30 anni</w:t>
            </w:r>
            <w:r w:rsidRPr="00E069B2">
              <w:rPr>
                <w:rFonts w:ascii="Arial" w:eastAsia="Times New Roman" w:hAnsi="Arial" w:cs="Arial"/>
                <w:sz w:val="24"/>
                <w:szCs w:val="24"/>
                <w:lang w:eastAsia="it-IT"/>
              </w:rPr>
              <w:t>.</w:t>
            </w:r>
          </w:p>
          <w:p w14:paraId="51E53F6E" w14:textId="4A6B026F" w:rsidR="007A1971"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xml:space="preserve">- Oggi la durata può arrivare fino a </w:t>
            </w:r>
            <w:r w:rsidRPr="00E069B2">
              <w:rPr>
                <w:rFonts w:ascii="Arial" w:eastAsia="Times New Roman" w:hAnsi="Arial" w:cs="Arial"/>
                <w:b/>
                <w:bCs/>
                <w:sz w:val="24"/>
                <w:szCs w:val="24"/>
                <w:lang w:eastAsia="it-IT"/>
              </w:rPr>
              <w:t>75 anni</w:t>
            </w:r>
            <w:r w:rsidRPr="00E069B2">
              <w:rPr>
                <w:rFonts w:ascii="Arial" w:eastAsia="Times New Roman" w:hAnsi="Arial" w:cs="Arial"/>
                <w:sz w:val="24"/>
                <w:szCs w:val="24"/>
                <w:lang w:eastAsia="it-IT"/>
              </w:rPr>
              <w:t xml:space="preserve"> (nuove concessioni o proroghe straordinarie).</w:t>
            </w:r>
          </w:p>
          <w:p w14:paraId="1F961CAC" w14:textId="1290A3B6"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xml:space="preserve">- Le autorizzazioni per attività stagionali (installazioni amovibili) fino a </w:t>
            </w:r>
            <w:r w:rsidRPr="00E069B2">
              <w:rPr>
                <w:rFonts w:ascii="Arial" w:eastAsia="Times New Roman" w:hAnsi="Arial" w:cs="Arial"/>
                <w:b/>
                <w:bCs/>
                <w:sz w:val="24"/>
                <w:szCs w:val="24"/>
                <w:lang w:eastAsia="it-IT"/>
              </w:rPr>
              <w:t>4 anni</w:t>
            </w:r>
            <w:r w:rsidRPr="00E069B2">
              <w:rPr>
                <w:rFonts w:ascii="Arial" w:eastAsia="Times New Roman" w:hAnsi="Arial" w:cs="Arial"/>
                <w:sz w:val="24"/>
                <w:szCs w:val="24"/>
                <w:lang w:eastAsia="it-IT"/>
              </w:rPr>
              <w:t>. </w:t>
            </w:r>
          </w:p>
          <w:p w14:paraId="5CD6C547"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tc>
        <w:tc>
          <w:tcPr>
            <w:tcW w:w="2427" w:type="dxa"/>
            <w:tcBorders>
              <w:top w:val="single" w:sz="6" w:space="0" w:color="auto"/>
              <w:left w:val="single" w:sz="6" w:space="0" w:color="auto"/>
              <w:bottom w:val="single" w:sz="6" w:space="0" w:color="auto"/>
              <w:right w:val="single" w:sz="6" w:space="0" w:color="auto"/>
            </w:tcBorders>
            <w:shd w:val="clear" w:color="auto" w:fill="auto"/>
            <w:hideMark/>
          </w:tcPr>
          <w:p w14:paraId="1B9E17DD" w14:textId="77777777" w:rsidR="007A1971" w:rsidRDefault="007A1971" w:rsidP="0089048B">
            <w:pPr>
              <w:spacing w:after="0" w:line="240" w:lineRule="auto"/>
              <w:jc w:val="both"/>
              <w:textAlignment w:val="baseline"/>
              <w:rPr>
                <w:rFonts w:ascii="Arial" w:eastAsia="Times New Roman" w:hAnsi="Arial" w:cs="Arial"/>
                <w:sz w:val="24"/>
                <w:szCs w:val="24"/>
                <w:lang w:eastAsia="it-IT"/>
              </w:rPr>
            </w:pPr>
            <w:r>
              <w:rPr>
                <w:rFonts w:ascii="Arial" w:eastAsia="Times New Roman" w:hAnsi="Arial" w:cs="Arial"/>
                <w:sz w:val="24"/>
                <w:szCs w:val="24"/>
                <w:lang w:eastAsia="it-IT"/>
              </w:rPr>
              <w:t xml:space="preserve">- </w:t>
            </w:r>
            <w:r w:rsidR="0089048B" w:rsidRPr="00E069B2">
              <w:rPr>
                <w:rFonts w:ascii="Arial" w:eastAsia="Times New Roman" w:hAnsi="Arial" w:cs="Arial"/>
                <w:sz w:val="24"/>
                <w:szCs w:val="24"/>
                <w:lang w:eastAsia="it-IT"/>
              </w:rPr>
              <w:t xml:space="preserve">Uso tendenzialmente </w:t>
            </w:r>
            <w:r w:rsidR="0089048B" w:rsidRPr="00E069B2">
              <w:rPr>
                <w:rFonts w:ascii="Arial" w:eastAsia="Times New Roman" w:hAnsi="Arial" w:cs="Arial"/>
                <w:b/>
                <w:bCs/>
                <w:sz w:val="24"/>
                <w:szCs w:val="24"/>
                <w:lang w:eastAsia="it-IT"/>
              </w:rPr>
              <w:t>parziale</w:t>
            </w:r>
            <w:r w:rsidR="0089048B" w:rsidRPr="00E069B2">
              <w:rPr>
                <w:rFonts w:ascii="Arial" w:eastAsia="Times New Roman" w:hAnsi="Arial" w:cs="Arial"/>
                <w:sz w:val="24"/>
                <w:szCs w:val="24"/>
                <w:lang w:eastAsia="it-IT"/>
              </w:rPr>
              <w:t xml:space="preserve"> ed eventuale del bene demaniale da parte del concessionario.</w:t>
            </w:r>
          </w:p>
          <w:p w14:paraId="365B29FB" w14:textId="1CF26F21"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La legge tutela il libero accesso al mare e la fruizione collettiva. </w:t>
            </w:r>
          </w:p>
          <w:p w14:paraId="62665F51"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tc>
        <w:tc>
          <w:tcPr>
            <w:tcW w:w="2569" w:type="dxa"/>
            <w:tcBorders>
              <w:top w:val="single" w:sz="6" w:space="0" w:color="auto"/>
              <w:left w:val="single" w:sz="6" w:space="0" w:color="auto"/>
              <w:bottom w:val="single" w:sz="6" w:space="0" w:color="auto"/>
              <w:right w:val="single" w:sz="6" w:space="0" w:color="auto"/>
            </w:tcBorders>
            <w:shd w:val="clear" w:color="auto" w:fill="auto"/>
            <w:hideMark/>
          </w:tcPr>
          <w:p w14:paraId="2C9F90D0" w14:textId="77777777" w:rsidR="007A1971" w:rsidRDefault="0089048B" w:rsidP="0089048B">
            <w:pPr>
              <w:spacing w:after="0" w:line="240" w:lineRule="auto"/>
              <w:jc w:val="both"/>
              <w:textAlignment w:val="baseline"/>
              <w:rPr>
                <w:rFonts w:ascii="Arial" w:eastAsia="Times New Roman" w:hAnsi="Arial" w:cs="Arial"/>
                <w:sz w:val="24"/>
                <w:szCs w:val="24"/>
                <w:lang w:eastAsia="it-IT"/>
              </w:rPr>
            </w:pPr>
            <w:r w:rsidRPr="00E069B2">
              <w:rPr>
                <w:rFonts w:ascii="Arial" w:eastAsia="Times New Roman" w:hAnsi="Arial" w:cs="Arial"/>
                <w:sz w:val="24"/>
                <w:szCs w:val="24"/>
                <w:lang w:eastAsia="it-IT"/>
              </w:rPr>
              <w:t xml:space="preserve">- In caso di scadenza, i concessionari possono chiedere la </w:t>
            </w:r>
            <w:r w:rsidRPr="00E069B2">
              <w:rPr>
                <w:rFonts w:ascii="Arial" w:eastAsia="Times New Roman" w:hAnsi="Arial" w:cs="Arial"/>
                <w:b/>
                <w:bCs/>
                <w:sz w:val="24"/>
                <w:szCs w:val="24"/>
                <w:lang w:eastAsia="it-IT"/>
              </w:rPr>
              <w:t>proroga</w:t>
            </w:r>
            <w:r w:rsidRPr="00E069B2">
              <w:rPr>
                <w:rFonts w:ascii="Arial" w:eastAsia="Times New Roman" w:hAnsi="Arial" w:cs="Arial"/>
                <w:sz w:val="24"/>
                <w:szCs w:val="24"/>
                <w:lang w:eastAsia="it-IT"/>
              </w:rPr>
              <w:t xml:space="preserve"> se in possesso dei requisiti di legge.</w:t>
            </w:r>
          </w:p>
          <w:p w14:paraId="0C639E2A" w14:textId="6396D613"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Non si cita uno specifico indennizzo, bensì la possibilità di estendere la concessione (fino a 75 anni) e la trasmissibilità della stessa. </w:t>
            </w:r>
          </w:p>
          <w:p w14:paraId="64B76EC6" w14:textId="77777777" w:rsidR="0089048B" w:rsidRPr="00E069B2" w:rsidRDefault="0089048B" w:rsidP="0089048B">
            <w:pPr>
              <w:spacing w:after="0" w:line="240" w:lineRule="auto"/>
              <w:jc w:val="both"/>
              <w:textAlignment w:val="baseline"/>
              <w:rPr>
                <w:rFonts w:ascii="Segoe UI" w:eastAsia="Times New Roman" w:hAnsi="Segoe UI" w:cs="Segoe UI"/>
                <w:sz w:val="18"/>
                <w:szCs w:val="18"/>
                <w:lang w:eastAsia="it-IT"/>
              </w:rPr>
            </w:pPr>
            <w:r w:rsidRPr="00E069B2">
              <w:rPr>
                <w:rFonts w:ascii="Arial" w:eastAsia="Times New Roman" w:hAnsi="Arial" w:cs="Arial"/>
                <w:sz w:val="24"/>
                <w:szCs w:val="24"/>
                <w:lang w:eastAsia="it-IT"/>
              </w:rPr>
              <w:t> </w:t>
            </w:r>
          </w:p>
        </w:tc>
      </w:tr>
    </w:tbl>
    <w:p w14:paraId="35C7F645" w14:textId="180A48FD" w:rsidR="0003318F" w:rsidRDefault="0003318F" w:rsidP="007A1971">
      <w:pPr>
        <w:spacing w:after="0" w:line="240" w:lineRule="auto"/>
        <w:jc w:val="both"/>
        <w:rPr>
          <w:rFonts w:ascii="Garamond" w:hAnsi="Garamond"/>
          <w:sz w:val="28"/>
          <w:szCs w:val="28"/>
        </w:rPr>
      </w:pPr>
    </w:p>
    <w:p w14:paraId="533F79A0" w14:textId="77777777" w:rsidR="0003318F" w:rsidRPr="003C2366" w:rsidRDefault="0003318F" w:rsidP="0003318F">
      <w:pPr>
        <w:spacing w:after="0" w:line="240" w:lineRule="auto"/>
        <w:ind w:firstLine="709"/>
        <w:jc w:val="both"/>
        <w:rPr>
          <w:rFonts w:ascii="Garamond" w:hAnsi="Garamond"/>
          <w:sz w:val="28"/>
          <w:szCs w:val="28"/>
        </w:rPr>
      </w:pPr>
    </w:p>
    <w:p w14:paraId="4529D0AF" w14:textId="77777777" w:rsidR="0003318F" w:rsidRDefault="0003318F" w:rsidP="0003318F">
      <w:pPr>
        <w:spacing w:after="0" w:line="240" w:lineRule="auto"/>
        <w:jc w:val="both"/>
        <w:rPr>
          <w:rFonts w:ascii="Garamond" w:hAnsi="Garamond"/>
          <w:b/>
          <w:i/>
          <w:sz w:val="28"/>
          <w:szCs w:val="28"/>
        </w:rPr>
      </w:pPr>
      <w:r w:rsidRPr="003C2366">
        <w:rPr>
          <w:rFonts w:ascii="Garamond" w:hAnsi="Garamond"/>
          <w:b/>
          <w:sz w:val="28"/>
          <w:szCs w:val="28"/>
        </w:rPr>
        <w:t xml:space="preserve">§ 8 – </w:t>
      </w:r>
      <w:r w:rsidRPr="003C2366">
        <w:rPr>
          <w:rFonts w:ascii="Garamond" w:hAnsi="Garamond"/>
          <w:b/>
          <w:i/>
          <w:sz w:val="28"/>
          <w:szCs w:val="28"/>
          <w:u w:val="single"/>
        </w:rPr>
        <w:t>La giurisprudenza della Corte di Giustizia dell’Unione europea</w:t>
      </w:r>
      <w:r w:rsidRPr="003C2366">
        <w:rPr>
          <w:rFonts w:ascii="Garamond" w:hAnsi="Garamond"/>
          <w:b/>
          <w:i/>
          <w:sz w:val="28"/>
          <w:szCs w:val="28"/>
        </w:rPr>
        <w:t>.</w:t>
      </w:r>
    </w:p>
    <w:p w14:paraId="70379014" w14:textId="77777777" w:rsidR="0003318F" w:rsidRDefault="0003318F" w:rsidP="0003318F">
      <w:pPr>
        <w:spacing w:after="0" w:line="240" w:lineRule="auto"/>
        <w:ind w:firstLine="709"/>
        <w:jc w:val="both"/>
        <w:rPr>
          <w:rFonts w:ascii="Garamond" w:hAnsi="Garamond"/>
          <w:b/>
          <w:i/>
          <w:sz w:val="28"/>
          <w:szCs w:val="28"/>
        </w:rPr>
      </w:pPr>
    </w:p>
    <w:p w14:paraId="1E9F4C8C" w14:textId="6B278E9D" w:rsidR="0003318F" w:rsidRPr="0032038B" w:rsidRDefault="0003318F" w:rsidP="0003318F">
      <w:pPr>
        <w:spacing w:after="0" w:line="240" w:lineRule="auto"/>
        <w:jc w:val="both"/>
        <w:rPr>
          <w:rFonts w:ascii="Garamond" w:hAnsi="Garamond"/>
          <w:b/>
          <w:sz w:val="28"/>
          <w:szCs w:val="28"/>
          <w:u w:val="single"/>
        </w:rPr>
      </w:pPr>
      <w:r>
        <w:rPr>
          <w:rFonts w:ascii="Garamond" w:hAnsi="Garamond"/>
          <w:sz w:val="28"/>
          <w:szCs w:val="28"/>
        </w:rPr>
        <w:t>Una prima significativa pronuncia della</w:t>
      </w:r>
      <w:r w:rsidRPr="00DE40AC">
        <w:rPr>
          <w:rFonts w:ascii="Garamond" w:hAnsi="Garamond"/>
          <w:sz w:val="28"/>
          <w:szCs w:val="28"/>
        </w:rPr>
        <w:t xml:space="preserve"> CGUE </w:t>
      </w:r>
      <w:r>
        <w:rPr>
          <w:rFonts w:ascii="Garamond" w:hAnsi="Garamond"/>
          <w:sz w:val="28"/>
          <w:szCs w:val="28"/>
        </w:rPr>
        <w:t xml:space="preserve">sul tema delle concessioni demaniali risale al 2016, </w:t>
      </w:r>
      <w:r w:rsidRPr="000A0FAB">
        <w:rPr>
          <w:rFonts w:ascii="Garamond" w:hAnsi="Garamond"/>
          <w:b/>
          <w:sz w:val="28"/>
          <w:szCs w:val="28"/>
        </w:rPr>
        <w:t>sentenza del 14</w:t>
      </w:r>
      <w:r w:rsidR="00854D22">
        <w:rPr>
          <w:rFonts w:ascii="Garamond" w:hAnsi="Garamond"/>
          <w:b/>
          <w:sz w:val="28"/>
          <w:szCs w:val="28"/>
        </w:rPr>
        <w:t>/07/</w:t>
      </w:r>
      <w:r w:rsidRPr="000A0FAB">
        <w:rPr>
          <w:rFonts w:ascii="Garamond" w:hAnsi="Garamond"/>
          <w:b/>
          <w:sz w:val="28"/>
          <w:szCs w:val="28"/>
        </w:rPr>
        <w:t>2016, nel caso </w:t>
      </w:r>
      <w:r w:rsidR="000A0FAB">
        <w:rPr>
          <w:rFonts w:ascii="Garamond" w:hAnsi="Garamond"/>
          <w:b/>
          <w:sz w:val="28"/>
          <w:szCs w:val="28"/>
        </w:rPr>
        <w:t>“</w:t>
      </w:r>
      <w:r w:rsidRPr="000A0FAB">
        <w:rPr>
          <w:rFonts w:ascii="Garamond" w:hAnsi="Garamond"/>
          <w:b/>
          <w:iCs/>
          <w:sz w:val="28"/>
          <w:szCs w:val="28"/>
        </w:rPr>
        <w:t>Promoimpresa</w:t>
      </w:r>
      <w:r w:rsidR="000A0FAB">
        <w:rPr>
          <w:rFonts w:ascii="Garamond" w:hAnsi="Garamond"/>
          <w:b/>
          <w:iCs/>
          <w:sz w:val="28"/>
          <w:szCs w:val="28"/>
        </w:rPr>
        <w:t>”</w:t>
      </w:r>
      <w:r w:rsidRPr="000A0FAB">
        <w:rPr>
          <w:rFonts w:ascii="Garamond" w:hAnsi="Garamond"/>
          <w:b/>
          <w:i/>
          <w:iCs/>
          <w:sz w:val="28"/>
          <w:szCs w:val="28"/>
        </w:rPr>
        <w:t> </w:t>
      </w:r>
      <w:r w:rsidRPr="000A0FAB">
        <w:rPr>
          <w:rFonts w:ascii="Garamond" w:hAnsi="Garamond"/>
          <w:b/>
          <w:sz w:val="28"/>
          <w:szCs w:val="28"/>
        </w:rPr>
        <w:t>(cause riunite C</w:t>
      </w:r>
      <w:r w:rsidRPr="000A0FAB">
        <w:rPr>
          <w:rFonts w:ascii="Garamond" w:hAnsi="Garamond"/>
          <w:b/>
          <w:sz w:val="28"/>
          <w:szCs w:val="28"/>
        </w:rPr>
        <w:noBreakHyphen/>
        <w:t>458/14 e C</w:t>
      </w:r>
      <w:r w:rsidRPr="000A0FAB">
        <w:rPr>
          <w:rFonts w:ascii="Garamond" w:hAnsi="Garamond"/>
          <w:b/>
          <w:sz w:val="28"/>
          <w:szCs w:val="28"/>
        </w:rPr>
        <w:noBreakHyphen/>
        <w:t>67/15).</w:t>
      </w:r>
    </w:p>
    <w:p w14:paraId="6048654F" w14:textId="26D60828" w:rsidR="0003318F" w:rsidRDefault="0003318F" w:rsidP="0003318F">
      <w:pPr>
        <w:spacing w:after="0" w:line="240" w:lineRule="auto"/>
        <w:jc w:val="both"/>
        <w:rPr>
          <w:rFonts w:ascii="Garamond" w:hAnsi="Garamond"/>
          <w:sz w:val="28"/>
          <w:szCs w:val="28"/>
        </w:rPr>
      </w:pPr>
      <w:r>
        <w:rPr>
          <w:rFonts w:ascii="Garamond" w:hAnsi="Garamond"/>
          <w:sz w:val="28"/>
          <w:szCs w:val="28"/>
        </w:rPr>
        <w:t xml:space="preserve">In questa </w:t>
      </w:r>
      <w:r w:rsidR="000A0FAB">
        <w:rPr>
          <w:rFonts w:ascii="Garamond" w:hAnsi="Garamond"/>
          <w:sz w:val="28"/>
          <w:szCs w:val="28"/>
        </w:rPr>
        <w:t xml:space="preserve">pronuncia la Corte </w:t>
      </w:r>
      <w:r w:rsidR="00154AC8">
        <w:rPr>
          <w:rFonts w:ascii="Garamond" w:hAnsi="Garamond"/>
          <w:sz w:val="28"/>
          <w:szCs w:val="28"/>
        </w:rPr>
        <w:t xml:space="preserve">ha </w:t>
      </w:r>
      <w:r w:rsidR="000A0FAB">
        <w:rPr>
          <w:rFonts w:ascii="Garamond" w:hAnsi="Garamond"/>
          <w:sz w:val="28"/>
          <w:szCs w:val="28"/>
        </w:rPr>
        <w:t>dichiara</w:t>
      </w:r>
      <w:r w:rsidR="00154AC8">
        <w:rPr>
          <w:rFonts w:ascii="Garamond" w:hAnsi="Garamond"/>
          <w:sz w:val="28"/>
          <w:szCs w:val="28"/>
        </w:rPr>
        <w:t>to</w:t>
      </w:r>
      <w:r w:rsidR="000A0FAB">
        <w:rPr>
          <w:rFonts w:ascii="Garamond" w:hAnsi="Garamond"/>
          <w:sz w:val="28"/>
          <w:szCs w:val="28"/>
        </w:rPr>
        <w:t xml:space="preserve"> che</w:t>
      </w:r>
      <w:r w:rsidRPr="000A1602">
        <w:rPr>
          <w:rFonts w:ascii="Garamond" w:hAnsi="Garamond"/>
          <w:sz w:val="28"/>
          <w:szCs w:val="28"/>
        </w:rPr>
        <w:t xml:space="preserve"> la </w:t>
      </w:r>
      <w:hyperlink r:id="rId12" w:history="1">
        <w:r w:rsidRPr="000A1602">
          <w:rPr>
            <w:rFonts w:ascii="Garamond" w:hAnsi="Garamond"/>
            <w:sz w:val="28"/>
            <w:szCs w:val="28"/>
          </w:rPr>
          <w:t>direttiva 2006/123/CE</w:t>
        </w:r>
      </w:hyperlink>
      <w:r w:rsidRPr="000A1602">
        <w:rPr>
          <w:rFonts w:ascii="Garamond" w:hAnsi="Garamond"/>
          <w:sz w:val="28"/>
          <w:szCs w:val="28"/>
        </w:rPr>
        <w:t> </w:t>
      </w:r>
      <w:r w:rsidRPr="00E65181">
        <w:rPr>
          <w:rFonts w:ascii="Garamond" w:hAnsi="Garamond"/>
          <w:sz w:val="28"/>
          <w:szCs w:val="28"/>
        </w:rPr>
        <w:t>osta a misure, quali quelle adottate dall’Italia, che prevedono la proroga automatica delle c</w:t>
      </w:r>
      <w:r>
        <w:rPr>
          <w:rFonts w:ascii="Garamond" w:hAnsi="Garamond"/>
          <w:sz w:val="28"/>
          <w:szCs w:val="28"/>
        </w:rPr>
        <w:t xml:space="preserve">oncessioni demaniali marittime </w:t>
      </w:r>
      <w:r w:rsidRPr="00E65181">
        <w:rPr>
          <w:rFonts w:ascii="Garamond" w:hAnsi="Garamond"/>
          <w:sz w:val="28"/>
          <w:szCs w:val="28"/>
        </w:rPr>
        <w:t>in essere per attività turistico</w:t>
      </w:r>
      <w:r w:rsidRPr="00E65181">
        <w:rPr>
          <w:rFonts w:ascii="Times New Roman" w:hAnsi="Times New Roman" w:cs="Times New Roman"/>
          <w:sz w:val="28"/>
          <w:szCs w:val="28"/>
        </w:rPr>
        <w:t>‑</w:t>
      </w:r>
      <w:r w:rsidRPr="00E65181">
        <w:rPr>
          <w:rFonts w:ascii="Garamond" w:hAnsi="Garamond"/>
          <w:sz w:val="28"/>
          <w:szCs w:val="28"/>
        </w:rPr>
        <w:t>ricreative, in assenza di qualsiasi procedura di selezione tra i potenziali candidati.</w:t>
      </w:r>
    </w:p>
    <w:p w14:paraId="5463685B" w14:textId="5806E733" w:rsidR="0003318F" w:rsidRDefault="0003318F" w:rsidP="0003318F">
      <w:pPr>
        <w:spacing w:after="0" w:line="240" w:lineRule="auto"/>
        <w:jc w:val="both"/>
        <w:rPr>
          <w:rFonts w:ascii="Garamond" w:hAnsi="Garamond"/>
          <w:sz w:val="28"/>
          <w:szCs w:val="28"/>
        </w:rPr>
      </w:pPr>
      <w:r w:rsidRPr="00DF52D0">
        <w:rPr>
          <w:rFonts w:ascii="Garamond" w:hAnsi="Garamond"/>
          <w:sz w:val="28"/>
          <w:szCs w:val="28"/>
        </w:rPr>
        <w:t xml:space="preserve">In particolare, la Corte </w:t>
      </w:r>
      <w:r w:rsidR="00154AC8">
        <w:rPr>
          <w:rFonts w:ascii="Garamond" w:hAnsi="Garamond"/>
          <w:sz w:val="28"/>
          <w:szCs w:val="28"/>
        </w:rPr>
        <w:t xml:space="preserve">ha </w:t>
      </w:r>
      <w:r w:rsidR="00861D40">
        <w:rPr>
          <w:rFonts w:ascii="Garamond" w:hAnsi="Garamond"/>
          <w:sz w:val="28"/>
          <w:szCs w:val="28"/>
        </w:rPr>
        <w:t>riconosciuto</w:t>
      </w:r>
      <w:r w:rsidRPr="00DF52D0">
        <w:rPr>
          <w:rFonts w:ascii="Garamond" w:hAnsi="Garamond"/>
          <w:sz w:val="28"/>
          <w:szCs w:val="28"/>
        </w:rPr>
        <w:t xml:space="preserve"> in primo luogo che, ai sensi dell’art. 12 della direttiva servizi, uno Stato membro può limitare il numero di concessioni disponibili per l’esercizio di una determinata attività di sfruttamento economico, tenuto conto “</w:t>
      </w:r>
      <w:r w:rsidRPr="000A0FAB">
        <w:rPr>
          <w:rFonts w:ascii="Garamond" w:hAnsi="Garamond"/>
          <w:i/>
          <w:sz w:val="28"/>
          <w:szCs w:val="28"/>
        </w:rPr>
        <w:t xml:space="preserve">della </w:t>
      </w:r>
      <w:r w:rsidRPr="000A0FAB">
        <w:rPr>
          <w:rFonts w:ascii="Garamond" w:hAnsi="Garamond"/>
          <w:i/>
          <w:sz w:val="28"/>
          <w:szCs w:val="28"/>
        </w:rPr>
        <w:lastRenderedPageBreak/>
        <w:t>scarsità delle risorse naturali o delle capacità tecniche utilizzabili</w:t>
      </w:r>
      <w:r w:rsidRPr="00DF52D0">
        <w:rPr>
          <w:rFonts w:ascii="Garamond" w:hAnsi="Garamond"/>
          <w:sz w:val="28"/>
          <w:szCs w:val="28"/>
        </w:rPr>
        <w:t xml:space="preserve">”. </w:t>
      </w:r>
      <w:r>
        <w:rPr>
          <w:rFonts w:ascii="Garamond" w:hAnsi="Garamond"/>
          <w:sz w:val="28"/>
          <w:szCs w:val="28"/>
        </w:rPr>
        <w:t xml:space="preserve">Riconosciuto </w:t>
      </w:r>
      <w:r w:rsidRPr="00DF52D0">
        <w:rPr>
          <w:rFonts w:ascii="Garamond" w:hAnsi="Garamond"/>
          <w:sz w:val="28"/>
          <w:szCs w:val="28"/>
        </w:rPr>
        <w:t xml:space="preserve">che spetta al giudice del rinvio valutare se tali condizioni sono soddisfatte nei casi di specie, la Corte </w:t>
      </w:r>
      <w:r w:rsidR="00154AC8">
        <w:rPr>
          <w:rFonts w:ascii="Garamond" w:hAnsi="Garamond"/>
          <w:sz w:val="28"/>
          <w:szCs w:val="28"/>
        </w:rPr>
        <w:t xml:space="preserve">ha </w:t>
      </w:r>
      <w:r w:rsidR="000A0FAB">
        <w:rPr>
          <w:rFonts w:ascii="Garamond" w:hAnsi="Garamond"/>
          <w:sz w:val="28"/>
          <w:szCs w:val="28"/>
        </w:rPr>
        <w:t>afferma</w:t>
      </w:r>
      <w:r w:rsidR="00154AC8">
        <w:rPr>
          <w:rFonts w:ascii="Garamond" w:hAnsi="Garamond"/>
          <w:sz w:val="28"/>
          <w:szCs w:val="28"/>
        </w:rPr>
        <w:t>to</w:t>
      </w:r>
      <w:r>
        <w:rPr>
          <w:rFonts w:ascii="Garamond" w:hAnsi="Garamond"/>
          <w:sz w:val="28"/>
          <w:szCs w:val="28"/>
        </w:rPr>
        <w:t xml:space="preserve"> che, in base alla medesima</w:t>
      </w:r>
      <w:r w:rsidRPr="00DF52D0">
        <w:rPr>
          <w:rFonts w:ascii="Garamond" w:hAnsi="Garamond"/>
          <w:sz w:val="28"/>
          <w:szCs w:val="28"/>
        </w:rPr>
        <w:t xml:space="preserve"> direttiva, il rilascio d</w:t>
      </w:r>
      <w:r>
        <w:rPr>
          <w:rFonts w:ascii="Garamond" w:hAnsi="Garamond"/>
          <w:sz w:val="28"/>
          <w:szCs w:val="28"/>
        </w:rPr>
        <w:t xml:space="preserve">elle </w:t>
      </w:r>
      <w:r w:rsidRPr="00DF52D0">
        <w:rPr>
          <w:rFonts w:ascii="Garamond" w:hAnsi="Garamond"/>
          <w:sz w:val="28"/>
          <w:szCs w:val="28"/>
        </w:rPr>
        <w:t xml:space="preserve">concessioni deve essere soggetto a una procedura di selezione tra i potenziali candidati che offra tutte le garanzie di imparzialità e di trasparenza. </w:t>
      </w:r>
      <w:r>
        <w:rPr>
          <w:rFonts w:ascii="Garamond" w:hAnsi="Garamond"/>
          <w:sz w:val="28"/>
          <w:szCs w:val="28"/>
        </w:rPr>
        <w:t>Procedura il cui espletamento risulta impedito dalla</w:t>
      </w:r>
      <w:r w:rsidRPr="00DF52D0">
        <w:rPr>
          <w:rFonts w:ascii="Garamond" w:hAnsi="Garamond"/>
          <w:sz w:val="28"/>
          <w:szCs w:val="28"/>
        </w:rPr>
        <w:t xml:space="preserve"> proroga automatica </w:t>
      </w:r>
      <w:r w:rsidRPr="000A0FAB">
        <w:rPr>
          <w:rFonts w:ascii="Garamond" w:hAnsi="Garamond"/>
          <w:i/>
          <w:sz w:val="28"/>
          <w:szCs w:val="28"/>
        </w:rPr>
        <w:t>ex lege</w:t>
      </w:r>
      <w:r w:rsidRPr="00DF52D0">
        <w:rPr>
          <w:rFonts w:ascii="Garamond" w:hAnsi="Garamond"/>
          <w:sz w:val="28"/>
          <w:szCs w:val="28"/>
        </w:rPr>
        <w:t xml:space="preserve"> della durata delle concessioni</w:t>
      </w:r>
      <w:r>
        <w:rPr>
          <w:rFonts w:ascii="Garamond" w:hAnsi="Garamond"/>
          <w:sz w:val="28"/>
          <w:szCs w:val="28"/>
        </w:rPr>
        <w:t>.</w:t>
      </w:r>
      <w:r w:rsidRPr="00DF52D0">
        <w:rPr>
          <w:rFonts w:ascii="Garamond" w:hAnsi="Garamond"/>
          <w:sz w:val="28"/>
          <w:szCs w:val="28"/>
        </w:rPr>
        <w:t xml:space="preserve"> </w:t>
      </w:r>
    </w:p>
    <w:p w14:paraId="04A7510A" w14:textId="77777777" w:rsidR="0003318F" w:rsidRPr="00DF52D0" w:rsidRDefault="0003318F" w:rsidP="0003318F">
      <w:pPr>
        <w:spacing w:after="0" w:line="240" w:lineRule="auto"/>
        <w:jc w:val="both"/>
        <w:rPr>
          <w:rFonts w:ascii="Garamond" w:hAnsi="Garamond"/>
          <w:sz w:val="28"/>
          <w:szCs w:val="28"/>
        </w:rPr>
      </w:pPr>
      <w:r w:rsidRPr="00DF52D0">
        <w:rPr>
          <w:rFonts w:ascii="Garamond" w:hAnsi="Garamond"/>
          <w:sz w:val="28"/>
          <w:szCs w:val="28"/>
        </w:rPr>
        <w:t xml:space="preserve">Inoltre, secondo la Corte, </w:t>
      </w:r>
      <w:r w:rsidRPr="003476AA">
        <w:rPr>
          <w:rFonts w:ascii="Garamond" w:hAnsi="Garamond"/>
          <w:b/>
          <w:sz w:val="28"/>
          <w:szCs w:val="28"/>
        </w:rPr>
        <w:t>la proroga di cui alla normativa interna non può essere giustificata da motivi imperativi di interesse generale, quali la necessità di tutelare il legittimo affidamento dei titolari delle stesse concessioni di modo che essi possano ammortizzare gli investimenti effettuati. Tali motivi, però, possono essere tenuti in conto al momento di stabilire le regole della procedura di selezione</w:t>
      </w:r>
      <w:r w:rsidRPr="00DF52D0">
        <w:rPr>
          <w:rFonts w:ascii="Garamond" w:hAnsi="Garamond"/>
          <w:sz w:val="28"/>
          <w:szCs w:val="28"/>
        </w:rPr>
        <w:t>.</w:t>
      </w:r>
    </w:p>
    <w:p w14:paraId="21DCA847" w14:textId="60BAF17B" w:rsidR="0003318F" w:rsidRDefault="0003318F" w:rsidP="0003318F">
      <w:pPr>
        <w:spacing w:after="0" w:line="240" w:lineRule="auto"/>
        <w:jc w:val="both"/>
        <w:rPr>
          <w:rFonts w:ascii="Garamond" w:hAnsi="Garamond"/>
          <w:sz w:val="28"/>
          <w:szCs w:val="28"/>
        </w:rPr>
      </w:pPr>
      <w:r>
        <w:rPr>
          <w:rFonts w:ascii="Garamond" w:hAnsi="Garamond"/>
          <w:sz w:val="28"/>
          <w:szCs w:val="28"/>
        </w:rPr>
        <w:t>La Corte, altresì, ha rilevato che</w:t>
      </w:r>
      <w:r w:rsidRPr="00DF52D0">
        <w:rPr>
          <w:rFonts w:ascii="Garamond" w:hAnsi="Garamond"/>
          <w:sz w:val="28"/>
          <w:szCs w:val="28"/>
        </w:rPr>
        <w:t>, nel caso i</w:t>
      </w:r>
      <w:r w:rsidR="000A0FAB">
        <w:rPr>
          <w:rFonts w:ascii="Garamond" w:hAnsi="Garamond"/>
          <w:sz w:val="28"/>
          <w:szCs w:val="28"/>
        </w:rPr>
        <w:t>n cui la direttiva servizi non sia</w:t>
      </w:r>
      <w:r w:rsidRPr="00DF52D0">
        <w:rPr>
          <w:rFonts w:ascii="Garamond" w:hAnsi="Garamond"/>
          <w:sz w:val="28"/>
          <w:szCs w:val="28"/>
        </w:rPr>
        <w:t xml:space="preserve"> applicabile</w:t>
      </w:r>
      <w:r>
        <w:rPr>
          <w:rFonts w:ascii="Garamond" w:hAnsi="Garamond"/>
          <w:sz w:val="28"/>
          <w:szCs w:val="28"/>
        </w:rPr>
        <w:t xml:space="preserve">, ma le concessioni rivestano ugualmente </w:t>
      </w:r>
      <w:r w:rsidRPr="000A0FAB">
        <w:rPr>
          <w:rFonts w:ascii="Garamond" w:hAnsi="Garamond"/>
          <w:sz w:val="28"/>
          <w:szCs w:val="28"/>
        </w:rPr>
        <w:t>un interesse transfrontaliero certo</w:t>
      </w:r>
      <w:r w:rsidRPr="00DF52D0">
        <w:rPr>
          <w:rFonts w:ascii="Garamond" w:hAnsi="Garamond"/>
          <w:sz w:val="28"/>
          <w:szCs w:val="28"/>
        </w:rPr>
        <w:t>,</w:t>
      </w:r>
      <w:r>
        <w:rPr>
          <w:rFonts w:ascii="Garamond" w:hAnsi="Garamond"/>
          <w:sz w:val="28"/>
          <w:szCs w:val="28"/>
        </w:rPr>
        <w:t xml:space="preserve"> </w:t>
      </w:r>
      <w:r w:rsidR="000A0FAB">
        <w:rPr>
          <w:rFonts w:ascii="Garamond" w:hAnsi="Garamond"/>
          <w:sz w:val="28"/>
          <w:szCs w:val="28"/>
        </w:rPr>
        <w:t>trova</w:t>
      </w:r>
      <w:r>
        <w:rPr>
          <w:rFonts w:ascii="Garamond" w:hAnsi="Garamond"/>
          <w:sz w:val="28"/>
          <w:szCs w:val="28"/>
        </w:rPr>
        <w:t xml:space="preserve"> applicazione l’art. </w:t>
      </w:r>
      <w:r w:rsidRPr="00DF52D0">
        <w:rPr>
          <w:rFonts w:ascii="Garamond" w:hAnsi="Garamond"/>
          <w:sz w:val="28"/>
          <w:szCs w:val="28"/>
        </w:rPr>
        <w:t>49 TFUE (relativo alla libertà di stabilimento).</w:t>
      </w:r>
      <w:r>
        <w:rPr>
          <w:rFonts w:ascii="Garamond" w:hAnsi="Garamond"/>
          <w:sz w:val="28"/>
          <w:szCs w:val="28"/>
        </w:rPr>
        <w:t xml:space="preserve"> In conseguenza,</w:t>
      </w:r>
      <w:r w:rsidRPr="00DF52D0">
        <w:rPr>
          <w:rFonts w:ascii="Garamond" w:hAnsi="Garamond"/>
          <w:sz w:val="28"/>
          <w:szCs w:val="28"/>
        </w:rPr>
        <w:t xml:space="preserve"> la proroga automatica </w:t>
      </w:r>
      <w:r>
        <w:rPr>
          <w:rFonts w:ascii="Garamond" w:hAnsi="Garamond"/>
          <w:sz w:val="28"/>
          <w:szCs w:val="28"/>
        </w:rPr>
        <w:t xml:space="preserve">delle medesime </w:t>
      </w:r>
      <w:r w:rsidRPr="00DF52D0">
        <w:rPr>
          <w:rFonts w:ascii="Garamond" w:hAnsi="Garamond"/>
          <w:sz w:val="28"/>
          <w:szCs w:val="28"/>
        </w:rPr>
        <w:t xml:space="preserve">a favore </w:t>
      </w:r>
      <w:r>
        <w:rPr>
          <w:rFonts w:ascii="Garamond" w:hAnsi="Garamond"/>
          <w:sz w:val="28"/>
          <w:szCs w:val="28"/>
        </w:rPr>
        <w:t xml:space="preserve">di imprese di uno Stato membro, </w:t>
      </w:r>
      <w:r w:rsidRPr="00DF52D0">
        <w:rPr>
          <w:rFonts w:ascii="Garamond" w:hAnsi="Garamond"/>
          <w:sz w:val="28"/>
          <w:szCs w:val="28"/>
        </w:rPr>
        <w:t>senza alcuna procedura di gara</w:t>
      </w:r>
      <w:r>
        <w:rPr>
          <w:rFonts w:ascii="Garamond" w:hAnsi="Garamond"/>
          <w:sz w:val="28"/>
          <w:szCs w:val="28"/>
        </w:rPr>
        <w:t xml:space="preserve">, </w:t>
      </w:r>
      <w:r w:rsidR="00154AC8">
        <w:rPr>
          <w:rFonts w:ascii="Garamond" w:hAnsi="Garamond"/>
          <w:sz w:val="28"/>
          <w:szCs w:val="28"/>
        </w:rPr>
        <w:t>dà</w:t>
      </w:r>
      <w:r w:rsidRPr="00DF52D0">
        <w:rPr>
          <w:rFonts w:ascii="Garamond" w:hAnsi="Garamond"/>
          <w:sz w:val="28"/>
          <w:szCs w:val="28"/>
        </w:rPr>
        <w:t xml:space="preserve"> vita ad una disparità di trattamento a danno delle imprese di altri Stati membri potenzialmente interessate a</w:t>
      </w:r>
      <w:r>
        <w:rPr>
          <w:rFonts w:ascii="Garamond" w:hAnsi="Garamond"/>
          <w:sz w:val="28"/>
          <w:szCs w:val="28"/>
        </w:rPr>
        <w:t>lle medesime</w:t>
      </w:r>
      <w:r w:rsidRPr="00DF52D0">
        <w:rPr>
          <w:rFonts w:ascii="Garamond" w:hAnsi="Garamond"/>
          <w:sz w:val="28"/>
          <w:szCs w:val="28"/>
        </w:rPr>
        <w:t xml:space="preserve"> concessioni</w:t>
      </w:r>
      <w:r w:rsidR="00D918BC">
        <w:rPr>
          <w:rStyle w:val="Rimandonotaapidipagina"/>
          <w:rFonts w:ascii="Garamond" w:hAnsi="Garamond"/>
          <w:sz w:val="28"/>
          <w:szCs w:val="28"/>
        </w:rPr>
        <w:footnoteReference w:id="86"/>
      </w:r>
      <w:r>
        <w:rPr>
          <w:rFonts w:ascii="Garamond" w:hAnsi="Garamond"/>
          <w:sz w:val="28"/>
          <w:szCs w:val="28"/>
        </w:rPr>
        <w:t>.</w:t>
      </w:r>
    </w:p>
    <w:p w14:paraId="293075C0" w14:textId="77777777" w:rsidR="0003318F" w:rsidRDefault="0003318F" w:rsidP="0003318F">
      <w:pPr>
        <w:spacing w:after="0" w:line="240" w:lineRule="auto"/>
        <w:jc w:val="both"/>
        <w:rPr>
          <w:rFonts w:ascii="Garamond" w:hAnsi="Garamond"/>
          <w:sz w:val="28"/>
          <w:szCs w:val="28"/>
        </w:rPr>
      </w:pPr>
    </w:p>
    <w:p w14:paraId="432204F1" w14:textId="14643800" w:rsidR="0003318F" w:rsidRPr="002419A6" w:rsidRDefault="0003318F" w:rsidP="0003318F">
      <w:pPr>
        <w:spacing w:after="0" w:line="240" w:lineRule="auto"/>
        <w:jc w:val="both"/>
        <w:rPr>
          <w:rFonts w:ascii="Garamond" w:hAnsi="Garamond"/>
          <w:sz w:val="28"/>
          <w:szCs w:val="28"/>
        </w:rPr>
      </w:pPr>
      <w:r>
        <w:rPr>
          <w:rFonts w:ascii="Garamond" w:hAnsi="Garamond"/>
          <w:sz w:val="28"/>
          <w:szCs w:val="28"/>
        </w:rPr>
        <w:t>In un caso coevo</w:t>
      </w:r>
      <w:r w:rsidR="00861D40">
        <w:rPr>
          <w:rFonts w:ascii="Garamond" w:hAnsi="Garamond"/>
          <w:sz w:val="28"/>
          <w:szCs w:val="28"/>
        </w:rPr>
        <w:t xml:space="preserve">, </w:t>
      </w:r>
      <w:r w:rsidRPr="000855D7">
        <w:rPr>
          <w:rFonts w:ascii="Garamond" w:hAnsi="Garamond"/>
          <w:b/>
          <w:sz w:val="28"/>
          <w:szCs w:val="28"/>
        </w:rPr>
        <w:t>sentenza del 28</w:t>
      </w:r>
      <w:r w:rsidR="00854D22">
        <w:rPr>
          <w:rFonts w:ascii="Garamond" w:hAnsi="Garamond"/>
          <w:b/>
          <w:sz w:val="28"/>
          <w:szCs w:val="28"/>
        </w:rPr>
        <w:t>/01/</w:t>
      </w:r>
      <w:r w:rsidRPr="000855D7">
        <w:rPr>
          <w:rFonts w:ascii="Garamond" w:hAnsi="Garamond"/>
          <w:b/>
          <w:sz w:val="28"/>
          <w:szCs w:val="28"/>
        </w:rPr>
        <w:t>2016, nel caso </w:t>
      </w:r>
      <w:r w:rsidRPr="000855D7">
        <w:rPr>
          <w:rFonts w:ascii="Garamond" w:hAnsi="Garamond"/>
          <w:b/>
          <w:iCs/>
          <w:sz w:val="28"/>
          <w:szCs w:val="28"/>
        </w:rPr>
        <w:t>Laezza </w:t>
      </w:r>
      <w:r w:rsidRPr="000855D7">
        <w:rPr>
          <w:rFonts w:ascii="Garamond" w:hAnsi="Garamond"/>
          <w:b/>
          <w:sz w:val="28"/>
          <w:szCs w:val="28"/>
        </w:rPr>
        <w:t>(C</w:t>
      </w:r>
      <w:r w:rsidRPr="000855D7">
        <w:rPr>
          <w:rFonts w:ascii="Garamond" w:hAnsi="Garamond"/>
          <w:b/>
          <w:sz w:val="28"/>
          <w:szCs w:val="28"/>
        </w:rPr>
        <w:noBreakHyphen/>
        <w:t>375/14)</w:t>
      </w:r>
      <w:r w:rsidR="00861D40">
        <w:rPr>
          <w:rFonts w:ascii="Garamond" w:hAnsi="Garamond"/>
          <w:sz w:val="28"/>
          <w:szCs w:val="28"/>
        </w:rPr>
        <w:t>,</w:t>
      </w:r>
      <w:r>
        <w:rPr>
          <w:rFonts w:ascii="Garamond" w:hAnsi="Garamond"/>
          <w:sz w:val="28"/>
          <w:szCs w:val="28"/>
        </w:rPr>
        <w:t xml:space="preserve"> relativo </w:t>
      </w:r>
      <w:r w:rsidRPr="002419A6">
        <w:rPr>
          <w:rFonts w:ascii="Garamond" w:hAnsi="Garamond"/>
          <w:sz w:val="28"/>
          <w:szCs w:val="28"/>
        </w:rPr>
        <w:t>alla cessione a titolo non oneroso dell’uso dei beni materiali e immateriali di proprietà che costituiscono la rete di gestione e di raccolta del gioco</w:t>
      </w:r>
      <w:r>
        <w:rPr>
          <w:rFonts w:ascii="Garamond" w:hAnsi="Garamond"/>
          <w:sz w:val="28"/>
          <w:szCs w:val="28"/>
        </w:rPr>
        <w:t xml:space="preserve">, la Corte </w:t>
      </w:r>
      <w:r w:rsidR="00154AC8">
        <w:rPr>
          <w:rFonts w:ascii="Garamond" w:hAnsi="Garamond"/>
          <w:sz w:val="28"/>
          <w:szCs w:val="28"/>
        </w:rPr>
        <w:t>ha</w:t>
      </w:r>
      <w:r>
        <w:rPr>
          <w:rFonts w:ascii="Garamond" w:hAnsi="Garamond"/>
          <w:sz w:val="28"/>
          <w:szCs w:val="28"/>
        </w:rPr>
        <w:t xml:space="preserve"> affrontato alcun</w:t>
      </w:r>
      <w:r w:rsidR="000855D7">
        <w:rPr>
          <w:rFonts w:ascii="Garamond" w:hAnsi="Garamond"/>
          <w:sz w:val="28"/>
          <w:szCs w:val="28"/>
        </w:rPr>
        <w:t>i</w:t>
      </w:r>
      <w:r>
        <w:rPr>
          <w:rFonts w:ascii="Garamond" w:hAnsi="Garamond"/>
          <w:sz w:val="28"/>
          <w:szCs w:val="28"/>
        </w:rPr>
        <w:t xml:space="preserve"> temi in materia di diritto di proprietà</w:t>
      </w:r>
      <w:r w:rsidR="000855D7">
        <w:rPr>
          <w:rFonts w:ascii="Garamond" w:hAnsi="Garamond"/>
          <w:sz w:val="28"/>
          <w:szCs w:val="28"/>
        </w:rPr>
        <w:t>,</w:t>
      </w:r>
      <w:r>
        <w:rPr>
          <w:rFonts w:ascii="Garamond" w:hAnsi="Garamond"/>
          <w:sz w:val="28"/>
          <w:szCs w:val="28"/>
        </w:rPr>
        <w:t xml:space="preserve"> in relazione agli a</w:t>
      </w:r>
      <w:r w:rsidRPr="00F67114">
        <w:rPr>
          <w:rFonts w:ascii="Garamond" w:hAnsi="Garamond"/>
          <w:sz w:val="28"/>
          <w:szCs w:val="28"/>
        </w:rPr>
        <w:t xml:space="preserve">rtt. 49 e 56 </w:t>
      </w:r>
      <w:r w:rsidRPr="002419A6">
        <w:rPr>
          <w:rFonts w:ascii="Garamond" w:hAnsi="Garamond"/>
          <w:sz w:val="28"/>
          <w:szCs w:val="28"/>
        </w:rPr>
        <w:t>TFUE</w:t>
      </w:r>
      <w:r>
        <w:rPr>
          <w:rFonts w:ascii="Garamond" w:hAnsi="Garamond"/>
          <w:sz w:val="28"/>
          <w:szCs w:val="28"/>
        </w:rPr>
        <w:t xml:space="preserve">. Nel caso di specie </w:t>
      </w:r>
      <w:r w:rsidRPr="002419A6">
        <w:rPr>
          <w:rFonts w:ascii="Garamond" w:hAnsi="Garamond"/>
          <w:sz w:val="28"/>
          <w:szCs w:val="28"/>
        </w:rPr>
        <w:t xml:space="preserve">la Corte </w:t>
      </w:r>
      <w:r w:rsidR="00154AC8">
        <w:rPr>
          <w:rFonts w:ascii="Garamond" w:hAnsi="Garamond"/>
          <w:sz w:val="28"/>
          <w:szCs w:val="28"/>
        </w:rPr>
        <w:t xml:space="preserve">ha </w:t>
      </w:r>
      <w:r w:rsidRPr="002419A6">
        <w:rPr>
          <w:rFonts w:ascii="Garamond" w:hAnsi="Garamond"/>
          <w:sz w:val="28"/>
          <w:szCs w:val="28"/>
        </w:rPr>
        <w:t>afferma</w:t>
      </w:r>
      <w:r w:rsidR="00154AC8">
        <w:rPr>
          <w:rFonts w:ascii="Garamond" w:hAnsi="Garamond"/>
          <w:sz w:val="28"/>
          <w:szCs w:val="28"/>
        </w:rPr>
        <w:t>to</w:t>
      </w:r>
      <w:r w:rsidRPr="002419A6">
        <w:rPr>
          <w:rFonts w:ascii="Garamond" w:hAnsi="Garamond"/>
          <w:sz w:val="28"/>
          <w:szCs w:val="28"/>
        </w:rPr>
        <w:t xml:space="preserve"> che gli  artt. 49 e 56 TFUE devono essere interpretati nel senso che essi ostano a una disposizione nazionale restrittiva la quale impone al concessionario di cedere a titolo non oneroso, all’atto della cessazione dell’attività per scadenza del termine della concessione, l’uso dei beni materiali e immateriali di proprietà che costituiscono la rete di gestione e di raccolta del gioco, </w:t>
      </w:r>
      <w:r w:rsidRPr="00355F82">
        <w:rPr>
          <w:rFonts w:ascii="Garamond" w:hAnsi="Garamond"/>
          <w:b/>
          <w:sz w:val="28"/>
          <w:szCs w:val="28"/>
        </w:rPr>
        <w:t>qualora detta restrizione ecceda quanto è necessario al conseguimento dell’obiettivo effettivamente perseguito da detta disposizione, c</w:t>
      </w:r>
      <w:r w:rsidRPr="0032038B">
        <w:rPr>
          <w:rFonts w:ascii="Garamond" w:hAnsi="Garamond"/>
          <w:b/>
          <w:sz w:val="28"/>
          <w:szCs w:val="28"/>
        </w:rPr>
        <w:t>ircostanza che spetta al giudice del rinvio verificare</w:t>
      </w:r>
      <w:r w:rsidRPr="002419A6">
        <w:rPr>
          <w:rFonts w:ascii="Garamond" w:hAnsi="Garamond"/>
          <w:sz w:val="28"/>
          <w:szCs w:val="28"/>
        </w:rPr>
        <w:t>.</w:t>
      </w:r>
    </w:p>
    <w:p w14:paraId="0B246241" w14:textId="0D076E8C" w:rsidR="0003318F" w:rsidRPr="00082072" w:rsidRDefault="0003318F" w:rsidP="0003318F">
      <w:pPr>
        <w:spacing w:after="0" w:line="240" w:lineRule="auto"/>
        <w:jc w:val="both"/>
        <w:rPr>
          <w:rFonts w:ascii="Garamond" w:hAnsi="Garamond"/>
          <w:sz w:val="28"/>
          <w:szCs w:val="28"/>
        </w:rPr>
      </w:pPr>
      <w:r w:rsidRPr="002419A6">
        <w:rPr>
          <w:rFonts w:ascii="Garamond" w:hAnsi="Garamond"/>
          <w:sz w:val="28"/>
          <w:szCs w:val="28"/>
        </w:rPr>
        <w:t xml:space="preserve">Dalla sentenza si ricava che l’obbligo imposto al concessionario di cedere a titolo non oneroso, all’atto della cessazione dell’attività, l’uso delle attrezzature utilizzate per la raccolta di scommesse </w:t>
      </w:r>
      <w:r w:rsidR="00154AC8">
        <w:rPr>
          <w:rFonts w:ascii="Garamond" w:hAnsi="Garamond"/>
          <w:sz w:val="28"/>
          <w:szCs w:val="28"/>
        </w:rPr>
        <w:t>“</w:t>
      </w:r>
      <w:r w:rsidRPr="00B2455B">
        <w:rPr>
          <w:rFonts w:ascii="Garamond" w:hAnsi="Garamond"/>
          <w:i/>
          <w:sz w:val="28"/>
          <w:szCs w:val="28"/>
        </w:rPr>
        <w:t>può rendere meno vantaggioso l’esercizio di tale attività, impedendo a detto concessionario di trarre profitto dal proprio investimento</w:t>
      </w:r>
      <w:r w:rsidR="00154AC8">
        <w:rPr>
          <w:rFonts w:ascii="Garamond" w:hAnsi="Garamond"/>
          <w:sz w:val="28"/>
          <w:szCs w:val="28"/>
        </w:rPr>
        <w:t>”</w:t>
      </w:r>
      <w:r w:rsidRPr="00B2455B">
        <w:rPr>
          <w:rFonts w:ascii="Garamond" w:hAnsi="Garamond"/>
          <w:i/>
          <w:sz w:val="28"/>
          <w:szCs w:val="28"/>
        </w:rPr>
        <w:t>.</w:t>
      </w:r>
      <w:r w:rsidRPr="002419A6">
        <w:rPr>
          <w:rFonts w:ascii="Garamond" w:hAnsi="Garamond"/>
          <w:sz w:val="28"/>
          <w:szCs w:val="28"/>
        </w:rPr>
        <w:t xml:space="preserve"> Il giudice dell’Unione </w:t>
      </w:r>
      <w:r w:rsidR="00154AC8">
        <w:rPr>
          <w:rFonts w:ascii="Garamond" w:hAnsi="Garamond"/>
          <w:sz w:val="28"/>
          <w:szCs w:val="28"/>
        </w:rPr>
        <w:t>è pervenuto</w:t>
      </w:r>
      <w:r w:rsidRPr="002419A6">
        <w:rPr>
          <w:rFonts w:ascii="Garamond" w:hAnsi="Garamond"/>
          <w:sz w:val="28"/>
          <w:szCs w:val="28"/>
        </w:rPr>
        <w:t xml:space="preserve"> alla conclusione che questa misura costituisce una restrizione delle libertà garantite dagli artt. 49 e 56 TFUE, non soddisfacendo il principio di </w:t>
      </w:r>
      <w:r w:rsidRPr="00B2455B">
        <w:rPr>
          <w:rFonts w:ascii="Garamond" w:hAnsi="Garamond"/>
          <w:b/>
          <w:sz w:val="28"/>
          <w:szCs w:val="28"/>
        </w:rPr>
        <w:t>proporzionalità</w:t>
      </w:r>
      <w:r w:rsidR="00D918BC" w:rsidRPr="00D918BC">
        <w:rPr>
          <w:rStyle w:val="Rimandonotaapidipagina"/>
          <w:rFonts w:ascii="Garamond" w:hAnsi="Garamond"/>
          <w:sz w:val="28"/>
          <w:szCs w:val="28"/>
        </w:rPr>
        <w:footnoteReference w:id="87"/>
      </w:r>
      <w:r w:rsidRPr="00D918BC">
        <w:rPr>
          <w:rFonts w:ascii="Garamond" w:hAnsi="Garamond"/>
          <w:sz w:val="28"/>
          <w:szCs w:val="28"/>
        </w:rPr>
        <w:t>.</w:t>
      </w:r>
    </w:p>
    <w:p w14:paraId="0DD9FCC8" w14:textId="77777777" w:rsidR="0003318F" w:rsidRDefault="0003318F" w:rsidP="0003318F">
      <w:pPr>
        <w:spacing w:after="0" w:line="240" w:lineRule="auto"/>
        <w:jc w:val="both"/>
        <w:rPr>
          <w:rFonts w:ascii="Garamond" w:hAnsi="Garamond"/>
          <w:sz w:val="28"/>
          <w:szCs w:val="28"/>
        </w:rPr>
      </w:pPr>
    </w:p>
    <w:p w14:paraId="7EC33BBA" w14:textId="4F691C92" w:rsidR="0003318F" w:rsidRDefault="0003318F" w:rsidP="0003318F">
      <w:pPr>
        <w:spacing w:after="0" w:line="240" w:lineRule="auto"/>
        <w:jc w:val="both"/>
        <w:rPr>
          <w:rFonts w:ascii="Garamond" w:hAnsi="Garamond"/>
          <w:sz w:val="28"/>
          <w:szCs w:val="28"/>
        </w:rPr>
      </w:pPr>
      <w:r w:rsidRPr="00DE40AC">
        <w:rPr>
          <w:rFonts w:ascii="Garamond" w:hAnsi="Garamond"/>
          <w:sz w:val="28"/>
          <w:szCs w:val="28"/>
        </w:rPr>
        <w:t xml:space="preserve">Tra il 2020 e il 2021 l’AGCM ha presentato numerose diffide contro le </w:t>
      </w:r>
      <w:r w:rsidR="00154AC8">
        <w:rPr>
          <w:rFonts w:ascii="Garamond" w:hAnsi="Garamond"/>
          <w:sz w:val="28"/>
          <w:szCs w:val="28"/>
        </w:rPr>
        <w:t>A</w:t>
      </w:r>
      <w:r w:rsidRPr="00DE40AC">
        <w:rPr>
          <w:rFonts w:ascii="Garamond" w:hAnsi="Garamond"/>
          <w:sz w:val="28"/>
          <w:szCs w:val="28"/>
        </w:rPr>
        <w:t xml:space="preserve">mministrazioni comunali che avevano rilasciato la proroga delle concessioni balneari al 2033, disposta dalla L. n. 145/2018. </w:t>
      </w:r>
    </w:p>
    <w:p w14:paraId="22D73BD1" w14:textId="7CF2A604" w:rsidR="0003318F" w:rsidRPr="00DE40AC" w:rsidRDefault="0003318F" w:rsidP="0003318F">
      <w:pPr>
        <w:spacing w:after="0" w:line="240" w:lineRule="auto"/>
        <w:jc w:val="both"/>
        <w:rPr>
          <w:rFonts w:ascii="Garamond" w:hAnsi="Garamond"/>
          <w:sz w:val="28"/>
          <w:szCs w:val="28"/>
        </w:rPr>
      </w:pPr>
      <w:r w:rsidRPr="00DE40AC">
        <w:rPr>
          <w:rFonts w:ascii="Garamond" w:hAnsi="Garamond"/>
          <w:sz w:val="28"/>
          <w:szCs w:val="28"/>
        </w:rPr>
        <w:t xml:space="preserve">Secondo l’Antitrust, </w:t>
      </w:r>
      <w:r>
        <w:rPr>
          <w:rFonts w:ascii="Garamond" w:hAnsi="Garamond"/>
          <w:sz w:val="28"/>
          <w:szCs w:val="28"/>
        </w:rPr>
        <w:t>in particolare</w:t>
      </w:r>
      <w:r w:rsidRPr="00DE40AC">
        <w:rPr>
          <w:rFonts w:ascii="Garamond" w:hAnsi="Garamond"/>
          <w:sz w:val="28"/>
          <w:szCs w:val="28"/>
        </w:rPr>
        <w:t>, l’estensione di quindici anni era in contrasto con il diritto europeo</w:t>
      </w:r>
      <w:r w:rsidR="00154AC8">
        <w:rPr>
          <w:rFonts w:ascii="Garamond" w:hAnsi="Garamond"/>
          <w:sz w:val="28"/>
          <w:szCs w:val="28"/>
        </w:rPr>
        <w:t xml:space="preserve"> –</w:t>
      </w:r>
      <w:r>
        <w:rPr>
          <w:rFonts w:ascii="Garamond" w:hAnsi="Garamond"/>
          <w:sz w:val="28"/>
          <w:szCs w:val="28"/>
        </w:rPr>
        <w:t xml:space="preserve"> come graniticamente consolidato dopo la </w:t>
      </w:r>
      <w:r w:rsidR="00154AC8">
        <w:rPr>
          <w:rFonts w:ascii="Garamond" w:hAnsi="Garamond"/>
          <w:sz w:val="28"/>
          <w:szCs w:val="28"/>
        </w:rPr>
        <w:t>“</w:t>
      </w:r>
      <w:r>
        <w:rPr>
          <w:rFonts w:ascii="Garamond" w:hAnsi="Garamond"/>
          <w:sz w:val="28"/>
          <w:szCs w:val="28"/>
        </w:rPr>
        <w:t>Promoimpresa</w:t>
      </w:r>
      <w:r w:rsidR="00154AC8">
        <w:rPr>
          <w:rFonts w:ascii="Garamond" w:hAnsi="Garamond"/>
          <w:sz w:val="28"/>
          <w:szCs w:val="28"/>
        </w:rPr>
        <w:t>” –</w:t>
      </w:r>
      <w:r w:rsidRPr="00DE40AC">
        <w:rPr>
          <w:rFonts w:ascii="Garamond" w:hAnsi="Garamond"/>
          <w:sz w:val="28"/>
          <w:szCs w:val="28"/>
        </w:rPr>
        <w:t xml:space="preserve"> che vieta </w:t>
      </w:r>
      <w:r w:rsidRPr="00DE40AC">
        <w:rPr>
          <w:rFonts w:ascii="Garamond" w:hAnsi="Garamond"/>
          <w:sz w:val="28"/>
          <w:szCs w:val="28"/>
        </w:rPr>
        <w:lastRenderedPageBreak/>
        <w:t>le proroghe automatiche e generalizzate sulle concessioni e</w:t>
      </w:r>
      <w:r>
        <w:rPr>
          <w:rFonts w:ascii="Garamond" w:hAnsi="Garamond"/>
          <w:sz w:val="28"/>
          <w:szCs w:val="28"/>
        </w:rPr>
        <w:t>,</w:t>
      </w:r>
      <w:r w:rsidRPr="00DE40AC">
        <w:rPr>
          <w:rFonts w:ascii="Garamond" w:hAnsi="Garamond"/>
          <w:sz w:val="28"/>
          <w:szCs w:val="28"/>
        </w:rPr>
        <w:t xml:space="preserve"> in particolare</w:t>
      </w:r>
      <w:r>
        <w:rPr>
          <w:rFonts w:ascii="Garamond" w:hAnsi="Garamond"/>
          <w:sz w:val="28"/>
          <w:szCs w:val="28"/>
        </w:rPr>
        <w:t>,</w:t>
      </w:r>
      <w:r w:rsidRPr="00DE40AC">
        <w:rPr>
          <w:rFonts w:ascii="Garamond" w:hAnsi="Garamond"/>
          <w:sz w:val="28"/>
          <w:szCs w:val="28"/>
        </w:rPr>
        <w:t xml:space="preserve"> con la direttiva Bolkestein del 2006. </w:t>
      </w:r>
    </w:p>
    <w:p w14:paraId="361E9479" w14:textId="14F8A533" w:rsidR="0003318F" w:rsidRPr="00DE40AC" w:rsidRDefault="0003318F" w:rsidP="0003318F">
      <w:pPr>
        <w:spacing w:after="0" w:line="240" w:lineRule="auto"/>
        <w:jc w:val="both"/>
        <w:rPr>
          <w:rFonts w:ascii="Garamond" w:hAnsi="Garamond"/>
          <w:sz w:val="28"/>
          <w:szCs w:val="28"/>
        </w:rPr>
      </w:pPr>
      <w:r>
        <w:rPr>
          <w:rFonts w:ascii="Garamond" w:hAnsi="Garamond"/>
          <w:sz w:val="28"/>
          <w:szCs w:val="28"/>
        </w:rPr>
        <w:t>In questo contesto, i</w:t>
      </w:r>
      <w:r w:rsidRPr="00DE40AC">
        <w:rPr>
          <w:rFonts w:ascii="Garamond" w:hAnsi="Garamond"/>
          <w:sz w:val="28"/>
          <w:szCs w:val="28"/>
        </w:rPr>
        <w:t xml:space="preserve">l </w:t>
      </w:r>
      <w:r w:rsidRPr="00154AC8">
        <w:rPr>
          <w:rFonts w:ascii="Garamond" w:hAnsi="Garamond"/>
          <w:b/>
          <w:sz w:val="28"/>
          <w:szCs w:val="28"/>
        </w:rPr>
        <w:t>T.A.</w:t>
      </w:r>
      <w:r w:rsidR="00154AC8">
        <w:rPr>
          <w:rFonts w:ascii="Garamond" w:hAnsi="Garamond"/>
          <w:b/>
          <w:sz w:val="28"/>
          <w:szCs w:val="28"/>
        </w:rPr>
        <w:t xml:space="preserve">R. Puglia </w:t>
      </w:r>
      <w:r w:rsidRPr="00154AC8">
        <w:rPr>
          <w:rFonts w:ascii="Garamond" w:hAnsi="Garamond"/>
          <w:b/>
          <w:sz w:val="28"/>
          <w:szCs w:val="28"/>
        </w:rPr>
        <w:t>Lecce</w:t>
      </w:r>
      <w:r w:rsidRPr="00154AC8">
        <w:rPr>
          <w:rFonts w:ascii="Garamond" w:hAnsi="Garamond"/>
          <w:sz w:val="28"/>
          <w:szCs w:val="28"/>
        </w:rPr>
        <w:t>,</w:t>
      </w:r>
      <w:r w:rsidRPr="00154AC8">
        <w:rPr>
          <w:rFonts w:ascii="Garamond" w:hAnsi="Garamond"/>
          <w:b/>
          <w:sz w:val="28"/>
          <w:szCs w:val="28"/>
        </w:rPr>
        <w:t xml:space="preserve"> </w:t>
      </w:r>
      <w:r w:rsidRPr="00154AC8">
        <w:rPr>
          <w:rFonts w:ascii="Garamond" w:hAnsi="Garamond"/>
          <w:sz w:val="28"/>
          <w:szCs w:val="28"/>
        </w:rPr>
        <w:t>accogliendo le istanze del Comune di Ginosa contro l’Antitrust, ha sollevato rin</w:t>
      </w:r>
      <w:r w:rsidRPr="00DE40AC">
        <w:rPr>
          <w:rFonts w:ascii="Garamond" w:hAnsi="Garamond"/>
          <w:sz w:val="28"/>
          <w:szCs w:val="28"/>
        </w:rPr>
        <w:t>vio pregiudiziale chiedendo chiarimenti – tra i vari punti – circa la diretta applicabilità della direttiva se</w:t>
      </w:r>
      <w:r w:rsidR="00861D40">
        <w:rPr>
          <w:rFonts w:ascii="Garamond" w:hAnsi="Garamond"/>
          <w:sz w:val="28"/>
          <w:szCs w:val="28"/>
        </w:rPr>
        <w:t xml:space="preserve">rvizi, nonché, in particolare, </w:t>
      </w:r>
      <w:r w:rsidRPr="00DE40AC">
        <w:rPr>
          <w:rFonts w:ascii="Garamond" w:hAnsi="Garamond"/>
          <w:sz w:val="28"/>
          <w:szCs w:val="28"/>
        </w:rPr>
        <w:t xml:space="preserve">se tale immediata applicabilità possa ritenersi sussistere anche in concreto in un contesto normativo – come quello italiano – nel quale vige l’art. 49 </w:t>
      </w:r>
      <w:r w:rsidR="00861D40">
        <w:rPr>
          <w:rFonts w:ascii="Garamond" w:hAnsi="Garamond"/>
          <w:sz w:val="28"/>
          <w:szCs w:val="28"/>
        </w:rPr>
        <w:t>cod. nav.</w:t>
      </w:r>
      <w:r w:rsidRPr="00DE40AC">
        <w:rPr>
          <w:rFonts w:ascii="Garamond" w:hAnsi="Garamond"/>
          <w:sz w:val="28"/>
          <w:szCs w:val="28"/>
        </w:rPr>
        <w:t xml:space="preserve"> (che prevede che all’atto di cessazione della concessione “</w:t>
      </w:r>
      <w:r w:rsidRPr="00861D40">
        <w:rPr>
          <w:rFonts w:ascii="Garamond" w:hAnsi="Garamond"/>
          <w:i/>
          <w:sz w:val="28"/>
          <w:szCs w:val="28"/>
        </w:rPr>
        <w:t>tutte le opere non amovibili restano acquisite allo Stato senza alcun compenso o rimborso</w:t>
      </w:r>
      <w:r w:rsidRPr="00DE40AC">
        <w:rPr>
          <w:rFonts w:ascii="Garamond" w:hAnsi="Garamond"/>
          <w:sz w:val="28"/>
          <w:szCs w:val="28"/>
        </w:rPr>
        <w:t xml:space="preserve">”) e se tale conseguenza della ritenuta natura </w:t>
      </w:r>
      <w:r w:rsidRPr="00861D40">
        <w:rPr>
          <w:rFonts w:ascii="Garamond" w:hAnsi="Garamond"/>
          <w:i/>
          <w:sz w:val="28"/>
          <w:szCs w:val="28"/>
        </w:rPr>
        <w:t>self-executing</w:t>
      </w:r>
      <w:r w:rsidRPr="00DE40AC">
        <w:rPr>
          <w:rFonts w:ascii="Garamond" w:hAnsi="Garamond"/>
          <w:sz w:val="28"/>
          <w:szCs w:val="28"/>
        </w:rPr>
        <w:t xml:space="preserve"> o immediata applicabilità</w:t>
      </w:r>
      <w:r>
        <w:rPr>
          <w:rFonts w:ascii="Garamond" w:hAnsi="Garamond"/>
          <w:sz w:val="28"/>
          <w:szCs w:val="28"/>
        </w:rPr>
        <w:t xml:space="preserve"> della direttiva in questione (</w:t>
      </w:r>
      <w:r w:rsidRPr="00DE40AC">
        <w:rPr>
          <w:rFonts w:ascii="Garamond" w:hAnsi="Garamond"/>
          <w:sz w:val="28"/>
          <w:szCs w:val="28"/>
        </w:rPr>
        <w:t xml:space="preserve">in particolare con riferimento a strutture in muratura debitamente autorizzate ovvero a concessioni demaniali funzionalmente </w:t>
      </w:r>
      <w:r w:rsidR="00861D40">
        <w:rPr>
          <w:rFonts w:ascii="Garamond" w:hAnsi="Garamond"/>
          <w:sz w:val="28"/>
          <w:szCs w:val="28"/>
        </w:rPr>
        <w:t>collegate ad attività turistico-</w:t>
      </w:r>
      <w:r w:rsidRPr="00DE40AC">
        <w:rPr>
          <w:rFonts w:ascii="Garamond" w:hAnsi="Garamond"/>
          <w:sz w:val="28"/>
          <w:szCs w:val="28"/>
        </w:rPr>
        <w:t>ricettiva, come hotel o villaggio) risulti compatibile con la tutela di diritti fondamentali, come il diritto di proprietà, riconosciuti come meritevoli di tutela privilegiata nell’</w:t>
      </w:r>
      <w:r w:rsidR="00861D40">
        <w:rPr>
          <w:rFonts w:ascii="Garamond" w:hAnsi="Garamond"/>
          <w:sz w:val="28"/>
          <w:szCs w:val="28"/>
        </w:rPr>
        <w:t>o</w:t>
      </w:r>
      <w:r w:rsidRPr="00DE40AC">
        <w:rPr>
          <w:rFonts w:ascii="Garamond" w:hAnsi="Garamond"/>
          <w:sz w:val="28"/>
          <w:szCs w:val="28"/>
        </w:rPr>
        <w:t xml:space="preserve">rdinamento </w:t>
      </w:r>
      <w:r w:rsidR="00861D40">
        <w:rPr>
          <w:rFonts w:ascii="Garamond" w:hAnsi="Garamond"/>
          <w:sz w:val="28"/>
          <w:szCs w:val="28"/>
        </w:rPr>
        <w:t>eurounitario</w:t>
      </w:r>
      <w:r w:rsidRPr="00DE40AC">
        <w:rPr>
          <w:rFonts w:ascii="Garamond" w:hAnsi="Garamond"/>
          <w:sz w:val="28"/>
          <w:szCs w:val="28"/>
        </w:rPr>
        <w:t xml:space="preserve">. </w:t>
      </w:r>
    </w:p>
    <w:p w14:paraId="4E32ADBD" w14:textId="77777777" w:rsidR="0003318F" w:rsidRPr="00DE40AC" w:rsidRDefault="0003318F" w:rsidP="0003318F">
      <w:pPr>
        <w:spacing w:after="0" w:line="240" w:lineRule="auto"/>
        <w:jc w:val="both"/>
        <w:rPr>
          <w:rFonts w:ascii="Garamond" w:hAnsi="Garamond"/>
          <w:sz w:val="28"/>
          <w:szCs w:val="28"/>
        </w:rPr>
      </w:pPr>
      <w:r w:rsidRPr="00DE40AC">
        <w:rPr>
          <w:rFonts w:ascii="Garamond" w:hAnsi="Garamond"/>
          <w:sz w:val="28"/>
          <w:szCs w:val="28"/>
        </w:rPr>
        <w:t xml:space="preserve">La CGUE </w:t>
      </w:r>
      <w:r>
        <w:rPr>
          <w:rFonts w:ascii="Garamond" w:hAnsi="Garamond"/>
          <w:sz w:val="28"/>
          <w:szCs w:val="28"/>
        </w:rPr>
        <w:t>(</w:t>
      </w:r>
      <w:r w:rsidRPr="00861D40">
        <w:rPr>
          <w:rFonts w:ascii="Garamond" w:hAnsi="Garamond"/>
          <w:b/>
          <w:sz w:val="28"/>
          <w:szCs w:val="28"/>
        </w:rPr>
        <w:t>Provvedimento in causa n. C-348/22 del 20/04/2023</w:t>
      </w:r>
      <w:r w:rsidRPr="0067020F">
        <w:rPr>
          <w:rFonts w:ascii="Garamond" w:hAnsi="Garamond"/>
          <w:sz w:val="28"/>
          <w:szCs w:val="28"/>
        </w:rPr>
        <w:t xml:space="preserve">) </w:t>
      </w:r>
      <w:r w:rsidRPr="00DE40AC">
        <w:rPr>
          <w:rFonts w:ascii="Garamond" w:hAnsi="Garamond"/>
          <w:sz w:val="28"/>
          <w:szCs w:val="28"/>
        </w:rPr>
        <w:t>ha, anzitutto, affermato che</w:t>
      </w:r>
      <w:r>
        <w:rPr>
          <w:rFonts w:ascii="Garamond" w:hAnsi="Garamond"/>
          <w:sz w:val="28"/>
          <w:szCs w:val="28"/>
        </w:rPr>
        <w:t>, nei casi in cui l’art. 12 direttiva servizi</w:t>
      </w:r>
      <w:r w:rsidRPr="00DE40AC">
        <w:rPr>
          <w:rFonts w:ascii="Garamond" w:hAnsi="Garamond"/>
          <w:sz w:val="28"/>
          <w:szCs w:val="28"/>
        </w:rPr>
        <w:t xml:space="preserve"> non sia applicabile per il venire meno del requisito della scarsità delle risorse, è necessario prendere in considerazione l’art. 49 TFUE e che lo stesso, dotato di efficacia diretta, nonché applicabile solo laddove l’attività economica oggetto dell’autorizzazione abbia carattere transfrontaliero, vieta ugualmente ipotesi di proroga o rinnovo automatico comunque denominati e concessioni prive di durata.</w:t>
      </w:r>
    </w:p>
    <w:p w14:paraId="094005F4" w14:textId="21F9B525" w:rsidR="0003318F" w:rsidRPr="00DE40AC" w:rsidRDefault="0003318F" w:rsidP="0003318F">
      <w:pPr>
        <w:spacing w:after="0" w:line="240" w:lineRule="auto"/>
        <w:jc w:val="both"/>
        <w:rPr>
          <w:rFonts w:ascii="Garamond" w:hAnsi="Garamond"/>
          <w:sz w:val="28"/>
          <w:szCs w:val="28"/>
        </w:rPr>
      </w:pPr>
      <w:r w:rsidRPr="00DE40AC">
        <w:rPr>
          <w:rFonts w:ascii="Garamond" w:hAnsi="Garamond"/>
          <w:sz w:val="28"/>
          <w:szCs w:val="28"/>
        </w:rPr>
        <w:t xml:space="preserve">Il T.A.R. </w:t>
      </w:r>
      <w:r w:rsidR="00861D40">
        <w:rPr>
          <w:rFonts w:ascii="Garamond" w:hAnsi="Garamond"/>
          <w:sz w:val="28"/>
          <w:szCs w:val="28"/>
        </w:rPr>
        <w:t xml:space="preserve">Puglia </w:t>
      </w:r>
      <w:r w:rsidRPr="00DE40AC">
        <w:rPr>
          <w:rFonts w:ascii="Garamond" w:hAnsi="Garamond"/>
          <w:sz w:val="28"/>
          <w:szCs w:val="28"/>
        </w:rPr>
        <w:t xml:space="preserve">Lecce aveva chiesto espressamente se fosse coerente con i fini perseguiti dalla direttiva servizi e dallo stesso art. 49 TFUE una statuizione (operata dal Consiglio di Stato, quale giudice nazionale) relativa alla sussistenza, in via generale ed astratta, del requisito della scarsità delle risorse e delle concessioni disponibili riferito </w:t>
      </w:r>
      <w:r>
        <w:rPr>
          <w:rFonts w:ascii="Garamond" w:hAnsi="Garamond"/>
          <w:sz w:val="28"/>
          <w:szCs w:val="28"/>
        </w:rPr>
        <w:t>complessivamente</w:t>
      </w:r>
      <w:r w:rsidRPr="00DE40AC">
        <w:rPr>
          <w:rFonts w:ascii="Garamond" w:hAnsi="Garamond"/>
          <w:sz w:val="28"/>
          <w:szCs w:val="28"/>
        </w:rPr>
        <w:t xml:space="preserve"> all’intero territorio nazionale ovvero se, viceversa, stante in Italia la competenza dei singoli </w:t>
      </w:r>
      <w:r w:rsidR="00861D40">
        <w:rPr>
          <w:rFonts w:ascii="Garamond" w:hAnsi="Garamond"/>
          <w:sz w:val="28"/>
          <w:szCs w:val="28"/>
        </w:rPr>
        <w:t>C</w:t>
      </w:r>
      <w:r w:rsidRPr="00DE40AC">
        <w:rPr>
          <w:rFonts w:ascii="Garamond" w:hAnsi="Garamond"/>
          <w:sz w:val="28"/>
          <w:szCs w:val="28"/>
        </w:rPr>
        <w:t xml:space="preserve">omuni, tale valutazione non dovesse intendersi riferita al territorio costiero di ciascun </w:t>
      </w:r>
      <w:r w:rsidR="00861D40">
        <w:rPr>
          <w:rFonts w:ascii="Garamond" w:hAnsi="Garamond"/>
          <w:sz w:val="28"/>
          <w:szCs w:val="28"/>
        </w:rPr>
        <w:t>C</w:t>
      </w:r>
      <w:r w:rsidRPr="00DE40AC">
        <w:rPr>
          <w:rFonts w:ascii="Garamond" w:hAnsi="Garamond"/>
          <w:sz w:val="28"/>
          <w:szCs w:val="28"/>
        </w:rPr>
        <w:t>omune e, quindi, riservata alla sola competenza comunale.</w:t>
      </w:r>
    </w:p>
    <w:p w14:paraId="78311065" w14:textId="37DBA630" w:rsidR="0003318F" w:rsidRPr="00DE40AC" w:rsidRDefault="0003318F" w:rsidP="0003318F">
      <w:pPr>
        <w:spacing w:after="0" w:line="240" w:lineRule="auto"/>
        <w:jc w:val="both"/>
        <w:rPr>
          <w:rFonts w:ascii="Garamond" w:hAnsi="Garamond"/>
          <w:sz w:val="28"/>
          <w:szCs w:val="28"/>
        </w:rPr>
      </w:pPr>
      <w:r w:rsidRPr="00DE40AC">
        <w:rPr>
          <w:rFonts w:ascii="Garamond" w:hAnsi="Garamond"/>
          <w:sz w:val="28"/>
          <w:szCs w:val="28"/>
        </w:rPr>
        <w:t xml:space="preserve">Il Consiglio di Stato aveva rilevato che il concetto di scarsità è da interpretare tenendo conto non solo della </w:t>
      </w:r>
      <w:r w:rsidR="00861D40" w:rsidRPr="00861D40">
        <w:rPr>
          <w:rFonts w:ascii="Garamond" w:hAnsi="Garamond"/>
          <w:sz w:val="28"/>
          <w:szCs w:val="28"/>
        </w:rPr>
        <w:t>quantità</w:t>
      </w:r>
      <w:r w:rsidRPr="00861D40">
        <w:rPr>
          <w:rFonts w:ascii="Garamond" w:hAnsi="Garamond"/>
          <w:sz w:val="28"/>
          <w:szCs w:val="28"/>
        </w:rPr>
        <w:t xml:space="preserve"> </w:t>
      </w:r>
      <w:r w:rsidRPr="00DE40AC">
        <w:rPr>
          <w:rFonts w:ascii="Garamond" w:hAnsi="Garamond"/>
          <w:sz w:val="28"/>
          <w:szCs w:val="28"/>
        </w:rPr>
        <w:t>del bene disponibile, ma anche dei suoi aspetti qualitativi e, di conseguenza, “</w:t>
      </w:r>
      <w:r w:rsidRPr="00861D40">
        <w:rPr>
          <w:rFonts w:ascii="Garamond" w:hAnsi="Garamond"/>
          <w:i/>
          <w:sz w:val="28"/>
          <w:szCs w:val="28"/>
        </w:rPr>
        <w:t>della domanda che è in grado di generare da parte di altri potenziali concorrenti, oltre che dei fruitori finali del servizio che tramite esso viene immesso sul mercato</w:t>
      </w:r>
      <w:r w:rsidRPr="00DE40AC">
        <w:rPr>
          <w:rFonts w:ascii="Garamond" w:hAnsi="Garamond"/>
          <w:sz w:val="28"/>
          <w:szCs w:val="28"/>
        </w:rPr>
        <w:t>”. L’idea è che non tutti gli stabilim</w:t>
      </w:r>
      <w:r w:rsidR="00861D40">
        <w:rPr>
          <w:rFonts w:ascii="Garamond" w:hAnsi="Garamond"/>
          <w:sz w:val="28"/>
          <w:szCs w:val="28"/>
        </w:rPr>
        <w:t>enti sono eguali in termini di funzione economica</w:t>
      </w:r>
      <w:r w:rsidRPr="00DE40AC">
        <w:rPr>
          <w:rFonts w:ascii="Garamond" w:hAnsi="Garamond"/>
          <w:sz w:val="28"/>
          <w:szCs w:val="28"/>
        </w:rPr>
        <w:t xml:space="preserve"> e, pertanto, anche so</w:t>
      </w:r>
      <w:r w:rsidR="00861D40">
        <w:rPr>
          <w:rFonts w:ascii="Garamond" w:hAnsi="Garamond"/>
          <w:sz w:val="28"/>
          <w:szCs w:val="28"/>
        </w:rPr>
        <w:t xml:space="preserve">lo per questa ragione, le aree </w:t>
      </w:r>
      <w:r w:rsidRPr="00DE40AC">
        <w:rPr>
          <w:rFonts w:ascii="Garamond" w:hAnsi="Garamond"/>
          <w:sz w:val="28"/>
          <w:szCs w:val="28"/>
        </w:rPr>
        <w:t xml:space="preserve">più attrattive dal punto di vista economico </w:t>
      </w:r>
      <w:r w:rsidR="00861D40">
        <w:rPr>
          <w:rFonts w:ascii="Garamond" w:hAnsi="Garamond"/>
          <w:sz w:val="28"/>
          <w:szCs w:val="28"/>
        </w:rPr>
        <w:t xml:space="preserve">sono </w:t>
      </w:r>
      <w:r w:rsidRPr="00DE40AC">
        <w:rPr>
          <w:rFonts w:ascii="Garamond" w:hAnsi="Garamond"/>
          <w:sz w:val="28"/>
          <w:szCs w:val="28"/>
        </w:rPr>
        <w:t>scarse indipendentemente dal profilo quantitativo.</w:t>
      </w:r>
    </w:p>
    <w:p w14:paraId="0D4ED9B9" w14:textId="77777777" w:rsidR="0003318F" w:rsidRPr="009D7CA9" w:rsidRDefault="0003318F" w:rsidP="0003318F">
      <w:pPr>
        <w:spacing w:after="0" w:line="240" w:lineRule="auto"/>
        <w:jc w:val="both"/>
        <w:rPr>
          <w:rFonts w:ascii="Garamond" w:hAnsi="Garamond"/>
          <w:b/>
          <w:sz w:val="28"/>
          <w:szCs w:val="28"/>
        </w:rPr>
      </w:pPr>
      <w:r w:rsidRPr="009D7CA9">
        <w:rPr>
          <w:rFonts w:ascii="Garamond" w:hAnsi="Garamond"/>
          <w:b/>
          <w:sz w:val="28"/>
          <w:szCs w:val="28"/>
        </w:rPr>
        <w:t>La CGUE ha risposto al quesito stabilendo che entrambi gli approcci sono ammissibili: sia quello su base astratta e nazionale, abbracciato dal Consiglio di Stato, sia quello su base comunale, volto alle specificità del patrimonio locale.</w:t>
      </w:r>
    </w:p>
    <w:p w14:paraId="25033865" w14:textId="3D09D417" w:rsidR="0003318F" w:rsidRPr="00DE40AC" w:rsidRDefault="0003318F" w:rsidP="0003318F">
      <w:pPr>
        <w:spacing w:after="0" w:line="240" w:lineRule="auto"/>
        <w:jc w:val="both"/>
        <w:rPr>
          <w:rFonts w:ascii="Garamond" w:hAnsi="Garamond"/>
          <w:sz w:val="28"/>
          <w:szCs w:val="28"/>
        </w:rPr>
      </w:pPr>
      <w:r w:rsidRPr="00DE40AC">
        <w:rPr>
          <w:rFonts w:ascii="Garamond" w:hAnsi="Garamond"/>
          <w:sz w:val="28"/>
          <w:szCs w:val="28"/>
        </w:rPr>
        <w:t xml:space="preserve">La </w:t>
      </w:r>
      <w:r w:rsidR="00861D40">
        <w:rPr>
          <w:rFonts w:ascii="Garamond" w:hAnsi="Garamond"/>
          <w:sz w:val="28"/>
          <w:szCs w:val="28"/>
        </w:rPr>
        <w:t xml:space="preserve">CGUE non </w:t>
      </w:r>
      <w:r w:rsidR="00C666A3">
        <w:rPr>
          <w:rFonts w:ascii="Garamond" w:hAnsi="Garamond"/>
          <w:sz w:val="28"/>
          <w:szCs w:val="28"/>
        </w:rPr>
        <w:t xml:space="preserve">ha </w:t>
      </w:r>
      <w:r w:rsidR="00861D40">
        <w:rPr>
          <w:rFonts w:ascii="Garamond" w:hAnsi="Garamond"/>
          <w:sz w:val="28"/>
          <w:szCs w:val="28"/>
        </w:rPr>
        <w:t>forni</w:t>
      </w:r>
      <w:r w:rsidR="00C666A3">
        <w:rPr>
          <w:rFonts w:ascii="Garamond" w:hAnsi="Garamond"/>
          <w:sz w:val="28"/>
          <w:szCs w:val="28"/>
        </w:rPr>
        <w:t>to</w:t>
      </w:r>
      <w:r w:rsidR="00861D40">
        <w:rPr>
          <w:rFonts w:ascii="Garamond" w:hAnsi="Garamond"/>
          <w:sz w:val="28"/>
          <w:szCs w:val="28"/>
        </w:rPr>
        <w:t xml:space="preserve"> risposta all’</w:t>
      </w:r>
      <w:r>
        <w:rPr>
          <w:rFonts w:ascii="Garamond" w:hAnsi="Garamond"/>
          <w:sz w:val="28"/>
          <w:szCs w:val="28"/>
        </w:rPr>
        <w:t xml:space="preserve">ulteriore domanda pregiudiziale </w:t>
      </w:r>
      <w:r w:rsidRPr="00DE40AC">
        <w:rPr>
          <w:rFonts w:ascii="Garamond" w:hAnsi="Garamond"/>
          <w:sz w:val="28"/>
          <w:szCs w:val="28"/>
        </w:rPr>
        <w:t>se l’art. 12, par. 1 e 2, della direttiva 2006/123 debba essere interpretato nel senso che l’effetto diretto di cui gode tale disposizione comporta la disapplicazione di una normativa nazionale in forza della quale, alla scadenza di una concessione, tutte le opere inamovibili costruite dal concessionario sul terreno affidatogli in concessione restano acquisite al concedente, senza alcun compenso o rimborso e se la disapplicazione di tale normativa sia compatibile con l’art. 17 della Carta di Nizza.</w:t>
      </w:r>
    </w:p>
    <w:p w14:paraId="07973849" w14:textId="67E0FADA" w:rsidR="0003318F" w:rsidRDefault="00854D22" w:rsidP="0003318F">
      <w:pPr>
        <w:spacing w:after="0" w:line="240" w:lineRule="auto"/>
        <w:jc w:val="both"/>
        <w:rPr>
          <w:rFonts w:ascii="Garamond" w:hAnsi="Garamond"/>
          <w:sz w:val="28"/>
          <w:szCs w:val="28"/>
        </w:rPr>
      </w:pPr>
      <w:r>
        <w:rPr>
          <w:rFonts w:ascii="Garamond" w:hAnsi="Garamond"/>
          <w:sz w:val="28"/>
          <w:szCs w:val="28"/>
        </w:rPr>
        <w:lastRenderedPageBreak/>
        <w:t>Ha affermato</w:t>
      </w:r>
      <w:r w:rsidR="0003318F">
        <w:rPr>
          <w:rFonts w:ascii="Garamond" w:hAnsi="Garamond"/>
          <w:sz w:val="28"/>
          <w:szCs w:val="28"/>
        </w:rPr>
        <w:t xml:space="preserve"> la C</w:t>
      </w:r>
      <w:r w:rsidR="0003318F" w:rsidRPr="00DE40AC">
        <w:rPr>
          <w:rFonts w:ascii="Garamond" w:hAnsi="Garamond"/>
          <w:sz w:val="28"/>
          <w:szCs w:val="28"/>
        </w:rPr>
        <w:t xml:space="preserve">orte che la controversia di cui trattasi nel procedimento principale riguarda la proroga delle concessioni e non già la questione del diritto, in capo a un concessionario, di ottenere, alla scadenza della concessione, un qualsivoglia compenso per le opere inamovibili che esso abbia costruito sul terreno affidatogli in concessione. Pertanto, non avendo il giudice del rinvio esposto gli elementi di fatto e di diritto che caratterizzano la situazione di cui trattasi nel procedimento principale, la Corte si </w:t>
      </w:r>
      <w:r>
        <w:rPr>
          <w:rFonts w:ascii="Garamond" w:hAnsi="Garamond"/>
          <w:sz w:val="28"/>
          <w:szCs w:val="28"/>
        </w:rPr>
        <w:t>è trovata</w:t>
      </w:r>
      <w:r w:rsidR="0003318F" w:rsidRPr="00DE40AC">
        <w:rPr>
          <w:rFonts w:ascii="Garamond" w:hAnsi="Garamond"/>
          <w:sz w:val="28"/>
          <w:szCs w:val="28"/>
        </w:rPr>
        <w:t xml:space="preserve"> nell’impossibilità di fornire una risposta utile alla questione</w:t>
      </w:r>
      <w:r w:rsidR="00D918BC">
        <w:rPr>
          <w:rStyle w:val="Rimandonotaapidipagina"/>
          <w:rFonts w:ascii="Garamond" w:hAnsi="Garamond"/>
          <w:sz w:val="28"/>
          <w:szCs w:val="28"/>
        </w:rPr>
        <w:footnoteReference w:id="88"/>
      </w:r>
      <w:r w:rsidR="0003318F" w:rsidRPr="00DE40AC">
        <w:rPr>
          <w:rFonts w:ascii="Garamond" w:hAnsi="Garamond"/>
          <w:sz w:val="28"/>
          <w:szCs w:val="28"/>
        </w:rPr>
        <w:t>.</w:t>
      </w:r>
    </w:p>
    <w:p w14:paraId="4F5707D5" w14:textId="77777777" w:rsidR="0003318F" w:rsidRDefault="0003318F" w:rsidP="0003318F">
      <w:pPr>
        <w:spacing w:after="0" w:line="240" w:lineRule="auto"/>
        <w:jc w:val="both"/>
        <w:rPr>
          <w:rFonts w:ascii="Garamond" w:hAnsi="Garamond"/>
          <w:sz w:val="28"/>
          <w:szCs w:val="28"/>
        </w:rPr>
      </w:pPr>
    </w:p>
    <w:p w14:paraId="58D462E0" w14:textId="4D477641" w:rsidR="0003318F" w:rsidRDefault="0003318F" w:rsidP="0003318F">
      <w:pPr>
        <w:spacing w:after="0" w:line="240" w:lineRule="auto"/>
        <w:jc w:val="both"/>
        <w:rPr>
          <w:rFonts w:ascii="Garamond" w:hAnsi="Garamond"/>
          <w:sz w:val="28"/>
          <w:szCs w:val="28"/>
        </w:rPr>
      </w:pPr>
      <w:r w:rsidRPr="00854D22">
        <w:rPr>
          <w:rFonts w:ascii="Garamond" w:hAnsi="Garamond"/>
          <w:sz w:val="28"/>
          <w:szCs w:val="28"/>
        </w:rPr>
        <w:t xml:space="preserve">Con </w:t>
      </w:r>
      <w:r w:rsidRPr="00854D22">
        <w:rPr>
          <w:rFonts w:ascii="Garamond" w:hAnsi="Garamond"/>
          <w:b/>
          <w:sz w:val="28"/>
          <w:szCs w:val="28"/>
        </w:rPr>
        <w:t xml:space="preserve">atto del 16/11/2023 </w:t>
      </w:r>
      <w:r w:rsidR="00854D22">
        <w:rPr>
          <w:rFonts w:ascii="Garamond" w:hAnsi="Garamond"/>
          <w:b/>
          <w:sz w:val="28"/>
          <w:szCs w:val="28"/>
        </w:rPr>
        <w:t>(</w:t>
      </w:r>
      <w:r w:rsidRPr="00854D22">
        <w:rPr>
          <w:rFonts w:ascii="Garamond" w:hAnsi="Garamond"/>
          <w:b/>
          <w:sz w:val="28"/>
          <w:szCs w:val="28"/>
        </w:rPr>
        <w:t xml:space="preserve">procedura </w:t>
      </w:r>
      <w:proofErr w:type="spellStart"/>
      <w:r w:rsidRPr="00854D22">
        <w:rPr>
          <w:rFonts w:ascii="Garamond" w:hAnsi="Garamond"/>
          <w:b/>
          <w:sz w:val="28"/>
          <w:szCs w:val="28"/>
        </w:rPr>
        <w:t>infr</w:t>
      </w:r>
      <w:proofErr w:type="spellEnd"/>
      <w:r w:rsidRPr="00854D22">
        <w:rPr>
          <w:rFonts w:ascii="Garamond" w:hAnsi="Garamond"/>
          <w:b/>
          <w:sz w:val="28"/>
          <w:szCs w:val="28"/>
        </w:rPr>
        <w:t>. 2020/4118</w:t>
      </w:r>
      <w:r w:rsidR="00854D22">
        <w:rPr>
          <w:rFonts w:ascii="Garamond" w:hAnsi="Garamond"/>
          <w:b/>
          <w:sz w:val="28"/>
          <w:szCs w:val="28"/>
        </w:rPr>
        <w:t>)</w:t>
      </w:r>
      <w:r w:rsidRPr="00854D22">
        <w:rPr>
          <w:rFonts w:ascii="Garamond" w:hAnsi="Garamond"/>
          <w:sz w:val="28"/>
          <w:szCs w:val="28"/>
        </w:rPr>
        <w:t>,</w:t>
      </w:r>
      <w:r w:rsidRPr="00D36584">
        <w:rPr>
          <w:rFonts w:ascii="Garamond" w:hAnsi="Garamond"/>
          <w:sz w:val="28"/>
          <w:szCs w:val="28"/>
        </w:rPr>
        <w:t xml:space="preserve"> la Commissione europea ha indirizzato all’Italia un parere motivato in cui ripercorre tutto il panorama legislativo italiano sino al Legge n. 14/2023, rappresentando la perdurante violazione da parte del panorama normativo interno dell’art 12 direttiva se</w:t>
      </w:r>
      <w:r>
        <w:rPr>
          <w:rFonts w:ascii="Garamond" w:hAnsi="Garamond"/>
          <w:sz w:val="28"/>
          <w:szCs w:val="28"/>
        </w:rPr>
        <w:t>rvizi, nonché dell’art. 49 TFUE, invitando la Repubblica a conformarsi entro due mesi</w:t>
      </w:r>
      <w:r w:rsidR="00D918BC">
        <w:rPr>
          <w:rStyle w:val="Rimandonotaapidipagina"/>
          <w:rFonts w:ascii="Garamond" w:hAnsi="Garamond"/>
          <w:sz w:val="28"/>
          <w:szCs w:val="28"/>
        </w:rPr>
        <w:footnoteReference w:id="89"/>
      </w:r>
      <w:r w:rsidR="00D918BC">
        <w:rPr>
          <w:rFonts w:ascii="Garamond" w:hAnsi="Garamond"/>
          <w:sz w:val="28"/>
          <w:szCs w:val="28"/>
        </w:rPr>
        <w:t>.</w:t>
      </w:r>
    </w:p>
    <w:p w14:paraId="0805DF9F" w14:textId="7D40958E" w:rsidR="0003318F" w:rsidRDefault="0003318F" w:rsidP="0003318F">
      <w:pPr>
        <w:spacing w:after="0" w:line="240" w:lineRule="auto"/>
        <w:jc w:val="both"/>
        <w:rPr>
          <w:rFonts w:ascii="Garamond" w:hAnsi="Garamond"/>
          <w:sz w:val="28"/>
          <w:szCs w:val="28"/>
        </w:rPr>
      </w:pPr>
    </w:p>
    <w:p w14:paraId="64608F2E" w14:textId="4BF73CE6" w:rsidR="0003318F" w:rsidRPr="00270D52" w:rsidRDefault="0003318F" w:rsidP="0003318F">
      <w:pPr>
        <w:spacing w:after="0" w:line="240" w:lineRule="auto"/>
        <w:jc w:val="both"/>
        <w:rPr>
          <w:rFonts w:ascii="Garamond" w:hAnsi="Garamond"/>
          <w:sz w:val="28"/>
          <w:szCs w:val="28"/>
        </w:rPr>
      </w:pPr>
      <w:r w:rsidRPr="00270D52">
        <w:rPr>
          <w:rFonts w:ascii="Garamond" w:hAnsi="Garamond"/>
          <w:sz w:val="28"/>
          <w:szCs w:val="28"/>
        </w:rPr>
        <w:t xml:space="preserve">Poco prima dell’approvazione della nuova Legge n. 166/2024, </w:t>
      </w:r>
      <w:r w:rsidR="00854D22">
        <w:rPr>
          <w:rFonts w:ascii="Garamond" w:hAnsi="Garamond"/>
          <w:sz w:val="28"/>
          <w:szCs w:val="28"/>
        </w:rPr>
        <w:t>la CGUE si è pronunciata su un’</w:t>
      </w:r>
      <w:r>
        <w:rPr>
          <w:rFonts w:ascii="Garamond" w:hAnsi="Garamond"/>
          <w:sz w:val="28"/>
          <w:szCs w:val="28"/>
        </w:rPr>
        <w:t xml:space="preserve">ulteriore </w:t>
      </w:r>
      <w:r w:rsidRPr="00270D52">
        <w:rPr>
          <w:rFonts w:ascii="Garamond" w:hAnsi="Garamond"/>
          <w:sz w:val="28"/>
          <w:szCs w:val="28"/>
        </w:rPr>
        <w:t xml:space="preserve">domanda di rinvio pregiudiziale vertente sull’interpretazione degli artt. 49 e 56 TFUE. </w:t>
      </w:r>
    </w:p>
    <w:p w14:paraId="6761CF4B" w14:textId="5FDAD836" w:rsidR="0003318F" w:rsidRPr="00270D52" w:rsidRDefault="0003318F" w:rsidP="0003318F">
      <w:pPr>
        <w:spacing w:after="0" w:line="240" w:lineRule="auto"/>
        <w:jc w:val="both"/>
        <w:rPr>
          <w:rFonts w:ascii="Garamond" w:hAnsi="Garamond"/>
          <w:sz w:val="28"/>
          <w:szCs w:val="28"/>
        </w:rPr>
      </w:pPr>
      <w:r w:rsidRPr="00270D52">
        <w:rPr>
          <w:rFonts w:ascii="Garamond" w:hAnsi="Garamond"/>
          <w:sz w:val="28"/>
          <w:szCs w:val="28"/>
        </w:rPr>
        <w:t xml:space="preserve">La </w:t>
      </w:r>
      <w:r w:rsidR="00854D22">
        <w:rPr>
          <w:rFonts w:ascii="Garamond" w:hAnsi="Garamond"/>
          <w:sz w:val="28"/>
          <w:szCs w:val="28"/>
        </w:rPr>
        <w:t>CG</w:t>
      </w:r>
      <w:r w:rsidRPr="00270D52">
        <w:rPr>
          <w:rFonts w:ascii="Garamond" w:hAnsi="Garamond"/>
          <w:sz w:val="28"/>
          <w:szCs w:val="28"/>
        </w:rPr>
        <w:t>UE</w:t>
      </w:r>
      <w:r w:rsidR="00854D22">
        <w:rPr>
          <w:rFonts w:ascii="Garamond" w:hAnsi="Garamond"/>
          <w:sz w:val="28"/>
          <w:szCs w:val="28"/>
        </w:rPr>
        <w:t xml:space="preserve"> con la </w:t>
      </w:r>
      <w:r w:rsidR="00854D22" w:rsidRPr="00854D22">
        <w:rPr>
          <w:rFonts w:ascii="Garamond" w:hAnsi="Garamond"/>
          <w:b/>
          <w:sz w:val="28"/>
          <w:szCs w:val="28"/>
        </w:rPr>
        <w:t>s</w:t>
      </w:r>
      <w:r w:rsidRPr="00854D22">
        <w:rPr>
          <w:rFonts w:ascii="Garamond" w:hAnsi="Garamond"/>
          <w:b/>
          <w:sz w:val="28"/>
          <w:szCs w:val="28"/>
        </w:rPr>
        <w:t>entenza 11</w:t>
      </w:r>
      <w:r w:rsidR="00854D22">
        <w:rPr>
          <w:rFonts w:ascii="Garamond" w:hAnsi="Garamond"/>
          <w:b/>
          <w:sz w:val="28"/>
          <w:szCs w:val="28"/>
        </w:rPr>
        <w:t>/07/</w:t>
      </w:r>
      <w:r w:rsidRPr="00854D22">
        <w:rPr>
          <w:rFonts w:ascii="Garamond" w:hAnsi="Garamond"/>
          <w:b/>
          <w:sz w:val="28"/>
          <w:szCs w:val="28"/>
        </w:rPr>
        <w:t xml:space="preserve">2024, </w:t>
      </w:r>
      <w:r w:rsidR="00854D22">
        <w:rPr>
          <w:rFonts w:ascii="Garamond" w:hAnsi="Garamond"/>
          <w:b/>
          <w:sz w:val="28"/>
          <w:szCs w:val="28"/>
        </w:rPr>
        <w:t>(</w:t>
      </w:r>
      <w:r w:rsidRPr="00854D22">
        <w:rPr>
          <w:rFonts w:ascii="Garamond" w:hAnsi="Garamond"/>
          <w:b/>
          <w:sz w:val="28"/>
          <w:szCs w:val="28"/>
        </w:rPr>
        <w:t>causa n C- 598/22)</w:t>
      </w:r>
      <w:r w:rsidRPr="00270D52">
        <w:rPr>
          <w:rFonts w:ascii="Garamond" w:hAnsi="Garamond"/>
          <w:sz w:val="28"/>
          <w:szCs w:val="28"/>
        </w:rPr>
        <w:t xml:space="preserve"> è stata chiamata a fornire chiarimenti nell’ambito di</w:t>
      </w:r>
      <w:r w:rsidR="00854D22">
        <w:rPr>
          <w:rFonts w:ascii="Garamond" w:hAnsi="Garamond"/>
          <w:sz w:val="28"/>
          <w:szCs w:val="28"/>
        </w:rPr>
        <w:t xml:space="preserve"> una controversia che opponeva la</w:t>
      </w:r>
      <w:r w:rsidRPr="00270D52">
        <w:rPr>
          <w:rFonts w:ascii="Garamond" w:hAnsi="Garamond"/>
          <w:sz w:val="28"/>
          <w:szCs w:val="28"/>
        </w:rPr>
        <w:t xml:space="preserve"> </w:t>
      </w:r>
      <w:r w:rsidRPr="00854D22">
        <w:rPr>
          <w:rFonts w:ascii="Garamond" w:hAnsi="Garamond"/>
          <w:sz w:val="28"/>
          <w:szCs w:val="28"/>
        </w:rPr>
        <w:t>Soc</w:t>
      </w:r>
      <w:r w:rsidR="00854D22">
        <w:rPr>
          <w:rFonts w:ascii="Garamond" w:hAnsi="Garamond"/>
          <w:sz w:val="28"/>
          <w:szCs w:val="28"/>
        </w:rPr>
        <w:t>ietà Italiana Imprese Balneari s.</w:t>
      </w:r>
      <w:r w:rsidRPr="00854D22">
        <w:rPr>
          <w:rFonts w:ascii="Garamond" w:hAnsi="Garamond"/>
          <w:sz w:val="28"/>
          <w:szCs w:val="28"/>
        </w:rPr>
        <w:t>r</w:t>
      </w:r>
      <w:r w:rsidR="00854D22">
        <w:rPr>
          <w:rFonts w:ascii="Garamond" w:hAnsi="Garamond"/>
          <w:sz w:val="28"/>
          <w:szCs w:val="28"/>
        </w:rPr>
        <w:t>.</w:t>
      </w:r>
      <w:r w:rsidRPr="00854D22">
        <w:rPr>
          <w:rFonts w:ascii="Garamond" w:hAnsi="Garamond"/>
          <w:sz w:val="28"/>
          <w:szCs w:val="28"/>
        </w:rPr>
        <w:t>l</w:t>
      </w:r>
      <w:r w:rsidR="00854D22">
        <w:rPr>
          <w:rFonts w:ascii="Garamond" w:hAnsi="Garamond"/>
          <w:sz w:val="28"/>
          <w:szCs w:val="28"/>
        </w:rPr>
        <w:t>.</w:t>
      </w:r>
      <w:r w:rsidRPr="00270D52">
        <w:rPr>
          <w:rFonts w:ascii="Garamond" w:hAnsi="Garamond"/>
          <w:sz w:val="28"/>
          <w:szCs w:val="28"/>
        </w:rPr>
        <w:t xml:space="preserve"> al Comune di Rosignano Marittimo, avente ad oggetto delle decisioni mediante le quali il Comune </w:t>
      </w:r>
      <w:r w:rsidR="00854D22">
        <w:rPr>
          <w:rFonts w:ascii="Garamond" w:hAnsi="Garamond"/>
          <w:sz w:val="28"/>
          <w:szCs w:val="28"/>
        </w:rPr>
        <w:t>aveva</w:t>
      </w:r>
      <w:r w:rsidRPr="00270D52">
        <w:rPr>
          <w:rFonts w:ascii="Garamond" w:hAnsi="Garamond"/>
          <w:sz w:val="28"/>
          <w:szCs w:val="28"/>
        </w:rPr>
        <w:t xml:space="preserve"> constatato che, alla scadenza di una concessione di occupazione del demanio pubblico marittimo alla stessa rilasciata, le opere costruite da quest’ultima su tali aree erano state acquisite, a titolo gratuito, dallo Stato italiano, ed </w:t>
      </w:r>
      <w:r w:rsidR="00854D22">
        <w:rPr>
          <w:rFonts w:ascii="Garamond" w:hAnsi="Garamond"/>
          <w:sz w:val="28"/>
          <w:szCs w:val="28"/>
        </w:rPr>
        <w:t>aveva</w:t>
      </w:r>
      <w:r w:rsidRPr="00270D52">
        <w:rPr>
          <w:rFonts w:ascii="Garamond" w:hAnsi="Garamond"/>
          <w:sz w:val="28"/>
          <w:szCs w:val="28"/>
        </w:rPr>
        <w:t xml:space="preserve"> di conseguenza imposto il pagamento di canoni demaniali maggiorati.</w:t>
      </w:r>
    </w:p>
    <w:p w14:paraId="2E5A6C8E" w14:textId="75577630" w:rsidR="0003318F" w:rsidRPr="00270D52" w:rsidRDefault="0003318F" w:rsidP="0003318F">
      <w:pPr>
        <w:spacing w:after="0" w:line="240" w:lineRule="auto"/>
        <w:jc w:val="both"/>
        <w:rPr>
          <w:rFonts w:ascii="Garamond" w:hAnsi="Garamond"/>
          <w:sz w:val="28"/>
          <w:szCs w:val="28"/>
        </w:rPr>
      </w:pPr>
      <w:r w:rsidRPr="00270D52">
        <w:rPr>
          <w:rFonts w:ascii="Garamond" w:hAnsi="Garamond"/>
          <w:sz w:val="28"/>
          <w:szCs w:val="28"/>
        </w:rPr>
        <w:t xml:space="preserve">La Società </w:t>
      </w:r>
      <w:r w:rsidR="00854D22">
        <w:rPr>
          <w:rFonts w:ascii="Garamond" w:hAnsi="Garamond"/>
          <w:sz w:val="28"/>
          <w:szCs w:val="28"/>
        </w:rPr>
        <w:t>sosteneva</w:t>
      </w:r>
      <w:r w:rsidRPr="00270D52">
        <w:rPr>
          <w:rFonts w:ascii="Garamond" w:hAnsi="Garamond"/>
          <w:sz w:val="28"/>
          <w:szCs w:val="28"/>
        </w:rPr>
        <w:t xml:space="preserve"> che, in caso di rinnovo di una concessione, l’acquisizione al demanio pubblico marittimo dello Stato</w:t>
      </w:r>
      <w:r>
        <w:rPr>
          <w:rFonts w:ascii="Garamond" w:hAnsi="Garamond"/>
          <w:sz w:val="28"/>
          <w:szCs w:val="28"/>
        </w:rPr>
        <w:t>,</w:t>
      </w:r>
      <w:r w:rsidRPr="00270D52">
        <w:rPr>
          <w:rFonts w:ascii="Garamond" w:hAnsi="Garamond"/>
          <w:sz w:val="28"/>
          <w:szCs w:val="28"/>
        </w:rPr>
        <w:t xml:space="preserve"> senza indennizzo</w:t>
      </w:r>
      <w:r>
        <w:rPr>
          <w:rFonts w:ascii="Garamond" w:hAnsi="Garamond"/>
          <w:sz w:val="28"/>
          <w:szCs w:val="28"/>
        </w:rPr>
        <w:t>,</w:t>
      </w:r>
      <w:r w:rsidRPr="00270D52">
        <w:rPr>
          <w:rFonts w:ascii="Garamond" w:hAnsi="Garamond"/>
          <w:sz w:val="28"/>
          <w:szCs w:val="28"/>
        </w:rPr>
        <w:t xml:space="preserve"> delle opere costruite dal concessionario su tale demanio e che sono di difficile rimozione </w:t>
      </w:r>
      <w:r w:rsidR="0096400A">
        <w:rPr>
          <w:rFonts w:ascii="Garamond" w:hAnsi="Garamond"/>
          <w:sz w:val="28"/>
          <w:szCs w:val="28"/>
        </w:rPr>
        <w:t>era</w:t>
      </w:r>
      <w:r w:rsidRPr="00270D52">
        <w:rPr>
          <w:rFonts w:ascii="Garamond" w:hAnsi="Garamond"/>
          <w:sz w:val="28"/>
          <w:szCs w:val="28"/>
        </w:rPr>
        <w:t xml:space="preserve"> contraria al diritto dell’Unione, e segnatamente agli articoli 49 e 56 TFUE, come int</w:t>
      </w:r>
      <w:r w:rsidR="0096400A">
        <w:rPr>
          <w:rFonts w:ascii="Garamond" w:hAnsi="Garamond"/>
          <w:sz w:val="28"/>
          <w:szCs w:val="28"/>
        </w:rPr>
        <w:t>erpretati nella sentenza del 28/01/</w:t>
      </w:r>
      <w:r w:rsidRPr="00270D52">
        <w:rPr>
          <w:rFonts w:ascii="Garamond" w:hAnsi="Garamond"/>
          <w:sz w:val="28"/>
          <w:szCs w:val="28"/>
        </w:rPr>
        <w:t>2016 (c.d. sentenza Laezza).</w:t>
      </w:r>
    </w:p>
    <w:p w14:paraId="5E03442C" w14:textId="021AF554" w:rsidR="0003318F" w:rsidRPr="00270D52" w:rsidRDefault="0003318F" w:rsidP="0003318F">
      <w:pPr>
        <w:spacing w:after="0" w:line="240" w:lineRule="auto"/>
        <w:jc w:val="both"/>
        <w:rPr>
          <w:rFonts w:ascii="Garamond" w:hAnsi="Garamond"/>
          <w:sz w:val="28"/>
          <w:szCs w:val="28"/>
        </w:rPr>
      </w:pPr>
      <w:r w:rsidRPr="00270D52">
        <w:rPr>
          <w:rFonts w:ascii="Garamond" w:hAnsi="Garamond"/>
          <w:sz w:val="28"/>
          <w:szCs w:val="28"/>
        </w:rPr>
        <w:t>Secondo la giurisprudenza del Consiglio di Stato, l’acquisizione a titolo gratuito al suddetto demanio si giustific</w:t>
      </w:r>
      <w:r w:rsidR="0096400A">
        <w:rPr>
          <w:rFonts w:ascii="Garamond" w:hAnsi="Garamond"/>
          <w:sz w:val="28"/>
          <w:szCs w:val="28"/>
        </w:rPr>
        <w:t>a</w:t>
      </w:r>
      <w:r w:rsidRPr="00270D52">
        <w:rPr>
          <w:rFonts w:ascii="Garamond" w:hAnsi="Garamond"/>
          <w:sz w:val="28"/>
          <w:szCs w:val="28"/>
        </w:rPr>
        <w:t xml:space="preserve"> con la necessità di garantire che le opere non amovibili destinate a rimanere su quest’ultimo siano nella piena disponibilità del concedente. Nel caso in cui, anziché giungere a termine, la concessione venisse rinnovata senza interruzione, l’effetto di accessione previsto dall’art</w:t>
      </w:r>
      <w:r w:rsidR="0096400A">
        <w:rPr>
          <w:rFonts w:ascii="Garamond" w:hAnsi="Garamond"/>
          <w:sz w:val="28"/>
          <w:szCs w:val="28"/>
        </w:rPr>
        <w:t>.</w:t>
      </w:r>
      <w:r w:rsidRPr="00270D52">
        <w:rPr>
          <w:rFonts w:ascii="Garamond" w:hAnsi="Garamond"/>
          <w:sz w:val="28"/>
          <w:szCs w:val="28"/>
        </w:rPr>
        <w:t xml:space="preserve"> 49 </w:t>
      </w:r>
      <w:r w:rsidR="0096400A">
        <w:rPr>
          <w:rFonts w:ascii="Garamond" w:hAnsi="Garamond"/>
          <w:sz w:val="28"/>
          <w:szCs w:val="28"/>
        </w:rPr>
        <w:t>cod. nav.</w:t>
      </w:r>
      <w:r w:rsidRPr="00270D52">
        <w:rPr>
          <w:rFonts w:ascii="Garamond" w:hAnsi="Garamond"/>
          <w:sz w:val="28"/>
          <w:szCs w:val="28"/>
        </w:rPr>
        <w:t xml:space="preserve"> sarebbe ingiustificato. Inoltre, tale effetto renderebbe meno allettante lo stabilimento di operatori economici di altri Stati membri interessati allo stesso bene e imporrebbe al concessionario un sacrificio sproporzionato dei suoi diritti, in quanto egli dovrebbe cedere i propri beni allo Stato senza contropartita.</w:t>
      </w:r>
    </w:p>
    <w:p w14:paraId="3E5B3BDA" w14:textId="77777777" w:rsidR="0003318F" w:rsidRPr="00270D52" w:rsidRDefault="0003318F" w:rsidP="0003318F">
      <w:pPr>
        <w:spacing w:after="0" w:line="240" w:lineRule="auto"/>
        <w:jc w:val="both"/>
        <w:rPr>
          <w:rFonts w:ascii="Garamond" w:hAnsi="Garamond"/>
          <w:sz w:val="28"/>
          <w:szCs w:val="28"/>
        </w:rPr>
      </w:pPr>
      <w:r>
        <w:rPr>
          <w:rFonts w:ascii="Garamond" w:hAnsi="Garamond"/>
          <w:sz w:val="28"/>
          <w:szCs w:val="28"/>
        </w:rPr>
        <w:t>L</w:t>
      </w:r>
      <w:r w:rsidRPr="00270D52">
        <w:rPr>
          <w:rFonts w:ascii="Garamond" w:hAnsi="Garamond"/>
          <w:sz w:val="28"/>
          <w:szCs w:val="28"/>
        </w:rPr>
        <w:t>a CGUE ha statuito che l’attribuzione di una concessione di occupazione del demanio pubblico marittimo implica necessariamente l’accesso del concessionario al territorio dello Stato membro ospitante in vista di una partecipazione stabile e continua, per una durata relativamente lunga, alla vita economica di tale Stato. Ne consegue che l’assegnazione di una tale concessione rientra nel diritto di stabilimento previsto dall’art. 49 TFUE.</w:t>
      </w:r>
    </w:p>
    <w:p w14:paraId="4D13FB4D" w14:textId="77777777" w:rsidR="0003318F" w:rsidRPr="00270D52" w:rsidRDefault="0003318F" w:rsidP="0003318F">
      <w:pPr>
        <w:spacing w:after="0" w:line="240" w:lineRule="auto"/>
        <w:jc w:val="both"/>
        <w:rPr>
          <w:rFonts w:ascii="Garamond" w:hAnsi="Garamond"/>
          <w:sz w:val="28"/>
          <w:szCs w:val="28"/>
        </w:rPr>
      </w:pPr>
      <w:r w:rsidRPr="00270D52">
        <w:rPr>
          <w:rFonts w:ascii="Garamond" w:hAnsi="Garamond"/>
          <w:sz w:val="28"/>
          <w:szCs w:val="28"/>
        </w:rPr>
        <w:lastRenderedPageBreak/>
        <w:t xml:space="preserve">Con la medesima sentenza la Corte ha, altresì, affermato che </w:t>
      </w:r>
      <w:r w:rsidRPr="002E7922">
        <w:rPr>
          <w:rFonts w:ascii="Garamond" w:hAnsi="Garamond"/>
          <w:b/>
          <w:sz w:val="28"/>
          <w:szCs w:val="28"/>
        </w:rPr>
        <w:t>non costituisce una restrizione alla libertà di stabilimento l’acquisizione a titolo gratuito, da parte dello Stato italiano, delle opere non amovibili costruite sulle spiagge al termine di una concessione.</w:t>
      </w:r>
    </w:p>
    <w:p w14:paraId="129CA266" w14:textId="60CDBD56" w:rsidR="0003318F" w:rsidRPr="00270D52" w:rsidRDefault="0003318F" w:rsidP="0003318F">
      <w:pPr>
        <w:spacing w:after="0" w:line="240" w:lineRule="auto"/>
        <w:jc w:val="both"/>
        <w:rPr>
          <w:rFonts w:ascii="Garamond" w:hAnsi="Garamond"/>
          <w:sz w:val="28"/>
          <w:szCs w:val="28"/>
        </w:rPr>
      </w:pPr>
      <w:r w:rsidRPr="00270D52">
        <w:rPr>
          <w:rFonts w:ascii="Garamond" w:hAnsi="Garamond"/>
          <w:sz w:val="28"/>
          <w:szCs w:val="28"/>
        </w:rPr>
        <w:t xml:space="preserve">L’art. 49, </w:t>
      </w:r>
      <w:r w:rsidR="0096400A">
        <w:rPr>
          <w:rFonts w:ascii="Garamond" w:hAnsi="Garamond"/>
          <w:sz w:val="28"/>
          <w:szCs w:val="28"/>
        </w:rPr>
        <w:t>par. 1</w:t>
      </w:r>
      <w:r w:rsidRPr="00270D52">
        <w:rPr>
          <w:rFonts w:ascii="Garamond" w:hAnsi="Garamond"/>
          <w:sz w:val="28"/>
          <w:szCs w:val="28"/>
        </w:rPr>
        <w:t xml:space="preserve"> TFUE vieta le restrizioni alla libertà di stabilimento dei cittadini di uno Stato membro nel territorio di un altro Stato membro. Secondo costante </w:t>
      </w:r>
      <w:r w:rsidRPr="00C327AC">
        <w:rPr>
          <w:rFonts w:ascii="Garamond" w:hAnsi="Garamond"/>
          <w:b/>
          <w:sz w:val="28"/>
          <w:szCs w:val="28"/>
        </w:rPr>
        <w:t>giurisprudenza, devono considerarsi quali restrizioni a tale libertà tutte le misure che, seppur applicabili senza discriminazioni fondate sulla nazionalità, vietino, ostacolino o rendano meno attrattivo l’esercizio della libertà garantita</w:t>
      </w:r>
      <w:r w:rsidRPr="00270D52">
        <w:rPr>
          <w:rFonts w:ascii="Garamond" w:hAnsi="Garamond"/>
          <w:sz w:val="28"/>
          <w:szCs w:val="28"/>
        </w:rPr>
        <w:t>.</w:t>
      </w:r>
    </w:p>
    <w:p w14:paraId="1E0EEC56" w14:textId="02D3E528" w:rsidR="0003318F" w:rsidRPr="00C327AC" w:rsidRDefault="0003318F" w:rsidP="0003318F">
      <w:pPr>
        <w:spacing w:after="0" w:line="240" w:lineRule="auto"/>
        <w:jc w:val="both"/>
        <w:rPr>
          <w:rFonts w:ascii="Garamond" w:hAnsi="Garamond"/>
          <w:b/>
          <w:sz w:val="28"/>
          <w:szCs w:val="28"/>
        </w:rPr>
      </w:pPr>
      <w:r w:rsidRPr="00C327AC">
        <w:rPr>
          <w:rFonts w:ascii="Garamond" w:hAnsi="Garamond"/>
          <w:b/>
          <w:sz w:val="28"/>
          <w:szCs w:val="28"/>
        </w:rPr>
        <w:t>Ciò premesso, non viola il divieto così stabilito dall’art. 49 TFUE una normativa nazionale opponibile a tutti gli operatori esercenti delle attività nel territorio nazionale, la quale non abbia co</w:t>
      </w:r>
      <w:r w:rsidR="0096400A">
        <w:rPr>
          <w:rFonts w:ascii="Garamond" w:hAnsi="Garamond"/>
          <w:b/>
          <w:sz w:val="28"/>
          <w:szCs w:val="28"/>
        </w:rPr>
        <w:t>me</w:t>
      </w:r>
      <w:r w:rsidRPr="00C327AC">
        <w:rPr>
          <w:rFonts w:ascii="Garamond" w:hAnsi="Garamond"/>
          <w:b/>
          <w:sz w:val="28"/>
          <w:szCs w:val="28"/>
        </w:rPr>
        <w:t xml:space="preserve"> scopo di disciplinare le condizioni relative allo stabilimento degli operatori economici interessati e i cui eventuali effetti restrittivi sulla libertà di stabilimento siano troppo aleatori e troppo indiretti perché l’obbligo da essa dettato possa essere considerato idoneo a ostacolare questa libertà.</w:t>
      </w:r>
    </w:p>
    <w:p w14:paraId="3D8D6B72" w14:textId="55D6114D" w:rsidR="0003318F" w:rsidRPr="00270D52" w:rsidRDefault="0003318F" w:rsidP="0003318F">
      <w:pPr>
        <w:spacing w:after="0" w:line="240" w:lineRule="auto"/>
        <w:jc w:val="both"/>
        <w:rPr>
          <w:rFonts w:ascii="Garamond" w:hAnsi="Garamond"/>
          <w:sz w:val="28"/>
          <w:szCs w:val="28"/>
        </w:rPr>
      </w:pPr>
      <w:r w:rsidRPr="00270D52">
        <w:rPr>
          <w:rFonts w:ascii="Garamond" w:hAnsi="Garamond"/>
          <w:sz w:val="28"/>
          <w:szCs w:val="28"/>
        </w:rPr>
        <w:t xml:space="preserve">La disposizione in parola prevede soltanto che, alla scadenza della concessione e salvo che sia diversamente stabilito nell’atto di concessione, le opere non amovibili costruite dal concessionario </w:t>
      </w:r>
      <w:r w:rsidR="0096400A">
        <w:rPr>
          <w:rFonts w:ascii="Garamond" w:hAnsi="Garamond"/>
          <w:sz w:val="28"/>
          <w:szCs w:val="28"/>
        </w:rPr>
        <w:t>siano</w:t>
      </w:r>
      <w:r w:rsidRPr="00270D52">
        <w:rPr>
          <w:rFonts w:ascii="Garamond" w:hAnsi="Garamond"/>
          <w:sz w:val="28"/>
          <w:szCs w:val="28"/>
        </w:rPr>
        <w:t xml:space="preserve"> incamerate immediatamente e senza compensazione finanziaria nel demanio pubblico marittimo.</w:t>
      </w:r>
    </w:p>
    <w:p w14:paraId="755FC3D6" w14:textId="77777777" w:rsidR="0003318F" w:rsidRPr="00270D52" w:rsidRDefault="0003318F" w:rsidP="0003318F">
      <w:pPr>
        <w:spacing w:after="0" w:line="240" w:lineRule="auto"/>
        <w:jc w:val="both"/>
        <w:rPr>
          <w:rFonts w:ascii="Garamond" w:hAnsi="Garamond"/>
          <w:sz w:val="28"/>
          <w:szCs w:val="28"/>
        </w:rPr>
      </w:pPr>
      <w:r w:rsidRPr="00270D52">
        <w:rPr>
          <w:rFonts w:ascii="Garamond" w:hAnsi="Garamond"/>
          <w:sz w:val="28"/>
          <w:szCs w:val="28"/>
        </w:rPr>
        <w:t>Il principio di inalienabilità implica che il demanio pubblico resta di proprietà di soggetti pubblici e che le autorizzazioni di occupazione demaniali hanno carattere precario, nel senso che esse hanno una durata determinata e sono inoltre revocabili.</w:t>
      </w:r>
    </w:p>
    <w:p w14:paraId="75E8D742" w14:textId="3939C793" w:rsidR="0003318F" w:rsidRPr="00270D52" w:rsidRDefault="0003318F" w:rsidP="0003318F">
      <w:pPr>
        <w:spacing w:after="0" w:line="240" w:lineRule="auto"/>
        <w:jc w:val="both"/>
        <w:rPr>
          <w:rFonts w:ascii="Garamond" w:hAnsi="Garamond"/>
          <w:sz w:val="28"/>
          <w:szCs w:val="28"/>
        </w:rPr>
      </w:pPr>
      <w:r w:rsidRPr="00270D52">
        <w:rPr>
          <w:rFonts w:ascii="Garamond" w:hAnsi="Garamond"/>
          <w:sz w:val="28"/>
          <w:szCs w:val="28"/>
        </w:rPr>
        <w:t xml:space="preserve">Di conseguenza, </w:t>
      </w:r>
      <w:r w:rsidR="0096400A">
        <w:rPr>
          <w:rFonts w:ascii="Garamond" w:hAnsi="Garamond"/>
          <w:sz w:val="28"/>
          <w:szCs w:val="28"/>
        </w:rPr>
        <w:t xml:space="preserve">la CGUE ha risposto </w:t>
      </w:r>
      <w:r w:rsidRPr="00270D52">
        <w:rPr>
          <w:rFonts w:ascii="Garamond" w:hAnsi="Garamond"/>
          <w:sz w:val="28"/>
          <w:szCs w:val="28"/>
        </w:rPr>
        <w:t xml:space="preserve">alla questione sollevata dal giudice del rinvio </w:t>
      </w:r>
      <w:r w:rsidRPr="004E2BA9">
        <w:rPr>
          <w:rFonts w:ascii="Garamond" w:hAnsi="Garamond"/>
          <w:b/>
          <w:sz w:val="28"/>
          <w:szCs w:val="28"/>
        </w:rPr>
        <w:t>dichiarando che l’art. 49 TFUE deve essere interpretato nel senso che esso non osta ad una norma nazionale secondo la quale, alla scadenza di una concessione per l’occupazione del demanio pubblico e salva una diversa pattuizione nell’atto di concessione, il concessionario è tenuto a cedere, immediatamente, gratuitamente e senza indennizzo, le opere non amovibili da esso realizzate nell’area concessa, anche in caso di rinnovo della concessione</w:t>
      </w:r>
      <w:r w:rsidRPr="00270D52">
        <w:rPr>
          <w:rFonts w:ascii="Garamond" w:hAnsi="Garamond"/>
          <w:sz w:val="28"/>
          <w:szCs w:val="28"/>
        </w:rPr>
        <w:t>.</w:t>
      </w:r>
    </w:p>
    <w:p w14:paraId="0096FC30" w14:textId="77777777" w:rsidR="0003318F" w:rsidRPr="00270D52" w:rsidRDefault="0003318F" w:rsidP="0003318F">
      <w:pPr>
        <w:spacing w:after="0" w:line="240" w:lineRule="auto"/>
        <w:jc w:val="both"/>
        <w:rPr>
          <w:rFonts w:ascii="Garamond" w:hAnsi="Garamond"/>
          <w:sz w:val="28"/>
          <w:szCs w:val="28"/>
        </w:rPr>
      </w:pPr>
      <w:r w:rsidRPr="00270D52">
        <w:rPr>
          <w:rFonts w:ascii="Garamond" w:hAnsi="Garamond"/>
          <w:sz w:val="28"/>
          <w:szCs w:val="28"/>
        </w:rPr>
        <w:t xml:space="preserve">È interessante notare che la Corte, in apertura della propria pronuncia, evidenzia che la questione sollevata verte sull’interpretazione degli artt. 49 e 56 TFUE e non sull’interpretazione dell’art 17 della Carta di Nizza, relativo al diritto di proprietà. </w:t>
      </w:r>
    </w:p>
    <w:p w14:paraId="3B555EA2" w14:textId="340D93EA" w:rsidR="0003318F" w:rsidRDefault="0003318F" w:rsidP="0003318F">
      <w:pPr>
        <w:spacing w:after="0" w:line="240" w:lineRule="auto"/>
        <w:jc w:val="both"/>
        <w:rPr>
          <w:rFonts w:ascii="Garamond" w:hAnsi="Garamond"/>
          <w:sz w:val="28"/>
          <w:szCs w:val="28"/>
        </w:rPr>
      </w:pPr>
      <w:r w:rsidRPr="00270D52">
        <w:rPr>
          <w:rFonts w:ascii="Garamond" w:hAnsi="Garamond"/>
          <w:sz w:val="28"/>
          <w:szCs w:val="28"/>
        </w:rPr>
        <w:t>Tuttavia, la giurisprudenza della medesima Corte è pacifica nell’affermare che la valutazione di una restrizione istituita da una normativa nazionale ai sensi dell’art. 49 TFUE comprende anche le eventuali restrizioni all’esercizio dei diritti e delle libertà previsti dagli artt. da 15 a 17 della Carta di Nizza, di modo che un esame separato del diritto di proprietà sancito dall’art. 17 della Carta di Nizza non è necessario</w:t>
      </w:r>
      <w:r w:rsidR="00D918BC">
        <w:rPr>
          <w:rStyle w:val="Rimandonotaapidipagina"/>
          <w:rFonts w:ascii="Garamond" w:hAnsi="Garamond"/>
          <w:sz w:val="28"/>
          <w:szCs w:val="28"/>
        </w:rPr>
        <w:footnoteReference w:id="90"/>
      </w:r>
      <w:r w:rsidRPr="00270D52">
        <w:rPr>
          <w:rFonts w:ascii="Garamond" w:hAnsi="Garamond"/>
          <w:sz w:val="28"/>
          <w:szCs w:val="28"/>
        </w:rPr>
        <w:t>.</w:t>
      </w:r>
    </w:p>
    <w:p w14:paraId="551C323C" w14:textId="77777777" w:rsidR="0003318F" w:rsidRDefault="0003318F" w:rsidP="0003318F">
      <w:pPr>
        <w:spacing w:after="0" w:line="240" w:lineRule="auto"/>
        <w:jc w:val="both"/>
        <w:rPr>
          <w:rFonts w:ascii="Garamond" w:hAnsi="Garamond"/>
          <w:sz w:val="28"/>
          <w:szCs w:val="28"/>
        </w:rPr>
      </w:pPr>
    </w:p>
    <w:p w14:paraId="35C014BE" w14:textId="30B2E4B1" w:rsidR="0003318F" w:rsidRPr="008A188F" w:rsidRDefault="0003318F" w:rsidP="0003318F">
      <w:pPr>
        <w:spacing w:after="0" w:line="240" w:lineRule="auto"/>
        <w:jc w:val="both"/>
        <w:rPr>
          <w:rFonts w:ascii="Garamond" w:hAnsi="Garamond"/>
          <w:sz w:val="28"/>
          <w:szCs w:val="28"/>
        </w:rPr>
      </w:pPr>
      <w:r w:rsidRPr="008A188F">
        <w:rPr>
          <w:rFonts w:ascii="Garamond" w:hAnsi="Garamond"/>
          <w:sz w:val="28"/>
          <w:szCs w:val="28"/>
        </w:rPr>
        <w:t xml:space="preserve">Di recente, </w:t>
      </w:r>
      <w:r w:rsidR="003B3C24">
        <w:rPr>
          <w:rFonts w:ascii="Garamond" w:hAnsi="Garamond"/>
          <w:sz w:val="28"/>
          <w:szCs w:val="28"/>
        </w:rPr>
        <w:t xml:space="preserve">è stato nuovamente </w:t>
      </w:r>
      <w:r w:rsidRPr="008A188F">
        <w:rPr>
          <w:rFonts w:ascii="Garamond" w:hAnsi="Garamond"/>
          <w:sz w:val="28"/>
          <w:szCs w:val="28"/>
        </w:rPr>
        <w:t>mess</w:t>
      </w:r>
      <w:r w:rsidR="003B3C24">
        <w:rPr>
          <w:rFonts w:ascii="Garamond" w:hAnsi="Garamond"/>
          <w:sz w:val="28"/>
          <w:szCs w:val="28"/>
        </w:rPr>
        <w:t>a</w:t>
      </w:r>
      <w:r w:rsidRPr="008A188F">
        <w:rPr>
          <w:rFonts w:ascii="Garamond" w:hAnsi="Garamond"/>
          <w:sz w:val="28"/>
          <w:szCs w:val="28"/>
        </w:rPr>
        <w:t xml:space="preserve"> in discussione l’applicabilità della direttiva Bolkestein e dell’art 49 TFUE alla materia delle concessioni balneari.</w:t>
      </w:r>
    </w:p>
    <w:p w14:paraId="24E89AE9" w14:textId="7D720771" w:rsidR="0003318F" w:rsidRPr="008A188F" w:rsidRDefault="0003318F" w:rsidP="0003318F">
      <w:pPr>
        <w:spacing w:after="0" w:line="240" w:lineRule="auto"/>
        <w:jc w:val="both"/>
        <w:rPr>
          <w:rFonts w:ascii="Garamond" w:hAnsi="Garamond"/>
          <w:sz w:val="28"/>
          <w:szCs w:val="28"/>
        </w:rPr>
      </w:pPr>
      <w:r w:rsidRPr="008A188F">
        <w:rPr>
          <w:rFonts w:ascii="Garamond" w:hAnsi="Garamond"/>
          <w:sz w:val="28"/>
          <w:szCs w:val="28"/>
        </w:rPr>
        <w:t xml:space="preserve">Con </w:t>
      </w:r>
      <w:r w:rsidRPr="0096400A">
        <w:rPr>
          <w:rFonts w:ascii="Garamond" w:hAnsi="Garamond"/>
          <w:b/>
          <w:sz w:val="28"/>
          <w:szCs w:val="28"/>
        </w:rPr>
        <w:t>rinvio pregiudiziale del Giudice di Pace di Rimini, ordinanza 26/06/2024</w:t>
      </w:r>
      <w:r w:rsidR="00430B24">
        <w:rPr>
          <w:rFonts w:ascii="Garamond" w:hAnsi="Garamond"/>
          <w:b/>
          <w:sz w:val="28"/>
          <w:szCs w:val="28"/>
        </w:rPr>
        <w:t>,</w:t>
      </w:r>
      <w:r w:rsidRPr="0096400A">
        <w:rPr>
          <w:rFonts w:ascii="Garamond" w:hAnsi="Garamond"/>
          <w:sz w:val="28"/>
          <w:szCs w:val="28"/>
        </w:rPr>
        <w:t xml:space="preserve"> s</w:t>
      </w:r>
      <w:r w:rsidRPr="008A188F">
        <w:rPr>
          <w:rFonts w:ascii="Garamond" w:hAnsi="Garamond"/>
          <w:sz w:val="28"/>
          <w:szCs w:val="28"/>
        </w:rPr>
        <w:t>ono stati sottoposti alla CGUE i seguenti quesiti:</w:t>
      </w:r>
    </w:p>
    <w:p w14:paraId="0A8BA6FA" w14:textId="148A22E7" w:rsidR="0003318F" w:rsidRPr="008A188F" w:rsidRDefault="0003318F" w:rsidP="0003318F">
      <w:pPr>
        <w:spacing w:after="0" w:line="240" w:lineRule="auto"/>
        <w:jc w:val="both"/>
        <w:rPr>
          <w:rFonts w:ascii="Garamond" w:hAnsi="Garamond"/>
          <w:sz w:val="28"/>
          <w:szCs w:val="28"/>
        </w:rPr>
      </w:pPr>
      <w:r w:rsidRPr="008A188F">
        <w:rPr>
          <w:rFonts w:ascii="Garamond" w:hAnsi="Garamond"/>
          <w:sz w:val="28"/>
          <w:szCs w:val="28"/>
        </w:rPr>
        <w:lastRenderedPageBreak/>
        <w:t>a)</w:t>
      </w:r>
      <w:r w:rsidRPr="008A188F">
        <w:rPr>
          <w:rFonts w:ascii="Garamond" w:hAnsi="Garamond"/>
          <w:sz w:val="28"/>
          <w:szCs w:val="28"/>
        </w:rPr>
        <w:tab/>
      </w:r>
      <w:r w:rsidR="0096400A">
        <w:rPr>
          <w:rFonts w:ascii="Garamond" w:hAnsi="Garamond"/>
          <w:sz w:val="28"/>
          <w:szCs w:val="28"/>
        </w:rPr>
        <w:t>s</w:t>
      </w:r>
      <w:r w:rsidRPr="008A188F">
        <w:rPr>
          <w:rFonts w:ascii="Garamond" w:hAnsi="Garamond"/>
          <w:sz w:val="28"/>
          <w:szCs w:val="28"/>
        </w:rPr>
        <w:t>e le concessioni demaniali marittime per finalità turistico-ricreative costituiscano concessioni di servizi e, pertanto, se siano soggette alla disciplina della direttiva Bolkestein o alla disciplina della direttiva 2014/23/UE;</w:t>
      </w:r>
    </w:p>
    <w:p w14:paraId="2A917F7E" w14:textId="756FA36C" w:rsidR="0003318F" w:rsidRPr="008A188F" w:rsidRDefault="0003318F" w:rsidP="0003318F">
      <w:pPr>
        <w:spacing w:after="0" w:line="240" w:lineRule="auto"/>
        <w:jc w:val="both"/>
        <w:rPr>
          <w:rFonts w:ascii="Garamond" w:hAnsi="Garamond"/>
          <w:sz w:val="28"/>
          <w:szCs w:val="28"/>
        </w:rPr>
      </w:pPr>
      <w:r w:rsidRPr="008A188F">
        <w:rPr>
          <w:rFonts w:ascii="Garamond" w:hAnsi="Garamond"/>
          <w:sz w:val="28"/>
          <w:szCs w:val="28"/>
        </w:rPr>
        <w:t>b)</w:t>
      </w:r>
      <w:r w:rsidRPr="008A188F">
        <w:rPr>
          <w:rFonts w:ascii="Garamond" w:hAnsi="Garamond"/>
          <w:sz w:val="28"/>
          <w:szCs w:val="28"/>
        </w:rPr>
        <w:tab/>
      </w:r>
      <w:r w:rsidR="0096400A">
        <w:rPr>
          <w:rFonts w:ascii="Garamond" w:hAnsi="Garamond"/>
          <w:sz w:val="28"/>
          <w:szCs w:val="28"/>
        </w:rPr>
        <w:t>s</w:t>
      </w:r>
      <w:r w:rsidRPr="008A188F">
        <w:rPr>
          <w:rFonts w:ascii="Garamond" w:hAnsi="Garamond"/>
          <w:sz w:val="28"/>
          <w:szCs w:val="28"/>
        </w:rPr>
        <w:t xml:space="preserve">e le concessioni balneari iniziate prima del 28/12/2009 siano soggette alla disciplina della direttiva Bolkestein; </w:t>
      </w:r>
    </w:p>
    <w:p w14:paraId="2AD4C0DE" w14:textId="1E4C97B4" w:rsidR="0003318F" w:rsidRPr="008A188F" w:rsidRDefault="0003318F" w:rsidP="0003318F">
      <w:pPr>
        <w:spacing w:after="0" w:line="240" w:lineRule="auto"/>
        <w:jc w:val="both"/>
        <w:rPr>
          <w:rFonts w:ascii="Garamond" w:hAnsi="Garamond"/>
          <w:sz w:val="28"/>
          <w:szCs w:val="28"/>
        </w:rPr>
      </w:pPr>
      <w:r w:rsidRPr="008A188F">
        <w:rPr>
          <w:rFonts w:ascii="Garamond" w:hAnsi="Garamond"/>
          <w:sz w:val="28"/>
          <w:szCs w:val="28"/>
        </w:rPr>
        <w:t>c)</w:t>
      </w:r>
      <w:r w:rsidRPr="008A188F">
        <w:rPr>
          <w:rFonts w:ascii="Garamond" w:hAnsi="Garamond"/>
          <w:sz w:val="28"/>
          <w:szCs w:val="28"/>
        </w:rPr>
        <w:tab/>
      </w:r>
      <w:r w:rsidR="0096400A">
        <w:rPr>
          <w:rFonts w:ascii="Garamond" w:hAnsi="Garamond"/>
          <w:sz w:val="28"/>
          <w:szCs w:val="28"/>
        </w:rPr>
        <w:t>s</w:t>
      </w:r>
      <w:r w:rsidRPr="008A188F">
        <w:rPr>
          <w:rFonts w:ascii="Garamond" w:hAnsi="Garamond"/>
          <w:sz w:val="28"/>
          <w:szCs w:val="28"/>
        </w:rPr>
        <w:t>e le concessioni balneari siano escluse dall’ambito di applicazione delle direttive di armonizzazione, come la direttiva Bolkestein;</w:t>
      </w:r>
    </w:p>
    <w:p w14:paraId="3EF7D20D" w14:textId="11F29BAD" w:rsidR="0003318F" w:rsidRDefault="0003318F" w:rsidP="0003318F">
      <w:pPr>
        <w:spacing w:after="0" w:line="240" w:lineRule="auto"/>
        <w:jc w:val="both"/>
        <w:rPr>
          <w:rFonts w:ascii="Garamond" w:hAnsi="Garamond"/>
          <w:sz w:val="28"/>
          <w:szCs w:val="28"/>
        </w:rPr>
      </w:pPr>
      <w:r w:rsidRPr="008A188F">
        <w:rPr>
          <w:rFonts w:ascii="Garamond" w:hAnsi="Garamond"/>
          <w:sz w:val="28"/>
          <w:szCs w:val="28"/>
        </w:rPr>
        <w:t>d)</w:t>
      </w:r>
      <w:r w:rsidRPr="008A188F">
        <w:rPr>
          <w:rFonts w:ascii="Garamond" w:hAnsi="Garamond"/>
          <w:sz w:val="28"/>
          <w:szCs w:val="28"/>
        </w:rPr>
        <w:tab/>
      </w:r>
      <w:r w:rsidR="0096400A">
        <w:rPr>
          <w:rFonts w:ascii="Garamond" w:hAnsi="Garamond"/>
          <w:sz w:val="28"/>
          <w:szCs w:val="28"/>
        </w:rPr>
        <w:t>s</w:t>
      </w:r>
      <w:r w:rsidRPr="008A188F">
        <w:rPr>
          <w:rFonts w:ascii="Garamond" w:hAnsi="Garamond"/>
          <w:sz w:val="28"/>
          <w:szCs w:val="28"/>
        </w:rPr>
        <w:t>e le concessioni balneari svolte da società che curino interessi pubblici siano esclus</w:t>
      </w:r>
      <w:r w:rsidR="0096400A">
        <w:rPr>
          <w:rFonts w:ascii="Garamond" w:hAnsi="Garamond"/>
          <w:sz w:val="28"/>
          <w:szCs w:val="28"/>
        </w:rPr>
        <w:t>e</w:t>
      </w:r>
      <w:r w:rsidRPr="008A188F">
        <w:rPr>
          <w:rFonts w:ascii="Garamond" w:hAnsi="Garamond"/>
          <w:sz w:val="28"/>
          <w:szCs w:val="28"/>
        </w:rPr>
        <w:t xml:space="preserve"> dall’ambito di applicazione dell’art. 49 TFUE</w:t>
      </w:r>
      <w:r w:rsidR="00DF52DA">
        <w:rPr>
          <w:rStyle w:val="Rimandonotaapidipagina"/>
          <w:rFonts w:ascii="Garamond" w:hAnsi="Garamond"/>
          <w:sz w:val="28"/>
          <w:szCs w:val="28"/>
        </w:rPr>
        <w:footnoteReference w:id="91"/>
      </w:r>
      <w:r w:rsidRPr="008A188F">
        <w:rPr>
          <w:rFonts w:ascii="Garamond" w:hAnsi="Garamond"/>
          <w:sz w:val="28"/>
          <w:szCs w:val="28"/>
        </w:rPr>
        <w:t>.</w:t>
      </w:r>
    </w:p>
    <w:p w14:paraId="65841A95" w14:textId="4F450FF5" w:rsidR="00385D3B" w:rsidRDefault="00385D3B" w:rsidP="0003318F">
      <w:pPr>
        <w:spacing w:after="0" w:line="240" w:lineRule="auto"/>
        <w:jc w:val="both"/>
        <w:rPr>
          <w:rFonts w:ascii="Garamond" w:hAnsi="Garamond"/>
          <w:sz w:val="28"/>
          <w:szCs w:val="28"/>
        </w:rPr>
      </w:pPr>
    </w:p>
    <w:p w14:paraId="42074AE1" w14:textId="77777777" w:rsidR="00374433" w:rsidRPr="003C2366" w:rsidRDefault="00374433" w:rsidP="003C2366">
      <w:pPr>
        <w:spacing w:after="0" w:line="240" w:lineRule="auto"/>
        <w:ind w:firstLine="709"/>
        <w:jc w:val="both"/>
        <w:rPr>
          <w:rFonts w:ascii="Garamond" w:hAnsi="Garamond"/>
          <w:sz w:val="28"/>
          <w:szCs w:val="28"/>
        </w:rPr>
      </w:pPr>
    </w:p>
    <w:p w14:paraId="17FCB853" w14:textId="36A45682" w:rsidR="00385D3B" w:rsidRDefault="00AD4BF0" w:rsidP="003C2366">
      <w:pPr>
        <w:spacing w:after="0" w:line="240" w:lineRule="auto"/>
        <w:ind w:firstLine="709"/>
        <w:jc w:val="both"/>
        <w:rPr>
          <w:rFonts w:ascii="Garamond" w:hAnsi="Garamond"/>
          <w:b/>
          <w:bCs/>
          <w:sz w:val="28"/>
          <w:szCs w:val="28"/>
        </w:rPr>
      </w:pPr>
      <w:r w:rsidRPr="003C2366">
        <w:rPr>
          <w:rFonts w:ascii="Garamond" w:hAnsi="Garamond"/>
          <w:b/>
          <w:bCs/>
          <w:sz w:val="28"/>
          <w:szCs w:val="28"/>
        </w:rPr>
        <w:t xml:space="preserve">§ 9 – </w:t>
      </w:r>
      <w:r w:rsidR="00385D3B" w:rsidRPr="00BC28F3">
        <w:rPr>
          <w:rFonts w:ascii="Garamond" w:hAnsi="Garamond"/>
          <w:b/>
          <w:bCs/>
          <w:sz w:val="28"/>
          <w:szCs w:val="28"/>
          <w:u w:val="single"/>
        </w:rPr>
        <w:t xml:space="preserve">La tutela del diritto di proprietà e le concessioni demaniali marittime: riflessioni alla luce della giurisprudenza </w:t>
      </w:r>
      <w:r w:rsidR="00422CDD" w:rsidRPr="00BC28F3">
        <w:rPr>
          <w:rFonts w:ascii="Garamond" w:hAnsi="Garamond"/>
          <w:b/>
          <w:bCs/>
          <w:sz w:val="28"/>
          <w:szCs w:val="28"/>
          <w:u w:val="single"/>
        </w:rPr>
        <w:t xml:space="preserve">della </w:t>
      </w:r>
      <w:r w:rsidR="00385D3B" w:rsidRPr="00BC28F3">
        <w:rPr>
          <w:rFonts w:ascii="Garamond" w:hAnsi="Garamond"/>
          <w:b/>
          <w:bCs/>
          <w:sz w:val="28"/>
          <w:szCs w:val="28"/>
          <w:u w:val="single"/>
        </w:rPr>
        <w:t>C</w:t>
      </w:r>
      <w:r w:rsidR="00422CDD" w:rsidRPr="00BC28F3">
        <w:rPr>
          <w:rFonts w:ascii="Garamond" w:hAnsi="Garamond"/>
          <w:b/>
          <w:bCs/>
          <w:sz w:val="28"/>
          <w:szCs w:val="28"/>
          <w:u w:val="single"/>
        </w:rPr>
        <w:t xml:space="preserve">orte </w:t>
      </w:r>
      <w:r w:rsidR="00385D3B" w:rsidRPr="00BC28F3">
        <w:rPr>
          <w:rFonts w:ascii="Garamond" w:hAnsi="Garamond"/>
          <w:b/>
          <w:bCs/>
          <w:sz w:val="28"/>
          <w:szCs w:val="28"/>
          <w:u w:val="single"/>
        </w:rPr>
        <w:t>EDU</w:t>
      </w:r>
      <w:r w:rsidR="00385D3B" w:rsidRPr="003C2366">
        <w:rPr>
          <w:rFonts w:ascii="Garamond" w:hAnsi="Garamond"/>
          <w:b/>
          <w:bCs/>
          <w:sz w:val="28"/>
          <w:szCs w:val="28"/>
        </w:rPr>
        <w:t>.</w:t>
      </w:r>
    </w:p>
    <w:p w14:paraId="59978EF1" w14:textId="77777777" w:rsidR="003C2366" w:rsidRPr="003C2366" w:rsidRDefault="003C2366" w:rsidP="003C2366">
      <w:pPr>
        <w:spacing w:after="0" w:line="240" w:lineRule="auto"/>
        <w:ind w:firstLine="709"/>
        <w:jc w:val="both"/>
        <w:rPr>
          <w:rFonts w:ascii="Garamond" w:hAnsi="Garamond"/>
          <w:b/>
          <w:bCs/>
          <w:sz w:val="28"/>
          <w:szCs w:val="28"/>
        </w:rPr>
      </w:pPr>
    </w:p>
    <w:p w14:paraId="43172B18" w14:textId="77777777" w:rsidR="003C2366" w:rsidRDefault="00AD4BF0" w:rsidP="003C2366">
      <w:pPr>
        <w:spacing w:after="0" w:line="240" w:lineRule="auto"/>
        <w:ind w:firstLine="709"/>
        <w:jc w:val="both"/>
        <w:rPr>
          <w:rFonts w:ascii="Garamond" w:hAnsi="Garamond"/>
          <w:b/>
          <w:bCs/>
          <w:sz w:val="28"/>
          <w:szCs w:val="28"/>
        </w:rPr>
      </w:pPr>
      <w:r w:rsidRPr="003C2366">
        <w:rPr>
          <w:rFonts w:ascii="Garamond" w:hAnsi="Garamond"/>
          <w:b/>
          <w:bCs/>
          <w:sz w:val="28"/>
          <w:szCs w:val="28"/>
        </w:rPr>
        <w:t>9</w:t>
      </w:r>
      <w:r w:rsidR="00385D3B" w:rsidRPr="003C2366">
        <w:rPr>
          <w:rFonts w:ascii="Garamond" w:hAnsi="Garamond"/>
          <w:b/>
          <w:bCs/>
          <w:sz w:val="28"/>
          <w:szCs w:val="28"/>
        </w:rPr>
        <w:t>.1 Il quadro n</w:t>
      </w:r>
      <w:r w:rsidR="003C2366">
        <w:rPr>
          <w:rFonts w:ascii="Garamond" w:hAnsi="Garamond"/>
          <w:b/>
          <w:bCs/>
          <w:sz w:val="28"/>
          <w:szCs w:val="28"/>
        </w:rPr>
        <w:t>ormativo e il ruolo della CEDU</w:t>
      </w:r>
    </w:p>
    <w:p w14:paraId="5537F4BC" w14:textId="18176E9D" w:rsidR="00385D3B" w:rsidRPr="003C2366" w:rsidRDefault="00385D3B" w:rsidP="003C2366">
      <w:pPr>
        <w:spacing w:after="0" w:line="240" w:lineRule="auto"/>
        <w:ind w:firstLine="709"/>
        <w:jc w:val="both"/>
        <w:rPr>
          <w:rFonts w:ascii="Garamond" w:hAnsi="Garamond"/>
          <w:b/>
          <w:bCs/>
          <w:sz w:val="28"/>
          <w:szCs w:val="28"/>
        </w:rPr>
      </w:pPr>
      <w:r w:rsidRPr="003C2366">
        <w:rPr>
          <w:rFonts w:ascii="Garamond" w:hAnsi="Garamond"/>
          <w:sz w:val="28"/>
          <w:szCs w:val="28"/>
        </w:rPr>
        <w:t xml:space="preserve">La tutela del diritto di proprietà costituisce un pilastro fondamentale della Convenzione </w:t>
      </w:r>
      <w:r w:rsidR="0033543C" w:rsidRPr="003C2366">
        <w:rPr>
          <w:rFonts w:ascii="Garamond" w:hAnsi="Garamond"/>
          <w:sz w:val="28"/>
          <w:szCs w:val="28"/>
        </w:rPr>
        <w:t>e</w:t>
      </w:r>
      <w:r w:rsidRPr="003C2366">
        <w:rPr>
          <w:rFonts w:ascii="Garamond" w:hAnsi="Garamond"/>
          <w:sz w:val="28"/>
          <w:szCs w:val="28"/>
        </w:rPr>
        <w:t>uropea dei Diritti dell’Uomo (CEDU), trovando espressione nell’</w:t>
      </w:r>
      <w:r w:rsidR="0033543C" w:rsidRPr="003C2366">
        <w:rPr>
          <w:rFonts w:ascii="Garamond" w:hAnsi="Garamond"/>
          <w:sz w:val="28"/>
          <w:szCs w:val="28"/>
        </w:rPr>
        <w:t>a</w:t>
      </w:r>
      <w:r w:rsidRPr="003C2366">
        <w:rPr>
          <w:rFonts w:ascii="Garamond" w:hAnsi="Garamond"/>
          <w:sz w:val="28"/>
          <w:szCs w:val="28"/>
        </w:rPr>
        <w:t>rt</w:t>
      </w:r>
      <w:r w:rsidR="0033543C" w:rsidRPr="003C2366">
        <w:rPr>
          <w:rFonts w:ascii="Garamond" w:hAnsi="Garamond"/>
          <w:sz w:val="28"/>
          <w:szCs w:val="28"/>
        </w:rPr>
        <w:t>.</w:t>
      </w:r>
      <w:r w:rsidRPr="003C2366">
        <w:rPr>
          <w:rFonts w:ascii="Garamond" w:hAnsi="Garamond"/>
          <w:sz w:val="28"/>
          <w:szCs w:val="28"/>
        </w:rPr>
        <w:t xml:space="preserve"> 1 del Protocollo n. 1 che riconosce a ogni individuo il diritto al pacifico godimento dei propri beni</w:t>
      </w:r>
      <w:r w:rsidR="00A65265">
        <w:rPr>
          <w:rStyle w:val="Rimandonotaapidipagina"/>
          <w:rFonts w:ascii="Garamond" w:hAnsi="Garamond"/>
          <w:sz w:val="28"/>
          <w:szCs w:val="28"/>
        </w:rPr>
        <w:footnoteReference w:id="92"/>
      </w:r>
      <w:r w:rsidRPr="003C2366">
        <w:rPr>
          <w:rFonts w:ascii="Garamond" w:hAnsi="Garamond"/>
          <w:sz w:val="28"/>
          <w:szCs w:val="28"/>
        </w:rPr>
        <w:t xml:space="preserve">. Tale disposizione stabilisce che nessuno </w:t>
      </w:r>
      <w:r w:rsidR="00AF680E">
        <w:rPr>
          <w:rFonts w:ascii="Garamond" w:hAnsi="Garamond"/>
          <w:sz w:val="28"/>
          <w:szCs w:val="28"/>
        </w:rPr>
        <w:t>può</w:t>
      </w:r>
      <w:r w:rsidRPr="003C2366">
        <w:rPr>
          <w:rFonts w:ascii="Garamond" w:hAnsi="Garamond"/>
          <w:sz w:val="28"/>
          <w:szCs w:val="28"/>
        </w:rPr>
        <w:t xml:space="preserve"> essere privato della proprietà se non per motivi di pubblica utilità, conformemente a quanto disposto dalla legge e dai principi generali del diritto internazionale. </w:t>
      </w:r>
    </w:p>
    <w:p w14:paraId="5EB4AD0E" w14:textId="689B9814" w:rsidR="00385D3B" w:rsidRPr="003C2366"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Questa norma è stata oggetto di un ampio e consolidato sviluppo giurisprudenziale da parte della Corte </w:t>
      </w:r>
      <w:r w:rsidR="0033543C" w:rsidRPr="003C2366">
        <w:rPr>
          <w:rFonts w:ascii="Garamond" w:hAnsi="Garamond"/>
          <w:sz w:val="28"/>
          <w:szCs w:val="28"/>
        </w:rPr>
        <w:t>e</w:t>
      </w:r>
      <w:r w:rsidRPr="003C2366">
        <w:rPr>
          <w:rFonts w:ascii="Garamond" w:hAnsi="Garamond"/>
          <w:sz w:val="28"/>
          <w:szCs w:val="28"/>
        </w:rPr>
        <w:t>uropea dei Diritti dell’Uomo che ne ha delineato l’interpretazione in modo sistematico, fissando principi applicabili a una pluralità di situazioni. In particolare, l’</w:t>
      </w:r>
      <w:r w:rsidR="0033543C" w:rsidRPr="003C2366">
        <w:rPr>
          <w:rFonts w:ascii="Garamond" w:hAnsi="Garamond"/>
          <w:sz w:val="28"/>
          <w:szCs w:val="28"/>
        </w:rPr>
        <w:t>a</w:t>
      </w:r>
      <w:r w:rsidR="00422CDD" w:rsidRPr="003C2366">
        <w:rPr>
          <w:rFonts w:ascii="Garamond" w:hAnsi="Garamond"/>
          <w:sz w:val="28"/>
          <w:szCs w:val="28"/>
        </w:rPr>
        <w:t>rt.</w:t>
      </w:r>
      <w:r w:rsidRPr="003C2366">
        <w:rPr>
          <w:rFonts w:ascii="Garamond" w:hAnsi="Garamond"/>
          <w:sz w:val="28"/>
          <w:szCs w:val="28"/>
        </w:rPr>
        <w:t xml:space="preserve"> 1 del Protocollo n. 1 si articola attorno a tre principi cardine</w:t>
      </w:r>
      <w:r w:rsidR="00D04103">
        <w:rPr>
          <w:rStyle w:val="Rimandonotaapidipagina"/>
          <w:rFonts w:ascii="Garamond" w:hAnsi="Garamond"/>
          <w:sz w:val="28"/>
          <w:szCs w:val="28"/>
        </w:rPr>
        <w:footnoteReference w:id="93"/>
      </w:r>
      <w:r w:rsidRPr="003C2366">
        <w:rPr>
          <w:rFonts w:ascii="Garamond" w:hAnsi="Garamond"/>
          <w:sz w:val="28"/>
          <w:szCs w:val="28"/>
        </w:rPr>
        <w:t xml:space="preserve">. </w:t>
      </w:r>
    </w:p>
    <w:p w14:paraId="545FED58" w14:textId="77777777" w:rsidR="00385D3B" w:rsidRPr="003C2366"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Il principio di legalità impone che ogni ingerenza nel diritto di proprietà trovi un fondamento chiaro, prevedibile e accessibile nell’ordinamento giuridico, garantendo così trasparenza e certezza nelle azioni delle autorità pubbliche. </w:t>
      </w:r>
    </w:p>
    <w:p w14:paraId="7F211B16" w14:textId="77777777" w:rsidR="00385D3B" w:rsidRPr="003C2366"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Il principio di interesse pubblico, invece, richiede che ogni misura limitativa sia giustificata dalla necessità di perseguire obiettivi di rilevante interesse collettivo, quali la tutela ambientale, lo sviluppo economico o la sicurezza pubblica. </w:t>
      </w:r>
    </w:p>
    <w:p w14:paraId="240DB5C9" w14:textId="77777777" w:rsidR="00E63130"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Infine, il principio di proporzionalità richiede che ci sia un bilanciamento tra le esigenze della collettività e i diritti dei singoli individui, evitando che l’ingerenza statale determini un sacrificio sproporzionato e ingiustificato per il privato. </w:t>
      </w:r>
    </w:p>
    <w:p w14:paraId="34191E31" w14:textId="74776940" w:rsidR="00385D3B" w:rsidRPr="003C2366"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Tali principi, ribaditi costantemente nella giurisprudenza della Corte EDU, rappresentano parametri imprescindibili per la valutazione della legittimità delle misure che incidono sui diritti patrimoniali. </w:t>
      </w:r>
    </w:p>
    <w:p w14:paraId="42A819BD" w14:textId="77777777" w:rsidR="00385D3B" w:rsidRPr="003C2366"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Sebbene le pronunce della Corte non si siano, nella maggior parte dei casi, occupate direttamente di concessioni demaniali marittime, i principi interpretativi elaborati risultano pienamente applicabili a tali fattispecie. In particolare, essi delineano i confini entro i quali l’interesse pubblico può prevalere sui diritti individuali, imponendo che ogni misura lesiva </w:t>
      </w:r>
      <w:r w:rsidRPr="003C2366">
        <w:rPr>
          <w:rFonts w:ascii="Garamond" w:hAnsi="Garamond"/>
          <w:sz w:val="28"/>
          <w:szCs w:val="28"/>
        </w:rPr>
        <w:lastRenderedPageBreak/>
        <w:t xml:space="preserve">sia strettamente necessaria e non ecceda quanto indispensabile per il raggiungimento dell’obiettivo pubblico prefissato. </w:t>
      </w:r>
    </w:p>
    <w:p w14:paraId="45F03CA1" w14:textId="46E5024B" w:rsidR="00385D3B" w:rsidRPr="003C2366"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Questo quadro interpretativo risulta fondamentale per affrontare </w:t>
      </w:r>
      <w:r w:rsidR="00401B69">
        <w:rPr>
          <w:rFonts w:ascii="Garamond" w:hAnsi="Garamond"/>
          <w:sz w:val="28"/>
          <w:szCs w:val="28"/>
        </w:rPr>
        <w:t xml:space="preserve">le </w:t>
      </w:r>
      <w:r w:rsidRPr="003C2366">
        <w:rPr>
          <w:rFonts w:ascii="Garamond" w:hAnsi="Garamond"/>
          <w:sz w:val="28"/>
          <w:szCs w:val="28"/>
        </w:rPr>
        <w:t>questioni che vengono in rilievo in tema di concessioni demaniali marittime quali il mancato rinnovo delle stesse o l’acquisizione delle opere realizzate sui beni demaniali. Tali situazioni, infatti, impongono di mantenere il delicato equilibrio tra il perseguimento dell’interesse generale e la protezione delle legittime aspettative patrimoniali dei concessionari. La giurisprudenza della Corte EDU, in tale prospettiva, impone l’adozione di un approccio rigoroso, che tenga conto non solo della necessità e proporzionalità dell’ingerenza, ma anche della previsione di adeguati strumenti compensativi per mitigare gli effetti pregiudizievoli delle misure adottate.</w:t>
      </w:r>
    </w:p>
    <w:p w14:paraId="2C52C594" w14:textId="77777777" w:rsidR="00385D3B" w:rsidRPr="003C2366" w:rsidRDefault="00385D3B" w:rsidP="003C2366">
      <w:pPr>
        <w:spacing w:after="0" w:line="240" w:lineRule="auto"/>
        <w:ind w:firstLine="709"/>
        <w:jc w:val="both"/>
        <w:rPr>
          <w:rFonts w:ascii="Garamond" w:hAnsi="Garamond"/>
          <w:sz w:val="28"/>
          <w:szCs w:val="28"/>
        </w:rPr>
      </w:pPr>
    </w:p>
    <w:p w14:paraId="2104A4CF" w14:textId="3D9842B8" w:rsidR="00E10392" w:rsidRDefault="00AD4BF0" w:rsidP="00E10392">
      <w:pPr>
        <w:spacing w:after="0" w:line="240" w:lineRule="auto"/>
        <w:ind w:firstLine="709"/>
        <w:jc w:val="both"/>
        <w:rPr>
          <w:rFonts w:ascii="Garamond" w:hAnsi="Garamond"/>
          <w:b/>
          <w:bCs/>
          <w:sz w:val="28"/>
          <w:szCs w:val="28"/>
        </w:rPr>
      </w:pPr>
      <w:r w:rsidRPr="003C2366">
        <w:rPr>
          <w:rFonts w:ascii="Garamond" w:hAnsi="Garamond"/>
          <w:b/>
          <w:bCs/>
          <w:sz w:val="28"/>
          <w:szCs w:val="28"/>
        </w:rPr>
        <w:t>9</w:t>
      </w:r>
      <w:r w:rsidR="00385D3B" w:rsidRPr="003C2366">
        <w:rPr>
          <w:rFonts w:ascii="Garamond" w:hAnsi="Garamond"/>
          <w:b/>
          <w:bCs/>
          <w:sz w:val="28"/>
          <w:szCs w:val="28"/>
        </w:rPr>
        <w:t>.2 La giurisprudenza della C</w:t>
      </w:r>
      <w:r w:rsidR="00BC28F3">
        <w:rPr>
          <w:rFonts w:ascii="Garamond" w:hAnsi="Garamond"/>
          <w:b/>
          <w:bCs/>
          <w:sz w:val="28"/>
          <w:szCs w:val="28"/>
        </w:rPr>
        <w:t xml:space="preserve">orte </w:t>
      </w:r>
      <w:r w:rsidR="00385D3B" w:rsidRPr="003C2366">
        <w:rPr>
          <w:rFonts w:ascii="Garamond" w:hAnsi="Garamond"/>
          <w:b/>
          <w:bCs/>
          <w:sz w:val="28"/>
          <w:szCs w:val="28"/>
        </w:rPr>
        <w:t>EDU: an</w:t>
      </w:r>
      <w:r w:rsidR="00BC28F3">
        <w:rPr>
          <w:rFonts w:ascii="Garamond" w:hAnsi="Garamond"/>
          <w:b/>
          <w:bCs/>
          <w:sz w:val="28"/>
          <w:szCs w:val="28"/>
        </w:rPr>
        <w:t>alisi delle principali sentenze</w:t>
      </w:r>
      <w:r w:rsidR="00385D3B" w:rsidRPr="003C2366">
        <w:rPr>
          <w:rFonts w:ascii="Garamond" w:hAnsi="Garamond"/>
          <w:b/>
          <w:bCs/>
          <w:sz w:val="28"/>
          <w:szCs w:val="28"/>
        </w:rPr>
        <w:t xml:space="preserve"> </w:t>
      </w:r>
    </w:p>
    <w:p w14:paraId="441FEE9B" w14:textId="7B0A26EE" w:rsidR="006534EF" w:rsidRDefault="006534EF" w:rsidP="003C2366">
      <w:pPr>
        <w:spacing w:after="0" w:line="240" w:lineRule="auto"/>
        <w:ind w:firstLine="709"/>
        <w:jc w:val="both"/>
        <w:rPr>
          <w:rFonts w:ascii="Garamond" w:hAnsi="Garamond"/>
          <w:bCs/>
          <w:sz w:val="28"/>
          <w:szCs w:val="28"/>
        </w:rPr>
      </w:pPr>
      <w:r w:rsidRPr="006534EF">
        <w:rPr>
          <w:rFonts w:ascii="Garamond" w:hAnsi="Garamond"/>
          <w:bCs/>
          <w:sz w:val="28"/>
          <w:szCs w:val="28"/>
        </w:rPr>
        <w:t xml:space="preserve">A tal proposito, si richiamano alcune pronunce della Corte </w:t>
      </w:r>
      <w:r w:rsidR="00FF07BB">
        <w:rPr>
          <w:rFonts w:ascii="Garamond" w:hAnsi="Garamond"/>
          <w:bCs/>
          <w:sz w:val="28"/>
          <w:szCs w:val="28"/>
        </w:rPr>
        <w:t>EDU</w:t>
      </w:r>
      <w:r w:rsidRPr="006534EF">
        <w:rPr>
          <w:rFonts w:ascii="Garamond" w:hAnsi="Garamond"/>
          <w:bCs/>
          <w:sz w:val="28"/>
          <w:szCs w:val="28"/>
        </w:rPr>
        <w:t xml:space="preserve"> che rivestono particolare rilevanza nell’interpretazione dell’</w:t>
      </w:r>
      <w:r w:rsidR="00FF07BB">
        <w:rPr>
          <w:rFonts w:ascii="Garamond" w:hAnsi="Garamond"/>
          <w:bCs/>
          <w:sz w:val="28"/>
          <w:szCs w:val="28"/>
        </w:rPr>
        <w:t>art.</w:t>
      </w:r>
      <w:r w:rsidRPr="006534EF">
        <w:rPr>
          <w:rFonts w:ascii="Garamond" w:hAnsi="Garamond"/>
          <w:bCs/>
          <w:sz w:val="28"/>
          <w:szCs w:val="28"/>
        </w:rPr>
        <w:t xml:space="preserve"> 1 del Protocollo n. 1, con specifico riferimento ai principi che possono applicarsi al tema delle concessioni demaniali marittime</w:t>
      </w:r>
      <w:r w:rsidR="00F8153B">
        <w:rPr>
          <w:rStyle w:val="Rimandonotaapidipagina"/>
          <w:rFonts w:ascii="Garamond" w:hAnsi="Garamond"/>
          <w:bCs/>
          <w:sz w:val="28"/>
          <w:szCs w:val="28"/>
        </w:rPr>
        <w:footnoteReference w:id="94"/>
      </w:r>
      <w:r w:rsidR="00FF07BB">
        <w:rPr>
          <w:rFonts w:ascii="Garamond" w:hAnsi="Garamond"/>
          <w:bCs/>
          <w:sz w:val="28"/>
          <w:szCs w:val="28"/>
        </w:rPr>
        <w:t>.</w:t>
      </w:r>
    </w:p>
    <w:p w14:paraId="4F8462C9" w14:textId="77777777" w:rsidR="00FF07BB" w:rsidRDefault="00FF07BB" w:rsidP="003C2366">
      <w:pPr>
        <w:spacing w:after="0" w:line="240" w:lineRule="auto"/>
        <w:ind w:firstLine="709"/>
        <w:jc w:val="both"/>
        <w:rPr>
          <w:rFonts w:ascii="Garamond" w:hAnsi="Garamond"/>
          <w:bCs/>
          <w:sz w:val="28"/>
          <w:szCs w:val="28"/>
        </w:rPr>
      </w:pPr>
    </w:p>
    <w:p w14:paraId="7FC5F3CD" w14:textId="153E7D76" w:rsidR="006534EF" w:rsidRDefault="002A14E2" w:rsidP="003C2366">
      <w:pPr>
        <w:spacing w:after="0" w:line="240" w:lineRule="auto"/>
        <w:ind w:firstLine="709"/>
        <w:jc w:val="both"/>
        <w:rPr>
          <w:rFonts w:ascii="Garamond" w:hAnsi="Garamond"/>
          <w:bCs/>
          <w:sz w:val="28"/>
          <w:szCs w:val="28"/>
        </w:rPr>
      </w:pPr>
      <w:r w:rsidRPr="002A14E2">
        <w:rPr>
          <w:rFonts w:ascii="Garamond" w:hAnsi="Garamond"/>
          <w:bCs/>
          <w:sz w:val="28"/>
          <w:szCs w:val="28"/>
        </w:rPr>
        <w:t xml:space="preserve">Nella causa </w:t>
      </w:r>
      <w:r w:rsidRPr="00FF07BB">
        <w:rPr>
          <w:rFonts w:ascii="Garamond" w:hAnsi="Garamond"/>
          <w:b/>
          <w:bCs/>
          <w:sz w:val="28"/>
          <w:szCs w:val="28"/>
        </w:rPr>
        <w:t xml:space="preserve">Società Agricola </w:t>
      </w:r>
      <w:proofErr w:type="spellStart"/>
      <w:r w:rsidRPr="00FF07BB">
        <w:rPr>
          <w:rFonts w:ascii="Garamond" w:hAnsi="Garamond"/>
          <w:b/>
          <w:bCs/>
          <w:sz w:val="28"/>
          <w:szCs w:val="28"/>
        </w:rPr>
        <w:t>Moceniga</w:t>
      </w:r>
      <w:proofErr w:type="spellEnd"/>
      <w:r w:rsidRPr="00FF07BB">
        <w:rPr>
          <w:rFonts w:ascii="Garamond" w:hAnsi="Garamond"/>
          <w:b/>
          <w:bCs/>
          <w:sz w:val="28"/>
          <w:szCs w:val="28"/>
        </w:rPr>
        <w:t xml:space="preserve"> Pesca (ricorso n. 13643/22)</w:t>
      </w:r>
      <w:r w:rsidRPr="002A14E2">
        <w:rPr>
          <w:rFonts w:ascii="Garamond" w:hAnsi="Garamond"/>
          <w:bCs/>
          <w:sz w:val="28"/>
          <w:szCs w:val="28"/>
        </w:rPr>
        <w:t>, la società ricorrente, operante nel settore dell’acquacoltura, si è vista revocare le licenze di pesca e respingere la richiesta di rinnovo della concessione per l’attività di acquacoltura nel periodo compreso tra il 9 luglio e il 6 novembre 2003. La società ha presentato ricorso al T</w:t>
      </w:r>
      <w:r w:rsidR="00FF07BB">
        <w:rPr>
          <w:rFonts w:ascii="Garamond" w:hAnsi="Garamond"/>
          <w:bCs/>
          <w:sz w:val="28"/>
          <w:szCs w:val="28"/>
        </w:rPr>
        <w:t>.</w:t>
      </w:r>
      <w:r w:rsidRPr="002A14E2">
        <w:rPr>
          <w:rFonts w:ascii="Garamond" w:hAnsi="Garamond"/>
          <w:bCs/>
          <w:sz w:val="28"/>
          <w:szCs w:val="28"/>
        </w:rPr>
        <w:t>A</w:t>
      </w:r>
      <w:r w:rsidR="00FF07BB">
        <w:rPr>
          <w:rFonts w:ascii="Garamond" w:hAnsi="Garamond"/>
          <w:bCs/>
          <w:sz w:val="28"/>
          <w:szCs w:val="28"/>
        </w:rPr>
        <w:t>.</w:t>
      </w:r>
      <w:r w:rsidRPr="002A14E2">
        <w:rPr>
          <w:rFonts w:ascii="Garamond" w:hAnsi="Garamond"/>
          <w:bCs/>
          <w:sz w:val="28"/>
          <w:szCs w:val="28"/>
        </w:rPr>
        <w:t>R</w:t>
      </w:r>
      <w:r w:rsidR="00FF07BB">
        <w:rPr>
          <w:rFonts w:ascii="Garamond" w:hAnsi="Garamond"/>
          <w:bCs/>
          <w:sz w:val="28"/>
          <w:szCs w:val="28"/>
        </w:rPr>
        <w:t>.</w:t>
      </w:r>
      <w:r w:rsidRPr="002A14E2">
        <w:rPr>
          <w:rFonts w:ascii="Garamond" w:hAnsi="Garamond"/>
          <w:bCs/>
          <w:sz w:val="28"/>
          <w:szCs w:val="28"/>
        </w:rPr>
        <w:t xml:space="preserve"> Veneto contro tali provvedimenti amministrativi, ma l’istanza è stata respinta. Tuttavia, in sede di appello, il Consigli</w:t>
      </w:r>
      <w:r w:rsidR="00FF07BB">
        <w:rPr>
          <w:rFonts w:ascii="Garamond" w:hAnsi="Garamond"/>
          <w:bCs/>
          <w:sz w:val="28"/>
          <w:szCs w:val="28"/>
        </w:rPr>
        <w:t>o di Stato, con sentenza del 29/04/</w:t>
      </w:r>
      <w:r w:rsidRPr="002A14E2">
        <w:rPr>
          <w:rFonts w:ascii="Garamond" w:hAnsi="Garamond"/>
          <w:bCs/>
          <w:sz w:val="28"/>
          <w:szCs w:val="28"/>
        </w:rPr>
        <w:t xml:space="preserve">2005, ha annullato gli atti impugnati. Successivamente, il Consiglio di Stato, con decisione del </w:t>
      </w:r>
      <w:r w:rsidR="00FF07BB">
        <w:rPr>
          <w:rFonts w:ascii="Garamond" w:hAnsi="Garamond"/>
          <w:bCs/>
          <w:sz w:val="28"/>
          <w:szCs w:val="28"/>
        </w:rPr>
        <w:t>0</w:t>
      </w:r>
      <w:r w:rsidRPr="002A14E2">
        <w:rPr>
          <w:rFonts w:ascii="Garamond" w:hAnsi="Garamond"/>
          <w:bCs/>
          <w:sz w:val="28"/>
          <w:szCs w:val="28"/>
        </w:rPr>
        <w:t>7</w:t>
      </w:r>
      <w:r w:rsidR="00FF07BB">
        <w:rPr>
          <w:rFonts w:ascii="Garamond" w:hAnsi="Garamond"/>
          <w:bCs/>
          <w:sz w:val="28"/>
          <w:szCs w:val="28"/>
        </w:rPr>
        <w:t>/12/</w:t>
      </w:r>
      <w:r w:rsidRPr="002A14E2">
        <w:rPr>
          <w:rFonts w:ascii="Garamond" w:hAnsi="Garamond"/>
          <w:bCs/>
          <w:sz w:val="28"/>
          <w:szCs w:val="28"/>
        </w:rPr>
        <w:t>2021, ha rigettato la domanda di risarcimento della società, ritenendo che l’incertezza normativa sulla questione impedisse di configurare una responsabilità colposa in capo all’</w:t>
      </w:r>
      <w:r w:rsidR="00FF07BB">
        <w:rPr>
          <w:rFonts w:ascii="Garamond" w:hAnsi="Garamond"/>
          <w:bCs/>
          <w:sz w:val="28"/>
          <w:szCs w:val="28"/>
        </w:rPr>
        <w:t>A</w:t>
      </w:r>
      <w:r w:rsidRPr="002A14E2">
        <w:rPr>
          <w:rFonts w:ascii="Garamond" w:hAnsi="Garamond"/>
          <w:bCs/>
          <w:sz w:val="28"/>
          <w:szCs w:val="28"/>
        </w:rPr>
        <w:t>mministrazione procedente, la quale poteva pertanto beneficiare della teoria dell’errore scusabile. Nel 2022, la società ha presentato ricorso alla C</w:t>
      </w:r>
      <w:r w:rsidR="00FF07BB">
        <w:rPr>
          <w:rFonts w:ascii="Garamond" w:hAnsi="Garamond"/>
          <w:bCs/>
          <w:sz w:val="28"/>
          <w:szCs w:val="28"/>
        </w:rPr>
        <w:t xml:space="preserve">orte </w:t>
      </w:r>
      <w:r w:rsidRPr="002A14E2">
        <w:rPr>
          <w:rFonts w:ascii="Garamond" w:hAnsi="Garamond"/>
          <w:bCs/>
          <w:sz w:val="28"/>
          <w:szCs w:val="28"/>
        </w:rPr>
        <w:t>EDU, lamentando una violazione dell’</w:t>
      </w:r>
      <w:r w:rsidR="00FF07BB">
        <w:rPr>
          <w:rFonts w:ascii="Garamond" w:hAnsi="Garamond"/>
          <w:bCs/>
          <w:sz w:val="28"/>
          <w:szCs w:val="28"/>
        </w:rPr>
        <w:t>art.</w:t>
      </w:r>
      <w:r w:rsidRPr="002A14E2">
        <w:rPr>
          <w:rFonts w:ascii="Garamond" w:hAnsi="Garamond"/>
          <w:bCs/>
          <w:sz w:val="28"/>
          <w:szCs w:val="28"/>
        </w:rPr>
        <w:t xml:space="preserve"> 1 del Protocollo n. 1 della Convenzione (diritto di proprietà e tutela dei diritti patrimoniali).</w:t>
      </w:r>
      <w:r w:rsidR="006534EF" w:rsidRPr="006534EF">
        <w:rPr>
          <w:rFonts w:ascii="Garamond" w:hAnsi="Garamond"/>
          <w:bCs/>
          <w:sz w:val="28"/>
          <w:szCs w:val="28"/>
        </w:rPr>
        <w:t xml:space="preserve"> </w:t>
      </w:r>
      <w:r w:rsidRPr="002A14E2">
        <w:rPr>
          <w:rFonts w:ascii="Garamond" w:hAnsi="Garamond"/>
          <w:bCs/>
          <w:sz w:val="28"/>
          <w:szCs w:val="28"/>
        </w:rPr>
        <w:t xml:space="preserve">La Corte EDU, richiamando il precedente </w:t>
      </w:r>
      <w:r w:rsidRPr="00FF07BB">
        <w:rPr>
          <w:rFonts w:ascii="Garamond" w:hAnsi="Garamond"/>
          <w:b/>
          <w:bCs/>
          <w:sz w:val="28"/>
          <w:szCs w:val="28"/>
        </w:rPr>
        <w:t>Carbonara e Ventura c. Italia (2000)</w:t>
      </w:r>
      <w:r w:rsidR="00DD07DF" w:rsidRPr="00FF07BB">
        <w:rPr>
          <w:rStyle w:val="Rimandonotaapidipagina"/>
          <w:rFonts w:ascii="Garamond" w:hAnsi="Garamond"/>
          <w:bCs/>
          <w:sz w:val="28"/>
          <w:szCs w:val="28"/>
        </w:rPr>
        <w:footnoteReference w:id="95"/>
      </w:r>
      <w:r w:rsidR="00F87373" w:rsidRPr="00FF07BB">
        <w:rPr>
          <w:rFonts w:ascii="Garamond" w:hAnsi="Garamond"/>
          <w:bCs/>
          <w:sz w:val="28"/>
          <w:szCs w:val="28"/>
        </w:rPr>
        <w:t>,</w:t>
      </w:r>
      <w:r w:rsidR="00F87373">
        <w:rPr>
          <w:rFonts w:ascii="Garamond" w:hAnsi="Garamond"/>
          <w:bCs/>
          <w:sz w:val="28"/>
          <w:szCs w:val="28"/>
        </w:rPr>
        <w:t xml:space="preserve"> </w:t>
      </w:r>
      <w:r w:rsidR="00F87373" w:rsidRPr="00F87373">
        <w:rPr>
          <w:rFonts w:ascii="Garamond" w:hAnsi="Garamond"/>
          <w:bCs/>
          <w:sz w:val="28"/>
          <w:szCs w:val="28"/>
        </w:rPr>
        <w:t>ha affermato che la mancanza di chiarezza delle norme giuridiche non può ripercuotersi negativamente sui diritti dei cittadini degli Stati aderenti alla Convenzione. Di conseguenza, ha stabilito che il concetto di errore scusabile non può essere utilizzato per giustificare una violazione del diritto di proprietà derivante da provvedimenti amministrativi illegittimi (v. nn. 13-18 della</w:t>
      </w:r>
      <w:r w:rsidR="00FF07BB">
        <w:rPr>
          <w:rFonts w:ascii="Garamond" w:hAnsi="Garamond"/>
          <w:bCs/>
          <w:sz w:val="28"/>
          <w:szCs w:val="28"/>
        </w:rPr>
        <w:t xml:space="preserve"> sentenza).</w:t>
      </w:r>
      <w:r w:rsidR="00C810B6">
        <w:rPr>
          <w:rFonts w:ascii="Garamond" w:hAnsi="Garamond"/>
          <w:bCs/>
          <w:sz w:val="28"/>
          <w:szCs w:val="28"/>
        </w:rPr>
        <w:t xml:space="preserve"> </w:t>
      </w:r>
      <w:r w:rsidR="00C810B6" w:rsidRPr="00C810B6">
        <w:rPr>
          <w:rFonts w:ascii="Garamond" w:hAnsi="Garamond"/>
          <w:bCs/>
          <w:sz w:val="28"/>
          <w:szCs w:val="28"/>
        </w:rPr>
        <w:t>In applicazione dell’</w:t>
      </w:r>
      <w:r w:rsidR="00FF07BB">
        <w:rPr>
          <w:rFonts w:ascii="Garamond" w:hAnsi="Garamond"/>
          <w:bCs/>
          <w:sz w:val="28"/>
          <w:szCs w:val="28"/>
        </w:rPr>
        <w:t>art.</w:t>
      </w:r>
      <w:r w:rsidR="00C810B6" w:rsidRPr="00C810B6">
        <w:rPr>
          <w:rFonts w:ascii="Garamond" w:hAnsi="Garamond"/>
          <w:bCs/>
          <w:sz w:val="28"/>
          <w:szCs w:val="28"/>
        </w:rPr>
        <w:t xml:space="preserve"> 41 della Convenzione, la Corte ha riconosciuto alla società ricorrente un </w:t>
      </w:r>
      <w:r w:rsidR="00C810B6" w:rsidRPr="00C810B6">
        <w:rPr>
          <w:rFonts w:ascii="Garamond" w:hAnsi="Garamond"/>
          <w:bCs/>
          <w:sz w:val="28"/>
          <w:szCs w:val="28"/>
        </w:rPr>
        <w:lastRenderedPageBreak/>
        <w:t>risarcimento di 110 mila euro per i danni, sia patrimoniali che non patrimoniali, oltre a un importo di 10 mila euro per le spese sostenute</w:t>
      </w:r>
      <w:r w:rsidR="00EB4CF5">
        <w:rPr>
          <w:rStyle w:val="Rimandonotaapidipagina"/>
          <w:rFonts w:ascii="Garamond" w:hAnsi="Garamond"/>
          <w:bCs/>
          <w:sz w:val="28"/>
          <w:szCs w:val="28"/>
        </w:rPr>
        <w:footnoteReference w:id="96"/>
      </w:r>
      <w:r w:rsidR="00C810B6" w:rsidRPr="00C810B6">
        <w:rPr>
          <w:rFonts w:ascii="Garamond" w:hAnsi="Garamond"/>
          <w:bCs/>
          <w:sz w:val="28"/>
          <w:szCs w:val="28"/>
        </w:rPr>
        <w:t>.</w:t>
      </w:r>
    </w:p>
    <w:p w14:paraId="750E1C48" w14:textId="77777777" w:rsidR="00FF07BB" w:rsidRDefault="00FF07BB" w:rsidP="003C2366">
      <w:pPr>
        <w:spacing w:after="0" w:line="240" w:lineRule="auto"/>
        <w:ind w:firstLine="709"/>
        <w:jc w:val="both"/>
        <w:rPr>
          <w:rFonts w:ascii="Garamond" w:hAnsi="Garamond"/>
          <w:bCs/>
          <w:sz w:val="28"/>
          <w:szCs w:val="28"/>
        </w:rPr>
      </w:pPr>
    </w:p>
    <w:p w14:paraId="19AF1F88" w14:textId="75912769" w:rsidR="006534EF" w:rsidRDefault="00C810B6" w:rsidP="003C2366">
      <w:pPr>
        <w:spacing w:after="0" w:line="240" w:lineRule="auto"/>
        <w:ind w:firstLine="709"/>
        <w:jc w:val="both"/>
        <w:rPr>
          <w:rFonts w:ascii="Garamond" w:hAnsi="Garamond"/>
          <w:bCs/>
          <w:sz w:val="28"/>
          <w:szCs w:val="28"/>
        </w:rPr>
      </w:pPr>
      <w:r w:rsidRPr="00C810B6">
        <w:rPr>
          <w:rFonts w:ascii="Garamond" w:hAnsi="Garamond"/>
          <w:bCs/>
          <w:sz w:val="28"/>
          <w:szCs w:val="28"/>
        </w:rPr>
        <w:t>Nella decisione relativa al caso</w:t>
      </w:r>
      <w:r w:rsidR="006534EF" w:rsidRPr="006534EF">
        <w:rPr>
          <w:rFonts w:ascii="Garamond" w:hAnsi="Garamond"/>
          <w:bCs/>
          <w:sz w:val="28"/>
          <w:szCs w:val="28"/>
        </w:rPr>
        <w:t xml:space="preserve"> </w:t>
      </w:r>
      <w:r w:rsidR="006534EF" w:rsidRPr="00FF07BB">
        <w:rPr>
          <w:rFonts w:ascii="Garamond" w:hAnsi="Garamond"/>
          <w:b/>
          <w:bCs/>
          <w:sz w:val="28"/>
          <w:szCs w:val="28"/>
        </w:rPr>
        <w:t xml:space="preserve">Studio medico </w:t>
      </w:r>
      <w:proofErr w:type="spellStart"/>
      <w:r w:rsidR="006534EF" w:rsidRPr="00FF07BB">
        <w:rPr>
          <w:rFonts w:ascii="Garamond" w:hAnsi="Garamond"/>
          <w:b/>
          <w:bCs/>
          <w:sz w:val="28"/>
          <w:szCs w:val="28"/>
        </w:rPr>
        <w:t>Crusi</w:t>
      </w:r>
      <w:proofErr w:type="spellEnd"/>
      <w:r w:rsidR="006534EF" w:rsidRPr="00FF07BB">
        <w:rPr>
          <w:rFonts w:ascii="Garamond" w:hAnsi="Garamond"/>
          <w:b/>
          <w:bCs/>
          <w:sz w:val="28"/>
          <w:szCs w:val="28"/>
        </w:rPr>
        <w:t xml:space="preserve"> (ricorso n. 56161/19)</w:t>
      </w:r>
      <w:r w:rsidR="006534EF" w:rsidRPr="00FF07BB">
        <w:rPr>
          <w:rFonts w:ascii="Garamond" w:hAnsi="Garamond"/>
          <w:bCs/>
          <w:sz w:val="28"/>
          <w:szCs w:val="28"/>
        </w:rPr>
        <w:t>,</w:t>
      </w:r>
      <w:r w:rsidR="006534EF" w:rsidRPr="006534EF">
        <w:rPr>
          <w:rFonts w:ascii="Garamond" w:hAnsi="Garamond"/>
          <w:bCs/>
          <w:sz w:val="28"/>
          <w:szCs w:val="28"/>
        </w:rPr>
        <w:t xml:space="preserve"> </w:t>
      </w:r>
      <w:r w:rsidRPr="00C810B6">
        <w:rPr>
          <w:rFonts w:ascii="Garamond" w:hAnsi="Garamond"/>
          <w:bCs/>
          <w:sz w:val="28"/>
          <w:szCs w:val="28"/>
        </w:rPr>
        <w:t>lo studio medico-odontoiatrico ricorrente ha contestato dinanzi al Consiglio di Stato la revoca del proprio accreditamento al Servizio Sanitario Nazionale, disposta dalla Regione Puglia. La giustizia ammi</w:t>
      </w:r>
      <w:r w:rsidR="00FF07BB">
        <w:rPr>
          <w:rFonts w:ascii="Garamond" w:hAnsi="Garamond"/>
          <w:bCs/>
          <w:sz w:val="28"/>
          <w:szCs w:val="28"/>
        </w:rPr>
        <w:t>nistrativa, con sentenza del 28/11/</w:t>
      </w:r>
      <w:r w:rsidRPr="00C810B6">
        <w:rPr>
          <w:rFonts w:ascii="Garamond" w:hAnsi="Garamond"/>
          <w:bCs/>
          <w:sz w:val="28"/>
          <w:szCs w:val="28"/>
        </w:rPr>
        <w:t>2013, ha annullato tale provvedimento. Tuttavia, la richiesta di risarcimento è stata respinta, con la motivazione che l’</w:t>
      </w:r>
      <w:r w:rsidR="00FF07BB">
        <w:rPr>
          <w:rFonts w:ascii="Garamond" w:hAnsi="Garamond"/>
          <w:bCs/>
          <w:sz w:val="28"/>
          <w:szCs w:val="28"/>
        </w:rPr>
        <w:t>A</w:t>
      </w:r>
      <w:r w:rsidRPr="00C810B6">
        <w:rPr>
          <w:rFonts w:ascii="Garamond" w:hAnsi="Garamond"/>
          <w:bCs/>
          <w:sz w:val="28"/>
          <w:szCs w:val="28"/>
        </w:rPr>
        <w:t>mministrazione regionale aveva commesso un errore scusabile</w:t>
      </w:r>
      <w:r w:rsidR="006534EF" w:rsidRPr="006534EF">
        <w:rPr>
          <w:rFonts w:ascii="Garamond" w:hAnsi="Garamond"/>
          <w:bCs/>
          <w:sz w:val="28"/>
          <w:szCs w:val="28"/>
        </w:rPr>
        <w:t xml:space="preserve">. </w:t>
      </w:r>
      <w:r w:rsidRPr="00C810B6">
        <w:rPr>
          <w:rFonts w:ascii="Garamond" w:hAnsi="Garamond"/>
          <w:bCs/>
          <w:sz w:val="28"/>
          <w:szCs w:val="28"/>
        </w:rPr>
        <w:t xml:space="preserve">In linea con quanto stabilito in altri casi analoghi, la </w:t>
      </w:r>
      <w:r w:rsidR="00FF07BB">
        <w:rPr>
          <w:rFonts w:ascii="Garamond" w:hAnsi="Garamond"/>
          <w:bCs/>
          <w:sz w:val="28"/>
          <w:szCs w:val="28"/>
        </w:rPr>
        <w:t xml:space="preserve">Corte EDU </w:t>
      </w:r>
      <w:r w:rsidRPr="00C810B6">
        <w:rPr>
          <w:rFonts w:ascii="Garamond" w:hAnsi="Garamond"/>
          <w:bCs/>
          <w:sz w:val="28"/>
          <w:szCs w:val="28"/>
        </w:rPr>
        <w:t xml:space="preserve">ha </w:t>
      </w:r>
      <w:r w:rsidR="00FF07BB">
        <w:rPr>
          <w:rFonts w:ascii="Garamond" w:hAnsi="Garamond"/>
          <w:bCs/>
          <w:sz w:val="28"/>
          <w:szCs w:val="28"/>
        </w:rPr>
        <w:t>accolto il ricorso basato sull’art.</w:t>
      </w:r>
      <w:r w:rsidRPr="00C810B6">
        <w:rPr>
          <w:rFonts w:ascii="Garamond" w:hAnsi="Garamond"/>
          <w:bCs/>
          <w:sz w:val="28"/>
          <w:szCs w:val="28"/>
        </w:rPr>
        <w:t xml:space="preserve"> 1 del Protocollo n. 1 della Convenzione. Tuttavia, non ha riconosciuto alcun indennizzo ai ricorrenti ai sensi dell’</w:t>
      </w:r>
      <w:r w:rsidR="00FF07BB">
        <w:rPr>
          <w:rFonts w:ascii="Garamond" w:hAnsi="Garamond"/>
          <w:bCs/>
          <w:sz w:val="28"/>
          <w:szCs w:val="28"/>
        </w:rPr>
        <w:t>art.</w:t>
      </w:r>
      <w:r w:rsidRPr="00C810B6">
        <w:rPr>
          <w:rFonts w:ascii="Garamond" w:hAnsi="Garamond"/>
          <w:bCs/>
          <w:sz w:val="28"/>
          <w:szCs w:val="28"/>
        </w:rPr>
        <w:t xml:space="preserve"> 41 della CEDU, in quanto non era stato dimostrato alcun danno concreto nel ricorso presentato</w:t>
      </w:r>
      <w:r w:rsidR="00EB4CF5">
        <w:rPr>
          <w:rStyle w:val="Rimandonotaapidipagina"/>
          <w:rFonts w:ascii="Garamond" w:hAnsi="Garamond"/>
          <w:bCs/>
          <w:sz w:val="28"/>
          <w:szCs w:val="28"/>
        </w:rPr>
        <w:footnoteReference w:id="97"/>
      </w:r>
      <w:r w:rsidRPr="00C810B6">
        <w:rPr>
          <w:rFonts w:ascii="Garamond" w:hAnsi="Garamond"/>
          <w:bCs/>
          <w:sz w:val="28"/>
          <w:szCs w:val="28"/>
        </w:rPr>
        <w:t>.</w:t>
      </w:r>
    </w:p>
    <w:p w14:paraId="1EA6843D" w14:textId="77777777" w:rsidR="00FF07BB" w:rsidRDefault="00FF07BB" w:rsidP="003C2366">
      <w:pPr>
        <w:spacing w:after="0" w:line="240" w:lineRule="auto"/>
        <w:ind w:firstLine="709"/>
        <w:jc w:val="both"/>
        <w:rPr>
          <w:rFonts w:ascii="Garamond" w:hAnsi="Garamond"/>
          <w:bCs/>
          <w:sz w:val="28"/>
          <w:szCs w:val="28"/>
        </w:rPr>
      </w:pPr>
    </w:p>
    <w:p w14:paraId="25463D7E" w14:textId="48CBD156" w:rsidR="006534EF" w:rsidRDefault="006534EF" w:rsidP="003C2366">
      <w:pPr>
        <w:spacing w:after="0" w:line="240" w:lineRule="auto"/>
        <w:ind w:firstLine="709"/>
        <w:jc w:val="both"/>
        <w:rPr>
          <w:rFonts w:ascii="Garamond" w:hAnsi="Garamond"/>
          <w:bCs/>
          <w:sz w:val="28"/>
          <w:szCs w:val="28"/>
        </w:rPr>
      </w:pPr>
      <w:r w:rsidRPr="006534EF">
        <w:rPr>
          <w:rFonts w:ascii="Garamond" w:hAnsi="Garamond"/>
          <w:bCs/>
          <w:sz w:val="28"/>
          <w:szCs w:val="28"/>
        </w:rPr>
        <w:t xml:space="preserve">Nella sentenza </w:t>
      </w:r>
      <w:r w:rsidRPr="00FF07BB">
        <w:rPr>
          <w:rFonts w:ascii="Garamond" w:hAnsi="Garamond"/>
          <w:b/>
          <w:bCs/>
          <w:sz w:val="28"/>
          <w:szCs w:val="28"/>
        </w:rPr>
        <w:t>Centro di fisioterapia Cecilia Surace (ricorso n. 15277/20)</w:t>
      </w:r>
      <w:r w:rsidRPr="00FF07BB">
        <w:rPr>
          <w:rFonts w:ascii="Garamond" w:hAnsi="Garamond"/>
          <w:bCs/>
          <w:sz w:val="28"/>
          <w:szCs w:val="28"/>
        </w:rPr>
        <w:t>,</w:t>
      </w:r>
      <w:r w:rsidRPr="006534EF">
        <w:rPr>
          <w:rFonts w:ascii="Garamond" w:hAnsi="Garamond"/>
          <w:bCs/>
          <w:sz w:val="28"/>
          <w:szCs w:val="28"/>
        </w:rPr>
        <w:t xml:space="preserve"> </w:t>
      </w:r>
      <w:r w:rsidR="00F50432" w:rsidRPr="00F50432">
        <w:rPr>
          <w:rFonts w:ascii="Garamond" w:hAnsi="Garamond"/>
          <w:bCs/>
          <w:sz w:val="28"/>
          <w:szCs w:val="28"/>
        </w:rPr>
        <w:t>il centro fisioterapico ricorrente ha presentato ricorso dinanzi al T</w:t>
      </w:r>
      <w:r w:rsidR="00FF07BB">
        <w:rPr>
          <w:rFonts w:ascii="Garamond" w:hAnsi="Garamond"/>
          <w:bCs/>
          <w:sz w:val="28"/>
          <w:szCs w:val="28"/>
        </w:rPr>
        <w:t>.</w:t>
      </w:r>
      <w:r w:rsidR="00F50432" w:rsidRPr="00F50432">
        <w:rPr>
          <w:rFonts w:ascii="Garamond" w:hAnsi="Garamond"/>
          <w:bCs/>
          <w:sz w:val="28"/>
          <w:szCs w:val="28"/>
        </w:rPr>
        <w:t>A</w:t>
      </w:r>
      <w:r w:rsidR="00FF07BB">
        <w:rPr>
          <w:rFonts w:ascii="Garamond" w:hAnsi="Garamond"/>
          <w:bCs/>
          <w:sz w:val="28"/>
          <w:szCs w:val="28"/>
        </w:rPr>
        <w:t>.</w:t>
      </w:r>
      <w:r w:rsidR="00F50432" w:rsidRPr="00F50432">
        <w:rPr>
          <w:rFonts w:ascii="Garamond" w:hAnsi="Garamond"/>
          <w:bCs/>
          <w:sz w:val="28"/>
          <w:szCs w:val="28"/>
        </w:rPr>
        <w:t>R</w:t>
      </w:r>
      <w:r w:rsidR="00FF07BB">
        <w:rPr>
          <w:rFonts w:ascii="Garamond" w:hAnsi="Garamond"/>
          <w:bCs/>
          <w:sz w:val="28"/>
          <w:szCs w:val="28"/>
        </w:rPr>
        <w:t>. Puglia Lecce</w:t>
      </w:r>
      <w:r w:rsidR="00F50432" w:rsidRPr="00F50432">
        <w:rPr>
          <w:rFonts w:ascii="Garamond" w:hAnsi="Garamond"/>
          <w:bCs/>
          <w:sz w:val="28"/>
          <w:szCs w:val="28"/>
        </w:rPr>
        <w:t xml:space="preserve"> contro il mancato trasferimento dell’accreditamento al Servizio Sanitario Nazionale dalla titolare della struttura alla società in accomandita semplice da lei fondata. Il </w:t>
      </w:r>
      <w:r w:rsidR="00FF07BB">
        <w:rPr>
          <w:rFonts w:ascii="Garamond" w:hAnsi="Garamond"/>
          <w:bCs/>
          <w:sz w:val="28"/>
          <w:szCs w:val="28"/>
        </w:rPr>
        <w:t>T.A.R.</w:t>
      </w:r>
      <w:r w:rsidR="00F50432" w:rsidRPr="00F50432">
        <w:rPr>
          <w:rFonts w:ascii="Garamond" w:hAnsi="Garamond"/>
          <w:bCs/>
          <w:sz w:val="28"/>
          <w:szCs w:val="28"/>
        </w:rPr>
        <w:t xml:space="preserve"> ha dichiarato illegittimi gli atti amministrativi contestati. Nonostante ciò, il Consigli</w:t>
      </w:r>
      <w:r w:rsidR="00FF07BB">
        <w:rPr>
          <w:rFonts w:ascii="Garamond" w:hAnsi="Garamond"/>
          <w:bCs/>
          <w:sz w:val="28"/>
          <w:szCs w:val="28"/>
        </w:rPr>
        <w:t>o di Stato, con sentenza dell’11/09/</w:t>
      </w:r>
      <w:r w:rsidR="00F50432" w:rsidRPr="00F50432">
        <w:rPr>
          <w:rFonts w:ascii="Garamond" w:hAnsi="Garamond"/>
          <w:bCs/>
          <w:sz w:val="28"/>
          <w:szCs w:val="28"/>
        </w:rPr>
        <w:t xml:space="preserve">2019, ha respinto la richiesta di risarcimento, ritenendo che la Regione Puglia avesse commesso un errore scusabile. Anche in questa circostanza, la Corte </w:t>
      </w:r>
      <w:r w:rsidR="00FF07BB">
        <w:rPr>
          <w:rFonts w:ascii="Garamond" w:hAnsi="Garamond"/>
          <w:bCs/>
          <w:sz w:val="28"/>
          <w:szCs w:val="28"/>
        </w:rPr>
        <w:t>EDU</w:t>
      </w:r>
      <w:r w:rsidR="00F50432" w:rsidRPr="00F50432">
        <w:rPr>
          <w:rFonts w:ascii="Garamond" w:hAnsi="Garamond"/>
          <w:bCs/>
          <w:sz w:val="28"/>
          <w:szCs w:val="28"/>
        </w:rPr>
        <w:t xml:space="preserve"> ha accolto il ricorso fondato sull’</w:t>
      </w:r>
      <w:r w:rsidR="00FF07BB">
        <w:rPr>
          <w:rFonts w:ascii="Garamond" w:hAnsi="Garamond"/>
          <w:bCs/>
          <w:sz w:val="28"/>
          <w:szCs w:val="28"/>
        </w:rPr>
        <w:t>art.</w:t>
      </w:r>
      <w:r w:rsidR="00F50432" w:rsidRPr="00F50432">
        <w:rPr>
          <w:rFonts w:ascii="Garamond" w:hAnsi="Garamond"/>
          <w:bCs/>
          <w:sz w:val="28"/>
          <w:szCs w:val="28"/>
        </w:rPr>
        <w:t xml:space="preserve"> 1 del Protocollo n. 1 della Convenzione. Ai sensi dell’</w:t>
      </w:r>
      <w:r w:rsidR="00FF07BB">
        <w:rPr>
          <w:rFonts w:ascii="Garamond" w:hAnsi="Garamond"/>
          <w:bCs/>
          <w:sz w:val="28"/>
          <w:szCs w:val="28"/>
        </w:rPr>
        <w:t>art.</w:t>
      </w:r>
      <w:r w:rsidR="00F50432" w:rsidRPr="00F50432">
        <w:rPr>
          <w:rFonts w:ascii="Garamond" w:hAnsi="Garamond"/>
          <w:bCs/>
          <w:sz w:val="28"/>
          <w:szCs w:val="28"/>
        </w:rPr>
        <w:t xml:space="preserve"> 41 della CEDU, la Corte ha stabilito un risarcimento di 554 mila euro per i </w:t>
      </w:r>
      <w:r w:rsidR="00F50432" w:rsidRPr="00F50432">
        <w:rPr>
          <w:rFonts w:ascii="Garamond" w:hAnsi="Garamond"/>
          <w:bCs/>
          <w:sz w:val="28"/>
          <w:szCs w:val="28"/>
        </w:rPr>
        <w:lastRenderedPageBreak/>
        <w:t>danni, sia pa</w:t>
      </w:r>
      <w:r w:rsidR="00FF07BB">
        <w:rPr>
          <w:rFonts w:ascii="Garamond" w:hAnsi="Garamond"/>
          <w:bCs/>
          <w:sz w:val="28"/>
          <w:szCs w:val="28"/>
        </w:rPr>
        <w:t>trimoniali che non patrimoniali</w:t>
      </w:r>
      <w:r w:rsidR="00F50432" w:rsidRPr="00F50432">
        <w:rPr>
          <w:rFonts w:ascii="Garamond" w:hAnsi="Garamond"/>
          <w:bCs/>
          <w:sz w:val="28"/>
          <w:szCs w:val="28"/>
        </w:rPr>
        <w:t xml:space="preserve"> e un ulteriore importo di 1</w:t>
      </w:r>
      <w:r w:rsidR="00F50432">
        <w:rPr>
          <w:rFonts w:ascii="Garamond" w:hAnsi="Garamond"/>
          <w:bCs/>
          <w:sz w:val="28"/>
          <w:szCs w:val="28"/>
        </w:rPr>
        <w:t>0 mila euro per le spese legali</w:t>
      </w:r>
      <w:r w:rsidR="009A787E">
        <w:rPr>
          <w:rStyle w:val="Rimandonotaapidipagina"/>
          <w:rFonts w:ascii="Garamond" w:hAnsi="Garamond"/>
          <w:bCs/>
          <w:sz w:val="28"/>
          <w:szCs w:val="28"/>
        </w:rPr>
        <w:footnoteReference w:id="98"/>
      </w:r>
      <w:r w:rsidR="00FF07BB">
        <w:rPr>
          <w:rFonts w:ascii="Garamond" w:hAnsi="Garamond"/>
          <w:bCs/>
          <w:sz w:val="28"/>
          <w:szCs w:val="28"/>
        </w:rPr>
        <w:t>.</w:t>
      </w:r>
    </w:p>
    <w:p w14:paraId="00AB16C0" w14:textId="77777777" w:rsidR="00FF07BB" w:rsidRDefault="00FF07BB" w:rsidP="003C2366">
      <w:pPr>
        <w:spacing w:after="0" w:line="240" w:lineRule="auto"/>
        <w:ind w:firstLine="709"/>
        <w:jc w:val="both"/>
        <w:rPr>
          <w:rFonts w:ascii="Garamond" w:hAnsi="Garamond"/>
          <w:bCs/>
          <w:sz w:val="28"/>
          <w:szCs w:val="28"/>
        </w:rPr>
      </w:pPr>
    </w:p>
    <w:p w14:paraId="0A3D6AD3" w14:textId="48FD8A69" w:rsidR="006534EF" w:rsidRDefault="006534EF" w:rsidP="003C2366">
      <w:pPr>
        <w:spacing w:after="0" w:line="240" w:lineRule="auto"/>
        <w:ind w:firstLine="709"/>
        <w:jc w:val="both"/>
        <w:rPr>
          <w:rFonts w:ascii="Garamond" w:hAnsi="Garamond"/>
          <w:bCs/>
          <w:sz w:val="28"/>
          <w:szCs w:val="28"/>
        </w:rPr>
      </w:pPr>
      <w:r w:rsidRPr="006534EF">
        <w:rPr>
          <w:rFonts w:ascii="Garamond" w:hAnsi="Garamond"/>
          <w:bCs/>
          <w:sz w:val="28"/>
          <w:szCs w:val="28"/>
        </w:rPr>
        <w:t xml:space="preserve">La sentenza </w:t>
      </w:r>
      <w:r w:rsidRPr="00FF07BB">
        <w:rPr>
          <w:rFonts w:ascii="Garamond" w:hAnsi="Garamond"/>
          <w:b/>
          <w:bCs/>
          <w:sz w:val="28"/>
          <w:szCs w:val="28"/>
        </w:rPr>
        <w:t>Maltese e altri (ricorsi 31143/20)</w:t>
      </w:r>
      <w:r w:rsidRPr="00FF07BB">
        <w:rPr>
          <w:rFonts w:ascii="Garamond" w:hAnsi="Garamond"/>
          <w:bCs/>
          <w:sz w:val="28"/>
          <w:szCs w:val="28"/>
        </w:rPr>
        <w:t>,</w:t>
      </w:r>
      <w:r w:rsidRPr="006534EF">
        <w:rPr>
          <w:rFonts w:ascii="Garamond" w:hAnsi="Garamond"/>
          <w:bCs/>
          <w:sz w:val="28"/>
          <w:szCs w:val="28"/>
        </w:rPr>
        <w:t xml:space="preserve"> </w:t>
      </w:r>
      <w:r w:rsidR="002805ED">
        <w:rPr>
          <w:rFonts w:ascii="Garamond" w:hAnsi="Garamond"/>
          <w:bCs/>
          <w:sz w:val="28"/>
          <w:szCs w:val="28"/>
        </w:rPr>
        <w:t xml:space="preserve">invece, </w:t>
      </w:r>
      <w:r w:rsidR="002805ED" w:rsidRPr="002805ED">
        <w:rPr>
          <w:rFonts w:ascii="Garamond" w:hAnsi="Garamond"/>
          <w:bCs/>
          <w:sz w:val="28"/>
          <w:szCs w:val="28"/>
        </w:rPr>
        <w:t>riguarda il ritardo nell’assunzione delle ricorrenti presso il Ministero della Difesa, un provvedimento successivamente dichiarato illegittimo dal T</w:t>
      </w:r>
      <w:r w:rsidR="00FF07BB">
        <w:rPr>
          <w:rFonts w:ascii="Garamond" w:hAnsi="Garamond"/>
          <w:bCs/>
          <w:sz w:val="28"/>
          <w:szCs w:val="28"/>
        </w:rPr>
        <w:t>.</w:t>
      </w:r>
      <w:r w:rsidR="002805ED" w:rsidRPr="002805ED">
        <w:rPr>
          <w:rFonts w:ascii="Garamond" w:hAnsi="Garamond"/>
          <w:bCs/>
          <w:sz w:val="28"/>
          <w:szCs w:val="28"/>
        </w:rPr>
        <w:t>A</w:t>
      </w:r>
      <w:r w:rsidR="00FF07BB">
        <w:rPr>
          <w:rFonts w:ascii="Garamond" w:hAnsi="Garamond"/>
          <w:bCs/>
          <w:sz w:val="28"/>
          <w:szCs w:val="28"/>
        </w:rPr>
        <w:t>.</w:t>
      </w:r>
      <w:r w:rsidR="002805ED" w:rsidRPr="002805ED">
        <w:rPr>
          <w:rFonts w:ascii="Garamond" w:hAnsi="Garamond"/>
          <w:bCs/>
          <w:sz w:val="28"/>
          <w:szCs w:val="28"/>
        </w:rPr>
        <w:t>R</w:t>
      </w:r>
      <w:r w:rsidR="00FF07BB">
        <w:rPr>
          <w:rFonts w:ascii="Garamond" w:hAnsi="Garamond"/>
          <w:bCs/>
          <w:sz w:val="28"/>
          <w:szCs w:val="28"/>
        </w:rPr>
        <w:t>.</w:t>
      </w:r>
      <w:r w:rsidR="002805ED" w:rsidRPr="002805ED">
        <w:rPr>
          <w:rFonts w:ascii="Garamond" w:hAnsi="Garamond"/>
          <w:bCs/>
          <w:sz w:val="28"/>
          <w:szCs w:val="28"/>
        </w:rPr>
        <w:t xml:space="preserve"> Lazio. A seguito della tardiva immissione in servizio, le interessate hanno richiesto un risarcimento per il danno subito. Per quanto riguarda gli altri aspetti della decisione, il contenuto ricalca quanto già stabilito </w:t>
      </w:r>
      <w:r w:rsidR="00301CED">
        <w:rPr>
          <w:rFonts w:ascii="Garamond" w:hAnsi="Garamond"/>
          <w:bCs/>
          <w:sz w:val="28"/>
          <w:szCs w:val="28"/>
        </w:rPr>
        <w:t>in precedenti pronunce analoghe</w:t>
      </w:r>
      <w:r w:rsidR="006E6481">
        <w:rPr>
          <w:rStyle w:val="Rimandonotaapidipagina"/>
          <w:rFonts w:ascii="Garamond" w:hAnsi="Garamond"/>
          <w:bCs/>
          <w:sz w:val="28"/>
          <w:szCs w:val="28"/>
        </w:rPr>
        <w:footnoteReference w:id="99"/>
      </w:r>
      <w:r w:rsidR="00FF07BB">
        <w:rPr>
          <w:rFonts w:ascii="Garamond" w:hAnsi="Garamond"/>
          <w:bCs/>
          <w:sz w:val="28"/>
          <w:szCs w:val="28"/>
        </w:rPr>
        <w:t>.</w:t>
      </w:r>
    </w:p>
    <w:p w14:paraId="41B3B776" w14:textId="77777777" w:rsidR="00FF07BB" w:rsidRDefault="00FF07BB" w:rsidP="003C2366">
      <w:pPr>
        <w:spacing w:after="0" w:line="240" w:lineRule="auto"/>
        <w:ind w:firstLine="709"/>
        <w:jc w:val="both"/>
        <w:rPr>
          <w:rFonts w:ascii="Garamond" w:hAnsi="Garamond"/>
          <w:bCs/>
          <w:sz w:val="28"/>
          <w:szCs w:val="28"/>
        </w:rPr>
      </w:pPr>
    </w:p>
    <w:p w14:paraId="6B030D98" w14:textId="5682E32A" w:rsidR="00385D3B" w:rsidRDefault="006534EF" w:rsidP="003C2366">
      <w:pPr>
        <w:spacing w:after="0" w:line="240" w:lineRule="auto"/>
        <w:ind w:firstLine="709"/>
        <w:jc w:val="both"/>
        <w:rPr>
          <w:rFonts w:ascii="Garamond" w:hAnsi="Garamond"/>
          <w:sz w:val="28"/>
          <w:szCs w:val="28"/>
        </w:rPr>
      </w:pPr>
      <w:r w:rsidRPr="006534EF">
        <w:rPr>
          <w:rFonts w:ascii="Garamond" w:hAnsi="Garamond"/>
          <w:bCs/>
          <w:sz w:val="28"/>
          <w:szCs w:val="28"/>
        </w:rPr>
        <w:t xml:space="preserve">Infine, con la sentenza </w:t>
      </w:r>
      <w:r w:rsidRPr="00FF07BB">
        <w:rPr>
          <w:rFonts w:ascii="Garamond" w:hAnsi="Garamond"/>
          <w:b/>
          <w:bCs/>
          <w:sz w:val="28"/>
          <w:szCs w:val="28"/>
        </w:rPr>
        <w:t>SICOP s.r.l. (ricorso 7523/23)</w:t>
      </w:r>
      <w:r w:rsidRPr="006534EF">
        <w:rPr>
          <w:rFonts w:ascii="Garamond" w:hAnsi="Garamond"/>
          <w:bCs/>
          <w:sz w:val="28"/>
          <w:szCs w:val="28"/>
        </w:rPr>
        <w:t xml:space="preserve"> la Corte </w:t>
      </w:r>
      <w:r w:rsidR="00FF07BB">
        <w:rPr>
          <w:rFonts w:ascii="Garamond" w:hAnsi="Garamond"/>
          <w:bCs/>
          <w:sz w:val="28"/>
          <w:szCs w:val="28"/>
        </w:rPr>
        <w:t xml:space="preserve">ha </w:t>
      </w:r>
      <w:r w:rsidRPr="006534EF">
        <w:rPr>
          <w:rFonts w:ascii="Garamond" w:hAnsi="Garamond"/>
          <w:bCs/>
          <w:sz w:val="28"/>
          <w:szCs w:val="28"/>
        </w:rPr>
        <w:t>forni</w:t>
      </w:r>
      <w:r w:rsidR="00FF07BB">
        <w:rPr>
          <w:rFonts w:ascii="Garamond" w:hAnsi="Garamond"/>
          <w:bCs/>
          <w:sz w:val="28"/>
          <w:szCs w:val="28"/>
        </w:rPr>
        <w:t>to</w:t>
      </w:r>
      <w:r w:rsidRPr="006534EF">
        <w:rPr>
          <w:rFonts w:ascii="Garamond" w:hAnsi="Garamond"/>
          <w:bCs/>
          <w:sz w:val="28"/>
          <w:szCs w:val="28"/>
        </w:rPr>
        <w:t xml:space="preserve"> una sintesi dei principi già citati nelle precedenti pronunce</w:t>
      </w:r>
      <w:r w:rsidR="006E6481">
        <w:rPr>
          <w:rStyle w:val="Rimandonotaapidipagina"/>
          <w:rFonts w:ascii="Garamond" w:hAnsi="Garamond"/>
          <w:bCs/>
          <w:sz w:val="28"/>
          <w:szCs w:val="28"/>
        </w:rPr>
        <w:footnoteReference w:id="100"/>
      </w:r>
      <w:r w:rsidRPr="006534EF">
        <w:rPr>
          <w:rFonts w:ascii="Garamond" w:hAnsi="Garamond"/>
          <w:bCs/>
          <w:sz w:val="28"/>
          <w:szCs w:val="28"/>
        </w:rPr>
        <w:t>.</w:t>
      </w:r>
    </w:p>
    <w:p w14:paraId="255A59E4" w14:textId="77777777" w:rsidR="003C2366" w:rsidRPr="003C2366" w:rsidRDefault="003C2366" w:rsidP="003C2366">
      <w:pPr>
        <w:spacing w:after="0" w:line="240" w:lineRule="auto"/>
        <w:ind w:firstLine="709"/>
        <w:jc w:val="both"/>
        <w:rPr>
          <w:rFonts w:ascii="Garamond" w:hAnsi="Garamond"/>
          <w:sz w:val="28"/>
          <w:szCs w:val="28"/>
        </w:rPr>
      </w:pPr>
    </w:p>
    <w:p w14:paraId="6DF8ED51" w14:textId="2766FFAF" w:rsidR="00BC28F3" w:rsidRDefault="00AD4BF0" w:rsidP="003C2366">
      <w:pPr>
        <w:spacing w:after="0" w:line="240" w:lineRule="auto"/>
        <w:ind w:firstLine="709"/>
        <w:jc w:val="both"/>
        <w:rPr>
          <w:rFonts w:ascii="Garamond" w:hAnsi="Garamond"/>
          <w:b/>
          <w:bCs/>
          <w:sz w:val="28"/>
          <w:szCs w:val="28"/>
        </w:rPr>
      </w:pPr>
      <w:r w:rsidRPr="003C2366">
        <w:rPr>
          <w:rFonts w:ascii="Garamond" w:hAnsi="Garamond"/>
          <w:b/>
          <w:bCs/>
          <w:sz w:val="28"/>
          <w:szCs w:val="28"/>
        </w:rPr>
        <w:t>9</w:t>
      </w:r>
      <w:r w:rsidR="00385D3B" w:rsidRPr="003C2366">
        <w:rPr>
          <w:rFonts w:ascii="Garamond" w:hAnsi="Garamond"/>
          <w:b/>
          <w:bCs/>
          <w:sz w:val="28"/>
          <w:szCs w:val="28"/>
        </w:rPr>
        <w:t xml:space="preserve">.3 Le implicazioni della giurisprudenza </w:t>
      </w:r>
      <w:r w:rsidR="0033543C" w:rsidRPr="003C2366">
        <w:rPr>
          <w:rFonts w:ascii="Garamond" w:hAnsi="Garamond"/>
          <w:b/>
          <w:bCs/>
          <w:sz w:val="28"/>
          <w:szCs w:val="28"/>
        </w:rPr>
        <w:t xml:space="preserve">della </w:t>
      </w:r>
      <w:r w:rsidR="00385D3B" w:rsidRPr="003C2366">
        <w:rPr>
          <w:rFonts w:ascii="Garamond" w:hAnsi="Garamond"/>
          <w:b/>
          <w:bCs/>
          <w:sz w:val="28"/>
          <w:szCs w:val="28"/>
        </w:rPr>
        <w:t>C</w:t>
      </w:r>
      <w:r w:rsidR="0033543C" w:rsidRPr="003C2366">
        <w:rPr>
          <w:rFonts w:ascii="Garamond" w:hAnsi="Garamond"/>
          <w:b/>
          <w:bCs/>
          <w:sz w:val="28"/>
          <w:szCs w:val="28"/>
        </w:rPr>
        <w:t xml:space="preserve">orte </w:t>
      </w:r>
      <w:r w:rsidR="00385D3B" w:rsidRPr="003C2366">
        <w:rPr>
          <w:rFonts w:ascii="Garamond" w:hAnsi="Garamond"/>
          <w:b/>
          <w:bCs/>
          <w:sz w:val="28"/>
          <w:szCs w:val="28"/>
        </w:rPr>
        <w:t xml:space="preserve">EDU sulle </w:t>
      </w:r>
      <w:r w:rsidR="00BC28F3">
        <w:rPr>
          <w:rFonts w:ascii="Garamond" w:hAnsi="Garamond"/>
          <w:b/>
          <w:bCs/>
          <w:sz w:val="28"/>
          <w:szCs w:val="28"/>
        </w:rPr>
        <w:t>concessioni demaniali marittime</w:t>
      </w:r>
      <w:r w:rsidR="00385D3B" w:rsidRPr="003C2366">
        <w:rPr>
          <w:rFonts w:ascii="Garamond" w:hAnsi="Garamond"/>
          <w:b/>
          <w:bCs/>
          <w:sz w:val="28"/>
          <w:szCs w:val="28"/>
        </w:rPr>
        <w:t xml:space="preserve"> </w:t>
      </w:r>
    </w:p>
    <w:p w14:paraId="7197A01B" w14:textId="33E580EF" w:rsidR="00A9210A"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La giurisprudenza della Corte </w:t>
      </w:r>
      <w:r w:rsidR="00FF07BB">
        <w:rPr>
          <w:rFonts w:ascii="Garamond" w:hAnsi="Garamond"/>
          <w:sz w:val="28"/>
          <w:szCs w:val="28"/>
        </w:rPr>
        <w:t>e</w:t>
      </w:r>
      <w:r w:rsidRPr="003C2366">
        <w:rPr>
          <w:rFonts w:ascii="Garamond" w:hAnsi="Garamond"/>
          <w:sz w:val="28"/>
          <w:szCs w:val="28"/>
        </w:rPr>
        <w:t xml:space="preserve">uropea dei Diritti dell’Uomo, come emerge dall’analisi di casi paradigmatici quali </w:t>
      </w:r>
      <w:r w:rsidRPr="00FF07BB">
        <w:rPr>
          <w:rFonts w:ascii="Garamond" w:hAnsi="Garamond"/>
          <w:b/>
          <w:iCs/>
          <w:sz w:val="28"/>
          <w:szCs w:val="28"/>
        </w:rPr>
        <w:t>Carbonara e Ventura e Cecilia Surace</w:t>
      </w:r>
      <w:r w:rsidRPr="00FF07BB">
        <w:rPr>
          <w:rFonts w:ascii="Garamond" w:hAnsi="Garamond"/>
          <w:sz w:val="28"/>
          <w:szCs w:val="28"/>
        </w:rPr>
        <w:t>,</w:t>
      </w:r>
      <w:r w:rsidRPr="003C2366">
        <w:rPr>
          <w:rFonts w:ascii="Garamond" w:hAnsi="Garamond"/>
          <w:sz w:val="28"/>
          <w:szCs w:val="28"/>
        </w:rPr>
        <w:t xml:space="preserve"> fornisce principi che trovano applicazione anche nella </w:t>
      </w:r>
      <w:r w:rsidR="00410288">
        <w:rPr>
          <w:rFonts w:ascii="Garamond" w:hAnsi="Garamond"/>
          <w:sz w:val="28"/>
          <w:szCs w:val="28"/>
        </w:rPr>
        <w:t>fattispecie</w:t>
      </w:r>
      <w:r w:rsidR="00FF07BB">
        <w:rPr>
          <w:rFonts w:ascii="Garamond" w:hAnsi="Garamond"/>
          <w:sz w:val="28"/>
          <w:szCs w:val="28"/>
        </w:rPr>
        <w:t xml:space="preserve"> oggetto del presente articolo</w:t>
      </w:r>
      <w:r w:rsidR="00410288">
        <w:rPr>
          <w:rFonts w:ascii="Garamond" w:hAnsi="Garamond"/>
          <w:sz w:val="28"/>
          <w:szCs w:val="28"/>
        </w:rPr>
        <w:t xml:space="preserve">. </w:t>
      </w:r>
    </w:p>
    <w:p w14:paraId="6F2D751B" w14:textId="7C803BB0" w:rsidR="00385D3B" w:rsidRDefault="00410288" w:rsidP="003C2366">
      <w:pPr>
        <w:spacing w:after="0" w:line="240" w:lineRule="auto"/>
        <w:ind w:firstLine="709"/>
        <w:jc w:val="both"/>
        <w:rPr>
          <w:rFonts w:ascii="Garamond" w:hAnsi="Garamond"/>
          <w:sz w:val="28"/>
          <w:szCs w:val="28"/>
        </w:rPr>
      </w:pPr>
      <w:r>
        <w:rPr>
          <w:rFonts w:ascii="Garamond" w:hAnsi="Garamond"/>
          <w:sz w:val="28"/>
          <w:szCs w:val="28"/>
        </w:rPr>
        <w:t>Come già accennato</w:t>
      </w:r>
      <w:r w:rsidR="00385D3B" w:rsidRPr="003C2366">
        <w:rPr>
          <w:rFonts w:ascii="Garamond" w:hAnsi="Garamond"/>
          <w:sz w:val="28"/>
          <w:szCs w:val="28"/>
        </w:rPr>
        <w:t xml:space="preserve">, </w:t>
      </w:r>
      <w:r w:rsidR="00385D3B" w:rsidRPr="00FF07BB">
        <w:rPr>
          <w:rFonts w:ascii="Garamond" w:hAnsi="Garamond"/>
          <w:sz w:val="28"/>
          <w:szCs w:val="28"/>
          <w:u w:val="single"/>
        </w:rPr>
        <w:t>le concessioni demaniali, pur configurandosi come diritti di natura precaria non assimilabili al diritto di proprietà privata, implicano profili patrimoniali suscettibili di tutela ai sensi dell’</w:t>
      </w:r>
      <w:r w:rsidR="002F47D4" w:rsidRPr="00FF07BB">
        <w:rPr>
          <w:rFonts w:ascii="Garamond" w:hAnsi="Garamond"/>
          <w:sz w:val="28"/>
          <w:szCs w:val="28"/>
          <w:u w:val="single"/>
        </w:rPr>
        <w:t>art.</w:t>
      </w:r>
      <w:r w:rsidR="00385D3B" w:rsidRPr="00FF07BB">
        <w:rPr>
          <w:rFonts w:ascii="Garamond" w:hAnsi="Garamond"/>
          <w:sz w:val="28"/>
          <w:szCs w:val="28"/>
          <w:u w:val="single"/>
        </w:rPr>
        <w:t xml:space="preserve"> 1 del Protocollo n. 1 della Convenzione </w:t>
      </w:r>
      <w:r w:rsidR="00FF07BB" w:rsidRPr="00FF07BB">
        <w:rPr>
          <w:rFonts w:ascii="Garamond" w:hAnsi="Garamond"/>
          <w:sz w:val="28"/>
          <w:szCs w:val="28"/>
          <w:u w:val="single"/>
        </w:rPr>
        <w:t>e</w:t>
      </w:r>
      <w:r w:rsidR="00385D3B" w:rsidRPr="00FF07BB">
        <w:rPr>
          <w:rFonts w:ascii="Garamond" w:hAnsi="Garamond"/>
          <w:sz w:val="28"/>
          <w:szCs w:val="28"/>
          <w:u w:val="single"/>
        </w:rPr>
        <w:t>uropea dei Diritti dell’Uomo. Ne consegue la necessità di esaminare in quale misura tali principi possano incidere sulle modalità di revoca, rinnovo e gestione delle concessioni demaniali marittime</w:t>
      </w:r>
      <w:r w:rsidR="00385D3B" w:rsidRPr="003C2366">
        <w:rPr>
          <w:rFonts w:ascii="Garamond" w:hAnsi="Garamond"/>
          <w:sz w:val="28"/>
          <w:szCs w:val="28"/>
        </w:rPr>
        <w:t>.</w:t>
      </w:r>
    </w:p>
    <w:p w14:paraId="5B993D35" w14:textId="77777777" w:rsidR="003C2366" w:rsidRPr="003C2366" w:rsidRDefault="003C2366" w:rsidP="003C2366">
      <w:pPr>
        <w:spacing w:after="0" w:line="240" w:lineRule="auto"/>
        <w:ind w:firstLine="709"/>
        <w:jc w:val="both"/>
        <w:rPr>
          <w:rFonts w:ascii="Garamond" w:hAnsi="Garamond"/>
          <w:b/>
          <w:bCs/>
          <w:sz w:val="28"/>
          <w:szCs w:val="28"/>
        </w:rPr>
      </w:pPr>
    </w:p>
    <w:p w14:paraId="3DF2746F" w14:textId="77777777" w:rsidR="00385D3B" w:rsidRPr="003C2366" w:rsidRDefault="00385D3B" w:rsidP="003C2366">
      <w:pPr>
        <w:numPr>
          <w:ilvl w:val="0"/>
          <w:numId w:val="8"/>
        </w:numPr>
        <w:spacing w:after="0" w:line="240" w:lineRule="auto"/>
        <w:ind w:firstLine="709"/>
        <w:jc w:val="both"/>
        <w:rPr>
          <w:rFonts w:ascii="Garamond" w:hAnsi="Garamond"/>
          <w:b/>
          <w:bCs/>
          <w:sz w:val="28"/>
          <w:szCs w:val="28"/>
        </w:rPr>
      </w:pPr>
      <w:r w:rsidRPr="003C2366">
        <w:rPr>
          <w:rFonts w:ascii="Garamond" w:hAnsi="Garamond"/>
          <w:b/>
          <w:bCs/>
          <w:sz w:val="28"/>
          <w:szCs w:val="28"/>
        </w:rPr>
        <w:lastRenderedPageBreak/>
        <w:t>La natura delle concessioni demaniali: diritto d’uso e diritti patrimoniali</w:t>
      </w:r>
    </w:p>
    <w:p w14:paraId="087FE101" w14:textId="77777777" w:rsidR="00F56B3F"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Le concessioni demaniali marittime sono strumenti amministrativi che attribuiscono un diritto d’uso su beni pubblici, quali spiagge e aree costiere, per attività economiche o turistiche. Sebbene non configurino un vero e proprio diritto di proprietà, questi strumenti producono effetti economici rilevanti che rientrano nella sfera dei diritti patrimoniali tutelati dall’</w:t>
      </w:r>
      <w:r w:rsidR="0033543C" w:rsidRPr="003C2366">
        <w:rPr>
          <w:rFonts w:ascii="Garamond" w:hAnsi="Garamond"/>
          <w:sz w:val="28"/>
          <w:szCs w:val="28"/>
        </w:rPr>
        <w:t>art.</w:t>
      </w:r>
      <w:r w:rsidRPr="003C2366">
        <w:rPr>
          <w:rFonts w:ascii="Garamond" w:hAnsi="Garamond"/>
          <w:sz w:val="28"/>
          <w:szCs w:val="28"/>
        </w:rPr>
        <w:t xml:space="preserve"> 1 del Protocollo n. 1</w:t>
      </w:r>
      <w:r w:rsidR="0033543C" w:rsidRPr="003C2366">
        <w:rPr>
          <w:rFonts w:ascii="Garamond" w:hAnsi="Garamond"/>
          <w:sz w:val="28"/>
          <w:szCs w:val="28"/>
        </w:rPr>
        <w:t xml:space="preserve"> CEDU</w:t>
      </w:r>
      <w:r w:rsidRPr="003C2366">
        <w:rPr>
          <w:rFonts w:ascii="Garamond" w:hAnsi="Garamond"/>
          <w:sz w:val="28"/>
          <w:szCs w:val="28"/>
        </w:rPr>
        <w:t xml:space="preserve">. </w:t>
      </w:r>
    </w:p>
    <w:p w14:paraId="1969A842" w14:textId="7F0BF340" w:rsidR="00385D3B"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In caso di revoca, mancato rinnovo o acquisizione da parte dello Stato delle opere realizzate su suolo demaniale, si configurano potenziali interferenze con tali diritti patrimoniali. La giurisprudenza </w:t>
      </w:r>
      <w:r w:rsidR="0033543C" w:rsidRPr="003C2366">
        <w:rPr>
          <w:rFonts w:ascii="Garamond" w:hAnsi="Garamond"/>
          <w:sz w:val="28"/>
          <w:szCs w:val="28"/>
        </w:rPr>
        <w:t xml:space="preserve">della </w:t>
      </w:r>
      <w:r w:rsidRPr="003C2366">
        <w:rPr>
          <w:rFonts w:ascii="Garamond" w:hAnsi="Garamond"/>
          <w:sz w:val="28"/>
          <w:szCs w:val="28"/>
        </w:rPr>
        <w:t>C</w:t>
      </w:r>
      <w:r w:rsidR="0033543C" w:rsidRPr="003C2366">
        <w:rPr>
          <w:rFonts w:ascii="Garamond" w:hAnsi="Garamond"/>
          <w:sz w:val="28"/>
          <w:szCs w:val="28"/>
        </w:rPr>
        <w:t xml:space="preserve">orte </w:t>
      </w:r>
      <w:r w:rsidRPr="003C2366">
        <w:rPr>
          <w:rFonts w:ascii="Garamond" w:hAnsi="Garamond"/>
          <w:sz w:val="28"/>
          <w:szCs w:val="28"/>
        </w:rPr>
        <w:t>EDU sopracitata impone che ogni provvedimento lesivo rispetti il principio di legalità, secondo cui le revoche o i dinieghi devono essere previsti da una normativa chiara e prevedibile.</w:t>
      </w:r>
      <w:r w:rsidRPr="003C2366">
        <w:rPr>
          <w:rFonts w:ascii="Garamond" w:hAnsi="Garamond"/>
          <w:b/>
          <w:bCs/>
          <w:sz w:val="28"/>
          <w:szCs w:val="28"/>
        </w:rPr>
        <w:t xml:space="preserve"> </w:t>
      </w:r>
      <w:r w:rsidRPr="003C2366">
        <w:rPr>
          <w:rFonts w:ascii="Garamond" w:hAnsi="Garamond"/>
          <w:sz w:val="28"/>
          <w:szCs w:val="28"/>
        </w:rPr>
        <w:t xml:space="preserve">Inoltre, deve essere dimostrata la necessità e proporzionalità dell’ingerenza rispetto agli </w:t>
      </w:r>
      <w:r w:rsidR="001549AB">
        <w:rPr>
          <w:rFonts w:ascii="Garamond" w:hAnsi="Garamond"/>
          <w:sz w:val="28"/>
          <w:szCs w:val="28"/>
        </w:rPr>
        <w:t>obiettivi pubblici perseguiti e,</w:t>
      </w:r>
      <w:r w:rsidRPr="003C2366">
        <w:rPr>
          <w:rFonts w:ascii="Garamond" w:hAnsi="Garamond"/>
          <w:sz w:val="28"/>
          <w:szCs w:val="28"/>
        </w:rPr>
        <w:t xml:space="preserve"> infine, deve essere previsto un risarcimento adeguato e tempestivo in caso di perdita del diritto patrimoniale.</w:t>
      </w:r>
    </w:p>
    <w:p w14:paraId="570D9B01" w14:textId="77777777" w:rsidR="003C2366" w:rsidRPr="003C2366" w:rsidRDefault="003C2366" w:rsidP="003C2366">
      <w:pPr>
        <w:spacing w:after="0" w:line="240" w:lineRule="auto"/>
        <w:ind w:firstLine="709"/>
        <w:jc w:val="both"/>
        <w:rPr>
          <w:rFonts w:ascii="Garamond" w:hAnsi="Garamond"/>
          <w:sz w:val="28"/>
          <w:szCs w:val="28"/>
        </w:rPr>
      </w:pPr>
    </w:p>
    <w:p w14:paraId="0568AEF7" w14:textId="77777777" w:rsidR="00385D3B" w:rsidRPr="003C2366" w:rsidRDefault="00385D3B" w:rsidP="003C2366">
      <w:pPr>
        <w:numPr>
          <w:ilvl w:val="0"/>
          <w:numId w:val="8"/>
        </w:numPr>
        <w:spacing w:after="0" w:line="240" w:lineRule="auto"/>
        <w:ind w:firstLine="709"/>
        <w:jc w:val="both"/>
        <w:rPr>
          <w:rFonts w:ascii="Garamond" w:hAnsi="Garamond"/>
          <w:sz w:val="28"/>
          <w:szCs w:val="28"/>
        </w:rPr>
      </w:pPr>
      <w:r w:rsidRPr="003C2366">
        <w:rPr>
          <w:rFonts w:ascii="Garamond" w:hAnsi="Garamond"/>
          <w:b/>
          <w:bCs/>
          <w:sz w:val="28"/>
          <w:szCs w:val="28"/>
        </w:rPr>
        <w:t>La revoca e l’acquisizione delle opere: profili critici</w:t>
      </w:r>
    </w:p>
    <w:p w14:paraId="1C0CFC0B" w14:textId="1CEC0B98" w:rsidR="00385D3B" w:rsidRPr="003C2366"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Uno dei temi maggiormente dibattuti e caratterizzati da una particolare complessità giuridica nell’ambito delle concessioni demaniali concerne l’acquisizione da parte dello Stato delle opere non amovibili realizzate dai concessionari, quali strutture balneari o infrastrutture turistiche. Tale acquisizione, frequentemente prevista alla scadenza della concessione senza corresponsione di un indennizzo, pone rilevanti questioni in merito alla conformità di tale previsione ai principi sanciti dall’</w:t>
      </w:r>
      <w:r w:rsidR="0033543C" w:rsidRPr="003C2366">
        <w:rPr>
          <w:rFonts w:ascii="Garamond" w:hAnsi="Garamond"/>
          <w:sz w:val="28"/>
          <w:szCs w:val="28"/>
        </w:rPr>
        <w:t>art.</w:t>
      </w:r>
      <w:r w:rsidRPr="003C2366">
        <w:rPr>
          <w:rFonts w:ascii="Garamond" w:hAnsi="Garamond"/>
          <w:sz w:val="28"/>
          <w:szCs w:val="28"/>
        </w:rPr>
        <w:t xml:space="preserve"> 1 del Protocollo n. 1 della </w:t>
      </w:r>
      <w:r w:rsidR="0033543C" w:rsidRPr="003C2366">
        <w:rPr>
          <w:rFonts w:ascii="Garamond" w:hAnsi="Garamond"/>
          <w:sz w:val="28"/>
          <w:szCs w:val="28"/>
        </w:rPr>
        <w:t>CEDU</w:t>
      </w:r>
      <w:r w:rsidRPr="003C2366">
        <w:rPr>
          <w:rFonts w:ascii="Garamond" w:hAnsi="Garamond"/>
          <w:sz w:val="28"/>
          <w:szCs w:val="28"/>
        </w:rPr>
        <w:t xml:space="preserve">. </w:t>
      </w:r>
    </w:p>
    <w:p w14:paraId="392E0252" w14:textId="0538C8CC" w:rsidR="00385D3B" w:rsidRPr="003C2366"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La giurisprudenza della Corte </w:t>
      </w:r>
      <w:r w:rsidR="0033543C" w:rsidRPr="003C2366">
        <w:rPr>
          <w:rFonts w:ascii="Garamond" w:hAnsi="Garamond"/>
          <w:sz w:val="28"/>
          <w:szCs w:val="28"/>
        </w:rPr>
        <w:t>EDU</w:t>
      </w:r>
      <w:r w:rsidR="000F14E9">
        <w:rPr>
          <w:rFonts w:ascii="Garamond" w:hAnsi="Garamond"/>
          <w:sz w:val="28"/>
          <w:szCs w:val="28"/>
        </w:rPr>
        <w:t xml:space="preserve"> </w:t>
      </w:r>
      <w:r w:rsidR="00495E56">
        <w:rPr>
          <w:rFonts w:ascii="Garamond" w:hAnsi="Garamond"/>
          <w:sz w:val="28"/>
          <w:szCs w:val="28"/>
        </w:rPr>
        <w:t>nelle pronunce citate ha più volte ribadito</w:t>
      </w:r>
      <w:r w:rsidRPr="003C2366">
        <w:rPr>
          <w:rFonts w:ascii="Garamond" w:hAnsi="Garamond"/>
          <w:sz w:val="28"/>
          <w:szCs w:val="28"/>
        </w:rPr>
        <w:t xml:space="preserve"> che la perdita di un bene non deve mai comportare un sacrificio sproporzionato per il privato. In particolare, qualora le opere acquisite rappresentino investimenti significativi per l’attività economica del concessionario, l’assenza di un indennizzo adeguato può configurare una violazione dei diritti patrimoniali tutelati dalla Convenzione. Il principio di proporzionalità, elemento cardine nell’analisi delle ingerenze statali, richiede che il pregiudizio arrecato al privato sia proporzionato agli obiettivi di interesse pubblico perseguiti, evitando che il sacrificio imposto ecceda i benefici conseguiti dalla collettività. </w:t>
      </w:r>
    </w:p>
    <w:p w14:paraId="351BD2D7" w14:textId="2EC8E928" w:rsidR="00385D3B" w:rsidRPr="003C2366"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Ulteriori criticità emergono nei casi in cui non venga prevista alcuna forma di compensazione per la perdita del bene.</w:t>
      </w:r>
      <w:r w:rsidR="006B7853">
        <w:rPr>
          <w:rFonts w:ascii="Garamond" w:hAnsi="Garamond"/>
          <w:sz w:val="28"/>
          <w:szCs w:val="28"/>
        </w:rPr>
        <w:t xml:space="preserve"> Alla luce della giuri</w:t>
      </w:r>
      <w:r w:rsidR="0078755E">
        <w:rPr>
          <w:rFonts w:ascii="Garamond" w:hAnsi="Garamond"/>
          <w:sz w:val="28"/>
          <w:szCs w:val="28"/>
        </w:rPr>
        <w:t>sprudenza sopracitata, infatti,</w:t>
      </w:r>
      <w:r w:rsidR="00812EB6">
        <w:rPr>
          <w:rFonts w:ascii="Garamond" w:hAnsi="Garamond"/>
          <w:sz w:val="28"/>
          <w:szCs w:val="28"/>
        </w:rPr>
        <w:t xml:space="preserve"> si evince che </w:t>
      </w:r>
      <w:r w:rsidR="006B7853">
        <w:rPr>
          <w:rFonts w:ascii="Garamond" w:hAnsi="Garamond"/>
          <w:sz w:val="28"/>
          <w:szCs w:val="28"/>
        </w:rPr>
        <w:t>l</w:t>
      </w:r>
      <w:r w:rsidRPr="003C2366">
        <w:rPr>
          <w:rFonts w:ascii="Garamond" w:hAnsi="Garamond"/>
          <w:sz w:val="28"/>
          <w:szCs w:val="28"/>
        </w:rPr>
        <w:t>’assenza di strumenti risarcitori adeguati rispetto alla perdita del godimento di un bene</w:t>
      </w:r>
      <w:r w:rsidR="002D0A16">
        <w:rPr>
          <w:rFonts w:ascii="Garamond" w:hAnsi="Garamond"/>
          <w:sz w:val="28"/>
          <w:szCs w:val="28"/>
        </w:rPr>
        <w:t xml:space="preserve"> </w:t>
      </w:r>
      <w:r w:rsidRPr="003C2366">
        <w:rPr>
          <w:rFonts w:ascii="Garamond" w:hAnsi="Garamond"/>
          <w:sz w:val="28"/>
          <w:szCs w:val="28"/>
        </w:rPr>
        <w:t>costituisce una violazione dell’</w:t>
      </w:r>
      <w:r w:rsidR="0033543C" w:rsidRPr="003C2366">
        <w:rPr>
          <w:rFonts w:ascii="Garamond" w:hAnsi="Garamond"/>
          <w:sz w:val="28"/>
          <w:szCs w:val="28"/>
        </w:rPr>
        <w:t>art.</w:t>
      </w:r>
      <w:r w:rsidRPr="003C2366">
        <w:rPr>
          <w:rFonts w:ascii="Garamond" w:hAnsi="Garamond"/>
          <w:sz w:val="28"/>
          <w:szCs w:val="28"/>
        </w:rPr>
        <w:t xml:space="preserve"> 1 del Protocollo n. 1. In tale contesto, si impone la necessità di introdurre misure compensative chiare, accessibili e idonee a garantire un equo bilanciamento tra l’interesse pubblico e i diritti del concessionario. Non di rado, le autorità amministrative giustificano la mancata previsione di un indennizzo richiamando la complessità normativa o facendo riferimento al </w:t>
      </w:r>
      <w:r w:rsidR="00D8187E">
        <w:rPr>
          <w:rFonts w:ascii="Garamond" w:hAnsi="Garamond"/>
          <w:sz w:val="28"/>
          <w:szCs w:val="28"/>
        </w:rPr>
        <w:t>concetto di “errore scusabile”.</w:t>
      </w:r>
    </w:p>
    <w:p w14:paraId="07744DC9" w14:textId="311EE696" w:rsidR="00385D3B"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Tuttavia, come affermato dalla Corte EDU nella sentenza Cecilia Surace, l’errore scusabile non può costituire una valida giustificazione per un’ingerenza sproporzionata nei diritti patrimoniali dei concessionari. In tale prospettiva, la Corte ha sottolineato che i privati non possono essere chiamati a sopportare le conseguenze di errori interpretativi o incertezze normative delle autorità, specialmente quando queste si traducono in un </w:t>
      </w:r>
      <w:r w:rsidRPr="003C2366">
        <w:rPr>
          <w:rFonts w:ascii="Garamond" w:hAnsi="Garamond"/>
          <w:sz w:val="28"/>
          <w:szCs w:val="28"/>
        </w:rPr>
        <w:lastRenderedPageBreak/>
        <w:t>significativo pregiudizio economico. Tale principio impone alle autorità l’obbligo di adottare tutte le misure necessarie per evitare che lacune normative o errori procedurali si traducano in un’irragionevole compressione dei diritti patrimoniali tutelati dalla Convenzione.</w:t>
      </w:r>
    </w:p>
    <w:p w14:paraId="0980D958" w14:textId="77777777" w:rsidR="003C2366" w:rsidRPr="003C2366" w:rsidRDefault="003C2366" w:rsidP="003C2366">
      <w:pPr>
        <w:spacing w:after="0" w:line="240" w:lineRule="auto"/>
        <w:ind w:firstLine="709"/>
        <w:jc w:val="both"/>
        <w:rPr>
          <w:rFonts w:ascii="Garamond" w:hAnsi="Garamond"/>
          <w:sz w:val="28"/>
          <w:szCs w:val="28"/>
        </w:rPr>
      </w:pPr>
    </w:p>
    <w:p w14:paraId="13D8DD08" w14:textId="77777777" w:rsidR="00385D3B" w:rsidRPr="003C2366" w:rsidRDefault="00385D3B" w:rsidP="003C2366">
      <w:pPr>
        <w:numPr>
          <w:ilvl w:val="0"/>
          <w:numId w:val="8"/>
        </w:numPr>
        <w:spacing w:after="0" w:line="240" w:lineRule="auto"/>
        <w:ind w:firstLine="709"/>
        <w:jc w:val="both"/>
        <w:rPr>
          <w:rFonts w:ascii="Garamond" w:hAnsi="Garamond"/>
          <w:sz w:val="28"/>
          <w:szCs w:val="28"/>
        </w:rPr>
      </w:pPr>
      <w:r w:rsidRPr="003C2366">
        <w:rPr>
          <w:rFonts w:ascii="Garamond" w:hAnsi="Garamond"/>
          <w:b/>
          <w:bCs/>
          <w:sz w:val="28"/>
          <w:szCs w:val="28"/>
        </w:rPr>
        <w:t>Il mancato rinnovo delle concessioni: un equilibrio tra interesse pubblico e diritti individuali</w:t>
      </w:r>
    </w:p>
    <w:p w14:paraId="01A43A8D" w14:textId="77777777" w:rsidR="00385D3B" w:rsidRPr="003C2366"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La cessazione di una concessione demaniale, in particolar modo nei casi in cui il rinnovo venga negato per ragioni riconducibili a interessi pubblici superiori, quali la tutela ambientale o la promozione della libera concorrenza, configura questioni di rilevante complessità giuridica. Sebbene il carattere precario delle concessioni rappresenti un principio consolidato, occorre tuttavia considerare che i concessionari, soprattutto in ipotesi di concessioni protrattesi per lunghi periodi, maturano legittime aspettative economiche. Tali aspettative risultano strettamente correlate agli investimenti significativi realizzati sulle opere e sulle attività svolte su beni demaniali, costituendo spesso il fondamento per lo sviluppo di iniziative economiche stabili e continuative. </w:t>
      </w:r>
    </w:p>
    <w:p w14:paraId="1466E102" w14:textId="4C295478" w:rsidR="00385D3B" w:rsidRPr="003C2366"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La giurisprudenza della Corte </w:t>
      </w:r>
      <w:r w:rsidR="0033543C" w:rsidRPr="003C2366">
        <w:rPr>
          <w:rFonts w:ascii="Garamond" w:hAnsi="Garamond"/>
          <w:sz w:val="28"/>
          <w:szCs w:val="28"/>
        </w:rPr>
        <w:t>EDU</w:t>
      </w:r>
      <w:r w:rsidRPr="003C2366">
        <w:rPr>
          <w:rFonts w:ascii="Garamond" w:hAnsi="Garamond"/>
          <w:sz w:val="28"/>
          <w:szCs w:val="28"/>
        </w:rPr>
        <w:t xml:space="preserve"> fornisce un quadro interpretativo utile per analizzare tali situazioni alla luce dell’</w:t>
      </w:r>
      <w:r w:rsidR="0033543C" w:rsidRPr="003C2366">
        <w:rPr>
          <w:rFonts w:ascii="Garamond" w:hAnsi="Garamond"/>
          <w:sz w:val="28"/>
          <w:szCs w:val="28"/>
        </w:rPr>
        <w:t>art.</w:t>
      </w:r>
      <w:r w:rsidRPr="003C2366">
        <w:rPr>
          <w:rFonts w:ascii="Garamond" w:hAnsi="Garamond"/>
          <w:sz w:val="28"/>
          <w:szCs w:val="28"/>
        </w:rPr>
        <w:t xml:space="preserve"> 1 del Protocollo n. 1 </w:t>
      </w:r>
      <w:r w:rsidR="0033543C" w:rsidRPr="003C2366">
        <w:rPr>
          <w:rFonts w:ascii="Garamond" w:hAnsi="Garamond"/>
          <w:sz w:val="28"/>
          <w:szCs w:val="28"/>
        </w:rPr>
        <w:t>CEDU</w:t>
      </w:r>
      <w:r w:rsidRPr="003C2366">
        <w:rPr>
          <w:rFonts w:ascii="Garamond" w:hAnsi="Garamond"/>
          <w:sz w:val="28"/>
          <w:szCs w:val="28"/>
        </w:rPr>
        <w:t>. La Corte ha infatti riconosciuto, in diverse pronunce, che, pur in assenza di un diritto di proprietà pieno sui beni demaniali, i concessionari possono beneficiare di una tutela patrimoniale in relazione alle perdite economiche subite a seguito di decisioni amministrative che risultino illeg</w:t>
      </w:r>
      <w:r w:rsidR="00D31A53">
        <w:rPr>
          <w:rFonts w:ascii="Garamond" w:hAnsi="Garamond"/>
          <w:sz w:val="28"/>
          <w:szCs w:val="28"/>
        </w:rPr>
        <w:t>ittime o sproporzionate. In più occasioni, l</w:t>
      </w:r>
      <w:r w:rsidRPr="003C2366">
        <w:rPr>
          <w:rFonts w:ascii="Garamond" w:hAnsi="Garamond"/>
          <w:sz w:val="28"/>
          <w:szCs w:val="28"/>
        </w:rPr>
        <w:t xml:space="preserve">a Corte ha </w:t>
      </w:r>
      <w:r w:rsidR="00FF355F">
        <w:rPr>
          <w:rFonts w:ascii="Garamond" w:hAnsi="Garamond"/>
          <w:sz w:val="28"/>
          <w:szCs w:val="28"/>
        </w:rPr>
        <w:t xml:space="preserve">poi </w:t>
      </w:r>
      <w:r w:rsidRPr="003C2366">
        <w:rPr>
          <w:rFonts w:ascii="Garamond" w:hAnsi="Garamond"/>
          <w:sz w:val="28"/>
          <w:szCs w:val="28"/>
        </w:rPr>
        <w:t>stabilito che il mancato rinnovo di una concessione non può comportare un sacrificio sproporzionato dei diritti patrimoniali del concessionario, specialmente in assenza di misure compensative adeguate.</w:t>
      </w:r>
    </w:p>
    <w:p w14:paraId="6397F165" w14:textId="1485556E" w:rsidR="00374433" w:rsidRPr="003C2366" w:rsidRDefault="00374433" w:rsidP="001C3346">
      <w:pPr>
        <w:spacing w:after="0" w:line="240" w:lineRule="auto"/>
        <w:jc w:val="both"/>
        <w:rPr>
          <w:rFonts w:ascii="Garamond" w:hAnsi="Garamond"/>
          <w:sz w:val="28"/>
          <w:szCs w:val="28"/>
        </w:rPr>
      </w:pPr>
    </w:p>
    <w:p w14:paraId="3497723B" w14:textId="3D572E5F" w:rsidR="00AD4BF0" w:rsidRPr="00EC75ED" w:rsidRDefault="001C3346" w:rsidP="003C2366">
      <w:pPr>
        <w:spacing w:after="0" w:line="240" w:lineRule="auto"/>
        <w:ind w:firstLine="709"/>
        <w:jc w:val="both"/>
        <w:rPr>
          <w:rFonts w:ascii="Garamond" w:hAnsi="Garamond"/>
          <w:sz w:val="28"/>
          <w:szCs w:val="28"/>
        </w:rPr>
      </w:pPr>
      <w:r>
        <w:rPr>
          <w:rFonts w:ascii="Garamond" w:hAnsi="Garamond"/>
          <w:b/>
          <w:sz w:val="28"/>
          <w:szCs w:val="28"/>
        </w:rPr>
        <w:t xml:space="preserve">9.4 </w:t>
      </w:r>
      <w:r w:rsidR="00AD4BF0" w:rsidRPr="00EC75ED">
        <w:rPr>
          <w:rFonts w:ascii="Garamond" w:hAnsi="Garamond"/>
          <w:b/>
          <w:sz w:val="28"/>
          <w:szCs w:val="28"/>
        </w:rPr>
        <w:t xml:space="preserve">Considerazioni </w:t>
      </w:r>
      <w:r w:rsidR="00543EF1">
        <w:rPr>
          <w:rFonts w:ascii="Garamond" w:hAnsi="Garamond"/>
          <w:b/>
          <w:sz w:val="28"/>
          <w:szCs w:val="28"/>
        </w:rPr>
        <w:t>finali</w:t>
      </w:r>
      <w:r w:rsidR="00AD4BF0" w:rsidRPr="00EC75ED">
        <w:rPr>
          <w:rFonts w:ascii="Garamond" w:hAnsi="Garamond"/>
          <w:sz w:val="28"/>
          <w:szCs w:val="28"/>
        </w:rPr>
        <w:t>.</w:t>
      </w:r>
    </w:p>
    <w:p w14:paraId="03BC696E" w14:textId="77777777" w:rsidR="003C2366" w:rsidRPr="001C3346" w:rsidRDefault="003C2366" w:rsidP="003C2366">
      <w:pPr>
        <w:spacing w:after="0" w:line="240" w:lineRule="auto"/>
        <w:ind w:firstLine="709"/>
        <w:jc w:val="both"/>
        <w:rPr>
          <w:rFonts w:ascii="Garamond" w:hAnsi="Garamond"/>
          <w:i/>
          <w:sz w:val="28"/>
          <w:szCs w:val="28"/>
        </w:rPr>
      </w:pPr>
    </w:p>
    <w:p w14:paraId="310601E0" w14:textId="077830A0" w:rsidR="00385D3B" w:rsidRPr="003C2366"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Ebbene, l'analisi condotta mette in evidenza la centralità dell’</w:t>
      </w:r>
      <w:r w:rsidR="0033543C" w:rsidRPr="003C2366">
        <w:rPr>
          <w:rFonts w:ascii="Garamond" w:hAnsi="Garamond"/>
          <w:sz w:val="28"/>
          <w:szCs w:val="28"/>
        </w:rPr>
        <w:t>a</w:t>
      </w:r>
      <w:r w:rsidRPr="003C2366">
        <w:rPr>
          <w:rFonts w:ascii="Garamond" w:hAnsi="Garamond"/>
          <w:sz w:val="28"/>
          <w:szCs w:val="28"/>
        </w:rPr>
        <w:t>rt</w:t>
      </w:r>
      <w:r w:rsidR="0033543C" w:rsidRPr="003C2366">
        <w:rPr>
          <w:rFonts w:ascii="Garamond" w:hAnsi="Garamond"/>
          <w:sz w:val="28"/>
          <w:szCs w:val="28"/>
        </w:rPr>
        <w:t>.</w:t>
      </w:r>
      <w:r w:rsidRPr="003C2366">
        <w:rPr>
          <w:rFonts w:ascii="Garamond" w:hAnsi="Garamond"/>
          <w:sz w:val="28"/>
          <w:szCs w:val="28"/>
        </w:rPr>
        <w:t xml:space="preserve"> 1 del Protocollo n. 1 della </w:t>
      </w:r>
      <w:r w:rsidR="0033543C" w:rsidRPr="003C2366">
        <w:rPr>
          <w:rFonts w:ascii="Garamond" w:hAnsi="Garamond"/>
          <w:sz w:val="28"/>
          <w:szCs w:val="28"/>
        </w:rPr>
        <w:t>CEDU</w:t>
      </w:r>
      <w:r w:rsidRPr="003C2366">
        <w:rPr>
          <w:rFonts w:ascii="Garamond" w:hAnsi="Garamond"/>
          <w:sz w:val="28"/>
          <w:szCs w:val="28"/>
        </w:rPr>
        <w:t xml:space="preserve"> nel garantire un equilibrio tra il perseguimento dell’interesse pubblico e la tutela dei diritti patrimoniali individuali nel contesto delle concessioni demaniali marittime. </w:t>
      </w:r>
    </w:p>
    <w:p w14:paraId="4E82A9F1" w14:textId="77777777" w:rsidR="00385D3B" w:rsidRPr="003C2366"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Sebbene tali concessioni siano caratterizzate da un'intrinseca precarietà giuridica, i concessionari possono vantare legittime aspettative economiche derivanti dagli investimenti significativi effettuati, che richiedono una protezione giuridica adeguata. </w:t>
      </w:r>
    </w:p>
    <w:p w14:paraId="05BE6BE7" w14:textId="67876DD7" w:rsidR="00385D3B" w:rsidRPr="003C2366" w:rsidRDefault="00385D3B" w:rsidP="003C2366">
      <w:pPr>
        <w:spacing w:after="0" w:line="240" w:lineRule="auto"/>
        <w:ind w:firstLine="709"/>
        <w:jc w:val="both"/>
        <w:rPr>
          <w:rFonts w:ascii="Garamond" w:hAnsi="Garamond"/>
          <w:sz w:val="28"/>
          <w:szCs w:val="28"/>
        </w:rPr>
      </w:pPr>
      <w:r w:rsidRPr="003C2366">
        <w:rPr>
          <w:rFonts w:ascii="Garamond" w:hAnsi="Garamond"/>
          <w:sz w:val="28"/>
          <w:szCs w:val="28"/>
        </w:rPr>
        <w:t xml:space="preserve">La giurisprudenza della </w:t>
      </w:r>
      <w:r w:rsidR="0033543C" w:rsidRPr="003C2366">
        <w:rPr>
          <w:rFonts w:ascii="Garamond" w:hAnsi="Garamond"/>
          <w:sz w:val="28"/>
          <w:szCs w:val="28"/>
        </w:rPr>
        <w:t>Corte EDU</w:t>
      </w:r>
      <w:r w:rsidRPr="003C2366">
        <w:rPr>
          <w:rFonts w:ascii="Garamond" w:hAnsi="Garamond"/>
          <w:sz w:val="28"/>
          <w:szCs w:val="28"/>
        </w:rPr>
        <w:t xml:space="preserve"> ha delineato principi fondamentali che costituiscono un quadro interpretativo chiaro per affrontare questioni complesse come il mancato rinnovo delle concessioni, la revoca delle stesse e l’acquisizione delle opere realizzate sui beni demaniali. </w:t>
      </w:r>
    </w:p>
    <w:p w14:paraId="753E3F3A" w14:textId="341BE399" w:rsidR="006C1CDB" w:rsidRPr="003C2366" w:rsidRDefault="00385D3B" w:rsidP="006C1CDB">
      <w:pPr>
        <w:spacing w:after="0" w:line="240" w:lineRule="auto"/>
        <w:ind w:firstLine="709"/>
        <w:jc w:val="both"/>
        <w:rPr>
          <w:rFonts w:ascii="Garamond" w:hAnsi="Garamond"/>
          <w:sz w:val="28"/>
          <w:szCs w:val="28"/>
        </w:rPr>
      </w:pPr>
      <w:r w:rsidRPr="003C2366">
        <w:rPr>
          <w:rFonts w:ascii="Garamond" w:hAnsi="Garamond"/>
          <w:sz w:val="28"/>
          <w:szCs w:val="28"/>
        </w:rPr>
        <w:t xml:space="preserve">I principi di legalità, interesse pubblico e proporzionalità impongono che ogni misura lesiva del diritto di proprietà sia giustificata, necessaria e accompagnata da adeguate forme di compensazione per evitare sacrifici sproporzionati a carico dei concessionari. </w:t>
      </w:r>
    </w:p>
    <w:p w14:paraId="6E66B425" w14:textId="64033A77" w:rsidR="002757FA" w:rsidRDefault="002757FA" w:rsidP="003C2366">
      <w:pPr>
        <w:spacing w:after="0" w:line="240" w:lineRule="auto"/>
        <w:ind w:firstLine="709"/>
        <w:jc w:val="both"/>
        <w:rPr>
          <w:rFonts w:ascii="Garamond" w:hAnsi="Garamond"/>
          <w:sz w:val="28"/>
          <w:szCs w:val="28"/>
        </w:rPr>
      </w:pPr>
    </w:p>
    <w:p w14:paraId="42E4CDD7" w14:textId="77777777" w:rsidR="00F20164" w:rsidRDefault="00F20164" w:rsidP="003C2366">
      <w:pPr>
        <w:spacing w:after="0" w:line="240" w:lineRule="auto"/>
        <w:ind w:firstLine="709"/>
        <w:jc w:val="both"/>
        <w:rPr>
          <w:rFonts w:ascii="Garamond" w:hAnsi="Garamond"/>
          <w:sz w:val="28"/>
          <w:szCs w:val="28"/>
        </w:rPr>
      </w:pPr>
    </w:p>
    <w:p w14:paraId="0E3CA14A" w14:textId="76317161" w:rsidR="00F20164" w:rsidRDefault="00F20164" w:rsidP="003C2366">
      <w:pPr>
        <w:spacing w:after="0" w:line="240" w:lineRule="auto"/>
        <w:ind w:firstLine="709"/>
        <w:jc w:val="both"/>
        <w:rPr>
          <w:rFonts w:ascii="Garamond" w:hAnsi="Garamond"/>
          <w:sz w:val="28"/>
          <w:szCs w:val="28"/>
        </w:rPr>
      </w:pPr>
      <w:r>
        <w:rPr>
          <w:rFonts w:ascii="Garamond" w:hAnsi="Garamond"/>
          <w:sz w:val="28"/>
          <w:szCs w:val="28"/>
        </w:rPr>
        <w:t>Dott. Brandimarte Fabio</w:t>
      </w:r>
    </w:p>
    <w:p w14:paraId="304FF4F9" w14:textId="5661AF8A" w:rsidR="00F20164" w:rsidRDefault="00F20164" w:rsidP="003C2366">
      <w:pPr>
        <w:spacing w:after="0" w:line="240" w:lineRule="auto"/>
        <w:ind w:firstLine="709"/>
        <w:jc w:val="both"/>
        <w:rPr>
          <w:rFonts w:ascii="Garamond" w:hAnsi="Garamond"/>
          <w:sz w:val="28"/>
          <w:szCs w:val="28"/>
        </w:rPr>
      </w:pPr>
      <w:r>
        <w:rPr>
          <w:rFonts w:ascii="Garamond" w:hAnsi="Garamond"/>
          <w:sz w:val="28"/>
          <w:szCs w:val="28"/>
        </w:rPr>
        <w:t>Dott. Capone Alberto</w:t>
      </w:r>
    </w:p>
    <w:p w14:paraId="50ACABFE" w14:textId="22F8E5ED" w:rsidR="00F20164" w:rsidRDefault="00F20164" w:rsidP="003C2366">
      <w:pPr>
        <w:spacing w:after="0" w:line="240" w:lineRule="auto"/>
        <w:ind w:firstLine="709"/>
        <w:jc w:val="both"/>
        <w:rPr>
          <w:rFonts w:ascii="Garamond" w:hAnsi="Garamond"/>
          <w:sz w:val="28"/>
          <w:szCs w:val="28"/>
        </w:rPr>
      </w:pPr>
      <w:r>
        <w:rPr>
          <w:rFonts w:ascii="Garamond" w:hAnsi="Garamond"/>
          <w:sz w:val="28"/>
          <w:szCs w:val="28"/>
        </w:rPr>
        <w:t>Dott.ssa Cassiodoro Miriam</w:t>
      </w:r>
    </w:p>
    <w:p w14:paraId="2D638711" w14:textId="5DF29132" w:rsidR="00F20164" w:rsidRDefault="00F20164" w:rsidP="003C2366">
      <w:pPr>
        <w:spacing w:after="0" w:line="240" w:lineRule="auto"/>
        <w:ind w:firstLine="709"/>
        <w:jc w:val="both"/>
        <w:rPr>
          <w:rFonts w:ascii="Garamond" w:hAnsi="Garamond"/>
          <w:sz w:val="28"/>
          <w:szCs w:val="28"/>
        </w:rPr>
      </w:pPr>
      <w:r>
        <w:rPr>
          <w:rFonts w:ascii="Garamond" w:hAnsi="Garamond"/>
          <w:sz w:val="28"/>
          <w:szCs w:val="28"/>
        </w:rPr>
        <w:lastRenderedPageBreak/>
        <w:t>Dott.ssa Falvo Roberta</w:t>
      </w:r>
    </w:p>
    <w:p w14:paraId="53C608FC" w14:textId="79C0AB5C" w:rsidR="00F20164" w:rsidRDefault="00F20164" w:rsidP="003C2366">
      <w:pPr>
        <w:spacing w:after="0" w:line="240" w:lineRule="auto"/>
        <w:ind w:firstLine="709"/>
        <w:jc w:val="both"/>
        <w:rPr>
          <w:rFonts w:ascii="Garamond" w:hAnsi="Garamond"/>
          <w:sz w:val="28"/>
          <w:szCs w:val="28"/>
        </w:rPr>
      </w:pPr>
      <w:r>
        <w:rPr>
          <w:rFonts w:ascii="Garamond" w:hAnsi="Garamond"/>
          <w:sz w:val="28"/>
          <w:szCs w:val="28"/>
        </w:rPr>
        <w:t>Dott. Farci Pietro</w:t>
      </w:r>
    </w:p>
    <w:p w14:paraId="0BB5A699" w14:textId="7E721DC7" w:rsidR="00F20164" w:rsidRDefault="00F20164" w:rsidP="003C2366">
      <w:pPr>
        <w:spacing w:after="0" w:line="240" w:lineRule="auto"/>
        <w:ind w:firstLine="709"/>
        <w:jc w:val="both"/>
        <w:rPr>
          <w:rFonts w:ascii="Garamond" w:hAnsi="Garamond"/>
          <w:sz w:val="28"/>
          <w:szCs w:val="28"/>
        </w:rPr>
      </w:pPr>
      <w:r>
        <w:rPr>
          <w:rFonts w:ascii="Garamond" w:hAnsi="Garamond"/>
          <w:sz w:val="28"/>
          <w:szCs w:val="28"/>
        </w:rPr>
        <w:t>Dott.ssa Garzo Grazia</w:t>
      </w:r>
    </w:p>
    <w:p w14:paraId="3DE56958" w14:textId="6DB50CDF" w:rsidR="00F20164" w:rsidRDefault="00F20164" w:rsidP="003C2366">
      <w:pPr>
        <w:spacing w:after="0" w:line="240" w:lineRule="auto"/>
        <w:ind w:firstLine="709"/>
        <w:jc w:val="both"/>
        <w:rPr>
          <w:rFonts w:ascii="Garamond" w:hAnsi="Garamond"/>
          <w:sz w:val="28"/>
          <w:szCs w:val="28"/>
        </w:rPr>
      </w:pPr>
      <w:r>
        <w:rPr>
          <w:rFonts w:ascii="Garamond" w:hAnsi="Garamond"/>
          <w:sz w:val="28"/>
          <w:szCs w:val="28"/>
        </w:rPr>
        <w:t>Dott. Quagliarella Riccardo*</w:t>
      </w:r>
    </w:p>
    <w:p w14:paraId="3C8A0E04" w14:textId="77777777" w:rsidR="00F20164" w:rsidRDefault="00F20164" w:rsidP="003C2366">
      <w:pPr>
        <w:spacing w:after="0" w:line="240" w:lineRule="auto"/>
        <w:ind w:firstLine="709"/>
        <w:jc w:val="both"/>
        <w:rPr>
          <w:rFonts w:ascii="Garamond" w:hAnsi="Garamond"/>
          <w:sz w:val="28"/>
          <w:szCs w:val="28"/>
        </w:rPr>
      </w:pPr>
    </w:p>
    <w:p w14:paraId="1AFB74EC" w14:textId="77777777" w:rsidR="00F20164" w:rsidRDefault="00F20164" w:rsidP="00F20164">
      <w:pPr>
        <w:spacing w:after="0" w:line="240" w:lineRule="auto"/>
        <w:jc w:val="both"/>
        <w:rPr>
          <w:rFonts w:ascii="Garamond" w:hAnsi="Garamond"/>
          <w:sz w:val="28"/>
          <w:szCs w:val="28"/>
        </w:rPr>
      </w:pPr>
    </w:p>
    <w:p w14:paraId="54F5D1D9" w14:textId="430447A4" w:rsidR="00F20164" w:rsidRPr="00F20164" w:rsidRDefault="00F20164" w:rsidP="00F20164">
      <w:pPr>
        <w:spacing w:after="0" w:line="240" w:lineRule="auto"/>
        <w:jc w:val="both"/>
        <w:rPr>
          <w:rFonts w:ascii="Garamond" w:hAnsi="Garamond"/>
          <w:sz w:val="24"/>
          <w:szCs w:val="24"/>
        </w:rPr>
      </w:pPr>
      <w:r>
        <w:rPr>
          <w:rFonts w:ascii="Garamond" w:hAnsi="Garamond"/>
          <w:sz w:val="28"/>
          <w:szCs w:val="28"/>
        </w:rPr>
        <w:t>*</w:t>
      </w:r>
      <w:r w:rsidRPr="00F20164">
        <w:rPr>
          <w:rFonts w:ascii="Garamond" w:hAnsi="Garamond"/>
          <w:sz w:val="24"/>
          <w:szCs w:val="24"/>
        </w:rPr>
        <w:t>Le opinioni sono espresse a titolo personale e non sono riconducibili al Ministero degli affari esteri e della cooperazione internazionale</w:t>
      </w:r>
      <w:r>
        <w:rPr>
          <w:rFonts w:ascii="Garamond" w:hAnsi="Garamond"/>
          <w:sz w:val="24"/>
          <w:szCs w:val="24"/>
        </w:rPr>
        <w:t xml:space="preserve"> - art. 6 circolare MAECI n. 1 del 16/01/2023</w:t>
      </w:r>
      <w:r w:rsidRPr="00F20164">
        <w:rPr>
          <w:rFonts w:ascii="Garamond" w:hAnsi="Garamond"/>
          <w:sz w:val="24"/>
          <w:szCs w:val="24"/>
        </w:rPr>
        <w:t>.</w:t>
      </w:r>
    </w:p>
    <w:sectPr w:rsidR="00F20164" w:rsidRPr="00F20164">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B346E" w14:textId="77777777" w:rsidR="00AA7445" w:rsidRDefault="00AA7445" w:rsidP="003A0B7B">
      <w:pPr>
        <w:spacing w:after="0" w:line="240" w:lineRule="auto"/>
      </w:pPr>
      <w:r>
        <w:separator/>
      </w:r>
    </w:p>
  </w:endnote>
  <w:endnote w:type="continuationSeparator" w:id="0">
    <w:p w14:paraId="48102547" w14:textId="77777777" w:rsidR="00AA7445" w:rsidRDefault="00AA7445" w:rsidP="003A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048106"/>
      <w:docPartObj>
        <w:docPartGallery w:val="Page Numbers (Bottom of Page)"/>
        <w:docPartUnique/>
      </w:docPartObj>
    </w:sdtPr>
    <w:sdtContent>
      <w:p w14:paraId="42BA384D" w14:textId="493FECBA" w:rsidR="00AD6442" w:rsidRDefault="00AD6442">
        <w:pPr>
          <w:pStyle w:val="Pidipagina"/>
          <w:jc w:val="center"/>
        </w:pPr>
        <w:r>
          <w:fldChar w:fldCharType="begin"/>
        </w:r>
        <w:r>
          <w:instrText>PAGE   \* MERGEFORMAT</w:instrText>
        </w:r>
        <w:r>
          <w:fldChar w:fldCharType="separate"/>
        </w:r>
        <w:r w:rsidR="009076C6">
          <w:rPr>
            <w:noProof/>
          </w:rPr>
          <w:t>11</w:t>
        </w:r>
        <w:r>
          <w:fldChar w:fldCharType="end"/>
        </w:r>
      </w:p>
    </w:sdtContent>
  </w:sdt>
  <w:p w14:paraId="7D0EADB9" w14:textId="77777777" w:rsidR="00AD6442" w:rsidRDefault="00AD64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62258" w14:textId="77777777" w:rsidR="00AA7445" w:rsidRDefault="00AA7445" w:rsidP="003A0B7B">
      <w:pPr>
        <w:spacing w:after="0" w:line="240" w:lineRule="auto"/>
      </w:pPr>
      <w:r>
        <w:separator/>
      </w:r>
    </w:p>
  </w:footnote>
  <w:footnote w:type="continuationSeparator" w:id="0">
    <w:p w14:paraId="63F54513" w14:textId="77777777" w:rsidR="00AA7445" w:rsidRDefault="00AA7445" w:rsidP="003A0B7B">
      <w:pPr>
        <w:spacing w:after="0" w:line="240" w:lineRule="auto"/>
      </w:pPr>
      <w:r>
        <w:continuationSeparator/>
      </w:r>
    </w:p>
  </w:footnote>
  <w:footnote w:id="1">
    <w:p w14:paraId="296F2E03" w14:textId="38211831" w:rsidR="00FD2E6B" w:rsidRPr="00FD2E6B" w:rsidRDefault="00FD2E6B">
      <w:pPr>
        <w:pStyle w:val="Testonotaapidipagina"/>
        <w:rPr>
          <w:rFonts w:ascii="Garamond" w:hAnsi="Garamond"/>
        </w:rPr>
      </w:pPr>
      <w:r w:rsidRPr="00FD2E6B">
        <w:rPr>
          <w:rStyle w:val="Rimandonotaapidipagina"/>
          <w:rFonts w:ascii="Garamond" w:hAnsi="Garamond"/>
        </w:rPr>
        <w:footnoteRef/>
      </w:r>
      <w:r w:rsidRPr="00FD2E6B">
        <w:rPr>
          <w:rFonts w:ascii="Garamond" w:hAnsi="Garamond"/>
        </w:rPr>
        <w:t xml:space="preserve"> CGUE 14/07/2016, in c</w:t>
      </w:r>
      <w:r>
        <w:rPr>
          <w:rFonts w:ascii="Garamond" w:hAnsi="Garamond"/>
        </w:rPr>
        <w:t xml:space="preserve">ause riunite c-458/14 e c-67/15; </w:t>
      </w:r>
      <w:r w:rsidRPr="00FD2E6B">
        <w:rPr>
          <w:rFonts w:ascii="Garamond" w:hAnsi="Garamond"/>
        </w:rPr>
        <w:t>https://www.ildirittoamministrativo.it/Il-litorale-italiano-ed-il-mercato-europeo-la-sentenza-della-Corte-di-Giustizia-Sezione-Quinta-14-luglio-2016-in-cause-riunite-c-458-14-e-c-67-15-/stu64#b13</w:t>
      </w:r>
    </w:p>
  </w:footnote>
  <w:footnote w:id="2">
    <w:p w14:paraId="6A9C4048" w14:textId="44BE3973" w:rsidR="00AD6442" w:rsidRPr="00FD2E6B" w:rsidRDefault="00AD6442" w:rsidP="009C3984">
      <w:pPr>
        <w:pStyle w:val="Testonotaapidipagina"/>
        <w:jc w:val="both"/>
        <w:rPr>
          <w:rFonts w:ascii="Garamond" w:hAnsi="Garamond" w:cs="Times New Roman"/>
        </w:rPr>
      </w:pPr>
      <w:r w:rsidRPr="00FD2E6B">
        <w:rPr>
          <w:rStyle w:val="Rimandonotaapidipagina"/>
          <w:rFonts w:ascii="Garamond" w:hAnsi="Garamond" w:cs="Times New Roman"/>
        </w:rPr>
        <w:footnoteRef/>
      </w:r>
      <w:r w:rsidRPr="00FD2E6B">
        <w:rPr>
          <w:rFonts w:ascii="Garamond" w:hAnsi="Garamond" w:cs="Times New Roman"/>
        </w:rPr>
        <w:t xml:space="preserve"> All. 1: direttiva 2006/123/CE.</w:t>
      </w:r>
    </w:p>
  </w:footnote>
  <w:footnote w:id="3">
    <w:p w14:paraId="652A57AD" w14:textId="77777777" w:rsidR="00AD6442" w:rsidRPr="00D835B0" w:rsidRDefault="00AD6442" w:rsidP="00AD6442">
      <w:pPr>
        <w:pStyle w:val="Testonotaapidipagina"/>
        <w:jc w:val="both"/>
        <w:rPr>
          <w:rFonts w:ascii="Garamond" w:hAnsi="Garamond" w:cs="Times New Roman"/>
        </w:rPr>
      </w:pPr>
      <w:r w:rsidRPr="00D835B0">
        <w:rPr>
          <w:rStyle w:val="Rimandonotaapidipagina"/>
          <w:rFonts w:ascii="Garamond" w:hAnsi="Garamond" w:cs="Times New Roman"/>
        </w:rPr>
        <w:footnoteRef/>
      </w:r>
      <w:r w:rsidRPr="00D835B0">
        <w:rPr>
          <w:rFonts w:ascii="Garamond" w:hAnsi="Garamond" w:cs="Times New Roman"/>
        </w:rPr>
        <w:t xml:space="preserve"> Articolo 12 Direttiva Bolkestein - Selezione tra diversi candidati</w:t>
      </w:r>
    </w:p>
    <w:p w14:paraId="24728655" w14:textId="77777777" w:rsidR="00AD6442" w:rsidRPr="00D835B0" w:rsidRDefault="00AD6442" w:rsidP="00AD6442">
      <w:pPr>
        <w:pStyle w:val="Testonotaapidipagina"/>
        <w:jc w:val="both"/>
        <w:rPr>
          <w:rFonts w:ascii="Garamond" w:hAnsi="Garamond" w:cs="Times New Roman"/>
        </w:rPr>
      </w:pPr>
      <w:r w:rsidRPr="00D835B0">
        <w:rPr>
          <w:rFonts w:ascii="Garamond" w:hAnsi="Garamond" w:cs="Times New Roman"/>
        </w:rPr>
        <w:t>1.   Qualora il numero di autorizzazioni disponibili per una determinata attività sia limitato per via della scarsità delle risorse naturali o delle capacità tecniche utilizzabili, gli Stati membri applicano una procedura di selezione tra i candidati potenziali, che presenti garanzie di imparzialità e di trasparenza e preveda, in particolare, un’adeguata pubblicità dell’avvio della procedura e del suo svolgimento e completamento.</w:t>
      </w:r>
    </w:p>
    <w:p w14:paraId="5898265F" w14:textId="77777777" w:rsidR="00AD6442" w:rsidRPr="00D835B0" w:rsidRDefault="00AD6442" w:rsidP="00AD6442">
      <w:pPr>
        <w:pStyle w:val="Testonotaapidipagina"/>
        <w:jc w:val="both"/>
        <w:rPr>
          <w:rFonts w:ascii="Garamond" w:hAnsi="Garamond" w:cs="Times New Roman"/>
        </w:rPr>
      </w:pPr>
      <w:r w:rsidRPr="00D835B0">
        <w:rPr>
          <w:rFonts w:ascii="Garamond" w:hAnsi="Garamond" w:cs="Times New Roman"/>
        </w:rPr>
        <w:t>2.   Nei casi di cui al paragrafo 1 l’autorizzazione è rilasciata per una durata limitata adeguata e non può prevedere la procedura di rinnovo automatico né accordare altri vantaggi al prestatore uscente o a persone che con tale prestatore abbiano particolari legami.</w:t>
      </w:r>
    </w:p>
    <w:p w14:paraId="6004ECE4" w14:textId="77777777" w:rsidR="00AD6442" w:rsidRPr="00D835B0" w:rsidRDefault="00AD6442" w:rsidP="00AD6442">
      <w:pPr>
        <w:pStyle w:val="Testonotaapidipagina"/>
        <w:jc w:val="both"/>
        <w:rPr>
          <w:rFonts w:ascii="Garamond" w:hAnsi="Garamond" w:cs="Times New Roman"/>
        </w:rPr>
      </w:pPr>
      <w:r w:rsidRPr="00D835B0">
        <w:rPr>
          <w:rFonts w:ascii="Garamond" w:hAnsi="Garamond" w:cs="Times New Roman"/>
        </w:rPr>
        <w:t>3.   Fatti salvi il paragrafo 1 e gli articoli 9 e 10, gli Stati membri possono tener conto, nello stabilire le regole della procedura di selezione, di considerazioni di salute pubblica, di obiettivi di politica sociale, della salute e della sicurezza dei lavoratori dipendenti ed autonomi, della protezione dell’ambiente, della salvaguardia del patrimonio culturale e di altri motivi imperativi d’interesse generale conformi al diritto comunitario.</w:t>
      </w:r>
    </w:p>
  </w:footnote>
  <w:footnote w:id="4">
    <w:p w14:paraId="5F5CB651" w14:textId="5BFCF4B6" w:rsidR="002666AB" w:rsidRPr="00F20164" w:rsidRDefault="002666AB">
      <w:pPr>
        <w:pStyle w:val="Testonotaapidipagina"/>
        <w:rPr>
          <w:lang w:val="en-US"/>
        </w:rPr>
      </w:pPr>
      <w:r>
        <w:rPr>
          <w:rStyle w:val="Rimandonotaapidipagina"/>
        </w:rPr>
        <w:footnoteRef/>
      </w:r>
      <w:r w:rsidRPr="00F20164">
        <w:rPr>
          <w:lang w:val="en-US"/>
        </w:rPr>
        <w:t xml:space="preserve"> </w:t>
      </w:r>
      <w:r w:rsidR="009076C6" w:rsidRPr="00F20164">
        <w:rPr>
          <w:rFonts w:ascii="Garamond" w:hAnsi="Garamond"/>
          <w:lang w:val="en-US"/>
        </w:rPr>
        <w:t>All. 2: CGUE 14/07/</w:t>
      </w:r>
      <w:r w:rsidRPr="00F20164">
        <w:rPr>
          <w:rFonts w:ascii="Garamond" w:hAnsi="Garamond"/>
          <w:lang w:val="en-US"/>
        </w:rPr>
        <w:t>2016 n. C 458/14 “Promoimpresa”.</w:t>
      </w:r>
    </w:p>
  </w:footnote>
  <w:footnote w:id="5">
    <w:p w14:paraId="2B362425" w14:textId="68F08C23" w:rsidR="003E6B57" w:rsidRDefault="00AD6442" w:rsidP="00AD6442">
      <w:pPr>
        <w:pStyle w:val="Testonotaapidipagina"/>
        <w:jc w:val="both"/>
        <w:rPr>
          <w:rFonts w:ascii="Garamond" w:hAnsi="Garamond" w:cs="Times New Roman"/>
        </w:rPr>
      </w:pPr>
      <w:r w:rsidRPr="00D835B0">
        <w:rPr>
          <w:rStyle w:val="Rimandonotaapidipagina"/>
          <w:rFonts w:ascii="Garamond" w:hAnsi="Garamond" w:cs="Times New Roman"/>
        </w:rPr>
        <w:footnoteRef/>
      </w:r>
      <w:r w:rsidRPr="00F20164">
        <w:rPr>
          <w:rFonts w:ascii="Garamond" w:hAnsi="Garamond" w:cs="Times New Roman"/>
          <w:lang w:val="en-US"/>
        </w:rPr>
        <w:t xml:space="preserve"> </w:t>
      </w:r>
      <w:r w:rsidR="003E6B57" w:rsidRPr="00F20164">
        <w:rPr>
          <w:rFonts w:ascii="Garamond" w:hAnsi="Garamond" w:cs="Times New Roman"/>
          <w:lang w:val="en-US"/>
        </w:rPr>
        <w:t xml:space="preserve">All. 3: Cons. </w:t>
      </w:r>
      <w:r w:rsidR="003E6B57" w:rsidRPr="003E6B57">
        <w:rPr>
          <w:rFonts w:ascii="Garamond" w:hAnsi="Garamond" w:cs="Times New Roman"/>
        </w:rPr>
        <w:t>Stato, Ad. pl., sentenze nn. 17 e 18 del 09/11/2021.</w:t>
      </w:r>
    </w:p>
    <w:p w14:paraId="3800D3A0" w14:textId="7084A18A" w:rsidR="00AD6442" w:rsidRPr="00D835B0" w:rsidRDefault="00AD6442" w:rsidP="00AD6442">
      <w:pPr>
        <w:pStyle w:val="Testonotaapidipagina"/>
        <w:jc w:val="both"/>
        <w:rPr>
          <w:rFonts w:ascii="Garamond" w:hAnsi="Garamond" w:cs="Times New Roman"/>
        </w:rPr>
      </w:pPr>
      <w:r w:rsidRPr="00D835B0">
        <w:rPr>
          <w:rFonts w:ascii="Garamond" w:hAnsi="Garamond" w:cs="Times New Roman"/>
        </w:rPr>
        <w:t>I principi di diritto sono i seguenti:</w:t>
      </w:r>
    </w:p>
    <w:p w14:paraId="12C37114" w14:textId="77777777" w:rsidR="00AD6442" w:rsidRPr="00D835B0" w:rsidRDefault="00AD6442" w:rsidP="00AD6442">
      <w:pPr>
        <w:pStyle w:val="Testonotaapidipagina"/>
        <w:jc w:val="both"/>
        <w:rPr>
          <w:rFonts w:ascii="Garamond" w:hAnsi="Garamond" w:cs="Times New Roman"/>
        </w:rPr>
      </w:pPr>
      <w:r w:rsidRPr="00D835B0">
        <w:rPr>
          <w:rFonts w:ascii="Garamond" w:hAnsi="Garamond" w:cs="Times New Roman"/>
        </w:rPr>
        <w:t>- “Le norme legislative nazionali che hanno disposto (e che in futuro dovessero ancora disporre) la proroga automatica delle concessioni demaniali marittime per finalità turistico-ricreative - compresa la moratoria introdotta in correlazione con l'emergenza epidemiologica da Covid-19 dall'art. 182, comma 2, D.L. n. 34 del 2020, convertito in L. n. 77 del 2020 - sono in contrasto con il diritto eurounitario, segnatamente con l'art. 49 [n.d.r. e con l’art. 56 sulla libera circolazione dei servizi] TFUE e con l'art. 12 della direttiva 2006/123/CE. Tali norme, pertanto, non devono essere applicate né dai giudici né dalla pubblica amministrazione”.</w:t>
      </w:r>
    </w:p>
    <w:p w14:paraId="6ED5B879" w14:textId="77777777" w:rsidR="00AD6442" w:rsidRPr="00D835B0" w:rsidRDefault="00AD6442" w:rsidP="00AD6442">
      <w:pPr>
        <w:pStyle w:val="Testonotaapidipagina"/>
        <w:jc w:val="both"/>
        <w:rPr>
          <w:rFonts w:ascii="Garamond" w:hAnsi="Garamond" w:cs="Times New Roman"/>
        </w:rPr>
      </w:pPr>
      <w:r w:rsidRPr="00D835B0">
        <w:rPr>
          <w:rFonts w:ascii="Garamond" w:hAnsi="Garamond" w:cs="Times New Roman"/>
        </w:rPr>
        <w:t>- “Ancorché siano intervenuti atti di proroga rilasciati dalla P.A. (e anche nei casi in cui tali siano stati rilasciati in seguito a un giudicato favorevole o abbiamo comunque formato oggetto di un giudicato favorevole) deve escludersi la sussistenza di un diritto alla prosecuzione del rapporto in capo gli attuali concessionari. Non vengono al riguardo in rilievo i poteri di autotutela decisoria della P.A. in quanto l'effetto di cui si discute è direttamente disposto dalla legge, che ha nella sostanza legificato i provvedimenti di concessione prorogandone i termini di durata. La non applicazione della legge implica, quindi, che gli effetti da essa prodotti sulle concessioni già rilasciate debbano parimenti ritenersi tamquam non esset, senza che rilevi la presenza o meno di un atto dichiarativo dell'effetto legale di proroga adottato dalla P.A. o l'esistenza di un giudicato. Venendo in rilievo un rapporto di durata, infatti, anche il giudicato è comunque esposto all' incidenza delle sopravvenienze e non attribuisce un diritto alla continuazione del rapporto”.</w:t>
      </w:r>
    </w:p>
    <w:p w14:paraId="1812DA3E" w14:textId="77777777" w:rsidR="00AD6442" w:rsidRPr="00D835B0" w:rsidRDefault="00AD6442" w:rsidP="00AD6442">
      <w:pPr>
        <w:pStyle w:val="Testonotaapidipagina"/>
        <w:jc w:val="both"/>
        <w:rPr>
          <w:rFonts w:ascii="Garamond" w:hAnsi="Garamond" w:cs="Times New Roman"/>
        </w:rPr>
      </w:pPr>
      <w:r w:rsidRPr="00D835B0">
        <w:rPr>
          <w:rFonts w:ascii="Garamond" w:hAnsi="Garamond" w:cs="Times New Roman"/>
        </w:rPr>
        <w:t>- “Al fine di evitare il significativo impatto socio-economico che deriverebbe da una decadenza immediata e generalizzata di tutte le concessioni in essere, di tener conto dei tempi tecnici perché le amministrazioni predispongano le procedure di gara richieste e, altresì, nell'auspicio che il legislatore intervenga a riordinare la materia in conformità ai principi di derivazione europea, le concessioni demaniali per finalità turistico-ricreative già in essere continuano ad essere efficaci sino al 31 dicembre 2023, fermo restando che, oltre tale data, anche in assenza di una disciplina legislativa, esse cesseranno di produrre effetti, nonostante qualsiasi eventuale ulteriore proroga legislativa che dovesse nel frattempo intervenire, la quale andrebbe considerata senza effetto perché in contrasto con le norme dell'ordinamento dell'U.E”.</w:t>
      </w:r>
    </w:p>
    <w:p w14:paraId="264B3FBC" w14:textId="77777777" w:rsidR="00AD6442" w:rsidRPr="00D835B0" w:rsidRDefault="00AD6442" w:rsidP="00AD6442">
      <w:pPr>
        <w:pStyle w:val="Testonotaapidipagina"/>
        <w:jc w:val="both"/>
        <w:rPr>
          <w:rFonts w:ascii="Garamond" w:hAnsi="Garamond" w:cs="Times New Roman"/>
        </w:rPr>
      </w:pPr>
      <w:r w:rsidRPr="00D835B0">
        <w:rPr>
          <w:rFonts w:ascii="Garamond" w:hAnsi="Garamond" w:cs="Times New Roman"/>
        </w:rPr>
        <w:t xml:space="preserve">Inoltre, l’Ad. pl. ha chiarito che l’art. 49 TFUE, secondo la giurisprudenza della CGUE impone il rispetto dei principi di non discriminazione in base alla nazionalità e di parità di trattamento, nonché l’obbligo di trasparenza che ne deriva, laddove vi sia un “interesse transfrontaliero certo”. Cfr. sentenza 7 dicembre 2000, causa C-324/98, </w:t>
      </w:r>
      <w:proofErr w:type="spellStart"/>
      <w:r w:rsidRPr="00D835B0">
        <w:rPr>
          <w:rFonts w:ascii="Garamond" w:hAnsi="Garamond" w:cs="Times New Roman"/>
        </w:rPr>
        <w:t>Telaustria</w:t>
      </w:r>
      <w:proofErr w:type="spellEnd"/>
      <w:r w:rsidRPr="00D835B0">
        <w:rPr>
          <w:rFonts w:ascii="Garamond" w:hAnsi="Garamond" w:cs="Times New Roman"/>
        </w:rPr>
        <w:t xml:space="preserve"> e </w:t>
      </w:r>
      <w:proofErr w:type="spellStart"/>
      <w:r w:rsidRPr="00D835B0">
        <w:rPr>
          <w:rFonts w:ascii="Garamond" w:hAnsi="Garamond" w:cs="Times New Roman"/>
        </w:rPr>
        <w:t>Telefonadress</w:t>
      </w:r>
      <w:proofErr w:type="spellEnd"/>
      <w:r w:rsidRPr="00D835B0">
        <w:rPr>
          <w:rFonts w:ascii="Garamond" w:hAnsi="Garamond" w:cs="Times New Roman"/>
        </w:rPr>
        <w:t>.</w:t>
      </w:r>
    </w:p>
  </w:footnote>
  <w:footnote w:id="6">
    <w:p w14:paraId="4D5B893F" w14:textId="2CA67A3C" w:rsidR="003E6B57" w:rsidRDefault="00AD6442" w:rsidP="00AD6442">
      <w:pPr>
        <w:pStyle w:val="Testonotaapidipagina"/>
        <w:jc w:val="both"/>
        <w:rPr>
          <w:rFonts w:ascii="Garamond" w:hAnsi="Garamond" w:cs="Times New Roman"/>
        </w:rPr>
      </w:pPr>
      <w:r w:rsidRPr="00D835B0">
        <w:rPr>
          <w:rStyle w:val="Rimandonotaapidipagina"/>
          <w:rFonts w:ascii="Garamond" w:hAnsi="Garamond" w:cs="Times New Roman"/>
        </w:rPr>
        <w:footnoteRef/>
      </w:r>
      <w:r w:rsidRPr="00D835B0">
        <w:rPr>
          <w:rFonts w:ascii="Garamond" w:hAnsi="Garamond" w:cs="Times New Roman"/>
        </w:rPr>
        <w:t xml:space="preserve"> </w:t>
      </w:r>
      <w:r w:rsidR="003E6B57" w:rsidRPr="003E6B57">
        <w:rPr>
          <w:rFonts w:ascii="Garamond" w:hAnsi="Garamond" w:cs="Times New Roman"/>
        </w:rPr>
        <w:t>All. 4: Cass. S.U. 32559/2023.</w:t>
      </w:r>
    </w:p>
    <w:p w14:paraId="2FD8E684" w14:textId="7EB6FED7" w:rsidR="00AD6442" w:rsidRPr="00D835B0" w:rsidRDefault="00AD6442" w:rsidP="00AD6442">
      <w:pPr>
        <w:pStyle w:val="Testonotaapidipagina"/>
        <w:jc w:val="both"/>
        <w:rPr>
          <w:rFonts w:ascii="Garamond" w:hAnsi="Garamond" w:cs="Times New Roman"/>
        </w:rPr>
      </w:pPr>
      <w:r w:rsidRPr="00D835B0">
        <w:rPr>
          <w:rFonts w:ascii="Garamond" w:hAnsi="Garamond" w:cs="Times New Roman"/>
        </w:rPr>
        <w:t>Occorre precisare che le S.U. Cassazione con la sentenza n. 32559 del 2023 – contrariamente all’orientamento della Corte costituzionale (</w:t>
      </w:r>
      <w:r w:rsidRPr="00D835B0">
        <w:rPr>
          <w:rFonts w:ascii="Garamond" w:hAnsi="Garamond" w:cs="Times New Roman"/>
          <w:i/>
        </w:rPr>
        <w:t>cfr</w:t>
      </w:r>
      <w:r w:rsidRPr="00D835B0">
        <w:rPr>
          <w:rFonts w:ascii="Garamond" w:hAnsi="Garamond" w:cs="Times New Roman"/>
        </w:rPr>
        <w:t>. Corte cost. 18/01/2018, n. 6) e della CGUE (</w:t>
      </w:r>
      <w:r w:rsidRPr="00D835B0">
        <w:rPr>
          <w:rFonts w:ascii="Garamond" w:hAnsi="Garamond" w:cs="Times New Roman"/>
          <w:i/>
        </w:rPr>
        <w:t>cfr</w:t>
      </w:r>
      <w:r w:rsidRPr="00D835B0">
        <w:rPr>
          <w:rFonts w:ascii="Garamond" w:hAnsi="Garamond" w:cs="Times New Roman"/>
        </w:rPr>
        <w:t xml:space="preserve">. CGUE Grande camera, 21/12/2021, C-497/20) che limitano il sindacato delle S.U. Cassazione ai soli difetti di giurisdizione assoluto e relativo – hanno cassato con rinvio al C.d.S. </w:t>
      </w:r>
      <w:r w:rsidRPr="00D835B0">
        <w:rPr>
          <w:rFonts w:ascii="Garamond" w:hAnsi="Garamond" w:cs="Times New Roman"/>
          <w:i/>
        </w:rPr>
        <w:t>ex</w:t>
      </w:r>
      <w:r w:rsidRPr="00D835B0">
        <w:rPr>
          <w:rFonts w:ascii="Garamond" w:hAnsi="Garamond" w:cs="Times New Roman"/>
        </w:rPr>
        <w:t xml:space="preserve"> art. 111, u.c. Cost., per diniego di giurisdizione, la sentenza del Cons. Stato n. 18/2021.</w:t>
      </w:r>
    </w:p>
    <w:p w14:paraId="2F1019EA" w14:textId="77777777" w:rsidR="00AD6442" w:rsidRPr="00D835B0" w:rsidRDefault="00AD6442" w:rsidP="00AD6442">
      <w:pPr>
        <w:pStyle w:val="Testonotaapidipagina"/>
        <w:jc w:val="both"/>
        <w:rPr>
          <w:rFonts w:ascii="Garamond" w:hAnsi="Garamond" w:cs="Times New Roman"/>
        </w:rPr>
      </w:pPr>
      <w:r w:rsidRPr="00D835B0">
        <w:rPr>
          <w:rFonts w:ascii="Garamond" w:hAnsi="Garamond" w:cs="Times New Roman"/>
        </w:rPr>
        <w:t>Senonché, già T.A.R. Lazio Roma, 15/12/2023, n. 19051 ha avuto modo di chiarire, da un lato che l’annullamento della sentenza era dovuto, appunto, a profili di rito non inficianti il merito, dall’altro che i principi di diritto rimanevano validi anche in quanto espressi dalla sentenza gemella (C.d.S. Ad. pl. n. 17/2021) passata in giudicato.</w:t>
      </w:r>
    </w:p>
    <w:p w14:paraId="17BEF62F" w14:textId="77777777" w:rsidR="00AD6442" w:rsidRPr="00D835B0" w:rsidRDefault="00AD6442" w:rsidP="00AD6442">
      <w:pPr>
        <w:pStyle w:val="Testonotaapidipagina"/>
        <w:jc w:val="both"/>
        <w:rPr>
          <w:rFonts w:ascii="Garamond" w:hAnsi="Garamond" w:cs="Times New Roman"/>
        </w:rPr>
      </w:pPr>
      <w:r w:rsidRPr="00D835B0">
        <w:rPr>
          <w:rFonts w:ascii="Garamond" w:hAnsi="Garamond" w:cs="Times New Roman"/>
        </w:rPr>
        <w:t>Il Consiglio di Stato ha, poi, ribadito i principi in questione nelle sentenze nn. 3940, 4479, 4480, 4481 e 6884 del 2024.</w:t>
      </w:r>
    </w:p>
  </w:footnote>
  <w:footnote w:id="7">
    <w:p w14:paraId="064C8E33" w14:textId="0A6E8979" w:rsidR="003E6B57" w:rsidRPr="00AD59E8" w:rsidRDefault="00AD6442" w:rsidP="00AD6442">
      <w:pPr>
        <w:pStyle w:val="Testonotaapidipagina"/>
        <w:jc w:val="both"/>
        <w:rPr>
          <w:rFonts w:ascii="Garamond" w:hAnsi="Garamond" w:cs="Times New Roman"/>
        </w:rPr>
      </w:pPr>
      <w:r w:rsidRPr="00AD59E8">
        <w:rPr>
          <w:rStyle w:val="Rimandonotaapidipagina"/>
          <w:rFonts w:ascii="Garamond" w:hAnsi="Garamond" w:cs="Times New Roman"/>
        </w:rPr>
        <w:footnoteRef/>
      </w:r>
      <w:r w:rsidRPr="00AD59E8">
        <w:rPr>
          <w:rFonts w:ascii="Garamond" w:hAnsi="Garamond" w:cs="Times New Roman"/>
        </w:rPr>
        <w:t xml:space="preserve"> </w:t>
      </w:r>
      <w:r w:rsidR="00AD59E8" w:rsidRPr="00AD59E8">
        <w:rPr>
          <w:rFonts w:ascii="Garamond" w:hAnsi="Garamond" w:cs="Times New Roman"/>
        </w:rPr>
        <w:t>All. 5: CGUE, III sezione, del 20/04/2023 (causa C-348/22).</w:t>
      </w:r>
    </w:p>
    <w:p w14:paraId="13F72A31" w14:textId="4EF774E6" w:rsidR="00AD6442" w:rsidRPr="00AD59E8" w:rsidRDefault="00AD6442" w:rsidP="00AD6442">
      <w:pPr>
        <w:pStyle w:val="Testonotaapidipagina"/>
        <w:jc w:val="both"/>
        <w:rPr>
          <w:rFonts w:ascii="Garamond" w:hAnsi="Garamond" w:cs="Times New Roman"/>
        </w:rPr>
      </w:pPr>
      <w:r w:rsidRPr="00AD59E8">
        <w:rPr>
          <w:rFonts w:ascii="Garamond" w:hAnsi="Garamond" w:cs="Times New Roman"/>
        </w:rPr>
        <w:t>I principi di diritto sono i seguenti:</w:t>
      </w:r>
    </w:p>
    <w:p w14:paraId="0C1A475C" w14:textId="77777777" w:rsidR="00AD6442" w:rsidRPr="00AD59E8" w:rsidRDefault="00AD6442" w:rsidP="00AD6442">
      <w:pPr>
        <w:pStyle w:val="Testonotaapidipagina"/>
        <w:jc w:val="both"/>
        <w:rPr>
          <w:rFonts w:ascii="Garamond" w:hAnsi="Garamond" w:cs="Times New Roman"/>
        </w:rPr>
      </w:pPr>
      <w:r w:rsidRPr="00AD59E8">
        <w:rPr>
          <w:rFonts w:ascii="Garamond" w:hAnsi="Garamond" w:cs="Times New Roman"/>
        </w:rPr>
        <w:t>“1) L'articolo 12, paragrafi 1 e 2, della direttiva 2006/123/CE del Parlamento europeo e del Consiglio, del 12 dicembre 2006, relativa ai servizi nel mercato interno, deve essere interpretato nel senso che: esso non si applica unicamente alle concessioni di occupazione del demanio marittimo che presentano un interesse transfrontaliero certo.</w:t>
      </w:r>
    </w:p>
    <w:p w14:paraId="673058AE" w14:textId="77777777" w:rsidR="00AD6442" w:rsidRPr="00AD59E8" w:rsidRDefault="00AD6442" w:rsidP="00AD6442">
      <w:pPr>
        <w:pStyle w:val="Testonotaapidipagina"/>
        <w:jc w:val="both"/>
        <w:rPr>
          <w:rFonts w:ascii="Garamond" w:hAnsi="Garamond" w:cs="Times New Roman"/>
        </w:rPr>
      </w:pPr>
      <w:r w:rsidRPr="00AD59E8">
        <w:rPr>
          <w:rFonts w:ascii="Garamond" w:hAnsi="Garamond" w:cs="Times New Roman"/>
        </w:rPr>
        <w:t>2) L'articolo 12, paragrafo 1, della direttiva 2006/123 deve essere interpretato nel senso che:</w:t>
      </w:r>
    </w:p>
    <w:p w14:paraId="44C6F742" w14:textId="77777777" w:rsidR="00AD6442" w:rsidRPr="00AD59E8" w:rsidRDefault="00AD6442" w:rsidP="00AD6442">
      <w:pPr>
        <w:pStyle w:val="Testonotaapidipagina"/>
        <w:jc w:val="both"/>
        <w:rPr>
          <w:rFonts w:ascii="Garamond" w:hAnsi="Garamond" w:cs="Times New Roman"/>
        </w:rPr>
      </w:pPr>
      <w:r w:rsidRPr="00AD59E8">
        <w:rPr>
          <w:rFonts w:ascii="Garamond" w:hAnsi="Garamond" w:cs="Times New Roman"/>
        </w:rPr>
        <w:t>esso non osta a che la scarsità delle risorse naturali e delle concessioni disponibili sia valutata combinando un approccio generale e astratto, a livello nazionale, e un approccio caso per caso, basato su un'analisi del territorio costiero del comune in questione.</w:t>
      </w:r>
    </w:p>
    <w:p w14:paraId="200875F8" w14:textId="77777777" w:rsidR="00AD6442" w:rsidRPr="00AD59E8" w:rsidRDefault="00AD6442" w:rsidP="00AD6442">
      <w:pPr>
        <w:pStyle w:val="Testonotaapidipagina"/>
        <w:jc w:val="both"/>
        <w:rPr>
          <w:rFonts w:ascii="Garamond" w:hAnsi="Garamond" w:cs="Times New Roman"/>
        </w:rPr>
      </w:pPr>
      <w:r w:rsidRPr="00AD59E8">
        <w:rPr>
          <w:rFonts w:ascii="Garamond" w:hAnsi="Garamond" w:cs="Times New Roman"/>
        </w:rPr>
        <w:t>3) Dall'esame della prima questione non è emerso alcun elemento idoneo ad inficiare la validità della direttiva 2006/123 alla luce dell'articolo 94 CE.</w:t>
      </w:r>
    </w:p>
    <w:p w14:paraId="7FA28082" w14:textId="77777777" w:rsidR="00AD6442" w:rsidRPr="00AD59E8" w:rsidRDefault="00AD6442" w:rsidP="00AD6442">
      <w:pPr>
        <w:pStyle w:val="Testonotaapidipagina"/>
        <w:jc w:val="both"/>
        <w:rPr>
          <w:rFonts w:ascii="Garamond" w:hAnsi="Garamond" w:cs="Times New Roman"/>
        </w:rPr>
      </w:pPr>
      <w:r w:rsidRPr="00AD59E8">
        <w:rPr>
          <w:rFonts w:ascii="Garamond" w:hAnsi="Garamond" w:cs="Times New Roman"/>
        </w:rPr>
        <w:t>4) L'articolo 12, paragrafi 1 e 2, della direttiva 2006/123 deve essere interpretato nel senso che:</w:t>
      </w:r>
    </w:p>
    <w:p w14:paraId="1828FE21" w14:textId="77777777" w:rsidR="00AD6442" w:rsidRPr="00AD59E8" w:rsidRDefault="00AD6442" w:rsidP="00AD6442">
      <w:pPr>
        <w:pStyle w:val="Testonotaapidipagina"/>
        <w:jc w:val="both"/>
        <w:rPr>
          <w:rFonts w:ascii="Garamond" w:hAnsi="Garamond" w:cs="Times New Roman"/>
        </w:rPr>
      </w:pPr>
      <w:r w:rsidRPr="00AD59E8">
        <w:rPr>
          <w:rFonts w:ascii="Garamond" w:hAnsi="Garamond" w:cs="Times New Roman"/>
        </w:rPr>
        <w:t>l'obbligo, per gli Stati membri, di applicare una procedura di selezione imparziale e trasparente tra i candidati potenziali, nonché il divieto di rinnovare automaticamente un'autorizzazione rilasciata per una determinata attività sono enunciati in modo incondizionato e sufficientemente preciso da poter essere considerati disposizioni produttive di effetti diretti.</w:t>
      </w:r>
    </w:p>
    <w:p w14:paraId="77A9F80D" w14:textId="77777777" w:rsidR="00AD6442" w:rsidRPr="00AD59E8" w:rsidRDefault="00AD6442" w:rsidP="00AD6442">
      <w:pPr>
        <w:pStyle w:val="Testonotaapidipagina"/>
        <w:jc w:val="both"/>
        <w:rPr>
          <w:rFonts w:ascii="Garamond" w:hAnsi="Garamond" w:cs="Times New Roman"/>
        </w:rPr>
      </w:pPr>
      <w:r w:rsidRPr="00AD59E8">
        <w:rPr>
          <w:rFonts w:ascii="Garamond" w:hAnsi="Garamond" w:cs="Times New Roman"/>
        </w:rPr>
        <w:t>5) L'articolo 288, par. 3, TFUE deve essere interpretato nel senso che:</w:t>
      </w:r>
    </w:p>
    <w:p w14:paraId="4E9DF02D" w14:textId="77777777" w:rsidR="00AD6442" w:rsidRPr="00C309A2" w:rsidRDefault="00AD6442" w:rsidP="00AD6442">
      <w:pPr>
        <w:pStyle w:val="Testonotaapidipagina"/>
        <w:jc w:val="both"/>
        <w:rPr>
          <w:rFonts w:ascii="Garamond" w:hAnsi="Garamond" w:cs="Times New Roman"/>
        </w:rPr>
      </w:pPr>
      <w:r w:rsidRPr="00AD59E8">
        <w:rPr>
          <w:rFonts w:ascii="Garamond" w:hAnsi="Garamond" w:cs="Times New Roman"/>
        </w:rPr>
        <w:t xml:space="preserve">la valutazione dell'effetto diretto connesso all'obbligo e al divieto previsti dall'articolo 12, paragrafi 1 e 2, della direttiva 2006/123 e l'obbligo di disapplicare le disposizioni nazionali contrarie incombono ai giudici nazionali e alle autorità </w:t>
      </w:r>
      <w:r w:rsidRPr="00C309A2">
        <w:rPr>
          <w:rFonts w:ascii="Garamond" w:hAnsi="Garamond" w:cs="Times New Roman"/>
        </w:rPr>
        <w:t>amministrative, comprese quelle comunali”.</w:t>
      </w:r>
    </w:p>
  </w:footnote>
  <w:footnote w:id="8">
    <w:p w14:paraId="1A9818A0" w14:textId="243D08EC" w:rsidR="00AD59E8" w:rsidRPr="00C309A2" w:rsidRDefault="00AD59E8">
      <w:pPr>
        <w:pStyle w:val="Testonotaapidipagina"/>
        <w:rPr>
          <w:rFonts w:ascii="Garamond" w:hAnsi="Garamond"/>
        </w:rPr>
      </w:pPr>
      <w:r w:rsidRPr="00C309A2">
        <w:rPr>
          <w:rStyle w:val="Rimandonotaapidipagina"/>
          <w:rFonts w:ascii="Garamond" w:hAnsi="Garamond"/>
        </w:rPr>
        <w:footnoteRef/>
      </w:r>
      <w:r w:rsidRPr="00C309A2">
        <w:rPr>
          <w:rFonts w:ascii="Garamond" w:hAnsi="Garamond"/>
        </w:rPr>
        <w:t xml:space="preserve"> All. 6: parere Commissione europea, 16/11/2023.</w:t>
      </w:r>
    </w:p>
  </w:footnote>
  <w:footnote w:id="9">
    <w:p w14:paraId="165B0C6F" w14:textId="787BA7A8" w:rsidR="00AD59E8" w:rsidRPr="00C309A2" w:rsidRDefault="00AD59E8">
      <w:pPr>
        <w:pStyle w:val="Testonotaapidipagina"/>
        <w:rPr>
          <w:rFonts w:ascii="Garamond" w:hAnsi="Garamond"/>
        </w:rPr>
      </w:pPr>
      <w:r w:rsidRPr="00C309A2">
        <w:rPr>
          <w:rStyle w:val="Rimandonotaapidipagina"/>
          <w:rFonts w:ascii="Garamond" w:hAnsi="Garamond"/>
        </w:rPr>
        <w:footnoteRef/>
      </w:r>
      <w:r w:rsidRPr="00C309A2">
        <w:rPr>
          <w:rFonts w:ascii="Garamond" w:hAnsi="Garamond"/>
        </w:rPr>
        <w:t xml:space="preserve"> https://www.governo.it/it/articolo/concessioni-demaniali-marittime-lacuali-e-fluviali-riunione-del-tavolo-tecnico-del-5; si veda anche l’Allegato n. 6, pp. 9-20.</w:t>
      </w:r>
    </w:p>
  </w:footnote>
  <w:footnote w:id="10">
    <w:p w14:paraId="1AA908AD" w14:textId="7A877A72" w:rsidR="00C309A2" w:rsidRPr="00C309A2" w:rsidRDefault="00C309A2">
      <w:pPr>
        <w:pStyle w:val="Testonotaapidipagina"/>
        <w:rPr>
          <w:rFonts w:ascii="Garamond" w:hAnsi="Garamond"/>
        </w:rPr>
      </w:pPr>
      <w:r w:rsidRPr="00C309A2">
        <w:rPr>
          <w:rStyle w:val="Rimandonotaapidipagina"/>
          <w:rFonts w:ascii="Garamond" w:hAnsi="Garamond"/>
        </w:rPr>
        <w:footnoteRef/>
      </w:r>
      <w:r w:rsidRPr="00C309A2">
        <w:rPr>
          <w:rFonts w:ascii="Garamond" w:hAnsi="Garamond"/>
        </w:rPr>
        <w:t xml:space="preserve"> All. 7: Cons. Stato, VII sez., 20/05/2024, nn. 4479, 4480 e 4481.</w:t>
      </w:r>
    </w:p>
  </w:footnote>
  <w:footnote w:id="11">
    <w:p w14:paraId="1C13C617" w14:textId="77777777" w:rsidR="00AD6442" w:rsidRPr="00D835B0" w:rsidRDefault="00AD6442" w:rsidP="00AD6442">
      <w:pPr>
        <w:pStyle w:val="Testonotaapidipagina"/>
        <w:jc w:val="both"/>
        <w:rPr>
          <w:rFonts w:ascii="Garamond" w:hAnsi="Garamond" w:cs="Times New Roman"/>
        </w:rPr>
      </w:pPr>
      <w:r w:rsidRPr="00D835B0">
        <w:rPr>
          <w:rStyle w:val="Rimandonotaapidipagina"/>
          <w:rFonts w:ascii="Garamond" w:hAnsi="Garamond" w:cs="Times New Roman"/>
        </w:rPr>
        <w:footnoteRef/>
      </w:r>
      <w:r w:rsidRPr="00D835B0">
        <w:rPr>
          <w:rFonts w:ascii="Garamond" w:hAnsi="Garamond" w:cs="Times New Roman"/>
        </w:rPr>
        <w:t xml:space="preserve"> https://www.altalex.com/documents/2024/05/28/concessioni-balneari-ultime-decisioni-cds.</w:t>
      </w:r>
    </w:p>
  </w:footnote>
  <w:footnote w:id="12">
    <w:p w14:paraId="3DA32EBB" w14:textId="77777777" w:rsidR="00AD6442" w:rsidRPr="00D835B0" w:rsidRDefault="00AD6442" w:rsidP="00AD6442">
      <w:pPr>
        <w:pStyle w:val="Testonotaapidipagina"/>
        <w:jc w:val="both"/>
        <w:rPr>
          <w:rFonts w:ascii="Garamond" w:hAnsi="Garamond" w:cs="Times New Roman"/>
        </w:rPr>
      </w:pPr>
      <w:r w:rsidRPr="00D835B0">
        <w:rPr>
          <w:rStyle w:val="Rimandonotaapidipagina"/>
          <w:rFonts w:ascii="Garamond" w:hAnsi="Garamond" w:cs="Times New Roman"/>
        </w:rPr>
        <w:footnoteRef/>
      </w:r>
      <w:r w:rsidRPr="00D835B0">
        <w:rPr>
          <w:rFonts w:ascii="Garamond" w:hAnsi="Garamond" w:cs="Times New Roman"/>
        </w:rPr>
        <w:t xml:space="preserve"> In particolare, ha dichiarato che non costituisce una restrizione alla libertà di stabilimento, prevista dall’art. 49 TFUE, una norma nazionale secondo la quale, alla scadenza di una concessione per l’occupazione del demanio pubblico e salva una diversa pattuizione nell’atto di concessione, il concessionario è tenuto a cedere, “immediatamente, gratuitamente e senza indennizzo”, le opere non amovibili da esso realizzate nell’area concessa, anche in caso di rinnovo della concessione.</w:t>
      </w:r>
    </w:p>
    <w:p w14:paraId="384495A0" w14:textId="77777777" w:rsidR="00AD6442" w:rsidRPr="00D835B0" w:rsidRDefault="00AD6442" w:rsidP="00AD6442">
      <w:pPr>
        <w:pStyle w:val="Testonotaapidipagina"/>
        <w:jc w:val="both"/>
        <w:rPr>
          <w:rFonts w:ascii="Garamond" w:hAnsi="Garamond" w:cs="Times New Roman"/>
        </w:rPr>
      </w:pPr>
      <w:r w:rsidRPr="00D835B0">
        <w:rPr>
          <w:rFonts w:ascii="Garamond" w:hAnsi="Garamond" w:cs="Times New Roman"/>
        </w:rPr>
        <w:t>Occorre premettere che secondo la giurisprudenza amministrativa l’art. 49 del codice della navigazione è interpretato nel senso che:</w:t>
      </w:r>
    </w:p>
    <w:p w14:paraId="3A2CDEDC" w14:textId="77777777" w:rsidR="00AD6442" w:rsidRPr="00D835B0" w:rsidRDefault="00AD6442" w:rsidP="00AD6442">
      <w:pPr>
        <w:pStyle w:val="Testonotaapidipagina"/>
        <w:jc w:val="both"/>
        <w:rPr>
          <w:rFonts w:ascii="Garamond" w:hAnsi="Garamond" w:cs="Times New Roman"/>
        </w:rPr>
      </w:pPr>
      <w:r w:rsidRPr="00D835B0">
        <w:rPr>
          <w:rFonts w:ascii="Garamond" w:hAnsi="Garamond" w:cs="Times New Roman"/>
        </w:rPr>
        <w:t>- alla scadenza della concessione, anche in caso di un suo rinnovo, si produce automaticamente l’acquisizione dei beni da parte dello Stato dato che il rinnovo determina un’interruzione della continuità tra i titoli di occupazione del demanio pubblico;</w:t>
      </w:r>
    </w:p>
    <w:p w14:paraId="666E7F8D" w14:textId="77777777" w:rsidR="00AD6442" w:rsidRPr="00D835B0" w:rsidRDefault="00AD6442" w:rsidP="00AD6442">
      <w:pPr>
        <w:pStyle w:val="Testonotaapidipagina"/>
        <w:jc w:val="both"/>
        <w:rPr>
          <w:rFonts w:ascii="Garamond" w:hAnsi="Garamond" w:cs="Times New Roman"/>
        </w:rPr>
      </w:pPr>
      <w:r w:rsidRPr="00D835B0">
        <w:rPr>
          <w:rFonts w:ascii="Garamond" w:hAnsi="Garamond" w:cs="Times New Roman"/>
        </w:rPr>
        <w:t>- invece, in caso di proroga della concessione prima della sua normale scadenza, le opere realizzate dai concessionari sul demanio pubblico resterebbero di proprietà privata esclusiva del concessionario fino alla scadenza effettiva o alla revoca anticipata della concessione e nessun canone sarebbe dovuto per quanto riguarda tali opere.</w:t>
      </w:r>
    </w:p>
    <w:p w14:paraId="38203810" w14:textId="77777777" w:rsidR="00AD6442" w:rsidRPr="00D835B0" w:rsidRDefault="00AD6442" w:rsidP="00AD6442">
      <w:pPr>
        <w:pStyle w:val="Testonotaapidipagina"/>
        <w:jc w:val="both"/>
        <w:rPr>
          <w:rFonts w:ascii="Garamond" w:hAnsi="Garamond" w:cs="Times New Roman"/>
        </w:rPr>
      </w:pPr>
      <w:r w:rsidRPr="00D835B0">
        <w:rPr>
          <w:rFonts w:ascii="Garamond" w:hAnsi="Garamond" w:cs="Times New Roman"/>
        </w:rPr>
        <w:t>Onde, secondo la CGUE è legittimo l’art. 49 del codice della navigazione in base al quale, alla scadenza della concessione balneare, lo Stato acquisisce le opere non amovibili realizzate sul demanio pubblico marittimo (ad esempio, un manufatto in muratura adibito a chiosco–bar) senza essere tenuto a pagare somme per indennizzare il concessionario (ad es., il gestore dello stabilimento balneare).</w:t>
      </w:r>
    </w:p>
    <w:p w14:paraId="4713909C" w14:textId="77777777" w:rsidR="00AD6442" w:rsidRPr="00D835B0" w:rsidRDefault="00AD6442" w:rsidP="00AD6442">
      <w:pPr>
        <w:pStyle w:val="Testonotaapidipagina"/>
        <w:jc w:val="both"/>
        <w:rPr>
          <w:rFonts w:ascii="Garamond" w:hAnsi="Garamond" w:cs="Times New Roman"/>
        </w:rPr>
      </w:pPr>
      <w:r w:rsidRPr="00D835B0">
        <w:rPr>
          <w:rFonts w:ascii="Garamond" w:hAnsi="Garamond" w:cs="Times New Roman"/>
        </w:rPr>
        <w:t xml:space="preserve">Esso non fa altro che trarre le conseguenze dei principi dell’accessione ex art. 934 c.c. e dell’inalienabilità del demanio pubblico </w:t>
      </w:r>
      <w:r w:rsidRPr="00D835B0">
        <w:rPr>
          <w:rFonts w:ascii="Garamond" w:hAnsi="Garamond" w:cs="Times New Roman"/>
          <w:i/>
        </w:rPr>
        <w:t>ex</w:t>
      </w:r>
      <w:r w:rsidRPr="00D835B0">
        <w:rPr>
          <w:rFonts w:ascii="Garamond" w:hAnsi="Garamond" w:cs="Times New Roman"/>
        </w:rPr>
        <w:t xml:space="preserve"> artt. 822, 823 c.c. che implica che il demanio pubblico resta di proprietà di soggetti pubblici e che le autorizzazioni di occupazione demaniali hanno carattere precario, nel senso che esse hanno una durata determinata e sono inoltre revocabili.</w:t>
      </w:r>
    </w:p>
  </w:footnote>
  <w:footnote w:id="13">
    <w:p w14:paraId="549F7F7F" w14:textId="77777777" w:rsidR="00AD6442" w:rsidRPr="00D835B0" w:rsidRDefault="00AD6442" w:rsidP="00AD6442">
      <w:pPr>
        <w:pStyle w:val="Testonotaapidipagina"/>
        <w:jc w:val="both"/>
        <w:rPr>
          <w:rFonts w:ascii="Garamond" w:hAnsi="Garamond" w:cs="Times New Roman"/>
        </w:rPr>
      </w:pPr>
      <w:r w:rsidRPr="00D835B0">
        <w:rPr>
          <w:rStyle w:val="Rimandonotaapidipagina"/>
          <w:rFonts w:ascii="Garamond" w:hAnsi="Garamond" w:cs="Times New Roman"/>
        </w:rPr>
        <w:footnoteRef/>
      </w:r>
      <w:r w:rsidRPr="00D835B0">
        <w:rPr>
          <w:rFonts w:ascii="Garamond" w:hAnsi="Garamond" w:cs="Times New Roman"/>
        </w:rPr>
        <w:t xml:space="preserve"> https://www.altalex.com/documents/2024/07/19/concessioni-balneari-scadenza-stato-acquisisce-opere-non-amovibili-senza-dover-indennizzare.</w:t>
      </w:r>
    </w:p>
  </w:footnote>
  <w:footnote w:id="14">
    <w:p w14:paraId="50CBC5B7" w14:textId="4B11815F"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All. 10: testo della L. n. 118/2022 a seguito delle modifiche apportate dal d.l. 131/2024, conv. con mod. dalla L. n. 166/2024.</w:t>
      </w:r>
    </w:p>
  </w:footnote>
  <w:footnote w:id="15">
    <w:p w14:paraId="0383A457" w14:textId="1E3E8A8C"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Con il presente atto legislativo, è stata data attuazione all’art. 5 della legge delega 08/08/2019, n. 86, recante “</w:t>
      </w:r>
      <w:r w:rsidRPr="009C3984">
        <w:rPr>
          <w:rFonts w:ascii="Garamond" w:hAnsi="Garamond"/>
          <w:i/>
        </w:rPr>
        <w:t>il riordino e la riforma delle disposizioni in materia di enti sportivi professionistici e dilettantistici, nonché di lavoro sportivo</w:t>
      </w:r>
      <w:r w:rsidRPr="009C3984">
        <w:rPr>
          <w:rFonts w:ascii="Garamond" w:hAnsi="Garamond"/>
        </w:rPr>
        <w:t>”. In dettaglio, l’art. 7, lett. b) del d.l. cit. individua – fra gli elementi che devono necessariamente essere presenti nello statuto delle società e associazioni sportive dilettantistiche – l’oggetto sociale con specifico riferimento all'esercizio in via stabile e principale dell'organizzazione e gestione di attività sportive dilettantistiche, comprese la formazione, la didattica, la preparazione e l'assistenza all'attività sportiva dilettantistica.</w:t>
      </w:r>
    </w:p>
  </w:footnote>
  <w:footnote w:id="16">
    <w:p w14:paraId="3A6A0750" w14:textId="2D881DDB"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Il d.l. in oggetto ha dato attuazione all'art. 8 della legge delega 08/08/2019, n. 86, recante “</w:t>
      </w:r>
      <w:r w:rsidRPr="009C3984">
        <w:rPr>
          <w:rFonts w:ascii="Garamond" w:hAnsi="Garamond"/>
          <w:i/>
        </w:rPr>
        <w:t>semplificazione di adempimenti relativi agli organismi sportivi</w:t>
      </w:r>
      <w:r w:rsidRPr="009C3984">
        <w:rPr>
          <w:rFonts w:ascii="Garamond" w:hAnsi="Garamond"/>
        </w:rPr>
        <w:t>”.</w:t>
      </w:r>
    </w:p>
  </w:footnote>
  <w:footnote w:id="17">
    <w:p w14:paraId="346CD692" w14:textId="1BAB8AB1"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All. 10: art. 3, c. 1, L. n. 118/2022, così come modificato dal d.l. n. 131/2024.</w:t>
      </w:r>
    </w:p>
  </w:footnote>
  <w:footnote w:id="18">
    <w:p w14:paraId="4E7077C1" w14:textId="1CAC1F2E" w:rsidR="00AD6442" w:rsidRPr="00F20164" w:rsidRDefault="00AD6442" w:rsidP="009C3984">
      <w:pPr>
        <w:pStyle w:val="Testonotaapidipagina"/>
        <w:jc w:val="both"/>
        <w:rPr>
          <w:rFonts w:ascii="Garamond" w:hAnsi="Garamond" w:cs="Times New Roman"/>
          <w:lang w:val="en-US"/>
        </w:rPr>
      </w:pPr>
      <w:r w:rsidRPr="009C3984">
        <w:rPr>
          <w:rStyle w:val="Rimandonotaapidipagina"/>
          <w:rFonts w:ascii="Garamond" w:hAnsi="Garamond" w:cs="Times New Roman"/>
        </w:rPr>
        <w:footnoteRef/>
      </w:r>
      <w:r w:rsidRPr="00F20164">
        <w:rPr>
          <w:rFonts w:ascii="Garamond" w:hAnsi="Garamond" w:cs="Times New Roman"/>
          <w:lang w:val="en-US"/>
        </w:rPr>
        <w:t xml:space="preserve"> </w:t>
      </w:r>
      <w:r w:rsidRPr="00F20164">
        <w:rPr>
          <w:rFonts w:ascii="Garamond" w:hAnsi="Garamond" w:cs="Times New Roman"/>
          <w:i/>
          <w:lang w:val="en-US"/>
        </w:rPr>
        <w:t>Ibidem</w:t>
      </w:r>
      <w:r w:rsidRPr="00F20164">
        <w:rPr>
          <w:rFonts w:ascii="Garamond" w:hAnsi="Garamond" w:cs="Times New Roman"/>
          <w:lang w:val="en-US"/>
        </w:rPr>
        <w:t>.</w:t>
      </w:r>
    </w:p>
  </w:footnote>
  <w:footnote w:id="19">
    <w:p w14:paraId="4BAF035A" w14:textId="317AF6C7" w:rsidR="00AD6442" w:rsidRPr="00F20164" w:rsidRDefault="00AD6442" w:rsidP="009C3984">
      <w:pPr>
        <w:pStyle w:val="Testonotaapidipagina"/>
        <w:jc w:val="both"/>
        <w:rPr>
          <w:rFonts w:ascii="Garamond" w:hAnsi="Garamond" w:cs="Times New Roman"/>
          <w:lang w:val="en-US"/>
        </w:rPr>
      </w:pPr>
      <w:r w:rsidRPr="009C3984">
        <w:rPr>
          <w:rStyle w:val="Rimandonotaapidipagina"/>
          <w:rFonts w:ascii="Garamond" w:hAnsi="Garamond" w:cs="Times New Roman"/>
        </w:rPr>
        <w:footnoteRef/>
      </w:r>
      <w:r w:rsidRPr="00F20164">
        <w:rPr>
          <w:rFonts w:ascii="Garamond" w:hAnsi="Garamond" w:cs="Times New Roman"/>
          <w:lang w:val="en-US"/>
        </w:rPr>
        <w:t xml:space="preserve"> All. 10: art. 3, c. 3, L. cit.</w:t>
      </w:r>
    </w:p>
  </w:footnote>
  <w:footnote w:id="20">
    <w:p w14:paraId="14205E2D" w14:textId="35927918" w:rsidR="00AD6442" w:rsidRPr="00F20164" w:rsidRDefault="00AD6442" w:rsidP="009C3984">
      <w:pPr>
        <w:pStyle w:val="Testonotaapidipagina"/>
        <w:jc w:val="both"/>
        <w:rPr>
          <w:rFonts w:ascii="Garamond" w:hAnsi="Garamond" w:cs="Times New Roman"/>
          <w:lang w:val="en-US"/>
        </w:rPr>
      </w:pPr>
      <w:r w:rsidRPr="009C3984">
        <w:rPr>
          <w:rStyle w:val="Rimandonotaapidipagina"/>
          <w:rFonts w:ascii="Garamond" w:hAnsi="Garamond" w:cs="Times New Roman"/>
        </w:rPr>
        <w:footnoteRef/>
      </w:r>
      <w:r w:rsidRPr="00F20164">
        <w:rPr>
          <w:rFonts w:ascii="Garamond" w:hAnsi="Garamond" w:cs="Times New Roman"/>
          <w:lang w:val="en-US"/>
        </w:rPr>
        <w:t xml:space="preserve"> All. 10: art. 4, c. 3, L. cit.</w:t>
      </w:r>
    </w:p>
  </w:footnote>
  <w:footnote w:id="21">
    <w:p w14:paraId="38C9ACF4" w14:textId="7D354782" w:rsidR="00AD6442" w:rsidRPr="00F20164" w:rsidRDefault="00AD6442" w:rsidP="009C3984">
      <w:pPr>
        <w:pStyle w:val="Testonotaapidipagina"/>
        <w:jc w:val="both"/>
        <w:rPr>
          <w:rFonts w:ascii="Garamond" w:hAnsi="Garamond" w:cs="Times New Roman"/>
          <w:lang w:val="en-US"/>
        </w:rPr>
      </w:pPr>
      <w:r w:rsidRPr="009C3984">
        <w:rPr>
          <w:rStyle w:val="Rimandonotaapidipagina"/>
          <w:rFonts w:ascii="Garamond" w:hAnsi="Garamond" w:cs="Times New Roman"/>
        </w:rPr>
        <w:footnoteRef/>
      </w:r>
      <w:r w:rsidRPr="00F20164">
        <w:rPr>
          <w:rFonts w:ascii="Garamond" w:hAnsi="Garamond" w:cs="Times New Roman"/>
          <w:lang w:val="en-US"/>
        </w:rPr>
        <w:t xml:space="preserve"> </w:t>
      </w:r>
      <w:r w:rsidRPr="00F20164">
        <w:rPr>
          <w:rFonts w:ascii="Garamond" w:hAnsi="Garamond" w:cs="Times New Roman"/>
          <w:i/>
          <w:lang w:val="en-US"/>
        </w:rPr>
        <w:t>Ibidem</w:t>
      </w:r>
      <w:r w:rsidRPr="00F20164">
        <w:rPr>
          <w:rFonts w:ascii="Garamond" w:hAnsi="Garamond" w:cs="Times New Roman"/>
          <w:lang w:val="en-US"/>
        </w:rPr>
        <w:t>.</w:t>
      </w:r>
    </w:p>
  </w:footnote>
  <w:footnote w:id="22">
    <w:p w14:paraId="2BFCE6DB" w14:textId="38724D9A" w:rsidR="00AD6442" w:rsidRPr="00F20164" w:rsidRDefault="00AD6442" w:rsidP="009C3984">
      <w:pPr>
        <w:pStyle w:val="Testonotaapidipagina"/>
        <w:jc w:val="both"/>
        <w:rPr>
          <w:rFonts w:ascii="Garamond" w:hAnsi="Garamond" w:cs="Times New Roman"/>
          <w:lang w:val="en-US"/>
        </w:rPr>
      </w:pPr>
      <w:r w:rsidRPr="009C3984">
        <w:rPr>
          <w:rStyle w:val="Rimandonotaapidipagina"/>
          <w:rFonts w:ascii="Garamond" w:hAnsi="Garamond" w:cs="Times New Roman"/>
        </w:rPr>
        <w:footnoteRef/>
      </w:r>
      <w:r w:rsidRPr="00F20164">
        <w:rPr>
          <w:rFonts w:ascii="Garamond" w:hAnsi="Garamond" w:cs="Times New Roman"/>
          <w:lang w:val="en-US"/>
        </w:rPr>
        <w:t xml:space="preserve"> All. 10: art. 4, c. 5, L. cit.</w:t>
      </w:r>
    </w:p>
  </w:footnote>
  <w:footnote w:id="23">
    <w:p w14:paraId="20312DB6" w14:textId="1BF51E31" w:rsidR="00AD6442" w:rsidRPr="00F20164" w:rsidRDefault="00AD6442" w:rsidP="009C3984">
      <w:pPr>
        <w:pStyle w:val="Testonotaapidipagina"/>
        <w:jc w:val="both"/>
        <w:rPr>
          <w:rFonts w:ascii="Garamond" w:hAnsi="Garamond" w:cs="Times New Roman"/>
          <w:lang w:val="en-US"/>
        </w:rPr>
      </w:pPr>
      <w:r w:rsidRPr="009C3984">
        <w:rPr>
          <w:rStyle w:val="Rimandonotaapidipagina"/>
          <w:rFonts w:ascii="Garamond" w:hAnsi="Garamond" w:cs="Times New Roman"/>
        </w:rPr>
        <w:footnoteRef/>
      </w:r>
      <w:r w:rsidRPr="00F20164">
        <w:rPr>
          <w:rFonts w:ascii="Garamond" w:hAnsi="Garamond" w:cs="Times New Roman"/>
          <w:lang w:val="en-US"/>
        </w:rPr>
        <w:t xml:space="preserve"> All. 10: art. 4, c. 6, L. cit.</w:t>
      </w:r>
    </w:p>
  </w:footnote>
  <w:footnote w:id="24">
    <w:p w14:paraId="19B363E7" w14:textId="43FFE2D0" w:rsidR="00AD6442" w:rsidRPr="00F20164" w:rsidRDefault="00AD6442" w:rsidP="009C3984">
      <w:pPr>
        <w:pStyle w:val="Testonotaapidipagina"/>
        <w:jc w:val="both"/>
        <w:rPr>
          <w:rFonts w:ascii="Garamond" w:hAnsi="Garamond" w:cs="Times New Roman"/>
          <w:lang w:val="en-US"/>
        </w:rPr>
      </w:pPr>
      <w:r w:rsidRPr="009C3984">
        <w:rPr>
          <w:rStyle w:val="Rimandonotaapidipagina"/>
          <w:rFonts w:ascii="Garamond" w:hAnsi="Garamond" w:cs="Times New Roman"/>
        </w:rPr>
        <w:footnoteRef/>
      </w:r>
      <w:r w:rsidRPr="00F20164">
        <w:rPr>
          <w:rFonts w:ascii="Garamond" w:hAnsi="Garamond" w:cs="Times New Roman"/>
          <w:lang w:val="en-US"/>
        </w:rPr>
        <w:t xml:space="preserve"> All. 10: art. 4, c. 8, L. cit.</w:t>
      </w:r>
    </w:p>
  </w:footnote>
  <w:footnote w:id="25">
    <w:p w14:paraId="120C6505" w14:textId="74D90A69" w:rsidR="00AD6442" w:rsidRPr="00F20164" w:rsidRDefault="00AD6442" w:rsidP="009C3984">
      <w:pPr>
        <w:pStyle w:val="Testonotaapidipagina"/>
        <w:jc w:val="both"/>
        <w:rPr>
          <w:rFonts w:ascii="Garamond" w:hAnsi="Garamond" w:cs="Times New Roman"/>
          <w:lang w:val="en-US"/>
        </w:rPr>
      </w:pPr>
      <w:r w:rsidRPr="009C3984">
        <w:rPr>
          <w:rStyle w:val="Rimandonotaapidipagina"/>
          <w:rFonts w:ascii="Garamond" w:hAnsi="Garamond" w:cs="Times New Roman"/>
        </w:rPr>
        <w:footnoteRef/>
      </w:r>
      <w:r w:rsidRPr="00F20164">
        <w:rPr>
          <w:rFonts w:ascii="Garamond" w:hAnsi="Garamond" w:cs="Times New Roman"/>
          <w:lang w:val="en-US"/>
        </w:rPr>
        <w:t xml:space="preserve"> All. 10: art. 4, c. 9, L. cit.</w:t>
      </w:r>
    </w:p>
  </w:footnote>
  <w:footnote w:id="26">
    <w:p w14:paraId="008C2AF7" w14:textId="77777777"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w:t>
      </w:r>
      <w:r w:rsidRPr="009C3984">
        <w:rPr>
          <w:rFonts w:ascii="Garamond" w:hAnsi="Garamond" w:cs="Times New Roman"/>
          <w:i/>
        </w:rPr>
        <w:t>Cfr</w:t>
      </w:r>
      <w:r w:rsidRPr="009C3984">
        <w:rPr>
          <w:rFonts w:ascii="Garamond" w:hAnsi="Garamond" w:cs="Times New Roman"/>
        </w:rPr>
        <w:t xml:space="preserve">. VINCENZO LAUDANI, </w:t>
      </w:r>
      <w:r w:rsidRPr="009C3984">
        <w:rPr>
          <w:rFonts w:ascii="Garamond" w:hAnsi="Garamond" w:cs="Times New Roman"/>
          <w:i/>
        </w:rPr>
        <w:t>Concessioni balneari: proroga al 2027 e nuove regole per la procedura</w:t>
      </w:r>
      <w:r w:rsidRPr="009C3984">
        <w:rPr>
          <w:rFonts w:ascii="Garamond" w:hAnsi="Garamond" w:cs="Times New Roman"/>
        </w:rPr>
        <w:t xml:space="preserve">, in </w:t>
      </w:r>
      <w:hyperlink r:id="rId1" w:history="1">
        <w:r w:rsidRPr="009C3984">
          <w:rPr>
            <w:rStyle w:val="Collegamentoipertestuale"/>
            <w:rFonts w:ascii="Garamond" w:hAnsi="Garamond" w:cs="Times New Roman"/>
          </w:rPr>
          <w:t>https://www.appaltiecontratti.it/concessioni-balneari-proroga-al-2027-e-nuove-regole-per-la-procedura/</w:t>
        </w:r>
      </w:hyperlink>
      <w:r w:rsidRPr="009C3984">
        <w:rPr>
          <w:rFonts w:ascii="Garamond" w:hAnsi="Garamond" w:cs="Times New Roman"/>
        </w:rPr>
        <w:t xml:space="preserve">, 17settembre 2024; </w:t>
      </w:r>
    </w:p>
    <w:p w14:paraId="1C58F769" w14:textId="77777777" w:rsidR="00AD6442" w:rsidRPr="009C3984" w:rsidRDefault="00AD6442" w:rsidP="009C3984">
      <w:pPr>
        <w:pStyle w:val="Testonotaapidipagina"/>
        <w:jc w:val="both"/>
        <w:rPr>
          <w:rFonts w:ascii="Garamond" w:hAnsi="Garamond" w:cs="Times New Roman"/>
        </w:rPr>
      </w:pPr>
      <w:r w:rsidRPr="009C3984">
        <w:rPr>
          <w:rFonts w:ascii="Garamond" w:hAnsi="Garamond" w:cs="Times New Roman"/>
        </w:rPr>
        <w:t xml:space="preserve">EMILIO CAUCCI, </w:t>
      </w:r>
      <w:r w:rsidRPr="009C3984">
        <w:rPr>
          <w:rFonts w:ascii="Garamond" w:hAnsi="Garamond" w:cs="Times New Roman"/>
          <w:i/>
        </w:rPr>
        <w:t>Le concessioni demaniali marittime, la proroga, il tema degli “indennizzi” e il decreto-legge n. 131/2024</w:t>
      </w:r>
      <w:r w:rsidRPr="009C3984">
        <w:rPr>
          <w:rFonts w:ascii="Garamond" w:hAnsi="Garamond" w:cs="Times New Roman"/>
        </w:rPr>
        <w:t xml:space="preserve">, in www.amministrativistiveneti.it, 21 ottobre 2024 in </w:t>
      </w:r>
      <w:hyperlink r:id="rId2" w:history="1">
        <w:r w:rsidRPr="009C3984">
          <w:rPr>
            <w:rStyle w:val="Collegamentoipertestuale"/>
            <w:rFonts w:ascii="Garamond" w:hAnsi="Garamond" w:cs="Times New Roman"/>
          </w:rPr>
          <w:t>https://www.amministrativistiveneti.it/le-concessioni-demaniali-marittime-la-proroga-il-tema-degli-indennizzi-e-il-decreto-legge-n-131-2024/</w:t>
        </w:r>
      </w:hyperlink>
      <w:r w:rsidRPr="009C3984">
        <w:rPr>
          <w:rFonts w:ascii="Garamond" w:hAnsi="Garamond" w:cs="Times New Roman"/>
        </w:rPr>
        <w:t xml:space="preserve">, 21 ottobre 2024; </w:t>
      </w:r>
    </w:p>
    <w:p w14:paraId="1C183B09" w14:textId="77777777" w:rsidR="00AD6442" w:rsidRPr="009C3984" w:rsidRDefault="00AD6442" w:rsidP="009C3984">
      <w:pPr>
        <w:pStyle w:val="Testonotaapidipagina"/>
        <w:jc w:val="both"/>
        <w:rPr>
          <w:rFonts w:ascii="Garamond" w:hAnsi="Garamond" w:cs="Times New Roman"/>
        </w:rPr>
      </w:pPr>
      <w:r w:rsidRPr="009C3984">
        <w:rPr>
          <w:rFonts w:ascii="Garamond" w:hAnsi="Garamond" w:cs="Times New Roman"/>
        </w:rPr>
        <w:t xml:space="preserve">DOMENICO VITALE, </w:t>
      </w:r>
      <w:r w:rsidRPr="009C3984">
        <w:rPr>
          <w:rFonts w:ascii="Garamond" w:hAnsi="Garamond" w:cs="Times New Roman"/>
          <w:i/>
        </w:rPr>
        <w:t>Legge 14 novembre 2024 n.166: concessioni demaniali marittime, lacuali e fluviali per l’esercizio di attività turistico-ricreative e sportive – nuove disposizioni per affidamento con procedure di evidenza pubblica – proroghe al 30 settembre 2027</w:t>
      </w:r>
      <w:r w:rsidRPr="009C3984">
        <w:rPr>
          <w:rFonts w:ascii="Garamond" w:hAnsi="Garamond" w:cs="Times New Roman"/>
        </w:rPr>
        <w:t xml:space="preserve">, in </w:t>
      </w:r>
      <w:hyperlink r:id="rId3" w:history="1">
        <w:r w:rsidRPr="009C3984">
          <w:rPr>
            <w:rStyle w:val="Collegamentoipertestuale"/>
            <w:rFonts w:ascii="Garamond" w:hAnsi="Garamond" w:cs="Times New Roman"/>
          </w:rPr>
          <w:t>https://www.mediappalti.it/legge-14-novembre-2024-n-166-concessioni-demaniali-marittime-lacuali-e-fluviali-per-lesercizio-di-attivita-turistico-ricreative-e-sportive-nuove-disposizioni-per-affidamento-con-procedure/</w:t>
        </w:r>
      </w:hyperlink>
      <w:r w:rsidRPr="009C3984">
        <w:rPr>
          <w:rFonts w:ascii="Garamond" w:hAnsi="Garamond" w:cs="Times New Roman"/>
        </w:rPr>
        <w:t>,  12 dicembre 2024.</w:t>
      </w:r>
    </w:p>
    <w:p w14:paraId="689D769C" w14:textId="77777777" w:rsidR="00AD6442" w:rsidRPr="009C3984" w:rsidRDefault="00AD6442" w:rsidP="009C3984">
      <w:pPr>
        <w:pStyle w:val="Testonotaapidipagina"/>
        <w:jc w:val="both"/>
        <w:rPr>
          <w:rFonts w:ascii="Garamond" w:hAnsi="Garamond" w:cs="Times New Roman"/>
        </w:rPr>
      </w:pPr>
      <w:r w:rsidRPr="009C3984">
        <w:rPr>
          <w:rFonts w:ascii="Garamond" w:hAnsi="Garamond" w:cs="Times New Roman"/>
        </w:rPr>
        <w:t xml:space="preserve">MICHELE PARENTI, </w:t>
      </w:r>
      <w:r w:rsidRPr="009C3984">
        <w:rPr>
          <w:rFonts w:ascii="Garamond" w:hAnsi="Garamond" w:cs="Times New Roman"/>
          <w:i/>
        </w:rPr>
        <w:t>La complessità delle gare sulle concessioni balneari previste dal decreto Infrazioni</w:t>
      </w:r>
      <w:r w:rsidRPr="009C3984">
        <w:rPr>
          <w:rFonts w:ascii="Garamond" w:hAnsi="Garamond" w:cs="Times New Roman"/>
        </w:rPr>
        <w:t xml:space="preserve">, in </w:t>
      </w:r>
      <w:hyperlink r:id="rId4" w:history="1">
        <w:r w:rsidRPr="009C3984">
          <w:rPr>
            <w:rStyle w:val="Collegamentoipertestuale"/>
            <w:rFonts w:ascii="Garamond" w:hAnsi="Garamond" w:cs="Times New Roman"/>
          </w:rPr>
          <w:t>https://www.mondobalneare.com/la-complessita-delle-gare-sulle-concessioni-balneari-previste-dal-decreto-infrazioni/</w:t>
        </w:r>
      </w:hyperlink>
      <w:r w:rsidRPr="009C3984">
        <w:rPr>
          <w:rFonts w:ascii="Garamond" w:hAnsi="Garamond" w:cs="Times New Roman"/>
        </w:rPr>
        <w:t>, 8 novembre 2024.</w:t>
      </w:r>
    </w:p>
  </w:footnote>
  <w:footnote w:id="27">
    <w:p w14:paraId="7BDC38EA" w14:textId="6EE8A4AF" w:rsidR="00AD6442" w:rsidRPr="009C3984" w:rsidRDefault="00AD6442" w:rsidP="009C3984">
      <w:pPr>
        <w:pStyle w:val="Testonotaapidipagina"/>
        <w:jc w:val="both"/>
        <w:rPr>
          <w:rFonts w:ascii="Garamond" w:hAnsi="Garamond" w:cs="Times New Roman"/>
          <w:color w:val="000000" w:themeColor="text1"/>
        </w:rPr>
      </w:pPr>
      <w:r w:rsidRPr="009C3984">
        <w:rPr>
          <w:rStyle w:val="Rimandonotaapidipagina"/>
          <w:rFonts w:ascii="Garamond" w:hAnsi="Garamond" w:cs="Times New Roman"/>
          <w:color w:val="000000" w:themeColor="text1"/>
        </w:rPr>
        <w:footnoteRef/>
      </w:r>
      <w:r w:rsidRPr="009C3984">
        <w:rPr>
          <w:rFonts w:ascii="Garamond" w:hAnsi="Garamond" w:cs="Times New Roman"/>
          <w:color w:val="000000" w:themeColor="text1"/>
        </w:rPr>
        <w:t xml:space="preserve"> ROSAMARIA BERLOCO, </w:t>
      </w:r>
      <w:r w:rsidRPr="009C3984">
        <w:rPr>
          <w:rFonts w:ascii="Garamond" w:hAnsi="Garamond" w:cs="Times New Roman"/>
          <w:i/>
          <w:color w:val="000000" w:themeColor="text1"/>
        </w:rPr>
        <w:t>Concessioni balneari, la proroga al 2027 è automatica?</w:t>
      </w:r>
      <w:r w:rsidRPr="009C3984">
        <w:rPr>
          <w:rFonts w:ascii="Garamond" w:hAnsi="Garamond" w:cs="Times New Roman"/>
          <w:color w:val="000000" w:themeColor="text1"/>
        </w:rPr>
        <w:t xml:space="preserve">, in </w:t>
      </w:r>
      <w:hyperlink r:id="rId5" w:history="1">
        <w:r w:rsidRPr="009C3984">
          <w:rPr>
            <w:rStyle w:val="Collegamentoipertestuale"/>
            <w:rFonts w:ascii="Garamond" w:hAnsi="Garamond" w:cs="Times New Roman"/>
          </w:rPr>
          <w:t>https://www.mondobalneare.com/concessioni-balneari-la-proroga-al-2027-e-automatica/</w:t>
        </w:r>
      </w:hyperlink>
      <w:r w:rsidRPr="009C3984">
        <w:rPr>
          <w:rFonts w:ascii="Garamond" w:hAnsi="Garamond" w:cs="Times New Roman"/>
        </w:rPr>
        <w:t xml:space="preserve">, </w:t>
      </w:r>
      <w:r w:rsidRPr="009C3984">
        <w:rPr>
          <w:rFonts w:ascii="Garamond" w:hAnsi="Garamond" w:cs="Times New Roman"/>
          <w:color w:val="000000" w:themeColor="text1"/>
        </w:rPr>
        <w:t>21/01/2025.</w:t>
      </w:r>
    </w:p>
    <w:p w14:paraId="4A80634A" w14:textId="7279C6F5" w:rsidR="00AD6442" w:rsidRPr="009C3984" w:rsidRDefault="00AD6442" w:rsidP="009C3984">
      <w:pPr>
        <w:pStyle w:val="Testonotaapidipagina"/>
        <w:jc w:val="both"/>
        <w:rPr>
          <w:rFonts w:ascii="Garamond" w:hAnsi="Garamond" w:cs="Times New Roman"/>
        </w:rPr>
      </w:pPr>
      <w:r w:rsidRPr="009C3984">
        <w:rPr>
          <w:rFonts w:ascii="Garamond" w:hAnsi="Garamond" w:cs="Times New Roman"/>
        </w:rPr>
        <w:t>Sul punto il T.A.R. Puglia Lecce, con 13 ordinanze cautelari del 09/01/2025</w:t>
      </w:r>
      <w:r w:rsidRPr="009C3984">
        <w:rPr>
          <w:rFonts w:ascii="Garamond" w:hAnsi="Garamond" w:cs="Times New Roman"/>
          <w:vertAlign w:val="superscript"/>
        </w:rPr>
        <w:footnoteRef/>
      </w:r>
      <w:r w:rsidRPr="009C3984">
        <w:rPr>
          <w:rFonts w:ascii="Garamond" w:hAnsi="Garamond" w:cs="Times New Roman"/>
        </w:rPr>
        <w:t xml:space="preserve">, ha fatto applicazione del nuovo d.l. n. 131/2024, affermando la proroga delle concessioni in essere fino alla successiva udienza di merito, fissata per il 05/03/2025. Sulla stessa linea, dell’operatività </w:t>
      </w:r>
      <w:r w:rsidRPr="009C3984">
        <w:rPr>
          <w:rFonts w:ascii="Garamond" w:hAnsi="Garamond" w:cs="Times New Roman"/>
          <w:i/>
        </w:rPr>
        <w:t>ex lege</w:t>
      </w:r>
      <w:r w:rsidRPr="009C3984">
        <w:rPr>
          <w:rFonts w:ascii="Garamond" w:hAnsi="Garamond" w:cs="Times New Roman"/>
        </w:rPr>
        <w:t xml:space="preserve"> della proroga, il T.A.R. Campania con sentenza del 14/01/2025, n. 365.</w:t>
      </w:r>
    </w:p>
    <w:p w14:paraId="3A6DF882" w14:textId="1EE0A6A0" w:rsidR="00AD6442" w:rsidRPr="009C3984" w:rsidRDefault="00AD6442" w:rsidP="009C3984">
      <w:pPr>
        <w:pStyle w:val="Testonotaapidipagina"/>
        <w:jc w:val="both"/>
        <w:rPr>
          <w:rFonts w:ascii="Garamond" w:hAnsi="Garamond" w:cs="Times New Roman"/>
        </w:rPr>
      </w:pPr>
      <w:r w:rsidRPr="009C3984">
        <w:rPr>
          <w:rFonts w:ascii="Garamond" w:hAnsi="Garamond" w:cs="Times New Roman"/>
        </w:rPr>
        <w:t>In senso opposto T.A.R. Liguria, n. 869 del 14/12/2024.</w:t>
      </w:r>
    </w:p>
  </w:footnote>
  <w:footnote w:id="28">
    <w:p w14:paraId="27E358E9" w14:textId="4F621286"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EMILIO CAUCCI, si veda nota n. 26.</w:t>
      </w:r>
    </w:p>
  </w:footnote>
  <w:footnote w:id="29">
    <w:p w14:paraId="57D6B9A3" w14:textId="6C27403B" w:rsidR="00AD6442" w:rsidRPr="009C3984" w:rsidRDefault="00AD6442" w:rsidP="009C3984">
      <w:pPr>
        <w:spacing w:after="0" w:line="276" w:lineRule="auto"/>
        <w:jc w:val="both"/>
        <w:rPr>
          <w:rFonts w:ascii="Garamond" w:hAnsi="Garamond" w:cs="Times New Roman"/>
          <w:i/>
          <w:sz w:val="20"/>
          <w:szCs w:val="20"/>
        </w:rPr>
      </w:pPr>
      <w:r w:rsidRPr="009C3984">
        <w:rPr>
          <w:rStyle w:val="Rimandonotaapidipagina"/>
          <w:rFonts w:ascii="Garamond" w:hAnsi="Garamond" w:cs="Times New Roman"/>
          <w:sz w:val="20"/>
          <w:szCs w:val="20"/>
        </w:rPr>
        <w:footnoteRef/>
      </w:r>
      <w:r w:rsidRPr="009C3984">
        <w:rPr>
          <w:rFonts w:ascii="Garamond" w:hAnsi="Garamond" w:cs="Times New Roman"/>
          <w:sz w:val="20"/>
          <w:szCs w:val="20"/>
        </w:rPr>
        <w:t xml:space="preserve"> “</w:t>
      </w:r>
      <w:r w:rsidRPr="009C3984">
        <w:rPr>
          <w:rFonts w:ascii="Garamond" w:hAnsi="Garamond" w:cs="Times New Roman"/>
          <w:i/>
          <w:sz w:val="20"/>
          <w:szCs w:val="20"/>
        </w:rPr>
        <w:t>Affinché possano legittimamente giovarsi di tale proroga tecnica senza violare o eludere il diritto dell'Unione e la stessa L. n. 118 del 2022, però, le autorità amministrative competenti - e, in particolare, quelle comunali - devono avere già indetto la procedura selettiva o comunque avere deliberato di indirla in tempi brevissimi, emanando atti di indirizzo in tal senso e avviando senza indugio l’iter per la predisposizione dei bandi</w:t>
      </w:r>
      <w:r w:rsidRPr="009C3984">
        <w:rPr>
          <w:rFonts w:ascii="Garamond" w:hAnsi="Garamond" w:cs="Times New Roman"/>
          <w:sz w:val="20"/>
          <w:szCs w:val="20"/>
        </w:rPr>
        <w:t>”.</w:t>
      </w:r>
    </w:p>
  </w:footnote>
  <w:footnote w:id="30">
    <w:p w14:paraId="639C77A2" w14:textId="07718423" w:rsidR="00AD6442" w:rsidRPr="00F20164" w:rsidRDefault="00AD6442" w:rsidP="009C3984">
      <w:pPr>
        <w:pStyle w:val="Testonotaapidipagina"/>
        <w:jc w:val="both"/>
        <w:rPr>
          <w:rFonts w:ascii="Garamond" w:hAnsi="Garamond" w:cs="Times New Roman"/>
          <w:lang w:val="en-US"/>
        </w:rPr>
      </w:pPr>
      <w:r w:rsidRPr="009C3984">
        <w:rPr>
          <w:rStyle w:val="Rimandonotaapidipagina"/>
          <w:rFonts w:ascii="Garamond" w:hAnsi="Garamond" w:cs="Times New Roman"/>
        </w:rPr>
        <w:footnoteRef/>
      </w:r>
      <w:r w:rsidRPr="00F20164">
        <w:rPr>
          <w:rFonts w:ascii="Garamond" w:hAnsi="Garamond" w:cs="Times New Roman"/>
          <w:lang w:val="en-US"/>
        </w:rPr>
        <w:t xml:space="preserve"> All. 10: art. 4, c. 9, L. cit.</w:t>
      </w:r>
    </w:p>
  </w:footnote>
  <w:footnote w:id="31">
    <w:p w14:paraId="04A65E64" w14:textId="30EE2492" w:rsidR="00AD6442" w:rsidRPr="009C3984" w:rsidRDefault="00AD6442" w:rsidP="009C3984">
      <w:pPr>
        <w:pStyle w:val="Testonotaapidipagina"/>
        <w:jc w:val="both"/>
        <w:rPr>
          <w:rFonts w:ascii="Garamond" w:hAnsi="Garamond" w:cs="Times New Roman"/>
          <w:color w:val="000000" w:themeColor="text1"/>
          <w:shd w:val="clear" w:color="auto" w:fill="FFFFFF"/>
        </w:rPr>
      </w:pPr>
      <w:r w:rsidRPr="009C3984">
        <w:rPr>
          <w:rStyle w:val="Rimandonotaapidipagina"/>
          <w:rFonts w:ascii="Garamond" w:hAnsi="Garamond" w:cs="Times New Roman"/>
          <w:color w:val="000000" w:themeColor="text1"/>
        </w:rPr>
        <w:footnoteRef/>
      </w:r>
      <w:r w:rsidRPr="009C3984">
        <w:rPr>
          <w:rFonts w:ascii="Garamond" w:hAnsi="Garamond" w:cs="Times New Roman"/>
          <w:color w:val="000000" w:themeColor="text1"/>
        </w:rPr>
        <w:t xml:space="preserve"> </w:t>
      </w:r>
      <w:r w:rsidRPr="009C3984">
        <w:rPr>
          <w:rFonts w:ascii="Garamond" w:hAnsi="Garamond" w:cs="Times New Roman"/>
          <w:i/>
          <w:color w:val="000000" w:themeColor="text1"/>
        </w:rPr>
        <w:t>Cfr</w:t>
      </w:r>
      <w:r w:rsidRPr="009C3984">
        <w:rPr>
          <w:rFonts w:ascii="Garamond" w:hAnsi="Garamond" w:cs="Times New Roman"/>
          <w:color w:val="000000" w:themeColor="text1"/>
        </w:rPr>
        <w:t xml:space="preserve">.: </w:t>
      </w:r>
      <w:r w:rsidRPr="009C3984">
        <w:rPr>
          <w:rFonts w:ascii="Garamond" w:hAnsi="Garamond" w:cs="Times New Roman"/>
          <w:i/>
          <w:color w:val="000000" w:themeColor="text1"/>
          <w:shd w:val="clear" w:color="auto" w:fill="FFFFFF"/>
        </w:rPr>
        <w:t>Le concessioni balneari non possono andare a gara senza indennizzi</w:t>
      </w:r>
      <w:r w:rsidRPr="009C3984">
        <w:rPr>
          <w:rFonts w:ascii="Garamond" w:hAnsi="Garamond" w:cs="Times New Roman"/>
          <w:color w:val="000000" w:themeColor="text1"/>
          <w:shd w:val="clear" w:color="auto" w:fill="FFFFFF"/>
        </w:rPr>
        <w:t xml:space="preserve">, in </w:t>
      </w:r>
      <w:hyperlink r:id="rId6" w:anchor=":~:text=%C2%ABLe%20concessioni%20demaniali%20marittime%20non,come%20previsto%20dalla%20normativa%20vigente%C2%BB" w:history="1">
        <w:r w:rsidRPr="009C3984">
          <w:rPr>
            <w:rStyle w:val="Collegamentoipertestuale"/>
            <w:rFonts w:ascii="Garamond" w:hAnsi="Garamond" w:cs="Times New Roman"/>
          </w:rPr>
          <w:t>https://www.mondobalneare.com/le-concessioni-balneari-non-possono-andare-a-gara-senza-indennizzi/#:~:text=%C2%ABLe%20concessioni%20demaniali%20marittime%20non,come%20previsto%20dAlla%20normativa%20vigente%C2%BB</w:t>
        </w:r>
      </w:hyperlink>
      <w:r w:rsidRPr="009C3984">
        <w:rPr>
          <w:rFonts w:ascii="Garamond" w:hAnsi="Garamond" w:cs="Times New Roman"/>
        </w:rPr>
        <w:t>.</w:t>
      </w:r>
      <w:r w:rsidRPr="009C3984">
        <w:rPr>
          <w:rStyle w:val="Collegamentoipertestuale"/>
          <w:rFonts w:ascii="Garamond" w:hAnsi="Garamond" w:cs="Times New Roman"/>
          <w:color w:val="000000" w:themeColor="text1"/>
          <w:u w:val="none"/>
          <w:shd w:val="clear" w:color="auto" w:fill="FFFFFF"/>
        </w:rPr>
        <w:t>,</w:t>
      </w:r>
      <w:r w:rsidRPr="009C3984">
        <w:rPr>
          <w:rFonts w:ascii="Garamond" w:hAnsi="Garamond" w:cs="Times New Roman"/>
          <w:color w:val="000000" w:themeColor="text1"/>
          <w:shd w:val="clear" w:color="auto" w:fill="FFFFFF"/>
        </w:rPr>
        <w:t xml:space="preserve"> 2 dicembre 2024;</w:t>
      </w:r>
    </w:p>
    <w:p w14:paraId="7D7FE250" w14:textId="77777777" w:rsidR="00AD6442" w:rsidRPr="009C3984" w:rsidRDefault="00AD6442" w:rsidP="009C3984">
      <w:pPr>
        <w:pStyle w:val="Testonotaapidipagina"/>
        <w:jc w:val="both"/>
        <w:rPr>
          <w:rFonts w:ascii="Garamond" w:hAnsi="Garamond" w:cs="Times New Roman"/>
          <w:color w:val="000000" w:themeColor="text1"/>
          <w:shd w:val="clear" w:color="auto" w:fill="FFFFFF"/>
        </w:rPr>
      </w:pPr>
      <w:r w:rsidRPr="009C3984">
        <w:rPr>
          <w:rFonts w:ascii="Garamond" w:hAnsi="Garamond" w:cs="Times New Roman"/>
          <w:i/>
          <w:color w:val="000000" w:themeColor="text1"/>
          <w:shd w:val="clear" w:color="auto" w:fill="FFFFFF"/>
        </w:rPr>
        <w:t>Circolare Sindacato italiano balneari: illegittimi eventuali bandi di gara in assenza della previa determinazione degli indennizzi</w:t>
      </w:r>
      <w:r w:rsidRPr="009C3984">
        <w:rPr>
          <w:rFonts w:ascii="Garamond" w:hAnsi="Garamond" w:cs="Times New Roman"/>
          <w:color w:val="000000" w:themeColor="text1"/>
          <w:shd w:val="clear" w:color="auto" w:fill="FFFFFF"/>
        </w:rPr>
        <w:t xml:space="preserve">, prot n. 178 del 27 novembre 2024 in </w:t>
      </w:r>
      <w:hyperlink r:id="rId7" w:history="1">
        <w:r w:rsidRPr="009C3984">
          <w:rPr>
            <w:rStyle w:val="Collegamentoipertestuale"/>
            <w:rFonts w:ascii="Garamond" w:hAnsi="Garamond" w:cs="Times New Roman"/>
            <w:shd w:val="clear" w:color="auto" w:fill="FFFFFF"/>
          </w:rPr>
          <w:t>https://www.sindacatobalneari.it/comunicato-stampa/illegittimi-eventuali-bandi-di-gara-assenza-del-decreto-ministeriale-la</w:t>
        </w:r>
      </w:hyperlink>
      <w:r w:rsidRPr="009C3984">
        <w:rPr>
          <w:rFonts w:ascii="Garamond" w:hAnsi="Garamond" w:cs="Times New Roman"/>
          <w:color w:val="000000" w:themeColor="text1"/>
          <w:shd w:val="clear" w:color="auto" w:fill="FFFFFF"/>
        </w:rPr>
        <w:t xml:space="preserve">; </w:t>
      </w:r>
    </w:p>
    <w:p w14:paraId="2E1A1BE9" w14:textId="32A6F1DC" w:rsidR="00AD6442" w:rsidRPr="009C3984" w:rsidRDefault="00AD6442" w:rsidP="009C3984">
      <w:pPr>
        <w:pStyle w:val="Testonotaapidipagina"/>
        <w:jc w:val="both"/>
        <w:rPr>
          <w:rFonts w:ascii="Garamond" w:hAnsi="Garamond" w:cs="Times New Roman"/>
          <w:color w:val="000000" w:themeColor="text1"/>
          <w:shd w:val="clear" w:color="auto" w:fill="FFFFFF"/>
        </w:rPr>
      </w:pPr>
      <w:r w:rsidRPr="009C3984">
        <w:rPr>
          <w:rFonts w:ascii="Garamond" w:hAnsi="Garamond" w:cs="Times New Roman"/>
          <w:color w:val="000000" w:themeColor="text1"/>
        </w:rPr>
        <w:t>ROSAMARIA BERLOCO si veda nota n. 27.</w:t>
      </w:r>
    </w:p>
  </w:footnote>
  <w:footnote w:id="32">
    <w:p w14:paraId="1E9CECE1" w14:textId="65BB58A4"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A. GIGLIOLA – S. FIDANZA, </w:t>
      </w:r>
      <w:r w:rsidRPr="009C3984">
        <w:rPr>
          <w:rFonts w:ascii="Garamond" w:hAnsi="Garamond"/>
          <w:i/>
        </w:rPr>
        <w:t>Concessioni demaniali marittime, lacuali e fluviali per finalità turistico-ricreative e sportive alla luce del decreto salva infrazioni</w:t>
      </w:r>
      <w:r w:rsidRPr="009C3984">
        <w:rPr>
          <w:rFonts w:ascii="Garamond" w:hAnsi="Garamond"/>
        </w:rPr>
        <w:t xml:space="preserve">, 27 novembre 2024, in </w:t>
      </w:r>
      <w:hyperlink r:id="rId8" w:anchor="_ftn7" w:history="1">
        <w:r w:rsidRPr="009C3984">
          <w:rPr>
            <w:rStyle w:val="Collegamentoipertestuale"/>
            <w:rFonts w:ascii="Garamond" w:hAnsi="Garamond"/>
          </w:rPr>
          <w:t>https://italiappalti.it/leggiarticolo.php?id=5434#_ftn7</w:t>
        </w:r>
      </w:hyperlink>
      <w:r w:rsidRPr="009C3984">
        <w:rPr>
          <w:rFonts w:ascii="Garamond" w:hAnsi="Garamond"/>
        </w:rPr>
        <w:t xml:space="preserve"> .</w:t>
      </w:r>
    </w:p>
  </w:footnote>
  <w:footnote w:id="33">
    <w:p w14:paraId="1A4B0B24" w14:textId="77777777"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In questi termini, A. GIGLIOLA – S. FIDANZA, </w:t>
      </w:r>
      <w:r w:rsidRPr="009C3984">
        <w:rPr>
          <w:rFonts w:ascii="Garamond" w:hAnsi="Garamond"/>
          <w:i/>
        </w:rPr>
        <w:t xml:space="preserve">id. </w:t>
      </w:r>
      <w:r w:rsidRPr="009C3984">
        <w:rPr>
          <w:rFonts w:ascii="Garamond" w:hAnsi="Garamond"/>
        </w:rPr>
        <w:t>Gli autori sottolineano quanto sia complesso giungere a una tale definizione “</w:t>
      </w:r>
      <w:r w:rsidRPr="009C3984">
        <w:rPr>
          <w:rFonts w:ascii="Garamond" w:hAnsi="Garamond"/>
          <w:i/>
        </w:rPr>
        <w:t>tale per cui occorrerà valutare caso per caso l’effettiva portata dell’attività svolta</w:t>
      </w:r>
      <w:r w:rsidRPr="009C3984">
        <w:rPr>
          <w:rFonts w:ascii="Garamond" w:hAnsi="Garamond"/>
        </w:rPr>
        <w:t>”.</w:t>
      </w:r>
    </w:p>
  </w:footnote>
  <w:footnote w:id="34">
    <w:p w14:paraId="3D6A36D7" w14:textId="0B897CF5"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A GIGLIOLA – S. FIDANZA, si veda nota 32.</w:t>
      </w:r>
    </w:p>
  </w:footnote>
  <w:footnote w:id="35">
    <w:p w14:paraId="6EFFED0A" w14:textId="483DD98F"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A. GIGLIOLA – S. FIDANZA </w:t>
      </w:r>
      <w:r w:rsidRPr="009C3984">
        <w:rPr>
          <w:rFonts w:ascii="Garamond" w:hAnsi="Garamond"/>
          <w:i/>
        </w:rPr>
        <w:t xml:space="preserve">id. </w:t>
      </w:r>
      <w:r w:rsidRPr="009C3984">
        <w:rPr>
          <w:rFonts w:ascii="Garamond" w:hAnsi="Garamond"/>
        </w:rPr>
        <w:t>Precisano gli autori che, in ogni caso, “</w:t>
      </w:r>
      <w:r w:rsidRPr="009C3984">
        <w:rPr>
          <w:rFonts w:ascii="Garamond" w:hAnsi="Garamond"/>
          <w:i/>
        </w:rPr>
        <w:t>la proroga al 30 settembre 2027 trova necessariamente applicazione alle associazioni e società sportive dilettantistiche che hanno in concessione beni demaniali utilizzati anche per lo svolgimento di attività economiche, in quanto soggette all’applicazione delle procedure di cui all’art. 4</w:t>
      </w:r>
      <w:r w:rsidRPr="009C3984">
        <w:rPr>
          <w:rFonts w:ascii="Garamond" w:hAnsi="Garamond"/>
        </w:rPr>
        <w:t>”.</w:t>
      </w:r>
    </w:p>
  </w:footnote>
  <w:footnote w:id="36">
    <w:p w14:paraId="2BF057EB" w14:textId="77DCFC09"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All. 11: decreto regione Sicilia per approvazione PUDM.</w:t>
      </w:r>
    </w:p>
  </w:footnote>
  <w:footnote w:id="37">
    <w:p w14:paraId="5B451D8A" w14:textId="7C7D1061"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All. 12: delibera 54-9 del 30/12/2024 Regione Sardegna.</w:t>
      </w:r>
    </w:p>
  </w:footnote>
  <w:footnote w:id="38">
    <w:p w14:paraId="26A2C444" w14:textId="613FF31D"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All. 13: elenco concessioni demaniali marittime 2024 Regione Campania.</w:t>
      </w:r>
    </w:p>
  </w:footnote>
  <w:footnote w:id="39">
    <w:p w14:paraId="5784291E" w14:textId="27448AB4"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All. 14: lettera Associazione Turistica Balneare Siciliana, 04/02/2025.</w:t>
      </w:r>
    </w:p>
  </w:footnote>
  <w:footnote w:id="40">
    <w:p w14:paraId="68C908C7" w14:textId="77777777"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w:t>
      </w:r>
      <w:hyperlink r:id="rId9" w:history="1">
        <w:r w:rsidRPr="009C3984">
          <w:rPr>
            <w:rStyle w:val="Collegamentoipertestuale"/>
            <w:rFonts w:ascii="Garamond" w:hAnsi="Garamond"/>
          </w:rPr>
          <w:t>https://smart.comune.genova.it/comunicati-stampa-articoli/balneari-aggiudicate-le-prime-14-concessioni-demaniali-marittime</w:t>
        </w:r>
      </w:hyperlink>
      <w:r w:rsidRPr="009C3984">
        <w:rPr>
          <w:rFonts w:ascii="Garamond" w:hAnsi="Garamond"/>
        </w:rPr>
        <w:t xml:space="preserve">. </w:t>
      </w:r>
    </w:p>
  </w:footnote>
  <w:footnote w:id="41">
    <w:p w14:paraId="0362A7B1" w14:textId="77777777"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w:t>
      </w:r>
      <w:hyperlink r:id="rId10" w:history="1">
        <w:r w:rsidRPr="009C3984">
          <w:rPr>
            <w:rStyle w:val="Collegamentoipertestuale"/>
            <w:rFonts w:ascii="Garamond" w:hAnsi="Garamond"/>
          </w:rPr>
          <w:t>https://www.comune.roma.it/web/it/notizia/concessioni-balneari-ostia-al-via-gare-pubbliche.page</w:t>
        </w:r>
      </w:hyperlink>
      <w:r w:rsidRPr="009C3984">
        <w:rPr>
          <w:rFonts w:ascii="Garamond" w:hAnsi="Garamond"/>
        </w:rPr>
        <w:t xml:space="preserve">; </w:t>
      </w:r>
      <w:hyperlink r:id="rId11" w:history="1">
        <w:r w:rsidRPr="009C3984">
          <w:rPr>
            <w:rStyle w:val="Collegamentoipertestuale"/>
            <w:rFonts w:ascii="Garamond" w:hAnsi="Garamond"/>
          </w:rPr>
          <w:t>https://www.comune.roma.it/web/it/notizia/municipio10-bandi-pubblici-stagione-balneare.page</w:t>
        </w:r>
      </w:hyperlink>
      <w:r w:rsidRPr="009C3984">
        <w:rPr>
          <w:rFonts w:ascii="Garamond" w:hAnsi="Garamond"/>
        </w:rPr>
        <w:t>.</w:t>
      </w:r>
    </w:p>
  </w:footnote>
  <w:footnote w:id="42">
    <w:p w14:paraId="7AC7EC44" w14:textId="77777777"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w:t>
      </w:r>
      <w:hyperlink r:id="rId12" w:history="1">
        <w:r w:rsidRPr="009C3984">
          <w:rPr>
            <w:rStyle w:val="Collegamentoipertestuale"/>
            <w:rFonts w:ascii="Garamond" w:hAnsi="Garamond"/>
          </w:rPr>
          <w:t>https://www.comune.rimini.it/novita/concessioni-demaniali-marittime-la-giunta-comunale-recepisce-la-proroga-stabilita-dalla</w:t>
        </w:r>
      </w:hyperlink>
      <w:r w:rsidRPr="009C3984">
        <w:rPr>
          <w:rFonts w:ascii="Garamond" w:hAnsi="Garamond"/>
        </w:rPr>
        <w:t xml:space="preserve">; </w:t>
      </w:r>
      <w:hyperlink r:id="rId13" w:history="1">
        <w:r w:rsidRPr="009C3984">
          <w:rPr>
            <w:rStyle w:val="Collegamentoipertestuale"/>
            <w:rFonts w:ascii="Garamond" w:hAnsi="Garamond"/>
          </w:rPr>
          <w:t>https://www.comune.bari.it/-/concessioni-demaniali-proroga-fino-al-30-settembre-2027-nelle-more-dell-espletamento-delle-gare</w:t>
        </w:r>
      </w:hyperlink>
      <w:r w:rsidRPr="009C3984">
        <w:rPr>
          <w:rFonts w:ascii="Garamond" w:hAnsi="Garamond"/>
        </w:rPr>
        <w:t>.</w:t>
      </w:r>
    </w:p>
  </w:footnote>
  <w:footnote w:id="43">
    <w:p w14:paraId="431D2B09" w14:textId="2C34D3CF"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rPr>
        <w:footnoteRef/>
      </w:r>
      <w:r w:rsidRPr="009C3984">
        <w:rPr>
          <w:rFonts w:ascii="Garamond" w:hAnsi="Garamond"/>
        </w:rPr>
        <w:t xml:space="preserve"> All. 15.1: </w:t>
      </w:r>
      <w:r w:rsidRPr="009C3984">
        <w:rPr>
          <w:rFonts w:ascii="Garamond" w:hAnsi="Garamond" w:cs="Times New Roman"/>
        </w:rPr>
        <w:t xml:space="preserve">T.A.R. Campania Napoli, Sez. VII, 23/12/2024, n. 7288. </w:t>
      </w:r>
    </w:p>
    <w:p w14:paraId="3AAD956F" w14:textId="74A3FA5D" w:rsidR="00AD6442" w:rsidRPr="009C3984" w:rsidRDefault="00AD6442" w:rsidP="009C3984">
      <w:pPr>
        <w:pStyle w:val="Testonotaapidipagina"/>
        <w:jc w:val="both"/>
        <w:rPr>
          <w:rFonts w:ascii="Garamond" w:hAnsi="Garamond"/>
        </w:rPr>
      </w:pPr>
      <w:r w:rsidRPr="009C3984">
        <w:rPr>
          <w:rFonts w:ascii="Garamond" w:hAnsi="Garamond" w:cs="Times New Roman"/>
        </w:rPr>
        <w:t>All. 15.2: propende per l’efficacia automatica della proroga anche T.A.R. Campania Napoli, Sez. VII, 20/01/2025, n. 513.</w:t>
      </w:r>
    </w:p>
  </w:footnote>
  <w:footnote w:id="44">
    <w:p w14:paraId="36AAA664" w14:textId="7D32CAF1"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rPr>
        <w:footnoteRef/>
      </w:r>
      <w:r w:rsidRPr="009C3984">
        <w:rPr>
          <w:rFonts w:ascii="Garamond" w:hAnsi="Garamond"/>
        </w:rPr>
        <w:t xml:space="preserve"> </w:t>
      </w:r>
      <w:r w:rsidRPr="009C3984">
        <w:rPr>
          <w:rFonts w:ascii="Garamond" w:hAnsi="Garamond" w:cs="Times New Roman"/>
        </w:rPr>
        <w:t>A. DE SANTIS-M. DE SIMONE,</w:t>
      </w:r>
      <w:r w:rsidRPr="009C3984">
        <w:rPr>
          <w:rFonts w:ascii="Garamond" w:hAnsi="Garamond"/>
        </w:rPr>
        <w:t xml:space="preserve"> </w:t>
      </w:r>
      <w:r w:rsidRPr="009C3984">
        <w:rPr>
          <w:rFonts w:ascii="Garamond" w:hAnsi="Garamond" w:cs="Times New Roman"/>
          <w:i/>
        </w:rPr>
        <w:t>Le concessioni demaniali marittime: sintesi di un’evoluzione e prospettive future</w:t>
      </w:r>
      <w:r w:rsidRPr="009C3984">
        <w:rPr>
          <w:rFonts w:ascii="Garamond" w:hAnsi="Garamond" w:cs="Times New Roman"/>
        </w:rPr>
        <w:t xml:space="preserve">, </w:t>
      </w:r>
      <w:proofErr w:type="spellStart"/>
      <w:r w:rsidRPr="009C3984">
        <w:rPr>
          <w:rFonts w:ascii="Garamond" w:hAnsi="Garamond" w:cs="Times New Roman"/>
        </w:rPr>
        <w:t>Azienditalia</w:t>
      </w:r>
      <w:proofErr w:type="spellEnd"/>
      <w:r w:rsidRPr="009C3984">
        <w:rPr>
          <w:rFonts w:ascii="Garamond" w:hAnsi="Garamond" w:cs="Times New Roman"/>
        </w:rPr>
        <w:t xml:space="preserve"> 12/2024, p. 1336. Secondo la tesi prospettata dagli autori, “</w:t>
      </w:r>
      <w:r w:rsidRPr="009C3984">
        <w:rPr>
          <w:rFonts w:ascii="Garamond" w:hAnsi="Garamond" w:cs="Times New Roman"/>
          <w:i/>
        </w:rPr>
        <w:t>l’atto di rinnovo sottende l’esercizio di un potere valutativo degli interessi pubblici e privati coinvolti e che, pur non potendosi ricavare dal testo costituzionale un’autentica</w:t>
      </w:r>
      <w:r w:rsidRPr="009C3984">
        <w:rPr>
          <w:rFonts w:ascii="Garamond" w:hAnsi="Garamond" w:cs="Times New Roman"/>
        </w:rPr>
        <w:t xml:space="preserve"> “</w:t>
      </w:r>
      <w:r w:rsidRPr="009C3984">
        <w:rPr>
          <w:rFonts w:ascii="Garamond" w:hAnsi="Garamond" w:cs="Times New Roman"/>
          <w:i/>
        </w:rPr>
        <w:t>riserva di amministrazione”, il luogo fisiologicamente deputato Alla comparazione degli interessi “minuti” è il procedimento amministrativo, non anche le sedi di esercizio del potere legislativo</w:t>
      </w:r>
      <w:r w:rsidRPr="009C3984">
        <w:rPr>
          <w:rFonts w:ascii="Garamond" w:hAnsi="Garamond" w:cs="Times New Roman"/>
        </w:rPr>
        <w:t>”.</w:t>
      </w:r>
    </w:p>
  </w:footnote>
  <w:footnote w:id="45">
    <w:p w14:paraId="4BBE224B" w14:textId="13782CCD"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rPr>
        <w:footnoteRef/>
      </w:r>
      <w:r w:rsidRPr="009C3984">
        <w:rPr>
          <w:rFonts w:ascii="Garamond" w:hAnsi="Garamond"/>
        </w:rPr>
        <w:t xml:space="preserve"> All. 16: </w:t>
      </w:r>
      <w:r w:rsidRPr="009C3984">
        <w:rPr>
          <w:rFonts w:ascii="Garamond" w:hAnsi="Garamond" w:cs="Times New Roman"/>
        </w:rPr>
        <w:t>T.A.R. Liguria Genova, Sez. I, 14/12/2024, n. 869.</w:t>
      </w:r>
    </w:p>
  </w:footnote>
  <w:footnote w:id="46">
    <w:p w14:paraId="58367A86" w14:textId="10513804"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All. 17: </w:t>
      </w:r>
      <w:r w:rsidRPr="009C3984">
        <w:rPr>
          <w:rFonts w:ascii="Garamond" w:hAnsi="Garamond" w:cs="Times New Roman"/>
        </w:rPr>
        <w:t>T.A.R. Lazio Latina, Sez. II, 20/11/2024, n. 742.</w:t>
      </w:r>
    </w:p>
  </w:footnote>
  <w:footnote w:id="47">
    <w:p w14:paraId="3D075A5F" w14:textId="4DDC0A41"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rPr>
        <w:footnoteRef/>
      </w:r>
      <w:r w:rsidRPr="009C3984">
        <w:rPr>
          <w:rFonts w:ascii="Garamond" w:hAnsi="Garamond"/>
        </w:rPr>
        <w:t xml:space="preserve"> </w:t>
      </w:r>
      <w:r w:rsidRPr="009C3984">
        <w:rPr>
          <w:rFonts w:ascii="Garamond" w:hAnsi="Garamond" w:cs="Times New Roman"/>
        </w:rPr>
        <w:t>Si vedano allegati 7.1, 7.2, 7.3.</w:t>
      </w:r>
    </w:p>
  </w:footnote>
  <w:footnote w:id="48">
    <w:p w14:paraId="5E22B35F" w14:textId="42471E59"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rPr>
        <w:footnoteRef/>
      </w:r>
      <w:r w:rsidRPr="009C3984">
        <w:rPr>
          <w:rFonts w:ascii="Garamond" w:hAnsi="Garamond"/>
        </w:rPr>
        <w:t xml:space="preserve"> All. 18: </w:t>
      </w:r>
      <w:r w:rsidRPr="009C3984">
        <w:rPr>
          <w:rFonts w:ascii="Garamond" w:hAnsi="Garamond" w:cs="Times New Roman"/>
        </w:rPr>
        <w:t>T.A.R. Veneto Venezia, Sez. I, 03/12/2024, n. 2873.</w:t>
      </w:r>
    </w:p>
  </w:footnote>
  <w:footnote w:id="49">
    <w:p w14:paraId="63D08448" w14:textId="181BAFF9"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All. 19: T.A.R. Puglia Lecce, Sez. I, Decreto, 30/12/2024, n. 842.</w:t>
      </w:r>
    </w:p>
  </w:footnote>
  <w:footnote w:id="50">
    <w:p w14:paraId="34284567" w14:textId="19883D99"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All. 20: </w:t>
      </w:r>
      <w:r w:rsidRPr="009C3984">
        <w:rPr>
          <w:rFonts w:ascii="Garamond" w:hAnsi="Garamond" w:cs="Times New Roman"/>
        </w:rPr>
        <w:t>T.A.R. Puglia, Lecce, Sez. I, Ord., 09/01/2025, n. 17.</w:t>
      </w:r>
    </w:p>
  </w:footnote>
  <w:footnote w:id="51">
    <w:p w14:paraId="19E32396" w14:textId="0709A1D5"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All. 21: T.A.R. Liguria, Genova, Sez. I, 19/02/2025, n. 183.</w:t>
      </w:r>
    </w:p>
  </w:footnote>
  <w:footnote w:id="52">
    <w:p w14:paraId="1EC1C8B4" w14:textId="57235990"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w:t>
      </w:r>
      <w:hyperlink r:id="rId14" w:history="1">
        <w:r w:rsidRPr="009C3984">
          <w:rPr>
            <w:rStyle w:val="Collegamentoipertestuale"/>
            <w:rFonts w:ascii="Garamond" w:hAnsi="Garamond"/>
          </w:rPr>
          <w:t>https://www.ilsecoloxix.it/liguria/2025/02/21/news/ue_intesa_balneari_comuni_possono_gia_fare_gare-15015890/</w:t>
        </w:r>
      </w:hyperlink>
      <w:r w:rsidRPr="009C3984">
        <w:rPr>
          <w:rFonts w:ascii="Garamond" w:hAnsi="Garamond"/>
        </w:rPr>
        <w:t xml:space="preserve">. </w:t>
      </w:r>
    </w:p>
  </w:footnote>
  <w:footnote w:id="53">
    <w:p w14:paraId="1817BCA9" w14:textId="0C8D03AA"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All. 22: Corte costituzionale, sentenza 20/05/2010, n. 180, che ha dichiarato l’illegittimità costituzionale dell’art. 1 della L. reg. Emilia-Romagna 23/07/2009, n. 8 (recante “</w:t>
      </w:r>
      <w:r w:rsidRPr="009C3984">
        <w:rPr>
          <w:rFonts w:ascii="Garamond" w:hAnsi="Garamond" w:cs="Times New Roman"/>
          <w:i/>
        </w:rPr>
        <w:t>Modifica della legge regionale 31 maggio 2002 n. 9 – Disciplina dell’esercizio delle funzioni amministrative in materia di demanio marittimo e di zone di mare territoriali – in attuazione della legge 27 dicembre 2006, n. 296</w:t>
      </w:r>
      <w:r w:rsidRPr="009C3984">
        <w:rPr>
          <w:rFonts w:ascii="Garamond" w:hAnsi="Garamond" w:cs="Times New Roman"/>
        </w:rPr>
        <w:t>”), nella parte in cui aveva inserito all’interno della L. reg. Emilia-Romagna n. 9/2002 l’art. 8-</w:t>
      </w:r>
      <w:r w:rsidRPr="009C3984">
        <w:rPr>
          <w:rFonts w:ascii="Garamond" w:hAnsi="Garamond" w:cs="Times New Roman"/>
          <w:i/>
        </w:rPr>
        <w:t>bis</w:t>
      </w:r>
      <w:r w:rsidRPr="009C3984">
        <w:rPr>
          <w:rFonts w:ascii="Garamond" w:hAnsi="Garamond" w:cs="Times New Roman"/>
        </w:rPr>
        <w:t xml:space="preserve">, c. 2. Per la Corte, in particolare, la disciplina regionale </w:t>
      </w:r>
      <w:r w:rsidRPr="009C3984">
        <w:rPr>
          <w:rFonts w:ascii="Garamond" w:hAnsi="Garamond" w:cs="Times New Roman"/>
          <w:i/>
        </w:rPr>
        <w:t>“viola l’art. 117, primo comma, Cost., per contrasto con i vincoli derivanti dall’ordinamento comunitario in tema di diritto di stabilimento e di tutela della concorrenza</w:t>
      </w:r>
      <w:r w:rsidRPr="009C3984">
        <w:rPr>
          <w:rFonts w:ascii="Garamond" w:hAnsi="Garamond" w:cs="Times New Roman"/>
        </w:rPr>
        <w:t>” atteso che la stessa “</w:t>
      </w:r>
      <w:r w:rsidRPr="009C3984">
        <w:rPr>
          <w:rFonts w:ascii="Garamond" w:hAnsi="Garamond" w:cs="Times New Roman"/>
          <w:i/>
        </w:rPr>
        <w:t>prevede un diritto di proroga in favore del soggetto già possessore della concessione, consentendo il rinnovo automatico della medesima. Detto automatismo determina una disparità di trattamento tra gli operatori economici in violazione dei principi di concorrenza</w:t>
      </w:r>
      <w:r w:rsidRPr="009C3984">
        <w:rPr>
          <w:rFonts w:ascii="Garamond" w:hAnsi="Garamond" w:cs="Times New Roman"/>
        </w:rPr>
        <w:t>”.</w:t>
      </w:r>
    </w:p>
  </w:footnote>
  <w:footnote w:id="54">
    <w:p w14:paraId="61AD66B9" w14:textId="35C0C9B4"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All. 23: Corte costituzionale, sentenza 26/11/2010, n. 340, che ha dichiarato l’illegittimità costituzionale dell’art. 16, c. 2, della L. reg. Toscana 23/12/2009, n. 77, recante “</w:t>
      </w:r>
      <w:r w:rsidRPr="009C3984">
        <w:rPr>
          <w:rFonts w:ascii="Garamond" w:hAnsi="Garamond" w:cs="Times New Roman"/>
          <w:i/>
        </w:rPr>
        <w:t>Legge finanziaria per l’anno 2010</w:t>
      </w:r>
      <w:r w:rsidRPr="009C3984">
        <w:rPr>
          <w:rFonts w:ascii="Garamond" w:hAnsi="Garamond" w:cs="Times New Roman"/>
        </w:rPr>
        <w:t>”, adducendo argomentazioni analoghe alla precedente pronuncia sul caso emiliano.</w:t>
      </w:r>
    </w:p>
  </w:footnote>
  <w:footnote w:id="55">
    <w:p w14:paraId="544AC469" w14:textId="61747368"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All. 24: Corte costituzionale, sentenza 18/07/2011, n. 213, che ha dichiarato l’illegittimità costituzionale, fra le altre disposizioni, dell’art. 4, c. 1 della L. reg. Marche 11/02/2010, n. 7, recante “</w:t>
      </w:r>
      <w:r w:rsidRPr="009C3984">
        <w:rPr>
          <w:rFonts w:ascii="Garamond" w:hAnsi="Garamond" w:cs="Times New Roman"/>
          <w:i/>
        </w:rPr>
        <w:t>Norme per l’attuazione delle funzioni amministrative in materia di demanio marittimo</w:t>
      </w:r>
      <w:r w:rsidRPr="009C3984">
        <w:rPr>
          <w:rFonts w:ascii="Garamond" w:hAnsi="Garamond" w:cs="Times New Roman"/>
        </w:rPr>
        <w:t xml:space="preserve">”, laddove in presenza di certi requisiti prevedeva la possibilità di prorogare le concessioni demaniali marittime in corso. </w:t>
      </w:r>
    </w:p>
  </w:footnote>
  <w:footnote w:id="56">
    <w:p w14:paraId="535DDDFD" w14:textId="0AA43DFA"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All. 25: Corte costituzionale sentenza 01/07/2010, n. 233, che ha dichiarato l’illegittimità costituzionale dell’art. 36, c. 2, della L. reg. Friuli-Venezia Giulia 30/07/2009, n. 13, censurato nella parte in cui estendeva anche ai soggetti “</w:t>
      </w:r>
      <w:r w:rsidRPr="009C3984">
        <w:rPr>
          <w:rFonts w:ascii="Garamond" w:hAnsi="Garamond" w:cs="Times New Roman"/>
          <w:i/>
        </w:rPr>
        <w:t>non in possesso dei requisiti di legge</w:t>
      </w:r>
      <w:r w:rsidRPr="009C3984">
        <w:rPr>
          <w:rFonts w:ascii="Garamond" w:hAnsi="Garamond" w:cs="Times New Roman"/>
        </w:rPr>
        <w:t>” la possibilità di usufruire della proroga delle concessioni demaniali marittime in atto.</w:t>
      </w:r>
    </w:p>
  </w:footnote>
  <w:footnote w:id="57">
    <w:p w14:paraId="7805111E" w14:textId="04CC203A"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All. 26: Corte costituzionale, sentenza 30/05/2018, n. 109, che ha dichiarato costituzionalmente illegittimo, fra gli altri, l’art. 9, c. 3 della L. reg. Friuli-Venezia Giulia 21/04/2017, n. 10 (recante “</w:t>
      </w:r>
      <w:r w:rsidRPr="009C3984">
        <w:rPr>
          <w:rFonts w:ascii="Garamond" w:hAnsi="Garamond" w:cs="Times New Roman"/>
          <w:i/>
        </w:rPr>
        <w:t>Disposizioni in materia di demanio marittimo regionale e demanio marittimo stradale, nonché modifiche alle leggi regionali 17/2009, 28/2002 e 22/2006</w:t>
      </w:r>
      <w:r w:rsidRPr="009C3984">
        <w:rPr>
          <w:rFonts w:ascii="Garamond" w:hAnsi="Garamond" w:cs="Times New Roman"/>
        </w:rPr>
        <w:t>”), previsione che, per le concessioni aventi finalità turistico-ricreative relative a beni insistenti in una certa zona del territorio, individuava in quaranta anni il termine di durata massima del titolo.</w:t>
      </w:r>
    </w:p>
  </w:footnote>
  <w:footnote w:id="58">
    <w:p w14:paraId="2B0BA08B" w14:textId="29CB29E9"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Art. 2, cc. 1, 2 e 3, nonché dell’art. 4, c. 1, della L. reg. Liguria 10/11/2017, n. 26 recante “</w:t>
      </w:r>
      <w:r w:rsidRPr="009C3984">
        <w:rPr>
          <w:rFonts w:ascii="Garamond" w:hAnsi="Garamond" w:cs="Times New Roman"/>
          <w:i/>
        </w:rPr>
        <w:t>Disciplina delle concessioni demaniali marittime per finalità turistico ricreative</w:t>
      </w:r>
      <w:r w:rsidRPr="009C3984">
        <w:rPr>
          <w:rFonts w:ascii="Garamond" w:hAnsi="Garamond" w:cs="Times New Roman"/>
        </w:rPr>
        <w:t>”.</w:t>
      </w:r>
    </w:p>
  </w:footnote>
  <w:footnote w:id="59">
    <w:p w14:paraId="781AB3A8" w14:textId="3EB8EE78"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All. 27: Corte costituzionale, sentenza 09/01/2019, n. 1, che ha ritenuto costituzionalmente illegittimi l'art. 2, commi 2, 1 e 3, e l'art. 4, comma 1, della L. reg. Liguria 10 novembre 2017, n. 26, per contrasto con l'art. 117, comma 2, lett. e), Cost., nella parte in cui hanno rispettivamente stabilito la proroga per 30 anni delle concessioni di beni demaniali marittimi con finalità turistico ricreative già esistenti nonché la durata delle nuove concessioni per un tempo non inferiore a 20 anni e non superiore a 30, poiché il tema della proroga e della durata delle concessioni attiene Alla materia della concorrenza, la cui disciplina è riservata Alla competenza esclusiva del legislatore statale.</w:t>
      </w:r>
    </w:p>
  </w:footnote>
  <w:footnote w:id="60">
    <w:p w14:paraId="336B38F5" w14:textId="66C4827C"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Art. 2 L. reg. Friuli-Venezia Giulia 18/05/ 2020, n. 8, recante “</w:t>
      </w:r>
      <w:r w:rsidRPr="009C3984">
        <w:rPr>
          <w:rFonts w:ascii="Garamond" w:hAnsi="Garamond" w:cs="Times New Roman"/>
          <w:i/>
        </w:rPr>
        <w:t>Misure urgenti per far fronte All’emergenza epidemiologica da COVID-19 in materia di demanio marittimo e idrico</w:t>
      </w:r>
      <w:r w:rsidRPr="009C3984">
        <w:rPr>
          <w:rFonts w:ascii="Garamond" w:hAnsi="Garamond" w:cs="Times New Roman"/>
        </w:rPr>
        <w:t>”, censurata dal Governo sempre per violazione dell’art. 117, secondo comma, lett. e), Cost., laddove riproduceva nella sostanza l’art. 1, commi 682 e 683, della legge 30 dicembre 2018, n. 145.</w:t>
      </w:r>
    </w:p>
  </w:footnote>
  <w:footnote w:id="61">
    <w:p w14:paraId="3374CB79" w14:textId="254EB2B7"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All. 28: Corte costituzionale, sentenza 06/07/2021, n. 139.</w:t>
      </w:r>
    </w:p>
  </w:footnote>
  <w:footnote w:id="62">
    <w:p w14:paraId="22AEAAD7" w14:textId="54568EEA"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All. 29: Corte costituzionale, sentenza 07/07/2017, n. 157.</w:t>
      </w:r>
    </w:p>
  </w:footnote>
  <w:footnote w:id="63">
    <w:p w14:paraId="21DCB154" w14:textId="15790CCF"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All. 30: Corte costituzionale, sentenza 23/10/2020, n. 222. Le norme che stabiliscono i criteri e le modalità di affidamento delle concessioni demaniali marittime sono riconducibili alla competenza esclusiva statale di cui all'art. 117, secondo comma, lett. e) Cost., ed "</w:t>
      </w:r>
      <w:r w:rsidRPr="009C3984">
        <w:rPr>
          <w:rFonts w:ascii="Garamond" w:hAnsi="Garamond" w:cs="Times New Roman"/>
          <w:i/>
        </w:rPr>
        <w:t>in siffatta competenza esclusiva, le pur concorrenti competenze regionali trovano così un limite insuperabile</w:t>
      </w:r>
      <w:r w:rsidRPr="009C3984">
        <w:rPr>
          <w:rFonts w:ascii="Garamond" w:hAnsi="Garamond" w:cs="Times New Roman"/>
        </w:rPr>
        <w:t>". Il fatto, poi, che la stessa normativa dell'Unione europea consenta ai legislatori nazionali di adottare garanzie per l'ammortamento degli investimenti effettuati dal gestore uscente non permette, in sé solo, alle Regioni di alterare le modalità con cui il legislatore statale, nell'ambito della sua competenza esclusiva, ha inteso dare attuazione a detta prerogativa; né alla Regione è consentito di intervenire quando il legislatore non si sia avvalso di questa possibilità, tenuto conto che, ai fini di tale attuazione, assume rilievo il riparto costituzionale delle competenze (art. 117, quinto comma Cost.).</w:t>
      </w:r>
    </w:p>
  </w:footnote>
  <w:footnote w:id="64">
    <w:p w14:paraId="2A8BB856" w14:textId="4E02C9A5"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All. 31: Corte costituzionale, sentenza 05/12/2018, n. 221.</w:t>
      </w:r>
    </w:p>
  </w:footnote>
  <w:footnote w:id="65">
    <w:p w14:paraId="1839FEE4" w14:textId="36851C5D"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All. 32: Corte costituzionale, sentenza 24/02/2017, n. 40. Sono dichiarate non fondate le questioni di legittimità costituzionale dell'art. 14, c. 8, primo periodo, della Legge reg. Puglia n. 17/2015, promosse dal Governo in riferimento all'art. 117, primo e secondo comma, lett. e) Cost. La disposizione impugnata – prevedendo (seppur con formulazione non lineare) che, in sede di redazione dei piani costieri comunali, la quota del territorio demaniale marittimo concedibile a privati per finalità turistico-ricreative sia identificata in corrispondenza delle aree già oggetto di concessione e che, qualora la somma di tali aree sia superiore al limite massimo concedibile stabilito dal comma 5 dello stesso art. 14 (40 % della linea di costa utile di ciascun Comune), si proceda ad una revoca parziale, in misura non superiore al 50 %, delle singole concessioni già assentite – non invade la competenza statale esclusiva in materia di tutela della concorrenza né si pone in contrasto con i principi comunitari, in quanto non comporta né il rilascio in via preferenziale di nuove concessioni ai precedenti titolari, né un rinnovo automatico delle concessioni in atto, e dunque non reintroduce alcun diritto di insistenza. Il legislatore regionale ha bensì adottato un criterio oggettivo, volto ad evitare discriminazioni, che consente – in armonia con l'art. 42 cod. nav. – una revoca parziale delle concessioni in atto, nella misura necessaria a garantire la libera fruibilità del 60 % degli arenili, in tal modo operando – nell'esercizio delle proprie competenze in una materia attinente sia al governo del territorio [art. 117, terzo comma Cost.], sia alla disciplina del turismo [art. 117, quarto comma Cost.] – un bilanciamento tra l'interesse pubblico alla libera balneazione e quello dei privati allo sfruttamento degli arenili per finalità turistico-ricreative. La disciplina relativa al rilascio delle concessioni su beni demaniali marittimi investe diversi ambiti materiali, attribuiti alla competenza sia statale che regionale. In tale disciplina, particolare rilevanza, quanto ai criteri e alle modalità di affidamento delle concessioni, assumono i principi della libera concorrenza e della libertà di stabilimento, previsti dalla normativa comunitaria e nazionale. Per verificare se il legislatore regionale abbia invaso la competenza esclusiva statale in materia di tutela della concorrenza, violando anche i principi di derivazione europea, occorre tenere conto della ratio, della finalità, del contenuto e dell'oggetto della disciplina regionale impugnata.</w:t>
      </w:r>
    </w:p>
  </w:footnote>
  <w:footnote w:id="66">
    <w:p w14:paraId="19CFB1A7" w14:textId="7FFDFA6D"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All. 33: Corte costituzionale, Ord. 09/10/2024, 161; TRAPUZZANO CESARE, </w:t>
      </w:r>
      <w:r w:rsidRPr="009C3984">
        <w:rPr>
          <w:rFonts w:ascii="Garamond" w:hAnsi="Garamond" w:cs="Times New Roman"/>
          <w:i/>
        </w:rPr>
        <w:t>L’applicabilità della direttiva servizi alle concessioni per derivazioni idroelettriche è rimessa alla CGUE</w:t>
      </w:r>
      <w:r w:rsidRPr="009C3984">
        <w:rPr>
          <w:rFonts w:ascii="Garamond" w:hAnsi="Garamond" w:cs="Times New Roman"/>
        </w:rPr>
        <w:t xml:space="preserve">, in </w:t>
      </w:r>
      <w:hyperlink r:id="rId15" w:history="1">
        <w:r w:rsidRPr="009C3984">
          <w:rPr>
            <w:rStyle w:val="Collegamentoipertestuale"/>
            <w:rFonts w:ascii="Garamond" w:hAnsi="Garamond" w:cs="Times New Roman"/>
          </w:rPr>
          <w:t>https://www.altalex.com/documents/2024/10/16/applicabilita-direttiva-servizi-concessioni-derivazioni-idroelettriche-rimessa-cgue</w:t>
        </w:r>
      </w:hyperlink>
      <w:r w:rsidRPr="009C3984">
        <w:rPr>
          <w:rFonts w:ascii="Garamond" w:hAnsi="Garamond" w:cs="Times New Roman"/>
        </w:rPr>
        <w:t xml:space="preserve">. </w:t>
      </w:r>
    </w:p>
  </w:footnote>
  <w:footnote w:id="67">
    <w:p w14:paraId="4FDF08CB" w14:textId="5E3C48E3"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FRANCESCO SANCHINI, Il contributo della Corte costituzionale nella definizione del riparto di competenze legislative sulle concessioni “balneari”: quali margini d’intervento per le Regioni? in </w:t>
      </w:r>
      <w:hyperlink r:id="rId16" w:history="1">
        <w:r w:rsidRPr="009C3984">
          <w:rPr>
            <w:rStyle w:val="Collegamentoipertestuale"/>
            <w:rFonts w:ascii="Garamond" w:hAnsi="Garamond" w:cs="Times New Roman"/>
          </w:rPr>
          <w:t>https://www.federalismi.it/ApplOpenFilePDF.cfm?artid=51242&amp;dpath=document&amp;dfile=09102024142223.pdf</w:t>
        </w:r>
      </w:hyperlink>
      <w:r w:rsidRPr="009C3984">
        <w:rPr>
          <w:rFonts w:ascii="Garamond" w:hAnsi="Garamond" w:cs="Times New Roman"/>
        </w:rPr>
        <w:t>.</w:t>
      </w:r>
    </w:p>
  </w:footnote>
  <w:footnote w:id="68">
    <w:p w14:paraId="1E54114B" w14:textId="4FBDE834"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All. 34: Studio Camera dei Deputati, 2018.</w:t>
      </w:r>
    </w:p>
  </w:footnote>
  <w:footnote w:id="69">
    <w:p w14:paraId="7207EF68" w14:textId="1D10E317"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All. 35: Procedure di infrazione.</w:t>
      </w:r>
    </w:p>
  </w:footnote>
  <w:footnote w:id="70">
    <w:p w14:paraId="41381098" w14:textId="2807A75A"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Art. 52 della Costituzione della Repubblica di Croazia (1990). </w:t>
      </w:r>
    </w:p>
  </w:footnote>
  <w:footnote w:id="71">
    <w:p w14:paraId="42146806" w14:textId="269D4D62"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Maritime Domain and </w:t>
      </w:r>
      <w:proofErr w:type="spellStart"/>
      <w:r w:rsidRPr="009C3984">
        <w:rPr>
          <w:rFonts w:ascii="Garamond" w:hAnsi="Garamond"/>
        </w:rPr>
        <w:t>Seaports</w:t>
      </w:r>
      <w:proofErr w:type="spellEnd"/>
      <w:r w:rsidRPr="009C3984">
        <w:rPr>
          <w:rFonts w:ascii="Garamond" w:hAnsi="Garamond"/>
        </w:rPr>
        <w:t xml:space="preserve"> Act n. 11/2002 (modificato successivamente da leggi integrative). </w:t>
      </w:r>
    </w:p>
  </w:footnote>
  <w:footnote w:id="72">
    <w:p w14:paraId="1CCB53D6" w14:textId="726958CC"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w:t>
      </w:r>
      <w:r w:rsidRPr="009C3984">
        <w:rPr>
          <w:rFonts w:ascii="Garamond" w:hAnsi="Garamond"/>
          <w:i/>
        </w:rPr>
        <w:t xml:space="preserve">Code </w:t>
      </w:r>
      <w:proofErr w:type="spellStart"/>
      <w:r w:rsidRPr="009C3984">
        <w:rPr>
          <w:rFonts w:ascii="Garamond" w:hAnsi="Garamond"/>
          <w:i/>
        </w:rPr>
        <w:t>général</w:t>
      </w:r>
      <w:proofErr w:type="spellEnd"/>
      <w:r w:rsidRPr="009C3984">
        <w:rPr>
          <w:rFonts w:ascii="Garamond" w:hAnsi="Garamond"/>
          <w:i/>
        </w:rPr>
        <w:t xml:space="preserve"> de la </w:t>
      </w:r>
      <w:proofErr w:type="spellStart"/>
      <w:r w:rsidRPr="009C3984">
        <w:rPr>
          <w:rFonts w:ascii="Garamond" w:hAnsi="Garamond"/>
          <w:i/>
        </w:rPr>
        <w:t>propriété</w:t>
      </w:r>
      <w:proofErr w:type="spellEnd"/>
      <w:r w:rsidRPr="009C3984">
        <w:rPr>
          <w:rFonts w:ascii="Garamond" w:hAnsi="Garamond"/>
          <w:i/>
        </w:rPr>
        <w:t xml:space="preserve"> </w:t>
      </w:r>
      <w:proofErr w:type="spellStart"/>
      <w:r w:rsidRPr="009C3984">
        <w:rPr>
          <w:rFonts w:ascii="Garamond" w:hAnsi="Garamond"/>
          <w:i/>
        </w:rPr>
        <w:t>des</w:t>
      </w:r>
      <w:proofErr w:type="spellEnd"/>
      <w:r w:rsidRPr="009C3984">
        <w:rPr>
          <w:rFonts w:ascii="Garamond" w:hAnsi="Garamond"/>
          <w:i/>
        </w:rPr>
        <w:t xml:space="preserve"> </w:t>
      </w:r>
      <w:proofErr w:type="spellStart"/>
      <w:r w:rsidRPr="009C3984">
        <w:rPr>
          <w:rFonts w:ascii="Garamond" w:hAnsi="Garamond"/>
          <w:i/>
        </w:rPr>
        <w:t>personnes</w:t>
      </w:r>
      <w:proofErr w:type="spellEnd"/>
      <w:r w:rsidRPr="009C3984">
        <w:rPr>
          <w:rFonts w:ascii="Garamond" w:hAnsi="Garamond"/>
          <w:i/>
        </w:rPr>
        <w:t xml:space="preserve"> </w:t>
      </w:r>
      <w:proofErr w:type="spellStart"/>
      <w:r w:rsidRPr="009C3984">
        <w:rPr>
          <w:rFonts w:ascii="Garamond" w:hAnsi="Garamond"/>
          <w:i/>
        </w:rPr>
        <w:t>publiques</w:t>
      </w:r>
      <w:proofErr w:type="spellEnd"/>
      <w:r w:rsidRPr="009C3984">
        <w:rPr>
          <w:rFonts w:ascii="Garamond" w:hAnsi="Garamond"/>
        </w:rPr>
        <w:t xml:space="preserve"> (CGPPP), in vigore dal 1° luglio 2006. </w:t>
      </w:r>
    </w:p>
  </w:footnote>
  <w:footnote w:id="73">
    <w:p w14:paraId="6990FFA2" w14:textId="130AEB45"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w:t>
      </w:r>
      <w:proofErr w:type="spellStart"/>
      <w:r w:rsidRPr="009C3984">
        <w:rPr>
          <w:rFonts w:ascii="Garamond" w:hAnsi="Garamond"/>
          <w:i/>
        </w:rPr>
        <w:t>Ordonnance</w:t>
      </w:r>
      <w:proofErr w:type="spellEnd"/>
      <w:r w:rsidRPr="009C3984">
        <w:rPr>
          <w:rFonts w:ascii="Garamond" w:hAnsi="Garamond"/>
        </w:rPr>
        <w:t xml:space="preserve"> n. 2006-460 del 21 aprile 2006 (JORF del 22 aprile 2006). </w:t>
      </w:r>
    </w:p>
  </w:footnote>
  <w:footnote w:id="74">
    <w:p w14:paraId="703E499A" w14:textId="512E599F"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w:t>
      </w:r>
      <w:proofErr w:type="spellStart"/>
      <w:r w:rsidRPr="009C3984">
        <w:rPr>
          <w:rFonts w:ascii="Garamond" w:hAnsi="Garamond"/>
          <w:i/>
        </w:rPr>
        <w:t>Décret</w:t>
      </w:r>
      <w:proofErr w:type="spellEnd"/>
      <w:r w:rsidRPr="009C3984">
        <w:rPr>
          <w:rFonts w:ascii="Garamond" w:hAnsi="Garamond"/>
        </w:rPr>
        <w:t xml:space="preserve"> n. 2011-1612 del 22 novembre 2011, che ha rifuso la normativa previgente in materia di concessioni di spiaggia. </w:t>
      </w:r>
    </w:p>
  </w:footnote>
  <w:footnote w:id="75">
    <w:p w14:paraId="5DC35EFF" w14:textId="6373587D"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Art. L2124-4 e ss. del CGPPP.</w:t>
      </w:r>
    </w:p>
  </w:footnote>
  <w:footnote w:id="76">
    <w:p w14:paraId="03523A83" w14:textId="02295989"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w:t>
      </w:r>
      <w:r w:rsidRPr="009C3984">
        <w:rPr>
          <w:rFonts w:ascii="Garamond" w:hAnsi="Garamond"/>
          <w:i/>
        </w:rPr>
        <w:t>Loi</w:t>
      </w:r>
      <w:r w:rsidRPr="009C3984">
        <w:rPr>
          <w:rFonts w:ascii="Garamond" w:hAnsi="Garamond"/>
        </w:rPr>
        <w:t xml:space="preserve"> n. 93-122 del 29 </w:t>
      </w:r>
      <w:proofErr w:type="spellStart"/>
      <w:r w:rsidRPr="009C3984">
        <w:rPr>
          <w:rFonts w:ascii="Garamond" w:hAnsi="Garamond"/>
        </w:rPr>
        <w:t>janvier</w:t>
      </w:r>
      <w:proofErr w:type="spellEnd"/>
      <w:r w:rsidRPr="009C3984">
        <w:rPr>
          <w:rFonts w:ascii="Garamond" w:hAnsi="Garamond"/>
        </w:rPr>
        <w:t xml:space="preserve"> 1993 (c.d. </w:t>
      </w:r>
      <w:r w:rsidRPr="009C3984">
        <w:rPr>
          <w:rFonts w:ascii="Garamond" w:hAnsi="Garamond"/>
          <w:i/>
          <w:iCs/>
        </w:rPr>
        <w:t xml:space="preserve">Loi </w:t>
      </w:r>
      <w:proofErr w:type="spellStart"/>
      <w:r w:rsidRPr="009C3984">
        <w:rPr>
          <w:rFonts w:ascii="Garamond" w:hAnsi="Garamond"/>
          <w:i/>
          <w:iCs/>
        </w:rPr>
        <w:t>Sapin</w:t>
      </w:r>
      <w:proofErr w:type="spellEnd"/>
      <w:r w:rsidRPr="009C3984">
        <w:rPr>
          <w:rFonts w:ascii="Garamond" w:hAnsi="Garamond"/>
        </w:rPr>
        <w:t>). </w:t>
      </w:r>
    </w:p>
  </w:footnote>
  <w:footnote w:id="77">
    <w:p w14:paraId="0D0E8915" w14:textId="7A2679D7"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Legge n. 2971/2001 (Gazzetta Ufficiale greca A’ 285), artt. 13-15. </w:t>
      </w:r>
    </w:p>
  </w:footnote>
  <w:footnote w:id="78">
    <w:p w14:paraId="75BD5BAC" w14:textId="0E273E19"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Legge 3544/2010, che attua semplificazioni amministrative e recepisce, tra l’altro, alcuni precetti della direttiva Bolkestein</w:t>
      </w:r>
    </w:p>
  </w:footnote>
  <w:footnote w:id="79">
    <w:p w14:paraId="1E703C5A" w14:textId="7AFB54C7"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Decreto legge n. 226-A/2007 del 31/05/2007, relativo alla gestione e all’uso delle risorse idriche. </w:t>
      </w:r>
    </w:p>
  </w:footnote>
  <w:footnote w:id="80">
    <w:p w14:paraId="6DA7E77A" w14:textId="3D660CC9"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Legge n. 58/2005, recepimento della direttiva 2000/60/CE (direttiva quadro sulle acque). </w:t>
      </w:r>
    </w:p>
  </w:footnote>
  <w:footnote w:id="81">
    <w:p w14:paraId="71D5BF24" w14:textId="4A8C5F9F"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Direttiva 2000/60/CE del Parlamento europeo e del Consiglio del 23/10/2000, che istituisce un quadro per l’azione comunitaria in materia di acque.</w:t>
      </w:r>
    </w:p>
  </w:footnote>
  <w:footnote w:id="82">
    <w:p w14:paraId="730DAEBC" w14:textId="3DAE1BB1"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Art. 132 della Costituzione spagnola del 1978. </w:t>
      </w:r>
    </w:p>
  </w:footnote>
  <w:footnote w:id="83">
    <w:p w14:paraId="47022684" w14:textId="238DA4DC"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w:t>
      </w:r>
      <w:r w:rsidRPr="009C3984">
        <w:rPr>
          <w:rFonts w:ascii="Garamond" w:hAnsi="Garamond"/>
          <w:i/>
        </w:rPr>
        <w:t>Ley</w:t>
      </w:r>
      <w:r w:rsidRPr="009C3984">
        <w:rPr>
          <w:rFonts w:ascii="Garamond" w:hAnsi="Garamond"/>
        </w:rPr>
        <w:t xml:space="preserve"> </w:t>
      </w:r>
      <w:r w:rsidRPr="009C3984">
        <w:rPr>
          <w:rFonts w:ascii="Garamond" w:hAnsi="Garamond"/>
          <w:i/>
        </w:rPr>
        <w:t xml:space="preserve">22/1988, de 28 de </w:t>
      </w:r>
      <w:proofErr w:type="spellStart"/>
      <w:r w:rsidRPr="009C3984">
        <w:rPr>
          <w:rFonts w:ascii="Garamond" w:hAnsi="Garamond"/>
          <w:i/>
        </w:rPr>
        <w:t>julio</w:t>
      </w:r>
      <w:proofErr w:type="spellEnd"/>
      <w:r w:rsidRPr="009C3984">
        <w:rPr>
          <w:rFonts w:ascii="Garamond" w:hAnsi="Garamond"/>
          <w:i/>
        </w:rPr>
        <w:t>, de Costas</w:t>
      </w:r>
      <w:r w:rsidRPr="009C3984">
        <w:rPr>
          <w:rFonts w:ascii="Garamond" w:hAnsi="Garamond"/>
        </w:rPr>
        <w:t>, normativa generale sulle coste spagnole.</w:t>
      </w:r>
    </w:p>
  </w:footnote>
  <w:footnote w:id="84">
    <w:p w14:paraId="7A7C2CE1" w14:textId="072AE782"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w:t>
      </w:r>
      <w:r w:rsidRPr="009C3984">
        <w:rPr>
          <w:rFonts w:ascii="Garamond" w:hAnsi="Garamond"/>
          <w:i/>
        </w:rPr>
        <w:t xml:space="preserve">Ley 2/2013, de 29 de </w:t>
      </w:r>
      <w:proofErr w:type="spellStart"/>
      <w:r w:rsidRPr="009C3984">
        <w:rPr>
          <w:rFonts w:ascii="Garamond" w:hAnsi="Garamond"/>
          <w:i/>
        </w:rPr>
        <w:t>mayo</w:t>
      </w:r>
      <w:proofErr w:type="spellEnd"/>
      <w:r w:rsidRPr="009C3984">
        <w:rPr>
          <w:rFonts w:ascii="Garamond" w:hAnsi="Garamond"/>
          <w:i/>
        </w:rPr>
        <w:t xml:space="preserve">, de </w:t>
      </w:r>
      <w:proofErr w:type="spellStart"/>
      <w:r w:rsidRPr="009C3984">
        <w:rPr>
          <w:rFonts w:ascii="Garamond" w:hAnsi="Garamond"/>
          <w:i/>
        </w:rPr>
        <w:t>protección</w:t>
      </w:r>
      <w:proofErr w:type="spellEnd"/>
      <w:r w:rsidRPr="009C3984">
        <w:rPr>
          <w:rFonts w:ascii="Garamond" w:hAnsi="Garamond"/>
          <w:i/>
        </w:rPr>
        <w:t xml:space="preserve"> y uso </w:t>
      </w:r>
      <w:proofErr w:type="spellStart"/>
      <w:r w:rsidRPr="009C3984">
        <w:rPr>
          <w:rFonts w:ascii="Garamond" w:hAnsi="Garamond"/>
          <w:i/>
        </w:rPr>
        <w:t>sostenible</w:t>
      </w:r>
      <w:proofErr w:type="spellEnd"/>
      <w:r w:rsidRPr="009C3984">
        <w:rPr>
          <w:rFonts w:ascii="Garamond" w:hAnsi="Garamond"/>
          <w:i/>
        </w:rPr>
        <w:t xml:space="preserve"> del </w:t>
      </w:r>
      <w:proofErr w:type="spellStart"/>
      <w:r w:rsidRPr="009C3984">
        <w:rPr>
          <w:rFonts w:ascii="Garamond" w:hAnsi="Garamond"/>
          <w:i/>
        </w:rPr>
        <w:t>litoral</w:t>
      </w:r>
      <w:proofErr w:type="spellEnd"/>
      <w:r w:rsidRPr="009C3984">
        <w:rPr>
          <w:rFonts w:ascii="Garamond" w:hAnsi="Garamond"/>
          <w:i/>
        </w:rPr>
        <w:t xml:space="preserve"> y de </w:t>
      </w:r>
      <w:proofErr w:type="spellStart"/>
      <w:r w:rsidRPr="009C3984">
        <w:rPr>
          <w:rFonts w:ascii="Garamond" w:hAnsi="Garamond"/>
          <w:i/>
        </w:rPr>
        <w:t>modificación</w:t>
      </w:r>
      <w:proofErr w:type="spellEnd"/>
      <w:r w:rsidRPr="009C3984">
        <w:rPr>
          <w:rFonts w:ascii="Garamond" w:hAnsi="Garamond"/>
          <w:i/>
        </w:rPr>
        <w:t xml:space="preserve"> de la Ley 22/1988, de Costas</w:t>
      </w:r>
      <w:r w:rsidRPr="009C3984">
        <w:rPr>
          <w:rFonts w:ascii="Garamond" w:hAnsi="Garamond"/>
        </w:rPr>
        <w:t>.</w:t>
      </w:r>
    </w:p>
  </w:footnote>
  <w:footnote w:id="85">
    <w:p w14:paraId="770F7260" w14:textId="17E47EA3"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w:t>
      </w:r>
      <w:r w:rsidRPr="009C3984">
        <w:rPr>
          <w:rFonts w:ascii="Garamond" w:hAnsi="Garamond"/>
          <w:i/>
        </w:rPr>
        <w:t xml:space="preserve">Real Decreto 876/2014, de 10 de </w:t>
      </w:r>
      <w:proofErr w:type="spellStart"/>
      <w:r w:rsidRPr="009C3984">
        <w:rPr>
          <w:rFonts w:ascii="Garamond" w:hAnsi="Garamond"/>
          <w:i/>
        </w:rPr>
        <w:t>octubre</w:t>
      </w:r>
      <w:proofErr w:type="spellEnd"/>
      <w:r w:rsidRPr="009C3984">
        <w:rPr>
          <w:rFonts w:ascii="Garamond" w:hAnsi="Garamond"/>
          <w:i/>
        </w:rPr>
        <w:t xml:space="preserve">, por </w:t>
      </w:r>
      <w:proofErr w:type="spellStart"/>
      <w:r w:rsidRPr="009C3984">
        <w:rPr>
          <w:rFonts w:ascii="Garamond" w:hAnsi="Garamond"/>
          <w:i/>
        </w:rPr>
        <w:t>el</w:t>
      </w:r>
      <w:proofErr w:type="spellEnd"/>
      <w:r w:rsidRPr="009C3984">
        <w:rPr>
          <w:rFonts w:ascii="Garamond" w:hAnsi="Garamond"/>
          <w:i/>
        </w:rPr>
        <w:t xml:space="preserve"> </w:t>
      </w:r>
      <w:proofErr w:type="spellStart"/>
      <w:r w:rsidRPr="009C3984">
        <w:rPr>
          <w:rFonts w:ascii="Garamond" w:hAnsi="Garamond"/>
          <w:i/>
        </w:rPr>
        <w:t>que</w:t>
      </w:r>
      <w:proofErr w:type="spellEnd"/>
      <w:r w:rsidRPr="009C3984">
        <w:rPr>
          <w:rFonts w:ascii="Garamond" w:hAnsi="Garamond"/>
          <w:i/>
        </w:rPr>
        <w:t xml:space="preserve"> se </w:t>
      </w:r>
      <w:proofErr w:type="spellStart"/>
      <w:r w:rsidRPr="009C3984">
        <w:rPr>
          <w:rFonts w:ascii="Garamond" w:hAnsi="Garamond"/>
          <w:i/>
        </w:rPr>
        <w:t>aprueba</w:t>
      </w:r>
      <w:proofErr w:type="spellEnd"/>
      <w:r w:rsidRPr="009C3984">
        <w:rPr>
          <w:rFonts w:ascii="Garamond" w:hAnsi="Garamond"/>
          <w:i/>
        </w:rPr>
        <w:t xml:space="preserve"> </w:t>
      </w:r>
      <w:proofErr w:type="spellStart"/>
      <w:r w:rsidRPr="009C3984">
        <w:rPr>
          <w:rFonts w:ascii="Garamond" w:hAnsi="Garamond"/>
          <w:i/>
        </w:rPr>
        <w:t>el</w:t>
      </w:r>
      <w:proofErr w:type="spellEnd"/>
      <w:r w:rsidRPr="009C3984">
        <w:rPr>
          <w:rFonts w:ascii="Garamond" w:hAnsi="Garamond"/>
          <w:i/>
        </w:rPr>
        <w:t xml:space="preserve"> </w:t>
      </w:r>
      <w:proofErr w:type="spellStart"/>
      <w:r w:rsidRPr="009C3984">
        <w:rPr>
          <w:rFonts w:ascii="Garamond" w:hAnsi="Garamond"/>
          <w:i/>
        </w:rPr>
        <w:t>Reglamento</w:t>
      </w:r>
      <w:proofErr w:type="spellEnd"/>
      <w:r w:rsidRPr="009C3984">
        <w:rPr>
          <w:rFonts w:ascii="Garamond" w:hAnsi="Garamond"/>
          <w:i/>
        </w:rPr>
        <w:t xml:space="preserve"> General de Costas</w:t>
      </w:r>
      <w:r w:rsidRPr="009C3984">
        <w:rPr>
          <w:rFonts w:ascii="Garamond" w:hAnsi="Garamond"/>
        </w:rPr>
        <w:t>. </w:t>
      </w:r>
    </w:p>
  </w:footnote>
  <w:footnote w:id="86">
    <w:p w14:paraId="7ECED67E" w14:textId="7F4C96BC"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Si veda allegato 2.</w:t>
      </w:r>
    </w:p>
  </w:footnote>
  <w:footnote w:id="87">
    <w:p w14:paraId="7128B604" w14:textId="6234046D"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All. 36: CGUE 28/01/2016, (C 375/14) - Laezza.</w:t>
      </w:r>
    </w:p>
  </w:footnote>
  <w:footnote w:id="88">
    <w:p w14:paraId="3D045BAE" w14:textId="739B6527"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All. 37: CGUE 20/04/2023 (C-348/22) - Ginosa.</w:t>
      </w:r>
    </w:p>
  </w:footnote>
  <w:footnote w:id="89">
    <w:p w14:paraId="49907BD2" w14:textId="2BB50EB0"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Si veda allegato 6.</w:t>
      </w:r>
    </w:p>
  </w:footnote>
  <w:footnote w:id="90">
    <w:p w14:paraId="07F0360D" w14:textId="1CE22F8E" w:rsidR="00AD6442" w:rsidRPr="009C3984" w:rsidRDefault="00AD6442" w:rsidP="009C3984">
      <w:pPr>
        <w:pStyle w:val="Testonotaapidipagina"/>
        <w:jc w:val="both"/>
        <w:rPr>
          <w:rFonts w:ascii="Garamond" w:hAnsi="Garamond"/>
        </w:rPr>
      </w:pPr>
      <w:r w:rsidRPr="009C3984">
        <w:rPr>
          <w:rStyle w:val="Rimandonotaapidipagina"/>
          <w:rFonts w:ascii="Garamond" w:hAnsi="Garamond"/>
        </w:rPr>
        <w:footnoteRef/>
      </w:r>
      <w:r w:rsidRPr="009C3984">
        <w:rPr>
          <w:rFonts w:ascii="Garamond" w:hAnsi="Garamond"/>
        </w:rPr>
        <w:t xml:space="preserve"> All. 38: CGUE 11/07/2024, (causa n. C- 598/22) - Società imprese balneari.</w:t>
      </w:r>
    </w:p>
  </w:footnote>
  <w:footnote w:id="91">
    <w:p w14:paraId="234B0714" w14:textId="36528E75"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rPr>
        <w:footnoteRef/>
      </w:r>
      <w:r w:rsidRPr="009C3984">
        <w:rPr>
          <w:rFonts w:ascii="Garamond" w:hAnsi="Garamond"/>
        </w:rPr>
        <w:t xml:space="preserve"> </w:t>
      </w:r>
      <w:r w:rsidRPr="009C3984">
        <w:rPr>
          <w:rFonts w:ascii="Garamond" w:hAnsi="Garamond" w:cs="Times New Roman"/>
        </w:rPr>
        <w:t>All. 39: Giudice di Pace di Rimini, Ord. 26/06/2024.</w:t>
      </w:r>
    </w:p>
  </w:footnote>
  <w:footnote w:id="92">
    <w:p w14:paraId="5F608C81" w14:textId="255BCDC1" w:rsidR="00AD6442" w:rsidRPr="00F20164" w:rsidRDefault="00AD6442" w:rsidP="009C3984">
      <w:pPr>
        <w:pStyle w:val="Testonotaapidipagina"/>
        <w:jc w:val="both"/>
        <w:rPr>
          <w:rFonts w:ascii="Garamond" w:hAnsi="Garamond" w:cs="Times New Roman"/>
          <w:lang w:val="en-US"/>
        </w:rPr>
      </w:pPr>
      <w:r w:rsidRPr="009C3984">
        <w:rPr>
          <w:rStyle w:val="Rimandonotaapidipagina"/>
          <w:rFonts w:ascii="Garamond" w:hAnsi="Garamond" w:cs="Times New Roman"/>
        </w:rPr>
        <w:footnoteRef/>
      </w:r>
      <w:r w:rsidRPr="00F20164">
        <w:rPr>
          <w:rFonts w:ascii="Garamond" w:hAnsi="Garamond" w:cs="Times New Roman"/>
          <w:lang w:val="en-US"/>
        </w:rPr>
        <w:t xml:space="preserve"> </w:t>
      </w:r>
      <w:r w:rsidR="00000000">
        <w:fldChar w:fldCharType="begin"/>
      </w:r>
      <w:r w:rsidR="00000000" w:rsidRPr="00F20164">
        <w:rPr>
          <w:lang w:val="en-US"/>
        </w:rPr>
        <w:instrText>HYPERLINK "https://www.echr.coe.int/"</w:instrText>
      </w:r>
      <w:r w:rsidR="00000000">
        <w:fldChar w:fldCharType="separate"/>
      </w:r>
      <w:r w:rsidRPr="00F20164">
        <w:rPr>
          <w:rStyle w:val="Collegamentoipertestuale"/>
          <w:rFonts w:ascii="Garamond" w:hAnsi="Garamond" w:cs="Times New Roman"/>
          <w:lang w:val="en-US"/>
        </w:rPr>
        <w:t>ECHR - Homepage of the European Court of Human Rights - ECHR - ECHR / CEDH</w:t>
      </w:r>
      <w:r w:rsidR="00000000">
        <w:rPr>
          <w:rStyle w:val="Collegamentoipertestuale"/>
          <w:rFonts w:ascii="Garamond" w:hAnsi="Garamond" w:cs="Times New Roman"/>
        </w:rPr>
        <w:fldChar w:fldCharType="end"/>
      </w:r>
      <w:r w:rsidRPr="00F20164">
        <w:rPr>
          <w:rFonts w:ascii="Garamond" w:hAnsi="Garamond" w:cs="Times New Roman"/>
          <w:lang w:val="en-US"/>
        </w:rPr>
        <w:t xml:space="preserve">. </w:t>
      </w:r>
    </w:p>
  </w:footnote>
  <w:footnote w:id="93">
    <w:p w14:paraId="3426312D" w14:textId="32983C94"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Corte Europea dei Diritti dell’Uomo (CEDU). Guida all’articolo 1 del Protocollo n. 1 - Protezione della proprietà. </w:t>
      </w:r>
      <w:hyperlink r:id="rId17" w:history="1">
        <w:r w:rsidRPr="009C3984">
          <w:rPr>
            <w:rStyle w:val="Collegamentoipertestuale"/>
            <w:rFonts w:ascii="Garamond" w:hAnsi="Garamond" w:cs="Times New Roman"/>
          </w:rPr>
          <w:t>https://www.giustizia.it/cmsresources/cms/documents/guida_cedu_articolo1_protocollo1.pdf</w:t>
        </w:r>
      </w:hyperlink>
      <w:r w:rsidRPr="009C3984">
        <w:rPr>
          <w:rFonts w:ascii="Garamond" w:hAnsi="Garamond" w:cs="Times New Roman"/>
        </w:rPr>
        <w:t xml:space="preserve">. </w:t>
      </w:r>
    </w:p>
  </w:footnote>
  <w:footnote w:id="94">
    <w:p w14:paraId="2B459D6E" w14:textId="42D7FA8C" w:rsidR="00AD6442" w:rsidRPr="009C3984" w:rsidRDefault="00AD6442" w:rsidP="009C3984">
      <w:pPr>
        <w:pStyle w:val="Testonotaapidipagina"/>
        <w:jc w:val="both"/>
        <w:rPr>
          <w:rFonts w:ascii="Garamond" w:hAnsi="Garamond" w:cs="Times New Roman"/>
        </w:rPr>
      </w:pPr>
      <w:r w:rsidRPr="009C3984">
        <w:rPr>
          <w:rStyle w:val="Rimandonotaapidipagina"/>
          <w:rFonts w:ascii="Garamond" w:hAnsi="Garamond" w:cs="Times New Roman"/>
        </w:rPr>
        <w:footnoteRef/>
      </w:r>
      <w:r w:rsidRPr="009C3984">
        <w:rPr>
          <w:rFonts w:ascii="Garamond" w:hAnsi="Garamond" w:cs="Times New Roman"/>
        </w:rPr>
        <w:t xml:space="preserve"> </w:t>
      </w:r>
      <w:hyperlink r:id="rId18" w:history="1">
        <w:r w:rsidRPr="009C3984">
          <w:rPr>
            <w:rStyle w:val="Collegamentoipertestuale"/>
            <w:rFonts w:ascii="Garamond" w:hAnsi="Garamond" w:cs="Times New Roman"/>
          </w:rPr>
          <w:t>OSSERVATORIO CEDU - Sentenze | Internazionale</w:t>
        </w:r>
      </w:hyperlink>
      <w:r w:rsidRPr="009C3984">
        <w:rPr>
          <w:rFonts w:ascii="Garamond" w:hAnsi="Garamond" w:cs="Times New Roman"/>
        </w:rPr>
        <w:t xml:space="preserve">. </w:t>
      </w:r>
    </w:p>
  </w:footnote>
  <w:footnote w:id="95">
    <w:p w14:paraId="31E51AB9" w14:textId="4BEAACD8" w:rsidR="00AD6442" w:rsidRPr="00F20164" w:rsidRDefault="00AD6442" w:rsidP="009C3984">
      <w:pPr>
        <w:pStyle w:val="Testonotaapidipagina"/>
        <w:jc w:val="both"/>
        <w:rPr>
          <w:rFonts w:ascii="Garamond" w:hAnsi="Garamond" w:cs="Times New Roman"/>
          <w:lang w:val="en-US"/>
        </w:rPr>
      </w:pPr>
      <w:r w:rsidRPr="009C3984">
        <w:rPr>
          <w:rStyle w:val="Rimandonotaapidipagina"/>
          <w:rFonts w:ascii="Garamond" w:hAnsi="Garamond" w:cs="Times New Roman"/>
        </w:rPr>
        <w:footnoteRef/>
      </w:r>
      <w:r w:rsidRPr="009C3984">
        <w:rPr>
          <w:rFonts w:ascii="Garamond" w:hAnsi="Garamond" w:cs="Times New Roman"/>
        </w:rPr>
        <w:t xml:space="preserve"> All. 40: Corte EDU relativa al caso “Carbonara e Ventura c. Italia” (ricorso n. 24638/94). </w:t>
      </w:r>
      <w:r w:rsidRPr="00F20164">
        <w:rPr>
          <w:rFonts w:ascii="Garamond" w:hAnsi="Garamond" w:cs="Times New Roman"/>
          <w:i/>
          <w:lang w:val="en-US"/>
        </w:rPr>
        <w:t>“64.  The Court does not consider it necessary to decide in the abstract whether the role in the continental-law system of a rule, such as the constructive-expropriation rule, established by the courts is comparable to that of statutory provisions. However, it reiterates that the requirement of lawfulness means that rules of domestic law must be sufficiently accessible, precise and foreseeable (see the Hentrich v. France judgment of 22 September 1994, Series A no. 296-A, pp. 19-20, § 42, and the Lithgow and Others v. the United Kingdom judgment of 8 July 1986, Series A no. 102, p. 47, § 110)”.</w:t>
      </w:r>
    </w:p>
  </w:footnote>
  <w:footnote w:id="96">
    <w:p w14:paraId="195FCABF" w14:textId="2617A55D" w:rsidR="00AD6442" w:rsidRPr="00F20164" w:rsidRDefault="00AD6442" w:rsidP="009C3984">
      <w:pPr>
        <w:pStyle w:val="Testonotaapidipagina"/>
        <w:jc w:val="both"/>
        <w:rPr>
          <w:rFonts w:ascii="Garamond" w:hAnsi="Garamond" w:cs="Times New Roman"/>
          <w:i/>
          <w:lang w:val="en-US"/>
        </w:rPr>
      </w:pPr>
      <w:r w:rsidRPr="009C3984">
        <w:rPr>
          <w:rStyle w:val="Rimandonotaapidipagina"/>
          <w:rFonts w:ascii="Garamond" w:hAnsi="Garamond" w:cs="Times New Roman"/>
        </w:rPr>
        <w:footnoteRef/>
      </w:r>
      <w:r w:rsidRPr="009C3984">
        <w:rPr>
          <w:rFonts w:ascii="Garamond" w:hAnsi="Garamond" w:cs="Times New Roman"/>
          <w:i/>
        </w:rPr>
        <w:t xml:space="preserve"> </w:t>
      </w:r>
      <w:r w:rsidRPr="009C3984">
        <w:rPr>
          <w:rFonts w:ascii="Garamond" w:hAnsi="Garamond" w:cs="Times New Roman"/>
        </w:rPr>
        <w:t xml:space="preserve">All. 41: Corte EDU relativa al caso "Società Agricola </w:t>
      </w:r>
      <w:proofErr w:type="spellStart"/>
      <w:r w:rsidRPr="009C3984">
        <w:rPr>
          <w:rFonts w:ascii="Garamond" w:hAnsi="Garamond" w:cs="Times New Roman"/>
        </w:rPr>
        <w:t>Moceniga</w:t>
      </w:r>
      <w:proofErr w:type="spellEnd"/>
      <w:r w:rsidRPr="009C3984">
        <w:rPr>
          <w:rFonts w:ascii="Garamond" w:hAnsi="Garamond" w:cs="Times New Roman"/>
        </w:rPr>
        <w:t xml:space="preserve"> Pesca" (ricorso n. 13643/22).</w:t>
      </w:r>
      <w:r w:rsidRPr="009C3984">
        <w:rPr>
          <w:rFonts w:ascii="Garamond" w:hAnsi="Garamond" w:cs="Times New Roman"/>
          <w:i/>
        </w:rPr>
        <w:t xml:space="preserve"> </w:t>
      </w:r>
      <w:r w:rsidRPr="00F20164">
        <w:rPr>
          <w:rFonts w:ascii="Garamond" w:hAnsi="Garamond" w:cs="Times New Roman"/>
          <w:i/>
          <w:lang w:val="en-US"/>
        </w:rPr>
        <w:t xml:space="preserve">“13. The Court has previously established that the excusable nature of an error made by the domestic authorities does not justify an interference with property rights, and it is not for applicants to bear the consequences of any such errors (see, mutatis mutandis, Gashi, cited above, § 40). Furthermore, in the event that an error is the consequence of a lack of clarity of the applicable law, the Court emphasises that the requirement of lawfulness means that rules of domestic law must be sufficiently accessible, precise and foreseeable (see Carbonara and Ventura v. Italy, no. 24638/94, § 64, ECHR 2000-VI). </w:t>
      </w:r>
    </w:p>
    <w:p w14:paraId="0AF1C1AE" w14:textId="77777777" w:rsidR="00AD6442" w:rsidRPr="00F20164" w:rsidRDefault="00AD6442" w:rsidP="009C3984">
      <w:pPr>
        <w:pStyle w:val="Testonotaapidipagina"/>
        <w:jc w:val="both"/>
        <w:rPr>
          <w:rFonts w:ascii="Garamond" w:hAnsi="Garamond" w:cs="Times New Roman"/>
          <w:i/>
          <w:lang w:val="en-US"/>
        </w:rPr>
      </w:pPr>
      <w:r w:rsidRPr="00F20164">
        <w:rPr>
          <w:rFonts w:ascii="Garamond" w:hAnsi="Garamond" w:cs="Times New Roman"/>
          <w:i/>
          <w:lang w:val="en-US"/>
        </w:rPr>
        <w:t xml:space="preserve">14. The Government argued that the domestic authorities’ decisions had been aimed at protecting the environment and preventing illegal fishing activities and stressed that the setting aside of the unlawful administrative decisions amounted to sufficient redress for the applicant company. </w:t>
      </w:r>
    </w:p>
    <w:p w14:paraId="779FDDD7" w14:textId="77777777" w:rsidR="00AD6442" w:rsidRPr="00F20164" w:rsidRDefault="00AD6442" w:rsidP="009C3984">
      <w:pPr>
        <w:pStyle w:val="Testonotaapidipagina"/>
        <w:jc w:val="both"/>
        <w:rPr>
          <w:rFonts w:ascii="Garamond" w:hAnsi="Garamond" w:cs="Times New Roman"/>
          <w:i/>
          <w:lang w:val="en-US"/>
        </w:rPr>
      </w:pPr>
      <w:r w:rsidRPr="00F20164">
        <w:rPr>
          <w:rFonts w:ascii="Garamond" w:hAnsi="Garamond" w:cs="Times New Roman"/>
          <w:i/>
          <w:lang w:val="en-US"/>
        </w:rPr>
        <w:t xml:space="preserve">15. The Court reiterates that a decision or measure favourable to an applicant is not in principle sufficient to deprive him or her of his or her status as a “victim” unless the national authorities have acknowledged, either expressly or in substance, and then afforded redress for, the breach of the Convention (see Scordino, cited above, § 180). </w:t>
      </w:r>
    </w:p>
    <w:p w14:paraId="4B0E72B2" w14:textId="77777777" w:rsidR="00AD6442" w:rsidRPr="00F20164" w:rsidRDefault="00AD6442" w:rsidP="009C3984">
      <w:pPr>
        <w:pStyle w:val="Testonotaapidipagina"/>
        <w:jc w:val="both"/>
        <w:rPr>
          <w:rFonts w:ascii="Garamond" w:hAnsi="Garamond" w:cs="Times New Roman"/>
          <w:i/>
          <w:lang w:val="en-US"/>
        </w:rPr>
      </w:pPr>
      <w:r w:rsidRPr="00F20164">
        <w:rPr>
          <w:rFonts w:ascii="Garamond" w:hAnsi="Garamond" w:cs="Times New Roman"/>
          <w:i/>
          <w:lang w:val="en-US"/>
        </w:rPr>
        <w:t xml:space="preserve">16. The Court observes that, although the unlawful decisions were set aside, the applicant company was not awarded compensation for any damage sustained while the decisions werein force, solely because of the excusable nature of the error committed by the administrative authorities (see paragraph 6 above). Against this background, in the Court’s view, setting aside the unlawful decisions did not afford the applicant company sufficient redress. </w:t>
      </w:r>
    </w:p>
    <w:p w14:paraId="0452FE98" w14:textId="77777777" w:rsidR="00AD6442" w:rsidRPr="00F20164" w:rsidRDefault="00AD6442" w:rsidP="009C3984">
      <w:pPr>
        <w:pStyle w:val="Testonotaapidipagina"/>
        <w:jc w:val="both"/>
        <w:rPr>
          <w:rFonts w:ascii="Garamond" w:hAnsi="Garamond" w:cs="Times New Roman"/>
          <w:i/>
          <w:lang w:val="en-US"/>
        </w:rPr>
      </w:pPr>
      <w:r w:rsidRPr="00F20164">
        <w:rPr>
          <w:rFonts w:ascii="Garamond" w:hAnsi="Garamond" w:cs="Times New Roman"/>
          <w:i/>
          <w:lang w:val="en-US"/>
        </w:rPr>
        <w:t xml:space="preserve">17. Having regard to the above considerations, the Court finds that the interference in question was manifestly in breach of domestic law and, accordingly, incompatible with the right of the applicant company to the peaceful enjoyment of its possessions. This conclusion makes it unnecessary to ascertain whether a fair balance has been struck between the demands of the general interest of the community and the requirements of the protection of the individual’s fundamental rights. </w:t>
      </w:r>
    </w:p>
    <w:p w14:paraId="7EFDBE38" w14:textId="77777777" w:rsidR="00AD6442" w:rsidRPr="00F20164" w:rsidRDefault="00AD6442" w:rsidP="009C3984">
      <w:pPr>
        <w:pStyle w:val="Testonotaapidipagina"/>
        <w:jc w:val="both"/>
        <w:rPr>
          <w:rFonts w:ascii="Garamond" w:hAnsi="Garamond" w:cs="Times New Roman"/>
          <w:lang w:val="en-US"/>
        </w:rPr>
      </w:pPr>
      <w:r w:rsidRPr="00F20164">
        <w:rPr>
          <w:rFonts w:ascii="Garamond" w:hAnsi="Garamond" w:cs="Times New Roman"/>
          <w:i/>
          <w:lang w:val="en-US"/>
        </w:rPr>
        <w:t xml:space="preserve">18. There has accordingly been a violation of Article 1 of Protocol No. 1 to the Convention.” </w:t>
      </w:r>
    </w:p>
  </w:footnote>
  <w:footnote w:id="97">
    <w:p w14:paraId="5CA1E9E5" w14:textId="2E1F5A3E" w:rsidR="00AD6442" w:rsidRPr="00F20164" w:rsidRDefault="00AD6442" w:rsidP="009C3984">
      <w:pPr>
        <w:pStyle w:val="Testonotaapidipagina"/>
        <w:jc w:val="both"/>
        <w:rPr>
          <w:rFonts w:ascii="Garamond" w:hAnsi="Garamond"/>
          <w:i/>
          <w:lang w:val="en-US"/>
        </w:rPr>
      </w:pPr>
      <w:r w:rsidRPr="009C3984">
        <w:rPr>
          <w:rStyle w:val="Rimandonotaapidipagina"/>
          <w:rFonts w:ascii="Garamond" w:hAnsi="Garamond"/>
        </w:rPr>
        <w:footnoteRef/>
      </w:r>
      <w:r w:rsidRPr="009C3984">
        <w:rPr>
          <w:rFonts w:ascii="Garamond" w:hAnsi="Garamond"/>
        </w:rPr>
        <w:t xml:space="preserve"> All. 42: </w:t>
      </w:r>
      <w:r w:rsidRPr="009C3984">
        <w:rPr>
          <w:rFonts w:ascii="Garamond" w:hAnsi="Garamond" w:cs="Times New Roman"/>
        </w:rPr>
        <w:t xml:space="preserve">Corte EDU relativa al caso “Studio medico </w:t>
      </w:r>
      <w:proofErr w:type="spellStart"/>
      <w:r w:rsidRPr="009C3984">
        <w:rPr>
          <w:rFonts w:ascii="Garamond" w:hAnsi="Garamond" w:cs="Times New Roman"/>
        </w:rPr>
        <w:t>Crusi</w:t>
      </w:r>
      <w:proofErr w:type="spellEnd"/>
      <w:r w:rsidRPr="009C3984">
        <w:rPr>
          <w:rFonts w:ascii="Garamond" w:hAnsi="Garamond" w:cs="Times New Roman"/>
        </w:rPr>
        <w:t>” (ricorso n. 56161/19).</w:t>
      </w:r>
      <w:r w:rsidRPr="009C3984">
        <w:rPr>
          <w:rFonts w:ascii="Garamond" w:hAnsi="Garamond"/>
        </w:rPr>
        <w:t xml:space="preserve"> </w:t>
      </w:r>
      <w:r w:rsidRPr="00F20164">
        <w:rPr>
          <w:rFonts w:ascii="Garamond" w:hAnsi="Garamond"/>
          <w:i/>
          <w:lang w:val="en-US"/>
        </w:rPr>
        <w:t xml:space="preserve">“13. The Court has previously established that the excusable nature of an error made by the domestic authorities does not justify an interference with property rights, and it is not for applicants to bear the consequences of any such errors (see, mutatis mutandis, Gashi, cited above, § 40). Furthermore, in the event that the error is the consequence of a lack of clarity of the applicable law, the Court emphasises that the requirement of lawfulness means that rules of domestic law must be sufficiently accessible, precise and foreseeable (see Carbonara and Ventura v. Italy, no. 24638/94, § 64, ECHR 2000-VI). </w:t>
      </w:r>
    </w:p>
    <w:p w14:paraId="4A96CEAE" w14:textId="77777777" w:rsidR="00AD6442" w:rsidRPr="00F20164" w:rsidRDefault="00AD6442" w:rsidP="009C3984">
      <w:pPr>
        <w:pStyle w:val="Testonotaapidipagina"/>
        <w:jc w:val="both"/>
        <w:rPr>
          <w:rFonts w:ascii="Garamond" w:hAnsi="Garamond"/>
          <w:i/>
          <w:lang w:val="en-US"/>
        </w:rPr>
      </w:pPr>
      <w:r w:rsidRPr="00F20164">
        <w:rPr>
          <w:rFonts w:ascii="Garamond" w:hAnsi="Garamond"/>
          <w:i/>
          <w:lang w:val="en-US"/>
        </w:rPr>
        <w:t>17. The Court observes that, although the unlawful decision was set aside, the applicant company was not awarded compensation for any damage sustained while the decision was in force, solely because of the excusable nature of the error committed by the administrative authority (see paragraph 6 above). Against this background, in the Court’s view, setting aside the unlawful decision did not afford the applicant company sufficient redress”.</w:t>
      </w:r>
    </w:p>
  </w:footnote>
  <w:footnote w:id="98">
    <w:p w14:paraId="783ED2A6" w14:textId="54412DBC" w:rsidR="00AD6442" w:rsidRPr="00F20164" w:rsidRDefault="00AD6442" w:rsidP="009C3984">
      <w:pPr>
        <w:pStyle w:val="Testonotaapidipagina"/>
        <w:jc w:val="both"/>
        <w:rPr>
          <w:rFonts w:ascii="Garamond" w:hAnsi="Garamond" w:cs="Times New Roman"/>
          <w:i/>
          <w:lang w:val="en-US"/>
        </w:rPr>
      </w:pPr>
      <w:r w:rsidRPr="009C3984">
        <w:rPr>
          <w:rStyle w:val="Rimandonotaapidipagina"/>
          <w:rFonts w:ascii="Garamond" w:hAnsi="Garamond" w:cs="Times New Roman"/>
        </w:rPr>
        <w:footnoteRef/>
      </w:r>
      <w:r w:rsidRPr="009C3984">
        <w:rPr>
          <w:rFonts w:ascii="Garamond" w:hAnsi="Garamond" w:cs="Times New Roman"/>
        </w:rPr>
        <w:t xml:space="preserve"> All. 43: Corte EDU relativa al caso “Centro di fisioterapia Cecilia Surace” (ricorso n. 15277/20). </w:t>
      </w:r>
      <w:r w:rsidRPr="00F20164">
        <w:rPr>
          <w:rFonts w:ascii="Garamond" w:hAnsi="Garamond" w:cs="Times New Roman"/>
          <w:i/>
          <w:lang w:val="en-US"/>
        </w:rPr>
        <w:t>“14. The Court has previously established that the excusable nature of an error made by the domestic authorities does not justify an interference with property rights, and it is not for applicants to bear the consequences of any such errors (see, mutatis mutandis, Gashi, cited above, § 40)”.</w:t>
      </w:r>
    </w:p>
  </w:footnote>
  <w:footnote w:id="99">
    <w:p w14:paraId="5235E472" w14:textId="53BE1486" w:rsidR="00AD6442" w:rsidRPr="00F20164" w:rsidRDefault="00AD6442" w:rsidP="009C3984">
      <w:pPr>
        <w:pStyle w:val="Testonotaapidipagina"/>
        <w:jc w:val="both"/>
        <w:rPr>
          <w:rFonts w:ascii="Garamond" w:hAnsi="Garamond" w:cs="Times New Roman"/>
          <w:i/>
          <w:lang w:val="en-US"/>
        </w:rPr>
      </w:pPr>
      <w:r w:rsidRPr="009C3984">
        <w:rPr>
          <w:rStyle w:val="Rimandonotaapidipagina"/>
          <w:rFonts w:ascii="Garamond" w:hAnsi="Garamond"/>
        </w:rPr>
        <w:footnoteRef/>
      </w:r>
      <w:r w:rsidRPr="009C3984">
        <w:rPr>
          <w:rFonts w:ascii="Garamond" w:hAnsi="Garamond"/>
        </w:rPr>
        <w:t xml:space="preserve"> All. 44: </w:t>
      </w:r>
      <w:r w:rsidRPr="009C3984">
        <w:rPr>
          <w:rFonts w:ascii="Garamond" w:hAnsi="Garamond" w:cs="Times New Roman"/>
        </w:rPr>
        <w:t>Corte EDU relativa al caso “Maltese e altri” (ricorsi 31143/20).</w:t>
      </w:r>
      <w:r w:rsidRPr="009C3984">
        <w:rPr>
          <w:rFonts w:ascii="Garamond" w:hAnsi="Garamond"/>
        </w:rPr>
        <w:t xml:space="preserve"> </w:t>
      </w:r>
      <w:r w:rsidRPr="00F20164">
        <w:rPr>
          <w:rFonts w:ascii="Garamond" w:hAnsi="Garamond" w:cs="Times New Roman"/>
          <w:i/>
          <w:lang w:val="en-US"/>
        </w:rPr>
        <w:t>“14. The Court has previously established that the excusable nature of an error made by domestic authorities does not justify an interference with property rights and it is not for the applicants to bear the consequences of any such errors (see, mutatis mutandis, Gashi, cited above, § 40). Furthermore, in the event that an error is the consequence of a lack of clarity of the applicable law, the Court emphasises that the requirement of lawfulness means that rules of domestic law must be sufficiently accessible, precise and foreseeable (see Carbonara and Ventura v. Italy, no. 24638/94, § 64, ECHR 2000-VI).</w:t>
      </w:r>
    </w:p>
    <w:p w14:paraId="36325CE1" w14:textId="77777777" w:rsidR="00AD6442" w:rsidRPr="00F20164" w:rsidRDefault="00AD6442" w:rsidP="009C3984">
      <w:pPr>
        <w:pStyle w:val="Testonotaapidipagina"/>
        <w:jc w:val="both"/>
        <w:rPr>
          <w:rFonts w:ascii="Garamond" w:hAnsi="Garamond" w:cs="Times New Roman"/>
          <w:i/>
          <w:lang w:val="en-US"/>
        </w:rPr>
      </w:pPr>
      <w:r w:rsidRPr="00F20164">
        <w:rPr>
          <w:rFonts w:ascii="Garamond" w:hAnsi="Garamond" w:cs="Times New Roman"/>
          <w:i/>
          <w:lang w:val="en-US"/>
        </w:rPr>
        <w:t xml:space="preserve">17. The Court observes that, although the unlawful decision was set aside and the applicants were subsequently recruited by the Ministry of Defence, they were not awarded compensation for the damage sustained as a result of the delay in their recruitment, solely on the ground of the excusable nature of the error committed by the administrative authority (see paragraph 6 above). Against this background, in the Court’s view, setting aside the unlawful decision did not afford the applicants sufficient redress. </w:t>
      </w:r>
    </w:p>
    <w:p w14:paraId="45EE4D84" w14:textId="683D2378" w:rsidR="00AD6442" w:rsidRPr="00F20164" w:rsidRDefault="00AD6442" w:rsidP="009C3984">
      <w:pPr>
        <w:pStyle w:val="Testonotaapidipagina"/>
        <w:jc w:val="both"/>
        <w:rPr>
          <w:rFonts w:ascii="Garamond" w:hAnsi="Garamond" w:cs="Times New Roman"/>
          <w:i/>
          <w:lang w:val="en-US"/>
        </w:rPr>
      </w:pPr>
      <w:r w:rsidRPr="00F20164">
        <w:rPr>
          <w:rFonts w:ascii="Garamond" w:hAnsi="Garamond" w:cs="Times New Roman"/>
          <w:i/>
          <w:lang w:val="en-US"/>
        </w:rPr>
        <w:t>18. Having regard to the above considerations, the Court finds that the interference in question is manifestly in breach of domestic law and, accordingly, incompatible with the applicants’ right to the peaceful enjoyment of their possessions. This conclusion makes it unnecessary to ascertain whether a fair balance has been struck between the demands of the general interest of the community and the requirements of the protection of the individual’s fundamental rights”.</w:t>
      </w:r>
    </w:p>
  </w:footnote>
  <w:footnote w:id="100">
    <w:p w14:paraId="53F24AF2" w14:textId="067DE8D0" w:rsidR="00AD6442" w:rsidRPr="00F20164" w:rsidRDefault="00AD6442" w:rsidP="009C3984">
      <w:pPr>
        <w:pStyle w:val="Testonotaapidipagina"/>
        <w:jc w:val="both"/>
        <w:rPr>
          <w:rFonts w:ascii="Garamond" w:hAnsi="Garamond" w:cs="Times New Roman"/>
          <w:i/>
          <w:lang w:val="en-US"/>
        </w:rPr>
      </w:pPr>
      <w:r w:rsidRPr="009C3984">
        <w:rPr>
          <w:rStyle w:val="Rimandonotaapidipagina"/>
          <w:rFonts w:ascii="Garamond" w:hAnsi="Garamond" w:cs="Times New Roman"/>
        </w:rPr>
        <w:footnoteRef/>
      </w:r>
      <w:r w:rsidRPr="009C3984">
        <w:rPr>
          <w:rFonts w:ascii="Garamond" w:hAnsi="Garamond" w:cs="Times New Roman"/>
        </w:rPr>
        <w:t xml:space="preserve"> All. 45: Corte EDU relativa al caso “SICOP s.r.l.” </w:t>
      </w:r>
      <w:r w:rsidRPr="00F20164">
        <w:rPr>
          <w:rFonts w:ascii="Garamond" w:hAnsi="Garamond" w:cs="Times New Roman"/>
          <w:lang w:val="en-US"/>
        </w:rPr>
        <w:t xml:space="preserve">(ricorso 7523/23). </w:t>
      </w:r>
      <w:r w:rsidRPr="00F20164">
        <w:rPr>
          <w:rFonts w:ascii="Garamond" w:hAnsi="Garamond" w:cs="Times New Roman"/>
          <w:i/>
          <w:lang w:val="en-US"/>
        </w:rPr>
        <w:t>“19. The Court has previously established that the excusable nature of an error made by the domestic authorities does not justify an interference with property rights and it is not for the applicants to bear the consequences of any such errors (see, mutatis mutandis, Gashi, cited above, § 40).</w:t>
      </w:r>
    </w:p>
    <w:p w14:paraId="4B1411F9" w14:textId="41A61346" w:rsidR="00AD6442" w:rsidRPr="00F20164" w:rsidRDefault="00AD6442" w:rsidP="009C3984">
      <w:pPr>
        <w:pStyle w:val="Testonotaapidipagina"/>
        <w:jc w:val="both"/>
        <w:rPr>
          <w:rFonts w:ascii="Garamond" w:hAnsi="Garamond" w:cs="Times New Roman"/>
          <w:i/>
          <w:lang w:val="en-US"/>
        </w:rPr>
      </w:pPr>
      <w:r w:rsidRPr="00F20164">
        <w:rPr>
          <w:rFonts w:ascii="Garamond" w:hAnsi="Garamond" w:cs="Times New Roman"/>
          <w:i/>
          <w:lang w:val="en-US"/>
        </w:rPr>
        <w:t>22. The Court notes that, although the work suspension orders were declared unlawful and lifted (see paragraph 11 above), the applicant company was not awarded compensation for any damage sustained. Whereas the claim for compensation was rejected in respect of the second and the third orders because there was no causal link between the unlawful suspensions deriving from those orders and the damage alleged, in respect of the first order the company was not awarded compensation only because of the excusable nature of the error made by the administrative authority (see paragraph 12 above). Against this background, in the Court’s view, lifting the unlawful first order did not afford the applicant company sufficient redress.</w:t>
      </w:r>
    </w:p>
    <w:p w14:paraId="400A2B41" w14:textId="043A4092" w:rsidR="00AD6442" w:rsidRPr="00F20164" w:rsidRDefault="00AD6442" w:rsidP="009C3984">
      <w:pPr>
        <w:pStyle w:val="Testonotaapidipagina"/>
        <w:jc w:val="both"/>
        <w:rPr>
          <w:rFonts w:ascii="Garamond" w:hAnsi="Garamond" w:cs="Times New Roman"/>
          <w:i/>
          <w:lang w:val="en-US"/>
        </w:rPr>
      </w:pPr>
      <w:r w:rsidRPr="00F20164">
        <w:rPr>
          <w:rFonts w:ascii="Garamond" w:hAnsi="Garamond" w:cs="Times New Roman"/>
          <w:i/>
          <w:lang w:val="en-US"/>
        </w:rPr>
        <w:t>23. That finding is sufficient for the Court to find that the applicant company suffered an interference which was manifestly in breach of domestic law and, accordingly, incompatible with the right to the peaceful enjoyment of its possessions”.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B1D"/>
    <w:multiLevelType w:val="hybridMultilevel"/>
    <w:tmpl w:val="99B8A5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997FFC"/>
    <w:multiLevelType w:val="hybridMultilevel"/>
    <w:tmpl w:val="BD4A4950"/>
    <w:lvl w:ilvl="0" w:tplc="CD78FF3A">
      <w:start w:val="1"/>
      <w:numFmt w:val="bullet"/>
      <w:lvlText w:val="-"/>
      <w:lvlJc w:val="left"/>
      <w:pPr>
        <w:ind w:left="1440" w:hanging="360"/>
      </w:pPr>
      <w:rPr>
        <w:rFonts w:ascii="Sylfaen" w:hAnsi="Sylfae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0263251"/>
    <w:multiLevelType w:val="hybridMultilevel"/>
    <w:tmpl w:val="322AD5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CC6908"/>
    <w:multiLevelType w:val="hybridMultilevel"/>
    <w:tmpl w:val="63E84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420043"/>
    <w:multiLevelType w:val="hybridMultilevel"/>
    <w:tmpl w:val="674E7F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163DB9"/>
    <w:multiLevelType w:val="hybridMultilevel"/>
    <w:tmpl w:val="32EE51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804569"/>
    <w:multiLevelType w:val="hybridMultilevel"/>
    <w:tmpl w:val="DB4A425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2E454369"/>
    <w:multiLevelType w:val="hybridMultilevel"/>
    <w:tmpl w:val="B674375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33812613"/>
    <w:multiLevelType w:val="hybridMultilevel"/>
    <w:tmpl w:val="5BF2CF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B27389"/>
    <w:multiLevelType w:val="hybridMultilevel"/>
    <w:tmpl w:val="48682DC0"/>
    <w:lvl w:ilvl="0" w:tplc="04100019">
      <w:start w:val="1"/>
      <w:numFmt w:val="lowerLetter"/>
      <w:lvlText w:val="%1."/>
      <w:lvlJc w:val="left"/>
      <w:pPr>
        <w:ind w:left="144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BD1BF0"/>
    <w:multiLevelType w:val="multilevel"/>
    <w:tmpl w:val="02B05F2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A607E9B"/>
    <w:multiLevelType w:val="hybridMultilevel"/>
    <w:tmpl w:val="C888BB6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4CA3600F"/>
    <w:multiLevelType w:val="hybridMultilevel"/>
    <w:tmpl w:val="E57A37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DA920B4"/>
    <w:multiLevelType w:val="hybridMultilevel"/>
    <w:tmpl w:val="4408766C"/>
    <w:lvl w:ilvl="0" w:tplc="0410000F">
      <w:start w:val="1"/>
      <w:numFmt w:val="decimal"/>
      <w:lvlText w:val="%1."/>
      <w:lvlJc w:val="left"/>
      <w:pPr>
        <w:ind w:left="8865" w:hanging="360"/>
      </w:pPr>
    </w:lvl>
    <w:lvl w:ilvl="1" w:tplc="04100019" w:tentative="1">
      <w:start w:val="1"/>
      <w:numFmt w:val="lowerLetter"/>
      <w:lvlText w:val="%2."/>
      <w:lvlJc w:val="left"/>
      <w:pPr>
        <w:ind w:left="9585" w:hanging="360"/>
      </w:pPr>
    </w:lvl>
    <w:lvl w:ilvl="2" w:tplc="0410001B" w:tentative="1">
      <w:start w:val="1"/>
      <w:numFmt w:val="lowerRoman"/>
      <w:lvlText w:val="%3."/>
      <w:lvlJc w:val="right"/>
      <w:pPr>
        <w:ind w:left="10305" w:hanging="180"/>
      </w:pPr>
    </w:lvl>
    <w:lvl w:ilvl="3" w:tplc="0410000F" w:tentative="1">
      <w:start w:val="1"/>
      <w:numFmt w:val="decimal"/>
      <w:lvlText w:val="%4."/>
      <w:lvlJc w:val="left"/>
      <w:pPr>
        <w:ind w:left="11025" w:hanging="360"/>
      </w:pPr>
    </w:lvl>
    <w:lvl w:ilvl="4" w:tplc="04100019" w:tentative="1">
      <w:start w:val="1"/>
      <w:numFmt w:val="lowerLetter"/>
      <w:lvlText w:val="%5."/>
      <w:lvlJc w:val="left"/>
      <w:pPr>
        <w:ind w:left="11745" w:hanging="360"/>
      </w:pPr>
    </w:lvl>
    <w:lvl w:ilvl="5" w:tplc="0410001B" w:tentative="1">
      <w:start w:val="1"/>
      <w:numFmt w:val="lowerRoman"/>
      <w:lvlText w:val="%6."/>
      <w:lvlJc w:val="right"/>
      <w:pPr>
        <w:ind w:left="12465" w:hanging="180"/>
      </w:pPr>
    </w:lvl>
    <w:lvl w:ilvl="6" w:tplc="0410000F" w:tentative="1">
      <w:start w:val="1"/>
      <w:numFmt w:val="decimal"/>
      <w:lvlText w:val="%7."/>
      <w:lvlJc w:val="left"/>
      <w:pPr>
        <w:ind w:left="13185" w:hanging="360"/>
      </w:pPr>
    </w:lvl>
    <w:lvl w:ilvl="7" w:tplc="04100019" w:tentative="1">
      <w:start w:val="1"/>
      <w:numFmt w:val="lowerLetter"/>
      <w:lvlText w:val="%8."/>
      <w:lvlJc w:val="left"/>
      <w:pPr>
        <w:ind w:left="13905" w:hanging="360"/>
      </w:pPr>
    </w:lvl>
    <w:lvl w:ilvl="8" w:tplc="0410001B" w:tentative="1">
      <w:start w:val="1"/>
      <w:numFmt w:val="lowerRoman"/>
      <w:lvlText w:val="%9."/>
      <w:lvlJc w:val="right"/>
      <w:pPr>
        <w:ind w:left="14625" w:hanging="180"/>
      </w:pPr>
    </w:lvl>
  </w:abstractNum>
  <w:abstractNum w:abstractNumId="14" w15:restartNumberingAfterBreak="0">
    <w:nsid w:val="592E0D5A"/>
    <w:multiLevelType w:val="hybridMultilevel"/>
    <w:tmpl w:val="F632A6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E243848"/>
    <w:multiLevelType w:val="hybridMultilevel"/>
    <w:tmpl w:val="C30C42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4EF534E"/>
    <w:multiLevelType w:val="hybridMultilevel"/>
    <w:tmpl w:val="0A4AFB5C"/>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7F175F60"/>
    <w:multiLevelType w:val="hybridMultilevel"/>
    <w:tmpl w:val="F5346818"/>
    <w:lvl w:ilvl="0" w:tplc="BAA6ED6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92987576">
    <w:abstractNumId w:val="13"/>
  </w:num>
  <w:num w:numId="2" w16cid:durableId="2125077772">
    <w:abstractNumId w:val="0"/>
  </w:num>
  <w:num w:numId="3" w16cid:durableId="1417360317">
    <w:abstractNumId w:val="1"/>
  </w:num>
  <w:num w:numId="4" w16cid:durableId="1294364242">
    <w:abstractNumId w:val="14"/>
  </w:num>
  <w:num w:numId="5" w16cid:durableId="1952467198">
    <w:abstractNumId w:val="12"/>
  </w:num>
  <w:num w:numId="6" w16cid:durableId="364185738">
    <w:abstractNumId w:val="2"/>
  </w:num>
  <w:num w:numId="7" w16cid:durableId="1912154160">
    <w:abstractNumId w:val="10"/>
  </w:num>
  <w:num w:numId="8" w16cid:durableId="909003142">
    <w:abstractNumId w:val="17"/>
  </w:num>
  <w:num w:numId="9" w16cid:durableId="880164573">
    <w:abstractNumId w:val="16"/>
  </w:num>
  <w:num w:numId="10" w16cid:durableId="647710239">
    <w:abstractNumId w:val="5"/>
  </w:num>
  <w:num w:numId="11" w16cid:durableId="1763329864">
    <w:abstractNumId w:val="8"/>
  </w:num>
  <w:num w:numId="12" w16cid:durableId="1184631700">
    <w:abstractNumId w:val="15"/>
  </w:num>
  <w:num w:numId="13" w16cid:durableId="1426656198">
    <w:abstractNumId w:val="4"/>
  </w:num>
  <w:num w:numId="14" w16cid:durableId="1958948599">
    <w:abstractNumId w:val="11"/>
  </w:num>
  <w:num w:numId="15" w16cid:durableId="1188560912">
    <w:abstractNumId w:val="9"/>
  </w:num>
  <w:num w:numId="16" w16cid:durableId="151877662">
    <w:abstractNumId w:val="7"/>
  </w:num>
  <w:num w:numId="17" w16cid:durableId="1693074565">
    <w:abstractNumId w:val="3"/>
  </w:num>
  <w:num w:numId="18" w16cid:durableId="1859926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A9"/>
    <w:rsid w:val="000152AE"/>
    <w:rsid w:val="00016733"/>
    <w:rsid w:val="00022D33"/>
    <w:rsid w:val="00030F02"/>
    <w:rsid w:val="0003318F"/>
    <w:rsid w:val="0004596E"/>
    <w:rsid w:val="00045C95"/>
    <w:rsid w:val="0006112F"/>
    <w:rsid w:val="0006328E"/>
    <w:rsid w:val="00066877"/>
    <w:rsid w:val="00085147"/>
    <w:rsid w:val="000855D7"/>
    <w:rsid w:val="000A0B43"/>
    <w:rsid w:val="000A0FAB"/>
    <w:rsid w:val="000A275A"/>
    <w:rsid w:val="000C2BE6"/>
    <w:rsid w:val="000D0D9E"/>
    <w:rsid w:val="000E13CC"/>
    <w:rsid w:val="000F13D7"/>
    <w:rsid w:val="000F14E9"/>
    <w:rsid w:val="00105457"/>
    <w:rsid w:val="001278D7"/>
    <w:rsid w:val="001304C5"/>
    <w:rsid w:val="00131DCB"/>
    <w:rsid w:val="001353BB"/>
    <w:rsid w:val="00140101"/>
    <w:rsid w:val="00140EF7"/>
    <w:rsid w:val="001549AB"/>
    <w:rsid w:val="00154AC8"/>
    <w:rsid w:val="00162041"/>
    <w:rsid w:val="00171352"/>
    <w:rsid w:val="00175FFF"/>
    <w:rsid w:val="001953B2"/>
    <w:rsid w:val="001B363D"/>
    <w:rsid w:val="001B69E2"/>
    <w:rsid w:val="001C3346"/>
    <w:rsid w:val="001D68B6"/>
    <w:rsid w:val="001E3C32"/>
    <w:rsid w:val="001E5479"/>
    <w:rsid w:val="001F2DCD"/>
    <w:rsid w:val="0021225B"/>
    <w:rsid w:val="002167D0"/>
    <w:rsid w:val="00217AD4"/>
    <w:rsid w:val="0022008C"/>
    <w:rsid w:val="002229C3"/>
    <w:rsid w:val="002241FE"/>
    <w:rsid w:val="00231599"/>
    <w:rsid w:val="002446D0"/>
    <w:rsid w:val="002478DB"/>
    <w:rsid w:val="0025751D"/>
    <w:rsid w:val="002666AB"/>
    <w:rsid w:val="002757FA"/>
    <w:rsid w:val="002805ED"/>
    <w:rsid w:val="00282729"/>
    <w:rsid w:val="00286793"/>
    <w:rsid w:val="002A0CC1"/>
    <w:rsid w:val="002A14E2"/>
    <w:rsid w:val="002A2E13"/>
    <w:rsid w:val="002A3A23"/>
    <w:rsid w:val="002A69DD"/>
    <w:rsid w:val="002C0DDC"/>
    <w:rsid w:val="002D0A16"/>
    <w:rsid w:val="002D7113"/>
    <w:rsid w:val="002E1882"/>
    <w:rsid w:val="002E5877"/>
    <w:rsid w:val="002F47D4"/>
    <w:rsid w:val="00301CED"/>
    <w:rsid w:val="0030482D"/>
    <w:rsid w:val="0032245F"/>
    <w:rsid w:val="0032276A"/>
    <w:rsid w:val="0033543C"/>
    <w:rsid w:val="00337A23"/>
    <w:rsid w:val="00355D9C"/>
    <w:rsid w:val="00374433"/>
    <w:rsid w:val="003761C7"/>
    <w:rsid w:val="00385D3B"/>
    <w:rsid w:val="0039539A"/>
    <w:rsid w:val="003A0B7B"/>
    <w:rsid w:val="003A2B5D"/>
    <w:rsid w:val="003A43A2"/>
    <w:rsid w:val="003A4A61"/>
    <w:rsid w:val="003B3C24"/>
    <w:rsid w:val="003B6C48"/>
    <w:rsid w:val="003C2366"/>
    <w:rsid w:val="003D0503"/>
    <w:rsid w:val="003E6B57"/>
    <w:rsid w:val="003F1693"/>
    <w:rsid w:val="00401B69"/>
    <w:rsid w:val="00407C78"/>
    <w:rsid w:val="00410288"/>
    <w:rsid w:val="00422CDD"/>
    <w:rsid w:val="00426F29"/>
    <w:rsid w:val="00430B24"/>
    <w:rsid w:val="0043164D"/>
    <w:rsid w:val="004574FC"/>
    <w:rsid w:val="0047078B"/>
    <w:rsid w:val="0049000C"/>
    <w:rsid w:val="00495E56"/>
    <w:rsid w:val="004975B4"/>
    <w:rsid w:val="005026A0"/>
    <w:rsid w:val="00504E8D"/>
    <w:rsid w:val="005052EF"/>
    <w:rsid w:val="005059CD"/>
    <w:rsid w:val="0050670C"/>
    <w:rsid w:val="005067AF"/>
    <w:rsid w:val="0052087E"/>
    <w:rsid w:val="005263AA"/>
    <w:rsid w:val="005405FF"/>
    <w:rsid w:val="00543EF1"/>
    <w:rsid w:val="0055546E"/>
    <w:rsid w:val="00562C4F"/>
    <w:rsid w:val="00566CFC"/>
    <w:rsid w:val="005674A4"/>
    <w:rsid w:val="00576D9A"/>
    <w:rsid w:val="005907EC"/>
    <w:rsid w:val="005913E2"/>
    <w:rsid w:val="005A614E"/>
    <w:rsid w:val="005C0D24"/>
    <w:rsid w:val="005E797A"/>
    <w:rsid w:val="00622804"/>
    <w:rsid w:val="006479DA"/>
    <w:rsid w:val="006534EF"/>
    <w:rsid w:val="00655C42"/>
    <w:rsid w:val="00692D48"/>
    <w:rsid w:val="0069336C"/>
    <w:rsid w:val="006B7853"/>
    <w:rsid w:val="006C1CDB"/>
    <w:rsid w:val="006D5EF8"/>
    <w:rsid w:val="006E35E1"/>
    <w:rsid w:val="006E54B4"/>
    <w:rsid w:val="006E6481"/>
    <w:rsid w:val="00705F84"/>
    <w:rsid w:val="00714D61"/>
    <w:rsid w:val="00723EBC"/>
    <w:rsid w:val="007457D1"/>
    <w:rsid w:val="00747331"/>
    <w:rsid w:val="00751644"/>
    <w:rsid w:val="0076298B"/>
    <w:rsid w:val="0078755E"/>
    <w:rsid w:val="007A1971"/>
    <w:rsid w:val="007A743F"/>
    <w:rsid w:val="007B057E"/>
    <w:rsid w:val="007C0643"/>
    <w:rsid w:val="00804C69"/>
    <w:rsid w:val="008052EA"/>
    <w:rsid w:val="008109F8"/>
    <w:rsid w:val="00812EB6"/>
    <w:rsid w:val="00814F8D"/>
    <w:rsid w:val="00833D74"/>
    <w:rsid w:val="00842DAA"/>
    <w:rsid w:val="0084354D"/>
    <w:rsid w:val="00854D22"/>
    <w:rsid w:val="0085726B"/>
    <w:rsid w:val="00861D40"/>
    <w:rsid w:val="00864533"/>
    <w:rsid w:val="008754D9"/>
    <w:rsid w:val="0089048B"/>
    <w:rsid w:val="00891F1A"/>
    <w:rsid w:val="008A5716"/>
    <w:rsid w:val="008B2652"/>
    <w:rsid w:val="008B6182"/>
    <w:rsid w:val="008D5259"/>
    <w:rsid w:val="008E07C6"/>
    <w:rsid w:val="008E13A9"/>
    <w:rsid w:val="0090696B"/>
    <w:rsid w:val="009076C6"/>
    <w:rsid w:val="009156E2"/>
    <w:rsid w:val="009272B2"/>
    <w:rsid w:val="00943628"/>
    <w:rsid w:val="009448D7"/>
    <w:rsid w:val="00946854"/>
    <w:rsid w:val="00963FA7"/>
    <w:rsid w:val="0096400A"/>
    <w:rsid w:val="00967C9A"/>
    <w:rsid w:val="00974AA5"/>
    <w:rsid w:val="009A54DB"/>
    <w:rsid w:val="009A609C"/>
    <w:rsid w:val="009A787E"/>
    <w:rsid w:val="009B787D"/>
    <w:rsid w:val="009C3984"/>
    <w:rsid w:val="009C3A0D"/>
    <w:rsid w:val="009C3EB1"/>
    <w:rsid w:val="009D1546"/>
    <w:rsid w:val="009E529C"/>
    <w:rsid w:val="009E6BAB"/>
    <w:rsid w:val="009F06AD"/>
    <w:rsid w:val="009F4205"/>
    <w:rsid w:val="009F49E0"/>
    <w:rsid w:val="009F6B58"/>
    <w:rsid w:val="00A076E9"/>
    <w:rsid w:val="00A117AA"/>
    <w:rsid w:val="00A13F58"/>
    <w:rsid w:val="00A17820"/>
    <w:rsid w:val="00A457BF"/>
    <w:rsid w:val="00A62C9D"/>
    <w:rsid w:val="00A65265"/>
    <w:rsid w:val="00A801C4"/>
    <w:rsid w:val="00A8505C"/>
    <w:rsid w:val="00A9210A"/>
    <w:rsid w:val="00A94FF2"/>
    <w:rsid w:val="00AA4247"/>
    <w:rsid w:val="00AA480F"/>
    <w:rsid w:val="00AA7445"/>
    <w:rsid w:val="00AC4C0F"/>
    <w:rsid w:val="00AC78DF"/>
    <w:rsid w:val="00AD4BF0"/>
    <w:rsid w:val="00AD59E8"/>
    <w:rsid w:val="00AD6442"/>
    <w:rsid w:val="00AF680E"/>
    <w:rsid w:val="00B00863"/>
    <w:rsid w:val="00B232DB"/>
    <w:rsid w:val="00B4019C"/>
    <w:rsid w:val="00B44D3B"/>
    <w:rsid w:val="00B53875"/>
    <w:rsid w:val="00B54DF2"/>
    <w:rsid w:val="00B727D0"/>
    <w:rsid w:val="00B759BC"/>
    <w:rsid w:val="00B97810"/>
    <w:rsid w:val="00BC28F3"/>
    <w:rsid w:val="00BC615F"/>
    <w:rsid w:val="00BC7259"/>
    <w:rsid w:val="00BD621E"/>
    <w:rsid w:val="00BE51BE"/>
    <w:rsid w:val="00BE545A"/>
    <w:rsid w:val="00C04D8E"/>
    <w:rsid w:val="00C2180B"/>
    <w:rsid w:val="00C309A2"/>
    <w:rsid w:val="00C31633"/>
    <w:rsid w:val="00C432CB"/>
    <w:rsid w:val="00C43EE3"/>
    <w:rsid w:val="00C45D76"/>
    <w:rsid w:val="00C539BD"/>
    <w:rsid w:val="00C666A3"/>
    <w:rsid w:val="00C75B0A"/>
    <w:rsid w:val="00C810B6"/>
    <w:rsid w:val="00C97DEB"/>
    <w:rsid w:val="00CA7F42"/>
    <w:rsid w:val="00CB0912"/>
    <w:rsid w:val="00CB7F91"/>
    <w:rsid w:val="00CC1F3D"/>
    <w:rsid w:val="00CD32FF"/>
    <w:rsid w:val="00CD4D7B"/>
    <w:rsid w:val="00CD4F2D"/>
    <w:rsid w:val="00CE0C2B"/>
    <w:rsid w:val="00CF2584"/>
    <w:rsid w:val="00CF48BD"/>
    <w:rsid w:val="00CF4903"/>
    <w:rsid w:val="00D04103"/>
    <w:rsid w:val="00D07123"/>
    <w:rsid w:val="00D276E2"/>
    <w:rsid w:val="00D31A53"/>
    <w:rsid w:val="00D36635"/>
    <w:rsid w:val="00D42F46"/>
    <w:rsid w:val="00D43265"/>
    <w:rsid w:val="00D52A08"/>
    <w:rsid w:val="00D60D68"/>
    <w:rsid w:val="00D801FB"/>
    <w:rsid w:val="00D8187E"/>
    <w:rsid w:val="00D82198"/>
    <w:rsid w:val="00D918BC"/>
    <w:rsid w:val="00D92C05"/>
    <w:rsid w:val="00D935F9"/>
    <w:rsid w:val="00D97A81"/>
    <w:rsid w:val="00DB1CF1"/>
    <w:rsid w:val="00DB2221"/>
    <w:rsid w:val="00DB3D4B"/>
    <w:rsid w:val="00DD07DF"/>
    <w:rsid w:val="00DD0D1D"/>
    <w:rsid w:val="00DD22B4"/>
    <w:rsid w:val="00DE3D02"/>
    <w:rsid w:val="00DF52DA"/>
    <w:rsid w:val="00E10392"/>
    <w:rsid w:val="00E304F0"/>
    <w:rsid w:val="00E32AEE"/>
    <w:rsid w:val="00E3769F"/>
    <w:rsid w:val="00E53493"/>
    <w:rsid w:val="00E540C2"/>
    <w:rsid w:val="00E54C18"/>
    <w:rsid w:val="00E60E42"/>
    <w:rsid w:val="00E63130"/>
    <w:rsid w:val="00E727CE"/>
    <w:rsid w:val="00E85396"/>
    <w:rsid w:val="00E85C7D"/>
    <w:rsid w:val="00E865ED"/>
    <w:rsid w:val="00E87C37"/>
    <w:rsid w:val="00E928EF"/>
    <w:rsid w:val="00EA67D6"/>
    <w:rsid w:val="00EB08C2"/>
    <w:rsid w:val="00EB207F"/>
    <w:rsid w:val="00EB3FE2"/>
    <w:rsid w:val="00EB4CF5"/>
    <w:rsid w:val="00EC19F8"/>
    <w:rsid w:val="00EC75ED"/>
    <w:rsid w:val="00EE4863"/>
    <w:rsid w:val="00EE65F8"/>
    <w:rsid w:val="00F00A12"/>
    <w:rsid w:val="00F16558"/>
    <w:rsid w:val="00F20164"/>
    <w:rsid w:val="00F23B52"/>
    <w:rsid w:val="00F27608"/>
    <w:rsid w:val="00F406B6"/>
    <w:rsid w:val="00F46157"/>
    <w:rsid w:val="00F50432"/>
    <w:rsid w:val="00F537DF"/>
    <w:rsid w:val="00F56B3F"/>
    <w:rsid w:val="00F70D81"/>
    <w:rsid w:val="00F749C8"/>
    <w:rsid w:val="00F75F92"/>
    <w:rsid w:val="00F8153B"/>
    <w:rsid w:val="00F8235F"/>
    <w:rsid w:val="00F87373"/>
    <w:rsid w:val="00F910B6"/>
    <w:rsid w:val="00F97BF6"/>
    <w:rsid w:val="00FD2E6B"/>
    <w:rsid w:val="00FF07BB"/>
    <w:rsid w:val="00FF355F"/>
    <w:rsid w:val="00FF5C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2BCA"/>
  <w15:chartTrackingRefBased/>
  <w15:docId w15:val="{7BA3CD70-27C3-4052-823A-407A73E4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5D76"/>
  </w:style>
  <w:style w:type="paragraph" w:styleId="Titolo3">
    <w:name w:val="heading 3"/>
    <w:basedOn w:val="Normale"/>
    <w:next w:val="Normale"/>
    <w:link w:val="Titolo3Carattere"/>
    <w:uiPriority w:val="9"/>
    <w:semiHidden/>
    <w:unhideWhenUsed/>
    <w:qFormat/>
    <w:rsid w:val="00030F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3A0B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0B7B"/>
  </w:style>
  <w:style w:type="paragraph" w:styleId="Paragrafoelenco">
    <w:name w:val="List Paragraph"/>
    <w:basedOn w:val="Normale"/>
    <w:uiPriority w:val="34"/>
    <w:qFormat/>
    <w:rsid w:val="003A0B7B"/>
    <w:pPr>
      <w:ind w:left="720"/>
      <w:contextualSpacing/>
    </w:pPr>
  </w:style>
  <w:style w:type="paragraph" w:styleId="Testonotaapidipagina">
    <w:name w:val="footnote text"/>
    <w:basedOn w:val="Normale"/>
    <w:link w:val="TestonotaapidipaginaCarattere"/>
    <w:uiPriority w:val="99"/>
    <w:unhideWhenUsed/>
    <w:rsid w:val="003A0B7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A0B7B"/>
    <w:rPr>
      <w:sz w:val="20"/>
      <w:szCs w:val="20"/>
    </w:rPr>
  </w:style>
  <w:style w:type="character" w:styleId="Rimandonotaapidipagina">
    <w:name w:val="footnote reference"/>
    <w:basedOn w:val="Carpredefinitoparagrafo"/>
    <w:uiPriority w:val="99"/>
    <w:unhideWhenUsed/>
    <w:rsid w:val="003A0B7B"/>
    <w:rPr>
      <w:vertAlign w:val="superscript"/>
    </w:rPr>
  </w:style>
  <w:style w:type="table" w:styleId="Grigliatabella">
    <w:name w:val="Table Grid"/>
    <w:basedOn w:val="Tabellanormale"/>
    <w:uiPriority w:val="39"/>
    <w:rsid w:val="003A0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A0B7B"/>
    <w:rPr>
      <w:color w:val="0563C1" w:themeColor="hyperlink"/>
      <w:u w:val="single"/>
    </w:rPr>
  </w:style>
  <w:style w:type="paragraph" w:styleId="Testofumetto">
    <w:name w:val="Balloon Text"/>
    <w:basedOn w:val="Normale"/>
    <w:link w:val="TestofumettoCarattere"/>
    <w:uiPriority w:val="99"/>
    <w:semiHidden/>
    <w:unhideWhenUsed/>
    <w:rsid w:val="002A3A2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A3A23"/>
    <w:rPr>
      <w:rFonts w:ascii="Segoe UI" w:hAnsi="Segoe UI" w:cs="Segoe UI"/>
      <w:sz w:val="18"/>
      <w:szCs w:val="18"/>
    </w:rPr>
  </w:style>
  <w:style w:type="character" w:customStyle="1" w:styleId="Titolo3Carattere">
    <w:name w:val="Titolo 3 Carattere"/>
    <w:basedOn w:val="Carpredefinitoparagrafo"/>
    <w:link w:val="Titolo3"/>
    <w:uiPriority w:val="9"/>
    <w:semiHidden/>
    <w:rsid w:val="00030F02"/>
    <w:rPr>
      <w:rFonts w:asciiTheme="majorHAnsi" w:eastAsiaTheme="majorEastAsia" w:hAnsiTheme="majorHAnsi" w:cstheme="majorBidi"/>
      <w:color w:val="1F4D78" w:themeColor="accent1" w:themeShade="7F"/>
      <w:sz w:val="24"/>
      <w:szCs w:val="24"/>
    </w:rPr>
  </w:style>
  <w:style w:type="character" w:styleId="Collegamentovisitato">
    <w:name w:val="FollowedHyperlink"/>
    <w:basedOn w:val="Carpredefinitoparagrafo"/>
    <w:uiPriority w:val="99"/>
    <w:semiHidden/>
    <w:unhideWhenUsed/>
    <w:rsid w:val="000459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83386">
      <w:bodyDiv w:val="1"/>
      <w:marLeft w:val="0"/>
      <w:marRight w:val="0"/>
      <w:marTop w:val="0"/>
      <w:marBottom w:val="0"/>
      <w:divBdr>
        <w:top w:val="none" w:sz="0" w:space="0" w:color="auto"/>
        <w:left w:val="none" w:sz="0" w:space="0" w:color="auto"/>
        <w:bottom w:val="none" w:sz="0" w:space="0" w:color="auto"/>
        <w:right w:val="none" w:sz="0" w:space="0" w:color="auto"/>
      </w:divBdr>
    </w:div>
    <w:div w:id="912661684">
      <w:bodyDiv w:val="1"/>
      <w:marLeft w:val="0"/>
      <w:marRight w:val="0"/>
      <w:marTop w:val="0"/>
      <w:marBottom w:val="0"/>
      <w:divBdr>
        <w:top w:val="none" w:sz="0" w:space="0" w:color="auto"/>
        <w:left w:val="none" w:sz="0" w:space="0" w:color="auto"/>
        <w:bottom w:val="none" w:sz="0" w:space="0" w:color="auto"/>
        <w:right w:val="none" w:sz="0" w:space="0" w:color="auto"/>
      </w:divBdr>
    </w:div>
    <w:div w:id="151075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IT/TXT/?qid=1468490118827&amp;uri=CELEX:32006L012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mattiva.it/uri-res/N2Ls?urn:nir:stato:regio.decreto:1942-03-30;327~art4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italiappalti.it/leggiarticolo.php?id=5434" TargetMode="External"/><Relationship Id="rId13" Type="http://schemas.openxmlformats.org/officeDocument/2006/relationships/hyperlink" Target="https://www.comune.bari.it/-/concessioni-demaniali-proroga-fino-al-30-settembre-2027-nelle-more-dell-espletamento-delle-gare" TargetMode="External"/><Relationship Id="rId18" Type="http://schemas.openxmlformats.org/officeDocument/2006/relationships/hyperlink" Target="https://internazionale.camera.it/osservatorio-sentenze-cedu/sentenze" TargetMode="External"/><Relationship Id="rId3" Type="http://schemas.openxmlformats.org/officeDocument/2006/relationships/hyperlink" Target="https://www.mediappalti.it/legge-14-novembre-2024-n-166-concessioni-demaniali-marittime-lacuali-e-fluviali-per-lesercizio-di-attivita-turistico-ricreative-e-sportive-nuove-disposizioni-per-affidamento-con-procedure/" TargetMode="External"/><Relationship Id="rId7" Type="http://schemas.openxmlformats.org/officeDocument/2006/relationships/hyperlink" Target="https://www.sindacatobalneari.it/comunicato-stampa/illegittimi-eventuali-bandi-di-gara-assenza-del-decreto-ministeriale-la" TargetMode="External"/><Relationship Id="rId12" Type="http://schemas.openxmlformats.org/officeDocument/2006/relationships/hyperlink" Target="https://www.comune.rimini.it/novita/concessioni-demaniali-marittime-la-giunta-comunale-recepisce-la-proroga-stabilita-dalla" TargetMode="External"/><Relationship Id="rId17" Type="http://schemas.openxmlformats.org/officeDocument/2006/relationships/hyperlink" Target="https://www.giustizia.it/cmsresources/cms/documents/guida_cedu_articolo1_protocollo1.pdf" TargetMode="External"/><Relationship Id="rId2" Type="http://schemas.openxmlformats.org/officeDocument/2006/relationships/hyperlink" Target="https://www.amministrativistiveneti.it/le-concessioni-demaniali-marittime-la-proroga-il-tema-degli-indennizzi-e-il-decreto-legge-n-131-2024/" TargetMode="External"/><Relationship Id="rId16" Type="http://schemas.openxmlformats.org/officeDocument/2006/relationships/hyperlink" Target="https://www.federalismi.it/ApplOpenFilePDF.cfm?artid=51242&amp;dpath=document&amp;dfile=09102024142223.pdf" TargetMode="External"/><Relationship Id="rId1" Type="http://schemas.openxmlformats.org/officeDocument/2006/relationships/hyperlink" Target="https://www.appaltiecontratti.it/concessioni-balneari-proroga-al-2027-e-nuove-regole-per-la-procedura/" TargetMode="External"/><Relationship Id="rId6" Type="http://schemas.openxmlformats.org/officeDocument/2006/relationships/hyperlink" Target="https://www.mondobalneare.com/le-concessioni-balneari-non-possono-andare-a-gara-senza-indennizzi/" TargetMode="External"/><Relationship Id="rId11" Type="http://schemas.openxmlformats.org/officeDocument/2006/relationships/hyperlink" Target="https://www.comune.roma.it/web/it/notizia/municipio10-bandi-pubblici-stagione-balneare.page" TargetMode="External"/><Relationship Id="rId5" Type="http://schemas.openxmlformats.org/officeDocument/2006/relationships/hyperlink" Target="https://www.mondobalneare.com/concessioni-balneari-la-proroga-al-2027-e-automatica/" TargetMode="External"/><Relationship Id="rId15" Type="http://schemas.openxmlformats.org/officeDocument/2006/relationships/hyperlink" Target="https://www.altalex.com/documents/2024/10/16/applicabilita-direttiva-servizi-concessioni-derivazioni-idroelettriche-rimessa-cgue" TargetMode="External"/><Relationship Id="rId10" Type="http://schemas.openxmlformats.org/officeDocument/2006/relationships/hyperlink" Target="https://www.comune.roma.it/web/it/notizia/concessioni-balneari-ostia-al-via-gare-pubbliche.page" TargetMode="External"/><Relationship Id="rId4" Type="http://schemas.openxmlformats.org/officeDocument/2006/relationships/hyperlink" Target="https://www.mondobalneare.com/la-complessita-delle-gare-sulle-concessioni-balneari-previste-dal-decreto-infrazioni/" TargetMode="External"/><Relationship Id="rId9" Type="http://schemas.openxmlformats.org/officeDocument/2006/relationships/hyperlink" Target="https://smart.comune.genova.it/comunicati-stampa-articoli/balneari-aggiudicate-le-prime-14-concessioni-demaniali-marittime" TargetMode="External"/><Relationship Id="rId14" Type="http://schemas.openxmlformats.org/officeDocument/2006/relationships/hyperlink" Target="https://www.ilsecoloxix.it/liguria/2025/02/21/news/ue_intesa_balneari_comuni_possono_gia_fare_gare-1501589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88d9a70-244e-4c41-9e70-fa91342e4c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0EB5DD3024FC48A9F29122648EF4A0" ma:contentTypeVersion="10" ma:contentTypeDescription="Creare un nuovo documento." ma:contentTypeScope="" ma:versionID="187571a6d266e15ed68e642e026c7b69">
  <xsd:schema xmlns:xsd="http://www.w3.org/2001/XMLSchema" xmlns:xs="http://www.w3.org/2001/XMLSchema" xmlns:p="http://schemas.microsoft.com/office/2006/metadata/properties" xmlns:ns3="f88d9a70-244e-4c41-9e70-fa91342e4c3f" targetNamespace="http://schemas.microsoft.com/office/2006/metadata/properties" ma:root="true" ma:fieldsID="b1814c3a073dca90f47d775b80ea1f3f" ns3:_="">
    <xsd:import namespace="f88d9a70-244e-4c41-9e70-fa91342e4c3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d9a70-244e-4c41-9e70-fa91342e4c3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AE449-075B-4523-B921-76C955598494}">
  <ds:schemaRefs>
    <ds:schemaRef ds:uri="http://schemas.microsoft.com/office/2006/metadata/properties"/>
    <ds:schemaRef ds:uri="http://schemas.microsoft.com/office/infopath/2007/PartnerControls"/>
    <ds:schemaRef ds:uri="f88d9a70-244e-4c41-9e70-fa91342e4c3f"/>
  </ds:schemaRefs>
</ds:datastoreItem>
</file>

<file path=customXml/itemProps2.xml><?xml version="1.0" encoding="utf-8"?>
<ds:datastoreItem xmlns:ds="http://schemas.openxmlformats.org/officeDocument/2006/customXml" ds:itemID="{9A1F84F8-7FE9-42AE-897D-FBA4DDC2D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d9a70-244e-4c41-9e70-fa91342e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C43C0-D564-4F9B-846E-F68CC257648A}">
  <ds:schemaRefs>
    <ds:schemaRef ds:uri="http://schemas.microsoft.com/sharepoint/v3/contenttype/forms"/>
  </ds:schemaRefs>
</ds:datastoreItem>
</file>

<file path=customXml/itemProps4.xml><?xml version="1.0" encoding="utf-8"?>
<ds:datastoreItem xmlns:ds="http://schemas.openxmlformats.org/officeDocument/2006/customXml" ds:itemID="{7231AADE-0D1F-4134-BB58-0A970A28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45</Pages>
  <Words>17446</Words>
  <Characters>99443</Characters>
  <Application>Microsoft Office Word</Application>
  <DocSecurity>0</DocSecurity>
  <Lines>828</Lines>
  <Paragraphs>233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NOCCELLI Massimiliano</dc:creator>
  <cp:keywords/>
  <dc:description/>
  <cp:lastModifiedBy>Quagliarella Riccardo</cp:lastModifiedBy>
  <cp:revision>210</cp:revision>
  <dcterms:created xsi:type="dcterms:W3CDTF">2025-02-12T15:20:00Z</dcterms:created>
  <dcterms:modified xsi:type="dcterms:W3CDTF">2025-10-02T13:57:00Z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0x010100C30EB5DD3024FC48A9F29122648EF4A0</vt:lpwstr>
  </property>
</Properties>
</file>