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53AB0" w14:textId="22061A32" w:rsidR="00E444F7" w:rsidRDefault="004020CC" w:rsidP="004B7EA5">
      <w:pPr>
        <w:spacing w:after="0" w:line="276" w:lineRule="auto"/>
        <w:jc w:val="center"/>
        <w:rPr>
          <w:rFonts w:ascii="Times New Roman" w:hAnsi="Times New Roman" w:cs="Times New Roman"/>
          <w:bCs/>
          <w:color w:val="000000"/>
          <w:sz w:val="32"/>
          <w:szCs w:val="32"/>
          <w:shd w:val="clear" w:color="auto" w:fill="FFFFFF"/>
        </w:rPr>
      </w:pPr>
      <w:r>
        <w:rPr>
          <w:rFonts w:ascii="Times New Roman" w:hAnsi="Times New Roman" w:cs="Times New Roman"/>
          <w:bCs/>
          <w:color w:val="000000"/>
          <w:sz w:val="32"/>
          <w:szCs w:val="32"/>
          <w:shd w:val="clear" w:color="auto" w:fill="FFFFFF"/>
        </w:rPr>
        <w:t>Principio della fiducia,</w:t>
      </w:r>
      <w:r w:rsidR="004014DB">
        <w:rPr>
          <w:rFonts w:ascii="Times New Roman" w:hAnsi="Times New Roman" w:cs="Times New Roman"/>
          <w:bCs/>
          <w:color w:val="000000"/>
          <w:sz w:val="32"/>
          <w:szCs w:val="32"/>
          <w:shd w:val="clear" w:color="auto" w:fill="FFFFFF"/>
        </w:rPr>
        <w:t xml:space="preserve"> </w:t>
      </w:r>
      <w:r w:rsidR="00A007CB">
        <w:rPr>
          <w:rFonts w:ascii="Times New Roman" w:hAnsi="Times New Roman" w:cs="Times New Roman"/>
          <w:bCs/>
          <w:color w:val="000000"/>
          <w:sz w:val="32"/>
          <w:szCs w:val="32"/>
          <w:shd w:val="clear" w:color="auto" w:fill="FFFFFF"/>
        </w:rPr>
        <w:t xml:space="preserve">burocrazia difensiva </w:t>
      </w:r>
      <w:r w:rsidR="002E6ECF">
        <w:rPr>
          <w:rFonts w:ascii="Times New Roman" w:hAnsi="Times New Roman" w:cs="Times New Roman"/>
          <w:bCs/>
          <w:color w:val="000000"/>
          <w:sz w:val="32"/>
          <w:szCs w:val="32"/>
          <w:shd w:val="clear" w:color="auto" w:fill="FFFFFF"/>
        </w:rPr>
        <w:t>e “fatica dell’amministrare”</w:t>
      </w:r>
      <w:r w:rsidR="00562A37">
        <w:rPr>
          <w:rFonts w:ascii="Times New Roman" w:hAnsi="Times New Roman" w:cs="Times New Roman"/>
          <w:bCs/>
          <w:color w:val="000000"/>
          <w:sz w:val="32"/>
          <w:szCs w:val="32"/>
          <w:shd w:val="clear" w:color="auto" w:fill="FFFFFF"/>
        </w:rPr>
        <w:t xml:space="preserve">: </w:t>
      </w:r>
      <w:r w:rsidR="00A007CB">
        <w:rPr>
          <w:rFonts w:ascii="Times New Roman" w:hAnsi="Times New Roman" w:cs="Times New Roman"/>
          <w:bCs/>
          <w:color w:val="000000"/>
          <w:sz w:val="32"/>
          <w:szCs w:val="32"/>
          <w:shd w:val="clear" w:color="auto" w:fill="FFFFFF"/>
        </w:rPr>
        <w:t>un quadro d’insieme</w:t>
      </w:r>
    </w:p>
    <w:p w14:paraId="3F606C44" w14:textId="77777777" w:rsidR="00562A37" w:rsidRDefault="00562A37" w:rsidP="004B7EA5">
      <w:pPr>
        <w:spacing w:after="0" w:line="276" w:lineRule="auto"/>
        <w:jc w:val="center"/>
        <w:rPr>
          <w:rFonts w:ascii="Times New Roman" w:hAnsi="Times New Roman" w:cs="Times New Roman"/>
          <w:bCs/>
          <w:color w:val="000000"/>
          <w:sz w:val="32"/>
          <w:szCs w:val="32"/>
          <w:shd w:val="clear" w:color="auto" w:fill="FFFFFF"/>
        </w:rPr>
      </w:pPr>
    </w:p>
    <w:p w14:paraId="64C0706A" w14:textId="6963059B" w:rsidR="00562A37" w:rsidRPr="00562A37" w:rsidRDefault="00562A37" w:rsidP="004B7EA5">
      <w:pPr>
        <w:spacing w:after="0" w:line="276" w:lineRule="auto"/>
        <w:jc w:val="right"/>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di Antonino Ripepi</w:t>
      </w:r>
      <w:r>
        <w:rPr>
          <w:rStyle w:val="Rimandonotaapidipagina"/>
          <w:rFonts w:ascii="Times New Roman" w:hAnsi="Times New Roman" w:cs="Times New Roman"/>
          <w:bCs/>
          <w:color w:val="000000"/>
          <w:sz w:val="28"/>
          <w:szCs w:val="28"/>
          <w:shd w:val="clear" w:color="auto" w:fill="FFFFFF"/>
        </w:rPr>
        <w:footnoteReference w:id="1"/>
      </w:r>
    </w:p>
    <w:p w14:paraId="0D8C0B51" w14:textId="77777777" w:rsidR="00E444F7" w:rsidRDefault="00E444F7" w:rsidP="004B7EA5">
      <w:pPr>
        <w:spacing w:after="0" w:line="276" w:lineRule="auto"/>
        <w:jc w:val="both"/>
        <w:rPr>
          <w:rFonts w:ascii="Times New Roman" w:hAnsi="Times New Roman" w:cs="Times New Roman"/>
          <w:bCs/>
          <w:color w:val="000000"/>
          <w:sz w:val="24"/>
          <w:szCs w:val="24"/>
          <w:shd w:val="clear" w:color="auto" w:fill="FFFFFF"/>
        </w:rPr>
      </w:pPr>
    </w:p>
    <w:p w14:paraId="78455B62" w14:textId="5BA2E3BB" w:rsidR="00686F7F" w:rsidRPr="00686F7F" w:rsidRDefault="00686F7F" w:rsidP="004B7EA5">
      <w:pPr>
        <w:spacing w:after="0" w:line="276" w:lineRule="auto"/>
        <w:jc w:val="both"/>
        <w:rPr>
          <w:rFonts w:ascii="Times New Roman" w:hAnsi="Times New Roman" w:cs="Times New Roman"/>
          <w:bCs/>
          <w:color w:val="000000"/>
          <w:sz w:val="24"/>
          <w:szCs w:val="24"/>
          <w:shd w:val="clear" w:color="auto" w:fill="FFFFFF"/>
        </w:rPr>
      </w:pPr>
      <w:r w:rsidRPr="00686F7F">
        <w:rPr>
          <w:rFonts w:ascii="Times New Roman" w:hAnsi="Times New Roman" w:cs="Times New Roman"/>
          <w:bCs/>
          <w:color w:val="000000"/>
          <w:sz w:val="24"/>
          <w:szCs w:val="24"/>
          <w:shd w:val="clear" w:color="auto" w:fill="FFFFFF"/>
        </w:rPr>
        <w:t>1. Premessa.</w:t>
      </w:r>
      <w:r>
        <w:rPr>
          <w:rFonts w:ascii="Times New Roman" w:hAnsi="Times New Roman" w:cs="Times New Roman"/>
          <w:bCs/>
          <w:color w:val="000000"/>
          <w:sz w:val="24"/>
          <w:szCs w:val="24"/>
          <w:shd w:val="clear" w:color="auto" w:fill="FFFFFF"/>
        </w:rPr>
        <w:t xml:space="preserve"> </w:t>
      </w:r>
      <w:r w:rsidR="00343078">
        <w:rPr>
          <w:rFonts w:ascii="Times New Roman" w:hAnsi="Times New Roman" w:cs="Times New Roman"/>
          <w:bCs/>
          <w:color w:val="000000"/>
          <w:sz w:val="24"/>
          <w:szCs w:val="24"/>
          <w:shd w:val="clear" w:color="auto" w:fill="FFFFFF"/>
        </w:rPr>
        <w:t>2</w:t>
      </w:r>
      <w:r w:rsidR="00343078" w:rsidRPr="00343078">
        <w:rPr>
          <w:rFonts w:ascii="Times New Roman" w:hAnsi="Times New Roman" w:cs="Times New Roman"/>
          <w:bCs/>
          <w:color w:val="000000"/>
          <w:sz w:val="24"/>
          <w:szCs w:val="24"/>
          <w:shd w:val="clear" w:color="auto" w:fill="FFFFFF"/>
        </w:rPr>
        <w:t>. Fiducia</w:t>
      </w:r>
      <w:r w:rsidR="00343078">
        <w:rPr>
          <w:rFonts w:ascii="Times New Roman" w:hAnsi="Times New Roman" w:cs="Times New Roman"/>
          <w:bCs/>
          <w:color w:val="000000"/>
          <w:sz w:val="24"/>
          <w:szCs w:val="24"/>
          <w:shd w:val="clear" w:color="auto" w:fill="FFFFFF"/>
        </w:rPr>
        <w:t xml:space="preserve"> e</w:t>
      </w:r>
      <w:r w:rsidR="00343078" w:rsidRPr="00343078">
        <w:rPr>
          <w:rFonts w:ascii="Times New Roman" w:hAnsi="Times New Roman" w:cs="Times New Roman"/>
          <w:bCs/>
          <w:color w:val="000000"/>
          <w:sz w:val="24"/>
          <w:szCs w:val="24"/>
          <w:shd w:val="clear" w:color="auto" w:fill="FFFFFF"/>
        </w:rPr>
        <w:t xml:space="preserve"> diritto. </w:t>
      </w:r>
      <w:r w:rsidR="00343078">
        <w:rPr>
          <w:rFonts w:ascii="Times New Roman" w:hAnsi="Times New Roman" w:cs="Times New Roman"/>
          <w:bCs/>
          <w:color w:val="000000"/>
          <w:sz w:val="24"/>
          <w:szCs w:val="24"/>
          <w:shd w:val="clear" w:color="auto" w:fill="FFFFFF"/>
        </w:rPr>
        <w:t>3</w:t>
      </w:r>
      <w:r w:rsidR="00343078" w:rsidRPr="00343078">
        <w:rPr>
          <w:rFonts w:ascii="Times New Roman" w:hAnsi="Times New Roman" w:cs="Times New Roman"/>
          <w:bCs/>
          <w:color w:val="000000"/>
          <w:sz w:val="24"/>
          <w:szCs w:val="24"/>
          <w:shd w:val="clear" w:color="auto" w:fill="FFFFFF"/>
        </w:rPr>
        <w:t xml:space="preserve">. Principio della fiducia e “paura della firma”. </w:t>
      </w:r>
      <w:r w:rsidR="009B4A4F">
        <w:rPr>
          <w:rFonts w:ascii="Times New Roman" w:hAnsi="Times New Roman" w:cs="Times New Roman"/>
          <w:bCs/>
          <w:color w:val="000000"/>
          <w:sz w:val="24"/>
          <w:szCs w:val="24"/>
          <w:shd w:val="clear" w:color="auto" w:fill="FFFFFF"/>
        </w:rPr>
        <w:t>4</w:t>
      </w:r>
      <w:r w:rsidRPr="00686F7F">
        <w:rPr>
          <w:rFonts w:ascii="Times New Roman" w:hAnsi="Times New Roman" w:cs="Times New Roman"/>
          <w:bCs/>
          <w:color w:val="000000"/>
          <w:sz w:val="24"/>
          <w:szCs w:val="24"/>
          <w:shd w:val="clear" w:color="auto" w:fill="FFFFFF"/>
        </w:rPr>
        <w:t>. Analisi della sentenza della Corte costituzionale 16 luglio 2024, n. 132.</w:t>
      </w:r>
      <w:r w:rsidRPr="00686F7F">
        <w:rPr>
          <w:rFonts w:ascii="Times New Roman" w:hAnsi="Times New Roman" w:cs="Times New Roman"/>
          <w:bCs/>
          <w:i/>
          <w:iCs/>
          <w:color w:val="000000"/>
          <w:sz w:val="24"/>
          <w:szCs w:val="24"/>
          <w:shd w:val="clear" w:color="auto" w:fill="FFFFFF"/>
        </w:rPr>
        <w:t xml:space="preserve"> </w:t>
      </w:r>
      <w:r w:rsidR="009B4A4F">
        <w:rPr>
          <w:rFonts w:ascii="Times New Roman" w:hAnsi="Times New Roman" w:cs="Times New Roman"/>
          <w:bCs/>
          <w:color w:val="000000"/>
          <w:sz w:val="24"/>
          <w:szCs w:val="24"/>
          <w:shd w:val="clear" w:color="auto" w:fill="FFFFFF"/>
        </w:rPr>
        <w:t>5</w:t>
      </w:r>
      <w:r w:rsidRPr="00686F7F">
        <w:rPr>
          <w:rFonts w:ascii="Times New Roman" w:hAnsi="Times New Roman" w:cs="Times New Roman"/>
          <w:bCs/>
          <w:color w:val="000000"/>
          <w:sz w:val="24"/>
          <w:szCs w:val="24"/>
          <w:shd w:val="clear" w:color="auto" w:fill="FFFFFF"/>
        </w:rPr>
        <w:t xml:space="preserve">. </w:t>
      </w:r>
      <w:r w:rsidR="009B4A4F">
        <w:rPr>
          <w:rFonts w:ascii="Times New Roman" w:hAnsi="Times New Roman" w:cs="Times New Roman"/>
          <w:bCs/>
          <w:color w:val="000000"/>
          <w:sz w:val="24"/>
          <w:szCs w:val="24"/>
          <w:shd w:val="clear" w:color="auto" w:fill="FFFFFF"/>
        </w:rPr>
        <w:t xml:space="preserve">Principio della fiducia e </w:t>
      </w:r>
      <w:r w:rsidRPr="00686F7F">
        <w:rPr>
          <w:rFonts w:ascii="Times New Roman" w:hAnsi="Times New Roman" w:cs="Times New Roman"/>
          <w:bCs/>
          <w:color w:val="000000"/>
          <w:sz w:val="24"/>
          <w:szCs w:val="24"/>
          <w:shd w:val="clear" w:color="auto" w:fill="FFFFFF"/>
        </w:rPr>
        <w:t>abrogazione dell’art. 323 c.p.</w:t>
      </w:r>
      <w:r w:rsidR="001D2B8F">
        <w:rPr>
          <w:rFonts w:ascii="Times New Roman" w:hAnsi="Times New Roman" w:cs="Times New Roman"/>
          <w:bCs/>
          <w:color w:val="000000"/>
          <w:sz w:val="24"/>
          <w:szCs w:val="24"/>
          <w:shd w:val="clear" w:color="auto" w:fill="FFFFFF"/>
        </w:rPr>
        <w:t xml:space="preserve"> </w:t>
      </w:r>
      <w:r w:rsidR="00A37491" w:rsidRPr="00A37491">
        <w:rPr>
          <w:rFonts w:ascii="Times New Roman" w:hAnsi="Times New Roman" w:cs="Times New Roman"/>
          <w:bCs/>
          <w:color w:val="000000"/>
          <w:sz w:val="24"/>
          <w:szCs w:val="24"/>
          <w:shd w:val="clear" w:color="auto" w:fill="FFFFFF"/>
        </w:rPr>
        <w:t>6. Anticorruzione e fiducia. La rilevanza della discrezionalità e della motivazione</w:t>
      </w:r>
      <w:r w:rsidR="00A37491">
        <w:rPr>
          <w:rFonts w:ascii="Times New Roman" w:hAnsi="Times New Roman" w:cs="Times New Roman"/>
          <w:bCs/>
          <w:color w:val="000000"/>
          <w:sz w:val="24"/>
          <w:szCs w:val="24"/>
          <w:shd w:val="clear" w:color="auto" w:fill="FFFFFF"/>
        </w:rPr>
        <w:t xml:space="preserve">. </w:t>
      </w:r>
      <w:r w:rsidRPr="00686F7F">
        <w:rPr>
          <w:rFonts w:ascii="Times New Roman" w:hAnsi="Times New Roman" w:cs="Times New Roman"/>
          <w:bCs/>
          <w:color w:val="000000"/>
          <w:sz w:val="24"/>
          <w:szCs w:val="24"/>
          <w:shd w:val="clear" w:color="auto" w:fill="FFFFFF"/>
        </w:rPr>
        <w:t>7. Il ciclo di gestione della performance: attuali limiti e proposte per il futuro</w:t>
      </w:r>
      <w:r w:rsidR="00721EEA">
        <w:rPr>
          <w:rFonts w:ascii="Times New Roman" w:hAnsi="Times New Roman" w:cs="Times New Roman"/>
          <w:bCs/>
          <w:color w:val="000000"/>
          <w:sz w:val="24"/>
          <w:szCs w:val="24"/>
          <w:shd w:val="clear" w:color="auto" w:fill="FFFFFF"/>
        </w:rPr>
        <w:t xml:space="preserve">. </w:t>
      </w:r>
      <w:r w:rsidR="002A78A8">
        <w:rPr>
          <w:rFonts w:ascii="Times New Roman" w:hAnsi="Times New Roman" w:cs="Times New Roman"/>
          <w:bCs/>
          <w:color w:val="000000"/>
          <w:sz w:val="24"/>
          <w:szCs w:val="24"/>
          <w:shd w:val="clear" w:color="auto" w:fill="FFFFFF"/>
        </w:rPr>
        <w:t xml:space="preserve">8. L’implementazione dell’IA </w:t>
      </w:r>
      <w:r w:rsidR="00FF5207">
        <w:rPr>
          <w:rFonts w:ascii="Times New Roman" w:hAnsi="Times New Roman" w:cs="Times New Roman"/>
          <w:bCs/>
          <w:color w:val="000000"/>
          <w:sz w:val="24"/>
          <w:szCs w:val="24"/>
          <w:shd w:val="clear" w:color="auto" w:fill="FFFFFF"/>
        </w:rPr>
        <w:t>quale sollievo della “fatica dell’amministrare”.</w:t>
      </w:r>
      <w:r w:rsidR="00C14D55">
        <w:rPr>
          <w:rFonts w:ascii="Times New Roman" w:hAnsi="Times New Roman" w:cs="Times New Roman"/>
          <w:bCs/>
          <w:color w:val="000000"/>
          <w:sz w:val="24"/>
          <w:szCs w:val="24"/>
          <w:shd w:val="clear" w:color="auto" w:fill="FFFFFF"/>
        </w:rPr>
        <w:t xml:space="preserve"> Gli istituti connessi. </w:t>
      </w:r>
      <w:r w:rsidR="00E444F7">
        <w:rPr>
          <w:rFonts w:ascii="Times New Roman" w:hAnsi="Times New Roman" w:cs="Times New Roman"/>
          <w:bCs/>
          <w:color w:val="000000"/>
          <w:sz w:val="24"/>
          <w:szCs w:val="24"/>
          <w:shd w:val="clear" w:color="auto" w:fill="FFFFFF"/>
        </w:rPr>
        <w:t>9. La reingegnerizzazione dei processi nell</w:t>
      </w:r>
      <w:r w:rsidR="00280947">
        <w:rPr>
          <w:rFonts w:ascii="Times New Roman" w:hAnsi="Times New Roman" w:cs="Times New Roman"/>
          <w:bCs/>
          <w:color w:val="000000"/>
          <w:sz w:val="24"/>
          <w:szCs w:val="24"/>
          <w:shd w:val="clear" w:color="auto" w:fill="FFFFFF"/>
        </w:rPr>
        <w:t>e Pubbliche Amministrazioni.</w:t>
      </w:r>
      <w:r w:rsidR="00E444F7">
        <w:rPr>
          <w:rFonts w:ascii="Times New Roman" w:hAnsi="Times New Roman" w:cs="Times New Roman"/>
          <w:bCs/>
          <w:color w:val="000000"/>
          <w:sz w:val="24"/>
          <w:szCs w:val="24"/>
          <w:shd w:val="clear" w:color="auto" w:fill="FFFFFF"/>
        </w:rPr>
        <w:t xml:space="preserve"> 10. Conclusioni.</w:t>
      </w:r>
    </w:p>
    <w:p w14:paraId="18535119" w14:textId="77777777" w:rsidR="00686F7F" w:rsidRDefault="00686F7F" w:rsidP="004B7EA5">
      <w:pPr>
        <w:spacing w:after="0" w:line="276" w:lineRule="auto"/>
        <w:jc w:val="both"/>
        <w:rPr>
          <w:rFonts w:ascii="Times New Roman" w:hAnsi="Times New Roman" w:cs="Times New Roman"/>
          <w:bCs/>
          <w:i/>
          <w:iCs/>
          <w:color w:val="000000"/>
          <w:sz w:val="24"/>
          <w:szCs w:val="24"/>
          <w:shd w:val="clear" w:color="auto" w:fill="FFFFFF"/>
        </w:rPr>
      </w:pPr>
    </w:p>
    <w:p w14:paraId="2FB4968F" w14:textId="17CFC207" w:rsidR="00847DBE" w:rsidRPr="00686F7F" w:rsidRDefault="00847DBE" w:rsidP="004B7EA5">
      <w:pPr>
        <w:spacing w:after="0" w:line="276" w:lineRule="auto"/>
        <w:jc w:val="both"/>
        <w:rPr>
          <w:rFonts w:ascii="Times New Roman" w:hAnsi="Times New Roman" w:cs="Times New Roman"/>
          <w:bCs/>
          <w:i/>
          <w:iCs/>
          <w:color w:val="000000"/>
          <w:sz w:val="24"/>
          <w:szCs w:val="24"/>
          <w:shd w:val="clear" w:color="auto" w:fill="FFFFFF"/>
        </w:rPr>
      </w:pPr>
      <w:r w:rsidRPr="00686F7F">
        <w:rPr>
          <w:rFonts w:ascii="Times New Roman" w:hAnsi="Times New Roman" w:cs="Times New Roman"/>
          <w:bCs/>
          <w:i/>
          <w:iCs/>
          <w:color w:val="000000"/>
          <w:sz w:val="24"/>
          <w:szCs w:val="24"/>
          <w:shd w:val="clear" w:color="auto" w:fill="FFFFFF"/>
        </w:rPr>
        <w:t>1. Premessa.</w:t>
      </w:r>
    </w:p>
    <w:p w14:paraId="2EA77E01"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p>
    <w:p w14:paraId="5966730C" w14:textId="0754A751" w:rsidR="00847DBE" w:rsidRDefault="00DC6F6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 giudizio di chi scrive</w:t>
      </w:r>
      <w:r>
        <w:rPr>
          <w:rStyle w:val="Rimandonotaapidipagina"/>
          <w:rFonts w:ascii="Times New Roman" w:hAnsi="Times New Roman" w:cs="Times New Roman"/>
          <w:sz w:val="24"/>
          <w:szCs w:val="24"/>
        </w:rPr>
        <w:footnoteReference w:id="2"/>
      </w:r>
      <w:r>
        <w:rPr>
          <w:rFonts w:ascii="Times New Roman" w:hAnsi="Times New Roman" w:cs="Times New Roman"/>
          <w:bCs/>
          <w:color w:val="000000"/>
          <w:sz w:val="24"/>
          <w:szCs w:val="24"/>
          <w:shd w:val="clear" w:color="auto" w:fill="FFFFFF"/>
        </w:rPr>
        <w:t xml:space="preserve">, </w:t>
      </w:r>
      <w:r w:rsidR="004020CC">
        <w:rPr>
          <w:rFonts w:ascii="Times New Roman" w:hAnsi="Times New Roman" w:cs="Times New Roman"/>
          <w:bCs/>
          <w:color w:val="000000"/>
          <w:sz w:val="24"/>
          <w:szCs w:val="24"/>
          <w:shd w:val="clear" w:color="auto" w:fill="FFFFFF"/>
        </w:rPr>
        <w:t>i grandi temi del principio della fiducia (di cui al “nuovo” Codice dei contratti pubblici), dell</w:t>
      </w:r>
      <w:r w:rsidR="009B4A4F">
        <w:rPr>
          <w:rFonts w:ascii="Times New Roman" w:hAnsi="Times New Roman" w:cs="Times New Roman"/>
          <w:bCs/>
          <w:color w:val="000000"/>
          <w:sz w:val="24"/>
          <w:szCs w:val="24"/>
          <w:shd w:val="clear" w:color="auto" w:fill="FFFFFF"/>
        </w:rPr>
        <w:t>a burocrazia</w:t>
      </w:r>
      <w:r w:rsidR="004020CC">
        <w:rPr>
          <w:rFonts w:ascii="Times New Roman" w:hAnsi="Times New Roman" w:cs="Times New Roman"/>
          <w:bCs/>
          <w:color w:val="000000"/>
          <w:sz w:val="24"/>
          <w:szCs w:val="24"/>
          <w:shd w:val="clear" w:color="auto" w:fill="FFFFFF"/>
        </w:rPr>
        <w:t xml:space="preserve"> difensiva e </w:t>
      </w:r>
      <w:r w:rsidR="009B4A4F">
        <w:rPr>
          <w:rFonts w:ascii="Times New Roman" w:hAnsi="Times New Roman" w:cs="Times New Roman"/>
          <w:bCs/>
          <w:color w:val="000000"/>
          <w:sz w:val="24"/>
          <w:szCs w:val="24"/>
          <w:shd w:val="clear" w:color="auto" w:fill="FFFFFF"/>
        </w:rPr>
        <w:t xml:space="preserve">della fatica dell’amministrare non possono essere trattati disgiuntamente, in quanto </w:t>
      </w:r>
      <w:r w:rsidR="00FC21A6">
        <w:rPr>
          <w:rFonts w:ascii="Times New Roman" w:hAnsi="Times New Roman" w:cs="Times New Roman"/>
          <w:bCs/>
          <w:color w:val="000000"/>
          <w:sz w:val="24"/>
          <w:szCs w:val="24"/>
          <w:shd w:val="clear" w:color="auto" w:fill="FFFFFF"/>
        </w:rPr>
        <w:t>aspetti di un medesimo problema</w:t>
      </w:r>
      <w:r w:rsidR="00847DBE">
        <w:rPr>
          <w:rFonts w:ascii="Times New Roman" w:hAnsi="Times New Roman" w:cs="Times New Roman"/>
          <w:bCs/>
          <w:color w:val="000000"/>
          <w:sz w:val="24"/>
          <w:szCs w:val="24"/>
          <w:shd w:val="clear" w:color="auto" w:fill="FFFFFF"/>
        </w:rPr>
        <w:t>.</w:t>
      </w:r>
      <w:r w:rsidR="00920A22">
        <w:rPr>
          <w:rFonts w:ascii="Times New Roman" w:hAnsi="Times New Roman" w:cs="Times New Roman"/>
          <w:bCs/>
          <w:color w:val="000000"/>
          <w:sz w:val="24"/>
          <w:szCs w:val="24"/>
          <w:shd w:val="clear" w:color="auto" w:fill="FFFFFF"/>
        </w:rPr>
        <w:t xml:space="preserve"> Essi si prospettano all’interprete come la facciata della cattedrale di Rouen dipinta da Monet, che rimane sempre la stessa nella sua oggettività, ma cambia aspetto a seconda dei toni di luce che variano nelle diverse ore del giorno e che il pittore coglie magistralmente.</w:t>
      </w:r>
    </w:p>
    <w:p w14:paraId="7C3CD247" w14:textId="6C5C102B" w:rsidR="00920A22" w:rsidRDefault="00920A22"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I fenomeni, pertanto, verranno trattati congiuntament</w:t>
      </w:r>
      <w:r w:rsidR="00C670E5">
        <w:rPr>
          <w:rFonts w:ascii="Times New Roman" w:hAnsi="Times New Roman" w:cs="Times New Roman"/>
          <w:bCs/>
          <w:color w:val="000000"/>
          <w:sz w:val="24"/>
          <w:szCs w:val="24"/>
          <w:shd w:val="clear" w:color="auto" w:fill="FFFFFF"/>
        </w:rPr>
        <w:t>e</w:t>
      </w:r>
      <w:r w:rsidR="00623891">
        <w:rPr>
          <w:rFonts w:ascii="Times New Roman" w:hAnsi="Times New Roman" w:cs="Times New Roman"/>
          <w:bCs/>
          <w:color w:val="000000"/>
          <w:sz w:val="24"/>
          <w:szCs w:val="24"/>
          <w:shd w:val="clear" w:color="auto" w:fill="FFFFFF"/>
        </w:rPr>
        <w:t xml:space="preserve">, muovendo dal principio della fiducia, che costituirà il </w:t>
      </w:r>
      <w:r w:rsidR="00623891" w:rsidRPr="00623891">
        <w:rPr>
          <w:rFonts w:ascii="Times New Roman" w:hAnsi="Times New Roman" w:cs="Times New Roman"/>
          <w:bCs/>
          <w:i/>
          <w:iCs/>
          <w:color w:val="000000"/>
          <w:sz w:val="24"/>
          <w:szCs w:val="24"/>
          <w:shd w:val="clear" w:color="auto" w:fill="FFFFFF"/>
        </w:rPr>
        <w:t>fil rouge</w:t>
      </w:r>
      <w:r w:rsidR="00623891">
        <w:rPr>
          <w:rFonts w:ascii="Times New Roman" w:hAnsi="Times New Roman" w:cs="Times New Roman"/>
          <w:bCs/>
          <w:color w:val="000000"/>
          <w:sz w:val="24"/>
          <w:szCs w:val="24"/>
          <w:shd w:val="clear" w:color="auto" w:fill="FFFFFF"/>
        </w:rPr>
        <w:t xml:space="preserve"> attraverso il quale fornire proposte interpretative che possano rendere il quadro normativo vigente più adatto a fronteggiare quella “fatica dell’amministrare” di cui ha discusso la Corte costituzionale in una recente e fondamentale sentenza, di cui si darà atto.</w:t>
      </w:r>
    </w:p>
    <w:p w14:paraId="3092ED72" w14:textId="77777777" w:rsidR="008D1DEF" w:rsidRDefault="008D1DEF" w:rsidP="004B7EA5">
      <w:pPr>
        <w:spacing w:after="0" w:line="276" w:lineRule="auto"/>
        <w:jc w:val="both"/>
        <w:rPr>
          <w:rFonts w:ascii="Times New Roman" w:hAnsi="Times New Roman" w:cs="Times New Roman"/>
          <w:bCs/>
          <w:color w:val="000000"/>
          <w:sz w:val="24"/>
          <w:szCs w:val="24"/>
          <w:shd w:val="clear" w:color="auto" w:fill="FFFFFF"/>
        </w:rPr>
      </w:pPr>
    </w:p>
    <w:p w14:paraId="49081E8F" w14:textId="0860D87A" w:rsidR="008D1DEF" w:rsidRDefault="008D1DEF" w:rsidP="004B7EA5">
      <w:pPr>
        <w:spacing w:after="0" w:line="276" w:lineRule="auto"/>
        <w:jc w:val="both"/>
        <w:rPr>
          <w:rFonts w:ascii="Times New Roman" w:hAnsi="Times New Roman" w:cs="Times New Roman"/>
          <w:bCs/>
          <w:i/>
          <w:iCs/>
          <w:color w:val="000000"/>
          <w:sz w:val="24"/>
          <w:szCs w:val="24"/>
          <w:shd w:val="clear" w:color="auto" w:fill="FFFFFF"/>
        </w:rPr>
      </w:pPr>
      <w:r>
        <w:rPr>
          <w:rFonts w:ascii="Times New Roman" w:hAnsi="Times New Roman" w:cs="Times New Roman"/>
          <w:bCs/>
          <w:i/>
          <w:iCs/>
          <w:color w:val="000000"/>
          <w:sz w:val="24"/>
          <w:szCs w:val="24"/>
          <w:shd w:val="clear" w:color="auto" w:fill="FFFFFF"/>
        </w:rPr>
        <w:t>2. Fiducia e diritto.</w:t>
      </w:r>
    </w:p>
    <w:p w14:paraId="578924B9" w14:textId="77777777" w:rsidR="008D1DEF" w:rsidRDefault="008D1DEF" w:rsidP="004B7EA5">
      <w:pPr>
        <w:spacing w:after="0" w:line="276" w:lineRule="auto"/>
        <w:jc w:val="both"/>
        <w:rPr>
          <w:rFonts w:ascii="Times New Roman" w:hAnsi="Times New Roman" w:cs="Times New Roman"/>
          <w:bCs/>
          <w:i/>
          <w:iCs/>
          <w:color w:val="000000"/>
          <w:sz w:val="24"/>
          <w:szCs w:val="24"/>
          <w:shd w:val="clear" w:color="auto" w:fill="FFFFFF"/>
        </w:rPr>
      </w:pPr>
    </w:p>
    <w:p w14:paraId="53C595B4"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“Quando il diritto interviene è perché ormai la fiducia è diventata rischio insopportabile e, quindi, bisogna abbassare la soglia della gratificazione e innalzare quella della delusione”</w:t>
      </w:r>
      <w:r>
        <w:rPr>
          <w:rStyle w:val="Rimandonotaapidipagina"/>
          <w:rFonts w:ascii="Times New Roman" w:hAnsi="Times New Roman" w:cs="Times New Roman"/>
          <w:sz w:val="24"/>
          <w:szCs w:val="24"/>
        </w:rPr>
        <w:footnoteReference w:id="3"/>
      </w:r>
      <w:r>
        <w:rPr>
          <w:rFonts w:ascii="Times New Roman" w:hAnsi="Times New Roman" w:cs="Times New Roman"/>
          <w:sz w:val="24"/>
          <w:szCs w:val="24"/>
        </w:rPr>
        <w:t xml:space="preserve">. </w:t>
      </w: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l’efficace sintesi della tradizionale impostazione secondo la quale il diritto si lega indissolubilmente a un’idea di sospetto e sfiducia: </w:t>
      </w:r>
      <w:r w:rsidRPr="005E00C4">
        <w:rPr>
          <w:rFonts w:ascii="Times New Roman" w:hAnsi="Times New Roman" w:cs="Times New Roman"/>
          <w:sz w:val="24"/>
          <w:szCs w:val="24"/>
        </w:rPr>
        <w:t>«</w:t>
      </w:r>
      <w:r>
        <w:rPr>
          <w:rFonts w:ascii="Times New Roman" w:hAnsi="Times New Roman" w:cs="Times New Roman"/>
          <w:sz w:val="24"/>
          <w:szCs w:val="24"/>
        </w:rPr>
        <w:t xml:space="preserve">è perché non abbiamo fiducia che “contrattiamo” e che rientriamo nella </w:t>
      </w:r>
      <w:r w:rsidRPr="00334712">
        <w:rPr>
          <w:rFonts w:ascii="Times New Roman" w:hAnsi="Times New Roman" w:cs="Times New Roman"/>
          <w:i/>
          <w:sz w:val="24"/>
          <w:szCs w:val="24"/>
        </w:rPr>
        <w:t>logica simmetrica</w:t>
      </w:r>
      <w:r>
        <w:rPr>
          <w:rFonts w:ascii="Times New Roman" w:hAnsi="Times New Roman" w:cs="Times New Roman"/>
          <w:sz w:val="24"/>
          <w:szCs w:val="24"/>
        </w:rPr>
        <w:t xml:space="preserve"> del rapporto creditore-debitore</w:t>
      </w:r>
      <w:r w:rsidRPr="00334712">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
      </w:r>
      <w:r>
        <w:rPr>
          <w:rFonts w:ascii="Times New Roman" w:hAnsi="Times New Roman" w:cs="Times New Roman"/>
          <w:sz w:val="24"/>
          <w:szCs w:val="24"/>
        </w:rPr>
        <w:t xml:space="preserve">. </w:t>
      </w:r>
    </w:p>
    <w:p w14:paraId="5E0D0802"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Essa è stata individuata con la locuzione “machiavellismo giuridico”, in quanto l’autore del Principe aveva individuato un preciso legame tra concezione dell’uomo e natura della legge: “è necessario a chi dispone una republica, ed ordina leggi in quella, presupporre tutti gli uomini rei, e che li abbiano </w:t>
      </w:r>
      <w:r>
        <w:rPr>
          <w:rFonts w:ascii="Times New Roman" w:hAnsi="Times New Roman" w:cs="Times New Roman"/>
          <w:sz w:val="24"/>
          <w:szCs w:val="24"/>
        </w:rPr>
        <w:lastRenderedPageBreak/>
        <w:t>sempre a usare la malignità dello animo loro, qualunque volta ne abbiano libera occasione … Gli uomini non operorono mai nulla bene se non per necessità”</w:t>
      </w:r>
      <w:r>
        <w:rPr>
          <w:rStyle w:val="Rimandonotaapidipagina"/>
          <w:rFonts w:ascii="Times New Roman" w:hAnsi="Times New Roman" w:cs="Times New Roman"/>
          <w:sz w:val="24"/>
          <w:szCs w:val="24"/>
        </w:rPr>
        <w:footnoteReference w:id="5"/>
      </w:r>
      <w:r>
        <w:rPr>
          <w:rFonts w:ascii="Times New Roman" w:hAnsi="Times New Roman" w:cs="Times New Roman"/>
          <w:sz w:val="24"/>
          <w:szCs w:val="24"/>
        </w:rPr>
        <w:t xml:space="preserve">. </w:t>
      </w:r>
    </w:p>
    <w:p w14:paraId="34F92AF7"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La concezione negativa dell’essere umano è molto vicina a quella di un filosofo pur diversissimo come Thomas Hobbes, il quale aveva negato l’idea dell’uomo naturalmente portato ad associarsi sin dalla nascita per affermare, invece, la dipendenza dei legami umani dalla convenienza e dalla costrizione</w:t>
      </w:r>
      <w:r>
        <w:rPr>
          <w:rStyle w:val="Rimandonotaapidipagina"/>
          <w:rFonts w:ascii="Times New Roman" w:hAnsi="Times New Roman" w:cs="Times New Roman"/>
          <w:sz w:val="24"/>
          <w:szCs w:val="24"/>
        </w:rPr>
        <w:footnoteReference w:id="6"/>
      </w:r>
      <w:r>
        <w:rPr>
          <w:rFonts w:ascii="Times New Roman" w:hAnsi="Times New Roman" w:cs="Times New Roman"/>
          <w:sz w:val="24"/>
          <w:szCs w:val="24"/>
        </w:rPr>
        <w:t>.</w:t>
      </w:r>
    </w:p>
    <w:p w14:paraId="55F21155" w14:textId="77777777" w:rsidR="008D1DEF" w:rsidRDefault="008D1DEF" w:rsidP="004B7EA5">
      <w:pPr>
        <w:spacing w:after="0"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un paradigma che ritroviamo anche nella scienza economica, ove la nascita dell’</w:t>
      </w:r>
      <w:r w:rsidRPr="008521A5">
        <w:rPr>
          <w:rFonts w:ascii="Times New Roman" w:hAnsi="Times New Roman" w:cs="Times New Roman"/>
          <w:i/>
          <w:sz w:val="24"/>
          <w:szCs w:val="24"/>
        </w:rPr>
        <w:t xml:space="preserve">homo oeconomicus </w:t>
      </w:r>
      <w:r>
        <w:rPr>
          <w:rFonts w:ascii="Times New Roman" w:hAnsi="Times New Roman" w:cs="Times New Roman"/>
          <w:sz w:val="24"/>
          <w:szCs w:val="24"/>
        </w:rPr>
        <w:t>è legata alla convinzione che i consociati, laddove ne abbiano possibilità, “tendono ad agire da furfanti o imbroglioni”</w:t>
      </w:r>
      <w:r>
        <w:rPr>
          <w:rStyle w:val="Rimandonotaapidipagina"/>
          <w:rFonts w:ascii="Times New Roman" w:hAnsi="Times New Roman" w:cs="Times New Roman"/>
          <w:sz w:val="24"/>
          <w:szCs w:val="24"/>
        </w:rPr>
        <w:footnoteReference w:id="7"/>
      </w:r>
      <w:r>
        <w:rPr>
          <w:rFonts w:ascii="Times New Roman" w:hAnsi="Times New Roman" w:cs="Times New Roman"/>
          <w:sz w:val="24"/>
          <w:szCs w:val="24"/>
        </w:rPr>
        <w:t>, sebbene non manchino impostazioni in senso contrario, secondo cui l’idea che l’uomo sia individualista in senso assoluto e privo di scrupoli non ha fondamento nella scienza antropologica e psicologica.</w:t>
      </w:r>
    </w:p>
    <w:p w14:paraId="428FCE48"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Anche sul piano sociologico, nell’ambito di una ricerca attinente alle basi morali di una società arretrata, Banfield aveva individuato il modello del </w:t>
      </w:r>
      <w:r w:rsidRPr="00064342">
        <w:rPr>
          <w:rFonts w:ascii="Times New Roman" w:hAnsi="Times New Roman" w:cs="Times New Roman"/>
          <w:i/>
          <w:sz w:val="24"/>
          <w:szCs w:val="24"/>
        </w:rPr>
        <w:t>familismo amorale</w:t>
      </w:r>
      <w:r>
        <w:rPr>
          <w:rFonts w:ascii="Times New Roman" w:hAnsi="Times New Roman" w:cs="Times New Roman"/>
          <w:sz w:val="24"/>
          <w:szCs w:val="24"/>
        </w:rPr>
        <w:t>, nell’ambito del quale si sarebbe agito in violazione della legge ogni qualvolta non vi fosse ragione di temere una punizione</w:t>
      </w:r>
      <w:r>
        <w:rPr>
          <w:rStyle w:val="Rimandonotaapidipagina"/>
          <w:rFonts w:ascii="Times New Roman" w:hAnsi="Times New Roman" w:cs="Times New Roman"/>
          <w:sz w:val="24"/>
          <w:szCs w:val="24"/>
        </w:rPr>
        <w:footnoteReference w:id="8"/>
      </w:r>
      <w:r>
        <w:rPr>
          <w:rFonts w:ascii="Times New Roman" w:hAnsi="Times New Roman" w:cs="Times New Roman"/>
          <w:sz w:val="24"/>
          <w:szCs w:val="24"/>
        </w:rPr>
        <w:t>. Lo studio concerneva classi sociali e zone geografiche ben definite (i contadini meridionali; l’indagine è ambientata in un paesino immaginario), ma è stato successivamente generalizzato e posto alla base di un paradigma sfiduciario capace di spiegare tutte le relazioni umane. Anche in questo settore, tuttavia, si è osservato che l’immagine di un’Italia affetta dalla sindrome particolarista non è nient’altro che uno stereotipo</w:t>
      </w:r>
      <w:r>
        <w:rPr>
          <w:rStyle w:val="Rimandonotaapidipagina"/>
          <w:rFonts w:ascii="Times New Roman" w:hAnsi="Times New Roman" w:cs="Times New Roman"/>
          <w:sz w:val="24"/>
          <w:szCs w:val="24"/>
        </w:rPr>
        <w:footnoteReference w:id="9"/>
      </w:r>
      <w:r>
        <w:rPr>
          <w:rFonts w:ascii="Times New Roman" w:hAnsi="Times New Roman" w:cs="Times New Roman"/>
          <w:sz w:val="24"/>
          <w:szCs w:val="24"/>
        </w:rPr>
        <w:t>.</w:t>
      </w:r>
    </w:p>
    <w:p w14:paraId="21E98948"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 tale quadro, di recente, un filosofo del diritto ha proposto di superare il paradigma secondo il quale, quando agiamo secondo norme giuridiche, lo facciamo pensando agli altri come nostri nemici, ciò che è frutto di una “percezione distorta”</w:t>
      </w:r>
      <w:r>
        <w:rPr>
          <w:rStyle w:val="Rimandonotaapidipagina"/>
          <w:rFonts w:ascii="Times New Roman" w:hAnsi="Times New Roman" w:cs="Times New Roman"/>
          <w:sz w:val="24"/>
          <w:szCs w:val="24"/>
        </w:rPr>
        <w:footnoteReference w:id="10"/>
      </w:r>
      <w:r>
        <w:rPr>
          <w:rFonts w:ascii="Times New Roman" w:hAnsi="Times New Roman" w:cs="Times New Roman"/>
          <w:sz w:val="24"/>
          <w:szCs w:val="24"/>
        </w:rPr>
        <w:t>. Infatti, l’obbligo derivante da una norma o da un contratto non può prescindere dal riconoscimento delle reciproche aspettative, che è momento essenziale della dinamica giuridica e si pone in rapporto di essenziale circolarità con la fiducia</w:t>
      </w:r>
      <w:r>
        <w:rPr>
          <w:rStyle w:val="Rimandonotaapidipagina"/>
          <w:rFonts w:ascii="Times New Roman" w:hAnsi="Times New Roman" w:cs="Times New Roman"/>
          <w:sz w:val="24"/>
          <w:szCs w:val="24"/>
        </w:rPr>
        <w:footnoteReference w:id="11"/>
      </w:r>
      <w:r>
        <w:rPr>
          <w:rFonts w:ascii="Times New Roman" w:hAnsi="Times New Roman" w:cs="Times New Roman"/>
          <w:sz w:val="24"/>
          <w:szCs w:val="24"/>
        </w:rPr>
        <w:t>.</w:t>
      </w:r>
    </w:p>
    <w:p w14:paraId="174462EE"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Nell’ambito di questa concezione, mettere innanzi la minaccia della sanzione vuole dire avvelenare la relazione, soffocando sul nascere la fiducia</w:t>
      </w:r>
      <w:r>
        <w:rPr>
          <w:rStyle w:val="Rimandonotaapidipagina"/>
          <w:rFonts w:ascii="Times New Roman" w:hAnsi="Times New Roman" w:cs="Times New Roman"/>
          <w:sz w:val="24"/>
          <w:szCs w:val="24"/>
        </w:rPr>
        <w:footnoteReference w:id="12"/>
      </w:r>
      <w:r>
        <w:rPr>
          <w:rFonts w:ascii="Times New Roman" w:hAnsi="Times New Roman" w:cs="Times New Roman"/>
          <w:sz w:val="24"/>
          <w:szCs w:val="24"/>
        </w:rPr>
        <w:t>. D’altronde, il diritto positivo conosce clausole generali quali la buona fede, che si fondano su doveri di cooperazione</w:t>
      </w:r>
      <w:r>
        <w:rPr>
          <w:rStyle w:val="Rimandonotaapidipagina"/>
          <w:rFonts w:ascii="Times New Roman" w:hAnsi="Times New Roman" w:cs="Times New Roman"/>
          <w:sz w:val="24"/>
          <w:szCs w:val="24"/>
        </w:rPr>
        <w:footnoteReference w:id="13"/>
      </w:r>
      <w:r>
        <w:rPr>
          <w:rFonts w:ascii="Times New Roman" w:hAnsi="Times New Roman" w:cs="Times New Roman"/>
          <w:sz w:val="24"/>
          <w:szCs w:val="24"/>
        </w:rPr>
        <w:t xml:space="preserve">, sulla necessaria valutazione della posizione altrui e, in definitiva, sulla fiducia, nonché principi costituzionali, quali la solidarietà </w:t>
      </w:r>
      <w:r w:rsidRPr="002A432A">
        <w:rPr>
          <w:rFonts w:ascii="Times New Roman" w:hAnsi="Times New Roman" w:cs="Times New Roman"/>
          <w:i/>
          <w:sz w:val="24"/>
          <w:szCs w:val="24"/>
        </w:rPr>
        <w:t>ex</w:t>
      </w:r>
      <w:r>
        <w:rPr>
          <w:rFonts w:ascii="Times New Roman" w:hAnsi="Times New Roman" w:cs="Times New Roman"/>
          <w:sz w:val="24"/>
          <w:szCs w:val="24"/>
        </w:rPr>
        <w:t xml:space="preserve"> art. 2 Cost., che secondo una consistente corrente dottrinale e giurisprudenziale costituisce il fondamento ultimo della buona fede</w:t>
      </w:r>
      <w:r>
        <w:rPr>
          <w:rStyle w:val="Rimandonotaapidipagina"/>
          <w:rFonts w:ascii="Times New Roman" w:hAnsi="Times New Roman" w:cs="Times New Roman"/>
          <w:sz w:val="24"/>
          <w:szCs w:val="24"/>
        </w:rPr>
        <w:footnoteReference w:id="14"/>
      </w:r>
      <w:r>
        <w:rPr>
          <w:rFonts w:ascii="Times New Roman" w:hAnsi="Times New Roman" w:cs="Times New Roman"/>
          <w:sz w:val="24"/>
          <w:szCs w:val="24"/>
        </w:rPr>
        <w:t xml:space="preserve">. </w:t>
      </w:r>
    </w:p>
    <w:p w14:paraId="3593FAC9"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Proseguendo nell’esame del modo di concretizzarsi della fiducia nelle varie entità giuridiche, si è recentemente evidenziato come “le regole implicano certamente un livello piuttosto ridotto di fiducia </w:t>
      </w:r>
      <w:r>
        <w:rPr>
          <w:rFonts w:ascii="Times New Roman" w:hAnsi="Times New Roman" w:cs="Times New Roman"/>
          <w:sz w:val="24"/>
          <w:szCs w:val="24"/>
        </w:rPr>
        <w:lastRenderedPageBreak/>
        <w:t>sia nei confronti dei consociati, sia nei confronti dei funzionari e degli apparati burocratici, sia di coloro che sono chiamati ad intervenire in caso di disobbedienza alle norme”</w:t>
      </w:r>
      <w:r>
        <w:rPr>
          <w:rStyle w:val="Rimandonotaapidipagina"/>
          <w:rFonts w:ascii="Times New Roman" w:hAnsi="Times New Roman" w:cs="Times New Roman"/>
          <w:sz w:val="24"/>
          <w:szCs w:val="24"/>
        </w:rPr>
        <w:footnoteReference w:id="15"/>
      </w:r>
      <w:r>
        <w:rPr>
          <w:rFonts w:ascii="Times New Roman" w:hAnsi="Times New Roman" w:cs="Times New Roman"/>
          <w:sz w:val="24"/>
          <w:szCs w:val="24"/>
        </w:rPr>
        <w:t xml:space="preserve">. </w:t>
      </w:r>
    </w:p>
    <w:p w14:paraId="0908BEF3"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La normazione per principi, invece, implica un maggiore intervento dell’interprete, chiamato a concretizzare il precetto e, conseguentemente, una maggiore fiducia nei confronti degli apparati burocratici e degli esecutori in generale, che devono modulare la portata del principio a seconda della situazione concreta che si palesa all’attenzione di chi deve applicarlo</w:t>
      </w:r>
      <w:r>
        <w:rPr>
          <w:rStyle w:val="Rimandonotaapidipagina"/>
          <w:rFonts w:ascii="Times New Roman" w:hAnsi="Times New Roman" w:cs="Times New Roman"/>
          <w:sz w:val="24"/>
          <w:szCs w:val="24"/>
        </w:rPr>
        <w:footnoteReference w:id="16"/>
      </w:r>
      <w:r>
        <w:rPr>
          <w:rFonts w:ascii="Times New Roman" w:hAnsi="Times New Roman" w:cs="Times New Roman"/>
          <w:sz w:val="24"/>
          <w:szCs w:val="24"/>
        </w:rPr>
        <w:t>.</w:t>
      </w:r>
    </w:p>
    <w:p w14:paraId="2F922028" w14:textId="77777777" w:rsidR="008D1DEF"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Infatti, i sistemi di regolamentazione troppo severi e restrittivi, oltre a restringere “gli spazi nei quali può operare e manifestare i suoi effetti positivi la fiducia interpersonale”</w:t>
      </w:r>
      <w:r>
        <w:rPr>
          <w:rStyle w:val="Rimandonotaapidipagina"/>
          <w:rFonts w:ascii="Times New Roman" w:hAnsi="Times New Roman" w:cs="Times New Roman"/>
          <w:sz w:val="24"/>
          <w:szCs w:val="24"/>
        </w:rPr>
        <w:footnoteReference w:id="17"/>
      </w:r>
      <w:r>
        <w:rPr>
          <w:rFonts w:ascii="Times New Roman" w:hAnsi="Times New Roman" w:cs="Times New Roman"/>
          <w:sz w:val="24"/>
          <w:szCs w:val="24"/>
        </w:rPr>
        <w:t>, rischiano di produrre una limitazione dell’autodeterminazione da cui deriva la deresponsabilizzazione degli individui, esprimibile nell’adagio “non sono io, sono le regole!”</w:t>
      </w:r>
      <w:r>
        <w:rPr>
          <w:rStyle w:val="Rimandonotaapidipagina"/>
          <w:rFonts w:ascii="Times New Roman" w:hAnsi="Times New Roman" w:cs="Times New Roman"/>
          <w:sz w:val="24"/>
          <w:szCs w:val="24"/>
        </w:rPr>
        <w:footnoteReference w:id="18"/>
      </w:r>
      <w:r>
        <w:rPr>
          <w:rFonts w:ascii="Times New Roman" w:hAnsi="Times New Roman" w:cs="Times New Roman"/>
          <w:sz w:val="24"/>
          <w:szCs w:val="24"/>
        </w:rPr>
        <w:t>.</w:t>
      </w:r>
    </w:p>
    <w:p w14:paraId="13E87AFF" w14:textId="77777777" w:rsidR="008D1DEF" w:rsidRPr="00B410F1" w:rsidRDefault="008D1DEF" w:rsidP="004B7EA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In definitiva, “alle regole si ubbidisce”, mentre “ai principi si aderisce”</w:t>
      </w:r>
      <w:r>
        <w:rPr>
          <w:rStyle w:val="Rimandonotaapidipagina"/>
          <w:rFonts w:ascii="Times New Roman" w:hAnsi="Times New Roman" w:cs="Times New Roman"/>
          <w:sz w:val="24"/>
          <w:szCs w:val="24"/>
        </w:rPr>
        <w:footnoteReference w:id="19"/>
      </w:r>
      <w:r>
        <w:rPr>
          <w:rFonts w:ascii="Times New Roman" w:hAnsi="Times New Roman" w:cs="Times New Roman"/>
          <w:sz w:val="24"/>
          <w:szCs w:val="24"/>
        </w:rPr>
        <w:t xml:space="preserve">. Il principio, dunque, in un’ottica fiduciaria, consente al destinatario della norma di esprimere </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stesso in misura certamente superiore rispetto a quanto consentito dalla semplice regola.</w:t>
      </w:r>
    </w:p>
    <w:p w14:paraId="58C341A8" w14:textId="77777777" w:rsidR="008D1DEF" w:rsidRDefault="008D1DEF" w:rsidP="004B7EA5">
      <w:pPr>
        <w:spacing w:after="0" w:line="276" w:lineRule="auto"/>
        <w:jc w:val="both"/>
        <w:rPr>
          <w:rFonts w:ascii="Times New Roman" w:hAnsi="Times New Roman" w:cs="Times New Roman"/>
          <w:bCs/>
          <w:i/>
          <w:iCs/>
          <w:color w:val="000000"/>
          <w:sz w:val="24"/>
          <w:szCs w:val="24"/>
          <w:shd w:val="clear" w:color="auto" w:fill="FFFFFF"/>
        </w:rPr>
      </w:pPr>
    </w:p>
    <w:p w14:paraId="55BAACA3" w14:textId="31E025C6" w:rsidR="008D1DEF" w:rsidRPr="00E97068" w:rsidRDefault="008D1DEF" w:rsidP="004B7EA5">
      <w:pPr>
        <w:spacing w:after="0" w:line="276" w:lineRule="auto"/>
        <w:jc w:val="both"/>
        <w:rPr>
          <w:rFonts w:ascii="Times New Roman" w:hAnsi="Times New Roman" w:cs="Times New Roman"/>
          <w:bCs/>
          <w:i/>
          <w:iCs/>
          <w:color w:val="000000"/>
          <w:sz w:val="24"/>
          <w:szCs w:val="24"/>
          <w:shd w:val="clear" w:color="auto" w:fill="FFFFFF"/>
        </w:rPr>
      </w:pPr>
      <w:r>
        <w:rPr>
          <w:rFonts w:ascii="Times New Roman" w:hAnsi="Times New Roman" w:cs="Times New Roman"/>
          <w:bCs/>
          <w:i/>
          <w:iCs/>
          <w:color w:val="000000"/>
          <w:sz w:val="24"/>
          <w:szCs w:val="24"/>
          <w:shd w:val="clear" w:color="auto" w:fill="FFFFFF"/>
        </w:rPr>
        <w:t xml:space="preserve">3. </w:t>
      </w:r>
      <w:r w:rsidRPr="00E97068">
        <w:rPr>
          <w:rFonts w:ascii="Times New Roman" w:hAnsi="Times New Roman" w:cs="Times New Roman"/>
          <w:bCs/>
          <w:i/>
          <w:iCs/>
          <w:color w:val="000000"/>
          <w:sz w:val="24"/>
          <w:szCs w:val="24"/>
          <w:shd w:val="clear" w:color="auto" w:fill="FFFFFF"/>
        </w:rPr>
        <w:t>Principio della fiducia e “paura della firma”.</w:t>
      </w:r>
    </w:p>
    <w:p w14:paraId="757DC48D" w14:textId="77777777" w:rsidR="008D1DEF" w:rsidRDefault="008D1DEF" w:rsidP="004B7EA5">
      <w:pPr>
        <w:spacing w:after="0" w:line="276" w:lineRule="auto"/>
        <w:jc w:val="both"/>
        <w:rPr>
          <w:rFonts w:ascii="Times New Roman" w:hAnsi="Times New Roman" w:cs="Times New Roman"/>
          <w:bCs/>
          <w:color w:val="000000"/>
          <w:sz w:val="24"/>
          <w:szCs w:val="24"/>
          <w:shd w:val="clear" w:color="auto" w:fill="FFFFFF"/>
        </w:rPr>
      </w:pPr>
    </w:p>
    <w:p w14:paraId="74EA3F2B" w14:textId="77777777" w:rsidR="008D1DEF"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4A2093">
        <w:rPr>
          <w:rFonts w:ascii="Times New Roman" w:hAnsi="Times New Roman" w:cs="Times New Roman"/>
          <w:bCs/>
          <w:color w:val="000000"/>
          <w:sz w:val="24"/>
          <w:szCs w:val="24"/>
          <w:shd w:val="clear" w:color="auto" w:fill="FFFFFF"/>
        </w:rPr>
        <w:t>E proprio le sembianze di un principio ha acquisito la fiducia</w:t>
      </w:r>
      <w:r>
        <w:rPr>
          <w:rStyle w:val="Rimandonotaapidipagina"/>
          <w:rFonts w:ascii="Times New Roman" w:hAnsi="Times New Roman" w:cs="Times New Roman"/>
          <w:bCs/>
          <w:color w:val="000000"/>
          <w:sz w:val="24"/>
          <w:szCs w:val="24"/>
          <w:shd w:val="clear" w:color="auto" w:fill="FFFFFF"/>
        </w:rPr>
        <w:footnoteReference w:id="20"/>
      </w:r>
      <w:r w:rsidRPr="004A2093">
        <w:rPr>
          <w:rFonts w:ascii="Times New Roman" w:hAnsi="Times New Roman" w:cs="Times New Roman"/>
          <w:bCs/>
          <w:color w:val="000000"/>
          <w:sz w:val="24"/>
          <w:szCs w:val="24"/>
          <w:shd w:val="clear" w:color="auto" w:fill="FFFFFF"/>
        </w:rPr>
        <w:t xml:space="preserve"> nell’ambito dei contratti pubblici.</w:t>
      </w:r>
    </w:p>
    <w:p w14:paraId="59864ED4" w14:textId="77777777" w:rsidR="008D1DEF" w:rsidRPr="00FD0875"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FD0875">
        <w:rPr>
          <w:rFonts w:ascii="Times New Roman" w:hAnsi="Times New Roman" w:cs="Times New Roman"/>
          <w:bCs/>
          <w:color w:val="000000"/>
          <w:sz w:val="24"/>
          <w:szCs w:val="24"/>
          <w:shd w:val="clear" w:color="auto" w:fill="FFFFFF"/>
        </w:rPr>
        <w:t xml:space="preserve">Come noto, il D. Lgs. n. 36/2023, attuativo della delega al Governo in materia di contratti pubblici </w:t>
      </w:r>
      <w:r w:rsidRPr="00FD0875">
        <w:rPr>
          <w:rFonts w:ascii="Times New Roman" w:hAnsi="Times New Roman" w:cs="Times New Roman"/>
          <w:bCs/>
          <w:i/>
          <w:color w:val="000000"/>
          <w:sz w:val="24"/>
          <w:szCs w:val="24"/>
          <w:shd w:val="clear" w:color="auto" w:fill="FFFFFF"/>
        </w:rPr>
        <w:t>ex</w:t>
      </w:r>
      <w:r w:rsidRPr="00FD0875">
        <w:rPr>
          <w:rFonts w:ascii="Times New Roman" w:hAnsi="Times New Roman" w:cs="Times New Roman"/>
          <w:bCs/>
          <w:color w:val="000000"/>
          <w:sz w:val="24"/>
          <w:szCs w:val="24"/>
          <w:shd w:val="clear" w:color="auto" w:fill="FFFFFF"/>
        </w:rPr>
        <w:t xml:space="preserve"> art. 1 L. n. 78/2022 e recante il “nuovo codice dei contratti”, si apre con una Parte I del Libro I dedicata ai principi, di cui viene codificata la forza ordinante, secondo una scelta che non ha precedenti in materia di contratti pubblici</w:t>
      </w:r>
      <w:r w:rsidRPr="00FD0875">
        <w:rPr>
          <w:rFonts w:ascii="Times New Roman" w:hAnsi="Times New Roman" w:cs="Times New Roman"/>
          <w:bCs/>
          <w:color w:val="000000"/>
          <w:sz w:val="24"/>
          <w:szCs w:val="24"/>
          <w:shd w:val="clear" w:color="auto" w:fill="FFFFFF"/>
          <w:vertAlign w:val="superscript"/>
        </w:rPr>
        <w:footnoteReference w:id="21"/>
      </w:r>
      <w:r w:rsidRPr="00FD0875">
        <w:rPr>
          <w:rFonts w:ascii="Times New Roman" w:hAnsi="Times New Roman" w:cs="Times New Roman"/>
          <w:bCs/>
          <w:color w:val="000000"/>
          <w:sz w:val="24"/>
          <w:szCs w:val="24"/>
          <w:shd w:val="clear" w:color="auto" w:fill="FFFFFF"/>
        </w:rPr>
        <w:t>.</w:t>
      </w:r>
    </w:p>
    <w:p w14:paraId="108AFEC0" w14:textId="77777777" w:rsidR="008D1DEF" w:rsidRPr="00FD0875"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FD0875">
        <w:rPr>
          <w:rFonts w:ascii="Times New Roman" w:hAnsi="Times New Roman" w:cs="Times New Roman"/>
          <w:bCs/>
          <w:color w:val="000000"/>
          <w:sz w:val="24"/>
          <w:szCs w:val="24"/>
          <w:shd w:val="clear" w:color="auto" w:fill="FFFFFF"/>
        </w:rPr>
        <w:t>Tra questi annoveriamo il principio della fiducia, che ha portata bidirezionale, concernendo sia la P.A. che il cittadino, in quanto “ad un’amministrazione trasparente e corretta deve rapportarsi un cittadino – nella specie, un operatore economico – altrettanto trasparente e corretto”</w:t>
      </w:r>
      <w:r w:rsidRPr="00FD0875">
        <w:rPr>
          <w:rFonts w:ascii="Times New Roman" w:hAnsi="Times New Roman" w:cs="Times New Roman"/>
          <w:bCs/>
          <w:color w:val="000000"/>
          <w:sz w:val="24"/>
          <w:szCs w:val="24"/>
          <w:shd w:val="clear" w:color="auto" w:fill="FFFFFF"/>
          <w:vertAlign w:val="superscript"/>
        </w:rPr>
        <w:footnoteReference w:id="22"/>
      </w:r>
      <w:r w:rsidRPr="00FD0875">
        <w:rPr>
          <w:rFonts w:ascii="Times New Roman" w:hAnsi="Times New Roman" w:cs="Times New Roman"/>
          <w:bCs/>
          <w:color w:val="000000"/>
          <w:sz w:val="24"/>
          <w:szCs w:val="24"/>
          <w:shd w:val="clear" w:color="auto" w:fill="FFFFFF"/>
        </w:rPr>
        <w:t>, e prevede quale termine di riferimento l’“azione legittima, trasparente e corretta dell’amministrazione, dei suoi funzionari e degli operatori economici” (art. 2, c. 1, D. Lgs. n. 36/2023).</w:t>
      </w:r>
    </w:p>
    <w:p w14:paraId="3F5BB629" w14:textId="77777777" w:rsidR="008D1DEF" w:rsidRPr="00FD0875"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FD0875">
        <w:rPr>
          <w:rFonts w:ascii="Times New Roman" w:hAnsi="Times New Roman" w:cs="Times New Roman"/>
          <w:bCs/>
          <w:color w:val="000000"/>
          <w:sz w:val="24"/>
          <w:szCs w:val="24"/>
          <w:shd w:val="clear" w:color="auto" w:fill="FFFFFF"/>
        </w:rPr>
        <w:t xml:space="preserve">Il principio in esame, che non ha valenza esclusivamente e semplicemente declamatoria, come rivela il comma 4 dell’art. 2 in tema di copertura assicurativa dei dipendenti e formazione degli stessi, è animato da una filosofia di fondo descritta in modo illuminante dalla Relazione di accompagnamento: si tratta di “un segno di svolta rispetto alla logica fondata sulla sfiducia (se non sul “sospetto”) per l’azione dei pubblici funzionari, che si è sviluppata negli ultimi anni […] e che si è caratterizzata da un lato per una normazione di estremo dettaglio, che mortificava l’esercizio della discrezionalità, dall’altro per il crescente rischio di avvio automatico di procedure di accertamento di responsabilità amministrative, civili, contabili e penali che potevano alla fine rivelarsi prive di </w:t>
      </w:r>
      <w:r w:rsidRPr="00FD0875">
        <w:rPr>
          <w:rFonts w:ascii="Times New Roman" w:hAnsi="Times New Roman" w:cs="Times New Roman"/>
          <w:bCs/>
          <w:color w:val="000000"/>
          <w:sz w:val="24"/>
          <w:szCs w:val="24"/>
          <w:shd w:val="clear" w:color="auto" w:fill="FFFFFF"/>
        </w:rPr>
        <w:lastRenderedPageBreak/>
        <w:t>effettivo fondamento”</w:t>
      </w:r>
      <w:r w:rsidRPr="00FD0875">
        <w:rPr>
          <w:rFonts w:ascii="Times New Roman" w:hAnsi="Times New Roman" w:cs="Times New Roman"/>
          <w:bCs/>
          <w:color w:val="000000"/>
          <w:sz w:val="24"/>
          <w:szCs w:val="24"/>
          <w:shd w:val="clear" w:color="auto" w:fill="FFFFFF"/>
          <w:vertAlign w:val="superscript"/>
        </w:rPr>
        <w:footnoteReference w:id="23"/>
      </w:r>
      <w:r w:rsidRPr="00FD0875">
        <w:rPr>
          <w:rFonts w:ascii="Times New Roman" w:hAnsi="Times New Roman" w:cs="Times New Roman"/>
          <w:bCs/>
          <w:color w:val="000000"/>
          <w:sz w:val="24"/>
          <w:szCs w:val="24"/>
          <w:shd w:val="clear" w:color="auto" w:fill="FFFFFF"/>
        </w:rPr>
        <w:t>, le quali hanno generato «“paura della firma” e “burocrazia difensiva”», a loro volta “fonte di inefficienza e immobilismo e, quindi, un ostacolo al rilancio economico, che richiede, al contrario, una pubblica amministrazione dinamica ed efficiente”</w:t>
      </w:r>
      <w:r w:rsidRPr="00FD0875">
        <w:rPr>
          <w:rFonts w:ascii="Times New Roman" w:hAnsi="Times New Roman" w:cs="Times New Roman"/>
          <w:bCs/>
          <w:color w:val="000000"/>
          <w:sz w:val="24"/>
          <w:szCs w:val="24"/>
          <w:shd w:val="clear" w:color="auto" w:fill="FFFFFF"/>
          <w:vertAlign w:val="superscript"/>
        </w:rPr>
        <w:footnoteReference w:id="24"/>
      </w:r>
      <w:r w:rsidRPr="00FD0875">
        <w:rPr>
          <w:rFonts w:ascii="Times New Roman" w:hAnsi="Times New Roman" w:cs="Times New Roman"/>
          <w:bCs/>
          <w:color w:val="000000"/>
          <w:sz w:val="24"/>
          <w:szCs w:val="24"/>
          <w:shd w:val="clear" w:color="auto" w:fill="FFFFFF"/>
        </w:rPr>
        <w:t>.</w:t>
      </w:r>
    </w:p>
    <w:p w14:paraId="3C681564" w14:textId="77777777" w:rsidR="008D1DEF" w:rsidRPr="00FD0875"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FD0875">
        <w:rPr>
          <w:rFonts w:ascii="Times New Roman" w:hAnsi="Times New Roman" w:cs="Times New Roman"/>
          <w:bCs/>
          <w:color w:val="000000"/>
          <w:sz w:val="24"/>
          <w:szCs w:val="24"/>
          <w:shd w:val="clear" w:color="auto" w:fill="FFFFFF"/>
        </w:rPr>
        <w:t>Si tratta del fenomeno precedentemente descritto, cui il nuovo Codice vorrebbe porre rimedio dando, “sin dalle sue disposizioni di principio, il segnale di un cambiamento profondo, che – fermo restando ovviamente il perseguimento convinto di ogni forma di irregolarità – miri a valorizzare lo spirito di iniziativa e la discrezionalità degli amministratori pubblici, introducendo una “rete di protezione” rispetto all’alto rischio che accompagna il loro operato”</w:t>
      </w:r>
      <w:r w:rsidRPr="00FD0875">
        <w:rPr>
          <w:rFonts w:ascii="Times New Roman" w:hAnsi="Times New Roman" w:cs="Times New Roman"/>
          <w:bCs/>
          <w:color w:val="000000"/>
          <w:sz w:val="24"/>
          <w:szCs w:val="24"/>
          <w:shd w:val="clear" w:color="auto" w:fill="FFFFFF"/>
          <w:vertAlign w:val="superscript"/>
        </w:rPr>
        <w:footnoteReference w:id="25"/>
      </w:r>
      <w:r w:rsidRPr="00FD0875">
        <w:rPr>
          <w:rFonts w:ascii="Times New Roman" w:hAnsi="Times New Roman" w:cs="Times New Roman"/>
          <w:bCs/>
          <w:color w:val="000000"/>
          <w:sz w:val="24"/>
          <w:szCs w:val="24"/>
          <w:shd w:val="clear" w:color="auto" w:fill="FFFFFF"/>
        </w:rPr>
        <w:t>.</w:t>
      </w:r>
    </w:p>
    <w:p w14:paraId="000976A6" w14:textId="77777777" w:rsidR="008D1DEF" w:rsidRPr="00FD0875"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FD0875">
        <w:rPr>
          <w:rFonts w:ascii="Times New Roman" w:hAnsi="Times New Roman" w:cs="Times New Roman"/>
          <w:bCs/>
          <w:color w:val="000000"/>
          <w:sz w:val="24"/>
          <w:szCs w:val="24"/>
          <w:shd w:val="clear" w:color="auto" w:fill="FFFFFF"/>
        </w:rPr>
        <w:t xml:space="preserve">Si tratta di un vero e proprio cambio di paradigma </w:t>
      </w:r>
      <w:r w:rsidRPr="00FD0875">
        <w:rPr>
          <w:rFonts w:ascii="Times New Roman" w:hAnsi="Times New Roman" w:cs="Times New Roman"/>
          <w:bCs/>
          <w:i/>
          <w:color w:val="000000"/>
          <w:sz w:val="24"/>
          <w:szCs w:val="24"/>
          <w:shd w:val="clear" w:color="auto" w:fill="FFFFFF"/>
        </w:rPr>
        <w:t>culturale</w:t>
      </w:r>
      <w:r w:rsidRPr="00FD0875">
        <w:rPr>
          <w:rFonts w:ascii="Times New Roman" w:hAnsi="Times New Roman" w:cs="Times New Roman"/>
          <w:bCs/>
          <w:color w:val="000000"/>
          <w:sz w:val="24"/>
          <w:szCs w:val="24"/>
          <w:shd w:val="clear" w:color="auto" w:fill="FFFFFF"/>
        </w:rPr>
        <w:t xml:space="preserve">, </w:t>
      </w:r>
      <w:r w:rsidRPr="00FD0875">
        <w:rPr>
          <w:rFonts w:ascii="Times New Roman" w:hAnsi="Times New Roman" w:cs="Times New Roman"/>
          <w:bCs/>
          <w:i/>
          <w:color w:val="000000"/>
          <w:sz w:val="24"/>
          <w:szCs w:val="24"/>
          <w:shd w:val="clear" w:color="auto" w:fill="FFFFFF"/>
        </w:rPr>
        <w:t>ancor prima che giuridico-normativo</w:t>
      </w:r>
      <w:r w:rsidRPr="00FD0875">
        <w:rPr>
          <w:rFonts w:ascii="Times New Roman" w:hAnsi="Times New Roman" w:cs="Times New Roman"/>
          <w:bCs/>
          <w:color w:val="000000"/>
          <w:sz w:val="24"/>
          <w:szCs w:val="24"/>
          <w:shd w:val="clear" w:color="auto" w:fill="FFFFFF"/>
        </w:rPr>
        <w:t>, che aveva già manifestato un punto di emersione con il D.L. n. 76/2020, teso a limitare i confini della responsabilità (penale ed erariale) dei dipendenti pubblici, concepita quale fattore alla base di rallentamenti e inerzie nello svolgimento dell’attività amministrativa, non ammissibili in un’epoca in cui il Paese si avviava a superare i danni cagionati dalla pandemia attraverso l’utilizzo dei fondi collegati al PNRR. In tale contesto, e in disparte l’intervento sull’art. 323 c.p., il legislatore ha ritenuto opportuno contenere in via transitoria la responsabilità per colpa grave alla sola ipotesi omissiva, quale stimolo all’azione e all’adozione di decisioni necessarie per evitare la paralisi burocratica.</w:t>
      </w:r>
    </w:p>
    <w:p w14:paraId="06195F34" w14:textId="77777777" w:rsidR="008D1DEF" w:rsidRPr="00FD0875"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FD0875">
        <w:rPr>
          <w:rFonts w:ascii="Times New Roman" w:hAnsi="Times New Roman" w:cs="Times New Roman"/>
          <w:bCs/>
          <w:color w:val="000000"/>
          <w:sz w:val="24"/>
          <w:szCs w:val="24"/>
          <w:shd w:val="clear" w:color="auto" w:fill="FFFFFF"/>
        </w:rPr>
        <w:t>E’ fuor di dubbio che tale intervento normativo abbia attirato numerose critiche, incentrate sull’indebita equiparazione della condotta gravemente colposa (ma non sanzionabile) al comportamento rispettoso del dovere costituzionale di adempiere le funzioni pubbliche con disciplina e onore e pienamente conforme agli obblighi di servizio</w:t>
      </w:r>
      <w:r w:rsidRPr="00FD0875">
        <w:rPr>
          <w:rFonts w:ascii="Times New Roman" w:hAnsi="Times New Roman" w:cs="Times New Roman"/>
          <w:bCs/>
          <w:color w:val="000000"/>
          <w:sz w:val="24"/>
          <w:szCs w:val="24"/>
          <w:shd w:val="clear" w:color="auto" w:fill="FFFFFF"/>
          <w:vertAlign w:val="superscript"/>
        </w:rPr>
        <w:footnoteReference w:id="26"/>
      </w:r>
      <w:r w:rsidRPr="00FD0875">
        <w:rPr>
          <w:rFonts w:ascii="Times New Roman" w:hAnsi="Times New Roman" w:cs="Times New Roman"/>
          <w:bCs/>
          <w:color w:val="000000"/>
          <w:sz w:val="24"/>
          <w:szCs w:val="24"/>
          <w:shd w:val="clear" w:color="auto" w:fill="FFFFFF"/>
        </w:rPr>
        <w:t>, sul rischio di deresponsabilizzazione della dirigenza pubblica</w:t>
      </w:r>
      <w:r w:rsidRPr="00FD0875">
        <w:rPr>
          <w:rFonts w:ascii="Times New Roman" w:hAnsi="Times New Roman" w:cs="Times New Roman"/>
          <w:bCs/>
          <w:color w:val="000000"/>
          <w:sz w:val="24"/>
          <w:szCs w:val="24"/>
          <w:shd w:val="clear" w:color="auto" w:fill="FFFFFF"/>
          <w:vertAlign w:val="superscript"/>
        </w:rPr>
        <w:footnoteReference w:id="27"/>
      </w:r>
      <w:r w:rsidRPr="00FD0875">
        <w:rPr>
          <w:rFonts w:ascii="Times New Roman" w:hAnsi="Times New Roman" w:cs="Times New Roman"/>
          <w:bCs/>
          <w:color w:val="000000"/>
          <w:sz w:val="24"/>
          <w:szCs w:val="24"/>
          <w:shd w:val="clear" w:color="auto" w:fill="FFFFFF"/>
        </w:rPr>
        <w:t xml:space="preserve">, sulla implicita legittimazione di un ampio catalogo di fattispecie gravemente lesive dell’integrità patrimoniale pubblica </w:t>
      </w:r>
      <w:r w:rsidRPr="00FD0875">
        <w:rPr>
          <w:rFonts w:ascii="Times New Roman" w:hAnsi="Times New Roman" w:cs="Times New Roman"/>
          <w:bCs/>
          <w:i/>
          <w:color w:val="000000"/>
          <w:sz w:val="24"/>
          <w:szCs w:val="24"/>
          <w:shd w:val="clear" w:color="auto" w:fill="FFFFFF"/>
        </w:rPr>
        <w:t>ex</w:t>
      </w:r>
      <w:r w:rsidRPr="00FD0875">
        <w:rPr>
          <w:rFonts w:ascii="Times New Roman" w:hAnsi="Times New Roman" w:cs="Times New Roman"/>
          <w:bCs/>
          <w:color w:val="000000"/>
          <w:sz w:val="24"/>
          <w:szCs w:val="24"/>
          <w:shd w:val="clear" w:color="auto" w:fill="FFFFFF"/>
        </w:rPr>
        <w:t xml:space="preserve"> artt. 81 e 97 Cost.</w:t>
      </w:r>
      <w:r w:rsidRPr="00FD0875">
        <w:rPr>
          <w:rFonts w:ascii="Times New Roman" w:hAnsi="Times New Roman" w:cs="Times New Roman"/>
          <w:bCs/>
          <w:color w:val="000000"/>
          <w:sz w:val="24"/>
          <w:szCs w:val="24"/>
          <w:shd w:val="clear" w:color="auto" w:fill="FFFFFF"/>
          <w:vertAlign w:val="superscript"/>
        </w:rPr>
        <w:footnoteReference w:id="28"/>
      </w:r>
      <w:r w:rsidRPr="00FD0875">
        <w:rPr>
          <w:rFonts w:ascii="Times New Roman" w:hAnsi="Times New Roman" w:cs="Times New Roman"/>
          <w:bCs/>
          <w:color w:val="000000"/>
          <w:sz w:val="24"/>
          <w:szCs w:val="24"/>
          <w:shd w:val="clear" w:color="auto" w:fill="FFFFFF"/>
        </w:rPr>
        <w:t>, sull’impatto negativo dell’attenuazione dei controlli giurisdizionali contabili sulle strategie di prevenzione della corruzione, dovuto alla creazione di ampie aree di deresponsabilizzazione e di impunità nell’ipotesi di utilizzo improprio degli aiuti comunitari</w:t>
      </w:r>
      <w:r w:rsidRPr="00FD0875">
        <w:rPr>
          <w:rFonts w:ascii="Times New Roman" w:hAnsi="Times New Roman" w:cs="Times New Roman"/>
          <w:bCs/>
          <w:color w:val="000000"/>
          <w:sz w:val="24"/>
          <w:szCs w:val="24"/>
          <w:shd w:val="clear" w:color="auto" w:fill="FFFFFF"/>
          <w:vertAlign w:val="superscript"/>
        </w:rPr>
        <w:footnoteReference w:id="29"/>
      </w:r>
      <w:r w:rsidRPr="00FD0875">
        <w:rPr>
          <w:rFonts w:ascii="Times New Roman" w:hAnsi="Times New Roman" w:cs="Times New Roman"/>
          <w:bCs/>
          <w:color w:val="000000"/>
          <w:sz w:val="24"/>
          <w:szCs w:val="24"/>
          <w:shd w:val="clear" w:color="auto" w:fill="FFFFFF"/>
        </w:rPr>
        <w:t>.</w:t>
      </w:r>
    </w:p>
    <w:p w14:paraId="538C50E4" w14:textId="05A61776" w:rsidR="008D1DEF" w:rsidRDefault="008D1DEF" w:rsidP="004B7EA5">
      <w:pPr>
        <w:spacing w:after="0" w:line="276" w:lineRule="auto"/>
        <w:jc w:val="both"/>
        <w:rPr>
          <w:rFonts w:ascii="Times New Roman" w:hAnsi="Times New Roman" w:cs="Times New Roman"/>
          <w:bCs/>
          <w:color w:val="000000"/>
          <w:sz w:val="24"/>
          <w:szCs w:val="24"/>
          <w:shd w:val="clear" w:color="auto" w:fill="FFFFFF"/>
        </w:rPr>
      </w:pPr>
      <w:r w:rsidRPr="00FD0875">
        <w:rPr>
          <w:rFonts w:ascii="Times New Roman" w:hAnsi="Times New Roman" w:cs="Times New Roman"/>
          <w:bCs/>
          <w:color w:val="000000"/>
          <w:sz w:val="24"/>
          <w:szCs w:val="24"/>
          <w:shd w:val="clear" w:color="auto" w:fill="FFFFFF"/>
        </w:rPr>
        <w:t xml:space="preserve">Tuttavia, è altrettanto certo che il concetto di lotta alla “burocrazia difensiva” sia riemerso, a distanza di quasi tre anni, nella </w:t>
      </w:r>
      <w:r w:rsidRPr="00FD0875">
        <w:rPr>
          <w:rFonts w:ascii="Times New Roman" w:hAnsi="Times New Roman" w:cs="Times New Roman"/>
          <w:bCs/>
          <w:i/>
          <w:color w:val="000000"/>
          <w:sz w:val="24"/>
          <w:szCs w:val="24"/>
          <w:shd w:val="clear" w:color="auto" w:fill="FFFFFF"/>
        </w:rPr>
        <w:t>ratio</w:t>
      </w:r>
      <w:r w:rsidRPr="00FD0875">
        <w:rPr>
          <w:rFonts w:ascii="Times New Roman" w:hAnsi="Times New Roman" w:cs="Times New Roman"/>
          <w:bCs/>
          <w:color w:val="000000"/>
          <w:sz w:val="24"/>
          <w:szCs w:val="24"/>
          <w:shd w:val="clear" w:color="auto" w:fill="FFFFFF"/>
        </w:rPr>
        <w:t xml:space="preserve"> dell’art. 2 D. Lgs. n. 36/2023 e sia stato espressamente citato dalla Relazione di accompagnamento al nuovo codice dei contratti</w:t>
      </w:r>
      <w:r w:rsidRPr="00FD0875">
        <w:rPr>
          <w:rFonts w:ascii="Times New Roman" w:hAnsi="Times New Roman" w:cs="Times New Roman"/>
          <w:bCs/>
          <w:color w:val="000000"/>
          <w:sz w:val="24"/>
          <w:szCs w:val="24"/>
          <w:shd w:val="clear" w:color="auto" w:fill="FFFFFF"/>
          <w:vertAlign w:val="superscript"/>
        </w:rPr>
        <w:footnoteReference w:id="30"/>
      </w:r>
      <w:r w:rsidRPr="00FD0875">
        <w:rPr>
          <w:rFonts w:ascii="Times New Roman" w:hAnsi="Times New Roman" w:cs="Times New Roman"/>
          <w:bCs/>
          <w:color w:val="000000"/>
          <w:sz w:val="24"/>
          <w:szCs w:val="24"/>
          <w:shd w:val="clear" w:color="auto" w:fill="FFFFFF"/>
        </w:rPr>
        <w:t xml:space="preserve">, simbolo di un chiaro (e perdurante) intento del legislatore che, in quanto frutto del recepimento di istanze sociali ben definite, non può essere </w:t>
      </w:r>
      <w:r w:rsidRPr="00FD0875">
        <w:rPr>
          <w:rFonts w:ascii="Times New Roman" w:hAnsi="Times New Roman" w:cs="Times New Roman"/>
          <w:bCs/>
          <w:i/>
          <w:color w:val="000000"/>
          <w:sz w:val="24"/>
          <w:szCs w:val="24"/>
          <w:shd w:val="clear" w:color="auto" w:fill="FFFFFF"/>
        </w:rPr>
        <w:t>tout court</w:t>
      </w:r>
      <w:r w:rsidRPr="00FD0875">
        <w:rPr>
          <w:rFonts w:ascii="Times New Roman" w:hAnsi="Times New Roman" w:cs="Times New Roman"/>
          <w:bCs/>
          <w:color w:val="000000"/>
          <w:sz w:val="24"/>
          <w:szCs w:val="24"/>
          <w:shd w:val="clear" w:color="auto" w:fill="FFFFFF"/>
        </w:rPr>
        <w:t xml:space="preserve"> ignorato dall’interprete.</w:t>
      </w:r>
    </w:p>
    <w:p w14:paraId="30DBC193" w14:textId="77777777" w:rsidR="00623891" w:rsidRDefault="00623891" w:rsidP="004B7EA5">
      <w:pPr>
        <w:spacing w:after="0" w:line="276" w:lineRule="auto"/>
        <w:jc w:val="both"/>
        <w:rPr>
          <w:rFonts w:ascii="Times New Roman" w:hAnsi="Times New Roman" w:cs="Times New Roman"/>
          <w:bCs/>
          <w:color w:val="000000"/>
          <w:sz w:val="24"/>
          <w:szCs w:val="24"/>
          <w:shd w:val="clear" w:color="auto" w:fill="FFFFFF"/>
        </w:rPr>
      </w:pPr>
    </w:p>
    <w:p w14:paraId="3DB67C1E" w14:textId="77777777" w:rsidR="00623891" w:rsidRDefault="00623891" w:rsidP="004B7EA5">
      <w:pPr>
        <w:spacing w:after="0" w:line="276" w:lineRule="auto"/>
        <w:jc w:val="both"/>
        <w:rPr>
          <w:rFonts w:ascii="Times New Roman" w:hAnsi="Times New Roman" w:cs="Times New Roman"/>
          <w:bCs/>
          <w:color w:val="000000"/>
          <w:sz w:val="24"/>
          <w:szCs w:val="24"/>
          <w:shd w:val="clear" w:color="auto" w:fill="FFFFFF"/>
        </w:rPr>
      </w:pPr>
    </w:p>
    <w:p w14:paraId="2FF0558B"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p>
    <w:p w14:paraId="729253F0" w14:textId="35033C36" w:rsidR="00847DBE" w:rsidRPr="00847DBE" w:rsidRDefault="00623891" w:rsidP="004B7EA5">
      <w:pPr>
        <w:spacing w:after="0" w:line="276" w:lineRule="auto"/>
        <w:jc w:val="both"/>
        <w:rPr>
          <w:rFonts w:ascii="Times New Roman" w:hAnsi="Times New Roman" w:cs="Times New Roman"/>
          <w:bCs/>
          <w:i/>
          <w:iCs/>
          <w:color w:val="000000"/>
          <w:sz w:val="24"/>
          <w:szCs w:val="24"/>
          <w:shd w:val="clear" w:color="auto" w:fill="FFFFFF"/>
        </w:rPr>
      </w:pPr>
      <w:r>
        <w:rPr>
          <w:rFonts w:ascii="Times New Roman" w:hAnsi="Times New Roman" w:cs="Times New Roman"/>
          <w:bCs/>
          <w:i/>
          <w:iCs/>
          <w:color w:val="000000"/>
          <w:sz w:val="24"/>
          <w:szCs w:val="24"/>
          <w:shd w:val="clear" w:color="auto" w:fill="FFFFFF"/>
        </w:rPr>
        <w:t>4</w:t>
      </w:r>
      <w:r w:rsidR="00847DBE" w:rsidRPr="00847DBE">
        <w:rPr>
          <w:rFonts w:ascii="Times New Roman" w:hAnsi="Times New Roman" w:cs="Times New Roman"/>
          <w:bCs/>
          <w:i/>
          <w:iCs/>
          <w:color w:val="000000"/>
          <w:sz w:val="24"/>
          <w:szCs w:val="24"/>
          <w:shd w:val="clear" w:color="auto" w:fill="FFFFFF"/>
        </w:rPr>
        <w:t>.</w:t>
      </w:r>
      <w:r w:rsidR="00847DBE">
        <w:rPr>
          <w:rFonts w:ascii="Times New Roman" w:hAnsi="Times New Roman" w:cs="Times New Roman"/>
          <w:bCs/>
          <w:i/>
          <w:iCs/>
          <w:color w:val="000000"/>
          <w:sz w:val="24"/>
          <w:szCs w:val="24"/>
          <w:shd w:val="clear" w:color="auto" w:fill="FFFFFF"/>
        </w:rPr>
        <w:t xml:space="preserve"> Analisi della sentenza della Corte costituzionale 16 luglio 2024, n. 132</w:t>
      </w:r>
      <w:r w:rsidR="00847DBE" w:rsidRPr="00847DBE">
        <w:rPr>
          <w:rFonts w:ascii="Times New Roman" w:hAnsi="Times New Roman" w:cs="Times New Roman"/>
          <w:bCs/>
          <w:i/>
          <w:iCs/>
          <w:color w:val="000000"/>
          <w:sz w:val="24"/>
          <w:szCs w:val="24"/>
          <w:shd w:val="clear" w:color="auto" w:fill="FFFFFF"/>
        </w:rPr>
        <w:t>.</w:t>
      </w:r>
    </w:p>
    <w:p w14:paraId="1B1F832C"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p>
    <w:p w14:paraId="558C7535" w14:textId="360D2B18" w:rsidR="00623891" w:rsidRDefault="004F5325"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Il fenomeno appena citato si colloca sullo sfondo di una fondamentale e recente pronuncia del Giudice delle leggi: Corte cost., 16 luglio 2024, n. 132.</w:t>
      </w:r>
    </w:p>
    <w:p w14:paraId="4A3A16AB" w14:textId="7D20F98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La sentenza oggetto </w:t>
      </w:r>
      <w:r w:rsidR="004F5325">
        <w:rPr>
          <w:rFonts w:ascii="Times New Roman" w:hAnsi="Times New Roman" w:cs="Times New Roman"/>
          <w:bCs/>
          <w:color w:val="000000"/>
          <w:sz w:val="24"/>
          <w:szCs w:val="24"/>
          <w:shd w:val="clear" w:color="auto" w:fill="FFFFFF"/>
        </w:rPr>
        <w:t>di</w:t>
      </w:r>
      <w:r>
        <w:rPr>
          <w:rFonts w:ascii="Times New Roman" w:hAnsi="Times New Roman" w:cs="Times New Roman"/>
          <w:bCs/>
          <w:color w:val="000000"/>
          <w:sz w:val="24"/>
          <w:szCs w:val="24"/>
          <w:shd w:val="clear" w:color="auto" w:fill="FFFFFF"/>
        </w:rPr>
        <w:t xml:space="preserve"> esame può essere idealmente suddivisa in due parti: una concernente la declaratoria di infondatezza delle questioni di legittimità costituzionale con riferimento alla normativa (D.L. n. 76/2020) strettamente legata al “periodo covid-19”; l’altra afferente a osservazioni e proposte </w:t>
      </w:r>
      <w:r w:rsidRPr="00847DBE">
        <w:rPr>
          <w:rFonts w:ascii="Times New Roman" w:hAnsi="Times New Roman" w:cs="Times New Roman"/>
          <w:bCs/>
          <w:i/>
          <w:iCs/>
          <w:color w:val="000000"/>
          <w:sz w:val="24"/>
          <w:szCs w:val="24"/>
          <w:shd w:val="clear" w:color="auto" w:fill="FFFFFF"/>
        </w:rPr>
        <w:t>de iure condendo</w:t>
      </w:r>
      <w:r>
        <w:rPr>
          <w:rFonts w:ascii="Times New Roman" w:hAnsi="Times New Roman" w:cs="Times New Roman"/>
          <w:bCs/>
          <w:color w:val="000000"/>
          <w:sz w:val="24"/>
          <w:szCs w:val="24"/>
          <w:shd w:val="clear" w:color="auto" w:fill="FFFFFF"/>
        </w:rPr>
        <w:t xml:space="preserve"> con riferimento al possibile assetto “a regime” della responsabilità erariale dei dipendenti pubblici.</w:t>
      </w:r>
    </w:p>
    <w:p w14:paraId="405BCCEE" w14:textId="61F1010F"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L</w:t>
      </w:r>
      <w:r w:rsidRPr="00EC47B1">
        <w:rPr>
          <w:rFonts w:ascii="Times New Roman" w:hAnsi="Times New Roman" w:cs="Times New Roman"/>
          <w:bCs/>
          <w:color w:val="000000"/>
          <w:sz w:val="24"/>
          <w:szCs w:val="24"/>
          <w:shd w:val="clear" w:color="auto" w:fill="FFFFFF"/>
        </w:rPr>
        <w:t xml:space="preserve">’art. 21, comma 2, del </w:t>
      </w:r>
      <w:r>
        <w:rPr>
          <w:rFonts w:ascii="Times New Roman" w:hAnsi="Times New Roman" w:cs="Times New Roman"/>
          <w:bCs/>
          <w:color w:val="000000"/>
          <w:sz w:val="24"/>
          <w:szCs w:val="24"/>
          <w:shd w:val="clear" w:color="auto" w:fill="FFFFFF"/>
        </w:rPr>
        <w:t xml:space="preserve">D.L. </w:t>
      </w:r>
      <w:r w:rsidRPr="00EC47B1">
        <w:rPr>
          <w:rFonts w:ascii="Times New Roman" w:hAnsi="Times New Roman" w:cs="Times New Roman"/>
          <w:bCs/>
          <w:color w:val="000000"/>
          <w:sz w:val="24"/>
          <w:szCs w:val="24"/>
          <w:shd w:val="clear" w:color="auto" w:fill="FFFFFF"/>
        </w:rPr>
        <w:t>16 luglio 2020, n. 76 (Misure urgenti per la semplificazione e l’innovazione digitale), convertito, con modificazioni, nella legge 11 settembre 2020, n. 120, prevede</w:t>
      </w:r>
      <w:r>
        <w:rPr>
          <w:rFonts w:ascii="Times New Roman" w:hAnsi="Times New Roman" w:cs="Times New Roman"/>
          <w:bCs/>
          <w:color w:val="000000"/>
          <w:sz w:val="24"/>
          <w:szCs w:val="24"/>
          <w:shd w:val="clear" w:color="auto" w:fill="FFFFFF"/>
        </w:rPr>
        <w:t>va</w:t>
      </w:r>
      <w:r w:rsidRPr="00EC47B1">
        <w:rPr>
          <w:rFonts w:ascii="Times New Roman" w:hAnsi="Times New Roman" w:cs="Times New Roman"/>
          <w:bCs/>
          <w:color w:val="000000"/>
          <w:sz w:val="24"/>
          <w:szCs w:val="24"/>
          <w:shd w:val="clear" w:color="auto" w:fill="FFFFFF"/>
        </w:rPr>
        <w:t>, sino al 31 dicembre 2024</w:t>
      </w:r>
      <w:r>
        <w:rPr>
          <w:rFonts w:ascii="Times New Roman" w:hAnsi="Times New Roman" w:cs="Times New Roman"/>
          <w:bCs/>
          <w:color w:val="000000"/>
          <w:sz w:val="24"/>
          <w:szCs w:val="24"/>
          <w:shd w:val="clear" w:color="auto" w:fill="FFFFFF"/>
        </w:rPr>
        <w:t xml:space="preserve"> e in conseguenza di proroghe</w:t>
      </w:r>
      <w:r w:rsidRPr="00EC47B1">
        <w:rPr>
          <w:rFonts w:ascii="Times New Roman" w:hAnsi="Times New Roman" w:cs="Times New Roman"/>
          <w:bCs/>
          <w:color w:val="000000"/>
          <w:sz w:val="24"/>
          <w:szCs w:val="24"/>
          <w:shd w:val="clear" w:color="auto" w:fill="FFFFFF"/>
        </w:rPr>
        <w:t>, per le condotte commissive degli agenti pubblici</w:t>
      </w:r>
      <w:r>
        <w:rPr>
          <w:rFonts w:ascii="Times New Roman" w:hAnsi="Times New Roman" w:cs="Times New Roman"/>
          <w:bCs/>
          <w:color w:val="000000"/>
          <w:sz w:val="24"/>
          <w:szCs w:val="24"/>
          <w:shd w:val="clear" w:color="auto" w:fill="FFFFFF"/>
        </w:rPr>
        <w:t xml:space="preserve">, </w:t>
      </w:r>
      <w:r w:rsidRPr="00EC47B1">
        <w:rPr>
          <w:rFonts w:ascii="Times New Roman" w:hAnsi="Times New Roman" w:cs="Times New Roman"/>
          <w:bCs/>
          <w:color w:val="000000"/>
          <w:sz w:val="24"/>
          <w:szCs w:val="24"/>
          <w:shd w:val="clear" w:color="auto" w:fill="FFFFFF"/>
        </w:rPr>
        <w:t>una temporanea limitazione della responsabilità amministrativa alle sole ipotesi dolose.</w:t>
      </w:r>
    </w:p>
    <w:p w14:paraId="1CD18DF2" w14:textId="7EA3E0A4"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La disposizione, come tutti ricorderanno, </w:t>
      </w:r>
      <w:r w:rsidRPr="00F5778D">
        <w:rPr>
          <w:rFonts w:ascii="Times New Roman" w:hAnsi="Times New Roman" w:cs="Times New Roman"/>
          <w:bCs/>
          <w:color w:val="000000"/>
          <w:sz w:val="24"/>
          <w:szCs w:val="24"/>
          <w:shd w:val="clear" w:color="auto" w:fill="FFFFFF"/>
        </w:rPr>
        <w:t>si giustificava in relazione al peculiarissimo contesto economico e sociale in cui l’emergenza pandemica da C</w:t>
      </w:r>
      <w:r>
        <w:rPr>
          <w:rFonts w:ascii="Times New Roman" w:hAnsi="Times New Roman" w:cs="Times New Roman"/>
          <w:bCs/>
          <w:color w:val="000000"/>
          <w:sz w:val="24"/>
          <w:szCs w:val="24"/>
          <w:shd w:val="clear" w:color="auto" w:fill="FFFFFF"/>
        </w:rPr>
        <w:t>ovid</w:t>
      </w:r>
      <w:r w:rsidRPr="00F5778D">
        <w:rPr>
          <w:rFonts w:ascii="Times New Roman" w:hAnsi="Times New Roman" w:cs="Times New Roman"/>
          <w:bCs/>
          <w:color w:val="000000"/>
          <w:sz w:val="24"/>
          <w:szCs w:val="24"/>
          <w:shd w:val="clear" w:color="auto" w:fill="FFFFFF"/>
        </w:rPr>
        <w:t>-19</w:t>
      </w:r>
      <w:r w:rsidR="00721717">
        <w:rPr>
          <w:rStyle w:val="Rimandonotaapidipagina"/>
          <w:rFonts w:ascii="Times New Roman" w:hAnsi="Times New Roman" w:cs="Times New Roman"/>
          <w:bCs/>
          <w:color w:val="000000"/>
          <w:sz w:val="24"/>
          <w:szCs w:val="24"/>
          <w:shd w:val="clear" w:color="auto" w:fill="FFFFFF"/>
        </w:rPr>
        <w:footnoteReference w:id="31"/>
      </w:r>
      <w:r w:rsidRPr="00F5778D">
        <w:rPr>
          <w:rFonts w:ascii="Times New Roman" w:hAnsi="Times New Roman" w:cs="Times New Roman"/>
          <w:bCs/>
          <w:color w:val="000000"/>
          <w:sz w:val="24"/>
          <w:szCs w:val="24"/>
          <w:shd w:val="clear" w:color="auto" w:fill="FFFFFF"/>
        </w:rPr>
        <w:t xml:space="preserve"> aveva determinato la prolungata chiusura delle attività produttive, con danni enormi per l’economia nazionale e ricadute negative sulla stessa coesione sociale e la tutela dei diritti e di interessi vitali per la società. </w:t>
      </w:r>
    </w:p>
    <w:p w14:paraId="2E3F3B55" w14:textId="4ECD810A"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sidRPr="00F5778D">
        <w:rPr>
          <w:rFonts w:ascii="Times New Roman" w:hAnsi="Times New Roman" w:cs="Times New Roman"/>
          <w:bCs/>
          <w:color w:val="000000"/>
          <w:sz w:val="24"/>
          <w:szCs w:val="24"/>
          <w:shd w:val="clear" w:color="auto" w:fill="FFFFFF"/>
        </w:rPr>
        <w:t>Per superare la grave crisi e rimettere in movimento il motore dell’economia, il legislatore, non irragionevolmente</w:t>
      </w:r>
      <w:r>
        <w:rPr>
          <w:rFonts w:ascii="Times New Roman" w:hAnsi="Times New Roman" w:cs="Times New Roman"/>
          <w:bCs/>
          <w:color w:val="000000"/>
          <w:sz w:val="24"/>
          <w:szCs w:val="24"/>
          <w:shd w:val="clear" w:color="auto" w:fill="FFFFFF"/>
        </w:rPr>
        <w:t xml:space="preserve"> (a giudizio della Corte, nell’ambito della sentenza che ci si appresta a commentare)</w:t>
      </w:r>
      <w:r w:rsidRPr="00F5778D">
        <w:rPr>
          <w:rFonts w:ascii="Times New Roman" w:hAnsi="Times New Roman" w:cs="Times New Roman"/>
          <w:bCs/>
          <w:color w:val="000000"/>
          <w:sz w:val="24"/>
          <w:szCs w:val="24"/>
          <w:shd w:val="clear" w:color="auto" w:fill="FFFFFF"/>
        </w:rPr>
        <w:t>, ha ritenuto indispensabile che l’amministrazione pubblica operasse senza remore e non fosse, al contrario, a causa della sua inerzia, un fattore di ostacolo alla ripresa economica</w:t>
      </w:r>
      <w:r>
        <w:rPr>
          <w:rFonts w:ascii="Times New Roman" w:hAnsi="Times New Roman" w:cs="Times New Roman"/>
          <w:bCs/>
          <w:color w:val="000000"/>
          <w:sz w:val="24"/>
          <w:szCs w:val="24"/>
          <w:shd w:val="clear" w:color="auto" w:fill="FFFFFF"/>
        </w:rPr>
        <w:t>.</w:t>
      </w:r>
    </w:p>
    <w:p w14:paraId="4AD3EB1E"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sidRPr="000C2085">
        <w:rPr>
          <w:rFonts w:ascii="Times New Roman" w:hAnsi="Times New Roman" w:cs="Times New Roman"/>
          <w:bCs/>
          <w:color w:val="000000"/>
          <w:sz w:val="24"/>
          <w:szCs w:val="24"/>
          <w:shd w:val="clear" w:color="auto" w:fill="FFFFFF"/>
        </w:rPr>
        <w:t>Le successive proroghe, invece, sono</w:t>
      </w:r>
      <w:r>
        <w:rPr>
          <w:rFonts w:ascii="Times New Roman" w:hAnsi="Times New Roman" w:cs="Times New Roman"/>
          <w:bCs/>
          <w:color w:val="000000"/>
          <w:sz w:val="24"/>
          <w:szCs w:val="24"/>
          <w:shd w:val="clear" w:color="auto" w:fill="FFFFFF"/>
        </w:rPr>
        <w:t xml:space="preserve"> state ritenute giustificabili in quanto</w:t>
      </w:r>
      <w:r w:rsidRPr="000C2085">
        <w:rPr>
          <w:rFonts w:ascii="Times New Roman" w:hAnsi="Times New Roman" w:cs="Times New Roman"/>
          <w:bCs/>
          <w:color w:val="000000"/>
          <w:sz w:val="24"/>
          <w:szCs w:val="24"/>
          <w:shd w:val="clear" w:color="auto" w:fill="FFFFFF"/>
        </w:rPr>
        <w:t xml:space="preserve"> connesse all’inderogabile esigenza di garantire l’attuazione del PNRR e la conseguente ripresa di un sentiero di crescita economica sostenibile, oltre che il superamento di alcuni divari economici, sociali e di genere. </w:t>
      </w:r>
    </w:p>
    <w:p w14:paraId="3EEFC36D"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sidRPr="000C2085">
        <w:rPr>
          <w:rFonts w:ascii="Times New Roman" w:hAnsi="Times New Roman" w:cs="Times New Roman"/>
          <w:bCs/>
          <w:color w:val="000000"/>
          <w:sz w:val="24"/>
          <w:szCs w:val="24"/>
          <w:shd w:val="clear" w:color="auto" w:fill="FFFFFF"/>
        </w:rPr>
        <w:t xml:space="preserve">La Corte costituzionale ha </w:t>
      </w:r>
      <w:r>
        <w:rPr>
          <w:rFonts w:ascii="Times New Roman" w:hAnsi="Times New Roman" w:cs="Times New Roman"/>
          <w:bCs/>
          <w:color w:val="000000"/>
          <w:sz w:val="24"/>
          <w:szCs w:val="24"/>
          <w:shd w:val="clear" w:color="auto" w:fill="FFFFFF"/>
        </w:rPr>
        <w:t xml:space="preserve">inoltre </w:t>
      </w:r>
      <w:r w:rsidRPr="000C2085">
        <w:rPr>
          <w:rFonts w:ascii="Times New Roman" w:hAnsi="Times New Roman" w:cs="Times New Roman"/>
          <w:bCs/>
          <w:color w:val="000000"/>
          <w:sz w:val="24"/>
          <w:szCs w:val="24"/>
          <w:shd w:val="clear" w:color="auto" w:fill="FFFFFF"/>
        </w:rPr>
        <w:t>affermato che, nel valutare la proporzionalità dell’intervento legislativo, non può prescindersi dal rilievo che la disposizione censurata origina da un contesto eccezionale, ha natura temporanea ed ha comunque un oggetto delimitato, riguardando solo le condotte commissive e non quelle “inerti” ed “omissive”.</w:t>
      </w:r>
    </w:p>
    <w:p w14:paraId="0F290B29" w14:textId="3CDC31FA"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Ma, sia consentito rilevarlo, ciò che più merita di essere evidenziato è l’invito a una rivalutazione, in ottica sistematica, del sistema di responsabilità amministrativa dei dipendenti pubblici, suggerendo </w:t>
      </w:r>
      <w:r>
        <w:rPr>
          <w:rFonts w:ascii="Times New Roman" w:hAnsi="Times New Roman" w:cs="Times New Roman"/>
          <w:bCs/>
          <w:color w:val="000000"/>
          <w:sz w:val="24"/>
          <w:szCs w:val="24"/>
          <w:shd w:val="clear" w:color="auto" w:fill="FFFFFF"/>
        </w:rPr>
        <w:lastRenderedPageBreak/>
        <w:t>«</w:t>
      </w:r>
      <w:r w:rsidRPr="00653842">
        <w:rPr>
          <w:rFonts w:ascii="Times New Roman" w:hAnsi="Times New Roman" w:cs="Times New Roman"/>
          <w:bCs/>
          <w:color w:val="000000"/>
          <w:sz w:val="24"/>
          <w:szCs w:val="24"/>
          <w:shd w:val="clear" w:color="auto" w:fill="FFFFFF"/>
        </w:rPr>
        <w:t>la ricerca, a regime, di nuovi punti di equilibrio nella ripartizione del rischio dell’attività tra l’amministrazione e l’agente pubblico, con l’obiettivo di rendere la responsabilità ragione di stimolo e non disincentivo all’azione</w:t>
      </w:r>
      <w:r>
        <w:rPr>
          <w:rFonts w:ascii="Times New Roman" w:hAnsi="Times New Roman" w:cs="Times New Roman"/>
          <w:bCs/>
          <w:color w:val="000000"/>
          <w:sz w:val="24"/>
          <w:szCs w:val="24"/>
          <w:shd w:val="clear" w:color="auto" w:fill="FFFFFF"/>
        </w:rPr>
        <w:t>».</w:t>
      </w:r>
    </w:p>
    <w:p w14:paraId="349DE036"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Cerchiamo, dunque, di inquadrare il tema in modo ampio, così come propone anche la Corte costituzionale.</w:t>
      </w:r>
    </w:p>
    <w:p w14:paraId="27AF59ED" w14:textId="135C45DB"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Nella sentenza in commento</w:t>
      </w:r>
      <w:r w:rsidR="00256DDD">
        <w:rPr>
          <w:rStyle w:val="Rimandonotaapidipagina"/>
          <w:rFonts w:ascii="Times New Roman" w:hAnsi="Times New Roman" w:cs="Times New Roman"/>
          <w:bCs/>
          <w:color w:val="000000"/>
          <w:sz w:val="24"/>
          <w:szCs w:val="24"/>
          <w:shd w:val="clear" w:color="auto" w:fill="FFFFFF"/>
        </w:rPr>
        <w:footnoteReference w:id="32"/>
      </w:r>
      <w:r w:rsidR="006F1657">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viene tracciato un mirabile affresco dell’evoluzione della Pubblica Amministrazione nell’ultimo ventennio.</w:t>
      </w:r>
    </w:p>
    <w:p w14:paraId="0D199891" w14:textId="77777777" w:rsidR="00847DBE" w:rsidRPr="00C931D6" w:rsidRDefault="00847DBE" w:rsidP="004B7EA5">
      <w:pPr>
        <w:spacing w:after="0" w:line="276" w:lineRule="auto"/>
        <w:jc w:val="both"/>
        <w:rPr>
          <w:rFonts w:ascii="Times New Roman" w:hAnsi="Times New Roman" w:cs="Times New Roman"/>
          <w:bCs/>
          <w:color w:val="000000"/>
          <w:sz w:val="24"/>
          <w:szCs w:val="24"/>
          <w:shd w:val="clear" w:color="auto" w:fill="FFFFFF"/>
        </w:rPr>
      </w:pPr>
      <w:r w:rsidRPr="00C931D6">
        <w:rPr>
          <w:rFonts w:ascii="Times New Roman" w:hAnsi="Times New Roman" w:cs="Times New Roman"/>
          <w:bCs/>
          <w:color w:val="000000"/>
          <w:sz w:val="24"/>
          <w:szCs w:val="24"/>
          <w:shd w:val="clear" w:color="auto" w:fill="FFFFFF"/>
        </w:rPr>
        <w:t xml:space="preserve">I tasselli principali </w:t>
      </w:r>
      <w:r>
        <w:rPr>
          <w:rFonts w:ascii="Times New Roman" w:hAnsi="Times New Roman" w:cs="Times New Roman"/>
          <w:bCs/>
          <w:color w:val="000000"/>
          <w:sz w:val="24"/>
          <w:szCs w:val="24"/>
          <w:shd w:val="clear" w:color="auto" w:fill="FFFFFF"/>
        </w:rPr>
        <w:t xml:space="preserve">della riforma dell’Amministrazione italiana sono costituiti dalla </w:t>
      </w:r>
      <w:r w:rsidRPr="00C931D6">
        <w:rPr>
          <w:rFonts w:ascii="Times New Roman" w:hAnsi="Times New Roman" w:cs="Times New Roman"/>
          <w:bCs/>
          <w:color w:val="000000"/>
          <w:sz w:val="24"/>
          <w:szCs w:val="24"/>
          <w:shd w:val="clear" w:color="auto" w:fill="FFFFFF"/>
        </w:rPr>
        <w:t>l</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 xml:space="preserve"> 8 giugno 1990, n. 142 (</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Ordinamento delle autonomie locali</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 dalla l</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 xml:space="preserve"> 7 agosto 1990, n. 241 (</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Nuove norme in materia di procedimento amministrativo e di diritto di accesso ai documenti amministrativi</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 dal decreto legislativo 3 febbraio 1993, n. 29 (</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Razionalizzazione della organizzazione delle Amministrazioni pubbliche e revisione della disciplina in materia di pubblico impiego, a norma dell’articolo 2 della legge 23 ottobre 1992, n. 421</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 nonché dalla l</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 xml:space="preserve"> 15 marzo 1997, n. 59 (Delega al Governo per il conferimento di funzioni e compiti alle regioni ed enti locali, per la riforma della pubblica amministrazione e per la semplificazione amministrativa).</w:t>
      </w:r>
    </w:p>
    <w:p w14:paraId="29FEA062" w14:textId="77777777" w:rsidR="00847DBE" w:rsidRPr="00C931D6"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Tali fonti normative hanno segnato </w:t>
      </w:r>
      <w:r w:rsidRPr="00C931D6">
        <w:rPr>
          <w:rFonts w:ascii="Times New Roman" w:hAnsi="Times New Roman" w:cs="Times New Roman"/>
          <w:bCs/>
          <w:color w:val="000000"/>
          <w:sz w:val="24"/>
          <w:szCs w:val="24"/>
          <w:shd w:val="clear" w:color="auto" w:fill="FFFFFF"/>
        </w:rPr>
        <w:t xml:space="preserve">il passaggio da un’amministrazione che, secondo il modello dello Stato di diritto liberale, doveva dare semplicemente esecuzione alla legge, adottando un singolo e puntuale atto amministrativo, a quella che è stata definita “amministrazione di risultato”, </w:t>
      </w:r>
      <w:r>
        <w:rPr>
          <w:rFonts w:ascii="Times New Roman" w:hAnsi="Times New Roman" w:cs="Times New Roman"/>
          <w:bCs/>
          <w:color w:val="000000"/>
          <w:sz w:val="24"/>
          <w:szCs w:val="24"/>
          <w:shd w:val="clear" w:color="auto" w:fill="FFFFFF"/>
        </w:rPr>
        <w:t>in cui la dirigenza, resa finalmente autonoma dal potere politico, è responsabile del conseguimento degli obiettivi affidati dai vertici</w:t>
      </w:r>
      <w:r w:rsidRPr="00C931D6">
        <w:rPr>
          <w:rFonts w:ascii="Times New Roman" w:hAnsi="Times New Roman" w:cs="Times New Roman"/>
          <w:bCs/>
          <w:color w:val="000000"/>
          <w:sz w:val="24"/>
          <w:szCs w:val="24"/>
          <w:shd w:val="clear" w:color="auto" w:fill="FFFFFF"/>
        </w:rPr>
        <w:t>.</w:t>
      </w:r>
    </w:p>
    <w:p w14:paraId="285BA1CD" w14:textId="3C53CB7C" w:rsidR="00847DBE" w:rsidRPr="00C931D6"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Il decisore pubblico, pertanto, è </w:t>
      </w:r>
      <w:r w:rsidRPr="00C931D6">
        <w:rPr>
          <w:rFonts w:ascii="Times New Roman" w:hAnsi="Times New Roman" w:cs="Times New Roman"/>
          <w:bCs/>
          <w:color w:val="000000"/>
          <w:sz w:val="24"/>
          <w:szCs w:val="24"/>
          <w:shd w:val="clear" w:color="auto" w:fill="FFFFFF"/>
        </w:rPr>
        <w:t>sempre meno relegat</w:t>
      </w:r>
      <w:r>
        <w:rPr>
          <w:rFonts w:ascii="Times New Roman" w:hAnsi="Times New Roman" w:cs="Times New Roman"/>
          <w:bCs/>
          <w:color w:val="000000"/>
          <w:sz w:val="24"/>
          <w:szCs w:val="24"/>
          <w:shd w:val="clear" w:color="auto" w:fill="FFFFFF"/>
        </w:rPr>
        <w:t>o</w:t>
      </w:r>
      <w:r w:rsidRPr="00C931D6">
        <w:rPr>
          <w:rFonts w:ascii="Times New Roman" w:hAnsi="Times New Roman" w:cs="Times New Roman"/>
          <w:bCs/>
          <w:color w:val="000000"/>
          <w:sz w:val="24"/>
          <w:szCs w:val="24"/>
          <w:shd w:val="clear" w:color="auto" w:fill="FFFFFF"/>
        </w:rPr>
        <w:t xml:space="preserve"> all’esecuzione d</w:t>
      </w:r>
      <w:r>
        <w:rPr>
          <w:rFonts w:ascii="Times New Roman" w:hAnsi="Times New Roman" w:cs="Times New Roman"/>
          <w:bCs/>
          <w:color w:val="000000"/>
          <w:sz w:val="24"/>
          <w:szCs w:val="24"/>
          <w:shd w:val="clear" w:color="auto" w:fill="FFFFFF"/>
        </w:rPr>
        <w:t>i ciò che è</w:t>
      </w:r>
      <w:r w:rsidRPr="00C931D6">
        <w:rPr>
          <w:rFonts w:ascii="Times New Roman" w:hAnsi="Times New Roman" w:cs="Times New Roman"/>
          <w:bCs/>
          <w:color w:val="000000"/>
          <w:sz w:val="24"/>
          <w:szCs w:val="24"/>
          <w:shd w:val="clear" w:color="auto" w:fill="FFFFFF"/>
        </w:rPr>
        <w:t xml:space="preserve"> già deciso con legge, ma</w:t>
      </w:r>
      <w:r>
        <w:rPr>
          <w:rFonts w:ascii="Times New Roman" w:hAnsi="Times New Roman" w:cs="Times New Roman"/>
          <w:bCs/>
          <w:color w:val="000000"/>
          <w:sz w:val="24"/>
          <w:szCs w:val="24"/>
          <w:shd w:val="clear" w:color="auto" w:fill="FFFFFF"/>
        </w:rPr>
        <w:t xml:space="preserve"> è</w:t>
      </w:r>
      <w:r w:rsidRPr="00C931D6">
        <w:rPr>
          <w:rFonts w:ascii="Times New Roman" w:hAnsi="Times New Roman" w:cs="Times New Roman"/>
          <w:bCs/>
          <w:color w:val="000000"/>
          <w:sz w:val="24"/>
          <w:szCs w:val="24"/>
          <w:shd w:val="clear" w:color="auto" w:fill="FFFFFF"/>
        </w:rPr>
        <w:t xml:space="preserve"> orientat</w:t>
      </w:r>
      <w:r>
        <w:rPr>
          <w:rFonts w:ascii="Times New Roman" w:hAnsi="Times New Roman" w:cs="Times New Roman"/>
          <w:bCs/>
          <w:color w:val="000000"/>
          <w:sz w:val="24"/>
          <w:szCs w:val="24"/>
          <w:shd w:val="clear" w:color="auto" w:fill="FFFFFF"/>
        </w:rPr>
        <w:t>o</w:t>
      </w:r>
      <w:r w:rsidRPr="00C931D6">
        <w:rPr>
          <w:rFonts w:ascii="Times New Roman" w:hAnsi="Times New Roman" w:cs="Times New Roman"/>
          <w:bCs/>
          <w:color w:val="000000"/>
          <w:sz w:val="24"/>
          <w:szCs w:val="24"/>
          <w:shd w:val="clear" w:color="auto" w:fill="FFFFFF"/>
        </w:rPr>
        <w:t xml:space="preserve"> al risultato, e </w:t>
      </w:r>
      <w:r>
        <w:rPr>
          <w:rFonts w:ascii="Times New Roman" w:hAnsi="Times New Roman" w:cs="Times New Roman"/>
          <w:bCs/>
          <w:color w:val="000000"/>
          <w:sz w:val="24"/>
          <w:szCs w:val="24"/>
          <w:shd w:val="clear" w:color="auto" w:fill="FFFFFF"/>
        </w:rPr>
        <w:t xml:space="preserve">– </w:t>
      </w:r>
      <w:r w:rsidRPr="00C931D6">
        <w:rPr>
          <w:rFonts w:ascii="Times New Roman" w:hAnsi="Times New Roman" w:cs="Times New Roman"/>
          <w:bCs/>
          <w:color w:val="000000"/>
          <w:sz w:val="24"/>
          <w:szCs w:val="24"/>
          <w:shd w:val="clear" w:color="auto" w:fill="FFFFFF"/>
        </w:rPr>
        <w:t>perciò</w:t>
      </w:r>
      <w:r>
        <w:rPr>
          <w:rFonts w:ascii="Times New Roman" w:hAnsi="Times New Roman" w:cs="Times New Roman"/>
          <w:bCs/>
          <w:color w:val="000000"/>
          <w:sz w:val="24"/>
          <w:szCs w:val="24"/>
          <w:shd w:val="clear" w:color="auto" w:fill="FFFFFF"/>
        </w:rPr>
        <w:t xml:space="preserve"> –</w:t>
      </w:r>
      <w:r w:rsidRPr="00C931D6">
        <w:rPr>
          <w:rFonts w:ascii="Times New Roman" w:hAnsi="Times New Roman" w:cs="Times New Roman"/>
          <w:bCs/>
          <w:color w:val="000000"/>
          <w:sz w:val="24"/>
          <w:szCs w:val="24"/>
          <w:shd w:val="clear" w:color="auto" w:fill="FFFFFF"/>
        </w:rPr>
        <w:t xml:space="preserve"> sempre più ampiamente investit</w:t>
      </w:r>
      <w:r>
        <w:rPr>
          <w:rFonts w:ascii="Times New Roman" w:hAnsi="Times New Roman" w:cs="Times New Roman"/>
          <w:bCs/>
          <w:color w:val="000000"/>
          <w:sz w:val="24"/>
          <w:szCs w:val="24"/>
          <w:shd w:val="clear" w:color="auto" w:fill="FFFFFF"/>
        </w:rPr>
        <w:t>o</w:t>
      </w:r>
      <w:r w:rsidRPr="00C931D6">
        <w:rPr>
          <w:rFonts w:ascii="Times New Roman" w:hAnsi="Times New Roman" w:cs="Times New Roman"/>
          <w:bCs/>
          <w:color w:val="000000"/>
          <w:sz w:val="24"/>
          <w:szCs w:val="24"/>
          <w:shd w:val="clear" w:color="auto" w:fill="FFFFFF"/>
        </w:rPr>
        <w:t xml:space="preserve"> del compito di </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scegliere, nell’ambito della cornice legislativa, i mezzi di azione ritenuti più appropriati, di ponderare i molteplici interessi pubblici e privati coinvolti dalla decisione amministrativa, di legare insieme in un disegno unitario differenti atti e provvedimenti, e di assicurare l’efficienza, operando in un orizzonte temporale ben preciso (il tempo, a partire dall’art. 2 della legge n. 241 del 1990, non è più una variabile indipendente dell’agire amministrativo)</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w:t>
      </w:r>
    </w:p>
    <w:p w14:paraId="5E5AF2EA" w14:textId="77777777" w:rsidR="00847DBE" w:rsidRPr="00C931D6" w:rsidRDefault="00847DBE" w:rsidP="004B7EA5">
      <w:pPr>
        <w:spacing w:after="0" w:line="276" w:lineRule="auto"/>
        <w:jc w:val="both"/>
        <w:rPr>
          <w:rFonts w:ascii="Times New Roman" w:hAnsi="Times New Roman" w:cs="Times New Roman"/>
          <w:bCs/>
          <w:color w:val="000000"/>
          <w:sz w:val="24"/>
          <w:szCs w:val="24"/>
          <w:shd w:val="clear" w:color="auto" w:fill="FFFFFF"/>
        </w:rPr>
      </w:pPr>
      <w:r w:rsidRPr="00C931D6">
        <w:rPr>
          <w:rFonts w:ascii="Times New Roman" w:hAnsi="Times New Roman" w:cs="Times New Roman"/>
          <w:bCs/>
          <w:color w:val="000000"/>
          <w:sz w:val="24"/>
          <w:szCs w:val="24"/>
          <w:shd w:val="clear" w:color="auto" w:fill="FFFFFF"/>
        </w:rPr>
        <w:t>L</w:t>
      </w:r>
      <w:r>
        <w:rPr>
          <w:rFonts w:ascii="Times New Roman" w:hAnsi="Times New Roman" w:cs="Times New Roman"/>
          <w:bCs/>
          <w:color w:val="000000"/>
          <w:sz w:val="24"/>
          <w:szCs w:val="24"/>
          <w:shd w:val="clear" w:color="auto" w:fill="FFFFFF"/>
        </w:rPr>
        <w:t>a Corte rimarca come l’</w:t>
      </w:r>
      <w:r w:rsidRPr="00C931D6">
        <w:rPr>
          <w:rFonts w:ascii="Times New Roman" w:hAnsi="Times New Roman" w:cs="Times New Roman"/>
          <w:bCs/>
          <w:color w:val="000000"/>
          <w:sz w:val="24"/>
          <w:szCs w:val="24"/>
          <w:shd w:val="clear" w:color="auto" w:fill="FFFFFF"/>
        </w:rPr>
        <w:t xml:space="preserve">ampia discrezionalità, peraltro esercitata in un ambiente in cui la complessità istituzionale, sociale e giuridica è andata progressivamente crescendo, </w:t>
      </w:r>
      <w:r>
        <w:rPr>
          <w:rFonts w:ascii="Times New Roman" w:hAnsi="Times New Roman" w:cs="Times New Roman"/>
          <w:bCs/>
          <w:color w:val="000000"/>
          <w:sz w:val="24"/>
          <w:szCs w:val="24"/>
          <w:shd w:val="clear" w:color="auto" w:fill="FFFFFF"/>
        </w:rPr>
        <w:t>sia</w:t>
      </w:r>
      <w:r w:rsidRPr="00C931D6">
        <w:rPr>
          <w:rFonts w:ascii="Times New Roman" w:hAnsi="Times New Roman" w:cs="Times New Roman"/>
          <w:bCs/>
          <w:color w:val="000000"/>
          <w:sz w:val="24"/>
          <w:szCs w:val="24"/>
          <w:shd w:val="clear" w:color="auto" w:fill="FFFFFF"/>
        </w:rPr>
        <w:t xml:space="preserve"> una componente essenziale e caratterizzante tale tipo di amministrazione. </w:t>
      </w:r>
      <w:r>
        <w:rPr>
          <w:rFonts w:ascii="Times New Roman" w:hAnsi="Times New Roman" w:cs="Times New Roman"/>
          <w:bCs/>
          <w:color w:val="000000"/>
          <w:sz w:val="24"/>
          <w:szCs w:val="24"/>
          <w:shd w:val="clear" w:color="auto" w:fill="FFFFFF"/>
        </w:rPr>
        <w:t>Infatti, l</w:t>
      </w:r>
      <w:r w:rsidRPr="00C931D6">
        <w:rPr>
          <w:rFonts w:ascii="Times New Roman" w:hAnsi="Times New Roman" w:cs="Times New Roman"/>
          <w:bCs/>
          <w:color w:val="000000"/>
          <w:sz w:val="24"/>
          <w:szCs w:val="24"/>
          <w:shd w:val="clear" w:color="auto" w:fill="FFFFFF"/>
        </w:rPr>
        <w:t>a necessità di scegliere, entro un termine predeterminato, sovente tra un ventaglio ampio di possibilità e in un ambito non più integralmente tracciato dalla legge, accresce inevitabilmente la possibilità di errori da parte dell’agente pubblico, ingenerando il rischio della sua inazione.</w:t>
      </w:r>
    </w:p>
    <w:p w14:paraId="6225D2BF" w14:textId="77777777" w:rsidR="00847DBE" w:rsidRPr="00C931D6" w:rsidRDefault="00847DBE" w:rsidP="004B7EA5">
      <w:pPr>
        <w:spacing w:after="0" w:line="276" w:lineRule="auto"/>
        <w:jc w:val="both"/>
        <w:rPr>
          <w:rFonts w:ascii="Times New Roman" w:hAnsi="Times New Roman" w:cs="Times New Roman"/>
          <w:bCs/>
          <w:color w:val="000000"/>
          <w:sz w:val="24"/>
          <w:szCs w:val="24"/>
          <w:shd w:val="clear" w:color="auto" w:fill="FFFFFF"/>
        </w:rPr>
      </w:pPr>
      <w:r w:rsidRPr="00C931D6">
        <w:rPr>
          <w:rFonts w:ascii="Times New Roman" w:hAnsi="Times New Roman" w:cs="Times New Roman"/>
          <w:bCs/>
          <w:color w:val="000000"/>
          <w:sz w:val="24"/>
          <w:szCs w:val="24"/>
          <w:shd w:val="clear" w:color="auto" w:fill="FFFFFF"/>
        </w:rPr>
        <w:lastRenderedPageBreak/>
        <w:t>Per evitare tale pericolo, come</w:t>
      </w:r>
      <w:r>
        <w:rPr>
          <w:rFonts w:ascii="Times New Roman" w:hAnsi="Times New Roman" w:cs="Times New Roman"/>
          <w:bCs/>
          <w:color w:val="000000"/>
          <w:sz w:val="24"/>
          <w:szCs w:val="24"/>
          <w:shd w:val="clear" w:color="auto" w:fill="FFFFFF"/>
        </w:rPr>
        <w:t xml:space="preserve"> ricorda il Giudice delle leggi</w:t>
      </w:r>
      <w:r w:rsidRPr="00C931D6">
        <w:rPr>
          <w:rFonts w:ascii="Times New Roman" w:hAnsi="Times New Roman" w:cs="Times New Roman"/>
          <w:bCs/>
          <w:color w:val="000000"/>
          <w:sz w:val="24"/>
          <w:szCs w:val="24"/>
          <w:shd w:val="clear" w:color="auto" w:fill="FFFFFF"/>
        </w:rPr>
        <w:t>, l’art. 3, comma 1, lettera </w:t>
      </w:r>
      <w:r w:rsidRPr="00C931D6">
        <w:rPr>
          <w:rFonts w:ascii="Times New Roman" w:hAnsi="Times New Roman" w:cs="Times New Roman"/>
          <w:bCs/>
          <w:i/>
          <w:iCs/>
          <w:color w:val="000000"/>
          <w:sz w:val="24"/>
          <w:szCs w:val="24"/>
          <w:shd w:val="clear" w:color="auto" w:fill="FFFFFF"/>
        </w:rPr>
        <w:t>a</w:t>
      </w:r>
      <w:r w:rsidRPr="00C931D6">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 xml:space="preserve">D.L. </w:t>
      </w:r>
      <w:r w:rsidRPr="00C931D6">
        <w:rPr>
          <w:rFonts w:ascii="Times New Roman" w:hAnsi="Times New Roman" w:cs="Times New Roman"/>
          <w:bCs/>
          <w:color w:val="000000"/>
          <w:sz w:val="24"/>
          <w:szCs w:val="24"/>
          <w:shd w:val="clear" w:color="auto" w:fill="FFFFFF"/>
        </w:rPr>
        <w:t>n. 543</w:t>
      </w:r>
      <w:r>
        <w:rPr>
          <w:rFonts w:ascii="Times New Roman" w:hAnsi="Times New Roman" w:cs="Times New Roman"/>
          <w:bCs/>
          <w:color w:val="000000"/>
          <w:sz w:val="24"/>
          <w:szCs w:val="24"/>
          <w:shd w:val="clear" w:color="auto" w:fill="FFFFFF"/>
        </w:rPr>
        <w:t>/</w:t>
      </w:r>
      <w:r w:rsidRPr="00C931D6">
        <w:rPr>
          <w:rFonts w:ascii="Times New Roman" w:hAnsi="Times New Roman" w:cs="Times New Roman"/>
          <w:bCs/>
          <w:color w:val="000000"/>
          <w:sz w:val="24"/>
          <w:szCs w:val="24"/>
          <w:shd w:val="clear" w:color="auto" w:fill="FFFFFF"/>
        </w:rPr>
        <w:t>1996, come convertito (modificando l’art. 1, comma 1, della legge n. 20 del 1994), ha escluso la colpa lieve dalla configurazione dell’elemento soggettivo della responsabilità amministrativa, che pertanto è stata circoscritta ai casi di dolo o colpa grave.</w:t>
      </w:r>
    </w:p>
    <w:p w14:paraId="6012DE20" w14:textId="77777777" w:rsidR="00847DBE" w:rsidRPr="00C931D6"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La Corte costituzionale ha, storicamente, sempre confermato la legittimità costituzionale di tale sistema, evidenziando </w:t>
      </w:r>
      <w:r w:rsidRPr="00C931D6">
        <w:rPr>
          <w:rFonts w:ascii="Times New Roman" w:hAnsi="Times New Roman" w:cs="Times New Roman"/>
          <w:bCs/>
          <w:color w:val="000000"/>
          <w:sz w:val="24"/>
          <w:szCs w:val="24"/>
          <w:shd w:val="clear" w:color="auto" w:fill="FFFFFF"/>
        </w:rPr>
        <w:t>«l’intento di predisporre, nei confronti degli amministratori e dei dipendenti pubblici un assetto normativo in cui il timore della responsabilità non esponga all’eventualità di rallentamenti ed inerzie nello svolgimento dell’attività amministrativa» (</w:t>
      </w:r>
      <w:r>
        <w:rPr>
          <w:rFonts w:ascii="Times New Roman" w:hAnsi="Times New Roman" w:cs="Times New Roman"/>
          <w:bCs/>
          <w:color w:val="000000"/>
          <w:sz w:val="24"/>
          <w:szCs w:val="24"/>
          <w:shd w:val="clear" w:color="auto" w:fill="FFFFFF"/>
        </w:rPr>
        <w:t xml:space="preserve">Corte cost., 20 novembre </w:t>
      </w:r>
      <w:r w:rsidRPr="00C931D6">
        <w:rPr>
          <w:rFonts w:ascii="Times New Roman" w:hAnsi="Times New Roman" w:cs="Times New Roman"/>
          <w:bCs/>
          <w:color w:val="000000"/>
          <w:sz w:val="24"/>
          <w:szCs w:val="24"/>
          <w:shd w:val="clear" w:color="auto" w:fill="FFFFFF"/>
        </w:rPr>
        <w:t>1998</w:t>
      </w:r>
      <w:r>
        <w:rPr>
          <w:rFonts w:ascii="Times New Roman" w:hAnsi="Times New Roman" w:cs="Times New Roman"/>
          <w:bCs/>
          <w:color w:val="000000"/>
          <w:sz w:val="24"/>
          <w:szCs w:val="24"/>
          <w:shd w:val="clear" w:color="auto" w:fill="FFFFFF"/>
        </w:rPr>
        <w:t>, n. 371</w:t>
      </w:r>
      <w:r w:rsidRPr="00C931D6">
        <w:rPr>
          <w:rFonts w:ascii="Times New Roman" w:hAnsi="Times New Roman" w:cs="Times New Roman"/>
          <w:bCs/>
          <w:color w:val="000000"/>
          <w:sz w:val="24"/>
          <w:szCs w:val="24"/>
          <w:shd w:val="clear" w:color="auto" w:fill="FFFFFF"/>
        </w:rPr>
        <w:t>).</w:t>
      </w:r>
    </w:p>
    <w:p w14:paraId="4EE04B50"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Eppure, il fenomeno volgarmente noto come “paura della firma” non si è mai dissolto.</w:t>
      </w:r>
    </w:p>
    <w:p w14:paraId="7C6E3D8D" w14:textId="76208F31"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In disparte il periodo pandemico, del quale si è detto, si abbia riguardo (con riferimento alla normativa “a regime” e, dunque, svincolata da esigenze emergenziali e transeunti) al d.lgs. n. 36/2023, recante il “nuovo codice dei contratti pubblici”, uno dei settori in cui, come noto, il decisore pubblico è senz’altro più “a rischio”, considerati i rilevanti interessi economici coinvolti e le conseguenti responsabilità. Nell’ambito di tale ordito normativo, il legislatore ha voluto lanciare un segnale preciso, positivizzando il principio della fiducia all’art. 2 del “nuovo Codice”, sul quale si tornerà ampiamente.</w:t>
      </w:r>
    </w:p>
    <w:p w14:paraId="616BD93B" w14:textId="1C5177D1" w:rsidR="00847DBE" w:rsidRPr="00044709"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A seguire, la Corte evidenzia come i</w:t>
      </w:r>
      <w:r w:rsidRPr="00044709">
        <w:rPr>
          <w:rFonts w:ascii="Times New Roman" w:hAnsi="Times New Roman" w:cs="Times New Roman"/>
          <w:bCs/>
          <w:color w:val="000000"/>
          <w:sz w:val="24"/>
          <w:szCs w:val="24"/>
          <w:shd w:val="clear" w:color="auto" w:fill="FFFFFF"/>
        </w:rPr>
        <w:t>l consolidamento dell’amministrazione di risultato e i profondi mutamenti del contesto in cui essa opera giustific</w:t>
      </w:r>
      <w:r>
        <w:rPr>
          <w:rFonts w:ascii="Times New Roman" w:hAnsi="Times New Roman" w:cs="Times New Roman"/>
          <w:bCs/>
          <w:color w:val="000000"/>
          <w:sz w:val="24"/>
          <w:szCs w:val="24"/>
          <w:shd w:val="clear" w:color="auto" w:fill="FFFFFF"/>
        </w:rPr>
        <w:t>hi</w:t>
      </w:r>
      <w:r w:rsidRPr="00044709">
        <w:rPr>
          <w:rFonts w:ascii="Times New Roman" w:hAnsi="Times New Roman" w:cs="Times New Roman"/>
          <w:bCs/>
          <w:color w:val="000000"/>
          <w:sz w:val="24"/>
          <w:szCs w:val="24"/>
          <w:shd w:val="clear" w:color="auto" w:fill="FFFFFF"/>
        </w:rPr>
        <w:t>no la ricerca legislativa di nuovi punti di equilibrio</w:t>
      </w:r>
      <w:r>
        <w:rPr>
          <w:rFonts w:ascii="Times New Roman" w:hAnsi="Times New Roman" w:cs="Times New Roman"/>
          <w:bCs/>
          <w:color w:val="000000"/>
          <w:sz w:val="24"/>
          <w:szCs w:val="24"/>
          <w:shd w:val="clear" w:color="auto" w:fill="FFFFFF"/>
        </w:rPr>
        <w:t>,</w:t>
      </w:r>
      <w:r w:rsidRPr="00044709">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w:t>
      </w:r>
      <w:r w:rsidRPr="00044709">
        <w:rPr>
          <w:rFonts w:ascii="Times New Roman" w:hAnsi="Times New Roman" w:cs="Times New Roman"/>
          <w:bCs/>
          <w:color w:val="000000"/>
          <w:sz w:val="24"/>
          <w:szCs w:val="24"/>
          <w:shd w:val="clear" w:color="auto" w:fill="FFFFFF"/>
        </w:rPr>
        <w:t>che riducano la quantità di rischio dell’attività che grava sull’agente pubblico, in modo che il regime della responsabilità, nel suo complesso, non funga da disincentivo all’azione</w:t>
      </w:r>
      <w:r>
        <w:rPr>
          <w:rFonts w:ascii="Times New Roman" w:hAnsi="Times New Roman" w:cs="Times New Roman"/>
          <w:bCs/>
          <w:color w:val="000000"/>
          <w:sz w:val="24"/>
          <w:szCs w:val="24"/>
          <w:shd w:val="clear" w:color="auto" w:fill="FFFFFF"/>
        </w:rPr>
        <w:t>»</w:t>
      </w:r>
      <w:r w:rsidRPr="00044709">
        <w:rPr>
          <w:rFonts w:ascii="Times New Roman" w:hAnsi="Times New Roman" w:cs="Times New Roman"/>
          <w:bCs/>
          <w:color w:val="000000"/>
          <w:sz w:val="24"/>
          <w:szCs w:val="24"/>
          <w:shd w:val="clear" w:color="auto" w:fill="FFFFFF"/>
        </w:rPr>
        <w:t>.</w:t>
      </w:r>
    </w:p>
    <w:p w14:paraId="0179A11A" w14:textId="77777777" w:rsidR="00847DBE" w:rsidRPr="00044709"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Infatti, c</w:t>
      </w:r>
      <w:r w:rsidRPr="00044709">
        <w:rPr>
          <w:rFonts w:ascii="Times New Roman" w:hAnsi="Times New Roman" w:cs="Times New Roman"/>
          <w:bCs/>
          <w:color w:val="000000"/>
          <w:sz w:val="24"/>
          <w:szCs w:val="24"/>
          <w:shd w:val="clear" w:color="auto" w:fill="FFFFFF"/>
        </w:rPr>
        <w:t>ome avviene anche per altre forme di responsabilità</w:t>
      </w:r>
      <w:r>
        <w:rPr>
          <w:rFonts w:ascii="Times New Roman" w:hAnsi="Times New Roman" w:cs="Times New Roman"/>
          <w:bCs/>
          <w:color w:val="000000"/>
          <w:sz w:val="24"/>
          <w:szCs w:val="24"/>
          <w:shd w:val="clear" w:color="auto" w:fill="FFFFFF"/>
        </w:rPr>
        <w:t xml:space="preserve"> e come può dirsi anche per il sistema anticorruzione</w:t>
      </w:r>
      <w:r w:rsidRPr="00044709">
        <w:rPr>
          <w:rFonts w:ascii="Times New Roman" w:hAnsi="Times New Roman" w:cs="Times New Roman"/>
          <w:bCs/>
          <w:color w:val="000000"/>
          <w:sz w:val="24"/>
          <w:szCs w:val="24"/>
          <w:shd w:val="clear" w:color="auto" w:fill="FFFFFF"/>
        </w:rPr>
        <w:t>, è necessario ricercare un equilibrio tra i pericoli di </w:t>
      </w:r>
      <w:r w:rsidRPr="00044709">
        <w:rPr>
          <w:rFonts w:ascii="Times New Roman" w:hAnsi="Times New Roman" w:cs="Times New Roman"/>
          <w:bCs/>
          <w:i/>
          <w:iCs/>
          <w:color w:val="000000"/>
          <w:sz w:val="24"/>
          <w:szCs w:val="24"/>
          <w:shd w:val="clear" w:color="auto" w:fill="FFFFFF"/>
        </w:rPr>
        <w:t>overdeterrence</w:t>
      </w:r>
      <w:r w:rsidRPr="00044709">
        <w:rPr>
          <w:rFonts w:ascii="Times New Roman" w:hAnsi="Times New Roman" w:cs="Times New Roman"/>
          <w:bCs/>
          <w:color w:val="000000"/>
          <w:sz w:val="24"/>
          <w:szCs w:val="24"/>
          <w:shd w:val="clear" w:color="auto" w:fill="FFFFFF"/>
        </w:rPr>
        <w:t> e </w:t>
      </w:r>
      <w:r w:rsidRPr="00044709">
        <w:rPr>
          <w:rFonts w:ascii="Times New Roman" w:hAnsi="Times New Roman" w:cs="Times New Roman"/>
          <w:bCs/>
          <w:i/>
          <w:iCs/>
          <w:color w:val="000000"/>
          <w:sz w:val="24"/>
          <w:szCs w:val="24"/>
          <w:shd w:val="clear" w:color="auto" w:fill="FFFFFF"/>
        </w:rPr>
        <w:t>underdeterrence</w:t>
      </w:r>
      <w:r w:rsidRPr="00044709">
        <w:rPr>
          <w:rFonts w:ascii="Times New Roman" w:hAnsi="Times New Roman" w:cs="Times New Roman"/>
          <w:bCs/>
          <w:color w:val="000000"/>
          <w:sz w:val="24"/>
          <w:szCs w:val="24"/>
          <w:shd w:val="clear" w:color="auto" w:fill="FFFFFF"/>
        </w:rPr>
        <w:t>. Non esiste una disciplina che li escluda entrambi</w:t>
      </w:r>
      <w:r>
        <w:rPr>
          <w:rFonts w:ascii="Times New Roman" w:hAnsi="Times New Roman" w:cs="Times New Roman"/>
          <w:bCs/>
          <w:color w:val="000000"/>
          <w:sz w:val="24"/>
          <w:szCs w:val="24"/>
          <w:shd w:val="clear" w:color="auto" w:fill="FFFFFF"/>
        </w:rPr>
        <w:t>,</w:t>
      </w:r>
      <w:r w:rsidRPr="00044709">
        <w:rPr>
          <w:rFonts w:ascii="Times New Roman" w:hAnsi="Times New Roman" w:cs="Times New Roman"/>
          <w:bCs/>
          <w:color w:val="000000"/>
          <w:sz w:val="24"/>
          <w:szCs w:val="24"/>
          <w:shd w:val="clear" w:color="auto" w:fill="FFFFFF"/>
        </w:rPr>
        <w:t xml:space="preserve"> e il legislatore è chiamato inevitabilmente a decidere di contrastare prevalentemente l’uno o l’altro, e inversamente di considerare socialmente più accettabile un pericolo anziché l’altro.</w:t>
      </w:r>
    </w:p>
    <w:p w14:paraId="32260ECE" w14:textId="77777777" w:rsidR="00847DBE" w:rsidRPr="00044709"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Questo non significa che il legislatore possa, per il futuro, prevedere una riforma a </w:t>
      </w:r>
      <w:r w:rsidRPr="00044709">
        <w:rPr>
          <w:rFonts w:ascii="Times New Roman" w:hAnsi="Times New Roman" w:cs="Times New Roman"/>
          <w:bCs/>
          <w:color w:val="000000"/>
          <w:sz w:val="24"/>
          <w:szCs w:val="24"/>
          <w:shd w:val="clear" w:color="auto" w:fill="FFFFFF"/>
        </w:rPr>
        <w:t>regime ordinario che limit</w:t>
      </w:r>
      <w:r>
        <w:rPr>
          <w:rFonts w:ascii="Times New Roman" w:hAnsi="Times New Roman" w:cs="Times New Roman"/>
          <w:bCs/>
          <w:color w:val="000000"/>
          <w:sz w:val="24"/>
          <w:szCs w:val="24"/>
          <w:shd w:val="clear" w:color="auto" w:fill="FFFFFF"/>
        </w:rPr>
        <w:t>i</w:t>
      </w:r>
      <w:r w:rsidRPr="00044709">
        <w:rPr>
          <w:rFonts w:ascii="Times New Roman" w:hAnsi="Times New Roman" w:cs="Times New Roman"/>
          <w:bCs/>
          <w:color w:val="000000"/>
          <w:sz w:val="24"/>
          <w:szCs w:val="24"/>
          <w:shd w:val="clear" w:color="auto" w:fill="FFFFFF"/>
        </w:rPr>
        <w:t xml:space="preserve"> la responsabilità amministrativa alla sola ipotesi del dolo</w:t>
      </w:r>
      <w:r>
        <w:rPr>
          <w:rFonts w:ascii="Times New Roman" w:hAnsi="Times New Roman" w:cs="Times New Roman"/>
          <w:bCs/>
          <w:color w:val="000000"/>
          <w:sz w:val="24"/>
          <w:szCs w:val="24"/>
          <w:shd w:val="clear" w:color="auto" w:fill="FFFFFF"/>
        </w:rPr>
        <w:t xml:space="preserve">; mentre ciò è giustificabile con riferimento alle istanze del periodo emergenziale, estendere in modo incondizionato tali connotati comporterebbe, per l’appunto, una pericolosa </w:t>
      </w:r>
      <w:r>
        <w:rPr>
          <w:rFonts w:ascii="Times New Roman" w:hAnsi="Times New Roman" w:cs="Times New Roman"/>
          <w:bCs/>
          <w:i/>
          <w:iCs/>
          <w:color w:val="000000"/>
          <w:sz w:val="24"/>
          <w:szCs w:val="24"/>
          <w:shd w:val="clear" w:color="auto" w:fill="FFFFFF"/>
        </w:rPr>
        <w:t>under</w:t>
      </w:r>
      <w:r w:rsidRPr="005848C2">
        <w:rPr>
          <w:rFonts w:ascii="Times New Roman" w:hAnsi="Times New Roman" w:cs="Times New Roman"/>
          <w:bCs/>
          <w:i/>
          <w:iCs/>
          <w:color w:val="000000"/>
          <w:sz w:val="24"/>
          <w:szCs w:val="24"/>
          <w:shd w:val="clear" w:color="auto" w:fill="FFFFFF"/>
        </w:rPr>
        <w:t>deterrence</w:t>
      </w:r>
      <w:r>
        <w:rPr>
          <w:rFonts w:ascii="Times New Roman" w:hAnsi="Times New Roman" w:cs="Times New Roman"/>
          <w:bCs/>
          <w:color w:val="000000"/>
          <w:sz w:val="24"/>
          <w:szCs w:val="24"/>
          <w:shd w:val="clear" w:color="auto" w:fill="FFFFFF"/>
        </w:rPr>
        <w:t xml:space="preserve">. </w:t>
      </w:r>
    </w:p>
    <w:p w14:paraId="7912BCB1" w14:textId="77777777" w:rsidR="00847DBE" w:rsidRPr="00044709" w:rsidRDefault="00847DBE" w:rsidP="004B7EA5">
      <w:pPr>
        <w:spacing w:after="0" w:line="276" w:lineRule="auto"/>
        <w:jc w:val="both"/>
        <w:rPr>
          <w:rFonts w:ascii="Times New Roman" w:hAnsi="Times New Roman" w:cs="Times New Roman"/>
          <w:bCs/>
          <w:color w:val="000000"/>
          <w:sz w:val="24"/>
          <w:szCs w:val="24"/>
          <w:shd w:val="clear" w:color="auto" w:fill="FFFFFF"/>
        </w:rPr>
      </w:pPr>
      <w:r w:rsidRPr="00044709">
        <w:rPr>
          <w:rFonts w:ascii="Times New Roman" w:hAnsi="Times New Roman" w:cs="Times New Roman"/>
          <w:bCs/>
          <w:color w:val="000000"/>
          <w:sz w:val="24"/>
          <w:szCs w:val="24"/>
          <w:shd w:val="clear" w:color="auto" w:fill="FFFFFF"/>
        </w:rPr>
        <w:t>In tale evenienza, infatti, non si realizzerebbe una ragionevole ripartizione del rischio, che invece sarebbe addossato in modo assolutamente prevalente alla collettività, la quale dovrebbe sopportare integralmente il danno arrecato dall’agente pubblico. I comportamenti macroscopicamente negligenti non sarebbero scoraggiati e, pertanto, la funzione deterrente della responsabilità amministrativa, strumentale al buon andamento dell’amministrazione, ne sarebbe irrimediabilmente indebolita.</w:t>
      </w:r>
    </w:p>
    <w:p w14:paraId="5EDDBF0F" w14:textId="77777777"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Tuttavia, la Corte non si esime dal fornire qualche “suggerimento” al legislatore.</w:t>
      </w:r>
    </w:p>
    <w:p w14:paraId="7BF78221" w14:textId="143A847F" w:rsidR="00847DBE" w:rsidRDefault="00847DBE"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In primo luogo, si propone di </w:t>
      </w:r>
      <w:r w:rsidRPr="006E2A76">
        <w:rPr>
          <w:rFonts w:ascii="Times New Roman" w:hAnsi="Times New Roman" w:cs="Times New Roman"/>
          <w:bCs/>
          <w:color w:val="000000"/>
          <w:sz w:val="24"/>
          <w:szCs w:val="24"/>
          <w:shd w:val="clear" w:color="auto" w:fill="FFFFFF"/>
        </w:rPr>
        <w:t>considerare l</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introduzione di una tipizzazione della colpa grave, per evitare l’incertezza generata dalla declinazione giudiziaria di tale nozione.</w:t>
      </w:r>
      <w:r>
        <w:rPr>
          <w:rFonts w:ascii="Times New Roman" w:hAnsi="Times New Roman" w:cs="Times New Roman"/>
          <w:bCs/>
          <w:color w:val="000000"/>
          <w:sz w:val="24"/>
          <w:szCs w:val="24"/>
          <w:shd w:val="clear" w:color="auto" w:fill="FFFFFF"/>
        </w:rPr>
        <w:tab/>
      </w:r>
      <w:r w:rsidRPr="006E2A76">
        <w:rPr>
          <w:rFonts w:ascii="Times New Roman" w:hAnsi="Times New Roman" w:cs="Times New Roman"/>
          <w:bCs/>
          <w:color w:val="000000"/>
          <w:sz w:val="24"/>
          <w:szCs w:val="24"/>
          <w:shd w:val="clear" w:color="auto" w:fill="FFFFFF"/>
        </w:rPr>
        <w:br/>
      </w:r>
      <w:r>
        <w:rPr>
          <w:rFonts w:ascii="Times New Roman" w:hAnsi="Times New Roman" w:cs="Times New Roman"/>
          <w:bCs/>
          <w:color w:val="000000"/>
          <w:sz w:val="24"/>
          <w:szCs w:val="24"/>
          <w:shd w:val="clear" w:color="auto" w:fill="FFFFFF"/>
        </w:rPr>
        <w:t>Ancora, si consiglia</w:t>
      </w:r>
      <w:r w:rsidR="00F75AF7">
        <w:rPr>
          <w:rFonts w:ascii="Times New Roman" w:hAnsi="Times New Roman" w:cs="Times New Roman"/>
          <w:bCs/>
          <w:color w:val="000000"/>
          <w:sz w:val="24"/>
          <w:szCs w:val="24"/>
          <w:shd w:val="clear" w:color="auto" w:fill="FFFFFF"/>
        </w:rPr>
        <w:t>no</w:t>
      </w:r>
      <w:r w:rsidRPr="006E2A76">
        <w:rPr>
          <w:rFonts w:ascii="Times New Roman" w:hAnsi="Times New Roman" w:cs="Times New Roman"/>
          <w:bCs/>
          <w:color w:val="000000"/>
          <w:sz w:val="24"/>
          <w:szCs w:val="24"/>
          <w:shd w:val="clear" w:color="auto" w:fill="FFFFFF"/>
        </w:rPr>
        <w:t xml:space="preserve"> l’introduzione di un limite massimo di addebitabilità del danno al dipendente pubblico, superato il quale il danno resta a carico dell’amministrazione nel cui interesse esso agisce, e f</w:t>
      </w:r>
      <w:r w:rsidR="00F75AF7">
        <w:rPr>
          <w:rFonts w:ascii="Times New Roman" w:hAnsi="Times New Roman" w:cs="Times New Roman"/>
          <w:bCs/>
          <w:color w:val="000000"/>
          <w:sz w:val="24"/>
          <w:szCs w:val="24"/>
          <w:shd w:val="clear" w:color="auto" w:fill="FFFFFF"/>
        </w:rPr>
        <w:t>o</w:t>
      </w:r>
      <w:r w:rsidRPr="006E2A76">
        <w:rPr>
          <w:rFonts w:ascii="Times New Roman" w:hAnsi="Times New Roman" w:cs="Times New Roman"/>
          <w:bCs/>
          <w:color w:val="000000"/>
          <w:sz w:val="24"/>
          <w:szCs w:val="24"/>
          <w:shd w:val="clear" w:color="auto" w:fill="FFFFFF"/>
        </w:rPr>
        <w:t>rme di rateizzazione dell'adempimento.</w:t>
      </w:r>
      <w:r>
        <w:rPr>
          <w:rFonts w:ascii="Times New Roman" w:hAnsi="Times New Roman" w:cs="Times New Roman"/>
          <w:bCs/>
          <w:color w:val="000000"/>
          <w:sz w:val="24"/>
          <w:szCs w:val="24"/>
          <w:shd w:val="clear" w:color="auto" w:fill="FFFFFF"/>
        </w:rPr>
        <w:tab/>
      </w:r>
      <w:r w:rsidRPr="006E2A76">
        <w:rPr>
          <w:rFonts w:ascii="Times New Roman" w:hAnsi="Times New Roman" w:cs="Times New Roman"/>
          <w:bCs/>
          <w:color w:val="000000"/>
          <w:sz w:val="24"/>
          <w:szCs w:val="24"/>
          <w:shd w:val="clear" w:color="auto" w:fill="FFFFFF"/>
        </w:rPr>
        <w:br/>
        <w:t>Con riguardo</w:t>
      </w:r>
      <w:r>
        <w:rPr>
          <w:rFonts w:ascii="Times New Roman" w:hAnsi="Times New Roman" w:cs="Times New Roman"/>
          <w:bCs/>
          <w:color w:val="000000"/>
          <w:sz w:val="24"/>
          <w:szCs w:val="24"/>
          <w:shd w:val="clear" w:color="auto" w:fill="FFFFFF"/>
        </w:rPr>
        <w:t>, poi,</w:t>
      </w:r>
      <w:r w:rsidRPr="006E2A76">
        <w:rPr>
          <w:rFonts w:ascii="Times New Roman" w:hAnsi="Times New Roman" w:cs="Times New Roman"/>
          <w:bCs/>
          <w:color w:val="000000"/>
          <w:sz w:val="24"/>
          <w:szCs w:val="24"/>
          <w:shd w:val="clear" w:color="auto" w:fill="FFFFFF"/>
        </w:rPr>
        <w:t xml:space="preserve"> al </w:t>
      </w:r>
      <w:r>
        <w:rPr>
          <w:rFonts w:ascii="Times New Roman" w:hAnsi="Times New Roman" w:cs="Times New Roman"/>
          <w:bCs/>
          <w:color w:val="000000"/>
          <w:sz w:val="24"/>
          <w:szCs w:val="24"/>
          <w:shd w:val="clear" w:color="auto" w:fill="FFFFFF"/>
        </w:rPr>
        <w:t xml:space="preserve">c.d. </w:t>
      </w:r>
      <w:r w:rsidRPr="006E2A76">
        <w:rPr>
          <w:rFonts w:ascii="Times New Roman" w:hAnsi="Times New Roman" w:cs="Times New Roman"/>
          <w:bCs/>
          <w:color w:val="000000"/>
          <w:sz w:val="24"/>
          <w:szCs w:val="24"/>
          <w:shd w:val="clear" w:color="auto" w:fill="FFFFFF"/>
        </w:rPr>
        <w:t>potere riduttivo</w:t>
      </w:r>
      <w:r>
        <w:rPr>
          <w:rFonts w:ascii="Times New Roman" w:hAnsi="Times New Roman" w:cs="Times New Roman"/>
          <w:bCs/>
          <w:color w:val="000000"/>
          <w:sz w:val="24"/>
          <w:szCs w:val="24"/>
          <w:shd w:val="clear" w:color="auto" w:fill="FFFFFF"/>
        </w:rPr>
        <w:t xml:space="preserve">, </w:t>
      </w:r>
      <w:r w:rsidRPr="006E2A76">
        <w:rPr>
          <w:rFonts w:ascii="Times New Roman" w:hAnsi="Times New Roman" w:cs="Times New Roman"/>
          <w:bCs/>
          <w:color w:val="000000"/>
          <w:sz w:val="24"/>
          <w:szCs w:val="24"/>
          <w:shd w:val="clear" w:color="auto" w:fill="FFFFFF"/>
        </w:rPr>
        <w:t>si dovrebbe ponderare l</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 xml:space="preserve">abbinamento all’attuale fattispecie ordinaria, affidata alla discrezionalità del giudice, di </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ulteriori fattispecie obbligatorie normativamente tipizzate nei presupposti</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w:t>
      </w:r>
      <w:r>
        <w:rPr>
          <w:rFonts w:ascii="Times New Roman" w:hAnsi="Times New Roman" w:cs="Times New Roman"/>
          <w:bCs/>
          <w:color w:val="000000"/>
          <w:sz w:val="24"/>
          <w:szCs w:val="24"/>
          <w:shd w:val="clear" w:color="auto" w:fill="FFFFFF"/>
        </w:rPr>
        <w:tab/>
      </w:r>
      <w:r w:rsidRPr="006E2A76">
        <w:rPr>
          <w:rFonts w:ascii="Times New Roman" w:hAnsi="Times New Roman" w:cs="Times New Roman"/>
          <w:bCs/>
          <w:color w:val="000000"/>
          <w:sz w:val="24"/>
          <w:szCs w:val="24"/>
          <w:shd w:val="clear" w:color="auto" w:fill="FFFFFF"/>
        </w:rPr>
        <w:br/>
        <w:t>È meritevole di considerazione</w:t>
      </w:r>
      <w:r>
        <w:rPr>
          <w:rFonts w:ascii="Times New Roman" w:hAnsi="Times New Roman" w:cs="Times New Roman"/>
          <w:bCs/>
          <w:color w:val="000000"/>
          <w:sz w:val="24"/>
          <w:szCs w:val="24"/>
          <w:shd w:val="clear" w:color="auto" w:fill="FFFFFF"/>
        </w:rPr>
        <w:t>, poi,</w:t>
      </w:r>
      <w:r w:rsidRPr="006E2A76">
        <w:rPr>
          <w:rFonts w:ascii="Times New Roman" w:hAnsi="Times New Roman" w:cs="Times New Roman"/>
          <w:bCs/>
          <w:color w:val="000000"/>
          <w:sz w:val="24"/>
          <w:szCs w:val="24"/>
          <w:shd w:val="clear" w:color="auto" w:fill="FFFFFF"/>
        </w:rPr>
        <w:t xml:space="preserve"> anche il rafforzamento delle funzioni di controllo della Corte dei </w:t>
      </w:r>
      <w:r w:rsidRPr="006E2A76">
        <w:rPr>
          <w:rFonts w:ascii="Times New Roman" w:hAnsi="Times New Roman" w:cs="Times New Roman"/>
          <w:bCs/>
          <w:color w:val="000000"/>
          <w:sz w:val="24"/>
          <w:szCs w:val="24"/>
          <w:shd w:val="clear" w:color="auto" w:fill="FFFFFF"/>
        </w:rPr>
        <w:lastRenderedPageBreak/>
        <w:t>Conti e</w:t>
      </w:r>
      <w:r>
        <w:rPr>
          <w:rFonts w:ascii="Times New Roman" w:hAnsi="Times New Roman" w:cs="Times New Roman"/>
          <w:bCs/>
          <w:color w:val="000000"/>
          <w:sz w:val="24"/>
          <w:szCs w:val="24"/>
          <w:shd w:val="clear" w:color="auto" w:fill="FFFFFF"/>
        </w:rPr>
        <w:t>, in chiave di tutela dell’affidamento,</w:t>
      </w:r>
      <w:r w:rsidRPr="006E2A76">
        <w:rPr>
          <w:rFonts w:ascii="Times New Roman" w:hAnsi="Times New Roman" w:cs="Times New Roman"/>
          <w:bCs/>
          <w:color w:val="000000"/>
          <w:sz w:val="24"/>
          <w:szCs w:val="24"/>
          <w:shd w:val="clear" w:color="auto" w:fill="FFFFFF"/>
        </w:rPr>
        <w:t xml:space="preserve"> l</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introduzione di una esenzione da responsabilità colposa per i funzionari che si adeguino alle sue indicazioni.</w:t>
      </w:r>
      <w:r>
        <w:rPr>
          <w:rFonts w:ascii="Times New Roman" w:hAnsi="Times New Roman" w:cs="Times New Roman"/>
          <w:bCs/>
          <w:color w:val="000000"/>
          <w:sz w:val="24"/>
          <w:szCs w:val="24"/>
          <w:shd w:val="clear" w:color="auto" w:fill="FFFFFF"/>
        </w:rPr>
        <w:tab/>
      </w:r>
      <w:r w:rsidRPr="006E2A76">
        <w:rPr>
          <w:rFonts w:ascii="Times New Roman" w:hAnsi="Times New Roman" w:cs="Times New Roman"/>
          <w:bCs/>
          <w:color w:val="000000"/>
          <w:sz w:val="24"/>
          <w:szCs w:val="24"/>
          <w:shd w:val="clear" w:color="auto" w:fill="FFFFFF"/>
        </w:rPr>
        <w:br/>
      </w:r>
      <w:r>
        <w:rPr>
          <w:rFonts w:ascii="Times New Roman" w:hAnsi="Times New Roman" w:cs="Times New Roman"/>
          <w:bCs/>
          <w:color w:val="000000"/>
          <w:sz w:val="24"/>
          <w:szCs w:val="24"/>
          <w:shd w:val="clear" w:color="auto" w:fill="FFFFFF"/>
        </w:rPr>
        <w:t>Ancora, sulla medesima scia di quanto si è detto con riferimento al delicato settore dei contratti pubblici (art. 2 D. Lgs. n. 36/2023), occorrerebbe incentivare l’</w:t>
      </w:r>
      <w:r w:rsidRPr="006E2A76">
        <w:rPr>
          <w:rFonts w:ascii="Times New Roman" w:hAnsi="Times New Roman" w:cs="Times New Roman"/>
          <w:bCs/>
          <w:color w:val="000000"/>
          <w:sz w:val="24"/>
          <w:szCs w:val="24"/>
          <w:shd w:val="clear" w:color="auto" w:fill="FFFFFF"/>
        </w:rPr>
        <w:t>utilizzo delle</w:t>
      </w:r>
      <w:r w:rsidRPr="006E2A76">
        <w:rPr>
          <w:rFonts w:ascii="Times New Roman" w:hAnsi="Times New Roman" w:cs="Times New Roman"/>
          <w:bCs/>
          <w:color w:val="000000"/>
          <w:sz w:val="24"/>
          <w:szCs w:val="24"/>
          <w:shd w:val="clear" w:color="auto" w:fill="FFFFFF"/>
        </w:rPr>
        <w:br/>
        <w:t>polizze assicurative per il rischio di responsabilità erariale</w:t>
      </w:r>
      <w:r>
        <w:rPr>
          <w:rFonts w:ascii="Times New Roman" w:hAnsi="Times New Roman" w:cs="Times New Roman"/>
          <w:bCs/>
          <w:color w:val="000000"/>
          <w:sz w:val="24"/>
          <w:szCs w:val="24"/>
          <w:shd w:val="clear" w:color="auto" w:fill="FFFFFF"/>
        </w:rPr>
        <w:t>, e tanto</w:t>
      </w:r>
      <w:r w:rsidRPr="006E2A76">
        <w:rPr>
          <w:rFonts w:ascii="Times New Roman" w:hAnsi="Times New Roman" w:cs="Times New Roman"/>
          <w:bCs/>
          <w:color w:val="000000"/>
          <w:sz w:val="24"/>
          <w:szCs w:val="24"/>
          <w:shd w:val="clear" w:color="auto" w:fill="FFFFFF"/>
        </w:rPr>
        <w:t xml:space="preserve"> nell’interesse sia dell’agente pubblico che della stessa amministrazione danneggiata.</w:t>
      </w:r>
      <w:r>
        <w:rPr>
          <w:rFonts w:ascii="Times New Roman" w:hAnsi="Times New Roman" w:cs="Times New Roman"/>
          <w:bCs/>
          <w:color w:val="000000"/>
          <w:sz w:val="24"/>
          <w:szCs w:val="24"/>
          <w:shd w:val="clear" w:color="auto" w:fill="FFFFFF"/>
        </w:rPr>
        <w:tab/>
      </w:r>
      <w:r w:rsidRPr="006E2A76">
        <w:rPr>
          <w:rFonts w:ascii="Times New Roman" w:hAnsi="Times New Roman" w:cs="Times New Roman"/>
          <w:bCs/>
          <w:color w:val="000000"/>
          <w:sz w:val="24"/>
          <w:szCs w:val="24"/>
          <w:shd w:val="clear" w:color="auto" w:fill="FFFFFF"/>
        </w:rPr>
        <w:br/>
      </w:r>
      <w:r>
        <w:rPr>
          <w:rFonts w:ascii="Times New Roman" w:hAnsi="Times New Roman" w:cs="Times New Roman"/>
          <w:bCs/>
          <w:color w:val="000000"/>
          <w:sz w:val="24"/>
          <w:szCs w:val="24"/>
          <w:shd w:val="clear" w:color="auto" w:fill="FFFFFF"/>
        </w:rPr>
        <w:t xml:space="preserve">Si suggerisce, inoltre, di </w:t>
      </w:r>
      <w:r w:rsidRPr="006E2A76">
        <w:rPr>
          <w:rFonts w:ascii="Times New Roman" w:hAnsi="Times New Roman" w:cs="Times New Roman"/>
          <w:bCs/>
          <w:color w:val="000000"/>
          <w:sz w:val="24"/>
          <w:szCs w:val="24"/>
          <w:shd w:val="clear" w:color="auto" w:fill="FFFFFF"/>
        </w:rPr>
        <w:t xml:space="preserve">valutare l'opportunità di introdurre </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una eccezionale esclusione della responsabilità colposa per specifiche categorie di pubblici dipendenti</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 xml:space="preserve"> (anche solo in relazione a determinate tipologie di atti) </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in ragione della particolare complessità delle loro funzioni o mansioni</w:t>
      </w:r>
      <w:r>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t>.</w:t>
      </w:r>
      <w:r w:rsidRPr="006E2A76">
        <w:rPr>
          <w:rFonts w:ascii="Times New Roman" w:hAnsi="Times New Roman" w:cs="Times New Roman"/>
          <w:bCs/>
          <w:color w:val="000000"/>
          <w:sz w:val="24"/>
          <w:szCs w:val="24"/>
          <w:shd w:val="clear" w:color="auto" w:fill="FFFFFF"/>
        </w:rPr>
        <w:br/>
      </w:r>
      <w:r>
        <w:rPr>
          <w:rFonts w:ascii="Times New Roman" w:hAnsi="Times New Roman" w:cs="Times New Roman"/>
          <w:bCs/>
          <w:color w:val="000000"/>
          <w:sz w:val="24"/>
          <w:szCs w:val="24"/>
          <w:shd w:val="clear" w:color="auto" w:fill="FFFFFF"/>
        </w:rPr>
        <w:t xml:space="preserve">Infine, occorre </w:t>
      </w:r>
      <w:r w:rsidRPr="006E2A76">
        <w:rPr>
          <w:rFonts w:ascii="Times New Roman" w:hAnsi="Times New Roman" w:cs="Times New Roman"/>
          <w:bCs/>
          <w:color w:val="000000"/>
          <w:sz w:val="24"/>
          <w:szCs w:val="24"/>
          <w:shd w:val="clear" w:color="auto" w:fill="FFFFFF"/>
        </w:rPr>
        <w:t>scongiurare la attuale moltiplicazione delle forme di responsabilità degli amministratori per i medesimi fatti materiali, che spesso non sono coordinate tra loro.</w:t>
      </w:r>
    </w:p>
    <w:p w14:paraId="6B7EA239" w14:textId="77777777" w:rsidR="00802027" w:rsidRDefault="00802027" w:rsidP="004B7EA5">
      <w:pPr>
        <w:spacing w:after="0" w:line="276" w:lineRule="auto"/>
        <w:jc w:val="both"/>
        <w:rPr>
          <w:rFonts w:ascii="Times New Roman" w:hAnsi="Times New Roman" w:cs="Times New Roman"/>
          <w:bCs/>
          <w:color w:val="000000"/>
          <w:sz w:val="24"/>
          <w:szCs w:val="24"/>
          <w:shd w:val="clear" w:color="auto" w:fill="FFFFFF"/>
        </w:rPr>
      </w:pPr>
    </w:p>
    <w:p w14:paraId="56FED31B" w14:textId="4C6932E2" w:rsidR="00D601A6" w:rsidRDefault="006F1657" w:rsidP="004B7EA5">
      <w:pPr>
        <w:spacing w:after="0" w:line="276" w:lineRule="auto"/>
        <w:jc w:val="both"/>
        <w:rPr>
          <w:rFonts w:ascii="Times New Roman" w:hAnsi="Times New Roman" w:cs="Times New Roman"/>
          <w:bCs/>
          <w:i/>
          <w:iCs/>
          <w:color w:val="000000"/>
          <w:sz w:val="24"/>
          <w:szCs w:val="24"/>
          <w:shd w:val="clear" w:color="auto" w:fill="FFFFFF"/>
        </w:rPr>
      </w:pPr>
      <w:r>
        <w:rPr>
          <w:rFonts w:ascii="Times New Roman" w:hAnsi="Times New Roman" w:cs="Times New Roman"/>
          <w:bCs/>
          <w:i/>
          <w:iCs/>
          <w:color w:val="000000"/>
          <w:sz w:val="24"/>
          <w:szCs w:val="24"/>
          <w:shd w:val="clear" w:color="auto" w:fill="FFFFFF"/>
        </w:rPr>
        <w:t>5</w:t>
      </w:r>
      <w:r w:rsidR="00FD0875" w:rsidRPr="00E97068">
        <w:rPr>
          <w:rFonts w:ascii="Times New Roman" w:hAnsi="Times New Roman" w:cs="Times New Roman"/>
          <w:bCs/>
          <w:i/>
          <w:iCs/>
          <w:color w:val="000000"/>
          <w:sz w:val="24"/>
          <w:szCs w:val="24"/>
          <w:shd w:val="clear" w:color="auto" w:fill="FFFFFF"/>
        </w:rPr>
        <w:t xml:space="preserve">. </w:t>
      </w:r>
      <w:r>
        <w:rPr>
          <w:rFonts w:ascii="Times New Roman" w:hAnsi="Times New Roman" w:cs="Times New Roman"/>
          <w:bCs/>
          <w:i/>
          <w:iCs/>
          <w:color w:val="000000"/>
          <w:sz w:val="24"/>
          <w:szCs w:val="24"/>
          <w:shd w:val="clear" w:color="auto" w:fill="FFFFFF"/>
        </w:rPr>
        <w:t xml:space="preserve">Principio della fiducia e </w:t>
      </w:r>
      <w:r w:rsidR="000126ED">
        <w:rPr>
          <w:rFonts w:ascii="Times New Roman" w:hAnsi="Times New Roman" w:cs="Times New Roman"/>
          <w:bCs/>
          <w:i/>
          <w:iCs/>
          <w:color w:val="000000"/>
          <w:sz w:val="24"/>
          <w:szCs w:val="24"/>
          <w:shd w:val="clear" w:color="auto" w:fill="FFFFFF"/>
        </w:rPr>
        <w:t>abrogazione dell’art. 323 c.p.</w:t>
      </w:r>
    </w:p>
    <w:p w14:paraId="620A94CE" w14:textId="77777777" w:rsidR="000126ED" w:rsidRDefault="000126ED" w:rsidP="004B7EA5">
      <w:pPr>
        <w:spacing w:after="0" w:line="276" w:lineRule="auto"/>
        <w:jc w:val="both"/>
        <w:rPr>
          <w:rFonts w:ascii="Times New Roman" w:hAnsi="Times New Roman" w:cs="Times New Roman"/>
          <w:bCs/>
          <w:i/>
          <w:iCs/>
          <w:color w:val="000000"/>
          <w:sz w:val="24"/>
          <w:szCs w:val="24"/>
          <w:shd w:val="clear" w:color="auto" w:fill="FFFFFF"/>
        </w:rPr>
      </w:pPr>
    </w:p>
    <w:p w14:paraId="0F59EB50" w14:textId="72915A43"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La decisione politica di abolire l’abuso d’ufficio</w:t>
      </w:r>
      <w:r w:rsidRPr="007405ED">
        <w:rPr>
          <w:rFonts w:ascii="Times New Roman" w:hAnsi="Times New Roman" w:cs="Times New Roman"/>
          <w:bCs/>
          <w:color w:val="000000"/>
          <w:sz w:val="24"/>
          <w:szCs w:val="24"/>
          <w:shd w:val="clear" w:color="auto" w:fill="FFFFFF"/>
          <w:vertAlign w:val="superscript"/>
        </w:rPr>
        <w:footnoteReference w:id="33"/>
      </w:r>
      <w:r w:rsidRPr="007405ED">
        <w:rPr>
          <w:rFonts w:ascii="Times New Roman" w:hAnsi="Times New Roman" w:cs="Times New Roman"/>
          <w:bCs/>
          <w:color w:val="000000"/>
          <w:sz w:val="24"/>
          <w:szCs w:val="24"/>
          <w:shd w:val="clear" w:color="auto" w:fill="FFFFFF"/>
        </w:rPr>
        <w:t xml:space="preserve"> è stata accompagnata, come ben noto, da fitte polemiche nell’opinione pubblica, nonché tra gli esponenti della giurisprudenza e della dottrina.</w:t>
      </w:r>
    </w:p>
    <w:p w14:paraId="07A51310" w14:textId="77777777"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 xml:space="preserve">Si afferma comunemente che l’abrogazione della fattispecie in questione violerebbe gli obblighi internazionali che impongono una penalizzazione di condotte abusive, innanzitutto per contrasto con l’art. 19 della Convenzione di Merida del 2003, secondariamente per incompatibilità con la proposta di Direttiva UE </w:t>
      </w:r>
      <w:proofErr w:type="gramStart"/>
      <w:r w:rsidRPr="007405ED">
        <w:rPr>
          <w:rFonts w:ascii="Times New Roman" w:hAnsi="Times New Roman" w:cs="Times New Roman"/>
          <w:bCs/>
          <w:color w:val="000000"/>
          <w:sz w:val="24"/>
          <w:szCs w:val="24"/>
          <w:shd w:val="clear" w:color="auto" w:fill="FFFFFF"/>
        </w:rPr>
        <w:t>COM(</w:t>
      </w:r>
      <w:proofErr w:type="gramEnd"/>
      <w:r w:rsidRPr="007405ED">
        <w:rPr>
          <w:rFonts w:ascii="Times New Roman" w:hAnsi="Times New Roman" w:cs="Times New Roman"/>
          <w:bCs/>
          <w:color w:val="000000"/>
          <w:sz w:val="24"/>
          <w:szCs w:val="24"/>
          <w:shd w:val="clear" w:color="auto" w:fill="FFFFFF"/>
        </w:rPr>
        <w:t>2023)234 in materia di contrasto alla corruzione del 3.5.2023</w:t>
      </w:r>
      <w:r w:rsidRPr="007405ED">
        <w:rPr>
          <w:rFonts w:ascii="Times New Roman" w:hAnsi="Times New Roman" w:cs="Times New Roman"/>
          <w:bCs/>
          <w:color w:val="000000"/>
          <w:sz w:val="24"/>
          <w:szCs w:val="24"/>
          <w:shd w:val="clear" w:color="auto" w:fill="FFFFFF"/>
          <w:vertAlign w:val="superscript"/>
        </w:rPr>
        <w:footnoteReference w:id="34"/>
      </w:r>
      <w:r w:rsidRPr="007405ED">
        <w:rPr>
          <w:rFonts w:ascii="Times New Roman" w:hAnsi="Times New Roman" w:cs="Times New Roman"/>
          <w:bCs/>
          <w:color w:val="000000"/>
          <w:sz w:val="24"/>
          <w:szCs w:val="24"/>
          <w:shd w:val="clear" w:color="auto" w:fill="FFFFFF"/>
        </w:rPr>
        <w:t>.</w:t>
      </w:r>
    </w:p>
    <w:p w14:paraId="62D90CB9" w14:textId="77777777"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In secondo luogo, l’intervento normativo oggi in commento indebolirebbe l’apparato repressivo posto a tutela del bene giuridico del buon andamento e dell’imparzialità della P.A., implicando l’eliminazione di una “fattispecie spia” per scoprire e disvelare contigue sacche di illegalità</w:t>
      </w:r>
      <w:r w:rsidRPr="007405ED">
        <w:rPr>
          <w:rFonts w:ascii="Times New Roman" w:hAnsi="Times New Roman" w:cs="Times New Roman"/>
          <w:bCs/>
          <w:color w:val="000000"/>
          <w:sz w:val="24"/>
          <w:szCs w:val="24"/>
          <w:shd w:val="clear" w:color="auto" w:fill="FFFFFF"/>
          <w:vertAlign w:val="superscript"/>
        </w:rPr>
        <w:footnoteReference w:id="35"/>
      </w:r>
      <w:r w:rsidRPr="007405ED">
        <w:rPr>
          <w:rFonts w:ascii="Times New Roman" w:hAnsi="Times New Roman" w:cs="Times New Roman"/>
          <w:bCs/>
          <w:color w:val="000000"/>
          <w:sz w:val="24"/>
          <w:szCs w:val="24"/>
          <w:shd w:val="clear" w:color="auto" w:fill="FFFFFF"/>
        </w:rPr>
        <w:t>.</w:t>
      </w:r>
    </w:p>
    <w:p w14:paraId="3BCA1316" w14:textId="77777777"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Infine, si sostiene frequentemente, anche nel dibattito non strettamente scientifico, che l’elevato numero di archiviazioni e di assoluzioni correlate al reato in esame dimostrerebbe che il “pericolo” dell’abuso di ufficio è schivato dalle poche condanne intervenute.</w:t>
      </w:r>
    </w:p>
    <w:p w14:paraId="524B12D3" w14:textId="77777777"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A tali “contro” della riforma, si è replicato in dottrina (e si è replicato anche nella Relazione illustrativa) con altrettanti argomenti a favore.</w:t>
      </w:r>
    </w:p>
    <w:p w14:paraId="251E0EB5" w14:textId="77777777"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Innanzitutto, si è rilevato che la Convenzione di Merida non introduce alcun obbligo di incriminazione con riferimento all’abuso d’ufficio</w:t>
      </w:r>
      <w:r w:rsidRPr="007405ED">
        <w:rPr>
          <w:rFonts w:ascii="Times New Roman" w:hAnsi="Times New Roman" w:cs="Times New Roman"/>
          <w:bCs/>
          <w:color w:val="000000"/>
          <w:sz w:val="24"/>
          <w:szCs w:val="24"/>
          <w:shd w:val="clear" w:color="auto" w:fill="FFFFFF"/>
          <w:vertAlign w:val="superscript"/>
        </w:rPr>
        <w:footnoteReference w:id="36"/>
      </w:r>
      <w:r w:rsidRPr="007405ED">
        <w:rPr>
          <w:rFonts w:ascii="Times New Roman" w:hAnsi="Times New Roman" w:cs="Times New Roman"/>
          <w:bCs/>
          <w:color w:val="000000"/>
          <w:sz w:val="24"/>
          <w:szCs w:val="24"/>
          <w:shd w:val="clear" w:color="auto" w:fill="FFFFFF"/>
        </w:rPr>
        <w:t>, mentre la suddetta proposta di Direttiva appare in contrasto con il principio di sussidiarietà, atteso che non è stato dimostrato il carattere transnazionale della sfera di criminalità legata alla fattispecie in esame</w:t>
      </w:r>
      <w:r w:rsidRPr="007405ED">
        <w:rPr>
          <w:rFonts w:ascii="Times New Roman" w:hAnsi="Times New Roman" w:cs="Times New Roman"/>
          <w:bCs/>
          <w:color w:val="000000"/>
          <w:sz w:val="24"/>
          <w:szCs w:val="24"/>
          <w:shd w:val="clear" w:color="auto" w:fill="FFFFFF"/>
          <w:vertAlign w:val="superscript"/>
        </w:rPr>
        <w:footnoteReference w:id="37"/>
      </w:r>
      <w:r w:rsidRPr="007405ED">
        <w:rPr>
          <w:rFonts w:ascii="Times New Roman" w:hAnsi="Times New Roman" w:cs="Times New Roman"/>
          <w:bCs/>
          <w:color w:val="000000"/>
          <w:sz w:val="24"/>
          <w:szCs w:val="24"/>
          <w:shd w:val="clear" w:color="auto" w:fill="FFFFFF"/>
        </w:rPr>
        <w:t>. Tanto è stato rilevato, nella seduta del 19 luglio 2023, dalla XIV Commissione (Politiche UE) della Camera, che ha contestato la proposta di direttiva sulla lotta contro la corruzione anche sotto il profilo della conformità ai principi di attribuzione e proporzionalità</w:t>
      </w:r>
      <w:r w:rsidRPr="007405ED">
        <w:rPr>
          <w:rFonts w:ascii="Times New Roman" w:hAnsi="Times New Roman" w:cs="Times New Roman"/>
          <w:bCs/>
          <w:color w:val="000000"/>
          <w:sz w:val="24"/>
          <w:szCs w:val="24"/>
          <w:shd w:val="clear" w:color="auto" w:fill="FFFFFF"/>
          <w:vertAlign w:val="superscript"/>
        </w:rPr>
        <w:footnoteReference w:id="38"/>
      </w:r>
      <w:r w:rsidRPr="007405ED">
        <w:rPr>
          <w:rFonts w:ascii="Times New Roman" w:hAnsi="Times New Roman" w:cs="Times New Roman"/>
          <w:bCs/>
          <w:color w:val="000000"/>
          <w:sz w:val="24"/>
          <w:szCs w:val="24"/>
          <w:shd w:val="clear" w:color="auto" w:fill="FFFFFF"/>
        </w:rPr>
        <w:t xml:space="preserve">. </w:t>
      </w:r>
    </w:p>
    <w:p w14:paraId="0D26F85E" w14:textId="77777777"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lastRenderedPageBreak/>
        <w:t>Circa la suggestione del “reato spia”, si è osservato che essa sottende l’idea di “un sistema penale ancora più ricco e pregno di incriminazioni, con una sorta di “grande fratello” occhiuto, in chiave penalistica, che perseguisse ogni comportamento minimamente illecito, sulla base della considerazione che, induttivamente, dal piccolo illecito sarebbe possibile risalire al grande delitto o a “sistemi” criminali”</w:t>
      </w:r>
      <w:r w:rsidRPr="007405ED">
        <w:rPr>
          <w:rFonts w:ascii="Times New Roman" w:hAnsi="Times New Roman" w:cs="Times New Roman"/>
          <w:bCs/>
          <w:color w:val="000000"/>
          <w:sz w:val="24"/>
          <w:szCs w:val="24"/>
          <w:shd w:val="clear" w:color="auto" w:fill="FFFFFF"/>
          <w:vertAlign w:val="superscript"/>
        </w:rPr>
        <w:footnoteReference w:id="39"/>
      </w:r>
      <w:r w:rsidRPr="007405ED">
        <w:rPr>
          <w:rFonts w:ascii="Times New Roman" w:hAnsi="Times New Roman" w:cs="Times New Roman"/>
          <w:bCs/>
          <w:color w:val="000000"/>
          <w:sz w:val="24"/>
          <w:szCs w:val="24"/>
          <w:shd w:val="clear" w:color="auto" w:fill="FFFFFF"/>
        </w:rPr>
        <w:t>, ma “un siffatto modo di pensare ricorderebbe la distorta lettura de «il fine giustifica i mezzi» di machiavelliana memoria”</w:t>
      </w:r>
      <w:r w:rsidRPr="007405ED">
        <w:rPr>
          <w:rFonts w:ascii="Times New Roman" w:hAnsi="Times New Roman" w:cs="Times New Roman"/>
          <w:bCs/>
          <w:color w:val="000000"/>
          <w:sz w:val="24"/>
          <w:szCs w:val="24"/>
          <w:shd w:val="clear" w:color="auto" w:fill="FFFFFF"/>
          <w:vertAlign w:val="superscript"/>
        </w:rPr>
        <w:footnoteReference w:id="40"/>
      </w:r>
      <w:r w:rsidRPr="007405ED">
        <w:rPr>
          <w:rFonts w:ascii="Times New Roman" w:hAnsi="Times New Roman" w:cs="Times New Roman"/>
          <w:bCs/>
          <w:color w:val="000000"/>
          <w:sz w:val="24"/>
          <w:szCs w:val="24"/>
          <w:shd w:val="clear" w:color="auto" w:fill="FFFFFF"/>
        </w:rPr>
        <w:t>.</w:t>
      </w:r>
    </w:p>
    <w:p w14:paraId="2B12F3FC" w14:textId="77777777"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Infine, l’argomento relativo al numero di archiviazioni è contrastabile con le parole di autorevole dottrina, che rilevava, già molto tempo fa, come il processo penale sia già la pena in sé</w:t>
      </w:r>
      <w:r w:rsidRPr="007405ED">
        <w:rPr>
          <w:rFonts w:ascii="Times New Roman" w:hAnsi="Times New Roman" w:cs="Times New Roman"/>
          <w:bCs/>
          <w:color w:val="000000"/>
          <w:sz w:val="24"/>
          <w:szCs w:val="24"/>
          <w:shd w:val="clear" w:color="auto" w:fill="FFFFFF"/>
          <w:vertAlign w:val="superscript"/>
        </w:rPr>
        <w:footnoteReference w:id="41"/>
      </w:r>
      <w:r w:rsidRPr="007405ED">
        <w:rPr>
          <w:rFonts w:ascii="Times New Roman" w:hAnsi="Times New Roman" w:cs="Times New Roman"/>
          <w:bCs/>
          <w:color w:val="000000"/>
          <w:sz w:val="24"/>
          <w:szCs w:val="24"/>
          <w:shd w:val="clear" w:color="auto" w:fill="FFFFFF"/>
        </w:rPr>
        <w:t>.</w:t>
      </w:r>
    </w:p>
    <w:p w14:paraId="1126C91D" w14:textId="77266EA9" w:rsidR="007405ED" w:rsidRPr="007405ED" w:rsidRDefault="007405ED" w:rsidP="004B7EA5">
      <w:pPr>
        <w:spacing w:after="0" w:line="276" w:lineRule="auto"/>
        <w:jc w:val="both"/>
        <w:rPr>
          <w:rFonts w:ascii="Times New Roman" w:hAnsi="Times New Roman" w:cs="Times New Roman"/>
          <w:bCs/>
          <w:color w:val="000000"/>
          <w:sz w:val="24"/>
          <w:szCs w:val="24"/>
          <w:shd w:val="clear" w:color="auto" w:fill="FFFFFF"/>
        </w:rPr>
      </w:pPr>
      <w:r w:rsidRPr="007405ED">
        <w:rPr>
          <w:rFonts w:ascii="Times New Roman" w:hAnsi="Times New Roman" w:cs="Times New Roman"/>
          <w:bCs/>
          <w:color w:val="000000"/>
          <w:sz w:val="24"/>
          <w:szCs w:val="24"/>
          <w:shd w:val="clear" w:color="auto" w:fill="FFFFFF"/>
        </w:rPr>
        <w:t xml:space="preserve">Prescindendo dall’adesione a una ricostruzione piuttosto che all’altra, in questa sede interessa piuttosto evidenziare come l’abrogazione dell’art. 323 c.p. non vada letta in ottica isolata, ma unitamente ad altri interventi normativi, uniti da un </w:t>
      </w:r>
      <w:r w:rsidRPr="007405ED">
        <w:rPr>
          <w:rFonts w:ascii="Times New Roman" w:hAnsi="Times New Roman" w:cs="Times New Roman"/>
          <w:bCs/>
          <w:i/>
          <w:iCs/>
          <w:color w:val="000000"/>
          <w:sz w:val="24"/>
          <w:szCs w:val="24"/>
          <w:shd w:val="clear" w:color="auto" w:fill="FFFFFF"/>
        </w:rPr>
        <w:t>fil rouge</w:t>
      </w:r>
      <w:r w:rsidRPr="007405ED">
        <w:rPr>
          <w:rFonts w:ascii="Times New Roman" w:hAnsi="Times New Roman" w:cs="Times New Roman"/>
          <w:bCs/>
          <w:color w:val="000000"/>
          <w:sz w:val="24"/>
          <w:szCs w:val="24"/>
          <w:shd w:val="clear" w:color="auto" w:fill="FFFFFF"/>
        </w:rPr>
        <w:t xml:space="preserve"> di fondo, tutti tesi a fronteggiare, sin dall’epoca della pandemia da Covid-19, la c.d. paura della firma dei pubblici dipendenti e il fenomeno di quella che è giornalisticamente nota come “burocrazia difensiva”</w:t>
      </w:r>
      <w:r w:rsidR="0079057F">
        <w:rPr>
          <w:rFonts w:ascii="Times New Roman" w:hAnsi="Times New Roman" w:cs="Times New Roman"/>
          <w:bCs/>
          <w:color w:val="000000"/>
          <w:sz w:val="24"/>
          <w:szCs w:val="24"/>
          <w:shd w:val="clear" w:color="auto" w:fill="FFFFFF"/>
        </w:rPr>
        <w:t>, sulla quale si tornerà nei paragrafi successivi</w:t>
      </w:r>
      <w:r w:rsidRPr="007405ED">
        <w:rPr>
          <w:rFonts w:ascii="Times New Roman" w:hAnsi="Times New Roman" w:cs="Times New Roman"/>
          <w:bCs/>
          <w:color w:val="000000"/>
          <w:sz w:val="24"/>
          <w:szCs w:val="24"/>
          <w:shd w:val="clear" w:color="auto" w:fill="FFFFFF"/>
        </w:rPr>
        <w:t>.</w:t>
      </w:r>
    </w:p>
    <w:p w14:paraId="091418DA"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La Consulta, a fronte delle numerose questioni di legittimità costituzionale sollevate da Tribunali di tutta Italia e dalla Suprema Corte, si è pronunciata con sentenza del 3 luglio 2025, n. 95.</w:t>
      </w:r>
    </w:p>
    <w:p w14:paraId="630A1851"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 xml:space="preserve">Sembra opportuno prendere le mosse dalle eccezioni di inammissibilità sollevate dall’interveniente Avvocatura generale dello Stato e dalle parti costituite, con particolare riferimento a quelle che trasversalmente riguardano tutte le ordinanze di rimessione, e che si incentrano sul divieto di questioni di legittimità </w:t>
      </w:r>
      <w:r w:rsidRPr="00AA56DE">
        <w:rPr>
          <w:rFonts w:ascii="Times New Roman" w:hAnsi="Times New Roman" w:cs="Times New Roman"/>
          <w:bCs/>
          <w:i/>
          <w:iCs/>
          <w:color w:val="000000"/>
          <w:sz w:val="24"/>
          <w:szCs w:val="24"/>
          <w:shd w:val="clear" w:color="auto" w:fill="FFFFFF"/>
        </w:rPr>
        <w:t>in malam partem</w:t>
      </w:r>
      <w:r w:rsidRPr="00AA56DE">
        <w:rPr>
          <w:rFonts w:ascii="Times New Roman" w:hAnsi="Times New Roman" w:cs="Times New Roman"/>
          <w:bCs/>
          <w:color w:val="000000"/>
          <w:sz w:val="24"/>
          <w:szCs w:val="24"/>
          <w:shd w:val="clear" w:color="auto" w:fill="FFFFFF"/>
        </w:rPr>
        <w:t xml:space="preserve"> in materia penale.</w:t>
      </w:r>
    </w:p>
    <w:p w14:paraId="1553D350"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 xml:space="preserve">In particolare, la Corte costituzionale, richiamando quella stessa sentenza n. 37/2019 già posta a fondamento dell’impianto argomentativo delle plurime ordinanze di rimessione, ricorda dapprima i casi (già esaminati) di eccezionale ammissibilità di un intervento </w:t>
      </w:r>
      <w:r w:rsidRPr="00AA56DE">
        <w:rPr>
          <w:rFonts w:ascii="Times New Roman" w:hAnsi="Times New Roman" w:cs="Times New Roman"/>
          <w:bCs/>
          <w:i/>
          <w:iCs/>
          <w:color w:val="000000"/>
          <w:sz w:val="24"/>
          <w:szCs w:val="24"/>
          <w:shd w:val="clear" w:color="auto" w:fill="FFFFFF"/>
        </w:rPr>
        <w:t>in malam partem</w:t>
      </w:r>
      <w:r w:rsidRPr="00AA56DE">
        <w:rPr>
          <w:rFonts w:ascii="Times New Roman" w:hAnsi="Times New Roman" w:cs="Times New Roman"/>
          <w:bCs/>
          <w:color w:val="000000"/>
          <w:sz w:val="24"/>
          <w:szCs w:val="24"/>
          <w:shd w:val="clear" w:color="auto" w:fill="FFFFFF"/>
        </w:rPr>
        <w:t xml:space="preserve"> da parte della Consulta, per poi osservare che precedenti questioni inerenti sempre all’art. 323 c.p. sono state dichiarate inammissibili (segnatamente, dalle sentenze n. 447 del 1998 e n. 8 del 2022) proprio in relazione all’effetto </w:t>
      </w:r>
      <w:r w:rsidRPr="00AA56DE">
        <w:rPr>
          <w:rFonts w:ascii="Times New Roman" w:hAnsi="Times New Roman" w:cs="Times New Roman"/>
          <w:bCs/>
          <w:i/>
          <w:iCs/>
          <w:color w:val="000000"/>
          <w:sz w:val="24"/>
          <w:szCs w:val="24"/>
          <w:shd w:val="clear" w:color="auto" w:fill="FFFFFF"/>
        </w:rPr>
        <w:t>in malam partem</w:t>
      </w:r>
      <w:r w:rsidRPr="00AA56DE">
        <w:rPr>
          <w:rFonts w:ascii="Times New Roman" w:hAnsi="Times New Roman" w:cs="Times New Roman"/>
          <w:bCs/>
          <w:color w:val="000000"/>
          <w:sz w:val="24"/>
          <w:szCs w:val="24"/>
          <w:shd w:val="clear" w:color="auto" w:fill="FFFFFF"/>
        </w:rPr>
        <w:t xml:space="preserve"> che sarebbe conseguito dal loro eventuale accoglimento. In quelle occasioni si era osservato che la questione di legittimità costituzionale mirante a estendere la portata di una norma incriminatrice che si assuma troppo restrittiva nella individuazione delle condotte punite, in vista di una pronuncia della Corte che ne estenda la portata, avrebbe dovuto essere dichiarata inammissibile in ragione, appunto, dell’assenza di base legale relativamente all’estensione delle condotte punibili e, ancora più al fondo, della mancanza di legittimazione democratica del Giudice delle leggi.</w:t>
      </w:r>
    </w:p>
    <w:p w14:paraId="4BDE6F84"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 xml:space="preserve">Ebbene, la Corte ritiene di dover riconfermare tali principi in relazione alle odierne questioni, le quali concernono una disposizione che addirittura abroga una precedente incriminazione, e mirano alla integrale reviviscenza di quest’ultima. </w:t>
      </w:r>
    </w:p>
    <w:p w14:paraId="2F68F16C"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In particolare, con riferimento alla censura relativa all’art. 3 Cost. e alla presunta disparità di trattamento, la Consulta evidenzia, anzitutto, che il legislatore gode di discrezionalità nell’individuazione delle condotte punibili. Inoltre, la costante giurisprudenza costituzionale</w:t>
      </w:r>
      <w:r w:rsidRPr="00AA56DE">
        <w:rPr>
          <w:rFonts w:ascii="Times New Roman" w:hAnsi="Times New Roman" w:cs="Times New Roman"/>
          <w:bCs/>
          <w:color w:val="000000"/>
          <w:sz w:val="24"/>
          <w:szCs w:val="24"/>
          <w:shd w:val="clear" w:color="auto" w:fill="FFFFFF"/>
          <w:vertAlign w:val="superscript"/>
        </w:rPr>
        <w:footnoteReference w:id="42"/>
      </w:r>
      <w:r w:rsidRPr="00AA56DE">
        <w:rPr>
          <w:rFonts w:ascii="Times New Roman" w:hAnsi="Times New Roman" w:cs="Times New Roman"/>
          <w:bCs/>
          <w:color w:val="000000"/>
          <w:sz w:val="24"/>
          <w:szCs w:val="24"/>
          <w:shd w:val="clear" w:color="auto" w:fill="FFFFFF"/>
        </w:rPr>
        <w:t xml:space="preserve"> ha sempre escluso che una pronuncia della Corte possa intervenire a modificare il confine dei fatti penalmente rilevanti tracciato dal legislatore, con un effetto estensivo della responsabilità penale dei </w:t>
      </w:r>
      <w:r w:rsidRPr="00AA56DE">
        <w:rPr>
          <w:rFonts w:ascii="Times New Roman" w:hAnsi="Times New Roman" w:cs="Times New Roman"/>
          <w:bCs/>
          <w:color w:val="000000"/>
          <w:sz w:val="24"/>
          <w:szCs w:val="24"/>
          <w:shd w:val="clear" w:color="auto" w:fill="FFFFFF"/>
        </w:rPr>
        <w:lastRenderedPageBreak/>
        <w:t>destinatari delle norme penali, soltanto per porre riparo a eventuali disparità di trattamento tra condotte sanzionate aventi, in ipotesi, analogo o minore disvalore.</w:t>
      </w:r>
    </w:p>
    <w:p w14:paraId="6802873C"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Né si potrebbe richiamare utilmente la giurisprudenza costituzionale in tema di norme penali di favore, atteso che queste ultime presuppongono la contemporanea vigenza della norma generale e di quella derogatoria, mentre in questo caso il raffronto dovrebbe operarsi fra una norma incriminatrice vigente (e in particolare l’art. 353 c.p., che punisce le turbative della gara in un pubblico incanto o in una licitazione privata) e la disposizione che ha abrogato l’art. 323 c.p., nel cui ambito applicativo la giurisprudenza aveva ricondotto condotte parzialmente sovrapponibili a quelle che integrano le turbative d’asta.</w:t>
      </w:r>
    </w:p>
    <w:p w14:paraId="440B022E"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Per quanto concerne l’allegata violazione dell’art. 97 Cost., la Corte afferma che esigenze costituzionali di tutela sottese a tale disposizione non richiedono necessariamente l’attivazione della tutela penale, ben potendo essere soddisfatte attraverso una pluralità di strumenti alternativi preventivi e sanzionatori diversi dal diritto penale. Inoltre, laddove non sussistano puntuali obblighi di incriminazione discendenti dalla Costituzione o da altre fonti vincolanti per il legislatore, non può che spettare a quest’ultimo la decisione circa l’</w:t>
      </w:r>
      <w:r w:rsidRPr="00AA56DE">
        <w:rPr>
          <w:rFonts w:ascii="Times New Roman" w:hAnsi="Times New Roman" w:cs="Times New Roman"/>
          <w:bCs/>
          <w:i/>
          <w:iCs/>
          <w:color w:val="000000"/>
          <w:sz w:val="24"/>
          <w:szCs w:val="24"/>
          <w:shd w:val="clear" w:color="auto" w:fill="FFFFFF"/>
        </w:rPr>
        <w:t xml:space="preserve">an </w:t>
      </w:r>
      <w:r w:rsidRPr="00AA56DE">
        <w:rPr>
          <w:rFonts w:ascii="Times New Roman" w:hAnsi="Times New Roman" w:cs="Times New Roman"/>
          <w:bCs/>
          <w:color w:val="000000"/>
          <w:sz w:val="24"/>
          <w:szCs w:val="24"/>
          <w:shd w:val="clear" w:color="auto" w:fill="FFFFFF"/>
        </w:rPr>
        <w:t xml:space="preserve">dell’eventuale tutela penale da assicurare agli interessi che la stessa Costituzione impone in via generale di proteggere, senza però specificare con quali strumenti tale protezione debba essere assicurata. </w:t>
      </w:r>
    </w:p>
    <w:p w14:paraId="755F8270"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Con riferimento alla prospettata violazione dell’art. 11 Cost. per inadempimento di obblighi assunti in sede sovranazionale, la Corte condivisibilmente osserva che nessuna delle ordinanze di rimessione ha chiarito per quale ragione la violazione di obblighi di diritto internazionale pattizio darebbe luogo a una violazione – oltre che dell’art. 117, primo comma, Cost. – proprio dell’art. 11 Cost., che granitica giurisprudenza costituzionale considera coinvolto allorché vengano in considerazione obblighi derivanti dal diritto dell’Unione europea, rispetto ai quali operano le «limitazioni di sovranità» ivi menzionate.</w:t>
      </w:r>
    </w:p>
    <w:p w14:paraId="6C1BF9D2"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Le censure relative alla violazione dell’art. 117 Cost., invece, vengono dichiarate ammissibili per tutte le ragioni ampiamente esaminate in sede di commento alla principale ordinanza di rimessione, ma sono comunque giudicate infondate dalla Corte.</w:t>
      </w:r>
    </w:p>
    <w:p w14:paraId="084BE64D"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 xml:space="preserve">Infatti, nessun elemento evincibile dal testo o dalla </w:t>
      </w:r>
      <w:r w:rsidRPr="00AA56DE">
        <w:rPr>
          <w:rFonts w:ascii="Times New Roman" w:hAnsi="Times New Roman" w:cs="Times New Roman"/>
          <w:bCs/>
          <w:i/>
          <w:iCs/>
          <w:color w:val="000000"/>
          <w:sz w:val="24"/>
          <w:szCs w:val="24"/>
          <w:shd w:val="clear" w:color="auto" w:fill="FFFFFF"/>
        </w:rPr>
        <w:t>ratio</w:t>
      </w:r>
      <w:r w:rsidRPr="00AA56DE">
        <w:rPr>
          <w:rFonts w:ascii="Times New Roman" w:hAnsi="Times New Roman" w:cs="Times New Roman"/>
          <w:bCs/>
          <w:color w:val="000000"/>
          <w:sz w:val="24"/>
          <w:szCs w:val="24"/>
          <w:shd w:val="clear" w:color="auto" w:fill="FFFFFF"/>
        </w:rPr>
        <w:t xml:space="preserve"> dell’art. 19 della Convenzione autorizza a concludere che lo Stato sarebbe obbligato a introdurre (o a mantenere) nel proprio ordinamento l’incriminazione delle condotte di abuso di ufficio; l’inequivoco testo della disposizione enuncia un mero obbligo di “considerare” tale introduzione e, dunque, di valutare attentamente costi e benefici di tale opzione, avuto riguardo anche ai rischi di “burocrazia difensiva” sui quali ci si è ampiamente soffermati in precedenza.</w:t>
      </w:r>
    </w:p>
    <w:p w14:paraId="62CED8EF"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Anche dai lavori preparatori risulta che la Convenzione ha scelto di affidare la valutazione comparativa dei benefici attesi e delle conseguenze negative dell’incriminazione delle condotte di abuso d’ufficio alla prudente discrezionalità del legislatore di ogni Stato.</w:t>
      </w:r>
    </w:p>
    <w:p w14:paraId="3465352C"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Né a conclusioni diverse potrebbe giungersi valorizzando il combinato disposto dell’art. 19 della Convenzione con diverse disposizioni, pure richiamate dalle varie ordinanze di rimessione, che si vengono a evidenziare partitamente.</w:t>
      </w:r>
    </w:p>
    <w:p w14:paraId="29B5A57D"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L’art. 7, par. 1, obbliga gli Stati a adoperarsi («</w:t>
      </w:r>
      <w:r w:rsidRPr="00AA56DE">
        <w:rPr>
          <w:rFonts w:ascii="Times New Roman" w:hAnsi="Times New Roman" w:cs="Times New Roman"/>
          <w:bCs/>
          <w:i/>
          <w:iCs/>
          <w:color w:val="000000"/>
          <w:sz w:val="24"/>
          <w:szCs w:val="24"/>
          <w:shd w:val="clear" w:color="auto" w:fill="FFFFFF"/>
        </w:rPr>
        <w:t>endeavour</w:t>
      </w:r>
      <w:r w:rsidRPr="00AA56DE">
        <w:rPr>
          <w:rFonts w:ascii="Times New Roman" w:hAnsi="Times New Roman" w:cs="Times New Roman"/>
          <w:bCs/>
          <w:color w:val="000000"/>
          <w:sz w:val="24"/>
          <w:szCs w:val="24"/>
          <w:shd w:val="clear" w:color="auto" w:fill="FFFFFF"/>
        </w:rPr>
        <w:t xml:space="preserve">») per adottare, mantenere e rafforzare sistemi di assunzione e gestione delle risorse umane nel pubblico impiego. Nel suo complesso, esso si occupa delle misure volte a </w:t>
      </w:r>
      <w:r w:rsidRPr="00AA56DE">
        <w:rPr>
          <w:rFonts w:ascii="Times New Roman" w:hAnsi="Times New Roman" w:cs="Times New Roman"/>
          <w:bCs/>
          <w:i/>
          <w:iCs/>
          <w:color w:val="000000"/>
          <w:sz w:val="24"/>
          <w:szCs w:val="24"/>
          <w:shd w:val="clear" w:color="auto" w:fill="FFFFFF"/>
        </w:rPr>
        <w:t>prevenire</w:t>
      </w:r>
      <w:r w:rsidRPr="00AA56DE">
        <w:rPr>
          <w:rFonts w:ascii="Times New Roman" w:hAnsi="Times New Roman" w:cs="Times New Roman"/>
          <w:bCs/>
          <w:color w:val="000000"/>
          <w:sz w:val="24"/>
          <w:szCs w:val="24"/>
          <w:shd w:val="clear" w:color="auto" w:fill="FFFFFF"/>
        </w:rPr>
        <w:t xml:space="preserve"> la corruzione tramite l’applicazione di principi di efficienza, competenza e trasparenza nel settore pubblico, mentre gli obblighi </w:t>
      </w:r>
      <w:r w:rsidRPr="00AA56DE">
        <w:rPr>
          <w:rFonts w:ascii="Times New Roman" w:hAnsi="Times New Roman" w:cs="Times New Roman"/>
          <w:bCs/>
          <w:i/>
          <w:iCs/>
          <w:color w:val="000000"/>
          <w:sz w:val="24"/>
          <w:szCs w:val="24"/>
          <w:shd w:val="clear" w:color="auto" w:fill="FFFFFF"/>
        </w:rPr>
        <w:t>repressivi</w:t>
      </w:r>
      <w:r w:rsidRPr="00AA56DE">
        <w:rPr>
          <w:rFonts w:ascii="Times New Roman" w:hAnsi="Times New Roman" w:cs="Times New Roman"/>
          <w:bCs/>
          <w:color w:val="000000"/>
          <w:sz w:val="24"/>
          <w:szCs w:val="24"/>
          <w:shd w:val="clear" w:color="auto" w:fill="FFFFFF"/>
        </w:rPr>
        <w:t xml:space="preserve"> di natura penale sono disciplinati dal successivo Capitolo III (in cui è invece collocato il già esaminato art. 19). Inoltre, l’art. 7, par. 4 non impone alcuna specifica misura allo Stato contraente, lasciando allo stesso ampia </w:t>
      </w:r>
      <w:r w:rsidRPr="00AA56DE">
        <w:rPr>
          <w:rFonts w:ascii="Times New Roman" w:hAnsi="Times New Roman" w:cs="Times New Roman"/>
          <w:bCs/>
          <w:color w:val="000000"/>
          <w:sz w:val="24"/>
          <w:szCs w:val="24"/>
          <w:shd w:val="clear" w:color="auto" w:fill="FFFFFF"/>
        </w:rPr>
        <w:lastRenderedPageBreak/>
        <w:t>discrezionalità rispetto all’obiettivo di introdurre, mantenere e rinforzare i sistemi di prevenzione della corruzione. In tale contesto, appare arduo ipotizzare che dagli obblighi di natura puramente preventiva di cui all’art. 7, par. 4, possa derivarsi in via interpretativa il divieto di abrogare una disposizione incriminatrice.</w:t>
      </w:r>
    </w:p>
    <w:p w14:paraId="389A7158" w14:textId="77777777" w:rsidR="00AA56DE" w:rsidRPr="00AA56DE" w:rsidRDefault="00AA56DE" w:rsidP="004B7EA5">
      <w:pPr>
        <w:spacing w:after="0" w:line="276" w:lineRule="auto"/>
        <w:jc w:val="both"/>
        <w:rPr>
          <w:rFonts w:ascii="Times New Roman" w:hAnsi="Times New Roman" w:cs="Times New Roman"/>
          <w:b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Le altre disposizioni richiamate dalle varie ordinanze di rimessione (artt. 1, 5, 65 della Convenzione) presentano carattere puramente programmatico o, comunque, non impongono nuovi e diversi obblighi agli Stati contraenti.</w:t>
      </w:r>
    </w:p>
    <w:p w14:paraId="4ED6D157" w14:textId="17FB1B02" w:rsidR="00D601A6" w:rsidRDefault="00AA56DE" w:rsidP="004B7EA5">
      <w:pPr>
        <w:spacing w:after="0" w:line="276" w:lineRule="auto"/>
        <w:jc w:val="both"/>
        <w:rPr>
          <w:rFonts w:ascii="Times New Roman" w:hAnsi="Times New Roman" w:cs="Times New Roman"/>
          <w:bCs/>
          <w:i/>
          <w:iCs/>
          <w:color w:val="000000"/>
          <w:sz w:val="24"/>
          <w:szCs w:val="24"/>
          <w:shd w:val="clear" w:color="auto" w:fill="FFFFFF"/>
        </w:rPr>
      </w:pPr>
      <w:r w:rsidRPr="00AA56DE">
        <w:rPr>
          <w:rFonts w:ascii="Times New Roman" w:hAnsi="Times New Roman" w:cs="Times New Roman"/>
          <w:bCs/>
          <w:color w:val="000000"/>
          <w:sz w:val="24"/>
          <w:szCs w:val="24"/>
          <w:shd w:val="clear" w:color="auto" w:fill="FFFFFF"/>
        </w:rPr>
        <w:t xml:space="preserve">La Corte conclude, dunque, nel senso che, citando il comunicato stampa dalla stessa diramato, </w:t>
      </w:r>
      <w:r w:rsidRPr="00AA56DE">
        <w:rPr>
          <w:rFonts w:ascii="Times New Roman" w:hAnsi="Times New Roman" w:cs="Times New Roman"/>
          <w:bCs/>
          <w:i/>
          <w:iCs/>
          <w:color w:val="000000"/>
          <w:sz w:val="24"/>
          <w:szCs w:val="24"/>
          <w:shd w:val="clear" w:color="auto" w:fill="FFFFFF"/>
        </w:rPr>
        <w:t>“se gli indubbi vuoti di tutela penale che derivano dall’abolizione del reato (…) possano ritenersi o meno compensati dai benefici che il legislatore si è ripromesso di ottenere, secondo quanto puntualmente illustrato nei lavori preparatori della riforma, è questione che investe esclusivamente la responsabilità politica del legislatore, non giustiziabile innanzi a questa Corte al metro dei parametri costituzionali e internazionali esaminati”.</w:t>
      </w:r>
    </w:p>
    <w:p w14:paraId="5CAA7630" w14:textId="7A47D363" w:rsidR="00B743E7" w:rsidRPr="00B743E7" w:rsidRDefault="00B743E7"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S</w:t>
      </w:r>
      <w:r w:rsidRPr="00B743E7">
        <w:rPr>
          <w:rFonts w:ascii="Times New Roman" w:hAnsi="Times New Roman" w:cs="Times New Roman"/>
          <w:bCs/>
          <w:color w:val="000000"/>
          <w:sz w:val="24"/>
          <w:szCs w:val="24"/>
          <w:shd w:val="clear" w:color="auto" w:fill="FFFFFF"/>
        </w:rPr>
        <w:t>i può rilevare come la Corte costituzionale abbia condivisibilmente pronunciato su un piano squisitamente tecnico, a fronte di un contenzioso che, come evidenziato, ha assunto indubbi connotati di politicità in senso lato.</w:t>
      </w:r>
    </w:p>
    <w:p w14:paraId="1284E575" w14:textId="77777777" w:rsidR="00B743E7" w:rsidRPr="00B743E7" w:rsidRDefault="00B743E7" w:rsidP="004B7EA5">
      <w:pPr>
        <w:spacing w:after="0" w:line="276" w:lineRule="auto"/>
        <w:jc w:val="both"/>
        <w:rPr>
          <w:rFonts w:ascii="Times New Roman" w:hAnsi="Times New Roman" w:cs="Times New Roman"/>
          <w:bCs/>
          <w:color w:val="000000"/>
          <w:sz w:val="24"/>
          <w:szCs w:val="24"/>
          <w:shd w:val="clear" w:color="auto" w:fill="FFFFFF"/>
        </w:rPr>
      </w:pPr>
      <w:r w:rsidRPr="00B743E7">
        <w:rPr>
          <w:rFonts w:ascii="Times New Roman" w:hAnsi="Times New Roman" w:cs="Times New Roman"/>
          <w:bCs/>
          <w:color w:val="000000"/>
          <w:sz w:val="24"/>
          <w:szCs w:val="24"/>
          <w:shd w:val="clear" w:color="auto" w:fill="FFFFFF"/>
        </w:rPr>
        <w:t>Sul versante degli obblighi sovranazionali, la Consulta, conformemente alle indicazioni di autorevole dottrina già richiamate, ha rimarcato che né il tenore letterale delle disposizioni della Convenzione di Mérida evocate dai rimettenti, né la loro ratio e collocazione sistematica, né i lavori preparatori supportano in alcun modo la tesi secondo cui dalla Convenzione stessa deriverebbe un obbligo di introdurre il reato di abuso di ufficio o un divieto di abrogare la disposizione incriminatrice eventualmente già prevista nell’ordinamento interno.</w:t>
      </w:r>
    </w:p>
    <w:p w14:paraId="0F638110" w14:textId="77777777" w:rsidR="00B743E7" w:rsidRPr="00B743E7" w:rsidRDefault="00B743E7" w:rsidP="004B7EA5">
      <w:pPr>
        <w:spacing w:after="0" w:line="276" w:lineRule="auto"/>
        <w:jc w:val="both"/>
        <w:rPr>
          <w:rFonts w:ascii="Times New Roman" w:hAnsi="Times New Roman" w:cs="Times New Roman"/>
          <w:bCs/>
          <w:color w:val="000000"/>
          <w:sz w:val="24"/>
          <w:szCs w:val="24"/>
          <w:shd w:val="clear" w:color="auto" w:fill="FFFFFF"/>
        </w:rPr>
      </w:pPr>
      <w:r w:rsidRPr="00B743E7">
        <w:rPr>
          <w:rFonts w:ascii="Times New Roman" w:hAnsi="Times New Roman" w:cs="Times New Roman"/>
          <w:bCs/>
          <w:color w:val="000000"/>
          <w:sz w:val="24"/>
          <w:szCs w:val="24"/>
          <w:shd w:val="clear" w:color="auto" w:fill="FFFFFF"/>
        </w:rPr>
        <w:t>Sul piano della violazione degli artt. 3 e 97 Cost., censura che - più delle altre - si sarebbe potuta prestare a letture ideologiche e non neutrali dell’intensità del sindacato del giudice penale sull’attività amministrativa, la Consulta, dimostrando assoluto equilibrio, ha osservato che il legislatore mantiene piena discrezionalità (sindacabile solo in ipotesi di manifesto arbitrio) circa la selezione dei fatti penalmente rilevanti e che l’art. 97 Cost. non impone la tutela penale (che dovrebbe costituire l’</w:t>
      </w:r>
      <w:r w:rsidRPr="00B743E7">
        <w:rPr>
          <w:rFonts w:ascii="Times New Roman" w:hAnsi="Times New Roman" w:cs="Times New Roman"/>
          <w:bCs/>
          <w:i/>
          <w:iCs/>
          <w:color w:val="000000"/>
          <w:sz w:val="24"/>
          <w:szCs w:val="24"/>
          <w:shd w:val="clear" w:color="auto" w:fill="FFFFFF"/>
        </w:rPr>
        <w:t>extrema ratio</w:t>
      </w:r>
      <w:r w:rsidRPr="00B743E7">
        <w:rPr>
          <w:rFonts w:ascii="Times New Roman" w:hAnsi="Times New Roman" w:cs="Times New Roman"/>
          <w:bCs/>
          <w:color w:val="000000"/>
          <w:sz w:val="24"/>
          <w:szCs w:val="24"/>
          <w:shd w:val="clear" w:color="auto" w:fill="FFFFFF"/>
        </w:rPr>
        <w:t>, in applicazione del principio di sussidiarietà) delle violazioni dei principi di imparzialità e buon andamento, residuando la discrezionalità del legislatore anche in tale direzione.</w:t>
      </w:r>
    </w:p>
    <w:p w14:paraId="693075EA" w14:textId="775B0831" w:rsidR="006106E5" w:rsidRPr="006106E5" w:rsidRDefault="00B743E7" w:rsidP="004B7EA5">
      <w:pPr>
        <w:spacing w:after="0" w:line="276" w:lineRule="auto"/>
        <w:jc w:val="both"/>
        <w:rPr>
          <w:rFonts w:ascii="Times New Roman" w:hAnsi="Times New Roman" w:cs="Times New Roman"/>
          <w:bCs/>
          <w:color w:val="000000"/>
          <w:sz w:val="24"/>
          <w:szCs w:val="24"/>
          <w:shd w:val="clear" w:color="auto" w:fill="FFFFFF"/>
        </w:rPr>
      </w:pPr>
      <w:r w:rsidRPr="00B743E7">
        <w:rPr>
          <w:rFonts w:ascii="Times New Roman" w:hAnsi="Times New Roman" w:cs="Times New Roman"/>
          <w:bCs/>
          <w:color w:val="000000"/>
          <w:sz w:val="24"/>
          <w:szCs w:val="24"/>
          <w:shd w:val="clear" w:color="auto" w:fill="FFFFFF"/>
        </w:rPr>
        <w:t>L’abolizione dell’abuso d’ufficio, dunque, non è incostituzionale, ferma restando la responsabilità politica del legislatore per le decisioni adottate, che rischiano di privare la tutela penale dei beni giuridici correlati alla pubblica amministrazione e all’attività amministrativa di un significativo avamposto.</w:t>
      </w:r>
    </w:p>
    <w:p w14:paraId="7FCFC21B" w14:textId="77777777" w:rsidR="00AB439E" w:rsidRDefault="00AB439E" w:rsidP="004B7EA5">
      <w:pPr>
        <w:spacing w:after="0" w:line="276" w:lineRule="auto"/>
        <w:jc w:val="both"/>
        <w:rPr>
          <w:rFonts w:ascii="Times New Roman" w:hAnsi="Times New Roman" w:cs="Times New Roman"/>
          <w:bCs/>
          <w:color w:val="000000"/>
          <w:sz w:val="24"/>
          <w:szCs w:val="24"/>
          <w:shd w:val="clear" w:color="auto" w:fill="FFFFFF"/>
        </w:rPr>
      </w:pPr>
    </w:p>
    <w:p w14:paraId="6F9712E8" w14:textId="4AFEF56C" w:rsidR="00AB439E" w:rsidRPr="003139E4" w:rsidRDefault="00AB439E" w:rsidP="004B7EA5">
      <w:pPr>
        <w:spacing w:after="0" w:line="276" w:lineRule="auto"/>
        <w:jc w:val="both"/>
        <w:rPr>
          <w:rFonts w:ascii="Times New Roman" w:hAnsi="Times New Roman" w:cs="Times New Roman"/>
          <w:bCs/>
          <w:i/>
          <w:iCs/>
          <w:color w:val="000000"/>
          <w:sz w:val="24"/>
          <w:szCs w:val="24"/>
          <w:shd w:val="clear" w:color="auto" w:fill="FFFFFF"/>
        </w:rPr>
      </w:pPr>
      <w:r w:rsidRPr="003139E4">
        <w:rPr>
          <w:rFonts w:ascii="Times New Roman" w:hAnsi="Times New Roman" w:cs="Times New Roman"/>
          <w:bCs/>
          <w:i/>
          <w:iCs/>
          <w:color w:val="000000"/>
          <w:sz w:val="24"/>
          <w:szCs w:val="24"/>
          <w:shd w:val="clear" w:color="auto" w:fill="FFFFFF"/>
        </w:rPr>
        <w:t xml:space="preserve">6. </w:t>
      </w:r>
      <w:r w:rsidR="003139E4" w:rsidRPr="003139E4">
        <w:rPr>
          <w:rFonts w:ascii="Times New Roman" w:hAnsi="Times New Roman" w:cs="Times New Roman"/>
          <w:bCs/>
          <w:i/>
          <w:iCs/>
          <w:color w:val="000000"/>
          <w:sz w:val="24"/>
          <w:szCs w:val="24"/>
          <w:shd w:val="clear" w:color="auto" w:fill="FFFFFF"/>
        </w:rPr>
        <w:t>Anticorruzione e fiducia</w:t>
      </w:r>
      <w:r w:rsidR="004840AA">
        <w:rPr>
          <w:rFonts w:ascii="Times New Roman" w:hAnsi="Times New Roman" w:cs="Times New Roman"/>
          <w:bCs/>
          <w:i/>
          <w:iCs/>
          <w:color w:val="000000"/>
          <w:sz w:val="24"/>
          <w:szCs w:val="24"/>
          <w:shd w:val="clear" w:color="auto" w:fill="FFFFFF"/>
        </w:rPr>
        <w:t xml:space="preserve">. </w:t>
      </w:r>
      <w:r w:rsidR="00AA1A8E">
        <w:rPr>
          <w:rFonts w:ascii="Times New Roman" w:hAnsi="Times New Roman" w:cs="Times New Roman"/>
          <w:bCs/>
          <w:i/>
          <w:iCs/>
          <w:color w:val="000000"/>
          <w:sz w:val="24"/>
          <w:szCs w:val="24"/>
          <w:shd w:val="clear" w:color="auto" w:fill="FFFFFF"/>
        </w:rPr>
        <w:t>La rilevanza della discrezionalità e della motivazione.</w:t>
      </w:r>
    </w:p>
    <w:p w14:paraId="336724C0" w14:textId="77777777" w:rsidR="003139E4" w:rsidRDefault="003139E4" w:rsidP="004B7EA5">
      <w:pPr>
        <w:spacing w:after="0" w:line="276" w:lineRule="auto"/>
        <w:jc w:val="both"/>
        <w:rPr>
          <w:rFonts w:ascii="Times New Roman" w:hAnsi="Times New Roman" w:cs="Times New Roman"/>
          <w:bCs/>
          <w:color w:val="000000"/>
          <w:sz w:val="24"/>
          <w:szCs w:val="24"/>
          <w:shd w:val="clear" w:color="auto" w:fill="FFFFFF"/>
        </w:rPr>
      </w:pPr>
    </w:p>
    <w:p w14:paraId="0D3D5528" w14:textId="4623D5F5"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Già in altre sedi</w:t>
      </w:r>
      <w:r w:rsidR="009223F9">
        <w:rPr>
          <w:rStyle w:val="Rimandonotaapidipagina"/>
          <w:rFonts w:ascii="Times New Roman" w:hAnsi="Times New Roman" w:cs="Times New Roman"/>
          <w:bCs/>
          <w:color w:val="000000"/>
          <w:sz w:val="24"/>
          <w:szCs w:val="24"/>
          <w:shd w:val="clear" w:color="auto" w:fill="FFFFFF"/>
        </w:rPr>
        <w:footnoteReference w:id="43"/>
      </w:r>
      <w:r w:rsidRPr="003139E4">
        <w:rPr>
          <w:rFonts w:ascii="Times New Roman" w:hAnsi="Times New Roman" w:cs="Times New Roman"/>
          <w:bCs/>
          <w:color w:val="000000"/>
          <w:sz w:val="24"/>
          <w:szCs w:val="24"/>
          <w:shd w:val="clear" w:color="auto" w:fill="FFFFFF"/>
        </w:rPr>
        <w:t xml:space="preserve"> si è avuto modo di osservare che entrambi i versanti dell’anticorruzione, quello preventivo-amministrativo e quello repressivo-penale, sono legati dal concetto cui questi, pur diversamente interpretandolo, si contrappongono: la corruzione. </w:t>
      </w:r>
    </w:p>
    <w:p w14:paraId="04F89F9A"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lastRenderedPageBreak/>
        <w:t>Non sorprende, dunque, la necessità di definire preventivamente quest’ultima, come in un gioco degli specchi, in quanto “ogni città riceve la sua forma dal deserto a cui si oppone”</w:t>
      </w:r>
      <w:r w:rsidRPr="003139E4">
        <w:rPr>
          <w:rFonts w:ascii="Times New Roman" w:hAnsi="Times New Roman" w:cs="Times New Roman"/>
          <w:bCs/>
          <w:color w:val="000000"/>
          <w:sz w:val="24"/>
          <w:szCs w:val="24"/>
          <w:shd w:val="clear" w:color="auto" w:fill="FFFFFF"/>
          <w:vertAlign w:val="superscript"/>
        </w:rPr>
        <w:footnoteReference w:id="44"/>
      </w:r>
      <w:r w:rsidRPr="003139E4">
        <w:rPr>
          <w:rFonts w:ascii="Times New Roman" w:hAnsi="Times New Roman" w:cs="Times New Roman"/>
          <w:bCs/>
          <w:color w:val="000000"/>
          <w:sz w:val="24"/>
          <w:szCs w:val="24"/>
          <w:shd w:val="clear" w:color="auto" w:fill="FFFFFF"/>
        </w:rPr>
        <w:t>, pur nella consapevolezza che la corruzione sia un fenomeno difficile da studiare</w:t>
      </w:r>
      <w:r w:rsidRPr="003139E4">
        <w:rPr>
          <w:rFonts w:ascii="Times New Roman" w:hAnsi="Times New Roman" w:cs="Times New Roman"/>
          <w:bCs/>
          <w:color w:val="000000"/>
          <w:sz w:val="24"/>
          <w:szCs w:val="24"/>
          <w:shd w:val="clear" w:color="auto" w:fill="FFFFFF"/>
          <w:vertAlign w:val="superscript"/>
        </w:rPr>
        <w:footnoteReference w:id="45"/>
      </w:r>
      <w:r w:rsidRPr="003139E4">
        <w:rPr>
          <w:rFonts w:ascii="Times New Roman" w:hAnsi="Times New Roman" w:cs="Times New Roman"/>
          <w:bCs/>
          <w:color w:val="000000"/>
          <w:sz w:val="24"/>
          <w:szCs w:val="24"/>
          <w:shd w:val="clear" w:color="auto" w:fill="FFFFFF"/>
        </w:rPr>
        <w:t>.</w:t>
      </w:r>
    </w:p>
    <w:p w14:paraId="510F7B2C"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Infatti, mentre la maggior parte delle trattazioni in materia è incentrata sulla misurazione del rischio corruttivo</w:t>
      </w:r>
      <w:r w:rsidRPr="003139E4">
        <w:rPr>
          <w:rFonts w:ascii="Times New Roman" w:hAnsi="Times New Roman" w:cs="Times New Roman"/>
          <w:bCs/>
          <w:color w:val="000000"/>
          <w:sz w:val="24"/>
          <w:szCs w:val="24"/>
          <w:shd w:val="clear" w:color="auto" w:fill="FFFFFF"/>
          <w:vertAlign w:val="superscript"/>
        </w:rPr>
        <w:footnoteReference w:id="46"/>
      </w:r>
      <w:r w:rsidRPr="003139E4">
        <w:rPr>
          <w:rFonts w:ascii="Times New Roman" w:hAnsi="Times New Roman" w:cs="Times New Roman"/>
          <w:bCs/>
          <w:color w:val="000000"/>
          <w:sz w:val="24"/>
          <w:szCs w:val="24"/>
          <w:shd w:val="clear" w:color="auto" w:fill="FFFFFF"/>
        </w:rPr>
        <w:t>, si ritiene sommessamente che sia più importante inquadrare preventivamente il medesimo in una prospettiva multidisciplinare e integrata, che possa essere adeguata alla complessità dell’oggetto di studio.</w:t>
      </w:r>
    </w:p>
    <w:p w14:paraId="59F52D39"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Nello studio della corruzione, che è possibile definire quale “abuso da parte di un soggetto del potere a lui affidato al fine di ottenere vantaggi privati”</w:t>
      </w:r>
      <w:r w:rsidRPr="003139E4">
        <w:rPr>
          <w:rFonts w:ascii="Times New Roman" w:hAnsi="Times New Roman" w:cs="Times New Roman"/>
          <w:bCs/>
          <w:color w:val="000000"/>
          <w:sz w:val="24"/>
          <w:szCs w:val="24"/>
          <w:shd w:val="clear" w:color="auto" w:fill="FFFFFF"/>
          <w:vertAlign w:val="superscript"/>
        </w:rPr>
        <w:footnoteReference w:id="47"/>
      </w:r>
      <w:r w:rsidRPr="003139E4">
        <w:rPr>
          <w:rFonts w:ascii="Times New Roman" w:hAnsi="Times New Roman" w:cs="Times New Roman"/>
          <w:bCs/>
          <w:color w:val="000000"/>
          <w:sz w:val="24"/>
          <w:szCs w:val="24"/>
          <w:shd w:val="clear" w:color="auto" w:fill="FFFFFF"/>
        </w:rPr>
        <w:t xml:space="preserve">, si contrappongono la prospettiva economica e l’approccio culturale. </w:t>
      </w:r>
    </w:p>
    <w:p w14:paraId="2DD4CAF6"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Il primo si concentra sulla razionalità delle azioni individuali: la tangente viene percepita solo se le aspettative di beneficio superano i costi attesi</w:t>
      </w:r>
      <w:r w:rsidRPr="003139E4">
        <w:rPr>
          <w:rFonts w:ascii="Times New Roman" w:hAnsi="Times New Roman" w:cs="Times New Roman"/>
          <w:bCs/>
          <w:color w:val="000000"/>
          <w:sz w:val="24"/>
          <w:szCs w:val="24"/>
          <w:shd w:val="clear" w:color="auto" w:fill="FFFFFF"/>
          <w:vertAlign w:val="superscript"/>
        </w:rPr>
        <w:footnoteReference w:id="48"/>
      </w:r>
      <w:r w:rsidRPr="003139E4">
        <w:rPr>
          <w:rFonts w:ascii="Times New Roman" w:hAnsi="Times New Roman" w:cs="Times New Roman"/>
          <w:bCs/>
          <w:color w:val="000000"/>
          <w:sz w:val="24"/>
          <w:szCs w:val="24"/>
          <w:shd w:val="clear" w:color="auto" w:fill="FFFFFF"/>
        </w:rPr>
        <w:t xml:space="preserve">. Al di là della </w:t>
      </w:r>
      <w:r w:rsidRPr="003139E4">
        <w:rPr>
          <w:rFonts w:ascii="Times New Roman" w:hAnsi="Times New Roman" w:cs="Times New Roman"/>
          <w:bCs/>
          <w:i/>
          <w:color w:val="000000"/>
          <w:sz w:val="24"/>
          <w:szCs w:val="24"/>
          <w:shd w:val="clear" w:color="auto" w:fill="FFFFFF"/>
        </w:rPr>
        <w:t>cost-benefit analysis</w:t>
      </w:r>
      <w:r w:rsidRPr="003139E4">
        <w:rPr>
          <w:rFonts w:ascii="Times New Roman" w:hAnsi="Times New Roman" w:cs="Times New Roman"/>
          <w:bCs/>
          <w:color w:val="000000"/>
          <w:sz w:val="24"/>
          <w:szCs w:val="24"/>
          <w:shd w:val="clear" w:color="auto" w:fill="FFFFFF"/>
        </w:rPr>
        <w:t>, l’analisi economica concepisce il fenomeno corruttivo in termini di tradimento del rapporto principale-agente, poiché il funzionario pubblico dovrebbe operare per conto dello Stato e, invece, si fa distogliere e deviare dalle influenze operate da terzi.</w:t>
      </w:r>
    </w:p>
    <w:p w14:paraId="577AFE61"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Inoltre, i fattori abilitanti della corruzione possono essere espressi attraverso una formula matematica</w:t>
      </w:r>
      <w:r w:rsidRPr="003139E4">
        <w:rPr>
          <w:rFonts w:ascii="Times New Roman" w:hAnsi="Times New Roman" w:cs="Times New Roman"/>
          <w:bCs/>
          <w:color w:val="000000"/>
          <w:sz w:val="24"/>
          <w:szCs w:val="24"/>
          <w:shd w:val="clear" w:color="auto" w:fill="FFFFFF"/>
          <w:vertAlign w:val="superscript"/>
        </w:rPr>
        <w:footnoteReference w:id="49"/>
      </w:r>
      <w:r w:rsidRPr="003139E4">
        <w:rPr>
          <w:rFonts w:ascii="Times New Roman" w:hAnsi="Times New Roman" w:cs="Times New Roman"/>
          <w:bCs/>
          <w:color w:val="000000"/>
          <w:sz w:val="24"/>
          <w:szCs w:val="24"/>
          <w:shd w:val="clear" w:color="auto" w:fill="FFFFFF"/>
        </w:rPr>
        <w:t xml:space="preserve">, secondo cui C = M + D – T – A: il livello di corruzione (C) si associa alla presenza di posizioni monopolistiche di rendita (M) e all’esercizio di poteri discrezionali (D), ed è inversamente collegato al grado di trasparenza (T) e di </w:t>
      </w:r>
      <w:r w:rsidRPr="003139E4">
        <w:rPr>
          <w:rFonts w:ascii="Times New Roman" w:hAnsi="Times New Roman" w:cs="Times New Roman"/>
          <w:bCs/>
          <w:i/>
          <w:color w:val="000000"/>
          <w:sz w:val="24"/>
          <w:szCs w:val="24"/>
          <w:shd w:val="clear" w:color="auto" w:fill="FFFFFF"/>
        </w:rPr>
        <w:t>accountability</w:t>
      </w:r>
      <w:r w:rsidRPr="003139E4">
        <w:rPr>
          <w:rFonts w:ascii="Times New Roman" w:hAnsi="Times New Roman" w:cs="Times New Roman"/>
          <w:bCs/>
          <w:color w:val="000000"/>
          <w:sz w:val="24"/>
          <w:szCs w:val="24"/>
          <w:shd w:val="clear" w:color="auto" w:fill="FFFFFF"/>
        </w:rPr>
        <w:t xml:space="preserve"> (A) dell’agente</w:t>
      </w:r>
      <w:r w:rsidRPr="003139E4">
        <w:rPr>
          <w:rFonts w:ascii="Times New Roman" w:hAnsi="Times New Roman" w:cs="Times New Roman"/>
          <w:bCs/>
          <w:color w:val="000000"/>
          <w:sz w:val="24"/>
          <w:szCs w:val="24"/>
          <w:shd w:val="clear" w:color="auto" w:fill="FFFFFF"/>
          <w:vertAlign w:val="superscript"/>
        </w:rPr>
        <w:footnoteReference w:id="50"/>
      </w:r>
      <w:r w:rsidRPr="003139E4">
        <w:rPr>
          <w:rFonts w:ascii="Times New Roman" w:hAnsi="Times New Roman" w:cs="Times New Roman"/>
          <w:bCs/>
          <w:color w:val="000000"/>
          <w:sz w:val="24"/>
          <w:szCs w:val="24"/>
          <w:shd w:val="clear" w:color="auto" w:fill="FFFFFF"/>
        </w:rPr>
        <w:t>.</w:t>
      </w:r>
    </w:p>
    <w:p w14:paraId="247DC63A"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 xml:space="preserve">In chiave culturale, si evidenzia come la corruzione dilaghi in quei contesti nei quali meno elevati sono gli standard morali, il senso civico, lo spirito di corpo e il senso dello Stato dei funzionari; si tratterebbe, dunque, di un problema di integrità morale e, ancor prima, di educazione. </w:t>
      </w:r>
      <w:proofErr w:type="gramStart"/>
      <w:r w:rsidRPr="003139E4">
        <w:rPr>
          <w:rFonts w:ascii="Times New Roman" w:hAnsi="Times New Roman" w:cs="Times New Roman"/>
          <w:bCs/>
          <w:color w:val="000000"/>
          <w:sz w:val="24"/>
          <w:szCs w:val="24"/>
          <w:shd w:val="clear" w:color="auto" w:fill="FFFFFF"/>
        </w:rPr>
        <w:t>E’</w:t>
      </w:r>
      <w:proofErr w:type="gramEnd"/>
      <w:r w:rsidRPr="003139E4">
        <w:rPr>
          <w:rFonts w:ascii="Times New Roman" w:hAnsi="Times New Roman" w:cs="Times New Roman"/>
          <w:bCs/>
          <w:color w:val="000000"/>
          <w:sz w:val="24"/>
          <w:szCs w:val="24"/>
          <w:shd w:val="clear" w:color="auto" w:fill="FFFFFF"/>
        </w:rPr>
        <w:t xml:space="preserve"> riconducibile a questa impostazione anche la corrente “istituzionalista”, secondo la quale il fenomeno si amplifica quando le strutture politiche ed economiche restano inerti o lo agevolano implicitamente</w:t>
      </w:r>
      <w:r w:rsidRPr="003139E4">
        <w:rPr>
          <w:rFonts w:ascii="Times New Roman" w:hAnsi="Times New Roman" w:cs="Times New Roman"/>
          <w:bCs/>
          <w:color w:val="000000"/>
          <w:sz w:val="24"/>
          <w:szCs w:val="24"/>
          <w:shd w:val="clear" w:color="auto" w:fill="FFFFFF"/>
          <w:vertAlign w:val="superscript"/>
        </w:rPr>
        <w:footnoteReference w:id="51"/>
      </w:r>
      <w:r w:rsidRPr="003139E4">
        <w:rPr>
          <w:rFonts w:ascii="Times New Roman" w:hAnsi="Times New Roman" w:cs="Times New Roman"/>
          <w:bCs/>
          <w:color w:val="000000"/>
          <w:sz w:val="24"/>
          <w:szCs w:val="24"/>
          <w:shd w:val="clear" w:color="auto" w:fill="FFFFFF"/>
        </w:rPr>
        <w:t>, così alimentando una sub-cultura della corruzione.</w:t>
      </w:r>
    </w:p>
    <w:p w14:paraId="082A63A2"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Entrambe le impostazioni appaiono in grado di spiegare l’evoluzione storica del fenomeno, conosciuto già nell’antichità classica</w:t>
      </w:r>
      <w:r w:rsidRPr="003139E4">
        <w:rPr>
          <w:rFonts w:ascii="Times New Roman" w:hAnsi="Times New Roman" w:cs="Times New Roman"/>
          <w:bCs/>
          <w:color w:val="000000"/>
          <w:sz w:val="24"/>
          <w:szCs w:val="24"/>
          <w:shd w:val="clear" w:color="auto" w:fill="FFFFFF"/>
          <w:vertAlign w:val="superscript"/>
        </w:rPr>
        <w:footnoteReference w:id="52"/>
      </w:r>
      <w:r w:rsidRPr="003139E4">
        <w:rPr>
          <w:rFonts w:ascii="Times New Roman" w:hAnsi="Times New Roman" w:cs="Times New Roman"/>
          <w:bCs/>
          <w:color w:val="000000"/>
          <w:sz w:val="24"/>
          <w:szCs w:val="24"/>
          <w:shd w:val="clear" w:color="auto" w:fill="FFFFFF"/>
        </w:rPr>
        <w:t xml:space="preserve"> e ben noto sin dai primordi dell’Unità d’Italia. </w:t>
      </w:r>
    </w:p>
    <w:p w14:paraId="5D3CF90B"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 xml:space="preserve">Il trasformismo che connotò la Sinistra Storica di Agostino Depretis è stato, infatti, accostato all’odierna idea di corruzione, in quanto consisteva nel cambio di schieramento politico in cambio di </w:t>
      </w:r>
      <w:r w:rsidRPr="003139E4">
        <w:rPr>
          <w:rFonts w:ascii="Times New Roman" w:hAnsi="Times New Roman" w:cs="Times New Roman"/>
          <w:bCs/>
          <w:color w:val="000000"/>
          <w:sz w:val="24"/>
          <w:szCs w:val="24"/>
          <w:shd w:val="clear" w:color="auto" w:fill="FFFFFF"/>
        </w:rPr>
        <w:lastRenderedPageBreak/>
        <w:t>vantaggi della più varia natura</w:t>
      </w:r>
      <w:r w:rsidRPr="003139E4">
        <w:rPr>
          <w:rFonts w:ascii="Times New Roman" w:hAnsi="Times New Roman" w:cs="Times New Roman"/>
          <w:bCs/>
          <w:color w:val="000000"/>
          <w:sz w:val="24"/>
          <w:szCs w:val="24"/>
          <w:shd w:val="clear" w:color="auto" w:fill="FFFFFF"/>
          <w:vertAlign w:val="superscript"/>
        </w:rPr>
        <w:footnoteReference w:id="53"/>
      </w:r>
      <w:r w:rsidRPr="003139E4">
        <w:rPr>
          <w:rFonts w:ascii="Times New Roman" w:hAnsi="Times New Roman" w:cs="Times New Roman"/>
          <w:bCs/>
          <w:color w:val="000000"/>
          <w:sz w:val="24"/>
          <w:szCs w:val="24"/>
          <w:shd w:val="clear" w:color="auto" w:fill="FFFFFF"/>
        </w:rPr>
        <w:t>; inoltre, l’eccessiva influenza della politica sull’amministrazione assunse, spesso, tratti patologici</w:t>
      </w:r>
      <w:r w:rsidRPr="003139E4">
        <w:rPr>
          <w:rFonts w:ascii="Times New Roman" w:hAnsi="Times New Roman" w:cs="Times New Roman"/>
          <w:bCs/>
          <w:color w:val="000000"/>
          <w:sz w:val="24"/>
          <w:szCs w:val="24"/>
          <w:shd w:val="clear" w:color="auto" w:fill="FFFFFF"/>
          <w:vertAlign w:val="superscript"/>
        </w:rPr>
        <w:footnoteReference w:id="54"/>
      </w:r>
      <w:r w:rsidRPr="003139E4">
        <w:rPr>
          <w:rFonts w:ascii="Times New Roman" w:hAnsi="Times New Roman" w:cs="Times New Roman"/>
          <w:bCs/>
          <w:color w:val="000000"/>
          <w:sz w:val="24"/>
          <w:szCs w:val="24"/>
          <w:shd w:val="clear" w:color="auto" w:fill="FFFFFF"/>
        </w:rPr>
        <w:t>.</w:t>
      </w:r>
    </w:p>
    <w:p w14:paraId="072B07DF"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La malamministrazione continuò a serpeggiare durante il regime autoritario</w:t>
      </w:r>
      <w:r w:rsidRPr="003139E4">
        <w:rPr>
          <w:rFonts w:ascii="Times New Roman" w:hAnsi="Times New Roman" w:cs="Times New Roman"/>
          <w:bCs/>
          <w:color w:val="000000"/>
          <w:sz w:val="24"/>
          <w:szCs w:val="24"/>
          <w:shd w:val="clear" w:color="auto" w:fill="FFFFFF"/>
          <w:vertAlign w:val="superscript"/>
        </w:rPr>
        <w:footnoteReference w:id="55"/>
      </w:r>
      <w:r w:rsidRPr="003139E4">
        <w:rPr>
          <w:rFonts w:ascii="Times New Roman" w:hAnsi="Times New Roman" w:cs="Times New Roman"/>
          <w:bCs/>
          <w:color w:val="000000"/>
          <w:sz w:val="24"/>
          <w:szCs w:val="24"/>
          <w:shd w:val="clear" w:color="auto" w:fill="FFFFFF"/>
        </w:rPr>
        <w:t xml:space="preserve"> e non si dissolse in epoca repubblicana</w:t>
      </w:r>
      <w:r w:rsidRPr="003139E4">
        <w:rPr>
          <w:rFonts w:ascii="Times New Roman" w:hAnsi="Times New Roman" w:cs="Times New Roman"/>
          <w:bCs/>
          <w:color w:val="000000"/>
          <w:sz w:val="24"/>
          <w:szCs w:val="24"/>
          <w:shd w:val="clear" w:color="auto" w:fill="FFFFFF"/>
          <w:vertAlign w:val="superscript"/>
        </w:rPr>
        <w:footnoteReference w:id="56"/>
      </w:r>
      <w:r w:rsidRPr="003139E4">
        <w:rPr>
          <w:rFonts w:ascii="Times New Roman" w:hAnsi="Times New Roman" w:cs="Times New Roman"/>
          <w:bCs/>
          <w:color w:val="000000"/>
          <w:sz w:val="24"/>
          <w:szCs w:val="24"/>
          <w:shd w:val="clear" w:color="auto" w:fill="FFFFFF"/>
        </w:rPr>
        <w:t>, nonostante la presenza di “competenze professionali tecniche molto numerose e dotate di poteri incisivi” nonché la sussistenza di un corpo e di una funzione ispettiva autorevole nelle amministrazioni statali</w:t>
      </w:r>
      <w:r w:rsidRPr="003139E4">
        <w:rPr>
          <w:rFonts w:ascii="Times New Roman" w:hAnsi="Times New Roman" w:cs="Times New Roman"/>
          <w:bCs/>
          <w:color w:val="000000"/>
          <w:sz w:val="24"/>
          <w:szCs w:val="24"/>
          <w:shd w:val="clear" w:color="auto" w:fill="FFFFFF"/>
          <w:vertAlign w:val="superscript"/>
        </w:rPr>
        <w:footnoteReference w:id="57"/>
      </w:r>
      <w:r w:rsidRPr="003139E4">
        <w:rPr>
          <w:rFonts w:ascii="Times New Roman" w:hAnsi="Times New Roman" w:cs="Times New Roman"/>
          <w:bCs/>
          <w:color w:val="000000"/>
          <w:sz w:val="24"/>
          <w:szCs w:val="24"/>
          <w:shd w:val="clear" w:color="auto" w:fill="FFFFFF"/>
        </w:rPr>
        <w:t>. Il declino della qualità dell’amministrazione è dovuto, secondo alcune voci dottrinali, anche all’allentamento della presa dal centro sull’azione delle periferie, parallelamente al rafforzamento del principio di autonomia territoriale, che transitò attraverso l’istituzione delle Regioni nel 1970, la progressiva devoluzione delle funzioni amministrative e la riforma del Titolo V nel 2001</w:t>
      </w:r>
      <w:r w:rsidRPr="003139E4">
        <w:rPr>
          <w:rFonts w:ascii="Times New Roman" w:hAnsi="Times New Roman" w:cs="Times New Roman"/>
          <w:bCs/>
          <w:color w:val="000000"/>
          <w:sz w:val="24"/>
          <w:szCs w:val="24"/>
          <w:shd w:val="clear" w:color="auto" w:fill="FFFFFF"/>
          <w:vertAlign w:val="superscript"/>
        </w:rPr>
        <w:footnoteReference w:id="58"/>
      </w:r>
      <w:r w:rsidRPr="003139E4">
        <w:rPr>
          <w:rFonts w:ascii="Times New Roman" w:hAnsi="Times New Roman" w:cs="Times New Roman"/>
          <w:bCs/>
          <w:color w:val="000000"/>
          <w:sz w:val="24"/>
          <w:szCs w:val="24"/>
          <w:shd w:val="clear" w:color="auto" w:fill="FFFFFF"/>
        </w:rPr>
        <w:t>.</w:t>
      </w:r>
    </w:p>
    <w:p w14:paraId="18D9A691"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Nonostante la presenza di documenti ufficiali che stigmatizzavano l’inefficienza e la corruzione delle pubbliche amministrazioni, quali il “Rapporto Giannini” del 1979 e la “Relazione Cassese” nel 1993, la situazione proruppe in un crescendo rossiniano che sfociò nel famoso discorso pronunciato da Bettino Craxi alla Camera dei Deputati il 3 luglio 1992 e nell’imponente reazione rappresentata da “Mani Pulite”, la cui eco risuona ancor oggi nei libri di storia</w:t>
      </w:r>
      <w:r w:rsidRPr="003139E4">
        <w:rPr>
          <w:rFonts w:ascii="Times New Roman" w:hAnsi="Times New Roman" w:cs="Times New Roman"/>
          <w:bCs/>
          <w:color w:val="000000"/>
          <w:sz w:val="24"/>
          <w:szCs w:val="24"/>
          <w:shd w:val="clear" w:color="auto" w:fill="FFFFFF"/>
          <w:vertAlign w:val="superscript"/>
        </w:rPr>
        <w:footnoteReference w:id="59"/>
      </w:r>
      <w:r w:rsidRPr="003139E4">
        <w:rPr>
          <w:rFonts w:ascii="Times New Roman" w:hAnsi="Times New Roman" w:cs="Times New Roman"/>
          <w:bCs/>
          <w:color w:val="000000"/>
          <w:sz w:val="24"/>
          <w:szCs w:val="24"/>
          <w:shd w:val="clear" w:color="auto" w:fill="FFFFFF"/>
        </w:rPr>
        <w:t xml:space="preserve"> e nella memoria dei cittadini.</w:t>
      </w:r>
    </w:p>
    <w:p w14:paraId="6C3DFB48"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Se la corruzione è definibile nei termini che precedono, l’anticorruzione si risolve in quell’insieme di politiche, modelli e regole che “si rivolgono a definire non tanto una strategia di contrasto criminale, quanto piuttosto le precondizioni di buona amministrazione e di integrità che rendono … più difficile l’emergere di patologie”</w:t>
      </w:r>
      <w:r w:rsidRPr="003139E4">
        <w:rPr>
          <w:rFonts w:ascii="Times New Roman" w:hAnsi="Times New Roman" w:cs="Times New Roman"/>
          <w:bCs/>
          <w:color w:val="000000"/>
          <w:sz w:val="24"/>
          <w:szCs w:val="24"/>
          <w:shd w:val="clear" w:color="auto" w:fill="FFFFFF"/>
          <w:vertAlign w:val="superscript"/>
        </w:rPr>
        <w:footnoteReference w:id="60"/>
      </w:r>
      <w:r w:rsidRPr="003139E4">
        <w:rPr>
          <w:rFonts w:ascii="Times New Roman" w:hAnsi="Times New Roman" w:cs="Times New Roman"/>
          <w:bCs/>
          <w:color w:val="000000"/>
          <w:sz w:val="24"/>
          <w:szCs w:val="24"/>
          <w:shd w:val="clear" w:color="auto" w:fill="FFFFFF"/>
        </w:rPr>
        <w:t xml:space="preserve">. </w:t>
      </w:r>
    </w:p>
    <w:p w14:paraId="20DDE91A"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Descrivere correttamente il fenomeno è imprescindibile ai fini della presente analisi, in quanto l’evoluzione generale del dibattito pubblico rischia, soprattutto negli ultimi anni, di portare il discorso sulla prevenzione della corruzione nel campo gravitazionale della criminalizzazione delle condotte corruttive, con improprie derive penalistiche, ciò che probabilmente è da riferirsi ai traumatici eventi storici prima rammentati</w:t>
      </w:r>
      <w:r w:rsidRPr="003139E4">
        <w:rPr>
          <w:rFonts w:ascii="Times New Roman" w:hAnsi="Times New Roman" w:cs="Times New Roman"/>
          <w:bCs/>
          <w:color w:val="000000"/>
          <w:sz w:val="24"/>
          <w:szCs w:val="24"/>
          <w:shd w:val="clear" w:color="auto" w:fill="FFFFFF"/>
          <w:vertAlign w:val="superscript"/>
        </w:rPr>
        <w:footnoteReference w:id="61"/>
      </w:r>
      <w:r w:rsidRPr="003139E4">
        <w:rPr>
          <w:rFonts w:ascii="Times New Roman" w:hAnsi="Times New Roman" w:cs="Times New Roman"/>
          <w:bCs/>
          <w:color w:val="000000"/>
          <w:sz w:val="24"/>
          <w:szCs w:val="24"/>
          <w:shd w:val="clear" w:color="auto" w:fill="FFFFFF"/>
        </w:rPr>
        <w:t>.</w:t>
      </w:r>
    </w:p>
    <w:p w14:paraId="7C444C4E"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Alla luce di un tale grado di pervasività del fenomeno, come suggerito dagli esaminati fattori di condizionamento storico, culturale ed economico e a prescindere da qualsiasi approfondimento in punto di misurazione quali-quantitativa (inutile in questa sede e per la quale si rinvia alla sterminata letteratura in materia</w:t>
      </w:r>
      <w:r w:rsidRPr="003139E4">
        <w:rPr>
          <w:rFonts w:ascii="Times New Roman" w:hAnsi="Times New Roman" w:cs="Times New Roman"/>
          <w:bCs/>
          <w:color w:val="000000"/>
          <w:sz w:val="24"/>
          <w:szCs w:val="24"/>
          <w:shd w:val="clear" w:color="auto" w:fill="FFFFFF"/>
          <w:vertAlign w:val="superscript"/>
        </w:rPr>
        <w:footnoteReference w:id="62"/>
      </w:r>
      <w:r w:rsidRPr="003139E4">
        <w:rPr>
          <w:rFonts w:ascii="Times New Roman" w:hAnsi="Times New Roman" w:cs="Times New Roman"/>
          <w:bCs/>
          <w:color w:val="000000"/>
          <w:sz w:val="24"/>
          <w:szCs w:val="24"/>
          <w:shd w:val="clear" w:color="auto" w:fill="FFFFFF"/>
        </w:rPr>
        <w:t>), interessa piuttosto evidenziare come sia stata definitivamente acquisita, sul piano delle politiche e della cultura dell’anticorruzione</w:t>
      </w:r>
      <w:r w:rsidRPr="003139E4">
        <w:rPr>
          <w:rFonts w:ascii="Times New Roman" w:hAnsi="Times New Roman" w:cs="Times New Roman"/>
          <w:bCs/>
          <w:color w:val="000000"/>
          <w:sz w:val="24"/>
          <w:szCs w:val="24"/>
          <w:shd w:val="clear" w:color="auto" w:fill="FFFFFF"/>
          <w:vertAlign w:val="superscript"/>
        </w:rPr>
        <w:footnoteReference w:id="63"/>
      </w:r>
      <w:r w:rsidRPr="003139E4">
        <w:rPr>
          <w:rFonts w:ascii="Times New Roman" w:hAnsi="Times New Roman" w:cs="Times New Roman"/>
          <w:bCs/>
          <w:color w:val="000000"/>
          <w:sz w:val="24"/>
          <w:szCs w:val="24"/>
          <w:shd w:val="clear" w:color="auto" w:fill="FFFFFF"/>
        </w:rPr>
        <w:t xml:space="preserve">, la necessità di un approccio non solo </w:t>
      </w:r>
      <w:r w:rsidRPr="003139E4">
        <w:rPr>
          <w:rFonts w:ascii="Times New Roman" w:hAnsi="Times New Roman" w:cs="Times New Roman"/>
          <w:bCs/>
          <w:color w:val="000000"/>
          <w:sz w:val="24"/>
          <w:szCs w:val="24"/>
          <w:shd w:val="clear" w:color="auto" w:fill="FFFFFF"/>
        </w:rPr>
        <w:lastRenderedPageBreak/>
        <w:t xml:space="preserve">repressivo-penale ed </w:t>
      </w:r>
      <w:r w:rsidRPr="003139E4">
        <w:rPr>
          <w:rFonts w:ascii="Times New Roman" w:hAnsi="Times New Roman" w:cs="Times New Roman"/>
          <w:bCs/>
          <w:i/>
          <w:color w:val="000000"/>
          <w:sz w:val="24"/>
          <w:szCs w:val="24"/>
          <w:shd w:val="clear" w:color="auto" w:fill="FFFFFF"/>
        </w:rPr>
        <w:t>ex post</w:t>
      </w:r>
      <w:r w:rsidRPr="003139E4">
        <w:rPr>
          <w:rFonts w:ascii="Times New Roman" w:hAnsi="Times New Roman" w:cs="Times New Roman"/>
          <w:bCs/>
          <w:color w:val="000000"/>
          <w:sz w:val="24"/>
          <w:szCs w:val="24"/>
          <w:shd w:val="clear" w:color="auto" w:fill="FFFFFF"/>
        </w:rPr>
        <w:t xml:space="preserve">, ma anche preventivo-amministrativo ed </w:t>
      </w:r>
      <w:r w:rsidRPr="003139E4">
        <w:rPr>
          <w:rFonts w:ascii="Times New Roman" w:hAnsi="Times New Roman" w:cs="Times New Roman"/>
          <w:bCs/>
          <w:i/>
          <w:color w:val="000000"/>
          <w:sz w:val="24"/>
          <w:szCs w:val="24"/>
          <w:shd w:val="clear" w:color="auto" w:fill="FFFFFF"/>
        </w:rPr>
        <w:t>ex ante</w:t>
      </w:r>
      <w:r w:rsidRPr="003139E4">
        <w:rPr>
          <w:rFonts w:ascii="Times New Roman" w:hAnsi="Times New Roman" w:cs="Times New Roman"/>
          <w:bCs/>
          <w:color w:val="000000"/>
          <w:sz w:val="24"/>
          <w:szCs w:val="24"/>
          <w:shd w:val="clear" w:color="auto" w:fill="FFFFFF"/>
        </w:rPr>
        <w:t xml:space="preserve"> nella lotta al fenomeno corruttivo</w:t>
      </w:r>
      <w:r w:rsidRPr="003139E4">
        <w:rPr>
          <w:rFonts w:ascii="Times New Roman" w:hAnsi="Times New Roman" w:cs="Times New Roman"/>
          <w:bCs/>
          <w:color w:val="000000"/>
          <w:sz w:val="24"/>
          <w:szCs w:val="24"/>
          <w:shd w:val="clear" w:color="auto" w:fill="FFFFFF"/>
          <w:vertAlign w:val="superscript"/>
        </w:rPr>
        <w:footnoteReference w:id="64"/>
      </w:r>
      <w:r w:rsidRPr="003139E4">
        <w:rPr>
          <w:rFonts w:ascii="Times New Roman" w:hAnsi="Times New Roman" w:cs="Times New Roman"/>
          <w:bCs/>
          <w:color w:val="000000"/>
          <w:sz w:val="24"/>
          <w:szCs w:val="24"/>
          <w:shd w:val="clear" w:color="auto" w:fill="FFFFFF"/>
        </w:rPr>
        <w:t>.</w:t>
      </w:r>
    </w:p>
    <w:p w14:paraId="63303F93"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Tale circostanza ha determinato, in primo luogo, una fioritura degli studi aventi a oggetto l’etica del dipendente pubblico</w:t>
      </w:r>
      <w:r w:rsidRPr="003139E4">
        <w:rPr>
          <w:rFonts w:ascii="Times New Roman" w:hAnsi="Times New Roman" w:cs="Times New Roman"/>
          <w:bCs/>
          <w:color w:val="000000"/>
          <w:sz w:val="24"/>
          <w:szCs w:val="24"/>
          <w:shd w:val="clear" w:color="auto" w:fill="FFFFFF"/>
          <w:vertAlign w:val="superscript"/>
        </w:rPr>
        <w:footnoteReference w:id="65"/>
      </w:r>
      <w:r w:rsidRPr="003139E4">
        <w:rPr>
          <w:rFonts w:ascii="Times New Roman" w:hAnsi="Times New Roman" w:cs="Times New Roman"/>
          <w:bCs/>
          <w:color w:val="000000"/>
          <w:sz w:val="24"/>
          <w:szCs w:val="24"/>
          <w:shd w:val="clear" w:color="auto" w:fill="FFFFFF"/>
        </w:rPr>
        <w:t xml:space="preserve"> e la riscoperta del relativo ancoraggio costituzionale (sebbene implicito, secondo alcuni</w:t>
      </w:r>
      <w:r w:rsidRPr="003139E4">
        <w:rPr>
          <w:rFonts w:ascii="Times New Roman" w:hAnsi="Times New Roman" w:cs="Times New Roman"/>
          <w:bCs/>
          <w:color w:val="000000"/>
          <w:sz w:val="24"/>
          <w:szCs w:val="24"/>
          <w:shd w:val="clear" w:color="auto" w:fill="FFFFFF"/>
          <w:vertAlign w:val="superscript"/>
        </w:rPr>
        <w:footnoteReference w:id="66"/>
      </w:r>
      <w:r w:rsidRPr="003139E4">
        <w:rPr>
          <w:rFonts w:ascii="Times New Roman" w:hAnsi="Times New Roman" w:cs="Times New Roman"/>
          <w:bCs/>
          <w:color w:val="000000"/>
          <w:sz w:val="24"/>
          <w:szCs w:val="24"/>
          <w:shd w:val="clear" w:color="auto" w:fill="FFFFFF"/>
        </w:rPr>
        <w:t>) negli artt. 54, 97 e 98 Cost. Infatti, “se è indubbio che il rapporto d’impiego determini il sorgere di posizioni giuridiche verso l’amministrazione d’appartenenza, occorre riconoscere che alle stesse si giustappongono - senza confondersi - i doveri o gli obblighi di disciplina e onore previsti dalla Costituzione in coloro cui sono affidate funzioni pubbliche senz'altra precisazione (art. 54, comma 2, Cost.), tra i quali emergono per rilievo i pubblici impiegati (art. 98 Cost.)”</w:t>
      </w:r>
      <w:r w:rsidRPr="003139E4">
        <w:rPr>
          <w:rFonts w:ascii="Times New Roman" w:hAnsi="Times New Roman" w:cs="Times New Roman"/>
          <w:bCs/>
          <w:color w:val="000000"/>
          <w:sz w:val="24"/>
          <w:szCs w:val="24"/>
          <w:shd w:val="clear" w:color="auto" w:fill="FFFFFF"/>
          <w:vertAlign w:val="superscript"/>
        </w:rPr>
        <w:footnoteReference w:id="67"/>
      </w:r>
      <w:r w:rsidRPr="003139E4">
        <w:rPr>
          <w:rFonts w:ascii="Times New Roman" w:hAnsi="Times New Roman" w:cs="Times New Roman"/>
          <w:bCs/>
          <w:color w:val="000000"/>
          <w:sz w:val="24"/>
          <w:szCs w:val="24"/>
          <w:shd w:val="clear" w:color="auto" w:fill="FFFFFF"/>
        </w:rPr>
        <w:t>.</w:t>
      </w:r>
    </w:p>
    <w:p w14:paraId="4D03D254"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L’accentuazione della rilevanza dell’integrità morale del dipendente, come si dirà in sede di analisi dei codici di comportamento, rappresenta, in sé, un dato certamente positivo</w:t>
      </w:r>
      <w:r w:rsidRPr="003139E4">
        <w:rPr>
          <w:rFonts w:ascii="Times New Roman" w:hAnsi="Times New Roman" w:cs="Times New Roman"/>
          <w:bCs/>
          <w:color w:val="000000"/>
          <w:sz w:val="24"/>
          <w:szCs w:val="24"/>
          <w:shd w:val="clear" w:color="auto" w:fill="FFFFFF"/>
          <w:vertAlign w:val="superscript"/>
        </w:rPr>
        <w:footnoteReference w:id="68"/>
      </w:r>
      <w:r w:rsidRPr="003139E4">
        <w:rPr>
          <w:rFonts w:ascii="Times New Roman" w:hAnsi="Times New Roman" w:cs="Times New Roman"/>
          <w:bCs/>
          <w:color w:val="000000"/>
          <w:sz w:val="24"/>
          <w:szCs w:val="24"/>
          <w:shd w:val="clear" w:color="auto" w:fill="FFFFFF"/>
        </w:rPr>
        <w:t>; la corruzione, infatti, oltre a cagionare danni macroeconomici rilevanti, compromette la qualità delle istituzioni</w:t>
      </w:r>
      <w:r w:rsidRPr="003139E4">
        <w:rPr>
          <w:rFonts w:ascii="Times New Roman" w:hAnsi="Times New Roman" w:cs="Times New Roman"/>
          <w:bCs/>
          <w:color w:val="000000"/>
          <w:sz w:val="24"/>
          <w:szCs w:val="24"/>
          <w:shd w:val="clear" w:color="auto" w:fill="FFFFFF"/>
          <w:vertAlign w:val="superscript"/>
        </w:rPr>
        <w:footnoteReference w:id="69"/>
      </w:r>
      <w:r w:rsidRPr="003139E4">
        <w:rPr>
          <w:rFonts w:ascii="Times New Roman" w:hAnsi="Times New Roman" w:cs="Times New Roman"/>
          <w:bCs/>
          <w:color w:val="000000"/>
          <w:sz w:val="24"/>
          <w:szCs w:val="24"/>
          <w:shd w:val="clear" w:color="auto" w:fill="FFFFFF"/>
        </w:rPr>
        <w:t>, l’onestà dei funzionari</w:t>
      </w:r>
      <w:r w:rsidRPr="003139E4">
        <w:rPr>
          <w:rFonts w:ascii="Times New Roman" w:hAnsi="Times New Roman" w:cs="Times New Roman"/>
          <w:bCs/>
          <w:color w:val="000000"/>
          <w:sz w:val="24"/>
          <w:szCs w:val="24"/>
          <w:shd w:val="clear" w:color="auto" w:fill="FFFFFF"/>
          <w:vertAlign w:val="superscript"/>
        </w:rPr>
        <w:footnoteReference w:id="70"/>
      </w:r>
      <w:r w:rsidRPr="003139E4">
        <w:rPr>
          <w:rFonts w:ascii="Times New Roman" w:hAnsi="Times New Roman" w:cs="Times New Roman"/>
          <w:bCs/>
          <w:color w:val="000000"/>
          <w:sz w:val="24"/>
          <w:szCs w:val="24"/>
          <w:shd w:val="clear" w:color="auto" w:fill="FFFFFF"/>
        </w:rPr>
        <w:t xml:space="preserve"> e, in definitiva, la buona amministrazione.</w:t>
      </w:r>
    </w:p>
    <w:p w14:paraId="26A8B7E2"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Tuttavia, in parallelo, l’esigenza di moralizzazione dei pubblici dipendenti sembra aver generato un approccio generale alla tematica molto severo, con ogni probabilità derivante dalle dimensioni del fenomeno e ben espresso dalle seguenti parole: “</w:t>
      </w:r>
      <w:r w:rsidRPr="003139E4">
        <w:rPr>
          <w:rFonts w:ascii="Times New Roman" w:hAnsi="Times New Roman" w:cs="Times New Roman"/>
          <w:bCs/>
          <w:i/>
          <w:color w:val="000000"/>
          <w:sz w:val="24"/>
          <w:szCs w:val="24"/>
          <w:shd w:val="clear" w:color="auto" w:fill="FFFFFF"/>
        </w:rPr>
        <w:t>More needs to be done to effectively convey to the public at large the message that no impunity is tolerated in the fight against corruption; such a message must be based on concrete and determined actions</w:t>
      </w:r>
      <w:r w:rsidRPr="003139E4">
        <w:rPr>
          <w:rFonts w:ascii="Times New Roman" w:hAnsi="Times New Roman" w:cs="Times New Roman"/>
          <w:bCs/>
          <w:color w:val="000000"/>
          <w:sz w:val="24"/>
          <w:szCs w:val="24"/>
          <w:shd w:val="clear" w:color="auto" w:fill="FFFFFF"/>
        </w:rPr>
        <w:t>”</w:t>
      </w:r>
      <w:r w:rsidRPr="003139E4">
        <w:rPr>
          <w:rFonts w:ascii="Times New Roman" w:hAnsi="Times New Roman" w:cs="Times New Roman"/>
          <w:bCs/>
          <w:color w:val="000000"/>
          <w:sz w:val="24"/>
          <w:szCs w:val="24"/>
          <w:shd w:val="clear" w:color="auto" w:fill="FFFFFF"/>
          <w:vertAlign w:val="superscript"/>
        </w:rPr>
        <w:footnoteReference w:id="71"/>
      </w:r>
      <w:r w:rsidRPr="003139E4">
        <w:rPr>
          <w:rFonts w:ascii="Times New Roman" w:hAnsi="Times New Roman" w:cs="Times New Roman"/>
          <w:bCs/>
          <w:color w:val="000000"/>
          <w:sz w:val="24"/>
          <w:szCs w:val="24"/>
          <w:shd w:val="clear" w:color="auto" w:fill="FFFFFF"/>
        </w:rPr>
        <w:t>. Il punto di emersione di tale approccio è costituito, già sul piano lessicale, dalla denominazione “spazzacorrotti” con cui è volgarmente nota la L. n. 3/2019; non è mancato chi abbia (giustamente) criticato tale scelta, connotata da eccessiva enfasi punitiva, sfociante in un vero e proprio populismo penale, in disparte l’illusione insita nell’idea di voler “spazzare via”, una volta per tutte, il fenomeno corruttivo.</w:t>
      </w:r>
    </w:p>
    <w:p w14:paraId="31A32B00"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 xml:space="preserve">Questo </w:t>
      </w:r>
      <w:r w:rsidRPr="003139E4">
        <w:rPr>
          <w:rFonts w:ascii="Times New Roman" w:hAnsi="Times New Roman" w:cs="Times New Roman"/>
          <w:bCs/>
          <w:i/>
          <w:color w:val="000000"/>
          <w:sz w:val="24"/>
          <w:szCs w:val="24"/>
          <w:shd w:val="clear" w:color="auto" w:fill="FFFFFF"/>
        </w:rPr>
        <w:t>humus</w:t>
      </w:r>
      <w:r w:rsidRPr="003139E4">
        <w:rPr>
          <w:rFonts w:ascii="Times New Roman" w:hAnsi="Times New Roman" w:cs="Times New Roman"/>
          <w:bCs/>
          <w:color w:val="000000"/>
          <w:sz w:val="24"/>
          <w:szCs w:val="24"/>
          <w:shd w:val="clear" w:color="auto" w:fill="FFFFFF"/>
        </w:rPr>
        <w:t xml:space="preserve"> culturale, a volte non totalmente scevro da intenti pedagogici</w:t>
      </w:r>
      <w:r w:rsidRPr="003139E4">
        <w:rPr>
          <w:rFonts w:ascii="Times New Roman" w:hAnsi="Times New Roman" w:cs="Times New Roman"/>
          <w:bCs/>
          <w:color w:val="000000"/>
          <w:sz w:val="24"/>
          <w:szCs w:val="24"/>
          <w:shd w:val="clear" w:color="auto" w:fill="FFFFFF"/>
          <w:vertAlign w:val="superscript"/>
        </w:rPr>
        <w:footnoteReference w:id="72"/>
      </w:r>
      <w:r w:rsidRPr="003139E4">
        <w:rPr>
          <w:rFonts w:ascii="Times New Roman" w:hAnsi="Times New Roman" w:cs="Times New Roman"/>
          <w:bCs/>
          <w:color w:val="000000"/>
          <w:sz w:val="24"/>
          <w:szCs w:val="24"/>
          <w:shd w:val="clear" w:color="auto" w:fill="FFFFFF"/>
        </w:rPr>
        <w:t xml:space="preserve">, ha generato un sistema normativo estremamente articolato: la L. n. 190/2012 ha istituito un sistema di pianificazione, elemento ormai imprescindibile nell’ottica programmatoria che pervade le Pubbliche </w:t>
      </w:r>
      <w:r w:rsidRPr="003139E4">
        <w:rPr>
          <w:rFonts w:ascii="Times New Roman" w:hAnsi="Times New Roman" w:cs="Times New Roman"/>
          <w:bCs/>
          <w:color w:val="000000"/>
          <w:sz w:val="24"/>
          <w:szCs w:val="24"/>
          <w:shd w:val="clear" w:color="auto" w:fill="FFFFFF"/>
        </w:rPr>
        <w:lastRenderedPageBreak/>
        <w:t>Amministrazioni</w:t>
      </w:r>
      <w:r w:rsidRPr="003139E4">
        <w:rPr>
          <w:rFonts w:ascii="Times New Roman" w:hAnsi="Times New Roman" w:cs="Times New Roman"/>
          <w:bCs/>
          <w:color w:val="000000"/>
          <w:sz w:val="24"/>
          <w:szCs w:val="24"/>
          <w:shd w:val="clear" w:color="auto" w:fill="FFFFFF"/>
          <w:vertAlign w:val="superscript"/>
        </w:rPr>
        <w:footnoteReference w:id="73"/>
      </w:r>
      <w:r w:rsidRPr="003139E4">
        <w:rPr>
          <w:rFonts w:ascii="Times New Roman" w:hAnsi="Times New Roman" w:cs="Times New Roman"/>
          <w:bCs/>
          <w:color w:val="000000"/>
          <w:sz w:val="24"/>
          <w:szCs w:val="24"/>
          <w:shd w:val="clear" w:color="auto" w:fill="FFFFFF"/>
        </w:rPr>
        <w:t xml:space="preserve">, in cui il Piano Nazionale Anticorruzione (PNA) funge da atto di indirizzo per l’adozione dei Piani Triennali di Prevenzione della Corruzione e della Trasparenza (oggi riassorbiti nella sottosezione “Anticorruzione” del PIAO, su cui si tornerà) da parte delle singole Amministrazioni; alla legge generale ha fatto seguito uno stuolo di decreti attuativi, in materia di accesso civico semplice (D. Lgs. n. 33/2013), inconferibilità e incompatibilità di incarichi presso le PP.AA. (D. Lgs. n. 39/2013), codice di comportamento dei pubblici dipendenti (d.P.R. n. 62/2013, recentemente novellato con d.P.R. n. 81/2023), accesso civico generalizzato (D. Lgs. n. 97/2016), modifiche normative in tema di </w:t>
      </w:r>
      <w:r w:rsidRPr="003139E4">
        <w:rPr>
          <w:rFonts w:ascii="Times New Roman" w:hAnsi="Times New Roman" w:cs="Times New Roman"/>
          <w:bCs/>
          <w:i/>
          <w:color w:val="000000"/>
          <w:sz w:val="24"/>
          <w:szCs w:val="24"/>
          <w:shd w:val="clear" w:color="auto" w:fill="FFFFFF"/>
        </w:rPr>
        <w:t xml:space="preserve">whistleblowing </w:t>
      </w:r>
      <w:r w:rsidRPr="003139E4">
        <w:rPr>
          <w:rFonts w:ascii="Times New Roman" w:hAnsi="Times New Roman" w:cs="Times New Roman"/>
          <w:bCs/>
          <w:color w:val="000000"/>
          <w:sz w:val="24"/>
          <w:szCs w:val="24"/>
          <w:shd w:val="clear" w:color="auto" w:fill="FFFFFF"/>
        </w:rPr>
        <w:t>(dapprima L. n. 179/2017 e, da ultimo, D. Lgs. n. 24/2023).</w:t>
      </w:r>
    </w:p>
    <w:p w14:paraId="5BB566EE"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In questo quadro sistematico, la prassi applicativa ha rivelato alcune tendenze abbastanza evidenti:</w:t>
      </w:r>
    </w:p>
    <w:p w14:paraId="593AA0AF" w14:textId="77777777"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sospetto nei confronti della discrezionalità rimessa ai dipendenti pubblici</w:t>
      </w:r>
      <w:r w:rsidRPr="003139E4">
        <w:rPr>
          <w:rFonts w:ascii="Times New Roman" w:hAnsi="Times New Roman" w:cs="Times New Roman"/>
          <w:bCs/>
          <w:color w:val="000000"/>
          <w:sz w:val="24"/>
          <w:szCs w:val="24"/>
          <w:shd w:val="clear" w:color="auto" w:fill="FFFFFF"/>
          <w:vertAlign w:val="superscript"/>
        </w:rPr>
        <w:footnoteReference w:id="74"/>
      </w:r>
      <w:r w:rsidRPr="003139E4">
        <w:rPr>
          <w:rFonts w:ascii="Times New Roman" w:hAnsi="Times New Roman" w:cs="Times New Roman"/>
          <w:bCs/>
          <w:color w:val="000000"/>
          <w:sz w:val="24"/>
          <w:szCs w:val="24"/>
          <w:shd w:val="clear" w:color="auto" w:fill="FFFFFF"/>
        </w:rPr>
        <w:t>, soprattutto nel settore dei contratti pubblici, ove sembra significativa la soppressione, già dal 2014, della precedente Autorità di Vigilanza (AVCP) per attribuire all’ANAC rilevanti poteri di regolamentazione, vigilanza, ispettivi e sanzionatori</w:t>
      </w:r>
      <w:r w:rsidRPr="003139E4">
        <w:rPr>
          <w:rFonts w:ascii="Times New Roman" w:hAnsi="Times New Roman" w:cs="Times New Roman"/>
          <w:bCs/>
          <w:color w:val="000000"/>
          <w:sz w:val="24"/>
          <w:szCs w:val="24"/>
          <w:shd w:val="clear" w:color="auto" w:fill="FFFFFF"/>
          <w:vertAlign w:val="superscript"/>
        </w:rPr>
        <w:footnoteReference w:id="75"/>
      </w:r>
      <w:r w:rsidRPr="003139E4">
        <w:rPr>
          <w:rFonts w:ascii="Times New Roman" w:hAnsi="Times New Roman" w:cs="Times New Roman"/>
          <w:bCs/>
          <w:color w:val="000000"/>
          <w:sz w:val="24"/>
          <w:szCs w:val="24"/>
          <w:shd w:val="clear" w:color="auto" w:fill="FFFFFF"/>
        </w:rPr>
        <w:t>, unitamente a una legittimazione a ricorrere del tutto peculiare (art. 211, c. 1-</w:t>
      </w:r>
      <w:r w:rsidRPr="003139E4">
        <w:rPr>
          <w:rFonts w:ascii="Times New Roman" w:hAnsi="Times New Roman" w:cs="Times New Roman"/>
          <w:bCs/>
          <w:i/>
          <w:color w:val="000000"/>
          <w:sz w:val="24"/>
          <w:szCs w:val="24"/>
          <w:shd w:val="clear" w:color="auto" w:fill="FFFFFF"/>
        </w:rPr>
        <w:t>bis</w:t>
      </w:r>
      <w:r w:rsidRPr="003139E4">
        <w:rPr>
          <w:rFonts w:ascii="Times New Roman" w:hAnsi="Times New Roman" w:cs="Times New Roman"/>
          <w:bCs/>
          <w:color w:val="000000"/>
          <w:sz w:val="24"/>
          <w:szCs w:val="24"/>
          <w:shd w:val="clear" w:color="auto" w:fill="FFFFFF"/>
        </w:rPr>
        <w:t xml:space="preserve">, D. Lgs. n. 50/2016) e alla riduzione degli spazi applicativi dell’affidamento diretto (art. 36 D. Lgs. n. 50/2016) dovuta, al tempo stesso, a una certa logica di </w:t>
      </w:r>
      <w:r w:rsidRPr="003139E4">
        <w:rPr>
          <w:rFonts w:ascii="Times New Roman" w:hAnsi="Times New Roman" w:cs="Times New Roman"/>
          <w:bCs/>
          <w:i/>
          <w:color w:val="000000"/>
          <w:sz w:val="24"/>
          <w:szCs w:val="24"/>
          <w:shd w:val="clear" w:color="auto" w:fill="FFFFFF"/>
        </w:rPr>
        <w:t>sfiducia</w:t>
      </w:r>
      <w:r w:rsidRPr="003139E4">
        <w:rPr>
          <w:rFonts w:ascii="Times New Roman" w:hAnsi="Times New Roman" w:cs="Times New Roman"/>
          <w:bCs/>
          <w:color w:val="000000"/>
          <w:sz w:val="24"/>
          <w:szCs w:val="24"/>
          <w:shd w:val="clear" w:color="auto" w:fill="FFFFFF"/>
        </w:rPr>
        <w:t xml:space="preserve"> nei confronti degli operatori delle stazioni appaltanti e all’eccessiva enfatizzazione del valore concorrenza</w:t>
      </w:r>
      <w:r w:rsidRPr="003139E4">
        <w:rPr>
          <w:rFonts w:ascii="Times New Roman" w:hAnsi="Times New Roman" w:cs="Times New Roman"/>
          <w:bCs/>
          <w:color w:val="000000"/>
          <w:sz w:val="24"/>
          <w:szCs w:val="24"/>
          <w:shd w:val="clear" w:color="auto" w:fill="FFFFFF"/>
          <w:vertAlign w:val="superscript"/>
        </w:rPr>
        <w:footnoteReference w:id="76"/>
      </w:r>
      <w:r w:rsidRPr="003139E4">
        <w:rPr>
          <w:rFonts w:ascii="Times New Roman" w:hAnsi="Times New Roman" w:cs="Times New Roman"/>
          <w:bCs/>
          <w:color w:val="000000"/>
          <w:sz w:val="24"/>
          <w:szCs w:val="24"/>
          <w:shd w:val="clear" w:color="auto" w:fill="FFFFFF"/>
        </w:rPr>
        <w:t xml:space="preserve">, oggi decisamente ridimensionata dall’impianto complessivo del D. Lgs. n. 36/2023, che la interpreta quale mezzo e non quale fine; </w:t>
      </w:r>
    </w:p>
    <w:p w14:paraId="39334CD1" w14:textId="58CF27C3"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 xml:space="preserve">valorizzazione (o aggravio?) della figura del Responsabile della Prevenzione della Corruzione e della Trasparenza (RPCT) attraverso l’attribuzione di compiti sempre più numerosi (redazione e monitoraggio del PTPCT, a pena di incappare in sanzioni derivanti dal rigido regime di responsabilità di cui agli artt. 12 e 14 L. n. 190/2012; controllo sull’adempimento da parte dell’amministrazione degli obblighi di pubblicazione previsti dalla normativa vigente, quantitativamente sempre più rilevanti; ricezione dei ricorsi gerarchici impropri in materia di accesso civico; cura dei rapporti con l’organo di indirizzo politico e con gli OIV), di difficilissima gestione in determinate PP.AA. (si pensi ai piccoli Comuni, ove il RPCT coincide “di norma”, </w:t>
      </w:r>
      <w:r w:rsidRPr="003139E4">
        <w:rPr>
          <w:rFonts w:ascii="Times New Roman" w:hAnsi="Times New Roman" w:cs="Times New Roman"/>
          <w:bCs/>
          <w:i/>
          <w:color w:val="000000"/>
          <w:sz w:val="24"/>
          <w:szCs w:val="24"/>
          <w:shd w:val="clear" w:color="auto" w:fill="FFFFFF"/>
        </w:rPr>
        <w:t>ex</w:t>
      </w:r>
      <w:r w:rsidRPr="003139E4">
        <w:rPr>
          <w:rFonts w:ascii="Times New Roman" w:hAnsi="Times New Roman" w:cs="Times New Roman"/>
          <w:bCs/>
          <w:color w:val="000000"/>
          <w:sz w:val="24"/>
          <w:szCs w:val="24"/>
          <w:shd w:val="clear" w:color="auto" w:fill="FFFFFF"/>
        </w:rPr>
        <w:t xml:space="preserve"> art. 1, c. 7, L. n. 190/2012, con il Segretario </w:t>
      </w:r>
      <w:r w:rsidR="00F75AF7">
        <w:rPr>
          <w:rFonts w:ascii="Times New Roman" w:hAnsi="Times New Roman" w:cs="Times New Roman"/>
          <w:bCs/>
          <w:color w:val="000000"/>
          <w:sz w:val="24"/>
          <w:szCs w:val="24"/>
          <w:shd w:val="clear" w:color="auto" w:fill="FFFFFF"/>
        </w:rPr>
        <w:t>comunale</w:t>
      </w:r>
      <w:r w:rsidRPr="003139E4">
        <w:rPr>
          <w:rFonts w:ascii="Times New Roman" w:hAnsi="Times New Roman" w:cs="Times New Roman"/>
          <w:bCs/>
          <w:color w:val="000000"/>
          <w:sz w:val="24"/>
          <w:szCs w:val="24"/>
          <w:shd w:val="clear" w:color="auto" w:fill="FFFFFF"/>
        </w:rPr>
        <w:t xml:space="preserve">, già impegnato </w:t>
      </w:r>
      <w:r w:rsidRPr="003139E4">
        <w:rPr>
          <w:rFonts w:ascii="Times New Roman" w:hAnsi="Times New Roman" w:cs="Times New Roman"/>
          <w:bCs/>
          <w:color w:val="000000"/>
          <w:sz w:val="24"/>
          <w:szCs w:val="24"/>
          <w:shd w:val="clear" w:color="auto" w:fill="FFFFFF"/>
        </w:rPr>
        <w:lastRenderedPageBreak/>
        <w:t>da una enorme massa di adempimenti e coinvolto in tutti i principali processi che, in ottica manageriale, riguardano l’Ente);</w:t>
      </w:r>
    </w:p>
    <w:p w14:paraId="0016AF58" w14:textId="77777777"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predisposizione di un apposito apparato sanzionatorio amministrativo in caso di violazioni, la cui applicazione è rimessa all’Autorità Indipendente.</w:t>
      </w:r>
    </w:p>
    <w:p w14:paraId="0151660A"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Da ciò discende un quadro generale, confermato dall’esperienza concreta di chi vive quotidianamente l’esperienza del lavoro nelle PP.AA., non del tutto confortante:</w:t>
      </w:r>
    </w:p>
    <w:p w14:paraId="2AC44169" w14:textId="77777777"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all’atto del confronto della suddetta normativa con l’esperienza pratica, ne è derivato un “sistema fortemente burocratico, che richiede una messe enorme di adempimenti e raccolta di dati, poco capace effettivamente, però, di prevenire la corruzione”</w:t>
      </w:r>
      <w:r w:rsidRPr="003139E4">
        <w:rPr>
          <w:rFonts w:ascii="Times New Roman" w:hAnsi="Times New Roman" w:cs="Times New Roman"/>
          <w:bCs/>
          <w:color w:val="000000"/>
          <w:sz w:val="24"/>
          <w:szCs w:val="24"/>
          <w:shd w:val="clear" w:color="auto" w:fill="FFFFFF"/>
          <w:vertAlign w:val="superscript"/>
        </w:rPr>
        <w:footnoteReference w:id="77"/>
      </w:r>
      <w:r w:rsidRPr="003139E4">
        <w:rPr>
          <w:rFonts w:ascii="Times New Roman" w:hAnsi="Times New Roman" w:cs="Times New Roman"/>
          <w:bCs/>
          <w:color w:val="000000"/>
          <w:sz w:val="24"/>
          <w:szCs w:val="24"/>
          <w:shd w:val="clear" w:color="auto" w:fill="FFFFFF"/>
        </w:rPr>
        <w:t>;</w:t>
      </w:r>
    </w:p>
    <w:p w14:paraId="460E2DFB" w14:textId="77777777"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conseguente disaffezione da parte dei responsabili della prevenzione della corruzione, il cui pensiero principale “non è quello di porre in essere azioni di contrasto alla corruzione, ma il rispetto della scadenza per aggiornare il piano triennale, (…) se il dato richiesto tra i 228 imposti dalla griglia sugli adempimenti della trasparenza sia stato scritto per tempo, se la pubblicazione tra le decine richieste dall’articolo 29 del d.lgs. 50/2016 sia saltata”</w:t>
      </w:r>
      <w:r w:rsidRPr="003139E4">
        <w:rPr>
          <w:rFonts w:ascii="Times New Roman" w:hAnsi="Times New Roman" w:cs="Times New Roman"/>
          <w:bCs/>
          <w:color w:val="000000"/>
          <w:sz w:val="24"/>
          <w:szCs w:val="24"/>
          <w:shd w:val="clear" w:color="auto" w:fill="FFFFFF"/>
          <w:vertAlign w:val="superscript"/>
        </w:rPr>
        <w:footnoteReference w:id="78"/>
      </w:r>
      <w:r w:rsidRPr="003139E4">
        <w:rPr>
          <w:rFonts w:ascii="Times New Roman" w:hAnsi="Times New Roman" w:cs="Times New Roman"/>
          <w:bCs/>
          <w:color w:val="000000"/>
          <w:sz w:val="24"/>
          <w:szCs w:val="24"/>
          <w:shd w:val="clear" w:color="auto" w:fill="FFFFFF"/>
        </w:rPr>
        <w:t>;</w:t>
      </w:r>
    </w:p>
    <w:p w14:paraId="2906D45F" w14:textId="77777777"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insofferenza da parte degli organi di indirizzo politico, i quali, soprattutto nei piccoli Enti, percepiscono il sistema dell’anticorruzione quale “inutile consumo di carta”, che sottrae tempo ai dipendenti e non consente loro di conseguire tempestivamente altri obiettivi di amministrazione attiva;</w:t>
      </w:r>
    </w:p>
    <w:p w14:paraId="060E005B" w14:textId="04C4A926"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indifferenza da parte dei pubblici impiegati, i quali</w:t>
      </w:r>
      <w:r w:rsidR="00E740C2">
        <w:rPr>
          <w:rFonts w:ascii="Times New Roman" w:hAnsi="Times New Roman" w:cs="Times New Roman"/>
          <w:bCs/>
          <w:color w:val="000000"/>
          <w:sz w:val="24"/>
          <w:szCs w:val="24"/>
          <w:shd w:val="clear" w:color="auto" w:fill="FFFFFF"/>
        </w:rPr>
        <w:t xml:space="preserve"> </w:t>
      </w:r>
      <w:r w:rsidRPr="003139E4">
        <w:rPr>
          <w:rFonts w:ascii="Times New Roman" w:hAnsi="Times New Roman" w:cs="Times New Roman"/>
          <w:bCs/>
          <w:color w:val="000000"/>
          <w:sz w:val="24"/>
          <w:szCs w:val="24"/>
          <w:shd w:val="clear" w:color="auto" w:fill="FFFFFF"/>
        </w:rPr>
        <w:t xml:space="preserve">spesso non comprendendo a fondo la </w:t>
      </w:r>
      <w:r w:rsidRPr="003139E4">
        <w:rPr>
          <w:rFonts w:ascii="Times New Roman" w:hAnsi="Times New Roman" w:cs="Times New Roman"/>
          <w:bCs/>
          <w:i/>
          <w:color w:val="000000"/>
          <w:sz w:val="24"/>
          <w:szCs w:val="24"/>
          <w:shd w:val="clear" w:color="auto" w:fill="FFFFFF"/>
        </w:rPr>
        <w:t>ratio</w:t>
      </w:r>
      <w:r w:rsidRPr="003139E4">
        <w:rPr>
          <w:rFonts w:ascii="Times New Roman" w:hAnsi="Times New Roman" w:cs="Times New Roman"/>
          <w:bCs/>
          <w:color w:val="000000"/>
          <w:sz w:val="24"/>
          <w:szCs w:val="24"/>
          <w:shd w:val="clear" w:color="auto" w:fill="FFFFFF"/>
        </w:rPr>
        <w:t xml:space="preserve"> insita nel sistema preventivo della corruzione, ignorano radicalmente l’esistenza di un PTPCT o di un codice di comportamento o, semplicemente, non lo applicano, percependolo come un </w:t>
      </w:r>
      <w:r w:rsidRPr="003139E4">
        <w:rPr>
          <w:rFonts w:ascii="Times New Roman" w:hAnsi="Times New Roman" w:cs="Times New Roman"/>
          <w:bCs/>
          <w:i/>
          <w:color w:val="000000"/>
          <w:sz w:val="24"/>
          <w:szCs w:val="24"/>
          <w:shd w:val="clear" w:color="auto" w:fill="FFFFFF"/>
        </w:rPr>
        <w:t>quid</w:t>
      </w:r>
      <w:r w:rsidRPr="003139E4">
        <w:rPr>
          <w:rFonts w:ascii="Times New Roman" w:hAnsi="Times New Roman" w:cs="Times New Roman"/>
          <w:bCs/>
          <w:color w:val="000000"/>
          <w:sz w:val="24"/>
          <w:szCs w:val="24"/>
          <w:shd w:val="clear" w:color="auto" w:fill="FFFFFF"/>
        </w:rPr>
        <w:t xml:space="preserve"> estrinseco ed eteroimposto, comunque non essenziale per svolgere le ripetitive mansioni del quotidiano;</w:t>
      </w:r>
    </w:p>
    <w:p w14:paraId="62304D3E" w14:textId="77777777" w:rsidR="003139E4" w:rsidRPr="003139E4" w:rsidRDefault="003139E4" w:rsidP="004B7EA5">
      <w:pPr>
        <w:numPr>
          <w:ilvl w:val="0"/>
          <w:numId w:val="1"/>
        </w:num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consolidamento, in un’ottica più generale, della “burocrazia difensiva”, consistente nell’atteggiamento del RPCT, del dirigente o, comunque, del decisore pubblico che procede “con i piedi di piombo, facendo prevalere il proprio interesse personale a schivare le sanzioni e così sacrificando l’interesse pubblico, che invece, oggi quanto mai, richiederebbe decisioni tempestive e coraggiose, da assumere sempre più spesso in contesti difficili e di estrema incertezza”</w:t>
      </w:r>
      <w:r w:rsidRPr="003139E4">
        <w:rPr>
          <w:rFonts w:ascii="Times New Roman" w:hAnsi="Times New Roman" w:cs="Times New Roman"/>
          <w:bCs/>
          <w:color w:val="000000"/>
          <w:sz w:val="24"/>
          <w:szCs w:val="24"/>
          <w:shd w:val="clear" w:color="auto" w:fill="FFFFFF"/>
          <w:vertAlign w:val="superscript"/>
        </w:rPr>
        <w:footnoteReference w:id="79"/>
      </w:r>
      <w:r w:rsidRPr="003139E4">
        <w:rPr>
          <w:rFonts w:ascii="Times New Roman" w:hAnsi="Times New Roman" w:cs="Times New Roman"/>
          <w:bCs/>
          <w:color w:val="000000"/>
          <w:sz w:val="24"/>
          <w:szCs w:val="24"/>
          <w:shd w:val="clear" w:color="auto" w:fill="FFFFFF"/>
        </w:rPr>
        <w:t>, e derivante dalle condizioni di incertezza in cui si svolge il lavoro quotidiano, l’entità del danno che il funzionario può essere chiamato a risarcire, l’imprevedibilità del modo in cui la sua condotta può essere valutata dal giudice, l’assenza di polizze assicurative</w:t>
      </w:r>
      <w:r w:rsidRPr="003139E4">
        <w:rPr>
          <w:rFonts w:ascii="Times New Roman" w:hAnsi="Times New Roman" w:cs="Times New Roman"/>
          <w:bCs/>
          <w:color w:val="000000"/>
          <w:sz w:val="24"/>
          <w:szCs w:val="24"/>
          <w:shd w:val="clear" w:color="auto" w:fill="FFFFFF"/>
          <w:vertAlign w:val="superscript"/>
        </w:rPr>
        <w:footnoteReference w:id="80"/>
      </w:r>
      <w:r w:rsidRPr="003139E4">
        <w:rPr>
          <w:rFonts w:ascii="Times New Roman" w:hAnsi="Times New Roman" w:cs="Times New Roman"/>
          <w:bCs/>
          <w:color w:val="000000"/>
          <w:sz w:val="24"/>
          <w:szCs w:val="24"/>
          <w:shd w:val="clear" w:color="auto" w:fill="FFFFFF"/>
        </w:rPr>
        <w:t>.</w:t>
      </w:r>
    </w:p>
    <w:p w14:paraId="7210277A"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 xml:space="preserve">Si tratta di problemi sotto gli occhi di tutti e, non a caso, analizzati dalla dottrina richiamata, ma che, evidentemente, si trascinano da anni e non sono stati ancora risolti. </w:t>
      </w:r>
    </w:p>
    <w:p w14:paraId="70C758FF" w14:textId="77777777" w:rsidR="003139E4" w:rsidRP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 xml:space="preserve">Questo, probabilmente, deriva dalla recente intuizione secondo cui il presupposto dell’anticorruzione è l’integrità morale, ma essa, configurando una “predisposizione interiore (,) … non può essere prodotta da nessuna di queste misure ‘etiche’, ma … rimanda direttamente allo standard morale di </w:t>
      </w:r>
      <w:r w:rsidRPr="003139E4">
        <w:rPr>
          <w:rFonts w:ascii="Times New Roman" w:hAnsi="Times New Roman" w:cs="Times New Roman"/>
          <w:bCs/>
          <w:color w:val="000000"/>
          <w:sz w:val="24"/>
          <w:szCs w:val="24"/>
          <w:shd w:val="clear" w:color="auto" w:fill="FFFFFF"/>
        </w:rPr>
        <w:lastRenderedPageBreak/>
        <w:t>una società e … può essere costituita soltanto tramite l’educazione, ma non tramite ‘misure’ top down e dirigistiche”</w:t>
      </w:r>
      <w:r w:rsidRPr="003139E4">
        <w:rPr>
          <w:rFonts w:ascii="Times New Roman" w:hAnsi="Times New Roman" w:cs="Times New Roman"/>
          <w:bCs/>
          <w:color w:val="000000"/>
          <w:sz w:val="24"/>
          <w:szCs w:val="24"/>
          <w:shd w:val="clear" w:color="auto" w:fill="FFFFFF"/>
          <w:vertAlign w:val="superscript"/>
        </w:rPr>
        <w:footnoteReference w:id="81"/>
      </w:r>
      <w:r w:rsidRPr="003139E4">
        <w:rPr>
          <w:rFonts w:ascii="Times New Roman" w:hAnsi="Times New Roman" w:cs="Times New Roman"/>
          <w:bCs/>
          <w:color w:val="000000"/>
          <w:sz w:val="24"/>
          <w:szCs w:val="24"/>
          <w:shd w:val="clear" w:color="auto" w:fill="FFFFFF"/>
        </w:rPr>
        <w:t>.</w:t>
      </w:r>
    </w:p>
    <w:p w14:paraId="2AAE1B36" w14:textId="77777777" w:rsidR="003139E4" w:rsidRDefault="003139E4" w:rsidP="004B7EA5">
      <w:pPr>
        <w:spacing w:after="0" w:line="276" w:lineRule="auto"/>
        <w:jc w:val="both"/>
        <w:rPr>
          <w:rFonts w:ascii="Times New Roman" w:hAnsi="Times New Roman" w:cs="Times New Roman"/>
          <w:bCs/>
          <w:color w:val="000000"/>
          <w:sz w:val="24"/>
          <w:szCs w:val="24"/>
          <w:shd w:val="clear" w:color="auto" w:fill="FFFFFF"/>
        </w:rPr>
      </w:pPr>
      <w:r w:rsidRPr="003139E4">
        <w:rPr>
          <w:rFonts w:ascii="Times New Roman" w:hAnsi="Times New Roman" w:cs="Times New Roman"/>
          <w:bCs/>
          <w:color w:val="000000"/>
          <w:sz w:val="24"/>
          <w:szCs w:val="24"/>
          <w:shd w:val="clear" w:color="auto" w:fill="FFFFFF"/>
        </w:rPr>
        <w:t xml:space="preserve">Per tali ragioni, già in altra sede (A. </w:t>
      </w:r>
      <w:r w:rsidRPr="003139E4">
        <w:rPr>
          <w:rFonts w:ascii="Times New Roman" w:hAnsi="Times New Roman" w:cs="Times New Roman"/>
          <w:bCs/>
          <w:smallCaps/>
          <w:color w:val="000000"/>
          <w:sz w:val="24"/>
          <w:szCs w:val="24"/>
          <w:shd w:val="clear" w:color="auto" w:fill="FFFFFF"/>
        </w:rPr>
        <w:t>Ripepi</w:t>
      </w:r>
      <w:r w:rsidRPr="003139E4">
        <w:rPr>
          <w:rFonts w:ascii="Times New Roman" w:hAnsi="Times New Roman" w:cs="Times New Roman"/>
          <w:bCs/>
          <w:color w:val="000000"/>
          <w:sz w:val="24"/>
          <w:szCs w:val="24"/>
          <w:shd w:val="clear" w:color="auto" w:fill="FFFFFF"/>
        </w:rPr>
        <w:t xml:space="preserve">, </w:t>
      </w:r>
      <w:r w:rsidRPr="003139E4">
        <w:rPr>
          <w:rFonts w:ascii="Times New Roman" w:hAnsi="Times New Roman" w:cs="Times New Roman"/>
          <w:bCs/>
          <w:i/>
          <w:iCs/>
          <w:color w:val="000000"/>
          <w:sz w:val="24"/>
          <w:szCs w:val="24"/>
          <w:shd w:val="clear" w:color="auto" w:fill="FFFFFF"/>
        </w:rPr>
        <w:t>Dirigenza pubblica e fiducia cit</w:t>
      </w:r>
      <w:r w:rsidRPr="003139E4">
        <w:rPr>
          <w:rFonts w:ascii="Times New Roman" w:hAnsi="Times New Roman" w:cs="Times New Roman"/>
          <w:bCs/>
          <w:color w:val="000000"/>
          <w:sz w:val="24"/>
          <w:szCs w:val="24"/>
          <w:shd w:val="clear" w:color="auto" w:fill="FFFFFF"/>
        </w:rPr>
        <w:t>.) è stata proposta una generale rilettura del sistema amministrativo dell’anticorruzione fondata sulla valorizzazione della discrezionalità, non più intesa quale fattore di rischio, in quanto tale da monitorare e mortificare.</w:t>
      </w:r>
    </w:p>
    <w:p w14:paraId="6D72D14D" w14:textId="43143FB2"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Tanto premesso, si è già visto come, in base alle formalizzazioni matematiche del fenomeno corruttivo</w:t>
      </w:r>
      <w:r w:rsidR="00556285">
        <w:rPr>
          <w:rStyle w:val="Rimandonotaapidipagina"/>
          <w:rFonts w:ascii="Times New Roman" w:hAnsi="Times New Roman" w:cs="Times New Roman"/>
          <w:bCs/>
          <w:color w:val="000000"/>
          <w:sz w:val="24"/>
          <w:szCs w:val="24"/>
          <w:shd w:val="clear" w:color="auto" w:fill="FFFFFF"/>
        </w:rPr>
        <w:footnoteReference w:id="82"/>
      </w:r>
      <w:r w:rsidRPr="00777007">
        <w:rPr>
          <w:rFonts w:ascii="Times New Roman" w:hAnsi="Times New Roman" w:cs="Times New Roman"/>
          <w:bCs/>
          <w:color w:val="000000"/>
          <w:sz w:val="24"/>
          <w:szCs w:val="24"/>
          <w:shd w:val="clear" w:color="auto" w:fill="FFFFFF"/>
        </w:rPr>
        <w:t>, la discrezionalità compaia tra i fattori che lo alimentano, in quanto consente al decisore pubblico di fruire di una possibilità di scelta tra più soluzioni consentite nella quale potrebbero allignare deviazioni dal perseguimento dell’interesse pubblico. Di conseguenza, all’atto della mappatura dei processi si consiglia di porre particolare attenzione ai settori in cui sussistono tali possibilità di manovra</w:t>
      </w:r>
      <w:r w:rsidRPr="00777007">
        <w:rPr>
          <w:rFonts w:ascii="Times New Roman" w:hAnsi="Times New Roman" w:cs="Times New Roman"/>
          <w:bCs/>
          <w:color w:val="000000"/>
          <w:sz w:val="24"/>
          <w:szCs w:val="24"/>
          <w:shd w:val="clear" w:color="auto" w:fill="FFFFFF"/>
          <w:vertAlign w:val="superscript"/>
        </w:rPr>
        <w:footnoteReference w:id="83"/>
      </w:r>
      <w:r w:rsidRPr="00777007">
        <w:rPr>
          <w:rFonts w:ascii="Times New Roman" w:hAnsi="Times New Roman" w:cs="Times New Roman"/>
          <w:bCs/>
          <w:color w:val="000000"/>
          <w:sz w:val="24"/>
          <w:szCs w:val="24"/>
          <w:shd w:val="clear" w:color="auto" w:fill="FFFFFF"/>
        </w:rPr>
        <w:t>, con particolare riferimento al settore della contrattualistica pubblica</w:t>
      </w:r>
      <w:r w:rsidRPr="00777007">
        <w:rPr>
          <w:rFonts w:ascii="Times New Roman" w:hAnsi="Times New Roman" w:cs="Times New Roman"/>
          <w:bCs/>
          <w:color w:val="000000"/>
          <w:sz w:val="24"/>
          <w:szCs w:val="24"/>
          <w:shd w:val="clear" w:color="auto" w:fill="FFFFFF"/>
          <w:vertAlign w:val="superscript"/>
        </w:rPr>
        <w:footnoteReference w:id="84"/>
      </w:r>
      <w:r w:rsidRPr="00777007">
        <w:rPr>
          <w:rFonts w:ascii="Times New Roman" w:hAnsi="Times New Roman" w:cs="Times New Roman"/>
          <w:bCs/>
          <w:color w:val="000000"/>
          <w:sz w:val="24"/>
          <w:szCs w:val="24"/>
          <w:shd w:val="clear" w:color="auto" w:fill="FFFFFF"/>
        </w:rPr>
        <w:t>.</w:t>
      </w:r>
    </w:p>
    <w:p w14:paraId="68D455FB" w14:textId="77777777"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Tali acquisizioni sono frutto di una precisa evoluzione storica. Le vicende di Tangentopoli dimostrarono l’inadeguatezza dell’assetto normativo allora vigente e suggerirono l’irrigidimento del sistema, con preferenza per l’azzeramento della discrezionalità dei funzionari pubblici e il ricorso alla gara per esigenze di trasparenza, unitamente alla diffusione del criterio di aggiudicazione del prezzo più basso, che avrebbe reso meccanicistiche</w:t>
      </w:r>
      <w:r w:rsidRPr="00777007">
        <w:rPr>
          <w:rFonts w:ascii="Times New Roman" w:hAnsi="Times New Roman" w:cs="Times New Roman"/>
          <w:bCs/>
          <w:color w:val="000000"/>
          <w:sz w:val="24"/>
          <w:szCs w:val="24"/>
          <w:shd w:val="clear" w:color="auto" w:fill="FFFFFF"/>
          <w:vertAlign w:val="superscript"/>
        </w:rPr>
        <w:footnoteReference w:id="85"/>
      </w:r>
      <w:r w:rsidRPr="00777007">
        <w:rPr>
          <w:rFonts w:ascii="Times New Roman" w:hAnsi="Times New Roman" w:cs="Times New Roman"/>
          <w:bCs/>
          <w:color w:val="000000"/>
          <w:sz w:val="24"/>
          <w:szCs w:val="24"/>
          <w:shd w:val="clear" w:color="auto" w:fill="FFFFFF"/>
        </w:rPr>
        <w:t xml:space="preserve"> le procedure nella misura in cui il privato si limitava a indicare il corrispettivo in denaro, “la sola cosa rimasta in bianco dello schema adottato dalla pubblica amministrazione”</w:t>
      </w:r>
      <w:r w:rsidRPr="00777007">
        <w:rPr>
          <w:rFonts w:ascii="Times New Roman" w:hAnsi="Times New Roman" w:cs="Times New Roman"/>
          <w:bCs/>
          <w:color w:val="000000"/>
          <w:sz w:val="24"/>
          <w:szCs w:val="24"/>
          <w:shd w:val="clear" w:color="auto" w:fill="FFFFFF"/>
          <w:vertAlign w:val="superscript"/>
        </w:rPr>
        <w:footnoteReference w:id="86"/>
      </w:r>
      <w:r w:rsidRPr="00777007">
        <w:rPr>
          <w:rFonts w:ascii="Times New Roman" w:hAnsi="Times New Roman" w:cs="Times New Roman"/>
          <w:bCs/>
          <w:color w:val="000000"/>
          <w:sz w:val="24"/>
          <w:szCs w:val="24"/>
          <w:shd w:val="clear" w:color="auto" w:fill="FFFFFF"/>
        </w:rPr>
        <w:t>.</w:t>
      </w:r>
    </w:p>
    <w:p w14:paraId="34F36450" w14:textId="77777777"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Il D. Lgs. n. 163/2006 confermò questa tendenza alla iper-regolamentazione, ma fu accusato di rigidità e di sostanziale inidoneità a combattere il fenomeno corruttivo; inoltre, andò consolidandosi la consapevolezza del fatto che a poco serve limitare la discrezionalità dei funzionari se il quadro normativo è denso e incerto, aperto a diverse possibili interpretazioni, nell’ambito di una complessità che rende difficile distinguere condotte in buona fede o meno, con il rischio di eccessiva pressione sugli operatori pubblici e conseguente paralisi dell’azione amministrativa</w:t>
      </w:r>
      <w:r w:rsidRPr="00777007">
        <w:rPr>
          <w:rFonts w:ascii="Times New Roman" w:hAnsi="Times New Roman" w:cs="Times New Roman"/>
          <w:bCs/>
          <w:color w:val="000000"/>
          <w:sz w:val="24"/>
          <w:szCs w:val="24"/>
          <w:shd w:val="clear" w:color="auto" w:fill="FFFFFF"/>
          <w:vertAlign w:val="superscript"/>
        </w:rPr>
        <w:footnoteReference w:id="87"/>
      </w:r>
      <w:r w:rsidRPr="00777007">
        <w:rPr>
          <w:rFonts w:ascii="Times New Roman" w:hAnsi="Times New Roman" w:cs="Times New Roman"/>
          <w:bCs/>
          <w:color w:val="000000"/>
          <w:sz w:val="24"/>
          <w:szCs w:val="24"/>
          <w:shd w:val="clear" w:color="auto" w:fill="FFFFFF"/>
        </w:rPr>
        <w:t>.</w:t>
      </w:r>
    </w:p>
    <w:p w14:paraId="785C1AA4" w14:textId="77777777"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 xml:space="preserve">Il D. Lgs. n. 50/2016 avrebbe dovuto risolvere questo problema di “bulimia e incertezza legislativa, ponendo </w:t>
      </w:r>
      <w:r w:rsidRPr="00777007">
        <w:rPr>
          <w:rFonts w:ascii="Times New Roman" w:hAnsi="Times New Roman" w:cs="Times New Roman"/>
          <w:bCs/>
          <w:i/>
          <w:color w:val="000000"/>
          <w:sz w:val="24"/>
          <w:szCs w:val="24"/>
          <w:shd w:val="clear" w:color="auto" w:fill="FFFFFF"/>
        </w:rPr>
        <w:t>ex ante</w:t>
      </w:r>
      <w:r w:rsidRPr="00777007">
        <w:rPr>
          <w:rFonts w:ascii="Times New Roman" w:hAnsi="Times New Roman" w:cs="Times New Roman"/>
          <w:bCs/>
          <w:color w:val="000000"/>
          <w:sz w:val="24"/>
          <w:szCs w:val="24"/>
          <w:shd w:val="clear" w:color="auto" w:fill="FFFFFF"/>
        </w:rPr>
        <w:t xml:space="preserve"> le regole certe (perché prodotte dell’autorità di regolazione e validate dal Consiglio di Stato), tramite linee guida prontamente aggiornate e aggiornabili a fronte di eventuali modifiche legislative sopravvenute”</w:t>
      </w:r>
      <w:r w:rsidRPr="00777007">
        <w:rPr>
          <w:rFonts w:ascii="Times New Roman" w:hAnsi="Times New Roman" w:cs="Times New Roman"/>
          <w:bCs/>
          <w:color w:val="000000"/>
          <w:sz w:val="24"/>
          <w:szCs w:val="24"/>
          <w:shd w:val="clear" w:color="auto" w:fill="FFFFFF"/>
          <w:vertAlign w:val="superscript"/>
        </w:rPr>
        <w:footnoteReference w:id="88"/>
      </w:r>
      <w:r w:rsidRPr="00777007">
        <w:rPr>
          <w:rFonts w:ascii="Times New Roman" w:hAnsi="Times New Roman" w:cs="Times New Roman"/>
          <w:bCs/>
          <w:color w:val="000000"/>
          <w:sz w:val="24"/>
          <w:szCs w:val="24"/>
          <w:shd w:val="clear" w:color="auto" w:fill="FFFFFF"/>
        </w:rPr>
        <w:t xml:space="preserve">. Nonostante gli aspetti indubbiamente positivi, quali l’istituzione della Banca Dati Nazionale dei Contratti pubblici, ne è risultato un complesso normativo in cui la parola “corruzione” era reiterata numerose volte, senza trascurare l’impressione generalizzata di una certa </w:t>
      </w:r>
      <w:r w:rsidRPr="00777007">
        <w:rPr>
          <w:rFonts w:ascii="Times New Roman" w:hAnsi="Times New Roman" w:cs="Times New Roman"/>
          <w:bCs/>
          <w:color w:val="000000"/>
          <w:sz w:val="24"/>
          <w:szCs w:val="24"/>
          <w:shd w:val="clear" w:color="auto" w:fill="FFFFFF"/>
        </w:rPr>
        <w:lastRenderedPageBreak/>
        <w:t>sfiducia nei confronti delle stazioni appaltanti e l’eccessiva preoccupazione di evitare reati piuttosto che garantire il buon funzionamento del mercato dei contratti pubblici</w:t>
      </w:r>
      <w:r w:rsidRPr="00777007">
        <w:rPr>
          <w:rFonts w:ascii="Times New Roman" w:hAnsi="Times New Roman" w:cs="Times New Roman"/>
          <w:bCs/>
          <w:color w:val="000000"/>
          <w:sz w:val="24"/>
          <w:szCs w:val="24"/>
          <w:shd w:val="clear" w:color="auto" w:fill="FFFFFF"/>
          <w:vertAlign w:val="superscript"/>
        </w:rPr>
        <w:footnoteReference w:id="89"/>
      </w:r>
      <w:r w:rsidRPr="00777007">
        <w:rPr>
          <w:rFonts w:ascii="Times New Roman" w:hAnsi="Times New Roman" w:cs="Times New Roman"/>
          <w:bCs/>
          <w:color w:val="000000"/>
          <w:sz w:val="24"/>
          <w:szCs w:val="24"/>
          <w:shd w:val="clear" w:color="auto" w:fill="FFFFFF"/>
        </w:rPr>
        <w:t>.</w:t>
      </w:r>
    </w:p>
    <w:p w14:paraId="0076EDA8" w14:textId="77777777"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D’altronde, lo stesso legislatore sembra aver manifestato insofferenza nei confronti del soffocamento dell’iniziativa dei dipendenti preposti all’aggiudicazione delle gare, come dimostra l’imporsi di modelli alternativi, quali il “contromodello Genova”</w:t>
      </w:r>
      <w:r w:rsidRPr="00777007">
        <w:rPr>
          <w:rFonts w:ascii="Times New Roman" w:hAnsi="Times New Roman" w:cs="Times New Roman"/>
          <w:bCs/>
          <w:color w:val="000000"/>
          <w:sz w:val="24"/>
          <w:szCs w:val="24"/>
          <w:shd w:val="clear" w:color="auto" w:fill="FFFFFF"/>
          <w:vertAlign w:val="superscript"/>
        </w:rPr>
        <w:footnoteReference w:id="90"/>
      </w:r>
      <w:r w:rsidRPr="00777007">
        <w:rPr>
          <w:rFonts w:ascii="Times New Roman" w:hAnsi="Times New Roman" w:cs="Times New Roman"/>
          <w:bCs/>
          <w:color w:val="000000"/>
          <w:sz w:val="24"/>
          <w:szCs w:val="24"/>
          <w:shd w:val="clear" w:color="auto" w:fill="FFFFFF"/>
        </w:rPr>
        <w:t>, il decreto “sblocca-cantieri”</w:t>
      </w:r>
      <w:r w:rsidRPr="00777007">
        <w:rPr>
          <w:rFonts w:ascii="Times New Roman" w:hAnsi="Times New Roman" w:cs="Times New Roman"/>
          <w:bCs/>
          <w:color w:val="000000"/>
          <w:sz w:val="24"/>
          <w:szCs w:val="24"/>
          <w:shd w:val="clear" w:color="auto" w:fill="FFFFFF"/>
          <w:vertAlign w:val="superscript"/>
        </w:rPr>
        <w:footnoteReference w:id="91"/>
      </w:r>
      <w:r w:rsidRPr="00777007">
        <w:rPr>
          <w:rFonts w:ascii="Times New Roman" w:hAnsi="Times New Roman" w:cs="Times New Roman"/>
          <w:bCs/>
          <w:color w:val="000000"/>
          <w:sz w:val="24"/>
          <w:szCs w:val="24"/>
          <w:shd w:val="clear" w:color="auto" w:fill="FFFFFF"/>
        </w:rPr>
        <w:t xml:space="preserve"> e, da ultimo, l’avvento del PNRR, in cui si avverte l’esigenza di realizzare le opere pubbliche nel minor tempo possibile al fine di rendicontare in sede europea, come dimostra – prima ancora dell’entrata in vigore del nuovo codice dei contratti – l’impostazione del D.L. n. 77/2021, recante “un binario parallelo per gli investimenti che riguardano il Pnrr”</w:t>
      </w:r>
      <w:r w:rsidRPr="00777007">
        <w:rPr>
          <w:rFonts w:ascii="Times New Roman" w:hAnsi="Times New Roman" w:cs="Times New Roman"/>
          <w:bCs/>
          <w:color w:val="000000"/>
          <w:sz w:val="24"/>
          <w:szCs w:val="24"/>
          <w:shd w:val="clear" w:color="auto" w:fill="FFFFFF"/>
          <w:vertAlign w:val="superscript"/>
        </w:rPr>
        <w:footnoteReference w:id="92"/>
      </w:r>
      <w:r w:rsidRPr="00777007">
        <w:rPr>
          <w:rFonts w:ascii="Times New Roman" w:hAnsi="Times New Roman" w:cs="Times New Roman"/>
          <w:bCs/>
          <w:color w:val="000000"/>
          <w:sz w:val="24"/>
          <w:szCs w:val="24"/>
          <w:shd w:val="clear" w:color="auto" w:fill="FFFFFF"/>
        </w:rPr>
        <w:t>.</w:t>
      </w:r>
    </w:p>
    <w:p w14:paraId="6D88050B" w14:textId="77777777"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 xml:space="preserve">L’affresco storico rapidamente tratteggiato dimostra come l’eccessiva enfatizzazione della “lotta alla discrezionalità”, nel settore dei contratti pubblici così come in qualsiasi altro ambito dell’azione amministrativa, possa condurre a conseguenze paradossali, pervenendo a una visione razionalistica e meccanicistica della pubblica amministrazione che, con l’eliminazione dell’elemento personale come fattore di insicurezza, riesce a concepirsi in modo ideale. Si tratta dell’estremizzazione di quell’impostazione di base secondo cui “il </w:t>
      </w:r>
      <w:r w:rsidRPr="00777007">
        <w:rPr>
          <w:rFonts w:ascii="Times New Roman" w:hAnsi="Times New Roman" w:cs="Times New Roman"/>
          <w:bCs/>
          <w:i/>
          <w:color w:val="000000"/>
          <w:sz w:val="24"/>
          <w:szCs w:val="24"/>
          <w:shd w:val="clear" w:color="auto" w:fill="FFFFFF"/>
        </w:rPr>
        <w:t>civil servant</w:t>
      </w:r>
      <w:r w:rsidRPr="00777007">
        <w:rPr>
          <w:rFonts w:ascii="Times New Roman" w:hAnsi="Times New Roman" w:cs="Times New Roman"/>
          <w:bCs/>
          <w:color w:val="000000"/>
          <w:sz w:val="24"/>
          <w:szCs w:val="24"/>
          <w:shd w:val="clear" w:color="auto" w:fill="FFFFFF"/>
        </w:rPr>
        <w:t xml:space="preserve"> è intrinsecamente visto come un potenziale corrotto, a cui va messa una stretta briglia con finalità contenitive e preventive”</w:t>
      </w:r>
      <w:r w:rsidRPr="00777007">
        <w:rPr>
          <w:rFonts w:ascii="Times New Roman" w:hAnsi="Times New Roman" w:cs="Times New Roman"/>
          <w:bCs/>
          <w:color w:val="000000"/>
          <w:sz w:val="24"/>
          <w:szCs w:val="24"/>
          <w:shd w:val="clear" w:color="auto" w:fill="FFFFFF"/>
          <w:vertAlign w:val="superscript"/>
        </w:rPr>
        <w:footnoteReference w:id="93"/>
      </w:r>
      <w:r w:rsidRPr="00777007">
        <w:rPr>
          <w:rFonts w:ascii="Times New Roman" w:hAnsi="Times New Roman" w:cs="Times New Roman"/>
          <w:bCs/>
          <w:color w:val="000000"/>
          <w:sz w:val="24"/>
          <w:szCs w:val="24"/>
          <w:shd w:val="clear" w:color="auto" w:fill="FFFFFF"/>
        </w:rPr>
        <w:t>.</w:t>
      </w:r>
    </w:p>
    <w:p w14:paraId="16366DFC" w14:textId="77777777"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Tuttavia, tale filosofia di fondo appare controproducente, in quanto mortifica l’iniziativa del pubblico dipendente, in netto contrasto con il principio della fiducia che, come anticipato, è oggi desumibile da una norma cogente di legge, senza trascurare l’ulteriore conseguenza negativa dell’incremento dei costi di transazione e controllo (maggiori tempi per le decisioni, rigidità operative, più personale coinvolto)</w:t>
      </w:r>
      <w:r w:rsidRPr="00777007">
        <w:rPr>
          <w:rFonts w:ascii="Times New Roman" w:hAnsi="Times New Roman" w:cs="Times New Roman"/>
          <w:bCs/>
          <w:color w:val="000000"/>
          <w:sz w:val="24"/>
          <w:szCs w:val="24"/>
          <w:shd w:val="clear" w:color="auto" w:fill="FFFFFF"/>
          <w:vertAlign w:val="superscript"/>
        </w:rPr>
        <w:footnoteReference w:id="94"/>
      </w:r>
      <w:r w:rsidRPr="00777007">
        <w:rPr>
          <w:rFonts w:ascii="Times New Roman" w:hAnsi="Times New Roman" w:cs="Times New Roman"/>
          <w:bCs/>
          <w:color w:val="000000"/>
          <w:sz w:val="24"/>
          <w:szCs w:val="24"/>
          <w:shd w:val="clear" w:color="auto" w:fill="FFFFFF"/>
        </w:rPr>
        <w:t xml:space="preserve">. </w:t>
      </w:r>
    </w:p>
    <w:p w14:paraId="41262CA5" w14:textId="77777777"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D’altronde, è lo stesso legislatore a fare riferimento all’iniziativa e autonomia decisionale dei funzionari pubblici (art. 2, c. 2, D. Lgs. n. 36/2023) e la Relazione di accompagnamento afferma che “il nuovo codice vuole dare, sin dalle sue disposizioni di principio, il segnale di un cambiamento profondo, che – fermo restando ovviamente il perseguimento convinto di ogni forma di irregolarità – miri a valorizzare lo spirito di iniziativa e la discrezionalità degli amministratori pubblici”</w:t>
      </w:r>
      <w:r w:rsidRPr="00777007">
        <w:rPr>
          <w:rFonts w:ascii="Times New Roman" w:hAnsi="Times New Roman" w:cs="Times New Roman"/>
          <w:bCs/>
          <w:color w:val="000000"/>
          <w:sz w:val="24"/>
          <w:szCs w:val="24"/>
          <w:shd w:val="clear" w:color="auto" w:fill="FFFFFF"/>
          <w:vertAlign w:val="superscript"/>
        </w:rPr>
        <w:footnoteReference w:id="95"/>
      </w:r>
      <w:r w:rsidRPr="00777007">
        <w:rPr>
          <w:rFonts w:ascii="Times New Roman" w:hAnsi="Times New Roman" w:cs="Times New Roman"/>
          <w:bCs/>
          <w:color w:val="000000"/>
          <w:sz w:val="24"/>
          <w:szCs w:val="24"/>
          <w:shd w:val="clear" w:color="auto" w:fill="FFFFFF"/>
        </w:rPr>
        <w:t xml:space="preserve">. </w:t>
      </w:r>
    </w:p>
    <w:p w14:paraId="2EEF8AD2" w14:textId="77777777" w:rsidR="00AA1A8E"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 xml:space="preserve">La discrezionalità, infatti, è il nucleo essenziale del potere amministrativo, implicante la ponderazione di interessi primari e secondari, pubblici e privati, che è il </w:t>
      </w:r>
      <w:r w:rsidRPr="00777007">
        <w:rPr>
          <w:rFonts w:ascii="Times New Roman" w:hAnsi="Times New Roman" w:cs="Times New Roman"/>
          <w:bCs/>
          <w:i/>
          <w:color w:val="000000"/>
          <w:sz w:val="24"/>
          <w:szCs w:val="24"/>
          <w:shd w:val="clear" w:color="auto" w:fill="FFFFFF"/>
        </w:rPr>
        <w:t>proprium</w:t>
      </w:r>
      <w:r w:rsidRPr="00777007">
        <w:rPr>
          <w:rFonts w:ascii="Times New Roman" w:hAnsi="Times New Roman" w:cs="Times New Roman"/>
          <w:bCs/>
          <w:color w:val="000000"/>
          <w:sz w:val="24"/>
          <w:szCs w:val="24"/>
          <w:shd w:val="clear" w:color="auto" w:fill="FFFFFF"/>
        </w:rPr>
        <w:t xml:space="preserve"> della funzione amministrativa. Un sistema anticorruzione che voglia dirsi rivisitato nelle fondamenta e adeguato alla nuova visione legislativa, più che irreggimentare i procedimenti e i processi sino a soffocare qualsiasi spiraglio di discrezionalità, dovrebbe focalizzarsi sull’adeguatezza della </w:t>
      </w:r>
      <w:r w:rsidRPr="00777007">
        <w:rPr>
          <w:rFonts w:ascii="Times New Roman" w:hAnsi="Times New Roman" w:cs="Times New Roman"/>
          <w:bCs/>
          <w:i/>
          <w:color w:val="000000"/>
          <w:sz w:val="24"/>
          <w:szCs w:val="24"/>
          <w:shd w:val="clear" w:color="auto" w:fill="FFFFFF"/>
        </w:rPr>
        <w:t>motivazione</w:t>
      </w:r>
      <w:r w:rsidRPr="00777007">
        <w:rPr>
          <w:rFonts w:ascii="Times New Roman" w:hAnsi="Times New Roman" w:cs="Times New Roman"/>
          <w:bCs/>
          <w:color w:val="000000"/>
          <w:sz w:val="24"/>
          <w:szCs w:val="24"/>
          <w:shd w:val="clear" w:color="auto" w:fill="FFFFFF"/>
        </w:rPr>
        <w:t>, presupposto, fondamento, baricentro ed essenza stessa del legittimo esercizio del potere amministrativo nonché presidio di legalità sostanziale insostituibile</w:t>
      </w:r>
      <w:r w:rsidRPr="00777007">
        <w:rPr>
          <w:rFonts w:ascii="Times New Roman" w:hAnsi="Times New Roman" w:cs="Times New Roman"/>
          <w:bCs/>
          <w:color w:val="000000"/>
          <w:sz w:val="24"/>
          <w:szCs w:val="24"/>
          <w:shd w:val="clear" w:color="auto" w:fill="FFFFFF"/>
          <w:vertAlign w:val="superscript"/>
        </w:rPr>
        <w:footnoteReference w:id="96"/>
      </w:r>
      <w:r w:rsidRPr="00777007">
        <w:rPr>
          <w:rFonts w:ascii="Times New Roman" w:hAnsi="Times New Roman" w:cs="Times New Roman"/>
          <w:bCs/>
          <w:color w:val="000000"/>
          <w:sz w:val="24"/>
          <w:szCs w:val="24"/>
          <w:shd w:val="clear" w:color="auto" w:fill="FFFFFF"/>
        </w:rPr>
        <w:t>.</w:t>
      </w:r>
    </w:p>
    <w:p w14:paraId="37050AE5" w14:textId="77777777" w:rsidR="00AA1A8E" w:rsidRDefault="00AA1A8E" w:rsidP="004B7EA5">
      <w:pPr>
        <w:spacing w:after="0" w:line="276" w:lineRule="auto"/>
        <w:jc w:val="both"/>
        <w:rPr>
          <w:rFonts w:ascii="Times New Roman" w:hAnsi="Times New Roman" w:cs="Times New Roman"/>
          <w:bCs/>
          <w:color w:val="000000"/>
          <w:sz w:val="24"/>
          <w:szCs w:val="24"/>
          <w:shd w:val="clear" w:color="auto" w:fill="FFFFFF"/>
        </w:rPr>
      </w:pPr>
    </w:p>
    <w:p w14:paraId="031E3B42" w14:textId="5D8A4DFE" w:rsidR="00D6571A" w:rsidRPr="00581B63" w:rsidRDefault="00AA1A8E" w:rsidP="004B7EA5">
      <w:pPr>
        <w:spacing w:after="0" w:line="276" w:lineRule="auto"/>
        <w:jc w:val="both"/>
        <w:rPr>
          <w:rFonts w:ascii="Times New Roman" w:hAnsi="Times New Roman" w:cs="Times New Roman"/>
          <w:bCs/>
          <w:i/>
          <w:iCs/>
          <w:color w:val="000000"/>
          <w:sz w:val="24"/>
          <w:szCs w:val="24"/>
          <w:shd w:val="clear" w:color="auto" w:fill="FFFFFF"/>
        </w:rPr>
      </w:pPr>
      <w:r w:rsidRPr="00581B63">
        <w:rPr>
          <w:rFonts w:ascii="Times New Roman" w:hAnsi="Times New Roman" w:cs="Times New Roman"/>
          <w:bCs/>
          <w:i/>
          <w:iCs/>
          <w:color w:val="000000"/>
          <w:sz w:val="24"/>
          <w:szCs w:val="24"/>
          <w:shd w:val="clear" w:color="auto" w:fill="FFFFFF"/>
        </w:rPr>
        <w:lastRenderedPageBreak/>
        <w:t xml:space="preserve">7. </w:t>
      </w:r>
      <w:r w:rsidR="00581B63" w:rsidRPr="00581B63">
        <w:rPr>
          <w:rFonts w:ascii="Times New Roman" w:hAnsi="Times New Roman" w:cs="Times New Roman"/>
          <w:bCs/>
          <w:i/>
          <w:iCs/>
          <w:color w:val="000000"/>
          <w:sz w:val="24"/>
          <w:szCs w:val="24"/>
          <w:shd w:val="clear" w:color="auto" w:fill="FFFFFF"/>
        </w:rPr>
        <w:t>Il ciclo di gestione della performance</w:t>
      </w:r>
      <w:r w:rsidR="00544BAD">
        <w:rPr>
          <w:rFonts w:ascii="Times New Roman" w:hAnsi="Times New Roman" w:cs="Times New Roman"/>
          <w:bCs/>
          <w:i/>
          <w:iCs/>
          <w:color w:val="000000"/>
          <w:sz w:val="24"/>
          <w:szCs w:val="24"/>
          <w:shd w:val="clear" w:color="auto" w:fill="FFFFFF"/>
        </w:rPr>
        <w:t>: attuali limiti e proposte per il futuro</w:t>
      </w:r>
    </w:p>
    <w:p w14:paraId="7F0469BD" w14:textId="77777777" w:rsidR="00F943DF" w:rsidRDefault="00F943DF" w:rsidP="004B7EA5">
      <w:pPr>
        <w:spacing w:after="0" w:line="276" w:lineRule="auto"/>
        <w:jc w:val="both"/>
        <w:rPr>
          <w:rFonts w:ascii="Times New Roman" w:hAnsi="Times New Roman" w:cs="Times New Roman"/>
          <w:bCs/>
          <w:color w:val="000000"/>
          <w:sz w:val="24"/>
          <w:szCs w:val="24"/>
          <w:shd w:val="clear" w:color="auto" w:fill="FFFFFF"/>
        </w:rPr>
      </w:pPr>
    </w:p>
    <w:p w14:paraId="53EE3D20" w14:textId="590C5D9A"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Come ho avuto già l’opportunità di argomentare in altra sede</w:t>
      </w:r>
      <w:r w:rsidR="00C40A32">
        <w:rPr>
          <w:rStyle w:val="Rimandonotaapidipagina"/>
          <w:rFonts w:ascii="Times New Roman" w:hAnsi="Times New Roman" w:cs="Times New Roman"/>
          <w:bCs/>
          <w:iCs/>
          <w:color w:val="000000"/>
          <w:sz w:val="24"/>
          <w:szCs w:val="24"/>
          <w:shd w:val="clear" w:color="auto" w:fill="FFFFFF"/>
        </w:rPr>
        <w:footnoteReference w:id="97"/>
      </w:r>
      <w:r w:rsidRPr="00D6571A">
        <w:rPr>
          <w:rFonts w:ascii="Times New Roman" w:hAnsi="Times New Roman" w:cs="Times New Roman"/>
          <w:bCs/>
          <w:iCs/>
          <w:color w:val="000000"/>
          <w:sz w:val="24"/>
          <w:szCs w:val="24"/>
          <w:shd w:val="clear" w:color="auto" w:fill="FFFFFF"/>
        </w:rPr>
        <w:t xml:space="preserve">, per comune affermazione della dottrina e degli studi dedicati al tema, il ciclo della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Cs/>
          <w:color w:val="000000"/>
          <w:sz w:val="24"/>
          <w:szCs w:val="24"/>
          <w:shd w:val="clear" w:color="auto" w:fill="FFFFFF"/>
        </w:rPr>
        <w:t xml:space="preserve"> nelle amministrazioni pubbliche non ha dato buona prova di sé</w:t>
      </w:r>
      <w:r w:rsidRPr="00D6571A">
        <w:rPr>
          <w:rFonts w:ascii="Times New Roman" w:hAnsi="Times New Roman" w:cs="Times New Roman"/>
          <w:bCs/>
          <w:iCs/>
          <w:color w:val="000000"/>
          <w:sz w:val="24"/>
          <w:szCs w:val="24"/>
          <w:shd w:val="clear" w:color="auto" w:fill="FFFFFF"/>
          <w:vertAlign w:val="superscript"/>
        </w:rPr>
        <w:footnoteReference w:id="98"/>
      </w:r>
      <w:r w:rsidRPr="00D6571A">
        <w:rPr>
          <w:rFonts w:ascii="Times New Roman" w:hAnsi="Times New Roman" w:cs="Times New Roman"/>
          <w:bCs/>
          <w:iCs/>
          <w:color w:val="000000"/>
          <w:sz w:val="24"/>
          <w:szCs w:val="24"/>
          <w:shd w:val="clear" w:color="auto" w:fill="FFFFFF"/>
        </w:rPr>
        <w:t xml:space="preserve">. </w:t>
      </w:r>
    </w:p>
    <w:p w14:paraId="75ABE670"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Addirittura, abbiamo una fiorente giurisprudenza contabile e civile di legittimità in punto di diritto al risarcimento del danno in favore del dirigente laddove, per causa non imputabile a quest’ultimo (ma esclusivamente all’amministrazione) il sistema di valutazione della performance</w:t>
      </w:r>
      <w:r w:rsidRPr="00D6571A">
        <w:rPr>
          <w:rFonts w:ascii="Times New Roman" w:hAnsi="Times New Roman" w:cs="Times New Roman"/>
          <w:bCs/>
          <w:iCs/>
          <w:color w:val="000000"/>
          <w:sz w:val="24"/>
          <w:szCs w:val="24"/>
          <w:shd w:val="clear" w:color="auto" w:fill="FFFFFF"/>
          <w:vertAlign w:val="superscript"/>
        </w:rPr>
        <w:t xml:space="preserve"> </w:t>
      </w:r>
      <w:r w:rsidRPr="00D6571A">
        <w:rPr>
          <w:rFonts w:ascii="Times New Roman" w:hAnsi="Times New Roman" w:cs="Times New Roman"/>
          <w:bCs/>
          <w:iCs/>
          <w:color w:val="000000"/>
          <w:sz w:val="24"/>
          <w:szCs w:val="24"/>
          <w:shd w:val="clear" w:color="auto" w:fill="FFFFFF"/>
        </w:rPr>
        <w:t xml:space="preserve">non sia stato affatto predisposto, con conseguente impossibilità di assegnare obiettivi e valutarne, </w:t>
      </w:r>
      <w:r w:rsidRPr="00D6571A">
        <w:rPr>
          <w:rFonts w:ascii="Times New Roman" w:hAnsi="Times New Roman" w:cs="Times New Roman"/>
          <w:bCs/>
          <w:i/>
          <w:iCs/>
          <w:color w:val="000000"/>
          <w:sz w:val="24"/>
          <w:szCs w:val="24"/>
          <w:shd w:val="clear" w:color="auto" w:fill="FFFFFF"/>
        </w:rPr>
        <w:t>ex post</w:t>
      </w:r>
      <w:r w:rsidRPr="00D6571A">
        <w:rPr>
          <w:rFonts w:ascii="Times New Roman" w:hAnsi="Times New Roman" w:cs="Times New Roman"/>
          <w:bCs/>
          <w:iCs/>
          <w:color w:val="000000"/>
          <w:sz w:val="24"/>
          <w:szCs w:val="24"/>
          <w:shd w:val="clear" w:color="auto" w:fill="FFFFFF"/>
        </w:rPr>
        <w:t>, il conseguimento (a pena di responsabilità erariale laddove gli emolumenti siano comunque corrisposti</w:t>
      </w:r>
      <w:r w:rsidRPr="00D6571A">
        <w:rPr>
          <w:rFonts w:ascii="Times New Roman" w:hAnsi="Times New Roman" w:cs="Times New Roman"/>
          <w:bCs/>
          <w:iCs/>
          <w:color w:val="000000"/>
          <w:sz w:val="24"/>
          <w:szCs w:val="24"/>
          <w:shd w:val="clear" w:color="auto" w:fill="FFFFFF"/>
          <w:vertAlign w:val="superscript"/>
        </w:rPr>
        <w:footnoteReference w:id="99"/>
      </w:r>
      <w:r w:rsidRPr="00D6571A">
        <w:rPr>
          <w:rFonts w:ascii="Times New Roman" w:hAnsi="Times New Roman" w:cs="Times New Roman"/>
          <w:bCs/>
          <w:iCs/>
          <w:color w:val="000000"/>
          <w:sz w:val="24"/>
          <w:szCs w:val="24"/>
          <w:shd w:val="clear" w:color="auto" w:fill="FFFFFF"/>
        </w:rPr>
        <w:t>). Dal momento che, tuttavia, il dirigente non acquisisce alcun diritto alla retribuzione di risultato in assenza di obiettivi</w:t>
      </w:r>
      <w:r w:rsidRPr="00D6571A">
        <w:rPr>
          <w:rFonts w:ascii="Times New Roman" w:hAnsi="Times New Roman" w:cs="Times New Roman"/>
          <w:bCs/>
          <w:iCs/>
          <w:color w:val="000000"/>
          <w:sz w:val="24"/>
          <w:szCs w:val="24"/>
          <w:shd w:val="clear" w:color="auto" w:fill="FFFFFF"/>
          <w:vertAlign w:val="superscript"/>
        </w:rPr>
        <w:footnoteReference w:id="100"/>
      </w:r>
      <w:r w:rsidRPr="00D6571A">
        <w:rPr>
          <w:rFonts w:ascii="Times New Roman" w:hAnsi="Times New Roman" w:cs="Times New Roman"/>
          <w:bCs/>
          <w:iCs/>
          <w:color w:val="000000"/>
          <w:sz w:val="24"/>
          <w:szCs w:val="24"/>
          <w:shd w:val="clear" w:color="auto" w:fill="FFFFFF"/>
        </w:rPr>
        <w:t xml:space="preserve">, l’unica componente di danno risarcibile coincide con la perdita di </w:t>
      </w:r>
      <w:r w:rsidRPr="00D6571A">
        <w:rPr>
          <w:rFonts w:ascii="Times New Roman" w:hAnsi="Times New Roman" w:cs="Times New Roman"/>
          <w:bCs/>
          <w:i/>
          <w:iCs/>
          <w:color w:val="000000"/>
          <w:sz w:val="24"/>
          <w:szCs w:val="24"/>
          <w:shd w:val="clear" w:color="auto" w:fill="FFFFFF"/>
        </w:rPr>
        <w:t>chance</w:t>
      </w:r>
      <w:r w:rsidRPr="00194B94">
        <w:rPr>
          <w:rFonts w:ascii="Times New Roman" w:hAnsi="Times New Roman" w:cs="Times New Roman"/>
          <w:bCs/>
          <w:color w:val="000000"/>
          <w:sz w:val="24"/>
          <w:szCs w:val="24"/>
          <w:shd w:val="clear" w:color="auto" w:fill="FFFFFF"/>
          <w:vertAlign w:val="superscript"/>
        </w:rPr>
        <w:footnoteReference w:id="101"/>
      </w:r>
      <w:r w:rsidRPr="00194B94">
        <w:rPr>
          <w:rFonts w:ascii="Times New Roman" w:hAnsi="Times New Roman" w:cs="Times New Roman"/>
          <w:bCs/>
          <w:color w:val="000000"/>
          <w:sz w:val="24"/>
          <w:szCs w:val="24"/>
          <w:shd w:val="clear" w:color="auto" w:fill="FFFFFF"/>
        </w:rPr>
        <w:t>.</w:t>
      </w:r>
    </w:p>
    <w:p w14:paraId="5EB45384"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 xml:space="preserve">Quali sono le radici culturali profonde di tale fenomeno? Le cause, sicuramente, sono molteplici. </w:t>
      </w:r>
    </w:p>
    <w:p w14:paraId="46F4E078"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 xml:space="preserve">Come noto, in concomitanza con l’affermazione del </w:t>
      </w:r>
      <w:r w:rsidRPr="00D6571A">
        <w:rPr>
          <w:rFonts w:ascii="Times New Roman" w:hAnsi="Times New Roman" w:cs="Times New Roman"/>
          <w:bCs/>
          <w:i/>
          <w:iCs/>
          <w:color w:val="000000"/>
          <w:sz w:val="24"/>
          <w:szCs w:val="24"/>
          <w:shd w:val="clear" w:color="auto" w:fill="FFFFFF"/>
        </w:rPr>
        <w:t>new public management</w:t>
      </w:r>
      <w:r w:rsidRPr="00D6571A">
        <w:rPr>
          <w:rFonts w:ascii="Times New Roman" w:hAnsi="Times New Roman" w:cs="Times New Roman"/>
          <w:bCs/>
          <w:iCs/>
          <w:color w:val="000000"/>
          <w:sz w:val="24"/>
          <w:szCs w:val="24"/>
          <w:shd w:val="clear" w:color="auto" w:fill="FFFFFF"/>
        </w:rPr>
        <w:t xml:space="preserve">, si è assistito al trasferimento al settore pubblico di principi, criteri, strumenti sviluppati nell’ambito del settore privato. La qualificazione di “new”, come rilevato da autorevole dottrina, discendeva da un rinnovato approccio per il quale i </w:t>
      </w:r>
      <w:r w:rsidRPr="00D6571A">
        <w:rPr>
          <w:rFonts w:ascii="Times New Roman" w:hAnsi="Times New Roman" w:cs="Times New Roman"/>
          <w:bCs/>
          <w:i/>
          <w:iCs/>
          <w:color w:val="000000"/>
          <w:sz w:val="24"/>
          <w:szCs w:val="24"/>
          <w:shd w:val="clear" w:color="auto" w:fill="FFFFFF"/>
        </w:rPr>
        <w:t>manager</w:t>
      </w:r>
      <w:r w:rsidRPr="00D6571A">
        <w:rPr>
          <w:rFonts w:ascii="Times New Roman" w:hAnsi="Times New Roman" w:cs="Times New Roman"/>
          <w:bCs/>
          <w:iCs/>
          <w:color w:val="000000"/>
          <w:sz w:val="24"/>
          <w:szCs w:val="24"/>
          <w:shd w:val="clear" w:color="auto" w:fill="FFFFFF"/>
        </w:rPr>
        <w:t xml:space="preserve"> pubblici non avevano solamente la responsabilità di applicare leggi, norme, procedure, ma dovevano assumere la responsabilità di comprendere le caratteristiche quali-quantitative dei bisogni identificati dalle scelte politiche e organizzare le risposte tecnico-operative e economiche più adeguate e soddisfacenti per i cittadini</w:t>
      </w:r>
      <w:r w:rsidRPr="00D6571A">
        <w:rPr>
          <w:rFonts w:ascii="Times New Roman" w:hAnsi="Times New Roman" w:cs="Times New Roman"/>
          <w:bCs/>
          <w:iCs/>
          <w:color w:val="000000"/>
          <w:sz w:val="24"/>
          <w:szCs w:val="24"/>
          <w:shd w:val="clear" w:color="auto" w:fill="FFFFFF"/>
          <w:vertAlign w:val="superscript"/>
        </w:rPr>
        <w:footnoteReference w:id="102"/>
      </w:r>
      <w:r w:rsidRPr="00D6571A">
        <w:rPr>
          <w:rFonts w:ascii="Times New Roman" w:hAnsi="Times New Roman" w:cs="Times New Roman"/>
          <w:bCs/>
          <w:iCs/>
          <w:color w:val="000000"/>
          <w:sz w:val="24"/>
          <w:szCs w:val="24"/>
          <w:shd w:val="clear" w:color="auto" w:fill="FFFFFF"/>
        </w:rPr>
        <w:t>.</w:t>
      </w:r>
    </w:p>
    <w:p w14:paraId="3B543C8D"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In questo contesto si impone una maggiore attenzione alla performance, la quale richiede anche un ripensamento dei gradi di autonomia decisionale all’interno delle amministrazioni pubbliche</w:t>
      </w:r>
      <w:r w:rsidRPr="00D6571A">
        <w:rPr>
          <w:rFonts w:ascii="Times New Roman" w:hAnsi="Times New Roman" w:cs="Times New Roman"/>
          <w:bCs/>
          <w:iCs/>
          <w:color w:val="000000"/>
          <w:sz w:val="24"/>
          <w:szCs w:val="24"/>
          <w:shd w:val="clear" w:color="auto" w:fill="FFFFFF"/>
          <w:vertAlign w:val="superscript"/>
        </w:rPr>
        <w:footnoteReference w:id="103"/>
      </w:r>
      <w:r w:rsidRPr="00D6571A">
        <w:rPr>
          <w:rFonts w:ascii="Times New Roman" w:hAnsi="Times New Roman" w:cs="Times New Roman"/>
          <w:bCs/>
          <w:iCs/>
          <w:color w:val="000000"/>
          <w:sz w:val="24"/>
          <w:szCs w:val="24"/>
          <w:shd w:val="clear" w:color="auto" w:fill="FFFFFF"/>
        </w:rPr>
        <w:t xml:space="preserve">; infatti, il </w:t>
      </w:r>
      <w:r w:rsidRPr="00D6571A">
        <w:rPr>
          <w:rFonts w:ascii="Times New Roman" w:hAnsi="Times New Roman" w:cs="Times New Roman"/>
          <w:bCs/>
          <w:i/>
          <w:iCs/>
          <w:color w:val="000000"/>
          <w:sz w:val="24"/>
          <w:szCs w:val="24"/>
          <w:shd w:val="clear" w:color="auto" w:fill="FFFFFF"/>
        </w:rPr>
        <w:t>performance management</w:t>
      </w:r>
      <w:r w:rsidRPr="00D6571A">
        <w:rPr>
          <w:rFonts w:ascii="Times New Roman" w:hAnsi="Times New Roman" w:cs="Times New Roman"/>
          <w:bCs/>
          <w:iCs/>
          <w:color w:val="000000"/>
          <w:sz w:val="24"/>
          <w:szCs w:val="24"/>
          <w:shd w:val="clear" w:color="auto" w:fill="FFFFFF"/>
        </w:rPr>
        <w:t xml:space="preserve"> si fonda sulla necessità di chiarire, come già visto per l’ambito strettamente giuridico, la distinzione tra la sfera politica di indirizzo e quella del </w:t>
      </w:r>
      <w:r w:rsidRPr="00D6571A">
        <w:rPr>
          <w:rFonts w:ascii="Times New Roman" w:hAnsi="Times New Roman" w:cs="Times New Roman"/>
          <w:bCs/>
          <w:i/>
          <w:iCs/>
          <w:color w:val="000000"/>
          <w:sz w:val="24"/>
          <w:szCs w:val="24"/>
          <w:shd w:val="clear" w:color="auto" w:fill="FFFFFF"/>
        </w:rPr>
        <w:t>management</w:t>
      </w:r>
      <w:r w:rsidRPr="00D6571A">
        <w:rPr>
          <w:rFonts w:ascii="Times New Roman" w:hAnsi="Times New Roman" w:cs="Times New Roman"/>
          <w:bCs/>
          <w:iCs/>
          <w:color w:val="000000"/>
          <w:sz w:val="24"/>
          <w:szCs w:val="24"/>
          <w:shd w:val="clear" w:color="auto" w:fill="FFFFFF"/>
        </w:rPr>
        <w:t>. Quest’ultima, secondo una linea di tendenza già evidenziata trattando del D. Lgs. n. 150/2009, si vede riconosciuti maggiori gradi di autonomia, ma controbilanciati da un sistema di responsabilizzazione sui risultati ottenuti</w:t>
      </w:r>
      <w:r w:rsidRPr="00D6571A">
        <w:rPr>
          <w:rFonts w:ascii="Times New Roman" w:hAnsi="Times New Roman" w:cs="Times New Roman"/>
          <w:bCs/>
          <w:iCs/>
          <w:color w:val="000000"/>
          <w:sz w:val="24"/>
          <w:szCs w:val="24"/>
          <w:shd w:val="clear" w:color="auto" w:fill="FFFFFF"/>
          <w:vertAlign w:val="superscript"/>
        </w:rPr>
        <w:footnoteReference w:id="104"/>
      </w:r>
      <w:r w:rsidRPr="00D6571A">
        <w:rPr>
          <w:rFonts w:ascii="Times New Roman" w:hAnsi="Times New Roman" w:cs="Times New Roman"/>
          <w:bCs/>
          <w:iCs/>
          <w:color w:val="000000"/>
          <w:sz w:val="24"/>
          <w:szCs w:val="24"/>
          <w:shd w:val="clear" w:color="auto" w:fill="FFFFFF"/>
        </w:rPr>
        <w:t>.</w:t>
      </w:r>
    </w:p>
    <w:p w14:paraId="29A3C8B6"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Ne derivano numerosi corollari: la tendenza al rafforzamento dei sistemi di rendicontazione; l’attenzione ai processi di scelta di consumo dei servizi pubblici; la definizione di standards minimi di servizio pubblico; l’evocazione della centralità dei bisogni e delle persone che li esprimono</w:t>
      </w:r>
      <w:r w:rsidRPr="00D6571A">
        <w:rPr>
          <w:rFonts w:ascii="Times New Roman" w:hAnsi="Times New Roman" w:cs="Times New Roman"/>
          <w:bCs/>
          <w:iCs/>
          <w:color w:val="000000"/>
          <w:sz w:val="24"/>
          <w:szCs w:val="24"/>
          <w:shd w:val="clear" w:color="auto" w:fill="FFFFFF"/>
          <w:vertAlign w:val="superscript"/>
        </w:rPr>
        <w:footnoteReference w:id="105"/>
      </w:r>
      <w:r w:rsidRPr="00D6571A">
        <w:rPr>
          <w:rFonts w:ascii="Times New Roman" w:hAnsi="Times New Roman" w:cs="Times New Roman"/>
          <w:bCs/>
          <w:iCs/>
          <w:color w:val="000000"/>
          <w:sz w:val="24"/>
          <w:szCs w:val="24"/>
          <w:shd w:val="clear" w:color="auto" w:fill="FFFFFF"/>
        </w:rPr>
        <w:t>. Infine, per quanto maggiormente rileva in questa sede, dalla separazione indirizzo-</w:t>
      </w:r>
      <w:r w:rsidRPr="00D6571A">
        <w:rPr>
          <w:rFonts w:ascii="Times New Roman" w:hAnsi="Times New Roman" w:cs="Times New Roman"/>
          <w:bCs/>
          <w:i/>
          <w:iCs/>
          <w:color w:val="000000"/>
          <w:sz w:val="24"/>
          <w:szCs w:val="24"/>
          <w:shd w:val="clear" w:color="auto" w:fill="FFFFFF"/>
        </w:rPr>
        <w:t>management</w:t>
      </w:r>
      <w:r w:rsidRPr="00D6571A">
        <w:rPr>
          <w:rFonts w:ascii="Times New Roman" w:hAnsi="Times New Roman" w:cs="Times New Roman"/>
          <w:bCs/>
          <w:iCs/>
          <w:color w:val="000000"/>
          <w:sz w:val="24"/>
          <w:szCs w:val="24"/>
          <w:shd w:val="clear" w:color="auto" w:fill="FFFFFF"/>
        </w:rPr>
        <w:t xml:space="preserve"> </w:t>
      </w:r>
      <w:r w:rsidRPr="00D6571A">
        <w:rPr>
          <w:rFonts w:ascii="Times New Roman" w:hAnsi="Times New Roman" w:cs="Times New Roman"/>
          <w:bCs/>
          <w:iCs/>
          <w:color w:val="000000"/>
          <w:sz w:val="24"/>
          <w:szCs w:val="24"/>
          <w:shd w:val="clear" w:color="auto" w:fill="FFFFFF"/>
        </w:rPr>
        <w:lastRenderedPageBreak/>
        <w:t xml:space="preserve">deriva anche l’attenzione al </w:t>
      </w:r>
      <w:r w:rsidRPr="00D6571A">
        <w:rPr>
          <w:rFonts w:ascii="Times New Roman" w:hAnsi="Times New Roman" w:cs="Times New Roman"/>
          <w:bCs/>
          <w:i/>
          <w:iCs/>
          <w:color w:val="000000"/>
          <w:sz w:val="24"/>
          <w:szCs w:val="24"/>
          <w:shd w:val="clear" w:color="auto" w:fill="FFFFFF"/>
        </w:rPr>
        <w:t>performance measurement</w:t>
      </w:r>
      <w:r w:rsidRPr="00D6571A">
        <w:rPr>
          <w:rFonts w:ascii="Times New Roman" w:hAnsi="Times New Roman" w:cs="Times New Roman"/>
          <w:bCs/>
          <w:iCs/>
          <w:color w:val="000000"/>
          <w:sz w:val="24"/>
          <w:szCs w:val="24"/>
          <w:shd w:val="clear" w:color="auto" w:fill="FFFFFF"/>
        </w:rPr>
        <w:t xml:space="preserve">, con il quale si identificano i processi e strumenti mediante i quali le informazioni sulla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Cs/>
          <w:color w:val="000000"/>
          <w:sz w:val="24"/>
          <w:szCs w:val="24"/>
          <w:shd w:val="clear" w:color="auto" w:fill="FFFFFF"/>
        </w:rPr>
        <w:t xml:space="preserve"> sono raccolte e rese disponibili, nonché al </w:t>
      </w:r>
      <w:r w:rsidRPr="00D6571A">
        <w:rPr>
          <w:rFonts w:ascii="Times New Roman" w:hAnsi="Times New Roman" w:cs="Times New Roman"/>
          <w:bCs/>
          <w:i/>
          <w:iCs/>
          <w:color w:val="000000"/>
          <w:sz w:val="24"/>
          <w:szCs w:val="24"/>
          <w:shd w:val="clear" w:color="auto" w:fill="FFFFFF"/>
        </w:rPr>
        <w:t>performance management</w:t>
      </w:r>
      <w:r w:rsidRPr="00D6571A">
        <w:rPr>
          <w:rFonts w:ascii="Times New Roman" w:hAnsi="Times New Roman" w:cs="Times New Roman"/>
          <w:bCs/>
          <w:iCs/>
          <w:color w:val="000000"/>
          <w:sz w:val="24"/>
          <w:szCs w:val="24"/>
          <w:shd w:val="clear" w:color="auto" w:fill="FFFFFF"/>
        </w:rPr>
        <w:t xml:space="preserve">, ossia l’insieme delle attività svolte dalle istituzioni pubbliche per gestire e migliorare 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
          <w:iCs/>
          <w:color w:val="000000"/>
          <w:sz w:val="24"/>
          <w:szCs w:val="24"/>
          <w:shd w:val="clear" w:color="auto" w:fill="FFFFFF"/>
          <w:vertAlign w:val="superscript"/>
        </w:rPr>
        <w:footnoteReference w:id="106"/>
      </w:r>
      <w:r w:rsidRPr="00D6571A">
        <w:rPr>
          <w:rFonts w:ascii="Times New Roman" w:hAnsi="Times New Roman" w:cs="Times New Roman"/>
          <w:bCs/>
          <w:iCs/>
          <w:color w:val="000000"/>
          <w:sz w:val="24"/>
          <w:szCs w:val="24"/>
          <w:shd w:val="clear" w:color="auto" w:fill="FFFFFF"/>
        </w:rPr>
        <w:t>.</w:t>
      </w:r>
    </w:p>
    <w:p w14:paraId="0B57BFA5"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 xml:space="preserve">Da questo </w:t>
      </w:r>
      <w:r w:rsidRPr="00D6571A">
        <w:rPr>
          <w:rFonts w:ascii="Times New Roman" w:hAnsi="Times New Roman" w:cs="Times New Roman"/>
          <w:bCs/>
          <w:i/>
          <w:iCs/>
          <w:color w:val="000000"/>
          <w:sz w:val="24"/>
          <w:szCs w:val="24"/>
          <w:shd w:val="clear" w:color="auto" w:fill="FFFFFF"/>
        </w:rPr>
        <w:t>humus</w:t>
      </w:r>
      <w:r w:rsidRPr="00D6571A">
        <w:rPr>
          <w:rFonts w:ascii="Times New Roman" w:hAnsi="Times New Roman" w:cs="Times New Roman"/>
          <w:bCs/>
          <w:iCs/>
          <w:color w:val="000000"/>
          <w:sz w:val="24"/>
          <w:szCs w:val="24"/>
          <w:shd w:val="clear" w:color="auto" w:fill="FFFFFF"/>
        </w:rPr>
        <w:t xml:space="preserve"> culturale nasce il D. Lgs. n. 150/2009 ss.mm.ii. e il ciclo della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
          <w:iCs/>
          <w:color w:val="000000"/>
          <w:sz w:val="24"/>
          <w:szCs w:val="24"/>
          <w:shd w:val="clear" w:color="auto" w:fill="FFFFFF"/>
          <w:vertAlign w:val="superscript"/>
        </w:rPr>
        <w:footnoteReference w:id="107"/>
      </w:r>
      <w:r w:rsidRPr="00D6571A">
        <w:rPr>
          <w:rFonts w:ascii="Times New Roman" w:hAnsi="Times New Roman" w:cs="Times New Roman"/>
          <w:bCs/>
          <w:iCs/>
          <w:color w:val="000000"/>
          <w:sz w:val="24"/>
          <w:szCs w:val="24"/>
          <w:shd w:val="clear" w:color="auto" w:fill="FFFFFF"/>
        </w:rPr>
        <w:t xml:space="preserve">, in cui, astraendosi da disamine di dettaglio che non sarebbero conducenti al fine, le indicazioni strategiche sono chiamate a supportare la programmazione operativa e quest’ultima orienta la gestione e, al contempo, informa la produzione degli elementi necessari per misurare 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Cs/>
          <w:color w:val="000000"/>
          <w:sz w:val="24"/>
          <w:szCs w:val="24"/>
          <w:shd w:val="clear" w:color="auto" w:fill="FFFFFF"/>
        </w:rPr>
        <w:t>. Tale sistema, orientato ai risultati e applicativo del c.d. ciclo di Deming</w:t>
      </w:r>
      <w:r w:rsidRPr="00D6571A">
        <w:rPr>
          <w:rFonts w:ascii="Times New Roman" w:hAnsi="Times New Roman" w:cs="Times New Roman"/>
          <w:bCs/>
          <w:iCs/>
          <w:color w:val="000000"/>
          <w:sz w:val="24"/>
          <w:szCs w:val="24"/>
          <w:shd w:val="clear" w:color="auto" w:fill="FFFFFF"/>
          <w:vertAlign w:val="superscript"/>
        </w:rPr>
        <w:footnoteReference w:id="108"/>
      </w:r>
      <w:r w:rsidRPr="00D6571A">
        <w:rPr>
          <w:rFonts w:ascii="Times New Roman" w:hAnsi="Times New Roman" w:cs="Times New Roman"/>
          <w:bCs/>
          <w:iCs/>
          <w:color w:val="000000"/>
          <w:sz w:val="24"/>
          <w:szCs w:val="24"/>
          <w:shd w:val="clear" w:color="auto" w:fill="FFFFFF"/>
        </w:rPr>
        <w:t>, pone al centro dell’intero ciclo la fase di valutazione, ove lo scostamento eventuale tra obiettivi e risultati diventa la base per la rendicontazione tra politica e amministrazione, per la valutazione dei centri di responsabilità e del contributo individuale agli obiettivi aziendali</w:t>
      </w:r>
      <w:r w:rsidRPr="00D6571A">
        <w:rPr>
          <w:rFonts w:ascii="Times New Roman" w:hAnsi="Times New Roman" w:cs="Times New Roman"/>
          <w:bCs/>
          <w:iCs/>
          <w:color w:val="000000"/>
          <w:sz w:val="24"/>
          <w:szCs w:val="24"/>
          <w:shd w:val="clear" w:color="auto" w:fill="FFFFFF"/>
          <w:vertAlign w:val="superscript"/>
        </w:rPr>
        <w:footnoteReference w:id="109"/>
      </w:r>
      <w:r w:rsidRPr="00D6571A">
        <w:rPr>
          <w:rFonts w:ascii="Times New Roman" w:hAnsi="Times New Roman" w:cs="Times New Roman"/>
          <w:bCs/>
          <w:iCs/>
          <w:color w:val="000000"/>
          <w:sz w:val="24"/>
          <w:szCs w:val="24"/>
          <w:shd w:val="clear" w:color="auto" w:fill="FFFFFF"/>
        </w:rPr>
        <w:t>.</w:t>
      </w:r>
    </w:p>
    <w:p w14:paraId="405FC208"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 xml:space="preserve">Il </w:t>
      </w:r>
      <w:r w:rsidRPr="00D6571A">
        <w:rPr>
          <w:rFonts w:ascii="Times New Roman" w:hAnsi="Times New Roman" w:cs="Times New Roman"/>
          <w:bCs/>
          <w:i/>
          <w:iCs/>
          <w:color w:val="000000"/>
          <w:sz w:val="24"/>
          <w:szCs w:val="24"/>
          <w:shd w:val="clear" w:color="auto" w:fill="FFFFFF"/>
        </w:rPr>
        <w:t>performance management</w:t>
      </w:r>
      <w:r w:rsidRPr="00D6571A">
        <w:rPr>
          <w:rFonts w:ascii="Times New Roman" w:hAnsi="Times New Roman" w:cs="Times New Roman"/>
          <w:bCs/>
          <w:iCs/>
          <w:color w:val="000000"/>
          <w:sz w:val="24"/>
          <w:szCs w:val="24"/>
          <w:shd w:val="clear" w:color="auto" w:fill="FFFFFF"/>
        </w:rPr>
        <w:t xml:space="preserve">, tuttavia, è connotato da alcuni limiti. In primo luogo, l’effetto sineddoche, consistente nel rischio di concentrarsi su alcuni benefici soltanto dell’azione amministrativa, trascurando gli altri; ancora, si tratta di un sistema complesso e costoso; sussiste, poi, il rischio di manipolazione delle misure, con conseguente distorsione della misurazione; infine, non è detto che i comportamenti degli esponenti del ceto politico siano sempre perfettamente razionali, in quanto tesi a ricercare il consenso politico, collidendo così con la razionalità degli strumenti di </w:t>
      </w:r>
      <w:r w:rsidRPr="00D6571A">
        <w:rPr>
          <w:rFonts w:ascii="Times New Roman" w:hAnsi="Times New Roman" w:cs="Times New Roman"/>
          <w:bCs/>
          <w:i/>
          <w:iCs/>
          <w:color w:val="000000"/>
          <w:sz w:val="24"/>
          <w:szCs w:val="24"/>
          <w:shd w:val="clear" w:color="auto" w:fill="FFFFFF"/>
        </w:rPr>
        <w:t>performance management</w:t>
      </w:r>
      <w:r w:rsidRPr="00D6571A">
        <w:rPr>
          <w:rFonts w:ascii="Times New Roman" w:hAnsi="Times New Roman" w:cs="Times New Roman"/>
          <w:bCs/>
          <w:i/>
          <w:iCs/>
          <w:color w:val="000000"/>
          <w:sz w:val="24"/>
          <w:szCs w:val="24"/>
          <w:shd w:val="clear" w:color="auto" w:fill="FFFFFF"/>
          <w:vertAlign w:val="superscript"/>
        </w:rPr>
        <w:footnoteReference w:id="110"/>
      </w:r>
      <w:r w:rsidRPr="00D6571A">
        <w:rPr>
          <w:rFonts w:ascii="Times New Roman" w:hAnsi="Times New Roman" w:cs="Times New Roman"/>
          <w:bCs/>
          <w:iCs/>
          <w:color w:val="000000"/>
          <w:sz w:val="24"/>
          <w:szCs w:val="24"/>
          <w:shd w:val="clear" w:color="auto" w:fill="FFFFFF"/>
        </w:rPr>
        <w:t>.</w:t>
      </w:r>
    </w:p>
    <w:p w14:paraId="34A38360"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 xml:space="preserve">Naturalmente, non si vuole asserire in questa sede che 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Cs/>
          <w:color w:val="000000"/>
          <w:sz w:val="24"/>
          <w:szCs w:val="24"/>
          <w:shd w:val="clear" w:color="auto" w:fill="FFFFFF"/>
        </w:rPr>
        <w:t xml:space="preserve"> non debba essere misurata. La misurazione e valutazione, infatti, è indispensabile per evitare che i discorsi legati alla </w:t>
      </w:r>
      <w:r w:rsidRPr="00D6571A">
        <w:rPr>
          <w:rFonts w:ascii="Times New Roman" w:hAnsi="Times New Roman" w:cs="Times New Roman"/>
          <w:bCs/>
          <w:i/>
          <w:iCs/>
          <w:color w:val="000000"/>
          <w:sz w:val="24"/>
          <w:szCs w:val="24"/>
          <w:shd w:val="clear" w:color="auto" w:fill="FFFFFF"/>
        </w:rPr>
        <w:t>leadership</w:t>
      </w:r>
      <w:r w:rsidRPr="00D6571A">
        <w:rPr>
          <w:rFonts w:ascii="Times New Roman" w:hAnsi="Times New Roman" w:cs="Times New Roman"/>
          <w:bCs/>
          <w:iCs/>
          <w:color w:val="000000"/>
          <w:sz w:val="24"/>
          <w:szCs w:val="24"/>
          <w:shd w:val="clear" w:color="auto" w:fill="FFFFFF"/>
        </w:rPr>
        <w:t xml:space="preserve"> trasformativa scadano nella vuota retorica. </w:t>
      </w:r>
    </w:p>
    <w:p w14:paraId="7FF3C4E0"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 xml:space="preserve">Tuttavia, “che misurare la performance in ambito pubblico sia utile rimane però da dimostrare”, soprattutto in quadro di riferimento che rivela come, per la maggioranza dei </w:t>
      </w:r>
      <w:r w:rsidRPr="00D6571A">
        <w:rPr>
          <w:rFonts w:ascii="Times New Roman" w:hAnsi="Times New Roman" w:cs="Times New Roman"/>
          <w:bCs/>
          <w:i/>
          <w:iCs/>
          <w:color w:val="000000"/>
          <w:sz w:val="24"/>
          <w:szCs w:val="24"/>
          <w:shd w:val="clear" w:color="auto" w:fill="FFFFFF"/>
        </w:rPr>
        <w:t>manager</w:t>
      </w:r>
      <w:r w:rsidRPr="00D6571A">
        <w:rPr>
          <w:rFonts w:ascii="Times New Roman" w:hAnsi="Times New Roman" w:cs="Times New Roman"/>
          <w:bCs/>
          <w:iCs/>
          <w:color w:val="000000"/>
          <w:sz w:val="24"/>
          <w:szCs w:val="24"/>
          <w:shd w:val="clear" w:color="auto" w:fill="FFFFFF"/>
        </w:rPr>
        <w:t xml:space="preserve"> pubblici italiani, il fine principale del sistema della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Cs/>
          <w:color w:val="000000"/>
          <w:sz w:val="24"/>
          <w:szCs w:val="24"/>
          <w:shd w:val="clear" w:color="auto" w:fill="FFFFFF"/>
        </w:rPr>
        <w:t xml:space="preserve"> sia la determinazione della premialità, e solo per una ristretta minoranza esso presenti una funzione informativa per prendere consapevolezza della capacità di risposta delle strutture</w:t>
      </w:r>
      <w:r w:rsidRPr="00D6571A">
        <w:rPr>
          <w:rFonts w:ascii="Times New Roman" w:hAnsi="Times New Roman" w:cs="Times New Roman"/>
          <w:bCs/>
          <w:iCs/>
          <w:color w:val="000000"/>
          <w:sz w:val="24"/>
          <w:szCs w:val="24"/>
          <w:shd w:val="clear" w:color="auto" w:fill="FFFFFF"/>
          <w:vertAlign w:val="superscript"/>
        </w:rPr>
        <w:footnoteReference w:id="111"/>
      </w:r>
      <w:r w:rsidRPr="00D6571A">
        <w:rPr>
          <w:rFonts w:ascii="Times New Roman" w:hAnsi="Times New Roman" w:cs="Times New Roman"/>
          <w:bCs/>
          <w:iCs/>
          <w:color w:val="000000"/>
          <w:sz w:val="24"/>
          <w:szCs w:val="24"/>
          <w:shd w:val="clear" w:color="auto" w:fill="FFFFFF"/>
        </w:rPr>
        <w:t xml:space="preserve">. </w:t>
      </w:r>
    </w:p>
    <w:p w14:paraId="45D4BEC2"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 xml:space="preserve">Ecco in che senso occorre “liberare la PA dai premi”, nell’ambito di impostazioni che hanno evidenziato la necessità, in chiave culturale, di sostituire la “cultura della colpa” con quella della responsabilità, di consentire una maggiore intellegibilità dei dati relativi alla </w:t>
      </w:r>
      <w:r w:rsidRPr="00D6571A">
        <w:rPr>
          <w:rFonts w:ascii="Times New Roman" w:hAnsi="Times New Roman" w:cs="Times New Roman"/>
          <w:bCs/>
          <w:i/>
          <w:iCs/>
          <w:color w:val="000000"/>
          <w:sz w:val="24"/>
          <w:szCs w:val="24"/>
          <w:shd w:val="clear" w:color="auto" w:fill="FFFFFF"/>
        </w:rPr>
        <w:t>performance</w:t>
      </w:r>
      <w:r w:rsidRPr="00D6571A">
        <w:rPr>
          <w:rFonts w:ascii="Times New Roman" w:hAnsi="Times New Roman" w:cs="Times New Roman"/>
          <w:bCs/>
          <w:iCs/>
          <w:color w:val="000000"/>
          <w:sz w:val="24"/>
          <w:szCs w:val="24"/>
          <w:shd w:val="clear" w:color="auto" w:fill="FFFFFF"/>
        </w:rPr>
        <w:t xml:space="preserve"> e, laddove il prodotto generato sia immateriale, di “intendersi su quali fatti scegliamo come riferimento per poter dire che la missione è assolta”</w:t>
      </w:r>
      <w:r w:rsidRPr="00D6571A">
        <w:rPr>
          <w:rFonts w:ascii="Times New Roman" w:hAnsi="Times New Roman" w:cs="Times New Roman"/>
          <w:bCs/>
          <w:iCs/>
          <w:color w:val="000000"/>
          <w:sz w:val="24"/>
          <w:szCs w:val="24"/>
          <w:shd w:val="clear" w:color="auto" w:fill="FFFFFF"/>
          <w:vertAlign w:val="superscript"/>
        </w:rPr>
        <w:footnoteReference w:id="112"/>
      </w:r>
      <w:r w:rsidRPr="00D6571A">
        <w:rPr>
          <w:rFonts w:ascii="Times New Roman" w:hAnsi="Times New Roman" w:cs="Times New Roman"/>
          <w:bCs/>
          <w:iCs/>
          <w:color w:val="000000"/>
          <w:sz w:val="24"/>
          <w:szCs w:val="24"/>
          <w:shd w:val="clear" w:color="auto" w:fill="FFFFFF"/>
        </w:rPr>
        <w:t>.</w:t>
      </w:r>
    </w:p>
    <w:p w14:paraId="0DA6FC36" w14:textId="77777777" w:rsidR="00D6571A" w:rsidRPr="00D6571A" w:rsidRDefault="00D6571A" w:rsidP="004B7EA5">
      <w:pPr>
        <w:spacing w:after="0" w:line="276" w:lineRule="auto"/>
        <w:jc w:val="both"/>
        <w:rPr>
          <w:rFonts w:ascii="Times New Roman" w:hAnsi="Times New Roman" w:cs="Times New Roman"/>
          <w:bCs/>
          <w:iCs/>
          <w:color w:val="000000"/>
          <w:sz w:val="24"/>
          <w:szCs w:val="24"/>
          <w:shd w:val="clear" w:color="auto" w:fill="FFFFFF"/>
        </w:rPr>
      </w:pPr>
      <w:r w:rsidRPr="00D6571A">
        <w:rPr>
          <w:rFonts w:ascii="Times New Roman" w:hAnsi="Times New Roman" w:cs="Times New Roman"/>
          <w:bCs/>
          <w:iCs/>
          <w:color w:val="000000"/>
          <w:sz w:val="24"/>
          <w:szCs w:val="24"/>
          <w:shd w:val="clear" w:color="auto" w:fill="FFFFFF"/>
        </w:rPr>
        <w:t>Gli incentivi monetari, tra l’altro, non hanno una correlazione diretta con la motivazione delle risorse umane neanche sul piano teorico</w:t>
      </w:r>
      <w:r w:rsidRPr="00D6571A">
        <w:rPr>
          <w:rFonts w:ascii="Times New Roman" w:hAnsi="Times New Roman" w:cs="Times New Roman"/>
          <w:bCs/>
          <w:iCs/>
          <w:color w:val="000000"/>
          <w:sz w:val="24"/>
          <w:szCs w:val="24"/>
          <w:shd w:val="clear" w:color="auto" w:fill="FFFFFF"/>
          <w:vertAlign w:val="superscript"/>
        </w:rPr>
        <w:footnoteReference w:id="113"/>
      </w:r>
      <w:r w:rsidRPr="00D6571A">
        <w:rPr>
          <w:rFonts w:ascii="Times New Roman" w:hAnsi="Times New Roman" w:cs="Times New Roman"/>
          <w:bCs/>
          <w:iCs/>
          <w:color w:val="000000"/>
          <w:sz w:val="24"/>
          <w:szCs w:val="24"/>
          <w:shd w:val="clear" w:color="auto" w:fill="FFFFFF"/>
        </w:rPr>
        <w:t xml:space="preserve">, nonostante essa sia stata ipotizzata da fonti anche molto autorevoli. Infatti, tale connessione era stata ipotizzata dalle teorie che postulavano la perfetta razionalità dell’attore o che, comunque, questi agisse esclusivamente per massimizzare il proprio </w:t>
      </w:r>
      <w:r w:rsidRPr="00D6571A">
        <w:rPr>
          <w:rFonts w:ascii="Times New Roman" w:hAnsi="Times New Roman" w:cs="Times New Roman"/>
          <w:bCs/>
          <w:iCs/>
          <w:color w:val="000000"/>
          <w:sz w:val="24"/>
          <w:szCs w:val="24"/>
          <w:shd w:val="clear" w:color="auto" w:fill="FFFFFF"/>
        </w:rPr>
        <w:lastRenderedPageBreak/>
        <w:t>tornaconto economico; tuttavia, non può omettersi di considerare anche quelle tesi che muovono dal presupposto della razionalità limitata dell’attore, di cui si è detto</w:t>
      </w:r>
      <w:r w:rsidRPr="00D6571A">
        <w:rPr>
          <w:rFonts w:ascii="Times New Roman" w:hAnsi="Times New Roman" w:cs="Times New Roman"/>
          <w:bCs/>
          <w:iCs/>
          <w:color w:val="000000"/>
          <w:sz w:val="24"/>
          <w:szCs w:val="24"/>
          <w:shd w:val="clear" w:color="auto" w:fill="FFFFFF"/>
          <w:vertAlign w:val="superscript"/>
        </w:rPr>
        <w:footnoteReference w:id="114"/>
      </w:r>
      <w:r w:rsidRPr="00D6571A">
        <w:rPr>
          <w:rFonts w:ascii="Times New Roman" w:hAnsi="Times New Roman" w:cs="Times New Roman"/>
          <w:bCs/>
          <w:iCs/>
          <w:color w:val="000000"/>
          <w:sz w:val="24"/>
          <w:szCs w:val="24"/>
          <w:shd w:val="clear" w:color="auto" w:fill="FFFFFF"/>
        </w:rPr>
        <w:t>.</w:t>
      </w:r>
    </w:p>
    <w:p w14:paraId="6B18C461"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Occorre, infatti, “considerare la motivazione un fenomeno quanto meno binario, ovvero connesso non solo all’ottenimento di premi e conferme esterne (motivazione estrinseca), ma anche come il prodotto di una gratificazione interna (motivazione intrinseca)”</w:t>
      </w:r>
      <w:r w:rsidRPr="00DD1F2F">
        <w:rPr>
          <w:rFonts w:ascii="Times New Roman" w:hAnsi="Times New Roman" w:cs="Times New Roman"/>
          <w:bCs/>
          <w:iCs/>
          <w:color w:val="000000"/>
          <w:sz w:val="24"/>
          <w:szCs w:val="24"/>
          <w:shd w:val="clear" w:color="auto" w:fill="FFFFFF"/>
          <w:vertAlign w:val="superscript"/>
        </w:rPr>
        <w:footnoteReference w:id="115"/>
      </w:r>
      <w:r w:rsidRPr="00DD1F2F">
        <w:rPr>
          <w:rFonts w:ascii="Times New Roman" w:hAnsi="Times New Roman" w:cs="Times New Roman"/>
          <w:bCs/>
          <w:iCs/>
          <w:color w:val="000000"/>
          <w:sz w:val="24"/>
          <w:szCs w:val="24"/>
          <w:shd w:val="clear" w:color="auto" w:fill="FFFFFF"/>
        </w:rPr>
        <w:t xml:space="preserve">, in quanto è ben possibile che sia l’azione in sé a costituire fonte di soddisfazione. La metafora del bastone e della carota si sgretola innanzi a ricerche che hanno dimostrato come remunerare poco le </w:t>
      </w:r>
      <w:r w:rsidRPr="00DD1F2F">
        <w:rPr>
          <w:rFonts w:ascii="Times New Roman" w:hAnsi="Times New Roman" w:cs="Times New Roman"/>
          <w:bCs/>
          <w:i/>
          <w:iCs/>
          <w:color w:val="000000"/>
          <w:sz w:val="24"/>
          <w:szCs w:val="24"/>
          <w:shd w:val="clear" w:color="auto" w:fill="FFFFFF"/>
        </w:rPr>
        <w:t>performance</w:t>
      </w:r>
      <w:r w:rsidRPr="00DD1F2F">
        <w:rPr>
          <w:rFonts w:ascii="Times New Roman" w:hAnsi="Times New Roman" w:cs="Times New Roman"/>
          <w:bCs/>
          <w:iCs/>
          <w:color w:val="000000"/>
          <w:sz w:val="24"/>
          <w:szCs w:val="24"/>
          <w:shd w:val="clear" w:color="auto" w:fill="FFFFFF"/>
        </w:rPr>
        <w:t xml:space="preserve"> sia più disincentivante che non remunerarle affatto, e tanto poiché la motivazione intrinseca che si attiva in chi agisce gratuitamente viene “spiazzata” dall’incentivo monetario</w:t>
      </w:r>
      <w:r w:rsidRPr="00DD1F2F">
        <w:rPr>
          <w:rFonts w:ascii="Times New Roman" w:hAnsi="Times New Roman" w:cs="Times New Roman"/>
          <w:bCs/>
          <w:iCs/>
          <w:color w:val="000000"/>
          <w:sz w:val="24"/>
          <w:szCs w:val="24"/>
          <w:shd w:val="clear" w:color="auto" w:fill="FFFFFF"/>
          <w:vertAlign w:val="superscript"/>
        </w:rPr>
        <w:footnoteReference w:id="116"/>
      </w:r>
      <w:r w:rsidRPr="00DD1F2F">
        <w:rPr>
          <w:rFonts w:ascii="Times New Roman" w:hAnsi="Times New Roman" w:cs="Times New Roman"/>
          <w:bCs/>
          <w:iCs/>
          <w:color w:val="000000"/>
          <w:sz w:val="24"/>
          <w:szCs w:val="24"/>
          <w:shd w:val="clear" w:color="auto" w:fill="FFFFFF"/>
        </w:rPr>
        <w:t xml:space="preserve">, che configura una sorta di prezzo delle </w:t>
      </w:r>
      <w:r w:rsidRPr="00DD1F2F">
        <w:rPr>
          <w:rFonts w:ascii="Times New Roman" w:hAnsi="Times New Roman" w:cs="Times New Roman"/>
          <w:bCs/>
          <w:i/>
          <w:iCs/>
          <w:color w:val="000000"/>
          <w:sz w:val="24"/>
          <w:szCs w:val="24"/>
          <w:shd w:val="clear" w:color="auto" w:fill="FFFFFF"/>
        </w:rPr>
        <w:t>performance</w:t>
      </w:r>
      <w:r w:rsidRPr="00DD1F2F">
        <w:rPr>
          <w:rFonts w:ascii="Times New Roman" w:hAnsi="Times New Roman" w:cs="Times New Roman"/>
          <w:bCs/>
          <w:iCs/>
          <w:color w:val="000000"/>
          <w:sz w:val="24"/>
          <w:szCs w:val="24"/>
          <w:shd w:val="clear" w:color="auto" w:fill="FFFFFF"/>
        </w:rPr>
        <w:t>, l’inadeguatezza del quale – però – frustra la naturale intraprendenza del valutato.</w:t>
      </w:r>
    </w:p>
    <w:p w14:paraId="3032ABFC"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Le moderne Pubbliche Amministrazioni, peraltro, si scontrano con una persistente carenza della cultura della programmazione e della valutazione, nonché con la perdurante difficoltà a concretizzare l’amministrazione per processi nella realtà quotidiana, conferendo prevalenza al vetusto modello dell’amministrazione per atti piuttosto che dell’amministrazione per servizi.</w:t>
      </w:r>
    </w:p>
    <w:p w14:paraId="22FCA802"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In particolare, sono stati registrate le seguenti criticità:</w:t>
      </w:r>
    </w:p>
    <w:p w14:paraId="51C616D0"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resistenza al dialogo tra le diverse componenti dell’organizzazione, sicché gli obiettivi programmati dalla </w:t>
      </w:r>
      <w:r w:rsidRPr="00DD1F2F">
        <w:rPr>
          <w:rFonts w:ascii="Times New Roman" w:hAnsi="Times New Roman" w:cs="Times New Roman"/>
          <w:bCs/>
          <w:i/>
          <w:iCs/>
          <w:color w:val="000000"/>
          <w:sz w:val="24"/>
          <w:szCs w:val="24"/>
          <w:shd w:val="clear" w:color="auto" w:fill="FFFFFF"/>
        </w:rPr>
        <w:t>governance</w:t>
      </w:r>
      <w:r w:rsidRPr="00DD1F2F">
        <w:rPr>
          <w:rFonts w:ascii="Times New Roman" w:hAnsi="Times New Roman" w:cs="Times New Roman"/>
          <w:bCs/>
          <w:iCs/>
          <w:color w:val="000000"/>
          <w:sz w:val="24"/>
          <w:szCs w:val="24"/>
          <w:shd w:val="clear" w:color="auto" w:fill="FFFFFF"/>
        </w:rPr>
        <w:t xml:space="preserve"> rischiano di restare concretamente inattuati;</w:t>
      </w:r>
    </w:p>
    <w:p w14:paraId="37660B58"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assenza o scarsa dialogo tra i diversi attori politici presenti nel sistema centrale e periferico, per cui la programmazione centrale strategica e operativa può rivelarsi nei contenuti inadeguata e inopportuna;</w:t>
      </w:r>
    </w:p>
    <w:p w14:paraId="60CE0A61" w14:textId="302BD243"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programmazione strategica e operativa priva dell’indicazione delle risorse necessarie per realizzarla</w:t>
      </w:r>
      <w:r w:rsidR="00E740C2">
        <w:rPr>
          <w:rFonts w:ascii="Times New Roman" w:hAnsi="Times New Roman" w:cs="Times New Roman"/>
          <w:bCs/>
          <w:iCs/>
          <w:color w:val="000000"/>
          <w:sz w:val="24"/>
          <w:szCs w:val="24"/>
          <w:shd w:val="clear" w:color="auto" w:fill="FFFFFF"/>
        </w:rPr>
        <w:t xml:space="preserve"> e</w:t>
      </w:r>
      <w:r w:rsidRPr="00DD1F2F">
        <w:rPr>
          <w:rFonts w:ascii="Times New Roman" w:hAnsi="Times New Roman" w:cs="Times New Roman"/>
          <w:bCs/>
          <w:iCs/>
          <w:color w:val="000000"/>
          <w:sz w:val="24"/>
          <w:szCs w:val="24"/>
          <w:shd w:val="clear" w:color="auto" w:fill="FFFFFF"/>
        </w:rPr>
        <w:t>, che, dunque, si concretizza in una programmazione parziale e irrealizzabile.</w:t>
      </w:r>
    </w:p>
    <w:p w14:paraId="5B711C27"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Ebbene, l’incapacità di programmare gli obiettivi, di distinguerli per tipologia (di efficienza, di efficacia, di economicità, di progetto, ecc.), di articolarli trasversalmente, declinandoli in azioni e corredandoli di indicatori, target e tempistica svuota di significato e funzione il sistema della performance.</w:t>
      </w:r>
    </w:p>
    <w:p w14:paraId="1D51FA1C"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proofErr w:type="gramStart"/>
      <w:r w:rsidRPr="00DD1F2F">
        <w:rPr>
          <w:rFonts w:ascii="Times New Roman" w:hAnsi="Times New Roman" w:cs="Times New Roman"/>
          <w:bCs/>
          <w:iCs/>
          <w:color w:val="000000"/>
          <w:sz w:val="24"/>
          <w:szCs w:val="24"/>
          <w:shd w:val="clear" w:color="auto" w:fill="FFFFFF"/>
        </w:rPr>
        <w:t>E’</w:t>
      </w:r>
      <w:proofErr w:type="gramEnd"/>
      <w:r w:rsidRPr="00DD1F2F">
        <w:rPr>
          <w:rFonts w:ascii="Times New Roman" w:hAnsi="Times New Roman" w:cs="Times New Roman"/>
          <w:bCs/>
          <w:iCs/>
          <w:color w:val="000000"/>
          <w:sz w:val="24"/>
          <w:szCs w:val="24"/>
          <w:shd w:val="clear" w:color="auto" w:fill="FFFFFF"/>
        </w:rPr>
        <w:t xml:space="preserve"> stato rilevato che la persistenza di un modello organizzativo non improntato all’amministrazione per processi condiziona la qualità di questi ultimi e dei servizi; è spesso carente un’attività di monitoraggio </w:t>
      </w:r>
      <w:r w:rsidRPr="00DD1F2F">
        <w:rPr>
          <w:rFonts w:ascii="Times New Roman" w:hAnsi="Times New Roman" w:cs="Times New Roman"/>
          <w:bCs/>
          <w:i/>
          <w:iCs/>
          <w:color w:val="000000"/>
          <w:sz w:val="24"/>
          <w:szCs w:val="24"/>
          <w:shd w:val="clear" w:color="auto" w:fill="FFFFFF"/>
        </w:rPr>
        <w:t>in itinere</w:t>
      </w:r>
      <w:r w:rsidRPr="00DD1F2F">
        <w:rPr>
          <w:rFonts w:ascii="Times New Roman" w:hAnsi="Times New Roman" w:cs="Times New Roman"/>
          <w:bCs/>
          <w:iCs/>
          <w:color w:val="000000"/>
          <w:sz w:val="24"/>
          <w:szCs w:val="24"/>
          <w:shd w:val="clear" w:color="auto" w:fill="FFFFFF"/>
        </w:rPr>
        <w:t>, che sarebbe invece fondamentale per comprendere se le attività sono congruenti rispetto ai risultati attesi; difetta un sistema informativo capace di raccogliere i dati e di relazionarli ai processi e non agli adempimenti</w:t>
      </w:r>
      <w:r w:rsidRPr="00DD1F2F">
        <w:rPr>
          <w:rFonts w:ascii="Times New Roman" w:hAnsi="Times New Roman" w:cs="Times New Roman"/>
          <w:bCs/>
          <w:iCs/>
          <w:color w:val="000000"/>
          <w:sz w:val="24"/>
          <w:szCs w:val="24"/>
          <w:shd w:val="clear" w:color="auto" w:fill="FFFFFF"/>
          <w:vertAlign w:val="superscript"/>
        </w:rPr>
        <w:footnoteReference w:id="117"/>
      </w:r>
      <w:r w:rsidRPr="00DD1F2F">
        <w:rPr>
          <w:rFonts w:ascii="Times New Roman" w:hAnsi="Times New Roman" w:cs="Times New Roman"/>
          <w:bCs/>
          <w:iCs/>
          <w:color w:val="000000"/>
          <w:sz w:val="24"/>
          <w:szCs w:val="24"/>
          <w:shd w:val="clear" w:color="auto" w:fill="FFFFFF"/>
        </w:rPr>
        <w:t xml:space="preserve">. </w:t>
      </w:r>
    </w:p>
    <w:p w14:paraId="6CF4B3E6"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Infine, l’incapacità di adottare chiari e coerenti sistemi di misurazione e valutazione della performance si riverbera sulle prestazioni del singolo, che con le proprie performance concorre a realizzare quelle della struttura stessa.</w:t>
      </w:r>
    </w:p>
    <w:p w14:paraId="02A67372"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Ebbene, si ritiene che la risposta decisiva risieda nella </w:t>
      </w:r>
      <w:r w:rsidRPr="00DD1F2F">
        <w:rPr>
          <w:rFonts w:ascii="Times New Roman" w:hAnsi="Times New Roman" w:cs="Times New Roman"/>
          <w:bCs/>
          <w:i/>
          <w:iCs/>
          <w:color w:val="000000"/>
          <w:sz w:val="24"/>
          <w:szCs w:val="24"/>
          <w:shd w:val="clear" w:color="auto" w:fill="FFFFFF"/>
        </w:rPr>
        <w:t>fiducia</w:t>
      </w:r>
      <w:r w:rsidRPr="00DD1F2F">
        <w:rPr>
          <w:rFonts w:ascii="Times New Roman" w:hAnsi="Times New Roman" w:cs="Times New Roman"/>
          <w:bCs/>
          <w:iCs/>
          <w:color w:val="000000"/>
          <w:sz w:val="24"/>
          <w:szCs w:val="24"/>
          <w:shd w:val="clear" w:color="auto" w:fill="FFFFFF"/>
        </w:rPr>
        <w:t>, questa volta declinata quale componente della cultura organizzativa degli enti pubblici</w:t>
      </w:r>
      <w:r w:rsidRPr="00DD1F2F">
        <w:rPr>
          <w:rFonts w:ascii="Times New Roman" w:hAnsi="Times New Roman" w:cs="Times New Roman"/>
          <w:bCs/>
          <w:iCs/>
          <w:color w:val="000000"/>
          <w:sz w:val="24"/>
          <w:szCs w:val="24"/>
          <w:shd w:val="clear" w:color="auto" w:fill="FFFFFF"/>
          <w:vertAlign w:val="superscript"/>
        </w:rPr>
        <w:footnoteReference w:id="118"/>
      </w:r>
      <w:r w:rsidRPr="00DD1F2F">
        <w:rPr>
          <w:rFonts w:ascii="Times New Roman" w:hAnsi="Times New Roman" w:cs="Times New Roman"/>
          <w:bCs/>
          <w:iCs/>
          <w:color w:val="000000"/>
          <w:sz w:val="24"/>
          <w:szCs w:val="24"/>
          <w:shd w:val="clear" w:color="auto" w:fill="FFFFFF"/>
        </w:rPr>
        <w:t>.</w:t>
      </w:r>
    </w:p>
    <w:p w14:paraId="46A79DAD"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proofErr w:type="gramStart"/>
      <w:r w:rsidRPr="00DD1F2F">
        <w:rPr>
          <w:rFonts w:ascii="Times New Roman" w:hAnsi="Times New Roman" w:cs="Times New Roman"/>
          <w:bCs/>
          <w:iCs/>
          <w:color w:val="000000"/>
          <w:sz w:val="24"/>
          <w:szCs w:val="24"/>
          <w:shd w:val="clear" w:color="auto" w:fill="FFFFFF"/>
        </w:rPr>
        <w:t>E’</w:t>
      </w:r>
      <w:proofErr w:type="gramEnd"/>
      <w:r w:rsidRPr="00DD1F2F">
        <w:rPr>
          <w:rFonts w:ascii="Times New Roman" w:hAnsi="Times New Roman" w:cs="Times New Roman"/>
          <w:bCs/>
          <w:iCs/>
          <w:color w:val="000000"/>
          <w:sz w:val="24"/>
          <w:szCs w:val="24"/>
          <w:shd w:val="clear" w:color="auto" w:fill="FFFFFF"/>
        </w:rPr>
        <w:t xml:space="preserve"> stato significativamente osservato che “conseguire una buona performance, per qualsiasi organizzata, richiede il coinvolgimento di tutte le persone ma nelle amministrazioni pubbliche questo </w:t>
      </w:r>
      <w:r w:rsidRPr="00DD1F2F">
        <w:rPr>
          <w:rFonts w:ascii="Times New Roman" w:hAnsi="Times New Roman" w:cs="Times New Roman"/>
          <w:bCs/>
          <w:iCs/>
          <w:color w:val="000000"/>
          <w:sz w:val="24"/>
          <w:szCs w:val="24"/>
          <w:shd w:val="clear" w:color="auto" w:fill="FFFFFF"/>
        </w:rPr>
        <w:lastRenderedPageBreak/>
        <w:t>concetto non è ancora del tutto acquisito”</w:t>
      </w:r>
      <w:r w:rsidRPr="00DD1F2F">
        <w:rPr>
          <w:rFonts w:ascii="Times New Roman" w:hAnsi="Times New Roman" w:cs="Times New Roman"/>
          <w:bCs/>
          <w:iCs/>
          <w:color w:val="000000"/>
          <w:sz w:val="24"/>
          <w:szCs w:val="24"/>
          <w:shd w:val="clear" w:color="auto" w:fill="FFFFFF"/>
          <w:vertAlign w:val="superscript"/>
        </w:rPr>
        <w:footnoteReference w:id="119"/>
      </w:r>
      <w:r w:rsidRPr="00DD1F2F">
        <w:rPr>
          <w:rFonts w:ascii="Times New Roman" w:hAnsi="Times New Roman" w:cs="Times New Roman"/>
          <w:bCs/>
          <w:iCs/>
          <w:color w:val="000000"/>
          <w:sz w:val="24"/>
          <w:szCs w:val="24"/>
          <w:shd w:val="clear" w:color="auto" w:fill="FFFFFF"/>
        </w:rPr>
        <w:t xml:space="preserve">; ci troviamo, infatti, al cospetto di organizzazioni in cui i dirigenti non valorizzano la </w:t>
      </w:r>
      <w:r w:rsidRPr="00DD1F2F">
        <w:rPr>
          <w:rFonts w:ascii="Times New Roman" w:hAnsi="Times New Roman" w:cs="Times New Roman"/>
          <w:bCs/>
          <w:i/>
          <w:iCs/>
          <w:color w:val="000000"/>
          <w:sz w:val="24"/>
          <w:szCs w:val="24"/>
          <w:shd w:val="clear" w:color="auto" w:fill="FFFFFF"/>
        </w:rPr>
        <w:t>leadership</w:t>
      </w:r>
      <w:r w:rsidRPr="00DD1F2F">
        <w:rPr>
          <w:rFonts w:ascii="Times New Roman" w:hAnsi="Times New Roman" w:cs="Times New Roman"/>
          <w:bCs/>
          <w:iCs/>
          <w:color w:val="000000"/>
          <w:sz w:val="24"/>
          <w:szCs w:val="24"/>
          <w:shd w:val="clear" w:color="auto" w:fill="FFFFFF"/>
        </w:rPr>
        <w:t xml:space="preserve"> e si limitano a una cultura di stampo giuridico-burocratico, tesa all’</w:t>
      </w:r>
      <w:r w:rsidRPr="00DD1F2F">
        <w:rPr>
          <w:rFonts w:ascii="Times New Roman" w:hAnsi="Times New Roman" w:cs="Times New Roman"/>
          <w:bCs/>
          <w:i/>
          <w:iCs/>
          <w:color w:val="000000"/>
          <w:sz w:val="24"/>
          <w:szCs w:val="24"/>
          <w:shd w:val="clear" w:color="auto" w:fill="FFFFFF"/>
        </w:rPr>
        <w:t>amministrazione</w:t>
      </w:r>
      <w:r w:rsidRPr="00DD1F2F">
        <w:rPr>
          <w:rFonts w:ascii="Times New Roman" w:hAnsi="Times New Roman" w:cs="Times New Roman"/>
          <w:bCs/>
          <w:iCs/>
          <w:color w:val="000000"/>
          <w:sz w:val="24"/>
          <w:szCs w:val="24"/>
          <w:shd w:val="clear" w:color="auto" w:fill="FFFFFF"/>
        </w:rPr>
        <w:t xml:space="preserve">, piuttosto che alla </w:t>
      </w:r>
      <w:r w:rsidRPr="00DD1F2F">
        <w:rPr>
          <w:rFonts w:ascii="Times New Roman" w:hAnsi="Times New Roman" w:cs="Times New Roman"/>
          <w:bCs/>
          <w:i/>
          <w:iCs/>
          <w:color w:val="000000"/>
          <w:sz w:val="24"/>
          <w:szCs w:val="24"/>
          <w:shd w:val="clear" w:color="auto" w:fill="FFFFFF"/>
        </w:rPr>
        <w:t>gestione,</w:t>
      </w:r>
      <w:r w:rsidRPr="00DD1F2F">
        <w:rPr>
          <w:rFonts w:ascii="Times New Roman" w:hAnsi="Times New Roman" w:cs="Times New Roman"/>
          <w:bCs/>
          <w:iCs/>
          <w:color w:val="000000"/>
          <w:sz w:val="24"/>
          <w:szCs w:val="24"/>
          <w:shd w:val="clear" w:color="auto" w:fill="FFFFFF"/>
        </w:rPr>
        <w:t xml:space="preserve"> del personale. Lo sviluppo, il reclutamento e la formazione, profili su cui si tornerà nella trattazione in tema di Intelligenza Artificiale, hanno rilievo marginale e, conseguentemente, non contribuiscono in modo determinante alle esigenze organizzative.</w:t>
      </w:r>
    </w:p>
    <w:p w14:paraId="2758D7B5"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Anticipando quanto sarà meglio enucleato in seguito, in ottica di dialogo continuo tra diritto e </w:t>
      </w:r>
      <w:r w:rsidRPr="00DD1F2F">
        <w:rPr>
          <w:rFonts w:ascii="Times New Roman" w:hAnsi="Times New Roman" w:cs="Times New Roman"/>
          <w:bCs/>
          <w:i/>
          <w:iCs/>
          <w:color w:val="000000"/>
          <w:sz w:val="24"/>
          <w:szCs w:val="24"/>
          <w:shd w:val="clear" w:color="auto" w:fill="FFFFFF"/>
        </w:rPr>
        <w:t>management</w:t>
      </w:r>
      <w:r w:rsidRPr="00DD1F2F">
        <w:rPr>
          <w:rFonts w:ascii="Times New Roman" w:hAnsi="Times New Roman" w:cs="Times New Roman"/>
          <w:bCs/>
          <w:iCs/>
          <w:color w:val="000000"/>
          <w:sz w:val="24"/>
          <w:szCs w:val="24"/>
          <w:shd w:val="clear" w:color="auto" w:fill="FFFFFF"/>
        </w:rPr>
        <w:t xml:space="preserve">, anche la costruzione dei profili professionali è strettamente correlata con il ruolo che l’individuo ha nell’organizzazione: fino a quando il profilo coinciderà con la mansione, il dipendente avrà ristretti margini di autonomia, non sarà responsabilizzato e, soprattutto, non potrà farsi veicolo dell’implementazione di quella mentalità di amministrazione per processi tanto decantata, quanto assente nelle nostre amministrazioni. </w:t>
      </w:r>
    </w:p>
    <w:p w14:paraId="16580DC7"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Inoltre, la proliferazione senza controllo dei sistemi professionali conduce anche allo svilimento del sistema premiante, che tende ad adagiarsi su criteri quantitativi (es. numero di pratiche svolte) e non qualitativi, in quanto gli apporti individuali diventano impalpabili e non si riesce a cogliere il reale contributo di ognuno di essi al risultato finale</w:t>
      </w:r>
      <w:r w:rsidRPr="00DD1F2F">
        <w:rPr>
          <w:rFonts w:ascii="Times New Roman" w:hAnsi="Times New Roman" w:cs="Times New Roman"/>
          <w:bCs/>
          <w:iCs/>
          <w:color w:val="000000"/>
          <w:sz w:val="24"/>
          <w:szCs w:val="24"/>
          <w:shd w:val="clear" w:color="auto" w:fill="FFFFFF"/>
          <w:vertAlign w:val="superscript"/>
        </w:rPr>
        <w:footnoteReference w:id="120"/>
      </w:r>
      <w:r w:rsidRPr="00DD1F2F">
        <w:rPr>
          <w:rFonts w:ascii="Times New Roman" w:hAnsi="Times New Roman" w:cs="Times New Roman"/>
          <w:bCs/>
          <w:iCs/>
          <w:color w:val="000000"/>
          <w:sz w:val="24"/>
          <w:szCs w:val="24"/>
          <w:shd w:val="clear" w:color="auto" w:fill="FFFFFF"/>
        </w:rPr>
        <w:t>.</w:t>
      </w:r>
    </w:p>
    <w:p w14:paraId="4B1548A9"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Sarebbe, invece, necessario sganciarsi dalla vetusta logica del “mansionario” per aderire a una logica di processo, in cui alle risorse umane venga adeguatamente comunicato il risultato da raggiungere e le stesse vengano motivate, al di là dei meri incentivi economici, da un dirigente che sia in grado di essere anche </w:t>
      </w:r>
      <w:r w:rsidRPr="00DD1F2F">
        <w:rPr>
          <w:rFonts w:ascii="Times New Roman" w:hAnsi="Times New Roman" w:cs="Times New Roman"/>
          <w:bCs/>
          <w:i/>
          <w:iCs/>
          <w:color w:val="000000"/>
          <w:sz w:val="24"/>
          <w:szCs w:val="24"/>
          <w:shd w:val="clear" w:color="auto" w:fill="FFFFFF"/>
        </w:rPr>
        <w:t>leader</w:t>
      </w:r>
      <w:r w:rsidRPr="00DD1F2F">
        <w:rPr>
          <w:rFonts w:ascii="Times New Roman" w:hAnsi="Times New Roman" w:cs="Times New Roman"/>
          <w:bCs/>
          <w:iCs/>
          <w:color w:val="000000"/>
          <w:sz w:val="24"/>
          <w:szCs w:val="24"/>
          <w:shd w:val="clear" w:color="auto" w:fill="FFFFFF"/>
        </w:rPr>
        <w:t>.</w:t>
      </w:r>
    </w:p>
    <w:p w14:paraId="0A914C2C"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Appare auspicabile, in particolare, sollecitare la motivazione intrinseca, considerata il più alto livello di motivazione autodeterminata che un individuo possa raggiungere, e che implica, come si accennava, la messa in atto di un comportamento per il senso di soddisfazione che ne deriva</w:t>
      </w:r>
      <w:r w:rsidRPr="00DD1F2F">
        <w:rPr>
          <w:rFonts w:ascii="Times New Roman" w:hAnsi="Times New Roman" w:cs="Times New Roman"/>
          <w:bCs/>
          <w:iCs/>
          <w:color w:val="000000"/>
          <w:sz w:val="24"/>
          <w:szCs w:val="24"/>
          <w:shd w:val="clear" w:color="auto" w:fill="FFFFFF"/>
          <w:vertAlign w:val="superscript"/>
        </w:rPr>
        <w:footnoteReference w:id="121"/>
      </w:r>
      <w:r w:rsidRPr="00DD1F2F">
        <w:rPr>
          <w:rFonts w:ascii="Times New Roman" w:hAnsi="Times New Roman" w:cs="Times New Roman"/>
          <w:bCs/>
          <w:iCs/>
          <w:color w:val="000000"/>
          <w:sz w:val="24"/>
          <w:szCs w:val="24"/>
          <w:shd w:val="clear" w:color="auto" w:fill="FFFFFF"/>
        </w:rPr>
        <w:t xml:space="preserve">, e non per il timore delle sanzioni o per </w:t>
      </w:r>
      <w:r w:rsidRPr="00DD1F2F">
        <w:rPr>
          <w:rFonts w:ascii="Times New Roman" w:hAnsi="Times New Roman" w:cs="Times New Roman"/>
          <w:bCs/>
          <w:i/>
          <w:iCs/>
          <w:color w:val="000000"/>
          <w:sz w:val="24"/>
          <w:szCs w:val="24"/>
          <w:shd w:val="clear" w:color="auto" w:fill="FFFFFF"/>
        </w:rPr>
        <w:t>guadagnare qualcosa in più</w:t>
      </w:r>
      <w:r w:rsidRPr="00DD1F2F">
        <w:rPr>
          <w:rFonts w:ascii="Times New Roman" w:hAnsi="Times New Roman" w:cs="Times New Roman"/>
          <w:bCs/>
          <w:iCs/>
          <w:color w:val="000000"/>
          <w:sz w:val="24"/>
          <w:szCs w:val="24"/>
          <w:shd w:val="clear" w:color="auto" w:fill="FFFFFF"/>
        </w:rPr>
        <w:t xml:space="preserve">. </w:t>
      </w:r>
    </w:p>
    <w:p w14:paraId="0323E01F"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Nel settore pubblico, infatti, la motivazione non è equiparabile a quella del settore privato; nel primo gioca un ruolo determinante il servizio alla comunità e la consapevolezza di lavorare nel diretto interesse della Nazione (art. 98 Cost.). Ne discende che la </w:t>
      </w:r>
      <w:r w:rsidRPr="00DD1F2F">
        <w:rPr>
          <w:rFonts w:ascii="Times New Roman" w:hAnsi="Times New Roman" w:cs="Times New Roman"/>
          <w:bCs/>
          <w:i/>
          <w:iCs/>
          <w:color w:val="000000"/>
          <w:sz w:val="24"/>
          <w:szCs w:val="24"/>
          <w:shd w:val="clear" w:color="auto" w:fill="FFFFFF"/>
        </w:rPr>
        <w:t>leadership</w:t>
      </w:r>
      <w:r w:rsidRPr="00DD1F2F">
        <w:rPr>
          <w:rFonts w:ascii="Times New Roman" w:hAnsi="Times New Roman" w:cs="Times New Roman"/>
          <w:bCs/>
          <w:iCs/>
          <w:color w:val="000000"/>
          <w:sz w:val="24"/>
          <w:szCs w:val="24"/>
          <w:shd w:val="clear" w:color="auto" w:fill="FFFFFF"/>
        </w:rPr>
        <w:t xml:space="preserve"> trasformativa, sulla quale ci siamo intrattenuti, può sicuramente – com’è stato dimostrato – conseguire impatti positivi sulla motivazione al servizio pubblico</w:t>
      </w:r>
      <w:r w:rsidRPr="00DD1F2F">
        <w:rPr>
          <w:rFonts w:ascii="Times New Roman" w:hAnsi="Times New Roman" w:cs="Times New Roman"/>
          <w:bCs/>
          <w:iCs/>
          <w:color w:val="000000"/>
          <w:sz w:val="24"/>
          <w:szCs w:val="24"/>
          <w:shd w:val="clear" w:color="auto" w:fill="FFFFFF"/>
          <w:vertAlign w:val="superscript"/>
        </w:rPr>
        <w:footnoteReference w:id="122"/>
      </w:r>
      <w:r w:rsidRPr="00DD1F2F">
        <w:rPr>
          <w:rFonts w:ascii="Times New Roman" w:hAnsi="Times New Roman" w:cs="Times New Roman"/>
          <w:bCs/>
          <w:iCs/>
          <w:color w:val="000000"/>
          <w:sz w:val="24"/>
          <w:szCs w:val="24"/>
          <w:shd w:val="clear" w:color="auto" w:fill="FFFFFF"/>
        </w:rPr>
        <w:t>.</w:t>
      </w:r>
    </w:p>
    <w:p w14:paraId="1259B837"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Per essere motivato, il dipendente dev’essere consapevole degli obiettivi che è chiamato a perseguire; emerge, a questo punto, il ruolo strategico del dirigente, che dovrebbe curare i processi di gestione interna e la costanza del flusso comunicativo, agevolato da quel potente e insostituibile carburante che è la </w:t>
      </w:r>
      <w:r w:rsidRPr="00DD1F2F">
        <w:rPr>
          <w:rFonts w:ascii="Times New Roman" w:hAnsi="Times New Roman" w:cs="Times New Roman"/>
          <w:bCs/>
          <w:i/>
          <w:iCs/>
          <w:color w:val="000000"/>
          <w:sz w:val="24"/>
          <w:szCs w:val="24"/>
          <w:shd w:val="clear" w:color="auto" w:fill="FFFFFF"/>
        </w:rPr>
        <w:t>fiducia</w:t>
      </w:r>
      <w:r w:rsidRPr="00DD1F2F">
        <w:rPr>
          <w:rFonts w:ascii="Times New Roman" w:hAnsi="Times New Roman" w:cs="Times New Roman"/>
          <w:bCs/>
          <w:iCs/>
          <w:color w:val="000000"/>
          <w:sz w:val="24"/>
          <w:szCs w:val="24"/>
          <w:shd w:val="clear" w:color="auto" w:fill="FFFFFF"/>
        </w:rPr>
        <w:t xml:space="preserve">. Non è retorica, ovviamente, ma una solida acquisizione derivante dallo studio integrato delle teorie di </w:t>
      </w:r>
      <w:r w:rsidRPr="00DD1F2F">
        <w:rPr>
          <w:rFonts w:ascii="Times New Roman" w:hAnsi="Times New Roman" w:cs="Times New Roman"/>
          <w:bCs/>
          <w:i/>
          <w:iCs/>
          <w:color w:val="000000"/>
          <w:sz w:val="24"/>
          <w:szCs w:val="24"/>
          <w:shd w:val="clear" w:color="auto" w:fill="FFFFFF"/>
        </w:rPr>
        <w:t>trust management</w:t>
      </w:r>
      <w:r w:rsidRPr="00DD1F2F">
        <w:rPr>
          <w:rFonts w:ascii="Times New Roman" w:hAnsi="Times New Roman" w:cs="Times New Roman"/>
          <w:bCs/>
          <w:iCs/>
          <w:color w:val="000000"/>
          <w:sz w:val="24"/>
          <w:szCs w:val="24"/>
          <w:shd w:val="clear" w:color="auto" w:fill="FFFFFF"/>
        </w:rPr>
        <w:t xml:space="preserve">, di cui si è detto, e dell’elaborazione scientifica in tema di comunicazione pubblica, normata dalla L. n. 150/2000 e da sempre esaminata dagli studiosi del </w:t>
      </w:r>
      <w:r w:rsidRPr="00DD1F2F">
        <w:rPr>
          <w:rFonts w:ascii="Times New Roman" w:hAnsi="Times New Roman" w:cs="Times New Roman"/>
          <w:bCs/>
          <w:i/>
          <w:iCs/>
          <w:color w:val="000000"/>
          <w:sz w:val="24"/>
          <w:szCs w:val="24"/>
          <w:shd w:val="clear" w:color="auto" w:fill="FFFFFF"/>
        </w:rPr>
        <w:t>public management</w:t>
      </w:r>
      <w:r w:rsidRPr="00DD1F2F">
        <w:rPr>
          <w:rFonts w:ascii="Times New Roman" w:hAnsi="Times New Roman" w:cs="Times New Roman"/>
          <w:bCs/>
          <w:iCs/>
          <w:color w:val="000000"/>
          <w:sz w:val="24"/>
          <w:szCs w:val="24"/>
          <w:shd w:val="clear" w:color="auto" w:fill="FFFFFF"/>
        </w:rPr>
        <w:t>.</w:t>
      </w:r>
    </w:p>
    <w:p w14:paraId="16FCDD3E"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La comunicazione interna, infatti, assume un ruolo fondamentale per indirizzare le persone verso determinati atteggiamenti, credenze e, quel che più rileva, verso l’orientamento al servizio, favorendo così l’introduzione di nuovi processi anch’essi orientati al servizio. Il flusso comunicativo dev’essere costante anche al fine di impedire che il personale conosca i nuovi servizi offerti all’utenza </w:t>
      </w:r>
      <w:r w:rsidRPr="00DD1F2F">
        <w:rPr>
          <w:rFonts w:ascii="Times New Roman" w:hAnsi="Times New Roman" w:cs="Times New Roman"/>
          <w:bCs/>
          <w:iCs/>
          <w:color w:val="000000"/>
          <w:sz w:val="24"/>
          <w:szCs w:val="24"/>
          <w:shd w:val="clear" w:color="auto" w:fill="FFFFFF"/>
        </w:rPr>
        <w:lastRenderedPageBreak/>
        <w:t xml:space="preserve">dall’esterno, magari dai </w:t>
      </w:r>
      <w:r w:rsidRPr="00DD1F2F">
        <w:rPr>
          <w:rFonts w:ascii="Times New Roman" w:hAnsi="Times New Roman" w:cs="Times New Roman"/>
          <w:bCs/>
          <w:i/>
          <w:iCs/>
          <w:color w:val="000000"/>
          <w:sz w:val="24"/>
          <w:szCs w:val="24"/>
          <w:shd w:val="clear" w:color="auto" w:fill="FFFFFF"/>
        </w:rPr>
        <w:t>media</w:t>
      </w:r>
      <w:r w:rsidRPr="00DD1F2F">
        <w:rPr>
          <w:rFonts w:ascii="Times New Roman" w:hAnsi="Times New Roman" w:cs="Times New Roman"/>
          <w:bCs/>
          <w:iCs/>
          <w:color w:val="000000"/>
          <w:sz w:val="24"/>
          <w:szCs w:val="24"/>
          <w:shd w:val="clear" w:color="auto" w:fill="FFFFFF"/>
        </w:rPr>
        <w:t xml:space="preserve"> o dagli utenti stessi, ciò che crea frustrazione, disaffezione e, in definitiva, sfiducia</w:t>
      </w:r>
      <w:r w:rsidRPr="00DD1F2F">
        <w:rPr>
          <w:rFonts w:ascii="Times New Roman" w:hAnsi="Times New Roman" w:cs="Times New Roman"/>
          <w:bCs/>
          <w:iCs/>
          <w:color w:val="000000"/>
          <w:sz w:val="24"/>
          <w:szCs w:val="24"/>
          <w:shd w:val="clear" w:color="auto" w:fill="FFFFFF"/>
          <w:vertAlign w:val="superscript"/>
        </w:rPr>
        <w:footnoteReference w:id="123"/>
      </w:r>
      <w:r w:rsidRPr="00DD1F2F">
        <w:rPr>
          <w:rFonts w:ascii="Times New Roman" w:hAnsi="Times New Roman" w:cs="Times New Roman"/>
          <w:bCs/>
          <w:iCs/>
          <w:color w:val="000000"/>
          <w:sz w:val="24"/>
          <w:szCs w:val="24"/>
          <w:shd w:val="clear" w:color="auto" w:fill="FFFFFF"/>
        </w:rPr>
        <w:t>.</w:t>
      </w:r>
    </w:p>
    <w:p w14:paraId="7DC05409"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Tutto ciò, naturalmente, influirà in misura positiva sulle </w:t>
      </w:r>
      <w:r w:rsidRPr="00DD1F2F">
        <w:rPr>
          <w:rFonts w:ascii="Times New Roman" w:hAnsi="Times New Roman" w:cs="Times New Roman"/>
          <w:bCs/>
          <w:i/>
          <w:iCs/>
          <w:color w:val="000000"/>
          <w:sz w:val="24"/>
          <w:szCs w:val="24"/>
          <w:shd w:val="clear" w:color="auto" w:fill="FFFFFF"/>
        </w:rPr>
        <w:t>performance</w:t>
      </w:r>
      <w:r w:rsidRPr="00DD1F2F">
        <w:rPr>
          <w:rFonts w:ascii="Times New Roman" w:hAnsi="Times New Roman" w:cs="Times New Roman"/>
          <w:bCs/>
          <w:iCs/>
          <w:color w:val="000000"/>
          <w:sz w:val="24"/>
          <w:szCs w:val="24"/>
          <w:shd w:val="clear" w:color="auto" w:fill="FFFFFF"/>
        </w:rPr>
        <w:t xml:space="preserve"> dei dipendenti e sulla misurazione delle stesse; una risorsa umana motivata e consapevole renderà sicuramente meglio di un collega sfiduciato e disinformato.</w:t>
      </w:r>
    </w:p>
    <w:p w14:paraId="5664C62B" w14:textId="77777777" w:rsidR="00DD1F2F" w:rsidRPr="00DD1F2F" w:rsidRDefault="00DD1F2F" w:rsidP="004B7EA5">
      <w:p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Da un punto di vista strettamente tecnico, le criticità precedentemente illustrate possono essere superate, oltre che rinnovando la cultura organizzativa di contesto nei termini precedentemente illustrati, introducendo nuove metodologie di gestione, fondate sui seguenti principi:</w:t>
      </w:r>
    </w:p>
    <w:p w14:paraId="731344D9"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obbligata interazione tra i diversi attori dei processi di programmazione, con una chiara definizione di ruoli e responsabilità da parte del </w:t>
      </w:r>
      <w:r w:rsidRPr="00DD1F2F">
        <w:rPr>
          <w:rFonts w:ascii="Times New Roman" w:hAnsi="Times New Roman" w:cs="Times New Roman"/>
          <w:bCs/>
          <w:i/>
          <w:iCs/>
          <w:color w:val="000000"/>
          <w:sz w:val="24"/>
          <w:szCs w:val="24"/>
          <w:shd w:val="clear" w:color="auto" w:fill="FFFFFF"/>
        </w:rPr>
        <w:t>commitment</w:t>
      </w:r>
      <w:r w:rsidRPr="00DD1F2F">
        <w:rPr>
          <w:rFonts w:ascii="Times New Roman" w:hAnsi="Times New Roman" w:cs="Times New Roman"/>
          <w:bCs/>
          <w:iCs/>
          <w:color w:val="000000"/>
          <w:sz w:val="24"/>
          <w:szCs w:val="24"/>
          <w:shd w:val="clear" w:color="auto" w:fill="FFFFFF"/>
        </w:rPr>
        <w:t xml:space="preserve"> politico, rimarcando la separazione tra politica e gestione;</w:t>
      </w:r>
    </w:p>
    <w:p w14:paraId="454521E2"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introduzione di un sistema di </w:t>
      </w:r>
      <w:r w:rsidRPr="00DD1F2F">
        <w:rPr>
          <w:rFonts w:ascii="Times New Roman" w:hAnsi="Times New Roman" w:cs="Times New Roman"/>
          <w:bCs/>
          <w:i/>
          <w:iCs/>
          <w:color w:val="000000"/>
          <w:sz w:val="24"/>
          <w:szCs w:val="24"/>
          <w:shd w:val="clear" w:color="auto" w:fill="FFFFFF"/>
        </w:rPr>
        <w:t>performance budgeting</w:t>
      </w:r>
      <w:r w:rsidRPr="00DD1F2F">
        <w:rPr>
          <w:rFonts w:ascii="Times New Roman" w:hAnsi="Times New Roman" w:cs="Times New Roman"/>
          <w:bCs/>
          <w:iCs/>
          <w:color w:val="000000"/>
          <w:sz w:val="24"/>
          <w:szCs w:val="24"/>
          <w:shd w:val="clear" w:color="auto" w:fill="FFFFFF"/>
        </w:rPr>
        <w:t xml:space="preserve">, integrando la programmazione finanziaria con quella strategica e operativa e analizzando </w:t>
      </w:r>
      <w:r w:rsidRPr="00DD1F2F">
        <w:rPr>
          <w:rFonts w:ascii="Times New Roman" w:hAnsi="Times New Roman" w:cs="Times New Roman"/>
          <w:bCs/>
          <w:i/>
          <w:iCs/>
          <w:color w:val="000000"/>
          <w:sz w:val="24"/>
          <w:szCs w:val="24"/>
          <w:shd w:val="clear" w:color="auto" w:fill="FFFFFF"/>
        </w:rPr>
        <w:t>ex post</w:t>
      </w:r>
      <w:r w:rsidRPr="00DD1F2F">
        <w:rPr>
          <w:rFonts w:ascii="Times New Roman" w:hAnsi="Times New Roman" w:cs="Times New Roman"/>
          <w:bCs/>
          <w:iCs/>
          <w:color w:val="000000"/>
          <w:sz w:val="24"/>
          <w:szCs w:val="24"/>
          <w:shd w:val="clear" w:color="auto" w:fill="FFFFFF"/>
        </w:rPr>
        <w:t xml:space="preserve"> i risultati realizzati sul piano delle performance senza trascurare i costi sostenuti;</w:t>
      </w:r>
    </w:p>
    <w:p w14:paraId="0831A80F"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corretta metodologia per la definizione della filiera obiettivi, indicatori e target sia sul piano metodologico che operativo;</w:t>
      </w:r>
    </w:p>
    <w:p w14:paraId="7408E977"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preliminare mappatura dei processi e dei servizi sul piano della macro-organizzazione;</w:t>
      </w:r>
    </w:p>
    <w:p w14:paraId="14F165E8"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potenziamento dei sistemi informativi;</w:t>
      </w:r>
    </w:p>
    <w:p w14:paraId="0BDF2983"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 xml:space="preserve">maggiore coinvolgimento degli </w:t>
      </w:r>
      <w:r w:rsidRPr="00DD1F2F">
        <w:rPr>
          <w:rFonts w:ascii="Times New Roman" w:hAnsi="Times New Roman" w:cs="Times New Roman"/>
          <w:bCs/>
          <w:i/>
          <w:iCs/>
          <w:color w:val="000000"/>
          <w:sz w:val="24"/>
          <w:szCs w:val="24"/>
          <w:shd w:val="clear" w:color="auto" w:fill="FFFFFF"/>
        </w:rPr>
        <w:t>stakeholders</w:t>
      </w:r>
      <w:r w:rsidRPr="00DD1F2F">
        <w:rPr>
          <w:rFonts w:ascii="Times New Roman" w:hAnsi="Times New Roman" w:cs="Times New Roman"/>
          <w:bCs/>
          <w:iCs/>
          <w:color w:val="000000"/>
          <w:sz w:val="24"/>
          <w:szCs w:val="24"/>
          <w:shd w:val="clear" w:color="auto" w:fill="FFFFFF"/>
        </w:rPr>
        <w:t>;</w:t>
      </w:r>
    </w:p>
    <w:p w14:paraId="0B482ADC" w14:textId="77777777" w:rsidR="00DD1F2F"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formazione permanente del personale e impiego delle risorse in ragione delle competenze ed esperienze maturate;</w:t>
      </w:r>
    </w:p>
    <w:p w14:paraId="120979AE" w14:textId="318B342D" w:rsidR="00D6571A" w:rsidRPr="00DD1F2F" w:rsidRDefault="00DD1F2F" w:rsidP="004B7EA5">
      <w:pPr>
        <w:numPr>
          <w:ilvl w:val="0"/>
          <w:numId w:val="2"/>
        </w:numPr>
        <w:spacing w:after="0" w:line="276" w:lineRule="auto"/>
        <w:jc w:val="both"/>
        <w:rPr>
          <w:rFonts w:ascii="Times New Roman" w:hAnsi="Times New Roman" w:cs="Times New Roman"/>
          <w:bCs/>
          <w:iCs/>
          <w:color w:val="000000"/>
          <w:sz w:val="24"/>
          <w:szCs w:val="24"/>
          <w:shd w:val="clear" w:color="auto" w:fill="FFFFFF"/>
        </w:rPr>
      </w:pPr>
      <w:r w:rsidRPr="00DD1F2F">
        <w:rPr>
          <w:rFonts w:ascii="Times New Roman" w:hAnsi="Times New Roman" w:cs="Times New Roman"/>
          <w:bCs/>
          <w:iCs/>
          <w:color w:val="000000"/>
          <w:sz w:val="24"/>
          <w:szCs w:val="24"/>
          <w:shd w:val="clear" w:color="auto" w:fill="FFFFFF"/>
        </w:rPr>
        <w:t>valorizzazione e premialità per il personale in relazione ai risultati ottenuti, così da incentivare e motivare l’impegno</w:t>
      </w:r>
      <w:r w:rsidRPr="00DD1F2F">
        <w:rPr>
          <w:rFonts w:ascii="Times New Roman" w:hAnsi="Times New Roman" w:cs="Times New Roman"/>
          <w:bCs/>
          <w:iCs/>
          <w:color w:val="000000"/>
          <w:sz w:val="24"/>
          <w:szCs w:val="24"/>
          <w:shd w:val="clear" w:color="auto" w:fill="FFFFFF"/>
          <w:vertAlign w:val="superscript"/>
        </w:rPr>
        <w:footnoteReference w:id="124"/>
      </w:r>
      <w:r w:rsidRPr="00DD1F2F">
        <w:rPr>
          <w:rFonts w:ascii="Times New Roman" w:hAnsi="Times New Roman" w:cs="Times New Roman"/>
          <w:bCs/>
          <w:iCs/>
          <w:color w:val="000000"/>
          <w:sz w:val="24"/>
          <w:szCs w:val="24"/>
          <w:shd w:val="clear" w:color="auto" w:fill="FFFFFF"/>
        </w:rPr>
        <w:t>.</w:t>
      </w:r>
    </w:p>
    <w:p w14:paraId="708B9672" w14:textId="39D4131E" w:rsidR="00777007" w:rsidRPr="00777007" w:rsidRDefault="00777007" w:rsidP="004B7EA5">
      <w:pPr>
        <w:spacing w:after="0" w:line="276" w:lineRule="auto"/>
        <w:jc w:val="both"/>
        <w:rPr>
          <w:rFonts w:ascii="Times New Roman" w:hAnsi="Times New Roman" w:cs="Times New Roman"/>
          <w:bCs/>
          <w:color w:val="000000"/>
          <w:sz w:val="24"/>
          <w:szCs w:val="24"/>
          <w:shd w:val="clear" w:color="auto" w:fill="FFFFFF"/>
        </w:rPr>
      </w:pPr>
      <w:r w:rsidRPr="00777007">
        <w:rPr>
          <w:rFonts w:ascii="Times New Roman" w:hAnsi="Times New Roman" w:cs="Times New Roman"/>
          <w:bCs/>
          <w:color w:val="000000"/>
          <w:sz w:val="24"/>
          <w:szCs w:val="24"/>
          <w:shd w:val="clear" w:color="auto" w:fill="FFFFFF"/>
        </w:rPr>
        <w:t xml:space="preserve"> </w:t>
      </w:r>
    </w:p>
    <w:p w14:paraId="5F47A54D" w14:textId="53E5C9D7" w:rsidR="00FF5207" w:rsidRPr="00FF5207" w:rsidRDefault="002F18AD" w:rsidP="004B7EA5">
      <w:pPr>
        <w:spacing w:after="0" w:line="276" w:lineRule="auto"/>
        <w:jc w:val="both"/>
        <w:rPr>
          <w:rFonts w:ascii="Times New Roman" w:hAnsi="Times New Roman" w:cs="Times New Roman"/>
          <w:bCs/>
          <w:i/>
          <w:iCs/>
          <w:color w:val="000000"/>
          <w:sz w:val="24"/>
          <w:szCs w:val="24"/>
          <w:shd w:val="clear" w:color="auto" w:fill="FFFFFF"/>
        </w:rPr>
      </w:pPr>
      <w:r w:rsidRPr="00FF5207">
        <w:rPr>
          <w:rFonts w:ascii="Times New Roman" w:hAnsi="Times New Roman" w:cs="Times New Roman"/>
          <w:bCs/>
          <w:i/>
          <w:iCs/>
          <w:color w:val="000000"/>
          <w:sz w:val="24"/>
          <w:szCs w:val="24"/>
          <w:shd w:val="clear" w:color="auto" w:fill="FFFFFF"/>
        </w:rPr>
        <w:t xml:space="preserve">8. </w:t>
      </w:r>
      <w:bookmarkStart w:id="2" w:name="_Hlk183721589"/>
      <w:r w:rsidR="00FF5207" w:rsidRPr="00FF5207">
        <w:rPr>
          <w:rFonts w:ascii="Times New Roman" w:hAnsi="Times New Roman" w:cs="Times New Roman"/>
          <w:bCs/>
          <w:i/>
          <w:iCs/>
          <w:color w:val="000000"/>
          <w:sz w:val="24"/>
          <w:szCs w:val="24"/>
          <w:shd w:val="clear" w:color="auto" w:fill="FFFFFF"/>
        </w:rPr>
        <w:t>L’implementazione dell’IA quale sollievo della “fatica dell’amministrare”.</w:t>
      </w:r>
      <w:r w:rsidR="00C14D55">
        <w:rPr>
          <w:rFonts w:ascii="Times New Roman" w:hAnsi="Times New Roman" w:cs="Times New Roman"/>
          <w:bCs/>
          <w:i/>
          <w:iCs/>
          <w:color w:val="000000"/>
          <w:sz w:val="24"/>
          <w:szCs w:val="24"/>
          <w:shd w:val="clear" w:color="auto" w:fill="FFFFFF"/>
        </w:rPr>
        <w:t xml:space="preserve"> Gli istituti connessi</w:t>
      </w:r>
    </w:p>
    <w:p w14:paraId="64ED51A4" w14:textId="77777777" w:rsidR="00FF5207" w:rsidRDefault="00FF5207" w:rsidP="004B7EA5">
      <w:pPr>
        <w:spacing w:after="0" w:line="276" w:lineRule="auto"/>
        <w:jc w:val="both"/>
        <w:rPr>
          <w:rFonts w:ascii="Times New Roman" w:hAnsi="Times New Roman" w:cs="Times New Roman"/>
          <w:bCs/>
          <w:color w:val="000000"/>
          <w:sz w:val="24"/>
          <w:szCs w:val="24"/>
          <w:shd w:val="clear" w:color="auto" w:fill="FFFFFF"/>
        </w:rPr>
      </w:pPr>
    </w:p>
    <w:p w14:paraId="65A7560C" w14:textId="5A9D7062"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Il tema dell’Intelligenza Artificiale (IA) è uno tra i più discussi e studiati dell’epoca post-pandemica</w:t>
      </w:r>
      <w:r w:rsidRPr="00FF5207">
        <w:rPr>
          <w:rFonts w:ascii="Times New Roman" w:hAnsi="Times New Roman" w:cs="Times New Roman"/>
          <w:bCs/>
          <w:color w:val="000000"/>
          <w:sz w:val="24"/>
          <w:szCs w:val="24"/>
          <w:shd w:val="clear" w:color="auto" w:fill="FFFFFF"/>
          <w:vertAlign w:val="superscript"/>
        </w:rPr>
        <w:footnoteReference w:id="125"/>
      </w:r>
      <w:r w:rsidRPr="00FF5207">
        <w:rPr>
          <w:rFonts w:ascii="Times New Roman" w:hAnsi="Times New Roman" w:cs="Times New Roman"/>
          <w:bCs/>
          <w:color w:val="000000"/>
          <w:sz w:val="24"/>
          <w:szCs w:val="24"/>
          <w:shd w:val="clear" w:color="auto" w:fill="FFFFFF"/>
        </w:rPr>
        <w:t>. Essa, com’è noto, trae origine dalle tecnologie dell’informazione, ma si è estesa sino a interessare qualsiasi aspetto dell’esperienza umana, ivi incluse, per quanto di rilievo in questa sede, le teorie dell’organizzazione e il management pubblico</w:t>
      </w:r>
      <w:r w:rsidRPr="00FF5207">
        <w:rPr>
          <w:rFonts w:ascii="Times New Roman" w:hAnsi="Times New Roman" w:cs="Times New Roman"/>
          <w:bCs/>
          <w:color w:val="000000"/>
          <w:sz w:val="24"/>
          <w:szCs w:val="24"/>
          <w:shd w:val="clear" w:color="auto" w:fill="FFFFFF"/>
          <w:vertAlign w:val="superscript"/>
        </w:rPr>
        <w:footnoteReference w:id="126"/>
      </w:r>
      <w:r w:rsidRPr="00FF5207">
        <w:rPr>
          <w:rFonts w:ascii="Times New Roman" w:hAnsi="Times New Roman" w:cs="Times New Roman"/>
          <w:bCs/>
          <w:color w:val="000000"/>
          <w:sz w:val="24"/>
          <w:szCs w:val="24"/>
          <w:shd w:val="clear" w:color="auto" w:fill="FFFFFF"/>
        </w:rPr>
        <w:t>.</w:t>
      </w:r>
    </w:p>
    <w:p w14:paraId="5F9CEB51" w14:textId="77777777"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Richiamando definizioni contenute in documenti ufficiali dell’Unione Europea, l’IA consiste in “quei sistemi che mostrano un comportamento intelligente analizzando il proprio ambiente e compiendo azioni, con un certo grado di autonomia, per raggiungere obiettivi specifici”</w:t>
      </w:r>
      <w:r w:rsidRPr="00FF5207">
        <w:rPr>
          <w:rFonts w:ascii="Times New Roman" w:hAnsi="Times New Roman" w:cs="Times New Roman"/>
          <w:bCs/>
          <w:color w:val="000000"/>
          <w:sz w:val="24"/>
          <w:szCs w:val="24"/>
          <w:shd w:val="clear" w:color="auto" w:fill="FFFFFF"/>
          <w:vertAlign w:val="superscript"/>
        </w:rPr>
        <w:footnoteReference w:id="127"/>
      </w:r>
      <w:r w:rsidRPr="00FF5207">
        <w:rPr>
          <w:rFonts w:ascii="Times New Roman" w:hAnsi="Times New Roman" w:cs="Times New Roman"/>
          <w:bCs/>
          <w:color w:val="000000"/>
          <w:sz w:val="24"/>
          <w:szCs w:val="24"/>
          <w:shd w:val="clear" w:color="auto" w:fill="FFFFFF"/>
        </w:rPr>
        <w:t>. Come si legge nel considerando n. 4 dell’</w:t>
      </w:r>
      <w:r w:rsidRPr="00FF5207">
        <w:rPr>
          <w:rFonts w:ascii="Times New Roman" w:hAnsi="Times New Roman" w:cs="Times New Roman"/>
          <w:bCs/>
          <w:i/>
          <w:iCs/>
          <w:color w:val="000000"/>
          <w:sz w:val="24"/>
          <w:szCs w:val="24"/>
          <w:shd w:val="clear" w:color="auto" w:fill="FFFFFF"/>
        </w:rPr>
        <w:t>AI act</w:t>
      </w:r>
      <w:r w:rsidRPr="00FF5207">
        <w:rPr>
          <w:rFonts w:ascii="Times New Roman" w:hAnsi="Times New Roman" w:cs="Times New Roman"/>
          <w:bCs/>
          <w:color w:val="000000"/>
          <w:sz w:val="24"/>
          <w:szCs w:val="24"/>
          <w:shd w:val="clear" w:color="auto" w:fill="FFFFFF"/>
        </w:rPr>
        <w:t xml:space="preserve">, che stabilisce regole armonizzate sull'intelligenza artificiale, “l’IA consiste in una famiglia di tecnologie in rapida evoluzione che contribuisce al conseguimento di </w:t>
      </w:r>
      <w:r w:rsidRPr="00FF5207">
        <w:rPr>
          <w:rFonts w:ascii="Times New Roman" w:hAnsi="Times New Roman" w:cs="Times New Roman"/>
          <w:bCs/>
          <w:color w:val="000000"/>
          <w:sz w:val="24"/>
          <w:szCs w:val="24"/>
          <w:shd w:val="clear" w:color="auto" w:fill="FFFFFF"/>
        </w:rPr>
        <w:lastRenderedPageBreak/>
        <w:t>un'ampia gamma di benefici a livello economico, ambientale e sociale nell'intero spettro delle attività industriali e sociali. L'uso dell'IA, garantendo un miglioramento delle previsioni, l'ottimizzazione delle operazioni e dell'assegnazione delle risorse e la personalizzazione delle soluzioni digitali disponibili per i singoli e le organizzazioni, può fornire vantaggi competitivi fondamentali alle imprese e condurre a risultati vantaggiosi sul piano sociale e ambientale, ad esempio in materia di assistenza sanitaria, agricoltura, sicurezza alimentare, istruzione e formazione, media, sport, cultura, gestione delle infrastrutture, energia, trasporti e logistica, servizi pubblici, sicurezza, giustizia, efficienza dal punto di vista energetico e delle risorse, monitoraggio ambientale, conservazione e ripristino della biodiversità e degli ecosistemi, mitigazione dei cambiamenti climatici e adattamento ad essi”</w:t>
      </w:r>
      <w:r w:rsidRPr="00FF5207">
        <w:rPr>
          <w:rFonts w:ascii="Times New Roman" w:hAnsi="Times New Roman" w:cs="Times New Roman"/>
          <w:bCs/>
          <w:color w:val="000000"/>
          <w:sz w:val="24"/>
          <w:szCs w:val="24"/>
          <w:shd w:val="clear" w:color="auto" w:fill="FFFFFF"/>
          <w:vertAlign w:val="superscript"/>
        </w:rPr>
        <w:footnoteReference w:id="128"/>
      </w:r>
      <w:r w:rsidRPr="00FF5207">
        <w:rPr>
          <w:rFonts w:ascii="Times New Roman" w:hAnsi="Times New Roman" w:cs="Times New Roman"/>
          <w:bCs/>
          <w:color w:val="000000"/>
          <w:sz w:val="24"/>
          <w:szCs w:val="24"/>
          <w:shd w:val="clear" w:color="auto" w:fill="FFFFFF"/>
        </w:rPr>
        <w:t>.</w:t>
      </w:r>
    </w:p>
    <w:bookmarkEnd w:id="2"/>
    <w:p w14:paraId="04CD807C" w14:textId="5D7BC7EB"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Si assiste, ormai già da qualche anno, a un ampio dibattito dottrinale circa le modalità e gli effetti dell’innesto dell’IA nelle strutture e nell’impiego pubblico</w:t>
      </w:r>
      <w:r w:rsidR="00BF73E5">
        <w:rPr>
          <w:rStyle w:val="Rimandonotaapidipagina"/>
          <w:rFonts w:ascii="Times New Roman" w:hAnsi="Times New Roman" w:cs="Times New Roman"/>
          <w:bCs/>
          <w:color w:val="000000"/>
          <w:sz w:val="24"/>
          <w:szCs w:val="24"/>
          <w:shd w:val="clear" w:color="auto" w:fill="FFFFFF"/>
        </w:rPr>
        <w:footnoteReference w:id="129"/>
      </w:r>
      <w:r w:rsidRPr="00FF5207">
        <w:rPr>
          <w:rFonts w:ascii="Times New Roman" w:hAnsi="Times New Roman" w:cs="Times New Roman"/>
          <w:bCs/>
          <w:color w:val="000000"/>
          <w:sz w:val="24"/>
          <w:szCs w:val="24"/>
          <w:shd w:val="clear" w:color="auto" w:fill="FFFFFF"/>
        </w:rPr>
        <w:t>.</w:t>
      </w:r>
    </w:p>
    <w:p w14:paraId="5AC6CFA4" w14:textId="77777777"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Secondo un primo approccio, l’IA va considerata con favore, in quanto può produrre un sostanziale effetto di integrazione dell’intelligenza umana, aumentando la produttività e affiancando il lavoratore nell’esecuzione di compiti e mansioni (con particolare riguardo a quelle elementari e ripetitive); non vi sarebbe, dunque, alcun rischio di sostituzione degli esseri umani, in quanto l’IA ben si presterebbe alla collaborazione con gli stessi, velocizzando le loro attività</w:t>
      </w:r>
      <w:r w:rsidRPr="00FF5207">
        <w:rPr>
          <w:rFonts w:ascii="Times New Roman" w:hAnsi="Times New Roman" w:cs="Times New Roman"/>
          <w:bCs/>
          <w:color w:val="000000"/>
          <w:sz w:val="24"/>
          <w:szCs w:val="24"/>
          <w:shd w:val="clear" w:color="auto" w:fill="FFFFFF"/>
          <w:vertAlign w:val="superscript"/>
        </w:rPr>
        <w:footnoteReference w:id="130"/>
      </w:r>
      <w:r w:rsidRPr="00FF5207">
        <w:rPr>
          <w:rFonts w:ascii="Times New Roman" w:hAnsi="Times New Roman" w:cs="Times New Roman"/>
          <w:bCs/>
          <w:color w:val="000000"/>
          <w:sz w:val="24"/>
          <w:szCs w:val="24"/>
          <w:shd w:val="clear" w:color="auto" w:fill="FFFFFF"/>
        </w:rPr>
        <w:t xml:space="preserve">. </w:t>
      </w:r>
    </w:p>
    <w:p w14:paraId="1818A211" w14:textId="77777777"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Questa prima corrente di pensiero, dunque, non ravvisa alcun problema occupazionale, poiché la potenziale riduzione di posti di lavoro potrebbe determinarsi con esclusivo riferimento alle sole mansioni a scarsa e ridotta professionalità e fortemente routinarie, per giunta ristrette soltanto a certi settori e comparti merceologici, come la sanità, la logistica e i trasporti, le attività scientifiche e il mondo del marketing e del digitale. Per converso, l’utilizzo dell’IA potrebbe comportare innovazioni nel modo di intendere la leadership, accentuando le motivazioni alla base del comportamento dei pubblici dipendenti</w:t>
      </w:r>
      <w:r w:rsidRPr="00FF5207">
        <w:rPr>
          <w:rFonts w:ascii="Times New Roman" w:hAnsi="Times New Roman" w:cs="Times New Roman"/>
          <w:bCs/>
          <w:color w:val="000000"/>
          <w:sz w:val="24"/>
          <w:szCs w:val="24"/>
          <w:shd w:val="clear" w:color="auto" w:fill="FFFFFF"/>
          <w:vertAlign w:val="superscript"/>
        </w:rPr>
        <w:footnoteReference w:id="131"/>
      </w:r>
      <w:r w:rsidRPr="00FF5207">
        <w:rPr>
          <w:rFonts w:ascii="Times New Roman" w:hAnsi="Times New Roman" w:cs="Times New Roman"/>
          <w:bCs/>
          <w:color w:val="000000"/>
          <w:sz w:val="24"/>
          <w:szCs w:val="24"/>
          <w:shd w:val="clear" w:color="auto" w:fill="FFFFFF"/>
        </w:rPr>
        <w:t>.</w:t>
      </w:r>
    </w:p>
    <w:p w14:paraId="040E37B4" w14:textId="77777777"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Una seconda impostazione pone, invece, l’accento sul negativo effetto di sostituzione che l’intelligenza artificiale tende a realizzare nei confronti delle risorse umane, ivi incluse le posizioni dirigenziali, con un effetto non concretamente calcolabile sulla riduzione dell’occupazione e sulla composizione degli organici aziendali. Verrebbe in rilievo una struttura algocratica</w:t>
      </w:r>
      <w:r w:rsidRPr="00FF5207">
        <w:rPr>
          <w:rFonts w:ascii="Times New Roman" w:hAnsi="Times New Roman" w:cs="Times New Roman"/>
          <w:bCs/>
          <w:color w:val="000000"/>
          <w:sz w:val="24"/>
          <w:szCs w:val="24"/>
          <w:shd w:val="clear" w:color="auto" w:fill="FFFFFF"/>
          <w:vertAlign w:val="superscript"/>
        </w:rPr>
        <w:footnoteReference w:id="132"/>
      </w:r>
      <w:r w:rsidRPr="00FF5207">
        <w:rPr>
          <w:rFonts w:ascii="Times New Roman" w:hAnsi="Times New Roman" w:cs="Times New Roman"/>
          <w:bCs/>
          <w:color w:val="000000"/>
          <w:sz w:val="24"/>
          <w:szCs w:val="24"/>
          <w:shd w:val="clear" w:color="auto" w:fill="FFFFFF"/>
        </w:rPr>
        <w:t>, una vera e propria “organizzazione algoritmica”</w:t>
      </w:r>
      <w:r w:rsidRPr="00FF5207">
        <w:rPr>
          <w:rFonts w:ascii="Times New Roman" w:hAnsi="Times New Roman" w:cs="Times New Roman"/>
          <w:bCs/>
          <w:color w:val="000000"/>
          <w:sz w:val="24"/>
          <w:szCs w:val="24"/>
          <w:shd w:val="clear" w:color="auto" w:fill="FFFFFF"/>
          <w:vertAlign w:val="superscript"/>
        </w:rPr>
        <w:footnoteReference w:id="133"/>
      </w:r>
      <w:r w:rsidRPr="00FF5207">
        <w:rPr>
          <w:rFonts w:ascii="Times New Roman" w:hAnsi="Times New Roman" w:cs="Times New Roman"/>
          <w:bCs/>
          <w:color w:val="000000"/>
          <w:sz w:val="24"/>
          <w:szCs w:val="24"/>
          <w:shd w:val="clear" w:color="auto" w:fill="FFFFFF"/>
        </w:rPr>
        <w:t xml:space="preserve"> in cui l’IA si candida a diventare “un’importante mezzo di regolamentazione e di esercizio del potere nel nostro mondo digitale”</w:t>
      </w:r>
      <w:r w:rsidRPr="00FF5207">
        <w:rPr>
          <w:rFonts w:ascii="Times New Roman" w:hAnsi="Times New Roman" w:cs="Times New Roman"/>
          <w:bCs/>
          <w:color w:val="000000"/>
          <w:sz w:val="24"/>
          <w:szCs w:val="24"/>
          <w:shd w:val="clear" w:color="auto" w:fill="FFFFFF"/>
          <w:vertAlign w:val="superscript"/>
        </w:rPr>
        <w:footnoteReference w:id="134"/>
      </w:r>
      <w:r w:rsidRPr="00FF5207">
        <w:rPr>
          <w:rFonts w:ascii="Times New Roman" w:hAnsi="Times New Roman" w:cs="Times New Roman"/>
          <w:bCs/>
          <w:color w:val="000000"/>
          <w:sz w:val="24"/>
          <w:szCs w:val="24"/>
          <w:shd w:val="clear" w:color="auto" w:fill="FFFFFF"/>
        </w:rPr>
        <w:t xml:space="preserve"> anche a detrimento della componente umana. </w:t>
      </w:r>
    </w:p>
    <w:p w14:paraId="307B997B" w14:textId="77777777"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lastRenderedPageBreak/>
        <w:t xml:space="preserve">Alcuni dati statistici, tratti da una recentissima e autorevole ricerca, dimostrano che la verità si colloca nel mezzo. Si legge, infatti, all’interno del </w:t>
      </w:r>
      <w:r w:rsidRPr="00FF5207">
        <w:rPr>
          <w:rFonts w:ascii="Times New Roman" w:hAnsi="Times New Roman" w:cs="Times New Roman"/>
          <w:bCs/>
          <w:i/>
          <w:iCs/>
          <w:color w:val="000000"/>
          <w:sz w:val="24"/>
          <w:szCs w:val="24"/>
          <w:shd w:val="clear" w:color="auto" w:fill="FFFFFF"/>
        </w:rPr>
        <w:t>paper</w:t>
      </w:r>
      <w:r w:rsidRPr="00FF5207">
        <w:rPr>
          <w:rFonts w:ascii="Times New Roman" w:hAnsi="Times New Roman" w:cs="Times New Roman"/>
          <w:bCs/>
          <w:color w:val="000000"/>
          <w:sz w:val="24"/>
          <w:szCs w:val="24"/>
          <w:shd w:val="clear" w:color="auto" w:fill="FFFFFF"/>
        </w:rPr>
        <w:t xml:space="preserve"> “L’impatto dell’intelligenza artificiale sul pubblico impiego” che, dei circa 3,2 milioni di dipendenti pubblici, il 57% è altamente esposto all’IA (pari a circa 1,85 milioni), il 28% è moderatamente impattato mentre il restante 15% subisce un’influenza minima o nulla</w:t>
      </w:r>
      <w:r w:rsidRPr="00FF5207">
        <w:rPr>
          <w:rFonts w:ascii="Times New Roman" w:hAnsi="Times New Roman" w:cs="Times New Roman"/>
          <w:bCs/>
          <w:color w:val="000000"/>
          <w:sz w:val="24"/>
          <w:szCs w:val="24"/>
          <w:shd w:val="clear" w:color="auto" w:fill="FFFFFF"/>
          <w:vertAlign w:val="superscript"/>
        </w:rPr>
        <w:footnoteReference w:id="135"/>
      </w:r>
      <w:r w:rsidRPr="00FF5207">
        <w:rPr>
          <w:rFonts w:ascii="Times New Roman" w:hAnsi="Times New Roman" w:cs="Times New Roman"/>
          <w:bCs/>
          <w:color w:val="000000"/>
          <w:sz w:val="24"/>
          <w:szCs w:val="24"/>
          <w:shd w:val="clear" w:color="auto" w:fill="FFFFFF"/>
        </w:rPr>
        <w:t xml:space="preserve">. </w:t>
      </w:r>
    </w:p>
    <w:p w14:paraId="10BBDA27" w14:textId="77777777"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Tra le professioni fortemente esposte, si annoverano sia le mansioni elementari e ripetitive prima accennate, sia le posizioni dirigenziali: assistenti e operatori esperti amministrativi; personale direttivo e non dirigente con funzioni amministrative; profili del ruolo tecnico, ricercatori e tecnologi; dirigenti scolastici e personale docente; professionisti legali (avvocati, magistrati); dirigenti professionali (architetti, ingegneri); dirigenti sanitari e professionisti delle elevate professionalità sanitarie</w:t>
      </w:r>
      <w:r w:rsidRPr="00FF5207">
        <w:rPr>
          <w:rFonts w:ascii="Times New Roman" w:hAnsi="Times New Roman" w:cs="Times New Roman"/>
          <w:bCs/>
          <w:color w:val="000000"/>
          <w:sz w:val="24"/>
          <w:szCs w:val="24"/>
          <w:shd w:val="clear" w:color="auto" w:fill="FFFFFF"/>
          <w:vertAlign w:val="superscript"/>
        </w:rPr>
        <w:footnoteReference w:id="136"/>
      </w:r>
      <w:r w:rsidRPr="00FF5207">
        <w:rPr>
          <w:rFonts w:ascii="Times New Roman" w:hAnsi="Times New Roman" w:cs="Times New Roman"/>
          <w:bCs/>
          <w:color w:val="000000"/>
          <w:sz w:val="24"/>
          <w:szCs w:val="24"/>
          <w:shd w:val="clear" w:color="auto" w:fill="FFFFFF"/>
        </w:rPr>
        <w:t>.</w:t>
      </w:r>
    </w:p>
    <w:p w14:paraId="11ACD52D" w14:textId="77777777" w:rsidR="00FF5207" w:rsidRPr="00FF5207" w:rsidRDefault="00FF5207" w:rsidP="004B7EA5">
      <w:pPr>
        <w:spacing w:after="0" w:line="276" w:lineRule="auto"/>
        <w:jc w:val="both"/>
        <w:rPr>
          <w:rFonts w:ascii="Times New Roman" w:hAnsi="Times New Roman" w:cs="Times New Roman"/>
          <w:bCs/>
          <w:color w:val="000000"/>
          <w:sz w:val="24"/>
          <w:szCs w:val="24"/>
          <w:shd w:val="clear" w:color="auto" w:fill="FFFFFF"/>
        </w:rPr>
      </w:pPr>
      <w:r w:rsidRPr="00FF5207">
        <w:rPr>
          <w:rFonts w:ascii="Times New Roman" w:hAnsi="Times New Roman" w:cs="Times New Roman"/>
          <w:bCs/>
          <w:color w:val="000000"/>
          <w:sz w:val="24"/>
          <w:szCs w:val="24"/>
          <w:shd w:val="clear" w:color="auto" w:fill="FFFFFF"/>
        </w:rPr>
        <w:t>Tuttavia, il passaggio più interessante dello studio appare il seguente: “Questa sinergia è particolarmente marcata nei ruoli di leadership e gestione, dove dirigenti scolastici, responsabili strategici e leader di progetti innovativi, coadiuvati da esperti tecnici e professionisti, potranno sperimentare miglioramenti notevoli. La presenza di figure istituzionali di rilievo, come prefetti, magistrati e direttori generali tra i beneficiari sottolinea ulteriormente il valore aggiunto dell'IA nel promuovere efficienza ed efficacia all'interno della pubblica amministrazione. Ovviamente, questo non sarà scontato e non avverrà in automatico. Affinché si possa arrivare a quello che in molti chiamano “lavoro aumentato” è necessario che le soluzioni degli algoritmi vengano utilizzate con consapevolezza e competenza”</w:t>
      </w:r>
      <w:r w:rsidRPr="00FF5207">
        <w:rPr>
          <w:rFonts w:ascii="Times New Roman" w:hAnsi="Times New Roman" w:cs="Times New Roman"/>
          <w:bCs/>
          <w:color w:val="000000"/>
          <w:sz w:val="24"/>
          <w:szCs w:val="24"/>
          <w:shd w:val="clear" w:color="auto" w:fill="FFFFFF"/>
          <w:vertAlign w:val="superscript"/>
        </w:rPr>
        <w:footnoteReference w:id="137"/>
      </w:r>
      <w:r w:rsidRPr="00FF5207">
        <w:rPr>
          <w:rFonts w:ascii="Times New Roman" w:hAnsi="Times New Roman" w:cs="Times New Roman"/>
          <w:bCs/>
          <w:color w:val="000000"/>
          <w:sz w:val="24"/>
          <w:szCs w:val="24"/>
          <w:shd w:val="clear" w:color="auto" w:fill="FFFFFF"/>
        </w:rPr>
        <w:t>.</w:t>
      </w:r>
    </w:p>
    <w:p w14:paraId="4628BA96" w14:textId="0F614EC9" w:rsidR="005F6206" w:rsidRPr="005F6206" w:rsidRDefault="005F6206" w:rsidP="004B7EA5">
      <w:pPr>
        <w:spacing w:after="0" w:line="276" w:lineRule="auto"/>
        <w:jc w:val="both"/>
        <w:rPr>
          <w:rFonts w:ascii="Times New Roman" w:hAnsi="Times New Roman" w:cs="Times New Roman"/>
          <w:b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t>In questo quadro, l’AI può offrire numerose opportunità per il settore pubblico; grazie all’evoluzione delle tecnologie, le Pubbliche Amministrazioni potrebbero porsi nuovi sfidanti obiettivi, quali un processo decisionale più efficiente, una migliore comunicazione tra istituzione e cittadino, una migliore qualità del servizio pubblico e una riduzione degli oneri amministrativi</w:t>
      </w:r>
      <w:r w:rsidRPr="005F6206">
        <w:rPr>
          <w:rFonts w:ascii="Times New Roman" w:hAnsi="Times New Roman" w:cs="Times New Roman"/>
          <w:bCs/>
          <w:color w:val="000000"/>
          <w:sz w:val="24"/>
          <w:szCs w:val="24"/>
          <w:shd w:val="clear" w:color="auto" w:fill="FFFFFF"/>
          <w:vertAlign w:val="superscript"/>
        </w:rPr>
        <w:footnoteReference w:id="138"/>
      </w:r>
      <w:r w:rsidRPr="005F6206">
        <w:rPr>
          <w:rFonts w:ascii="Times New Roman" w:hAnsi="Times New Roman" w:cs="Times New Roman"/>
          <w:bCs/>
          <w:color w:val="000000"/>
          <w:sz w:val="24"/>
          <w:szCs w:val="24"/>
          <w:shd w:val="clear" w:color="auto" w:fill="FFFFFF"/>
        </w:rPr>
        <w:t>.</w:t>
      </w:r>
    </w:p>
    <w:p w14:paraId="238ADB52" w14:textId="77777777" w:rsidR="005F6206" w:rsidRPr="005F6206" w:rsidRDefault="005F6206" w:rsidP="004B7EA5">
      <w:pPr>
        <w:spacing w:after="0" w:line="276" w:lineRule="auto"/>
        <w:jc w:val="both"/>
        <w:rPr>
          <w:rFonts w:ascii="Times New Roman" w:hAnsi="Times New Roman" w:cs="Times New Roman"/>
          <w:b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t xml:space="preserve">L’IA, in particolare, può sortire effetti positivi in punto di: riduzione dei costi dei passaggi di produzione dell’output; semplificazione del lavoro; riduzione delle operazioni da svolgere manualmente; </w:t>
      </w:r>
      <w:r w:rsidRPr="005F6206">
        <w:rPr>
          <w:rFonts w:ascii="Times New Roman" w:hAnsi="Times New Roman" w:cs="Times New Roman"/>
          <w:bCs/>
          <w:i/>
          <w:iCs/>
          <w:color w:val="000000"/>
          <w:sz w:val="24"/>
          <w:szCs w:val="24"/>
          <w:shd w:val="clear" w:color="auto" w:fill="FFFFFF"/>
        </w:rPr>
        <w:t>Machine Learning</w:t>
      </w:r>
      <w:r w:rsidRPr="005F6206">
        <w:rPr>
          <w:rFonts w:ascii="Times New Roman" w:hAnsi="Times New Roman" w:cs="Times New Roman"/>
          <w:bCs/>
          <w:color w:val="000000"/>
          <w:sz w:val="24"/>
          <w:szCs w:val="24"/>
          <w:shd w:val="clear" w:color="auto" w:fill="FFFFFF"/>
        </w:rPr>
        <w:t xml:space="preserve"> per la gestione rapida ed efficiente delle anomalie e la manutenzione predittiva. Essa, pertanto, può e deve costituire uno strumento prezioso per radicare la mentalità tipica dell’amministrazione per processi nelle strutture pubbliche del terzo millennio.</w:t>
      </w:r>
    </w:p>
    <w:p w14:paraId="210C8F90" w14:textId="77777777" w:rsidR="005F6206" w:rsidRPr="005F6206" w:rsidRDefault="005F6206" w:rsidP="004B7EA5">
      <w:pPr>
        <w:spacing w:after="0" w:line="276" w:lineRule="auto"/>
        <w:jc w:val="both"/>
        <w:rPr>
          <w:rFonts w:ascii="Times New Roman" w:hAnsi="Times New Roman" w:cs="Times New Roman"/>
          <w:b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t xml:space="preserve">Le nuove tecnologie si candidano a migliorare l’efficienza sul piano interno, eliminando tutti i passaggi o le attività lavorative più ripetitive e liberando spazio alla creatività, in un ambiente connotato da benessere e apprendimento organizzativo, in cui il dirigente pubblico, oltre a essere un </w:t>
      </w:r>
      <w:r w:rsidRPr="005F6206">
        <w:rPr>
          <w:rFonts w:ascii="Times New Roman" w:hAnsi="Times New Roman" w:cs="Times New Roman"/>
          <w:bCs/>
          <w:i/>
          <w:iCs/>
          <w:color w:val="000000"/>
          <w:sz w:val="24"/>
          <w:szCs w:val="24"/>
          <w:shd w:val="clear" w:color="auto" w:fill="FFFFFF"/>
        </w:rPr>
        <w:t>manager</w:t>
      </w:r>
      <w:r w:rsidRPr="005F6206">
        <w:rPr>
          <w:rFonts w:ascii="Times New Roman" w:hAnsi="Times New Roman" w:cs="Times New Roman"/>
          <w:bCs/>
          <w:color w:val="000000"/>
          <w:sz w:val="24"/>
          <w:szCs w:val="24"/>
          <w:shd w:val="clear" w:color="auto" w:fill="FFFFFF"/>
        </w:rPr>
        <w:t xml:space="preserve">, è un </w:t>
      </w:r>
      <w:r w:rsidRPr="005F6206">
        <w:rPr>
          <w:rFonts w:ascii="Times New Roman" w:hAnsi="Times New Roman" w:cs="Times New Roman"/>
          <w:bCs/>
          <w:i/>
          <w:iCs/>
          <w:color w:val="000000"/>
          <w:sz w:val="24"/>
          <w:szCs w:val="24"/>
          <w:shd w:val="clear" w:color="auto" w:fill="FFFFFF"/>
        </w:rPr>
        <w:t>leader</w:t>
      </w:r>
      <w:r w:rsidRPr="005F6206">
        <w:rPr>
          <w:rFonts w:ascii="Times New Roman" w:hAnsi="Times New Roman" w:cs="Times New Roman"/>
          <w:bCs/>
          <w:color w:val="000000"/>
          <w:sz w:val="24"/>
          <w:szCs w:val="24"/>
          <w:shd w:val="clear" w:color="auto" w:fill="FFFFFF"/>
        </w:rPr>
        <w:t>, capace di motivare i propri collaboratori con una carica di persuasività ed emotività che nessuna macchina potrà mai surrogare</w:t>
      </w:r>
      <w:r w:rsidRPr="005F6206">
        <w:rPr>
          <w:rFonts w:ascii="Times New Roman" w:hAnsi="Times New Roman" w:cs="Times New Roman"/>
          <w:bCs/>
          <w:color w:val="000000"/>
          <w:sz w:val="24"/>
          <w:szCs w:val="24"/>
          <w:shd w:val="clear" w:color="auto" w:fill="FFFFFF"/>
          <w:vertAlign w:val="superscript"/>
        </w:rPr>
        <w:footnoteReference w:id="139"/>
      </w:r>
      <w:r w:rsidRPr="005F6206">
        <w:rPr>
          <w:rFonts w:ascii="Times New Roman" w:hAnsi="Times New Roman" w:cs="Times New Roman"/>
          <w:bCs/>
          <w:color w:val="000000"/>
          <w:sz w:val="24"/>
          <w:szCs w:val="24"/>
          <w:shd w:val="clear" w:color="auto" w:fill="FFFFFF"/>
        </w:rPr>
        <w:t xml:space="preserve">. </w:t>
      </w:r>
    </w:p>
    <w:p w14:paraId="79EC58AE" w14:textId="77777777" w:rsidR="005F6206" w:rsidRPr="005F6206" w:rsidRDefault="005F6206" w:rsidP="004B7EA5">
      <w:pPr>
        <w:spacing w:after="0" w:line="276" w:lineRule="auto"/>
        <w:jc w:val="both"/>
        <w:rPr>
          <w:rFonts w:ascii="Times New Roman" w:hAnsi="Times New Roman" w:cs="Times New Roman"/>
          <w:b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t>L’IA, ancora, potrà aumentare il livello di competitività rispetto all’esterno, anche in considerazione del fatto che un uso costruttivo e consapevole può diventare una leva anche per l’apertura della Pubblica Amministrazione italiana all’Unione Europea e alla realtà internazionale.</w:t>
      </w:r>
    </w:p>
    <w:p w14:paraId="7B131573" w14:textId="77777777" w:rsidR="005F6206" w:rsidRPr="005F6206" w:rsidRDefault="005F6206" w:rsidP="004B7EA5">
      <w:pPr>
        <w:spacing w:after="0" w:line="276" w:lineRule="auto"/>
        <w:jc w:val="both"/>
        <w:rPr>
          <w:rFonts w:ascii="Times New Roman" w:hAnsi="Times New Roman" w:cs="Times New Roman"/>
          <w:b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lastRenderedPageBreak/>
        <w:t>Le nuove tecnologie, in definitiva, possono incentivare la rieducazione dell’organico aziendale attraverso la formazione, strumento necessario sia per convivere con l’IA e dedicarsi ad altre attività prima marginali o non svolte, sia per integrare le conoscenze a fronte della nascita delle nuove figure professionali dovute all’implementazione dell’IA nelle aziende pubbliche</w:t>
      </w:r>
      <w:r w:rsidRPr="005F6206">
        <w:rPr>
          <w:rFonts w:ascii="Times New Roman" w:hAnsi="Times New Roman" w:cs="Times New Roman"/>
          <w:bCs/>
          <w:color w:val="000000"/>
          <w:sz w:val="24"/>
          <w:szCs w:val="24"/>
          <w:shd w:val="clear" w:color="auto" w:fill="FFFFFF"/>
          <w:vertAlign w:val="superscript"/>
        </w:rPr>
        <w:footnoteReference w:id="140"/>
      </w:r>
      <w:r w:rsidRPr="005F6206">
        <w:rPr>
          <w:rFonts w:ascii="Times New Roman" w:hAnsi="Times New Roman" w:cs="Times New Roman"/>
          <w:bCs/>
          <w:color w:val="000000"/>
          <w:sz w:val="24"/>
          <w:szCs w:val="24"/>
          <w:shd w:val="clear" w:color="auto" w:fill="FFFFFF"/>
        </w:rPr>
        <w:t>.</w:t>
      </w:r>
    </w:p>
    <w:p w14:paraId="262AE1ED" w14:textId="77777777" w:rsidR="005F6206" w:rsidRPr="005F6206" w:rsidRDefault="005F6206" w:rsidP="004B7EA5">
      <w:pPr>
        <w:spacing w:after="0" w:line="276" w:lineRule="auto"/>
        <w:jc w:val="both"/>
        <w:rPr>
          <w:rFonts w:ascii="Times New Roman" w:hAnsi="Times New Roman" w:cs="Times New Roman"/>
          <w:b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t xml:space="preserve">Ovviamente, non bisogna trascurare le controindicazioni insite nell’implementazione delle nuove tecnologie nel pubblico impiego. Una recente ricerca ha evidenziato come sussista il rischio della generazione, da parte dell’IA, di un modello interpretativo che indica in maniera stringente la soluzione e lascia all’uomo pochi reali margini di scelta, nella misura in cui tale modello risulta chiuso, difficilmente comprensibile agli occhi degli </w:t>
      </w:r>
      <w:r w:rsidRPr="005F6206">
        <w:rPr>
          <w:rFonts w:ascii="Times New Roman" w:hAnsi="Times New Roman" w:cs="Times New Roman"/>
          <w:bCs/>
          <w:i/>
          <w:iCs/>
          <w:color w:val="000000"/>
          <w:sz w:val="24"/>
          <w:szCs w:val="24"/>
          <w:shd w:val="clear" w:color="auto" w:fill="FFFFFF"/>
        </w:rPr>
        <w:t>user</w:t>
      </w:r>
      <w:r w:rsidRPr="005F6206">
        <w:rPr>
          <w:rFonts w:ascii="Times New Roman" w:hAnsi="Times New Roman" w:cs="Times New Roman"/>
          <w:bCs/>
          <w:color w:val="000000"/>
          <w:sz w:val="24"/>
          <w:szCs w:val="24"/>
          <w:shd w:val="clear" w:color="auto" w:fill="FFFFFF"/>
        </w:rPr>
        <w:t xml:space="preserve"> e non modificabile</w:t>
      </w:r>
      <w:r w:rsidRPr="005F6206">
        <w:rPr>
          <w:rFonts w:ascii="Times New Roman" w:hAnsi="Times New Roman" w:cs="Times New Roman"/>
          <w:bCs/>
          <w:color w:val="000000"/>
          <w:sz w:val="24"/>
          <w:szCs w:val="24"/>
          <w:shd w:val="clear" w:color="auto" w:fill="FFFFFF"/>
          <w:vertAlign w:val="superscript"/>
        </w:rPr>
        <w:footnoteReference w:id="141"/>
      </w:r>
      <w:r w:rsidRPr="005F6206">
        <w:rPr>
          <w:rFonts w:ascii="Times New Roman" w:hAnsi="Times New Roman" w:cs="Times New Roman"/>
          <w:bCs/>
          <w:color w:val="000000"/>
          <w:sz w:val="24"/>
          <w:szCs w:val="24"/>
          <w:shd w:val="clear" w:color="auto" w:fill="FFFFFF"/>
        </w:rPr>
        <w:t>, anche alla luce dell’assenza di talenti interni, “considerata la mancanza di specialisti ed esperti nel mercato del lavoro con le competenze necessarie per sostenere e promuovere lo sviluppo dell’AI”</w:t>
      </w:r>
      <w:r w:rsidRPr="005F6206">
        <w:rPr>
          <w:rFonts w:ascii="Times New Roman" w:hAnsi="Times New Roman" w:cs="Times New Roman"/>
          <w:bCs/>
          <w:color w:val="000000"/>
          <w:sz w:val="24"/>
          <w:szCs w:val="24"/>
          <w:shd w:val="clear" w:color="auto" w:fill="FFFFFF"/>
          <w:vertAlign w:val="superscript"/>
        </w:rPr>
        <w:footnoteReference w:id="142"/>
      </w:r>
      <w:r w:rsidRPr="005F6206">
        <w:rPr>
          <w:rFonts w:ascii="Times New Roman" w:hAnsi="Times New Roman" w:cs="Times New Roman"/>
          <w:bCs/>
          <w:color w:val="000000"/>
          <w:sz w:val="24"/>
          <w:szCs w:val="24"/>
          <w:shd w:val="clear" w:color="auto" w:fill="FFFFFF"/>
        </w:rPr>
        <w:t>.</w:t>
      </w:r>
    </w:p>
    <w:p w14:paraId="562A1265" w14:textId="77777777" w:rsidR="005F6206" w:rsidRPr="005F6206" w:rsidRDefault="005F6206" w:rsidP="004B7EA5">
      <w:pPr>
        <w:spacing w:after="0" w:line="276" w:lineRule="auto"/>
        <w:jc w:val="both"/>
        <w:rPr>
          <w:rFonts w:ascii="Times New Roman" w:hAnsi="Times New Roman" w:cs="Times New Roman"/>
          <w:b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t>Inoltre, potrebbe consolidarsi una sorta di “deferenza fiduciaria” nei confronti di macchine così potenti, innanzi alle quali il dirigente o il funzionario pubblico ben difficilmente potrebbe sentirsi pronto a contraddire le indicazioni decisionali ricevute da un sistema di AI</w:t>
      </w:r>
      <w:r w:rsidRPr="005F6206">
        <w:rPr>
          <w:rFonts w:ascii="Times New Roman" w:hAnsi="Times New Roman" w:cs="Times New Roman"/>
          <w:bCs/>
          <w:color w:val="000000"/>
          <w:sz w:val="24"/>
          <w:szCs w:val="24"/>
          <w:shd w:val="clear" w:color="auto" w:fill="FFFFFF"/>
          <w:vertAlign w:val="superscript"/>
        </w:rPr>
        <w:footnoteReference w:id="143"/>
      </w:r>
      <w:r w:rsidRPr="005F6206">
        <w:rPr>
          <w:rFonts w:ascii="Times New Roman" w:hAnsi="Times New Roman" w:cs="Times New Roman"/>
          <w:bCs/>
          <w:color w:val="000000"/>
          <w:sz w:val="24"/>
          <w:szCs w:val="24"/>
          <w:shd w:val="clear" w:color="auto" w:fill="FFFFFF"/>
        </w:rPr>
        <w:t>. Anzi, dietro ad atteggiamenti di deferenza ben si potrebbero nascondere anche strategie difensive e calcoli opportunistici degli stessi pubblici dipendenti, basati su uno scarico di responsabilità sulla macchina, strategie più probabili in ambienti organizzativi molto burocratici</w:t>
      </w:r>
      <w:r w:rsidRPr="005F6206">
        <w:rPr>
          <w:rFonts w:ascii="Times New Roman" w:hAnsi="Times New Roman" w:cs="Times New Roman"/>
          <w:bCs/>
          <w:color w:val="000000"/>
          <w:sz w:val="24"/>
          <w:szCs w:val="24"/>
          <w:shd w:val="clear" w:color="auto" w:fill="FFFFFF"/>
          <w:vertAlign w:val="superscript"/>
        </w:rPr>
        <w:footnoteReference w:id="144"/>
      </w:r>
      <w:r w:rsidRPr="005F6206">
        <w:rPr>
          <w:rFonts w:ascii="Times New Roman" w:hAnsi="Times New Roman" w:cs="Times New Roman"/>
          <w:bCs/>
          <w:color w:val="000000"/>
          <w:sz w:val="24"/>
          <w:szCs w:val="24"/>
          <w:shd w:val="clear" w:color="auto" w:fill="FFFFFF"/>
        </w:rPr>
        <w:t>.</w:t>
      </w:r>
    </w:p>
    <w:p w14:paraId="2710899B" w14:textId="77777777" w:rsidR="005F6206" w:rsidRPr="005F6206" w:rsidRDefault="005F6206" w:rsidP="004B7EA5">
      <w:pPr>
        <w:spacing w:after="0" w:line="276" w:lineRule="auto"/>
        <w:jc w:val="both"/>
        <w:rPr>
          <w:rFonts w:ascii="Times New Roman" w:hAnsi="Times New Roman" w:cs="Times New Roman"/>
          <w:bCs/>
          <w:iCs/>
          <w:color w:val="000000"/>
          <w:sz w:val="24"/>
          <w:szCs w:val="24"/>
          <w:shd w:val="clear" w:color="auto" w:fill="FFFFFF"/>
        </w:rPr>
      </w:pPr>
      <w:r w:rsidRPr="005F6206">
        <w:rPr>
          <w:rFonts w:ascii="Times New Roman" w:hAnsi="Times New Roman" w:cs="Times New Roman"/>
          <w:bCs/>
          <w:iCs/>
          <w:color w:val="000000"/>
          <w:sz w:val="24"/>
          <w:szCs w:val="24"/>
          <w:shd w:val="clear" w:color="auto" w:fill="FFFFFF"/>
        </w:rPr>
        <w:t xml:space="preserve">Pertanto, affinché l’impatto dell’IA sul pubblico impiego sia il migliore possibile, è necessario che vengano attuate nella pratica quotidiana quelle che gli studiosi del management pubblico definiscono </w:t>
      </w:r>
      <w:r w:rsidRPr="005F6206">
        <w:rPr>
          <w:rFonts w:ascii="Times New Roman" w:hAnsi="Times New Roman" w:cs="Times New Roman"/>
          <w:bCs/>
          <w:i/>
          <w:iCs/>
          <w:color w:val="000000"/>
          <w:sz w:val="24"/>
          <w:szCs w:val="24"/>
          <w:shd w:val="clear" w:color="auto" w:fill="FFFFFF"/>
        </w:rPr>
        <w:t>learning organizations</w:t>
      </w:r>
      <w:r w:rsidRPr="005F6206">
        <w:rPr>
          <w:rFonts w:ascii="Times New Roman" w:hAnsi="Times New Roman" w:cs="Times New Roman"/>
          <w:bCs/>
          <w:iCs/>
          <w:color w:val="000000"/>
          <w:sz w:val="24"/>
          <w:szCs w:val="24"/>
          <w:shd w:val="clear" w:color="auto" w:fill="FFFFFF"/>
        </w:rPr>
        <w:t>, profilo sul quale già ci si è intrattenuti.</w:t>
      </w:r>
    </w:p>
    <w:p w14:paraId="407BBBC7" w14:textId="77777777" w:rsidR="005F6206" w:rsidRPr="005F6206" w:rsidRDefault="005F6206" w:rsidP="004B7EA5">
      <w:pPr>
        <w:spacing w:after="0" w:line="276" w:lineRule="auto"/>
        <w:jc w:val="both"/>
        <w:rPr>
          <w:rFonts w:ascii="Times New Roman" w:hAnsi="Times New Roman" w:cs="Times New Roman"/>
          <w:bCs/>
          <w:iCs/>
          <w:color w:val="000000"/>
          <w:sz w:val="24"/>
          <w:szCs w:val="24"/>
          <w:shd w:val="clear" w:color="auto" w:fill="FFFFFF"/>
        </w:rPr>
      </w:pPr>
      <w:r w:rsidRPr="005F6206">
        <w:rPr>
          <w:rFonts w:ascii="Times New Roman" w:hAnsi="Times New Roman" w:cs="Times New Roman"/>
          <w:bCs/>
          <w:color w:val="000000"/>
          <w:sz w:val="24"/>
          <w:szCs w:val="24"/>
          <w:shd w:val="clear" w:color="auto" w:fill="FFFFFF"/>
        </w:rPr>
        <w:t>Il dirigente, dunque, deve avere la capacità di diagnosticare lo stato dei processi negli Enti in cui opera e, in caso di necessità, reingegnerizzare i medesimi</w:t>
      </w:r>
      <w:r w:rsidRPr="005F6206">
        <w:rPr>
          <w:rFonts w:ascii="Times New Roman" w:hAnsi="Times New Roman" w:cs="Times New Roman"/>
          <w:bCs/>
          <w:iCs/>
          <w:color w:val="000000"/>
          <w:sz w:val="24"/>
          <w:szCs w:val="24"/>
          <w:shd w:val="clear" w:color="auto" w:fill="FFFFFF"/>
        </w:rPr>
        <w:t xml:space="preserve">. </w:t>
      </w:r>
    </w:p>
    <w:p w14:paraId="65DF8B2C" w14:textId="77777777" w:rsidR="005F6206" w:rsidRPr="005F6206" w:rsidRDefault="005F6206" w:rsidP="004B7EA5">
      <w:pPr>
        <w:spacing w:after="0" w:line="276" w:lineRule="auto"/>
        <w:jc w:val="both"/>
        <w:rPr>
          <w:rFonts w:ascii="Times New Roman" w:hAnsi="Times New Roman" w:cs="Times New Roman"/>
          <w:bCs/>
          <w:iCs/>
          <w:color w:val="000000"/>
          <w:sz w:val="24"/>
          <w:szCs w:val="24"/>
          <w:shd w:val="clear" w:color="auto" w:fill="FFFFFF"/>
        </w:rPr>
      </w:pPr>
      <w:r w:rsidRPr="005F6206">
        <w:rPr>
          <w:rFonts w:ascii="Times New Roman" w:hAnsi="Times New Roman" w:cs="Times New Roman"/>
          <w:bCs/>
          <w:iCs/>
          <w:color w:val="000000"/>
          <w:sz w:val="24"/>
          <w:szCs w:val="24"/>
          <w:shd w:val="clear" w:color="auto" w:fill="FFFFFF"/>
        </w:rPr>
        <w:t xml:space="preserve">Costituisce un </w:t>
      </w:r>
      <w:r w:rsidRPr="005F6206">
        <w:rPr>
          <w:rFonts w:ascii="Times New Roman" w:hAnsi="Times New Roman" w:cs="Times New Roman"/>
          <w:bCs/>
          <w:i/>
          <w:iCs/>
          <w:color w:val="000000"/>
          <w:sz w:val="24"/>
          <w:szCs w:val="24"/>
          <w:shd w:val="clear" w:color="auto" w:fill="FFFFFF"/>
        </w:rPr>
        <w:t>prius</w:t>
      </w:r>
      <w:r w:rsidRPr="005F6206">
        <w:rPr>
          <w:rFonts w:ascii="Times New Roman" w:hAnsi="Times New Roman" w:cs="Times New Roman"/>
          <w:bCs/>
          <w:iCs/>
          <w:color w:val="000000"/>
          <w:sz w:val="24"/>
          <w:szCs w:val="24"/>
          <w:shd w:val="clear" w:color="auto" w:fill="FFFFFF"/>
        </w:rPr>
        <w:t xml:space="preserve"> logico rispetto alla reingegnerizzazione dei processi la capacità di analizzare lo stato degli stessi in rapporto alle dotazioni di personale, agli inquadramenti contrattuali dei dipendenti effettivamente in servizio e alle loro effettive attitudini e sfere di conoscenze e competenze, non sempre coerenti rispetto alle attività in concreto loro affidate. Il fine è quello di diagnosticare lo stato dei processi negli Enti in cui si opera e, in caso di necessità, adottare i provvedimenti più opportuni e tempestivi per garantire un accettabile standard di erogazione di servizi pubblici tanto in settori di rilievo quotidiano quanto in eventuali nuove attività.</w:t>
      </w:r>
    </w:p>
    <w:p w14:paraId="4BEAF492" w14:textId="77777777" w:rsidR="005F6206" w:rsidRPr="005F6206" w:rsidRDefault="005F6206" w:rsidP="004B7EA5">
      <w:pPr>
        <w:spacing w:after="0" w:line="276" w:lineRule="auto"/>
        <w:jc w:val="both"/>
        <w:rPr>
          <w:rFonts w:ascii="Times New Roman" w:hAnsi="Times New Roman" w:cs="Times New Roman"/>
          <w:bCs/>
          <w:iCs/>
          <w:color w:val="000000"/>
          <w:sz w:val="24"/>
          <w:szCs w:val="24"/>
          <w:shd w:val="clear" w:color="auto" w:fill="FFFFFF"/>
        </w:rPr>
      </w:pPr>
      <w:r w:rsidRPr="005F6206">
        <w:rPr>
          <w:rFonts w:ascii="Times New Roman" w:hAnsi="Times New Roman" w:cs="Times New Roman"/>
          <w:bCs/>
          <w:iCs/>
          <w:color w:val="000000"/>
          <w:sz w:val="24"/>
          <w:szCs w:val="24"/>
          <w:shd w:val="clear" w:color="auto" w:fill="FFFFFF"/>
        </w:rPr>
        <w:t>La riprogettazione radicale può transitare attraverso varie esperienze, tra cui la concezione delle attività dell’Ente in parallelo anziché in sequenza, la ricomposizione di attività frammentate tra più uffici con possibili conflitti di competenza facilmente evitabili, l’eliminazione di attività non produttive di valore pubblico, la categorizzazione e differenziazione dei flussi nei processi</w:t>
      </w:r>
      <w:r w:rsidRPr="005F6206">
        <w:rPr>
          <w:rFonts w:ascii="Times New Roman" w:hAnsi="Times New Roman" w:cs="Times New Roman"/>
          <w:bCs/>
          <w:iCs/>
          <w:color w:val="000000"/>
          <w:sz w:val="24"/>
          <w:szCs w:val="24"/>
          <w:shd w:val="clear" w:color="auto" w:fill="FFFFFF"/>
          <w:vertAlign w:val="superscript"/>
        </w:rPr>
        <w:footnoteReference w:id="145"/>
      </w:r>
      <w:r w:rsidRPr="005F6206">
        <w:rPr>
          <w:rFonts w:ascii="Times New Roman" w:hAnsi="Times New Roman" w:cs="Times New Roman"/>
          <w:bCs/>
          <w:iCs/>
          <w:color w:val="000000"/>
          <w:sz w:val="24"/>
          <w:szCs w:val="24"/>
          <w:shd w:val="clear" w:color="auto" w:fill="FFFFFF"/>
        </w:rPr>
        <w:t xml:space="preserve"> e, infine, il </w:t>
      </w:r>
      <w:r w:rsidRPr="005F6206">
        <w:rPr>
          <w:rFonts w:ascii="Times New Roman" w:hAnsi="Times New Roman" w:cs="Times New Roman"/>
          <w:bCs/>
          <w:i/>
          <w:iCs/>
          <w:color w:val="000000"/>
          <w:sz w:val="24"/>
          <w:szCs w:val="24"/>
          <w:shd w:val="clear" w:color="auto" w:fill="FFFFFF"/>
        </w:rPr>
        <w:t>Business Reengineering</w:t>
      </w:r>
      <w:r w:rsidRPr="005F6206">
        <w:rPr>
          <w:rFonts w:ascii="Times New Roman" w:hAnsi="Times New Roman" w:cs="Times New Roman"/>
          <w:bCs/>
          <w:iCs/>
          <w:color w:val="000000"/>
          <w:sz w:val="24"/>
          <w:szCs w:val="24"/>
          <w:shd w:val="clear" w:color="auto" w:fill="FFFFFF"/>
        </w:rPr>
        <w:t xml:space="preserve">, consistente in un “intervento radicale su un flusso di compiti/attività che, </w:t>
      </w:r>
      <w:r w:rsidRPr="005F6206">
        <w:rPr>
          <w:rFonts w:ascii="Times New Roman" w:hAnsi="Times New Roman" w:cs="Times New Roman"/>
          <w:bCs/>
          <w:iCs/>
          <w:color w:val="000000"/>
          <w:sz w:val="24"/>
          <w:szCs w:val="24"/>
          <w:shd w:val="clear" w:color="auto" w:fill="FFFFFF"/>
        </w:rPr>
        <w:lastRenderedPageBreak/>
        <w:t>ponendo al centro l’esigenza del cliente, corrisponde a un processo aziendale, per poi responsabilizzare uno specifico team su tale processo”</w:t>
      </w:r>
      <w:r w:rsidRPr="005F6206">
        <w:rPr>
          <w:rFonts w:ascii="Times New Roman" w:hAnsi="Times New Roman" w:cs="Times New Roman"/>
          <w:bCs/>
          <w:iCs/>
          <w:color w:val="000000"/>
          <w:sz w:val="24"/>
          <w:szCs w:val="24"/>
          <w:shd w:val="clear" w:color="auto" w:fill="FFFFFF"/>
          <w:vertAlign w:val="superscript"/>
        </w:rPr>
        <w:footnoteReference w:id="146"/>
      </w:r>
      <w:r w:rsidRPr="005F6206">
        <w:rPr>
          <w:rFonts w:ascii="Times New Roman" w:hAnsi="Times New Roman" w:cs="Times New Roman"/>
          <w:bCs/>
          <w:iCs/>
          <w:color w:val="000000"/>
          <w:sz w:val="24"/>
          <w:szCs w:val="24"/>
          <w:shd w:val="clear" w:color="auto" w:fill="FFFFFF"/>
        </w:rPr>
        <w:t>.</w:t>
      </w:r>
    </w:p>
    <w:p w14:paraId="0FB559DC" w14:textId="77777777" w:rsidR="005F6206" w:rsidRPr="005F6206" w:rsidRDefault="005F6206" w:rsidP="004B7EA5">
      <w:pPr>
        <w:spacing w:after="0" w:line="276" w:lineRule="auto"/>
        <w:jc w:val="both"/>
        <w:rPr>
          <w:rFonts w:ascii="Times New Roman" w:hAnsi="Times New Roman" w:cs="Times New Roman"/>
          <w:bCs/>
          <w:iCs/>
          <w:color w:val="000000"/>
          <w:sz w:val="24"/>
          <w:szCs w:val="24"/>
          <w:shd w:val="clear" w:color="auto" w:fill="FFFFFF"/>
        </w:rPr>
      </w:pPr>
      <w:r w:rsidRPr="005F6206">
        <w:rPr>
          <w:rFonts w:ascii="Times New Roman" w:hAnsi="Times New Roman" w:cs="Times New Roman"/>
          <w:bCs/>
          <w:iCs/>
          <w:color w:val="000000"/>
          <w:sz w:val="24"/>
          <w:szCs w:val="24"/>
          <w:shd w:val="clear" w:color="auto" w:fill="FFFFFF"/>
        </w:rPr>
        <w:t>Tale riprogettazione è presupposto e, al tempo stesso, conseguenza dell’implementazione dell’IA nella Pubblica Amministrazione, in un circuito virtuoso che tende al miglioramento continuo all’interno di strutture amministrative non più rigidamente burocratiche, ma organizzate per processi e tendenti al risultato finale</w:t>
      </w:r>
      <w:r w:rsidRPr="005F6206">
        <w:rPr>
          <w:rFonts w:ascii="Times New Roman" w:hAnsi="Times New Roman" w:cs="Times New Roman"/>
          <w:bCs/>
          <w:iCs/>
          <w:color w:val="000000"/>
          <w:sz w:val="24"/>
          <w:szCs w:val="24"/>
          <w:shd w:val="clear" w:color="auto" w:fill="FFFFFF"/>
          <w:vertAlign w:val="superscript"/>
        </w:rPr>
        <w:footnoteReference w:id="147"/>
      </w:r>
      <w:r w:rsidRPr="005F6206">
        <w:rPr>
          <w:rFonts w:ascii="Times New Roman" w:hAnsi="Times New Roman" w:cs="Times New Roman"/>
          <w:bCs/>
          <w:iCs/>
          <w:color w:val="000000"/>
          <w:sz w:val="24"/>
          <w:szCs w:val="24"/>
          <w:shd w:val="clear" w:color="auto" w:fill="FFFFFF"/>
        </w:rPr>
        <w:t>.</w:t>
      </w:r>
    </w:p>
    <w:p w14:paraId="264C8A32" w14:textId="77777777" w:rsidR="00725289" w:rsidRPr="00725289" w:rsidRDefault="00725289" w:rsidP="004B7EA5">
      <w:pPr>
        <w:spacing w:after="0" w:line="276" w:lineRule="auto"/>
        <w:jc w:val="both"/>
        <w:rPr>
          <w:rFonts w:ascii="Times New Roman" w:hAnsi="Times New Roman" w:cs="Times New Roman"/>
          <w:bCs/>
          <w:iCs/>
          <w:color w:val="000000"/>
          <w:sz w:val="24"/>
          <w:szCs w:val="24"/>
          <w:shd w:val="clear" w:color="auto" w:fill="FFFFFF"/>
        </w:rPr>
      </w:pPr>
      <w:r w:rsidRPr="00725289">
        <w:rPr>
          <w:rFonts w:ascii="Times New Roman" w:hAnsi="Times New Roman" w:cs="Times New Roman"/>
          <w:bCs/>
          <w:iCs/>
          <w:color w:val="000000"/>
          <w:sz w:val="24"/>
          <w:szCs w:val="24"/>
          <w:shd w:val="clear" w:color="auto" w:fill="FFFFFF"/>
        </w:rPr>
        <w:t>Alla luce di quanto premesso, appare chiaro che la formazione rappresenti una delle principali leve sui cui agire per accrescere quella capacità di governo dei processi di innovazione di cui si è detto.</w:t>
      </w:r>
    </w:p>
    <w:p w14:paraId="615E62EC" w14:textId="77777777" w:rsidR="00725289" w:rsidRPr="00725289" w:rsidRDefault="00725289" w:rsidP="004B7EA5">
      <w:pPr>
        <w:spacing w:after="0" w:line="276" w:lineRule="auto"/>
        <w:jc w:val="both"/>
        <w:rPr>
          <w:rFonts w:ascii="Times New Roman" w:hAnsi="Times New Roman" w:cs="Times New Roman"/>
          <w:bCs/>
          <w:iCs/>
          <w:color w:val="000000"/>
          <w:sz w:val="24"/>
          <w:szCs w:val="24"/>
          <w:shd w:val="clear" w:color="auto" w:fill="FFFFFF"/>
        </w:rPr>
      </w:pPr>
      <w:r w:rsidRPr="00725289">
        <w:rPr>
          <w:rFonts w:ascii="Times New Roman" w:hAnsi="Times New Roman" w:cs="Times New Roman"/>
          <w:bCs/>
          <w:iCs/>
          <w:color w:val="000000"/>
          <w:sz w:val="24"/>
          <w:szCs w:val="24"/>
          <w:shd w:val="clear" w:color="auto" w:fill="FFFFFF"/>
        </w:rPr>
        <w:t>Attingendo a considerazioni già espresse nel rilevante rapporto pubblicato da FPA data insight nel maggio 2024, con il diffondersi di soluzioni di IA si libereranno le mansioni gestite dalle macchine, conseguendone la possibilità di riallocare persone in attività qualificate; inoltre, la diffusione e l’implementazione di soluzioni di IA presuppone il ricorso a persone qualificate, in grado di gestire i cambiamenti in atto</w:t>
      </w:r>
      <w:r w:rsidRPr="00725289">
        <w:rPr>
          <w:rFonts w:ascii="Times New Roman" w:hAnsi="Times New Roman" w:cs="Times New Roman"/>
          <w:bCs/>
          <w:iCs/>
          <w:color w:val="000000"/>
          <w:sz w:val="24"/>
          <w:szCs w:val="24"/>
          <w:shd w:val="clear" w:color="auto" w:fill="FFFFFF"/>
          <w:vertAlign w:val="superscript"/>
        </w:rPr>
        <w:footnoteReference w:id="148"/>
      </w:r>
      <w:r w:rsidRPr="00725289">
        <w:rPr>
          <w:rFonts w:ascii="Times New Roman" w:hAnsi="Times New Roman" w:cs="Times New Roman"/>
          <w:bCs/>
          <w:iCs/>
          <w:color w:val="000000"/>
          <w:sz w:val="24"/>
          <w:szCs w:val="24"/>
          <w:shd w:val="clear" w:color="auto" w:fill="FFFFFF"/>
        </w:rPr>
        <w:t xml:space="preserve">. </w:t>
      </w:r>
    </w:p>
    <w:p w14:paraId="7D05F1DD" w14:textId="77777777" w:rsidR="00725289" w:rsidRPr="00725289" w:rsidRDefault="00725289" w:rsidP="004B7EA5">
      <w:pPr>
        <w:spacing w:after="0" w:line="276" w:lineRule="auto"/>
        <w:jc w:val="both"/>
        <w:rPr>
          <w:rFonts w:ascii="Times New Roman" w:hAnsi="Times New Roman" w:cs="Times New Roman"/>
          <w:bCs/>
          <w:color w:val="000000"/>
          <w:sz w:val="24"/>
          <w:szCs w:val="24"/>
          <w:shd w:val="clear" w:color="auto" w:fill="FFFFFF"/>
        </w:rPr>
      </w:pPr>
      <w:r w:rsidRPr="00725289">
        <w:rPr>
          <w:rFonts w:ascii="Times New Roman" w:hAnsi="Times New Roman" w:cs="Times New Roman"/>
          <w:bCs/>
          <w:color w:val="000000"/>
          <w:sz w:val="24"/>
          <w:szCs w:val="24"/>
          <w:shd w:val="clear" w:color="auto" w:fill="FFFFFF"/>
        </w:rPr>
        <w:t>Secondo dati riportati in un dossier della Camera dei deputati, tuttavia, solo un lavoratore su dieci ritiene di possedere adeguate competenze in materia di IA, fondamentali specialmente in alcuni settori specifici quali progettazione software, elettronica, elettrotecnica e automazione dei processi, assistenza sociale e orientamento, analisi di sistema</w:t>
      </w:r>
      <w:r w:rsidRPr="00725289">
        <w:rPr>
          <w:rFonts w:ascii="Times New Roman" w:hAnsi="Times New Roman" w:cs="Times New Roman"/>
          <w:bCs/>
          <w:color w:val="000000"/>
          <w:sz w:val="24"/>
          <w:szCs w:val="24"/>
          <w:shd w:val="clear" w:color="auto" w:fill="FFFFFF"/>
          <w:vertAlign w:val="superscript"/>
        </w:rPr>
        <w:footnoteReference w:id="149"/>
      </w:r>
      <w:r w:rsidRPr="00725289">
        <w:rPr>
          <w:rFonts w:ascii="Times New Roman" w:hAnsi="Times New Roman" w:cs="Times New Roman"/>
          <w:bCs/>
          <w:color w:val="000000"/>
          <w:sz w:val="24"/>
          <w:szCs w:val="24"/>
          <w:shd w:val="clear" w:color="auto" w:fill="FFFFFF"/>
        </w:rPr>
        <w:t xml:space="preserve">. </w:t>
      </w:r>
    </w:p>
    <w:p w14:paraId="681CAE55" w14:textId="77777777" w:rsidR="00725289" w:rsidRPr="00725289" w:rsidRDefault="00725289" w:rsidP="004B7EA5">
      <w:pPr>
        <w:spacing w:after="0" w:line="276" w:lineRule="auto"/>
        <w:jc w:val="both"/>
        <w:rPr>
          <w:rFonts w:ascii="Times New Roman" w:hAnsi="Times New Roman" w:cs="Times New Roman"/>
          <w:bCs/>
          <w:color w:val="000000"/>
          <w:sz w:val="24"/>
          <w:szCs w:val="24"/>
          <w:shd w:val="clear" w:color="auto" w:fill="FFFFFF"/>
        </w:rPr>
      </w:pPr>
      <w:r w:rsidRPr="00725289">
        <w:rPr>
          <w:rFonts w:ascii="Times New Roman" w:hAnsi="Times New Roman" w:cs="Times New Roman"/>
          <w:bCs/>
          <w:color w:val="000000"/>
          <w:sz w:val="24"/>
          <w:szCs w:val="24"/>
          <w:shd w:val="clear" w:color="auto" w:fill="FFFFFF"/>
        </w:rPr>
        <w:t xml:space="preserve">Si pone, in tal senso, l’esigenza di formare adeguatamente quei lavoratori le cui mansioni verranno pressoché completamente svolte da strumenti di IA, nonché coloro che saranno selezionati in futuro, mediante un </w:t>
      </w:r>
      <w:r w:rsidRPr="00725289">
        <w:rPr>
          <w:rFonts w:ascii="Times New Roman" w:hAnsi="Times New Roman" w:cs="Times New Roman"/>
          <w:bCs/>
          <w:i/>
          <w:iCs/>
          <w:color w:val="000000"/>
          <w:sz w:val="24"/>
          <w:szCs w:val="24"/>
          <w:shd w:val="clear" w:color="auto" w:fill="FFFFFF"/>
        </w:rPr>
        <w:t>long life learning</w:t>
      </w:r>
      <w:r w:rsidRPr="00725289">
        <w:rPr>
          <w:rFonts w:ascii="Times New Roman" w:hAnsi="Times New Roman" w:cs="Times New Roman"/>
          <w:bCs/>
          <w:color w:val="000000"/>
          <w:sz w:val="24"/>
          <w:szCs w:val="24"/>
          <w:shd w:val="clear" w:color="auto" w:fill="FFFFFF"/>
        </w:rPr>
        <w:t xml:space="preserve"> che proceda per tutta la durata della carriera lavorativa, anche in considerazione del costante e crescente avanzamento delle tecnologie utilizzate</w:t>
      </w:r>
      <w:r w:rsidRPr="00725289">
        <w:rPr>
          <w:rFonts w:ascii="Times New Roman" w:hAnsi="Times New Roman" w:cs="Times New Roman"/>
          <w:bCs/>
          <w:color w:val="000000"/>
          <w:sz w:val="24"/>
          <w:szCs w:val="24"/>
          <w:shd w:val="clear" w:color="auto" w:fill="FFFFFF"/>
          <w:vertAlign w:val="superscript"/>
        </w:rPr>
        <w:footnoteReference w:id="150"/>
      </w:r>
      <w:r w:rsidRPr="00725289">
        <w:rPr>
          <w:rFonts w:ascii="Times New Roman" w:hAnsi="Times New Roman" w:cs="Times New Roman"/>
          <w:bCs/>
          <w:color w:val="000000"/>
          <w:sz w:val="24"/>
          <w:szCs w:val="24"/>
          <w:shd w:val="clear" w:color="auto" w:fill="FFFFFF"/>
        </w:rPr>
        <w:t xml:space="preserve">. </w:t>
      </w:r>
    </w:p>
    <w:p w14:paraId="2F58E73E" w14:textId="77777777" w:rsidR="00725289" w:rsidRPr="00725289" w:rsidRDefault="00725289" w:rsidP="004B7EA5">
      <w:pPr>
        <w:spacing w:after="0" w:line="276" w:lineRule="auto"/>
        <w:jc w:val="both"/>
        <w:rPr>
          <w:rFonts w:ascii="Times New Roman" w:hAnsi="Times New Roman" w:cs="Times New Roman"/>
          <w:bCs/>
          <w:color w:val="000000"/>
          <w:sz w:val="24"/>
          <w:szCs w:val="24"/>
          <w:shd w:val="clear" w:color="auto" w:fill="FFFFFF"/>
        </w:rPr>
      </w:pPr>
      <w:r w:rsidRPr="00725289">
        <w:rPr>
          <w:rFonts w:ascii="Times New Roman" w:hAnsi="Times New Roman" w:cs="Times New Roman"/>
          <w:bCs/>
          <w:color w:val="000000"/>
          <w:sz w:val="24"/>
          <w:szCs w:val="24"/>
          <w:shd w:val="clear" w:color="auto" w:fill="FFFFFF"/>
        </w:rPr>
        <w:t>La formazione, peraltro, non dev’essere limitata al solo profilo tecnologico, ma dev’essere estesa a quello etico, in quanto i meccanismi di funzionamento dell’IA devono essere resi trasparenti e conoscibili allo scopo di evitare discriminazioni.</w:t>
      </w:r>
    </w:p>
    <w:p w14:paraId="00AC12BD" w14:textId="77777777" w:rsidR="00725289" w:rsidRPr="00725289" w:rsidRDefault="00725289" w:rsidP="004B7EA5">
      <w:pPr>
        <w:spacing w:after="0" w:line="276" w:lineRule="auto"/>
        <w:jc w:val="both"/>
        <w:rPr>
          <w:rFonts w:ascii="Times New Roman" w:hAnsi="Times New Roman" w:cs="Times New Roman"/>
          <w:bCs/>
          <w:color w:val="000000"/>
          <w:sz w:val="24"/>
          <w:szCs w:val="24"/>
          <w:shd w:val="clear" w:color="auto" w:fill="FFFFFF"/>
        </w:rPr>
      </w:pPr>
      <w:r w:rsidRPr="00725289">
        <w:rPr>
          <w:rFonts w:ascii="Times New Roman" w:hAnsi="Times New Roman" w:cs="Times New Roman"/>
          <w:bCs/>
          <w:color w:val="000000"/>
          <w:sz w:val="24"/>
          <w:szCs w:val="24"/>
          <w:shd w:val="clear" w:color="auto" w:fill="FFFFFF"/>
        </w:rPr>
        <w:t>Si intende affermare che il dipendente pubblico dovrebbe essere a conoscenza dei fondamenti dei problemi analizzati dalla c.d. algoretica, volta ad assicurare trasparenza degli algoritmi, della privacy dei dati, della giustizia e dell’equità nelle decisioni algoritmiche, nonché della gestione della responsabilità per gli esiti generati da questi sistemi. Un’adeguata formazione dovrebbe essere garantita anche in tema di protezione dei dati personali, il cui trattamento avviene in misura massiva da parte dei sistemi di IA.</w:t>
      </w:r>
    </w:p>
    <w:p w14:paraId="64578EA3" w14:textId="77777777" w:rsidR="00725289" w:rsidRPr="00725289" w:rsidRDefault="00725289" w:rsidP="004B7EA5">
      <w:pPr>
        <w:spacing w:after="0" w:line="276" w:lineRule="auto"/>
        <w:jc w:val="both"/>
        <w:rPr>
          <w:rFonts w:ascii="Times New Roman" w:hAnsi="Times New Roman" w:cs="Times New Roman"/>
          <w:bCs/>
          <w:color w:val="000000"/>
          <w:sz w:val="24"/>
          <w:szCs w:val="24"/>
          <w:shd w:val="clear" w:color="auto" w:fill="FFFFFF"/>
        </w:rPr>
      </w:pPr>
      <w:r w:rsidRPr="00725289">
        <w:rPr>
          <w:rFonts w:ascii="Times New Roman" w:hAnsi="Times New Roman" w:cs="Times New Roman"/>
          <w:bCs/>
          <w:color w:val="000000"/>
          <w:sz w:val="24"/>
          <w:szCs w:val="24"/>
          <w:shd w:val="clear" w:color="auto" w:fill="FFFFFF"/>
        </w:rPr>
        <w:t>In tal senso, il dirigente dev’essere in grado di strutturare adeguatamente l’apposita Sottosezione del PIAO dedicata alla formazione del personale, da non intendere quale adempimento meramente burocratico e teso unicamente all’impiego delle risorse presenti in bilancio, ma quale strumento generatore di valore pubblico, come testimonia il processo di transizione dal “vecchio” Piano triennale per la formazione del personale allo stesso PIAO.</w:t>
      </w:r>
    </w:p>
    <w:p w14:paraId="0E07E2FA" w14:textId="77777777" w:rsidR="00725289" w:rsidRPr="00725289" w:rsidRDefault="00725289" w:rsidP="004B7EA5">
      <w:pPr>
        <w:spacing w:after="0" w:line="276" w:lineRule="auto"/>
        <w:jc w:val="both"/>
        <w:rPr>
          <w:rFonts w:ascii="Times New Roman" w:hAnsi="Times New Roman" w:cs="Times New Roman"/>
          <w:bCs/>
          <w:color w:val="000000"/>
          <w:sz w:val="24"/>
          <w:szCs w:val="24"/>
          <w:shd w:val="clear" w:color="auto" w:fill="FFFFFF"/>
        </w:rPr>
      </w:pPr>
      <w:r w:rsidRPr="00725289">
        <w:rPr>
          <w:rFonts w:ascii="Times New Roman" w:hAnsi="Times New Roman" w:cs="Times New Roman"/>
          <w:bCs/>
          <w:color w:val="000000"/>
          <w:sz w:val="24"/>
          <w:szCs w:val="24"/>
          <w:shd w:val="clear" w:color="auto" w:fill="FFFFFF"/>
        </w:rPr>
        <w:t xml:space="preserve">Inoltre, si ritiene che il dirigente, in tale ottica di creazione di </w:t>
      </w:r>
      <w:r w:rsidRPr="00725289">
        <w:rPr>
          <w:rFonts w:ascii="Times New Roman" w:hAnsi="Times New Roman" w:cs="Times New Roman"/>
          <w:bCs/>
          <w:i/>
          <w:iCs/>
          <w:color w:val="000000"/>
          <w:sz w:val="24"/>
          <w:szCs w:val="24"/>
          <w:shd w:val="clear" w:color="auto" w:fill="FFFFFF"/>
        </w:rPr>
        <w:t>outcome</w:t>
      </w:r>
      <w:r w:rsidRPr="00725289">
        <w:rPr>
          <w:rFonts w:ascii="Times New Roman" w:hAnsi="Times New Roman" w:cs="Times New Roman"/>
          <w:bCs/>
          <w:color w:val="000000"/>
          <w:sz w:val="24"/>
          <w:szCs w:val="24"/>
          <w:shd w:val="clear" w:color="auto" w:fill="FFFFFF"/>
        </w:rPr>
        <w:t xml:space="preserve"> e non solo di </w:t>
      </w:r>
      <w:r w:rsidRPr="00725289">
        <w:rPr>
          <w:rFonts w:ascii="Times New Roman" w:hAnsi="Times New Roman" w:cs="Times New Roman"/>
          <w:bCs/>
          <w:i/>
          <w:iCs/>
          <w:color w:val="000000"/>
          <w:sz w:val="24"/>
          <w:szCs w:val="24"/>
          <w:shd w:val="clear" w:color="auto" w:fill="FFFFFF"/>
        </w:rPr>
        <w:t>output</w:t>
      </w:r>
      <w:r w:rsidRPr="00725289">
        <w:rPr>
          <w:rFonts w:ascii="Times New Roman" w:hAnsi="Times New Roman" w:cs="Times New Roman"/>
          <w:bCs/>
          <w:color w:val="000000"/>
          <w:sz w:val="24"/>
          <w:szCs w:val="24"/>
          <w:shd w:val="clear" w:color="auto" w:fill="FFFFFF"/>
        </w:rPr>
        <w:t xml:space="preserve">, non possa e non debba limitarsi a organizzare le attività formative da proporre al proprio </w:t>
      </w:r>
      <w:r w:rsidRPr="00725289">
        <w:rPr>
          <w:rFonts w:ascii="Times New Roman" w:hAnsi="Times New Roman" w:cs="Times New Roman"/>
          <w:bCs/>
          <w:i/>
          <w:iCs/>
          <w:color w:val="000000"/>
          <w:sz w:val="24"/>
          <w:szCs w:val="24"/>
          <w:shd w:val="clear" w:color="auto" w:fill="FFFFFF"/>
        </w:rPr>
        <w:t>team</w:t>
      </w:r>
      <w:r w:rsidRPr="00725289">
        <w:rPr>
          <w:rFonts w:ascii="Times New Roman" w:hAnsi="Times New Roman" w:cs="Times New Roman"/>
          <w:bCs/>
          <w:color w:val="000000"/>
          <w:sz w:val="24"/>
          <w:szCs w:val="24"/>
          <w:shd w:val="clear" w:color="auto" w:fill="FFFFFF"/>
        </w:rPr>
        <w:t xml:space="preserve"> in chiave meramente nozionistica o di apprendimento passivo, ma debba puntare a sviluppare le </w:t>
      </w:r>
      <w:r w:rsidRPr="00725289">
        <w:rPr>
          <w:rFonts w:ascii="Times New Roman" w:hAnsi="Times New Roman" w:cs="Times New Roman"/>
          <w:bCs/>
          <w:i/>
          <w:iCs/>
          <w:color w:val="000000"/>
          <w:sz w:val="24"/>
          <w:szCs w:val="24"/>
          <w:shd w:val="clear" w:color="auto" w:fill="FFFFFF"/>
        </w:rPr>
        <w:t>soft skills</w:t>
      </w:r>
      <w:r w:rsidRPr="00725289">
        <w:rPr>
          <w:rFonts w:ascii="Times New Roman" w:hAnsi="Times New Roman" w:cs="Times New Roman"/>
          <w:bCs/>
          <w:color w:val="000000"/>
          <w:sz w:val="24"/>
          <w:szCs w:val="24"/>
          <w:shd w:val="clear" w:color="auto" w:fill="FFFFFF"/>
        </w:rPr>
        <w:t xml:space="preserve">, la capacità di </w:t>
      </w:r>
      <w:r w:rsidRPr="00725289">
        <w:rPr>
          <w:rFonts w:ascii="Times New Roman" w:hAnsi="Times New Roman" w:cs="Times New Roman"/>
          <w:bCs/>
          <w:i/>
          <w:iCs/>
          <w:color w:val="000000"/>
          <w:sz w:val="24"/>
          <w:szCs w:val="24"/>
          <w:shd w:val="clear" w:color="auto" w:fill="FFFFFF"/>
        </w:rPr>
        <w:t>problem solving</w:t>
      </w:r>
      <w:r w:rsidRPr="00725289">
        <w:rPr>
          <w:rFonts w:ascii="Times New Roman" w:hAnsi="Times New Roman" w:cs="Times New Roman"/>
          <w:bCs/>
          <w:color w:val="000000"/>
          <w:sz w:val="24"/>
          <w:szCs w:val="24"/>
          <w:shd w:val="clear" w:color="auto" w:fill="FFFFFF"/>
        </w:rPr>
        <w:t xml:space="preserve"> e la necessità di sviluppare uno spiccato senso critico, al fine di formare </w:t>
      </w:r>
      <w:r w:rsidRPr="00725289">
        <w:rPr>
          <w:rFonts w:ascii="Times New Roman" w:hAnsi="Times New Roman" w:cs="Times New Roman"/>
          <w:bCs/>
          <w:color w:val="000000"/>
          <w:sz w:val="24"/>
          <w:szCs w:val="24"/>
          <w:shd w:val="clear" w:color="auto" w:fill="FFFFFF"/>
        </w:rPr>
        <w:lastRenderedPageBreak/>
        <w:t>lavoratori e lavoratrici sensibili all’utilizzo responsabile e consapevole delle nuove tecnologie e dell’IA</w:t>
      </w:r>
      <w:r w:rsidRPr="00725289">
        <w:rPr>
          <w:rFonts w:ascii="Times New Roman" w:hAnsi="Times New Roman" w:cs="Times New Roman"/>
          <w:bCs/>
          <w:color w:val="000000"/>
          <w:sz w:val="24"/>
          <w:szCs w:val="24"/>
          <w:shd w:val="clear" w:color="auto" w:fill="FFFFFF"/>
          <w:vertAlign w:val="superscript"/>
        </w:rPr>
        <w:footnoteReference w:id="151"/>
      </w:r>
      <w:r w:rsidRPr="00725289">
        <w:rPr>
          <w:rFonts w:ascii="Times New Roman" w:hAnsi="Times New Roman" w:cs="Times New Roman"/>
          <w:bCs/>
          <w:color w:val="000000"/>
          <w:sz w:val="24"/>
          <w:szCs w:val="24"/>
          <w:shd w:val="clear" w:color="auto" w:fill="FFFFFF"/>
        </w:rPr>
        <w:t xml:space="preserve">. </w:t>
      </w:r>
    </w:p>
    <w:p w14:paraId="41540D2C"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Anche il fabbisogno del personale è ormai sganciato dalla vetusta prospettiva della pianta organica (concetto ormai inesistente sotto il profilo giuridico) ed è improntato alla dinamica programmatoria che pervade le Pubbliche Amministrazioni. </w:t>
      </w:r>
    </w:p>
    <w:p w14:paraId="508A1671"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La pianificazione in questione non può limitarsi a individuare nuove figure da assumere in modo da rispettare i vincoli di spesa per il personale che il legislatore ha imposto ai vari plessi amministrativi, ma deve selezionare le professionalità adeguate a fronteggiare le sfide del PNRR, di cui spesso gli Enti sono privi (si pensi alla necessità di utilizzo di piattaforme informatiche di rilevante complessità; conoscenza di una vasta normativa settoriale; abilità nella rendicontazione; ecc.), nonché personale che sia in grado di gestire le innovazioni introdotte dall’avvento dell’IA.</w:t>
      </w:r>
    </w:p>
    <w:p w14:paraId="5C8BD580"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In tal senso, il dirigente dovrà predisporre procedure selettive capaci, come anticipato, di verificare non tanto e non soltanto il patrimonio informativo/nozionistico del futuro pubblico dipendente, ma anche e soprattutto le </w:t>
      </w:r>
      <w:r w:rsidRPr="00175645">
        <w:rPr>
          <w:rFonts w:ascii="Times New Roman" w:hAnsi="Times New Roman" w:cs="Times New Roman"/>
          <w:bCs/>
          <w:i/>
          <w:iCs/>
          <w:color w:val="000000"/>
          <w:sz w:val="24"/>
          <w:szCs w:val="24"/>
          <w:shd w:val="clear" w:color="auto" w:fill="FFFFFF"/>
        </w:rPr>
        <w:t>skills</w:t>
      </w:r>
      <w:r w:rsidRPr="00175645">
        <w:rPr>
          <w:rFonts w:ascii="Times New Roman" w:hAnsi="Times New Roman" w:cs="Times New Roman"/>
          <w:bCs/>
          <w:color w:val="000000"/>
          <w:sz w:val="24"/>
          <w:szCs w:val="24"/>
          <w:shd w:val="clear" w:color="auto" w:fill="FFFFFF"/>
        </w:rPr>
        <w:t xml:space="preserve"> organizzative e la capacità di relazionarsi con l’Intelligenza Artificiale, dimostrando di essere in grado di coglierne i benefici in chiave organizzativa e di avere la capacità di gestire processi complessi in cui occorre collaborare con l’algoritmo per pervenire a un determinato </w:t>
      </w:r>
      <w:r w:rsidRPr="00175645">
        <w:rPr>
          <w:rFonts w:ascii="Times New Roman" w:hAnsi="Times New Roman" w:cs="Times New Roman"/>
          <w:bCs/>
          <w:i/>
          <w:iCs/>
          <w:color w:val="000000"/>
          <w:sz w:val="24"/>
          <w:szCs w:val="24"/>
          <w:shd w:val="clear" w:color="auto" w:fill="FFFFFF"/>
        </w:rPr>
        <w:t>output/outcome</w:t>
      </w:r>
      <w:r w:rsidRPr="00175645">
        <w:rPr>
          <w:rFonts w:ascii="Times New Roman" w:hAnsi="Times New Roman" w:cs="Times New Roman"/>
          <w:bCs/>
          <w:color w:val="000000"/>
          <w:sz w:val="24"/>
          <w:szCs w:val="24"/>
          <w:shd w:val="clear" w:color="auto" w:fill="FFFFFF"/>
        </w:rPr>
        <w:t>.</w:t>
      </w:r>
    </w:p>
    <w:p w14:paraId="7B8A7147"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Inoltre, in sede di reclutamento delle nuove leve, sarebbe opportuno testare la conoscenza, quantomeno per principi, dei problemi non solo giuridici e tecnologici, ma anche etici collegati all’utilizzo dell’IA, anche in questo caso non in chiave meramente nozionistica, ma allo scopo di sondare le modalità con le quali l’aspirante pubblico dipendente si relazionerebbe ai sistemi in questione.</w:t>
      </w:r>
    </w:p>
    <w:p w14:paraId="69AF7CFD"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Circa il lavoro agile, esso rappresenta un prezioso strumento di ripensamento intelligente delle modalità di lavoro in grado di innescare un profondo cambiamento culturale e di promuovere un processo di innovazione nell’organizzazione del lavoro e nel funzionamento delle pubbliche amministrazioni e dei servizi ai cittadini. </w:t>
      </w:r>
    </w:p>
    <w:p w14:paraId="0C5AD260"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Esso potrebbe essere significativamente agevolato dall’implementazione delle tecnologie di IA; infatti, l’espletamento delle mansioni più ripetitive da parte di quest’ultima può consentire alla componente umana di concentrarsi sui profili più qualificanti del lavoro, magari connotati dalla necessità di comparare interessi pubblici (primari e secondari) e privati con riflessi in punto di motivazione dei provvedimenti amministrativi, profili che ben potrebbero essere espletati a distanza, a meno che i connotati intrinseci dei medesimi non impongano la presenza fisica del dipendente presso l’ufficio cui è addetto.</w:t>
      </w:r>
    </w:p>
    <w:p w14:paraId="134565E6"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Come noto, infatti, l’art. 18 L. 22 maggio 2017, n. 81, ha definito il lavoro agile quale modalità di esecuzione del rapporto di lavoro subordinato stabilita mediante accordo tra le parti, anche con forme </w:t>
      </w:r>
      <w:r w:rsidRPr="00175645">
        <w:rPr>
          <w:rFonts w:ascii="Times New Roman" w:hAnsi="Times New Roman" w:cs="Times New Roman"/>
          <w:bCs/>
          <w:color w:val="000000"/>
          <w:sz w:val="24"/>
          <w:szCs w:val="24"/>
          <w:shd w:val="clear" w:color="auto" w:fill="FFFFFF"/>
        </w:rPr>
        <w:lastRenderedPageBreak/>
        <w:t>di organizzazione per fasi, cicli e obiettivi e senza precisi vincoli di orario o di luogo di lavoro, con il possibile utilizzo di strumenti tecnologici per lo svolgimento dell’attività lavorativa.</w:t>
      </w:r>
    </w:p>
    <w:p w14:paraId="6862E4CB"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Pertanto, l’idea di fondo che anima il lavoro agile si articola nella valorizzazione del concetto di flessibilità in più dimensioni: una flessibilità spaziale, concernente la possibilità di scegliere il luogo in cui erogare la prestazione lavorativa; una flessibilità oraria, strettamente correlata alla prima; una flessibilità organizzativa, in quanto il datore di lavoro può strutturare diversamente i gruppi di lavoro e decidere liberamente se e quanti lavoratori utilizzare in presenza o a distanza</w:t>
      </w:r>
      <w:r w:rsidRPr="00175645">
        <w:rPr>
          <w:rFonts w:ascii="Times New Roman" w:hAnsi="Times New Roman" w:cs="Times New Roman"/>
          <w:bCs/>
          <w:color w:val="000000"/>
          <w:sz w:val="24"/>
          <w:szCs w:val="24"/>
          <w:shd w:val="clear" w:color="auto" w:fill="FFFFFF"/>
          <w:vertAlign w:val="superscript"/>
        </w:rPr>
        <w:footnoteReference w:id="152"/>
      </w:r>
      <w:r w:rsidRPr="00175645">
        <w:rPr>
          <w:rFonts w:ascii="Times New Roman" w:hAnsi="Times New Roman" w:cs="Times New Roman"/>
          <w:bCs/>
          <w:color w:val="000000"/>
          <w:sz w:val="24"/>
          <w:szCs w:val="24"/>
          <w:shd w:val="clear" w:color="auto" w:fill="FFFFFF"/>
        </w:rPr>
        <w:t>.</w:t>
      </w:r>
    </w:p>
    <w:p w14:paraId="34F04173"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L’implementazione del lavoro agile, ovviamente resa necessaria dall’esperienza pandemica, si è però scontrata con modalità di organizzazione del lavoro gerarchico-burocratiche e con la cultura della presenza in ufficio dei dipendenti. </w:t>
      </w:r>
    </w:p>
    <w:p w14:paraId="000B9C5E" w14:textId="43D117F8"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S</w:t>
      </w:r>
      <w:r w:rsidRPr="00175645">
        <w:rPr>
          <w:rFonts w:ascii="Times New Roman" w:hAnsi="Times New Roman" w:cs="Times New Roman"/>
          <w:bCs/>
          <w:color w:val="000000"/>
          <w:sz w:val="24"/>
          <w:szCs w:val="24"/>
          <w:shd w:val="clear" w:color="auto" w:fill="FFFFFF"/>
        </w:rPr>
        <w:t>i tratta di un residuo di mentalità ottocentesca, in cui il funzionario veniva sorvegliato attraverso la parcellizzazione estrema delle attività da svolgere, rese estremamente ripetitive e meccaniche, e mediante un poderoso sistema di controlli</w:t>
      </w:r>
      <w:r w:rsidRPr="00175645">
        <w:rPr>
          <w:rFonts w:ascii="Times New Roman" w:hAnsi="Times New Roman" w:cs="Times New Roman"/>
          <w:bCs/>
          <w:color w:val="000000"/>
          <w:sz w:val="24"/>
          <w:szCs w:val="24"/>
          <w:shd w:val="clear" w:color="auto" w:fill="FFFFFF"/>
          <w:vertAlign w:val="superscript"/>
        </w:rPr>
        <w:footnoteReference w:id="153"/>
      </w:r>
      <w:r w:rsidRPr="00175645">
        <w:rPr>
          <w:rFonts w:ascii="Times New Roman" w:hAnsi="Times New Roman" w:cs="Times New Roman"/>
          <w:bCs/>
          <w:color w:val="000000"/>
          <w:sz w:val="24"/>
          <w:szCs w:val="24"/>
          <w:shd w:val="clear" w:color="auto" w:fill="FFFFFF"/>
        </w:rPr>
        <w:t>. E proprio nella logica del controllo si spiega la tradizionale predilezione per la presenza in ufficio del dipendente, predilezione che, tuttavia, non considera l’elementare assunto secondo cui è ben possibile trascorrere intere giornate presso la sede dell’amministrazione senza produrre nulla e, per converso, contribuire in modo decisivo agli obiettivi prefissati lavorando da casa o, comunque, lontano dalla sede di servizi</w:t>
      </w:r>
      <w:r>
        <w:rPr>
          <w:rFonts w:ascii="Times New Roman" w:hAnsi="Times New Roman" w:cs="Times New Roman"/>
          <w:bCs/>
          <w:color w:val="000000"/>
          <w:sz w:val="24"/>
          <w:szCs w:val="24"/>
          <w:shd w:val="clear" w:color="auto" w:fill="FFFFFF"/>
        </w:rPr>
        <w:t>o.</w:t>
      </w:r>
    </w:p>
    <w:p w14:paraId="587A6F7B"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In questa direzione, non aiutano alcuni contenuti comunicativi e divulgativi, soprattutto nella parte in cui enfatizzano (ingiustamente, in realtà) l’inefficienza e la scarsa produttività del lavoro pubblico, poiché veicolano un messaggio di sfiducia che rappresenta il presupposto culturale dell’avversione al lavoro agile</w:t>
      </w:r>
      <w:r w:rsidRPr="00175645">
        <w:rPr>
          <w:rFonts w:ascii="Times New Roman" w:hAnsi="Times New Roman" w:cs="Times New Roman"/>
          <w:bCs/>
          <w:color w:val="000000"/>
          <w:sz w:val="24"/>
          <w:szCs w:val="24"/>
          <w:shd w:val="clear" w:color="auto" w:fill="FFFFFF"/>
          <w:vertAlign w:val="superscript"/>
        </w:rPr>
        <w:footnoteReference w:id="154"/>
      </w:r>
      <w:r w:rsidRPr="00175645">
        <w:rPr>
          <w:rFonts w:ascii="Times New Roman" w:hAnsi="Times New Roman" w:cs="Times New Roman"/>
          <w:bCs/>
          <w:color w:val="000000"/>
          <w:sz w:val="24"/>
          <w:szCs w:val="24"/>
          <w:shd w:val="clear" w:color="auto" w:fill="FFFFFF"/>
        </w:rPr>
        <w:t>.</w:t>
      </w:r>
    </w:p>
    <w:p w14:paraId="6C139767"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Tale sfiducia può essere superata proprio dal dirigente, che deve agire alla stregua di </w:t>
      </w:r>
      <w:r w:rsidRPr="00175645">
        <w:rPr>
          <w:rFonts w:ascii="Times New Roman" w:hAnsi="Times New Roman" w:cs="Times New Roman"/>
          <w:bCs/>
          <w:i/>
          <w:iCs/>
          <w:color w:val="000000"/>
          <w:sz w:val="24"/>
          <w:szCs w:val="24"/>
          <w:shd w:val="clear" w:color="auto" w:fill="FFFFFF"/>
        </w:rPr>
        <w:t>change manager</w:t>
      </w:r>
      <w:r w:rsidRPr="00175645">
        <w:rPr>
          <w:rFonts w:ascii="Times New Roman" w:hAnsi="Times New Roman" w:cs="Times New Roman"/>
          <w:bCs/>
          <w:color w:val="000000"/>
          <w:sz w:val="24"/>
          <w:szCs w:val="24"/>
          <w:shd w:val="clear" w:color="auto" w:fill="FFFFFF"/>
        </w:rPr>
        <w:t>, incentivando nuove concezioni del lavoro pubblico e spendendosi attivamente per segnare il cambio di mentalità nell’organizzazione delle risorse</w:t>
      </w:r>
      <w:r w:rsidRPr="00175645">
        <w:rPr>
          <w:rFonts w:ascii="Times New Roman" w:hAnsi="Times New Roman" w:cs="Times New Roman"/>
          <w:bCs/>
          <w:color w:val="000000"/>
          <w:sz w:val="24"/>
          <w:szCs w:val="24"/>
          <w:shd w:val="clear" w:color="auto" w:fill="FFFFFF"/>
          <w:vertAlign w:val="superscript"/>
        </w:rPr>
        <w:footnoteReference w:id="155"/>
      </w:r>
      <w:r w:rsidRPr="00175645">
        <w:rPr>
          <w:rFonts w:ascii="Times New Roman" w:hAnsi="Times New Roman" w:cs="Times New Roman"/>
          <w:bCs/>
          <w:color w:val="000000"/>
          <w:sz w:val="24"/>
          <w:szCs w:val="24"/>
          <w:shd w:val="clear" w:color="auto" w:fill="FFFFFF"/>
        </w:rPr>
        <w:t>.</w:t>
      </w:r>
    </w:p>
    <w:p w14:paraId="46A42A1A"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Tuttavia, sarebbe parimenti erroneo ritenere che il lavoro agile costituisca un fine e non un mezzo per raggiungere obiettivi ulteriori, quale effettivamente è</w:t>
      </w:r>
      <w:r w:rsidRPr="00175645">
        <w:rPr>
          <w:rFonts w:ascii="Times New Roman" w:hAnsi="Times New Roman" w:cs="Times New Roman"/>
          <w:bCs/>
          <w:color w:val="000000"/>
          <w:sz w:val="24"/>
          <w:szCs w:val="24"/>
          <w:shd w:val="clear" w:color="auto" w:fill="FFFFFF"/>
          <w:vertAlign w:val="superscript"/>
        </w:rPr>
        <w:footnoteReference w:id="156"/>
      </w:r>
      <w:r w:rsidRPr="00175645">
        <w:rPr>
          <w:rFonts w:ascii="Times New Roman" w:hAnsi="Times New Roman" w:cs="Times New Roman"/>
          <w:bCs/>
          <w:color w:val="000000"/>
          <w:sz w:val="24"/>
          <w:szCs w:val="24"/>
          <w:shd w:val="clear" w:color="auto" w:fill="FFFFFF"/>
        </w:rPr>
        <w:t>. Più in dettaglio, esso costituisce lo strumento per implementare le logiche di processo e attuare la reingegnerizzazione dei processi</w:t>
      </w:r>
      <w:r w:rsidRPr="00175645">
        <w:rPr>
          <w:rFonts w:ascii="Times New Roman" w:hAnsi="Times New Roman" w:cs="Times New Roman"/>
          <w:bCs/>
          <w:color w:val="000000"/>
          <w:sz w:val="24"/>
          <w:szCs w:val="24"/>
          <w:shd w:val="clear" w:color="auto" w:fill="FFFFFF"/>
          <w:vertAlign w:val="superscript"/>
        </w:rPr>
        <w:footnoteReference w:id="157"/>
      </w:r>
      <w:r w:rsidRPr="00175645">
        <w:rPr>
          <w:rFonts w:ascii="Times New Roman" w:hAnsi="Times New Roman" w:cs="Times New Roman"/>
          <w:bCs/>
          <w:color w:val="000000"/>
          <w:sz w:val="24"/>
          <w:szCs w:val="24"/>
          <w:shd w:val="clear" w:color="auto" w:fill="FFFFFF"/>
        </w:rPr>
        <w:t>.</w:t>
      </w:r>
    </w:p>
    <w:p w14:paraId="22EFFFA3"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Come è stato evidenziato, il vero </w:t>
      </w:r>
      <w:r w:rsidRPr="00175645">
        <w:rPr>
          <w:rFonts w:ascii="Times New Roman" w:hAnsi="Times New Roman" w:cs="Times New Roman"/>
          <w:bCs/>
          <w:i/>
          <w:iCs/>
          <w:color w:val="000000"/>
          <w:sz w:val="24"/>
          <w:szCs w:val="24"/>
          <w:shd w:val="clear" w:color="auto" w:fill="FFFFFF"/>
        </w:rPr>
        <w:t>agile working</w:t>
      </w:r>
      <w:r w:rsidRPr="00175645">
        <w:rPr>
          <w:rFonts w:ascii="Times New Roman" w:hAnsi="Times New Roman" w:cs="Times New Roman"/>
          <w:bCs/>
          <w:color w:val="000000"/>
          <w:sz w:val="24"/>
          <w:szCs w:val="24"/>
          <w:shd w:val="clear" w:color="auto" w:fill="FFFFFF"/>
        </w:rPr>
        <w:t xml:space="preserve"> è possibile solo all’interno di </w:t>
      </w:r>
      <w:r w:rsidRPr="00175645">
        <w:rPr>
          <w:rFonts w:ascii="Times New Roman" w:hAnsi="Times New Roman" w:cs="Times New Roman"/>
          <w:bCs/>
          <w:i/>
          <w:iCs/>
          <w:color w:val="000000"/>
          <w:sz w:val="24"/>
          <w:szCs w:val="24"/>
          <w:shd w:val="clear" w:color="auto" w:fill="FFFFFF"/>
        </w:rPr>
        <w:t>agile organizations</w:t>
      </w:r>
      <w:r w:rsidRPr="00175645">
        <w:rPr>
          <w:rFonts w:ascii="Times New Roman" w:hAnsi="Times New Roman" w:cs="Times New Roman"/>
          <w:bCs/>
          <w:color w:val="000000"/>
          <w:sz w:val="24"/>
          <w:szCs w:val="24"/>
          <w:shd w:val="clear" w:color="auto" w:fill="FFFFFF"/>
        </w:rPr>
        <w:t>, in grado di adattarsi rapidamente ai cambiamenti esterni attraverso nuovi modelli organizzativi, caratterizzati da decentramento delle responsabilità, valorizzazione dei ruoli di integrazione, sviluppo delle relazioni orizzontali e delle logiche di lavoro in team, digitalizzazione dei servizi, direzione per obiettivi, nonché attraverso una cultura organizzativa orientata alla condivisione dei valori, alla promozione del senso di appartenenza, alla propensione al rischio e all’innovazione attraverso l’assunzione di responsabilità quale opportunità</w:t>
      </w:r>
      <w:r w:rsidRPr="00175645">
        <w:rPr>
          <w:rFonts w:ascii="Times New Roman" w:hAnsi="Times New Roman" w:cs="Times New Roman"/>
          <w:bCs/>
          <w:color w:val="000000"/>
          <w:sz w:val="24"/>
          <w:szCs w:val="24"/>
          <w:shd w:val="clear" w:color="auto" w:fill="FFFFFF"/>
          <w:vertAlign w:val="superscript"/>
        </w:rPr>
        <w:footnoteReference w:id="158"/>
      </w:r>
      <w:r w:rsidRPr="00175645">
        <w:rPr>
          <w:rFonts w:ascii="Times New Roman" w:hAnsi="Times New Roman" w:cs="Times New Roman"/>
          <w:bCs/>
          <w:color w:val="000000"/>
          <w:sz w:val="24"/>
          <w:szCs w:val="24"/>
          <w:shd w:val="clear" w:color="auto" w:fill="FFFFFF"/>
        </w:rPr>
        <w:t>.</w:t>
      </w:r>
    </w:p>
    <w:p w14:paraId="6C2EE209" w14:textId="4A45C5FD"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Ancora una volta, emerge il ruolo della fiducia: i dipendenti, se soddisfatti dall’esperienza del lavoro agile in quanto maggiormente in grado di conciliare i tempi vita-lavoro, saranno maggiormente </w:t>
      </w:r>
      <w:r w:rsidRPr="00175645">
        <w:rPr>
          <w:rFonts w:ascii="Times New Roman" w:hAnsi="Times New Roman" w:cs="Times New Roman"/>
          <w:bCs/>
          <w:color w:val="000000"/>
          <w:sz w:val="24"/>
          <w:szCs w:val="24"/>
          <w:shd w:val="clear" w:color="auto" w:fill="FFFFFF"/>
        </w:rPr>
        <w:lastRenderedPageBreak/>
        <w:t>motivati, generando potenzialmente migliori performance individuali ed incrementando la performance organizzativa</w:t>
      </w:r>
      <w:r w:rsidRPr="00175645">
        <w:rPr>
          <w:rFonts w:ascii="Times New Roman" w:hAnsi="Times New Roman" w:cs="Times New Roman"/>
          <w:bCs/>
          <w:color w:val="000000"/>
          <w:sz w:val="24"/>
          <w:szCs w:val="24"/>
          <w:shd w:val="clear" w:color="auto" w:fill="FFFFFF"/>
          <w:vertAlign w:val="superscript"/>
        </w:rPr>
        <w:footnoteReference w:id="159"/>
      </w:r>
      <w:r w:rsidRPr="00175645">
        <w:rPr>
          <w:rFonts w:ascii="Times New Roman" w:hAnsi="Times New Roman" w:cs="Times New Roman"/>
          <w:bCs/>
          <w:color w:val="000000"/>
          <w:sz w:val="24"/>
          <w:szCs w:val="24"/>
          <w:shd w:val="clear" w:color="auto" w:fill="FFFFFF"/>
        </w:rPr>
        <w:t xml:space="preserve">. </w:t>
      </w:r>
    </w:p>
    <w:p w14:paraId="5DA25A98"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 xml:space="preserve">Ebbene, la logica di processo contribuisce a promuovere una nuova visione dell’organizzazione del lavoro volta a stimolare l’autonomia, la responsabilità e la motivazione dei lavoratori, in un’ottica di incremento della produttività e del benessere organizzativo, e consolida le competenze manageriali nell’organizzazione del lavoro per obiettivi svolto dai collaboratori e nella concomitante valutazione </w:t>
      </w:r>
      <w:r w:rsidRPr="00175645">
        <w:rPr>
          <w:rFonts w:ascii="Times New Roman" w:hAnsi="Times New Roman" w:cs="Times New Roman"/>
          <w:bCs/>
          <w:i/>
          <w:color w:val="000000"/>
          <w:sz w:val="24"/>
          <w:szCs w:val="24"/>
          <w:shd w:val="clear" w:color="auto" w:fill="FFFFFF"/>
        </w:rPr>
        <w:t>step by step</w:t>
      </w:r>
      <w:r w:rsidRPr="00175645">
        <w:rPr>
          <w:rFonts w:ascii="Times New Roman" w:hAnsi="Times New Roman" w:cs="Times New Roman"/>
          <w:bCs/>
          <w:color w:val="000000"/>
          <w:sz w:val="24"/>
          <w:szCs w:val="24"/>
          <w:shd w:val="clear" w:color="auto" w:fill="FFFFFF"/>
        </w:rPr>
        <w:t xml:space="preserve"> di tali obiettivi. </w:t>
      </w:r>
    </w:p>
    <w:p w14:paraId="387A65A4" w14:textId="77777777" w:rsidR="00175645" w:rsidRPr="00175645" w:rsidRDefault="00175645" w:rsidP="004B7EA5">
      <w:pPr>
        <w:spacing w:after="0" w:line="276" w:lineRule="auto"/>
        <w:jc w:val="both"/>
        <w:rPr>
          <w:rFonts w:ascii="Times New Roman" w:hAnsi="Times New Roman" w:cs="Times New Roman"/>
          <w:bCs/>
          <w:color w:val="000000"/>
          <w:sz w:val="24"/>
          <w:szCs w:val="24"/>
          <w:shd w:val="clear" w:color="auto" w:fill="FFFFFF"/>
        </w:rPr>
      </w:pPr>
      <w:r w:rsidRPr="00175645">
        <w:rPr>
          <w:rFonts w:ascii="Times New Roman" w:hAnsi="Times New Roman" w:cs="Times New Roman"/>
          <w:bCs/>
          <w:color w:val="000000"/>
          <w:sz w:val="24"/>
          <w:szCs w:val="24"/>
          <w:shd w:val="clear" w:color="auto" w:fill="FFFFFF"/>
        </w:rPr>
        <w:t>In questo contesto, determinante è la figura del dirigente, in qualità di promotore dell’innovazione dei sistemi organizzativi</w:t>
      </w:r>
      <w:r w:rsidRPr="00175645">
        <w:rPr>
          <w:rFonts w:ascii="Times New Roman" w:hAnsi="Times New Roman" w:cs="Times New Roman"/>
          <w:bCs/>
          <w:color w:val="000000"/>
          <w:sz w:val="24"/>
          <w:szCs w:val="24"/>
          <w:shd w:val="clear" w:color="auto" w:fill="FFFFFF"/>
          <w:vertAlign w:val="superscript"/>
        </w:rPr>
        <w:footnoteReference w:id="160"/>
      </w:r>
      <w:r w:rsidRPr="00175645">
        <w:rPr>
          <w:rFonts w:ascii="Times New Roman" w:hAnsi="Times New Roman" w:cs="Times New Roman"/>
          <w:bCs/>
          <w:color w:val="000000"/>
          <w:sz w:val="24"/>
          <w:szCs w:val="24"/>
          <w:shd w:val="clear" w:color="auto" w:fill="FFFFFF"/>
        </w:rPr>
        <w:t>. In chiave relazionale, è richiesto un importante cambiamento di stile manageriale e di leadership, caratterizzato dalla capacità di lavorare e far lavorare gli altri per obiettivi, di improntare le relazioni sull’accrescimento della fiducia reciproca, spostando l’attenzione dal controllo alla responsabilità per i risultati.</w:t>
      </w:r>
    </w:p>
    <w:p w14:paraId="508D34FC" w14:textId="2E7ACC02" w:rsidR="00777007" w:rsidRPr="003139E4" w:rsidRDefault="00777007" w:rsidP="004B7EA5">
      <w:pPr>
        <w:spacing w:after="0" w:line="276" w:lineRule="auto"/>
        <w:jc w:val="both"/>
        <w:rPr>
          <w:rFonts w:ascii="Times New Roman" w:hAnsi="Times New Roman" w:cs="Times New Roman"/>
          <w:bCs/>
          <w:color w:val="000000"/>
          <w:sz w:val="24"/>
          <w:szCs w:val="24"/>
          <w:shd w:val="clear" w:color="auto" w:fill="FFFFFF"/>
        </w:rPr>
      </w:pPr>
    </w:p>
    <w:p w14:paraId="33BFF925"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La ridefinizione degli uffici e delle dotazioni organiche deve essere valutata periodicamente e comunque a scadenza triennale, nonché, ove risulti necessario, a seguito di riordino, fusione, trasformazione o trasferimento di funzioni, adottando allo scopo gli atti previsti dal proprio ordinamento e, nel caso di variazioni alle dotazioni organiche già determinate, con l’approvazione dell’organo di vertice di ciascun Ente. La riorganizzazione in esame deve avvenire in coerenza con la programmazione triennale del fabbisogno di personale e con gli strumenti di programmazione economico-finanziaria pluriennale.</w:t>
      </w:r>
    </w:p>
    <w:p w14:paraId="66C5C9A5"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In questo contesto sistematico, le Pubbliche Amministrazioni moderne, anche a seguito della diffusione delle dottrine del management pubblico a far data dagli anni ’80 del secolo scorso, si indirizzano sempre più verso logiche di processo e non di mero procedimento</w:t>
      </w:r>
      <w:r w:rsidRPr="00D73296">
        <w:rPr>
          <w:rFonts w:ascii="Times New Roman" w:hAnsi="Times New Roman" w:cs="Times New Roman"/>
          <w:bCs/>
          <w:color w:val="000000"/>
          <w:sz w:val="24"/>
          <w:szCs w:val="24"/>
          <w:shd w:val="clear" w:color="auto" w:fill="FFFFFF"/>
          <w:vertAlign w:val="superscript"/>
        </w:rPr>
        <w:footnoteReference w:id="161"/>
      </w:r>
      <w:r w:rsidRPr="00D73296">
        <w:rPr>
          <w:rFonts w:ascii="Times New Roman" w:hAnsi="Times New Roman" w:cs="Times New Roman"/>
          <w:bCs/>
          <w:color w:val="000000"/>
          <w:sz w:val="24"/>
          <w:szCs w:val="24"/>
          <w:shd w:val="clear" w:color="auto" w:fill="FFFFFF"/>
        </w:rPr>
        <w:t>.</w:t>
      </w:r>
    </w:p>
    <w:p w14:paraId="4CD5AA8A"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Infatti, mentre il tradizionale procedimento amministrativo, di cui alla L. n. 241/1990, è prescritto da una norma ed è “preordinato per adempiere schematicamente a una serie di azioni predefinite che obbediscono alla legge”</w:t>
      </w:r>
      <w:r w:rsidRPr="00D73296">
        <w:rPr>
          <w:rFonts w:ascii="Times New Roman" w:hAnsi="Times New Roman" w:cs="Times New Roman"/>
          <w:bCs/>
          <w:color w:val="000000"/>
          <w:sz w:val="24"/>
          <w:szCs w:val="24"/>
          <w:shd w:val="clear" w:color="auto" w:fill="FFFFFF"/>
          <w:vertAlign w:val="superscript"/>
        </w:rPr>
        <w:footnoteReference w:id="162"/>
      </w:r>
      <w:r w:rsidRPr="00D73296">
        <w:rPr>
          <w:rFonts w:ascii="Times New Roman" w:hAnsi="Times New Roman" w:cs="Times New Roman"/>
          <w:bCs/>
          <w:color w:val="000000"/>
          <w:sz w:val="24"/>
          <w:szCs w:val="24"/>
          <w:shd w:val="clear" w:color="auto" w:fill="FFFFFF"/>
        </w:rPr>
        <w:t>, il processo è un concetto di derivazione economico-aziendalistica, “strumento gestionale che dà rilievo alla persona, vista nelle sue relazioni all’interno di un gruppo e in grado di far circolare le informazioni in modo fluido”</w:t>
      </w:r>
      <w:r w:rsidRPr="00D73296">
        <w:rPr>
          <w:rFonts w:ascii="Times New Roman" w:hAnsi="Times New Roman" w:cs="Times New Roman"/>
          <w:bCs/>
          <w:color w:val="000000"/>
          <w:sz w:val="24"/>
          <w:szCs w:val="24"/>
          <w:shd w:val="clear" w:color="auto" w:fill="FFFFFF"/>
          <w:vertAlign w:val="superscript"/>
        </w:rPr>
        <w:footnoteReference w:id="163"/>
      </w:r>
      <w:r w:rsidRPr="00D73296">
        <w:rPr>
          <w:rFonts w:ascii="Times New Roman" w:hAnsi="Times New Roman" w:cs="Times New Roman"/>
          <w:bCs/>
          <w:color w:val="000000"/>
          <w:sz w:val="24"/>
          <w:szCs w:val="24"/>
          <w:shd w:val="clear" w:color="auto" w:fill="FFFFFF"/>
        </w:rPr>
        <w:t xml:space="preserve">. </w:t>
      </w:r>
    </w:p>
    <w:p w14:paraId="3BFC43AE"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Il processo, dunque, configura un concetto più ampio rispetto al procedimento amministrativo e alla contigua nozione di “procedura”, la quale condivide con il procedimento l’idea della rigida predeterminazione delle azioni</w:t>
      </w:r>
      <w:r w:rsidRPr="00D73296">
        <w:rPr>
          <w:rFonts w:ascii="Times New Roman" w:hAnsi="Times New Roman" w:cs="Times New Roman"/>
          <w:bCs/>
          <w:color w:val="000000"/>
          <w:sz w:val="24"/>
          <w:szCs w:val="24"/>
          <w:shd w:val="clear" w:color="auto" w:fill="FFFFFF"/>
          <w:vertAlign w:val="superscript"/>
        </w:rPr>
        <w:footnoteReference w:id="164"/>
      </w:r>
      <w:r w:rsidRPr="00D73296">
        <w:rPr>
          <w:rFonts w:ascii="Times New Roman" w:hAnsi="Times New Roman" w:cs="Times New Roman"/>
          <w:bCs/>
          <w:color w:val="000000"/>
          <w:sz w:val="24"/>
          <w:szCs w:val="24"/>
          <w:shd w:val="clear" w:color="auto" w:fill="FFFFFF"/>
        </w:rPr>
        <w:t xml:space="preserve">. </w:t>
      </w:r>
    </w:p>
    <w:p w14:paraId="57BD31FE"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La nozione può essere ulteriormente precisata attraverso la distinzione rispetto al “progetto”: quest’ultimo è un evento produttivo unico, con data di inizio e fine, laddove il processo è un evento </w:t>
      </w:r>
      <w:r w:rsidRPr="00D73296">
        <w:rPr>
          <w:rFonts w:ascii="Times New Roman" w:hAnsi="Times New Roman" w:cs="Times New Roman"/>
          <w:bCs/>
          <w:color w:val="000000"/>
          <w:sz w:val="24"/>
          <w:szCs w:val="24"/>
          <w:shd w:val="clear" w:color="auto" w:fill="FFFFFF"/>
        </w:rPr>
        <w:lastRenderedPageBreak/>
        <w:t>ripetitivo e standardizzato, connotato da uno o più fornitori e da uno o più clienti interni alla stessa Amministrazione</w:t>
      </w:r>
      <w:r w:rsidRPr="00D73296">
        <w:rPr>
          <w:rFonts w:ascii="Times New Roman" w:hAnsi="Times New Roman" w:cs="Times New Roman"/>
          <w:bCs/>
          <w:color w:val="000000"/>
          <w:sz w:val="24"/>
          <w:szCs w:val="24"/>
          <w:shd w:val="clear" w:color="auto" w:fill="FFFFFF"/>
          <w:vertAlign w:val="superscript"/>
        </w:rPr>
        <w:footnoteReference w:id="165"/>
      </w:r>
      <w:r w:rsidRPr="00D73296">
        <w:rPr>
          <w:rFonts w:ascii="Times New Roman" w:hAnsi="Times New Roman" w:cs="Times New Roman"/>
          <w:bCs/>
          <w:color w:val="000000"/>
          <w:sz w:val="24"/>
          <w:szCs w:val="24"/>
          <w:shd w:val="clear" w:color="auto" w:fill="FFFFFF"/>
        </w:rPr>
        <w:t>.</w:t>
      </w:r>
    </w:p>
    <w:p w14:paraId="1033B791"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Attraverso il processo, infatti, si assiste all’inserimento di un </w:t>
      </w:r>
      <w:r w:rsidRPr="00D73296">
        <w:rPr>
          <w:rFonts w:ascii="Times New Roman" w:hAnsi="Times New Roman" w:cs="Times New Roman"/>
          <w:bCs/>
          <w:i/>
          <w:color w:val="000000"/>
          <w:sz w:val="24"/>
          <w:szCs w:val="24"/>
          <w:shd w:val="clear" w:color="auto" w:fill="FFFFFF"/>
        </w:rPr>
        <w:t>input</w:t>
      </w:r>
      <w:r w:rsidRPr="00D73296">
        <w:rPr>
          <w:rFonts w:ascii="Times New Roman" w:hAnsi="Times New Roman" w:cs="Times New Roman"/>
          <w:bCs/>
          <w:color w:val="000000"/>
          <w:sz w:val="24"/>
          <w:szCs w:val="24"/>
          <w:shd w:val="clear" w:color="auto" w:fill="FFFFFF"/>
        </w:rPr>
        <w:t>, ossia di un variegato materiale di immissione (politiche pubbliche, finanziamenti, stimoli esterni), all’interno di un processo di attuazione (</w:t>
      </w:r>
      <w:r w:rsidRPr="00D73296">
        <w:rPr>
          <w:rFonts w:ascii="Times New Roman" w:hAnsi="Times New Roman" w:cs="Times New Roman"/>
          <w:bCs/>
          <w:i/>
          <w:color w:val="000000"/>
          <w:sz w:val="24"/>
          <w:szCs w:val="24"/>
          <w:shd w:val="clear" w:color="auto" w:fill="FFFFFF"/>
        </w:rPr>
        <w:t>throughput</w:t>
      </w:r>
      <w:r w:rsidRPr="00D73296">
        <w:rPr>
          <w:rFonts w:ascii="Times New Roman" w:hAnsi="Times New Roman" w:cs="Times New Roman"/>
          <w:bCs/>
          <w:color w:val="000000"/>
          <w:sz w:val="24"/>
          <w:szCs w:val="24"/>
          <w:shd w:val="clear" w:color="auto" w:fill="FFFFFF"/>
        </w:rPr>
        <w:t>)</w:t>
      </w:r>
      <w:r w:rsidRPr="00D73296">
        <w:rPr>
          <w:rFonts w:ascii="Times New Roman" w:hAnsi="Times New Roman" w:cs="Times New Roman"/>
          <w:bCs/>
          <w:color w:val="000000"/>
          <w:sz w:val="24"/>
          <w:szCs w:val="24"/>
          <w:shd w:val="clear" w:color="auto" w:fill="FFFFFF"/>
          <w:vertAlign w:val="superscript"/>
        </w:rPr>
        <w:footnoteReference w:id="166"/>
      </w:r>
      <w:r w:rsidRPr="00D73296">
        <w:rPr>
          <w:rFonts w:ascii="Times New Roman" w:hAnsi="Times New Roman" w:cs="Times New Roman"/>
          <w:bCs/>
          <w:color w:val="000000"/>
          <w:sz w:val="24"/>
          <w:szCs w:val="24"/>
          <w:shd w:val="clear" w:color="auto" w:fill="FFFFFF"/>
        </w:rPr>
        <w:t>, che conduce al risultato tangibile e concreto, in termini di atti, servizi, prodotti</w:t>
      </w:r>
      <w:r w:rsidRPr="00D73296">
        <w:rPr>
          <w:rFonts w:ascii="Times New Roman" w:hAnsi="Times New Roman" w:cs="Times New Roman"/>
          <w:bCs/>
          <w:color w:val="000000"/>
          <w:sz w:val="24"/>
          <w:szCs w:val="24"/>
          <w:shd w:val="clear" w:color="auto" w:fill="FFFFFF"/>
          <w:vertAlign w:val="superscript"/>
        </w:rPr>
        <w:footnoteReference w:id="167"/>
      </w:r>
      <w:r w:rsidRPr="00D73296">
        <w:rPr>
          <w:rFonts w:ascii="Times New Roman" w:hAnsi="Times New Roman" w:cs="Times New Roman"/>
          <w:bCs/>
          <w:color w:val="000000"/>
          <w:sz w:val="24"/>
          <w:szCs w:val="24"/>
          <w:shd w:val="clear" w:color="auto" w:fill="FFFFFF"/>
        </w:rPr>
        <w:t xml:space="preserve"> (</w:t>
      </w:r>
      <w:r w:rsidRPr="00D73296">
        <w:rPr>
          <w:rFonts w:ascii="Times New Roman" w:hAnsi="Times New Roman" w:cs="Times New Roman"/>
          <w:bCs/>
          <w:i/>
          <w:iCs/>
          <w:color w:val="000000"/>
          <w:sz w:val="24"/>
          <w:szCs w:val="24"/>
          <w:shd w:val="clear" w:color="auto" w:fill="FFFFFF"/>
        </w:rPr>
        <w:t>output</w:t>
      </w:r>
      <w:r w:rsidRPr="00D73296">
        <w:rPr>
          <w:rFonts w:ascii="Times New Roman" w:hAnsi="Times New Roman" w:cs="Times New Roman"/>
          <w:bCs/>
          <w:color w:val="000000"/>
          <w:sz w:val="24"/>
          <w:szCs w:val="24"/>
          <w:shd w:val="clear" w:color="auto" w:fill="FFFFFF"/>
        </w:rPr>
        <w:t>).</w:t>
      </w:r>
    </w:p>
    <w:p w14:paraId="2B15E46F"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Proprio in virtù di tali caratteristiche, l’implementazione di una mentalità per processi incide necessariamente sulle strutture dell’organizzazione amministrativa e rende necessario un costante lavoro di sperimentazione di profili organizzativi innovativi e valutazione degli effetti delle novità introdotte in concreto. </w:t>
      </w:r>
    </w:p>
    <w:p w14:paraId="01E936FE"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Tradizionalmente, infatti, si tendeva a formalizzare rigidamente la struttura organizzativa in funzione di riduzione dell’incertezza e delle minacce provenienti dal mondo esterno</w:t>
      </w:r>
      <w:r w:rsidRPr="00D73296">
        <w:rPr>
          <w:rFonts w:ascii="Times New Roman" w:hAnsi="Times New Roman" w:cs="Times New Roman"/>
          <w:bCs/>
          <w:color w:val="000000"/>
          <w:sz w:val="24"/>
          <w:szCs w:val="24"/>
          <w:shd w:val="clear" w:color="auto" w:fill="FFFFFF"/>
          <w:vertAlign w:val="superscript"/>
        </w:rPr>
        <w:footnoteReference w:id="168"/>
      </w:r>
      <w:r w:rsidRPr="00D73296">
        <w:rPr>
          <w:rFonts w:ascii="Times New Roman" w:hAnsi="Times New Roman" w:cs="Times New Roman"/>
          <w:bCs/>
          <w:color w:val="000000"/>
          <w:sz w:val="24"/>
          <w:szCs w:val="24"/>
          <w:shd w:val="clear" w:color="auto" w:fill="FFFFFF"/>
        </w:rPr>
        <w:t xml:space="preserve">. </w:t>
      </w:r>
    </w:p>
    <w:p w14:paraId="6AEF5861"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Tuttavia, con il passare del tempo, la dottrina di settore ha preso consapevolezza dell’esistenza di strutture di potere informale affiancate all’organigramma formalizzato</w:t>
      </w:r>
      <w:r w:rsidRPr="00D73296">
        <w:rPr>
          <w:rFonts w:ascii="Times New Roman" w:hAnsi="Times New Roman" w:cs="Times New Roman"/>
          <w:bCs/>
          <w:color w:val="000000"/>
          <w:sz w:val="24"/>
          <w:szCs w:val="24"/>
          <w:shd w:val="clear" w:color="auto" w:fill="FFFFFF"/>
          <w:vertAlign w:val="superscript"/>
        </w:rPr>
        <w:footnoteReference w:id="169"/>
      </w:r>
      <w:r w:rsidRPr="00D73296">
        <w:rPr>
          <w:rFonts w:ascii="Times New Roman" w:hAnsi="Times New Roman" w:cs="Times New Roman"/>
          <w:bCs/>
          <w:color w:val="000000"/>
          <w:sz w:val="24"/>
          <w:szCs w:val="24"/>
          <w:shd w:val="clear" w:color="auto" w:fill="FFFFFF"/>
        </w:rPr>
        <w:t xml:space="preserve">, connotate da figure quali i </w:t>
      </w:r>
      <w:r w:rsidRPr="00D73296">
        <w:rPr>
          <w:rFonts w:ascii="Times New Roman" w:hAnsi="Times New Roman" w:cs="Times New Roman"/>
          <w:bCs/>
          <w:i/>
          <w:color w:val="000000"/>
          <w:sz w:val="24"/>
          <w:szCs w:val="24"/>
          <w:shd w:val="clear" w:color="auto" w:fill="FFFFFF"/>
        </w:rPr>
        <w:t>leaders</w:t>
      </w:r>
      <w:r w:rsidRPr="00D73296">
        <w:rPr>
          <w:rFonts w:ascii="Times New Roman" w:hAnsi="Times New Roman" w:cs="Times New Roman"/>
          <w:bCs/>
          <w:color w:val="000000"/>
          <w:sz w:val="24"/>
          <w:szCs w:val="24"/>
          <w:shd w:val="clear" w:color="auto" w:fill="FFFFFF"/>
        </w:rPr>
        <w:t xml:space="preserve">, i </w:t>
      </w:r>
      <w:r w:rsidRPr="00D73296">
        <w:rPr>
          <w:rFonts w:ascii="Times New Roman" w:hAnsi="Times New Roman" w:cs="Times New Roman"/>
          <w:bCs/>
          <w:i/>
          <w:color w:val="000000"/>
          <w:sz w:val="24"/>
          <w:szCs w:val="24"/>
          <w:shd w:val="clear" w:color="auto" w:fill="FFFFFF"/>
        </w:rPr>
        <w:t>gatekeepers</w:t>
      </w:r>
      <w:r w:rsidRPr="00D73296">
        <w:rPr>
          <w:rFonts w:ascii="Times New Roman" w:hAnsi="Times New Roman" w:cs="Times New Roman"/>
          <w:bCs/>
          <w:color w:val="000000"/>
          <w:sz w:val="24"/>
          <w:szCs w:val="24"/>
          <w:shd w:val="clear" w:color="auto" w:fill="FFFFFF"/>
        </w:rPr>
        <w:t xml:space="preserve"> – ossia detentori di una risorsa pregiata e strategica, usata per accrescere il potere personale – e i </w:t>
      </w:r>
      <w:r w:rsidRPr="00D73296">
        <w:rPr>
          <w:rFonts w:ascii="Times New Roman" w:hAnsi="Times New Roman" w:cs="Times New Roman"/>
          <w:bCs/>
          <w:i/>
          <w:color w:val="000000"/>
          <w:sz w:val="24"/>
          <w:szCs w:val="24"/>
          <w:shd w:val="clear" w:color="auto" w:fill="FFFFFF"/>
        </w:rPr>
        <w:t>relais</w:t>
      </w:r>
      <w:r w:rsidRPr="00D73296">
        <w:rPr>
          <w:rFonts w:ascii="Times New Roman" w:hAnsi="Times New Roman" w:cs="Times New Roman"/>
          <w:bCs/>
          <w:color w:val="000000"/>
          <w:sz w:val="24"/>
          <w:szCs w:val="24"/>
          <w:shd w:val="clear" w:color="auto" w:fill="FFFFFF"/>
        </w:rPr>
        <w:t xml:space="preserve">, coloro che sono in grado di mediare con altre organizzazioni. </w:t>
      </w:r>
    </w:p>
    <w:p w14:paraId="7B1E8496"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D’altronde, la coesistenza di ruoli informali e ruoli formalizzati all’interno dei gruppi è stata individuata anche dai sociologi generali</w:t>
      </w:r>
      <w:r w:rsidRPr="00D73296">
        <w:rPr>
          <w:rFonts w:ascii="Times New Roman" w:hAnsi="Times New Roman" w:cs="Times New Roman"/>
          <w:bCs/>
          <w:color w:val="000000"/>
          <w:sz w:val="24"/>
          <w:szCs w:val="24"/>
          <w:shd w:val="clear" w:color="auto" w:fill="FFFFFF"/>
          <w:vertAlign w:val="superscript"/>
        </w:rPr>
        <w:footnoteReference w:id="170"/>
      </w:r>
      <w:r w:rsidRPr="00D73296">
        <w:rPr>
          <w:rFonts w:ascii="Times New Roman" w:hAnsi="Times New Roman" w:cs="Times New Roman"/>
          <w:bCs/>
          <w:color w:val="000000"/>
          <w:sz w:val="24"/>
          <w:szCs w:val="24"/>
          <w:shd w:val="clear" w:color="auto" w:fill="FFFFFF"/>
        </w:rPr>
        <w:t xml:space="preserve"> e dai sociologi dell’organizzazione</w:t>
      </w:r>
      <w:r w:rsidRPr="00D73296">
        <w:rPr>
          <w:rFonts w:ascii="Times New Roman" w:hAnsi="Times New Roman" w:cs="Times New Roman"/>
          <w:bCs/>
          <w:color w:val="000000"/>
          <w:sz w:val="24"/>
          <w:szCs w:val="24"/>
          <w:shd w:val="clear" w:color="auto" w:fill="FFFFFF"/>
          <w:vertAlign w:val="superscript"/>
        </w:rPr>
        <w:footnoteReference w:id="171"/>
      </w:r>
      <w:r w:rsidRPr="00D73296">
        <w:rPr>
          <w:rFonts w:ascii="Times New Roman" w:hAnsi="Times New Roman" w:cs="Times New Roman"/>
          <w:bCs/>
          <w:color w:val="000000"/>
          <w:sz w:val="24"/>
          <w:szCs w:val="24"/>
          <w:shd w:val="clear" w:color="auto" w:fill="FFFFFF"/>
        </w:rPr>
        <w:t xml:space="preserve">. </w:t>
      </w:r>
    </w:p>
    <w:p w14:paraId="5CD16F4B"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Ebbene, in una struttura pubblica sempre più caratterizzata da “legami deboli”</w:t>
      </w:r>
      <w:r w:rsidRPr="00D73296">
        <w:rPr>
          <w:rFonts w:ascii="Times New Roman" w:hAnsi="Times New Roman" w:cs="Times New Roman"/>
          <w:bCs/>
          <w:color w:val="000000"/>
          <w:sz w:val="24"/>
          <w:szCs w:val="24"/>
          <w:shd w:val="clear" w:color="auto" w:fill="FFFFFF"/>
          <w:vertAlign w:val="superscript"/>
        </w:rPr>
        <w:footnoteReference w:id="172"/>
      </w:r>
      <w:r w:rsidRPr="00D73296">
        <w:rPr>
          <w:rFonts w:ascii="Times New Roman" w:hAnsi="Times New Roman" w:cs="Times New Roman"/>
          <w:bCs/>
          <w:color w:val="000000"/>
          <w:sz w:val="24"/>
          <w:szCs w:val="24"/>
          <w:shd w:val="clear" w:color="auto" w:fill="FFFFFF"/>
        </w:rPr>
        <w:t>, in cui i rapporti di dipendenza dati dall’autorità si interrompono o funzionano in modo intermittente, una mentalità per processi può condurre al superamento delle rigidità della burocrazia meccanica, caratterizzata da gerarchia, accentramento decisionale, mansioni molto specializzate, strutture “lunghe” e difficoltà comunicative, con tutte le consequenziali inefficienze</w:t>
      </w:r>
      <w:r w:rsidRPr="00D73296">
        <w:rPr>
          <w:rFonts w:ascii="Times New Roman" w:hAnsi="Times New Roman" w:cs="Times New Roman"/>
          <w:bCs/>
          <w:color w:val="000000"/>
          <w:sz w:val="24"/>
          <w:szCs w:val="24"/>
          <w:shd w:val="clear" w:color="auto" w:fill="FFFFFF"/>
          <w:vertAlign w:val="superscript"/>
        </w:rPr>
        <w:footnoteReference w:id="173"/>
      </w:r>
      <w:r w:rsidRPr="00D73296">
        <w:rPr>
          <w:rFonts w:ascii="Times New Roman" w:hAnsi="Times New Roman" w:cs="Times New Roman"/>
          <w:bCs/>
          <w:color w:val="000000"/>
          <w:sz w:val="24"/>
          <w:szCs w:val="24"/>
          <w:shd w:val="clear" w:color="auto" w:fill="FFFFFF"/>
        </w:rPr>
        <w:t xml:space="preserve">. </w:t>
      </w:r>
    </w:p>
    <w:p w14:paraId="69A77360"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La logica di processo, infatti, impone di adottare una </w:t>
      </w:r>
      <w:r w:rsidRPr="00D73296">
        <w:rPr>
          <w:rFonts w:ascii="Times New Roman" w:hAnsi="Times New Roman" w:cs="Times New Roman"/>
          <w:bCs/>
          <w:i/>
          <w:color w:val="000000"/>
          <w:sz w:val="24"/>
          <w:szCs w:val="24"/>
          <w:shd w:val="clear" w:color="auto" w:fill="FFFFFF"/>
        </w:rPr>
        <w:t>lean organization</w:t>
      </w:r>
      <w:r w:rsidRPr="00D73296">
        <w:rPr>
          <w:rFonts w:ascii="Times New Roman" w:hAnsi="Times New Roman" w:cs="Times New Roman"/>
          <w:bCs/>
          <w:color w:val="000000"/>
          <w:sz w:val="24"/>
          <w:szCs w:val="24"/>
          <w:shd w:val="clear" w:color="auto" w:fill="FFFFFF"/>
        </w:rPr>
        <w:t>, ossia una struttura piatta e flessibile</w:t>
      </w:r>
      <w:r w:rsidRPr="00D73296">
        <w:rPr>
          <w:rFonts w:ascii="Times New Roman" w:hAnsi="Times New Roman" w:cs="Times New Roman"/>
          <w:bCs/>
          <w:color w:val="000000"/>
          <w:sz w:val="24"/>
          <w:szCs w:val="24"/>
          <w:shd w:val="clear" w:color="auto" w:fill="FFFFFF"/>
          <w:vertAlign w:val="superscript"/>
        </w:rPr>
        <w:footnoteReference w:id="174"/>
      </w:r>
      <w:r w:rsidRPr="00D73296">
        <w:rPr>
          <w:rFonts w:ascii="Times New Roman" w:hAnsi="Times New Roman" w:cs="Times New Roman"/>
          <w:bCs/>
          <w:color w:val="000000"/>
          <w:sz w:val="24"/>
          <w:szCs w:val="24"/>
          <w:shd w:val="clear" w:color="auto" w:fill="FFFFFF"/>
        </w:rPr>
        <w:t>, in cui la catena gerarchica si riduce a un rapporto diretto tra vertice decisionale e operatori e i gruppi di lavoro sono polarizzati intorno a singoli progetti, dei quali occorre garantire la qualità, l’efficienza, l’efficacia e la competitività.</w:t>
      </w:r>
      <w:bookmarkStart w:id="8" w:name="_Toc102938911"/>
    </w:p>
    <w:bookmarkEnd w:id="8"/>
    <w:p w14:paraId="5159166A"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D’altronde, l’orientamento alle logiche di processo e al prodotto finale, piuttosto che al mero adempimento e alla logica burocratica, non è rimasto cristallizzato unicamente negli scritti teorici di management citati, ma ha ricevuto consacrazione giuridica nel CCNL 31.03.1999.</w:t>
      </w:r>
    </w:p>
    <w:p w14:paraId="61BDBBC5"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lastRenderedPageBreak/>
        <w:t xml:space="preserve">Esso, infatti, ha inteso superare la vetusta logica del “mansionario”, in virtù della quale il dipendente si limitava allo svolgimento pedissequo di attività specifiche individuate dal contratto di lavoro individuale, peraltro interpretate spesso in modo restrittivo, al fine di ricercare una flessibilità interna del lavoro pubblico. </w:t>
      </w:r>
    </w:p>
    <w:p w14:paraId="46D9578C"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In tale ottica, il CCNL citato ha introdotto quattro ampie categorie professionali, all’interno di ognuna delle quali ha definito delle declaratorie e dei profili professionali, imponendo, peraltro, che lo sviluppo della retribuzione sia correlato alle competenze professionali del lavoratore.</w:t>
      </w:r>
    </w:p>
    <w:p w14:paraId="1B006DAE" w14:textId="77777777" w:rsidR="00D73296" w:rsidRPr="00D73296" w:rsidRDefault="00D73296" w:rsidP="004B7EA5">
      <w:pPr>
        <w:spacing w:after="0" w:line="276" w:lineRule="auto"/>
        <w:jc w:val="both"/>
        <w:rPr>
          <w:rFonts w:ascii="Times New Roman" w:hAnsi="Times New Roman" w:cs="Times New Roman"/>
          <w:bCs/>
          <w:color w:val="000000"/>
          <w:sz w:val="24"/>
          <w:szCs w:val="24"/>
          <w:u w:val="single"/>
          <w:shd w:val="clear" w:color="auto" w:fill="FFFFFF"/>
        </w:rPr>
      </w:pPr>
      <w:r w:rsidRPr="00D73296">
        <w:rPr>
          <w:rFonts w:ascii="Times New Roman" w:hAnsi="Times New Roman" w:cs="Times New Roman"/>
          <w:bCs/>
          <w:color w:val="000000"/>
          <w:sz w:val="24"/>
          <w:szCs w:val="24"/>
          <w:shd w:val="clear" w:color="auto" w:fill="FFFFFF"/>
        </w:rPr>
        <w:t>Ciò implica “una forte autonomia organizzativa in tema di definizione del sistema dei ruoli professionali e descrizione del contenuto della prestazione lavorativa”</w:t>
      </w:r>
      <w:r w:rsidRPr="00D73296">
        <w:rPr>
          <w:rFonts w:ascii="Times New Roman" w:hAnsi="Times New Roman" w:cs="Times New Roman"/>
          <w:bCs/>
          <w:color w:val="000000"/>
          <w:sz w:val="24"/>
          <w:szCs w:val="24"/>
          <w:shd w:val="clear" w:color="auto" w:fill="FFFFFF"/>
          <w:vertAlign w:val="superscript"/>
        </w:rPr>
        <w:footnoteReference w:id="175"/>
      </w:r>
      <w:r w:rsidRPr="00D73296">
        <w:rPr>
          <w:rFonts w:ascii="Times New Roman" w:hAnsi="Times New Roman" w:cs="Times New Roman"/>
          <w:bCs/>
          <w:color w:val="000000"/>
          <w:sz w:val="24"/>
          <w:szCs w:val="24"/>
          <w:shd w:val="clear" w:color="auto" w:fill="FFFFFF"/>
        </w:rPr>
        <w:t xml:space="preserve"> e consente l’arricchimento professionale dei lavoratori sia in termini orizzontali, attraverso la definizione di profili che contengano all’interno un’ampia gamma di mansioni tra loro </w:t>
      </w:r>
      <w:r w:rsidRPr="00D73296">
        <w:rPr>
          <w:rFonts w:ascii="Times New Roman" w:hAnsi="Times New Roman" w:cs="Times New Roman"/>
          <w:bCs/>
          <w:i/>
          <w:color w:val="000000"/>
          <w:sz w:val="24"/>
          <w:szCs w:val="24"/>
          <w:shd w:val="clear" w:color="auto" w:fill="FFFFFF"/>
        </w:rPr>
        <w:t>equivalenti</w:t>
      </w:r>
      <w:r w:rsidRPr="00D73296">
        <w:rPr>
          <w:rFonts w:ascii="Times New Roman" w:hAnsi="Times New Roman" w:cs="Times New Roman"/>
          <w:bCs/>
          <w:color w:val="000000"/>
          <w:sz w:val="24"/>
          <w:szCs w:val="24"/>
          <w:shd w:val="clear" w:color="auto" w:fill="FFFFFF"/>
        </w:rPr>
        <w:t>, che in termini verticali, individuando percorsi di sviluppo professionale funzionali a premiare il merito.</w:t>
      </w:r>
    </w:p>
    <w:p w14:paraId="7A7C5B30"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Questa impostazione è stata autorevolmente confermata dalla giurisprudenza della Suprema Corte di Cassazione, che ha statuito la correttezza dell’esercizio del potere privatistico della P.A. nell’esercizio dello </w:t>
      </w:r>
      <w:r w:rsidRPr="00D73296">
        <w:rPr>
          <w:rFonts w:ascii="Times New Roman" w:hAnsi="Times New Roman" w:cs="Times New Roman"/>
          <w:bCs/>
          <w:i/>
          <w:iCs/>
          <w:color w:val="000000"/>
          <w:sz w:val="24"/>
          <w:szCs w:val="24"/>
          <w:shd w:val="clear" w:color="auto" w:fill="FFFFFF"/>
        </w:rPr>
        <w:t>ius variandi</w:t>
      </w:r>
      <w:r w:rsidRPr="00D73296">
        <w:rPr>
          <w:rFonts w:ascii="Times New Roman" w:hAnsi="Times New Roman" w:cs="Times New Roman"/>
          <w:bCs/>
          <w:color w:val="000000"/>
          <w:sz w:val="24"/>
          <w:szCs w:val="24"/>
          <w:shd w:val="clear" w:color="auto" w:fill="FFFFFF"/>
        </w:rPr>
        <w:t>, purché nell’ambito del profilo professionale esigibile</w:t>
      </w:r>
      <w:r w:rsidRPr="00D73296">
        <w:rPr>
          <w:rFonts w:ascii="Times New Roman" w:hAnsi="Times New Roman" w:cs="Times New Roman"/>
          <w:bCs/>
          <w:color w:val="000000"/>
          <w:sz w:val="24"/>
          <w:szCs w:val="24"/>
          <w:shd w:val="clear" w:color="auto" w:fill="FFFFFF"/>
          <w:vertAlign w:val="superscript"/>
        </w:rPr>
        <w:footnoteReference w:id="176"/>
      </w:r>
      <w:r w:rsidRPr="00D73296">
        <w:rPr>
          <w:rFonts w:ascii="Times New Roman" w:hAnsi="Times New Roman" w:cs="Times New Roman"/>
          <w:bCs/>
          <w:color w:val="000000"/>
          <w:sz w:val="24"/>
          <w:szCs w:val="24"/>
          <w:shd w:val="clear" w:color="auto" w:fill="FFFFFF"/>
        </w:rPr>
        <w:t>.</w:t>
      </w:r>
    </w:p>
    <w:p w14:paraId="0FC33C5F"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Inoltre, anche l’ARAN, nell’orientamento applicativo CFL95, ha affermato che “</w:t>
      </w:r>
      <w:r w:rsidRPr="00D73296">
        <w:rPr>
          <w:rFonts w:ascii="Times New Roman" w:hAnsi="Times New Roman" w:cs="Times New Roman"/>
          <w:bCs/>
          <w:i/>
          <w:color w:val="000000"/>
          <w:sz w:val="24"/>
          <w:szCs w:val="24"/>
          <w:shd w:val="clear" w:color="auto" w:fill="FFFFFF"/>
        </w:rPr>
        <w:t xml:space="preserve">3.3. Condizione necessaria e sufficiente affinché le mansioni possano essere considerate equivalenti è la mera previsione in tal senso da parte della contrattazione collettiva </w:t>
      </w:r>
      <w:r w:rsidRPr="00D73296">
        <w:rPr>
          <w:rFonts w:ascii="Times New Roman" w:hAnsi="Times New Roman" w:cs="Times New Roman"/>
          <w:bCs/>
          <w:color w:val="000000"/>
          <w:sz w:val="24"/>
          <w:szCs w:val="24"/>
          <w:shd w:val="clear" w:color="auto" w:fill="FFFFFF"/>
        </w:rPr>
        <w:t>(…)</w:t>
      </w:r>
      <w:r w:rsidRPr="00D73296">
        <w:rPr>
          <w:rFonts w:ascii="Times New Roman" w:hAnsi="Times New Roman" w:cs="Times New Roman"/>
          <w:bCs/>
          <w:i/>
          <w:color w:val="000000"/>
          <w:sz w:val="24"/>
          <w:szCs w:val="24"/>
          <w:shd w:val="clear" w:color="auto" w:fill="FFFFFF"/>
        </w:rPr>
        <w:t xml:space="preserve"> 3.4. Tale nozione di equivalenza in senso formale, mutuata dalle diverse norme contrattuali del pubblico impiego, comporta che tutte le mansioni ascrivibili a ciascuna categoria, in quanto professionalmente equivalenti, sono esigibili e l’assegnazione di mansioni equivalenti costituisce atto di esercizio del potere determinativo dell’oggetto del contratto di lavoro</w:t>
      </w:r>
      <w:r w:rsidRPr="00D73296">
        <w:rPr>
          <w:rFonts w:ascii="Times New Roman" w:hAnsi="Times New Roman" w:cs="Times New Roman"/>
          <w:bCs/>
          <w:color w:val="000000"/>
          <w:sz w:val="24"/>
          <w:szCs w:val="24"/>
          <w:shd w:val="clear" w:color="auto" w:fill="FFFFFF"/>
        </w:rPr>
        <w:t>”</w:t>
      </w:r>
      <w:r w:rsidRPr="00D73296">
        <w:rPr>
          <w:rFonts w:ascii="Times New Roman" w:hAnsi="Times New Roman" w:cs="Times New Roman"/>
          <w:bCs/>
          <w:color w:val="000000"/>
          <w:sz w:val="24"/>
          <w:szCs w:val="24"/>
          <w:shd w:val="clear" w:color="auto" w:fill="FFFFFF"/>
          <w:vertAlign w:val="superscript"/>
        </w:rPr>
        <w:footnoteReference w:id="177"/>
      </w:r>
      <w:r w:rsidRPr="00D73296">
        <w:rPr>
          <w:rFonts w:ascii="Times New Roman" w:hAnsi="Times New Roman" w:cs="Times New Roman"/>
          <w:bCs/>
          <w:color w:val="000000"/>
          <w:sz w:val="24"/>
          <w:szCs w:val="24"/>
          <w:shd w:val="clear" w:color="auto" w:fill="FFFFFF"/>
        </w:rPr>
        <w:t>.</w:t>
      </w:r>
    </w:p>
    <w:p w14:paraId="4FEFCCC5"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Successivamente, l’evoluzione normativa, in sinergia con le disposizioni del CCNL, ha delineato un sistema organizzativo sempre più orientato al risultato, introducendo riconoscimenti e gratificazioni economiche precedute da valutazioni meritocratiche operate, tra l’altro, mediante il paradigma della flessibilità operativa e dell’orientamento alla soddisfazione dell’utenza ed affidate ad organi terzi (nuclei/organismi indipendenti di valutazione) nell’ambito del sistema di valutazione della </w:t>
      </w:r>
      <w:r w:rsidRPr="00D73296">
        <w:rPr>
          <w:rFonts w:ascii="Times New Roman" w:hAnsi="Times New Roman" w:cs="Times New Roman"/>
          <w:bCs/>
          <w:iCs/>
          <w:color w:val="000000"/>
          <w:sz w:val="24"/>
          <w:szCs w:val="24"/>
          <w:shd w:val="clear" w:color="auto" w:fill="FFFFFF"/>
        </w:rPr>
        <w:t>performance</w:t>
      </w:r>
      <w:r w:rsidRPr="00D73296">
        <w:rPr>
          <w:rFonts w:ascii="Times New Roman" w:hAnsi="Times New Roman" w:cs="Times New Roman"/>
          <w:bCs/>
          <w:color w:val="000000"/>
          <w:sz w:val="24"/>
          <w:szCs w:val="24"/>
          <w:shd w:val="clear" w:color="auto" w:fill="FFFFFF"/>
        </w:rPr>
        <w:t xml:space="preserve">, introdotto dal D. Lgs. n. 150/2009 e implementato dal D. Lgs. n. 74/2017. </w:t>
      </w:r>
    </w:p>
    <w:p w14:paraId="3D8F8D9D"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Tra l’altro, anche gli artt. 14 e 17 funzioni centrali 2019-2021, nonché gli artt. 14 e 15 CCNL funzioni locali 2019-2021, ancorano le progressioni all’interno dell’area e tra le aree alla pregressa valutazione positiva della performance, attribuendo rilevanza, altresì, all’esperienza maturata e alle competenze acquisite a seguito di percorsi formativi.</w:t>
      </w:r>
    </w:p>
    <w:p w14:paraId="47389707"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Questo impone il transito da strutture burocratiche e rigide a logiche di processo, non più rinviabili in una Pubblica Amministrazione che voglia definirsi al passo con i tempi.</w:t>
      </w:r>
    </w:p>
    <w:p w14:paraId="6106BCF6"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L’organizzazione moderna, infatti, richiede non soltanto una </w:t>
      </w:r>
      <w:r w:rsidRPr="00D73296">
        <w:rPr>
          <w:rFonts w:ascii="Times New Roman" w:hAnsi="Times New Roman" w:cs="Times New Roman"/>
          <w:bCs/>
          <w:i/>
          <w:color w:val="000000"/>
          <w:sz w:val="24"/>
          <w:szCs w:val="24"/>
          <w:shd w:val="clear" w:color="auto" w:fill="FFFFFF"/>
        </w:rPr>
        <w:t>lean production</w:t>
      </w:r>
      <w:r w:rsidRPr="00D73296">
        <w:rPr>
          <w:rFonts w:ascii="Times New Roman" w:hAnsi="Times New Roman" w:cs="Times New Roman"/>
          <w:bCs/>
          <w:color w:val="000000"/>
          <w:sz w:val="24"/>
          <w:szCs w:val="24"/>
          <w:shd w:val="clear" w:color="auto" w:fill="FFFFFF"/>
        </w:rPr>
        <w:t>, ma anche flessibilità e integrazione organizzativa, connotata dalla “focalizzazione sulla minimizzazione dello spreco delle risorse produttive di fatica umana”</w:t>
      </w:r>
      <w:r w:rsidRPr="00D73296">
        <w:rPr>
          <w:rFonts w:ascii="Times New Roman" w:hAnsi="Times New Roman" w:cs="Times New Roman"/>
          <w:bCs/>
          <w:color w:val="000000"/>
          <w:sz w:val="24"/>
          <w:szCs w:val="24"/>
          <w:shd w:val="clear" w:color="auto" w:fill="FFFFFF"/>
          <w:vertAlign w:val="superscript"/>
        </w:rPr>
        <w:footnoteReference w:id="178"/>
      </w:r>
      <w:r w:rsidRPr="00D73296">
        <w:rPr>
          <w:rFonts w:ascii="Times New Roman" w:hAnsi="Times New Roman" w:cs="Times New Roman"/>
          <w:bCs/>
          <w:color w:val="000000"/>
          <w:sz w:val="24"/>
          <w:szCs w:val="24"/>
          <w:shd w:val="clear" w:color="auto" w:fill="FFFFFF"/>
        </w:rPr>
        <w:t>, spreco che, invece, rischia di essere favorito da approcci rigidi e poco tesi alla condivisione dell’obiettivo finale.</w:t>
      </w:r>
      <w:bookmarkStart w:id="9" w:name="_Toc102938912"/>
    </w:p>
    <w:bookmarkEnd w:id="9"/>
    <w:p w14:paraId="14D4FAF0" w14:textId="77777777"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lastRenderedPageBreak/>
        <w:t xml:space="preserve">Le conseguenze pratiche di tale impostazione teorica devono essere contestualizzate in un assetto magmatico e complesso quale le moderne Amministrazioni, istituzionalmente chiamate a potenziare le proprie capacità progettuali a seguito delle innovazioni del PNRR e all’organizzazione efficiente delle risorse, umane e strumentali, già in forza all’Amministrazione o di prossima acquisizione. </w:t>
      </w:r>
    </w:p>
    <w:p w14:paraId="49AB8940" w14:textId="32A55ACF" w:rsidR="00D73296" w:rsidRPr="00D73296" w:rsidRDefault="00D73296" w:rsidP="004B7EA5">
      <w:pPr>
        <w:spacing w:after="0" w:line="276" w:lineRule="auto"/>
        <w:jc w:val="both"/>
        <w:rPr>
          <w:rFonts w:ascii="Times New Roman" w:hAnsi="Times New Roman" w:cs="Times New Roman"/>
          <w:b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Come già detto, il dirigente deve rappresentare un “facilitatore di processi”, esercitando la propria </w:t>
      </w:r>
      <w:r w:rsidRPr="00D73296">
        <w:rPr>
          <w:rFonts w:ascii="Times New Roman" w:hAnsi="Times New Roman" w:cs="Times New Roman"/>
          <w:bCs/>
          <w:iCs/>
          <w:color w:val="000000"/>
          <w:sz w:val="24"/>
          <w:szCs w:val="24"/>
          <w:shd w:val="clear" w:color="auto" w:fill="FFFFFF"/>
        </w:rPr>
        <w:t>leadership</w:t>
      </w:r>
      <w:r w:rsidRPr="00D73296">
        <w:rPr>
          <w:rFonts w:ascii="Times New Roman" w:hAnsi="Times New Roman" w:cs="Times New Roman"/>
          <w:bCs/>
          <w:color w:val="000000"/>
          <w:sz w:val="24"/>
          <w:szCs w:val="24"/>
          <w:shd w:val="clear" w:color="auto" w:fill="FFFFFF"/>
        </w:rPr>
        <w:t xml:space="preserve"> allo scopo di motivare e aggregare gli attori dell’organizzazione comunale intorno ai processi che caratterizzano la vita quotidiana dell’Ente.</w:t>
      </w:r>
    </w:p>
    <w:p w14:paraId="54BD41B4" w14:textId="77777777" w:rsidR="00D73296" w:rsidRPr="00D73296" w:rsidRDefault="00D73296" w:rsidP="004B7EA5">
      <w:pPr>
        <w:spacing w:after="0" w:line="276" w:lineRule="auto"/>
        <w:jc w:val="both"/>
        <w:rPr>
          <w:rFonts w:ascii="Times New Roman" w:hAnsi="Times New Roman" w:cs="Times New Roman"/>
          <w:bCs/>
          <w:iCs/>
          <w:color w:val="000000"/>
          <w:sz w:val="24"/>
          <w:szCs w:val="24"/>
          <w:shd w:val="clear" w:color="auto" w:fill="FFFFFF"/>
        </w:rPr>
      </w:pPr>
      <w:proofErr w:type="gramStart"/>
      <w:r w:rsidRPr="00D73296">
        <w:rPr>
          <w:rFonts w:ascii="Times New Roman" w:hAnsi="Times New Roman" w:cs="Times New Roman"/>
          <w:bCs/>
          <w:iCs/>
          <w:color w:val="000000"/>
          <w:sz w:val="24"/>
          <w:szCs w:val="24"/>
          <w:shd w:val="clear" w:color="auto" w:fill="FFFFFF"/>
        </w:rPr>
        <w:t>E’</w:t>
      </w:r>
      <w:proofErr w:type="gramEnd"/>
      <w:r w:rsidRPr="00D73296">
        <w:rPr>
          <w:rFonts w:ascii="Times New Roman" w:hAnsi="Times New Roman" w:cs="Times New Roman"/>
          <w:bCs/>
          <w:iCs/>
          <w:color w:val="000000"/>
          <w:sz w:val="24"/>
          <w:szCs w:val="24"/>
          <w:shd w:val="clear" w:color="auto" w:fill="FFFFFF"/>
        </w:rPr>
        <w:t xml:space="preserve"> necessario che si attui nella pratica quotidiana quella che la dottrina del management pubblico definisce </w:t>
      </w:r>
      <w:r w:rsidRPr="00D73296">
        <w:rPr>
          <w:rFonts w:ascii="Times New Roman" w:hAnsi="Times New Roman" w:cs="Times New Roman"/>
          <w:bCs/>
          <w:i/>
          <w:iCs/>
          <w:color w:val="000000"/>
          <w:sz w:val="24"/>
          <w:szCs w:val="24"/>
          <w:shd w:val="clear" w:color="auto" w:fill="FFFFFF"/>
        </w:rPr>
        <w:t>learning organization</w:t>
      </w:r>
      <w:r w:rsidRPr="00D73296">
        <w:rPr>
          <w:rFonts w:ascii="Times New Roman" w:hAnsi="Times New Roman" w:cs="Times New Roman"/>
          <w:bCs/>
          <w:iCs/>
          <w:color w:val="000000"/>
          <w:sz w:val="24"/>
          <w:szCs w:val="24"/>
          <w:shd w:val="clear" w:color="auto" w:fill="FFFFFF"/>
        </w:rPr>
        <w:t xml:space="preserve">, ossia la struttura che “organizza il processo di acquisizione e sviluppo delle competenze, </w:t>
      </w:r>
      <w:r w:rsidRPr="00D73296">
        <w:rPr>
          <w:rFonts w:ascii="Times New Roman" w:hAnsi="Times New Roman" w:cs="Times New Roman"/>
          <w:bCs/>
          <w:i/>
          <w:iCs/>
          <w:color w:val="000000"/>
          <w:sz w:val="24"/>
          <w:szCs w:val="24"/>
          <w:shd w:val="clear" w:color="auto" w:fill="FFFFFF"/>
        </w:rPr>
        <w:t>facendolo passare da fatto individuale a fatto collettivo (sistematico) spontaneamente organizzato</w:t>
      </w:r>
      <w:r w:rsidRPr="00D73296">
        <w:rPr>
          <w:rFonts w:ascii="Times New Roman" w:hAnsi="Times New Roman" w:cs="Times New Roman"/>
          <w:bCs/>
          <w:iCs/>
          <w:color w:val="000000"/>
          <w:sz w:val="24"/>
          <w:szCs w:val="24"/>
          <w:shd w:val="clear" w:color="auto" w:fill="FFFFFF"/>
        </w:rPr>
        <w:t>”</w:t>
      </w:r>
      <w:r w:rsidRPr="00D73296">
        <w:rPr>
          <w:rFonts w:ascii="Times New Roman" w:hAnsi="Times New Roman" w:cs="Times New Roman"/>
          <w:bCs/>
          <w:iCs/>
          <w:color w:val="000000"/>
          <w:sz w:val="24"/>
          <w:szCs w:val="24"/>
          <w:shd w:val="clear" w:color="auto" w:fill="FFFFFF"/>
          <w:vertAlign w:val="superscript"/>
        </w:rPr>
        <w:footnoteReference w:id="179"/>
      </w:r>
      <w:r w:rsidRPr="00D73296">
        <w:rPr>
          <w:rFonts w:ascii="Times New Roman" w:hAnsi="Times New Roman" w:cs="Times New Roman"/>
          <w:bCs/>
          <w:iCs/>
          <w:color w:val="000000"/>
          <w:sz w:val="24"/>
          <w:szCs w:val="24"/>
          <w:shd w:val="clear" w:color="auto" w:fill="FFFFFF"/>
        </w:rPr>
        <w:t xml:space="preserve"> (enfasi aggiunta). </w:t>
      </w:r>
    </w:p>
    <w:p w14:paraId="7B8E6DFA" w14:textId="77777777" w:rsidR="00D73296" w:rsidRPr="00D73296" w:rsidRDefault="00D73296" w:rsidP="004B7EA5">
      <w:pPr>
        <w:spacing w:after="0" w:line="276" w:lineRule="auto"/>
        <w:jc w:val="both"/>
        <w:rPr>
          <w:rFonts w:ascii="Times New Roman" w:hAnsi="Times New Roman" w:cs="Times New Roman"/>
          <w:bCs/>
          <w:iCs/>
          <w:color w:val="000000"/>
          <w:sz w:val="24"/>
          <w:szCs w:val="24"/>
          <w:shd w:val="clear" w:color="auto" w:fill="FFFFFF"/>
        </w:rPr>
      </w:pPr>
      <w:r w:rsidRPr="00D73296">
        <w:rPr>
          <w:rFonts w:ascii="Times New Roman" w:hAnsi="Times New Roman" w:cs="Times New Roman"/>
          <w:bCs/>
          <w:iCs/>
          <w:color w:val="000000"/>
          <w:sz w:val="24"/>
          <w:szCs w:val="24"/>
          <w:shd w:val="clear" w:color="auto" w:fill="FFFFFF"/>
        </w:rPr>
        <w:t xml:space="preserve">Il dirigente, infatti, riveste un ruolo strategico nel favorire il c.d. </w:t>
      </w:r>
      <w:r w:rsidRPr="00D73296">
        <w:rPr>
          <w:rFonts w:ascii="Times New Roman" w:hAnsi="Times New Roman" w:cs="Times New Roman"/>
          <w:bCs/>
          <w:i/>
          <w:iCs/>
          <w:color w:val="000000"/>
          <w:sz w:val="24"/>
          <w:szCs w:val="24"/>
          <w:shd w:val="clear" w:color="auto" w:fill="FFFFFF"/>
        </w:rPr>
        <w:t>apprendimento organizzativo</w:t>
      </w:r>
      <w:r w:rsidRPr="00D73296">
        <w:rPr>
          <w:rFonts w:ascii="Times New Roman" w:hAnsi="Times New Roman" w:cs="Times New Roman"/>
          <w:bCs/>
          <w:iCs/>
          <w:color w:val="000000"/>
          <w:sz w:val="24"/>
          <w:szCs w:val="24"/>
          <w:shd w:val="clear" w:color="auto" w:fill="FFFFFF"/>
        </w:rPr>
        <w:t xml:space="preserve">, nel quale le conoscenze non sono gelosamente e rigidamente custodite dai rispettivi detentori, ma circolano in una logica di collaborazione, dialogo e conseguente </w:t>
      </w:r>
      <w:r w:rsidRPr="00D73296">
        <w:rPr>
          <w:rFonts w:ascii="Times New Roman" w:hAnsi="Times New Roman" w:cs="Times New Roman"/>
          <w:bCs/>
          <w:i/>
          <w:iCs/>
          <w:color w:val="000000"/>
          <w:sz w:val="24"/>
          <w:szCs w:val="24"/>
          <w:shd w:val="clear" w:color="auto" w:fill="FFFFFF"/>
        </w:rPr>
        <w:t>benessere organizzativo</w:t>
      </w:r>
      <w:r w:rsidRPr="00D73296">
        <w:rPr>
          <w:rFonts w:ascii="Times New Roman" w:hAnsi="Times New Roman" w:cs="Times New Roman"/>
          <w:bCs/>
          <w:iCs/>
          <w:color w:val="000000"/>
          <w:sz w:val="24"/>
          <w:szCs w:val="24"/>
          <w:shd w:val="clear" w:color="auto" w:fill="FFFFFF"/>
        </w:rPr>
        <w:t>, concetto che, lungi dall’essere meramente teorico, è stato reso prescrittivo dall’art. 7, c. 1, D. Lgs. n. 165/2001 e ricondotto alla responsabilità del dirigente pubblico</w:t>
      </w:r>
      <w:r w:rsidRPr="00D73296">
        <w:rPr>
          <w:rFonts w:ascii="Times New Roman" w:hAnsi="Times New Roman" w:cs="Times New Roman"/>
          <w:bCs/>
          <w:iCs/>
          <w:color w:val="000000"/>
          <w:sz w:val="24"/>
          <w:szCs w:val="24"/>
          <w:shd w:val="clear" w:color="auto" w:fill="FFFFFF"/>
          <w:vertAlign w:val="superscript"/>
        </w:rPr>
        <w:footnoteReference w:id="180"/>
      </w:r>
      <w:r w:rsidRPr="00D73296">
        <w:rPr>
          <w:rFonts w:ascii="Times New Roman" w:hAnsi="Times New Roman" w:cs="Times New Roman"/>
          <w:bCs/>
          <w:iCs/>
          <w:color w:val="000000"/>
          <w:sz w:val="24"/>
          <w:szCs w:val="24"/>
          <w:shd w:val="clear" w:color="auto" w:fill="FFFFFF"/>
        </w:rPr>
        <w:t>.</w:t>
      </w:r>
    </w:p>
    <w:p w14:paraId="221E1CFD" w14:textId="77777777" w:rsidR="00D73296" w:rsidRPr="00D73296" w:rsidRDefault="00D73296" w:rsidP="004B7EA5">
      <w:pPr>
        <w:spacing w:after="0" w:line="276" w:lineRule="auto"/>
        <w:jc w:val="both"/>
        <w:rPr>
          <w:rFonts w:ascii="Times New Roman" w:hAnsi="Times New Roman" w:cs="Times New Roman"/>
          <w:bCs/>
          <w:iCs/>
          <w:color w:val="000000"/>
          <w:sz w:val="24"/>
          <w:szCs w:val="24"/>
          <w:shd w:val="clear" w:color="auto" w:fill="FFFFFF"/>
        </w:rPr>
      </w:pPr>
      <w:r w:rsidRPr="00D73296">
        <w:rPr>
          <w:rFonts w:ascii="Times New Roman" w:hAnsi="Times New Roman" w:cs="Times New Roman"/>
          <w:bCs/>
          <w:color w:val="000000"/>
          <w:sz w:val="24"/>
          <w:szCs w:val="24"/>
          <w:shd w:val="clear" w:color="auto" w:fill="FFFFFF"/>
        </w:rPr>
        <w:t xml:space="preserve">Questi, dunque, deve avere la capacità di diagnosticare lo stato dei processi negli Enti in cui opera e, in caso di necessità, reingegnerizzare i medesimi. Il riferimento corre al </w:t>
      </w:r>
      <w:r w:rsidRPr="00D73296">
        <w:rPr>
          <w:rFonts w:ascii="Times New Roman" w:hAnsi="Times New Roman" w:cs="Times New Roman"/>
          <w:bCs/>
          <w:i/>
          <w:iCs/>
          <w:color w:val="000000"/>
          <w:sz w:val="24"/>
          <w:szCs w:val="24"/>
          <w:shd w:val="clear" w:color="auto" w:fill="FFFFFF"/>
        </w:rPr>
        <w:t xml:space="preserve">Business Process Reengineering </w:t>
      </w:r>
      <w:r w:rsidRPr="00D73296">
        <w:rPr>
          <w:rFonts w:ascii="Times New Roman" w:hAnsi="Times New Roman" w:cs="Times New Roman"/>
          <w:bCs/>
          <w:iCs/>
          <w:color w:val="000000"/>
          <w:sz w:val="24"/>
          <w:szCs w:val="24"/>
          <w:shd w:val="clear" w:color="auto" w:fill="FFFFFF"/>
        </w:rPr>
        <w:t>(BPR), ossia l’intervento organizzativo sui processi che non rispondono più alle necessità della struttura</w:t>
      </w:r>
      <w:r w:rsidRPr="00D73296">
        <w:rPr>
          <w:rFonts w:ascii="Times New Roman" w:hAnsi="Times New Roman" w:cs="Times New Roman"/>
          <w:bCs/>
          <w:iCs/>
          <w:color w:val="000000"/>
          <w:sz w:val="24"/>
          <w:szCs w:val="24"/>
          <w:shd w:val="clear" w:color="auto" w:fill="FFFFFF"/>
          <w:vertAlign w:val="superscript"/>
        </w:rPr>
        <w:footnoteReference w:id="181"/>
      </w:r>
      <w:r w:rsidRPr="00D73296">
        <w:rPr>
          <w:rFonts w:ascii="Times New Roman" w:hAnsi="Times New Roman" w:cs="Times New Roman"/>
          <w:bCs/>
          <w:iCs/>
          <w:color w:val="000000"/>
          <w:sz w:val="24"/>
          <w:szCs w:val="24"/>
          <w:shd w:val="clear" w:color="auto" w:fill="FFFFFF"/>
        </w:rPr>
        <w:t xml:space="preserve">. </w:t>
      </w:r>
    </w:p>
    <w:p w14:paraId="784AD17A" w14:textId="77777777" w:rsidR="00D73296" w:rsidRPr="00D73296" w:rsidRDefault="00D73296" w:rsidP="004B7EA5">
      <w:pPr>
        <w:spacing w:after="0" w:line="276" w:lineRule="auto"/>
        <w:jc w:val="both"/>
        <w:rPr>
          <w:rFonts w:ascii="Times New Roman" w:hAnsi="Times New Roman" w:cs="Times New Roman"/>
          <w:bCs/>
          <w:iCs/>
          <w:color w:val="000000"/>
          <w:sz w:val="24"/>
          <w:szCs w:val="24"/>
          <w:shd w:val="clear" w:color="auto" w:fill="FFFFFF"/>
        </w:rPr>
      </w:pPr>
      <w:r w:rsidRPr="00D73296">
        <w:rPr>
          <w:rFonts w:ascii="Times New Roman" w:hAnsi="Times New Roman" w:cs="Times New Roman"/>
          <w:bCs/>
          <w:iCs/>
          <w:color w:val="000000"/>
          <w:sz w:val="24"/>
          <w:szCs w:val="24"/>
          <w:shd w:val="clear" w:color="auto" w:fill="FFFFFF"/>
        </w:rPr>
        <w:t xml:space="preserve">Come sopra accennato, costituisce un </w:t>
      </w:r>
      <w:r w:rsidRPr="00D73296">
        <w:rPr>
          <w:rFonts w:ascii="Times New Roman" w:hAnsi="Times New Roman" w:cs="Times New Roman"/>
          <w:bCs/>
          <w:i/>
          <w:iCs/>
          <w:color w:val="000000"/>
          <w:sz w:val="24"/>
          <w:szCs w:val="24"/>
          <w:shd w:val="clear" w:color="auto" w:fill="FFFFFF"/>
        </w:rPr>
        <w:t>prius</w:t>
      </w:r>
      <w:r w:rsidRPr="00D73296">
        <w:rPr>
          <w:rFonts w:ascii="Times New Roman" w:hAnsi="Times New Roman" w:cs="Times New Roman"/>
          <w:bCs/>
          <w:iCs/>
          <w:color w:val="000000"/>
          <w:sz w:val="24"/>
          <w:szCs w:val="24"/>
          <w:shd w:val="clear" w:color="auto" w:fill="FFFFFF"/>
        </w:rPr>
        <w:t xml:space="preserve"> logico rispetto alla reingegnerizzazione dei processi la capacità di analizzare lo stato degli stessi in rapporto alle dotazioni di personale, agli inquadramenti contrattuali dei dipendenti effettivamente in servizio e alle loro effettive attitudini e sfere di conoscenze e competenze, non sempre coerenti rispetto alle attività in concreto loro affidate. Il fine è quello di diagnosticare lo stato dei processi negli Enti in cui si opera e, in caso di necessità, adottare i provvedimenti più opportuni e tempestivi per garantire un accettabile standard di erogazione di servizi pubblici tanto in settori di rilievo quotidiano quanto in eventuali nuove attività.</w:t>
      </w:r>
    </w:p>
    <w:p w14:paraId="69531EAB" w14:textId="77777777" w:rsidR="00D73296" w:rsidRPr="00D73296" w:rsidRDefault="00D73296" w:rsidP="004B7EA5">
      <w:pPr>
        <w:spacing w:after="0" w:line="276" w:lineRule="auto"/>
        <w:jc w:val="both"/>
        <w:rPr>
          <w:rFonts w:ascii="Times New Roman" w:hAnsi="Times New Roman" w:cs="Times New Roman"/>
          <w:bCs/>
          <w:iCs/>
          <w:color w:val="000000"/>
          <w:sz w:val="24"/>
          <w:szCs w:val="24"/>
          <w:shd w:val="clear" w:color="auto" w:fill="FFFFFF"/>
        </w:rPr>
      </w:pPr>
      <w:r w:rsidRPr="00D73296">
        <w:rPr>
          <w:rFonts w:ascii="Times New Roman" w:hAnsi="Times New Roman" w:cs="Times New Roman"/>
          <w:bCs/>
          <w:iCs/>
          <w:color w:val="000000"/>
          <w:sz w:val="24"/>
          <w:szCs w:val="24"/>
          <w:shd w:val="clear" w:color="auto" w:fill="FFFFFF"/>
        </w:rPr>
        <w:t>La riprogettazione radicale può transitare attraverso varie esperienze, tra cui la concezione delle attività dell’Ente in parallelo anziché in sequenza, la ricomposizione di attività frammentate tra più uffici con possibili conflitti di competenza facilmente evitabili, l’eliminazione di attività non produttive di valore pubblico, la categorizzazione e differenziazione dei flussi nei processi</w:t>
      </w:r>
      <w:r w:rsidRPr="00D73296">
        <w:rPr>
          <w:rFonts w:ascii="Times New Roman" w:hAnsi="Times New Roman" w:cs="Times New Roman"/>
          <w:bCs/>
          <w:iCs/>
          <w:color w:val="000000"/>
          <w:sz w:val="24"/>
          <w:szCs w:val="24"/>
          <w:shd w:val="clear" w:color="auto" w:fill="FFFFFF"/>
          <w:vertAlign w:val="superscript"/>
        </w:rPr>
        <w:footnoteReference w:id="182"/>
      </w:r>
      <w:r w:rsidRPr="00D73296">
        <w:rPr>
          <w:rFonts w:ascii="Times New Roman" w:hAnsi="Times New Roman" w:cs="Times New Roman"/>
          <w:bCs/>
          <w:iCs/>
          <w:color w:val="000000"/>
          <w:sz w:val="24"/>
          <w:szCs w:val="24"/>
          <w:shd w:val="clear" w:color="auto" w:fill="FFFFFF"/>
        </w:rPr>
        <w:t xml:space="preserve"> e, infine, il </w:t>
      </w:r>
      <w:r w:rsidRPr="00D73296">
        <w:rPr>
          <w:rFonts w:ascii="Times New Roman" w:hAnsi="Times New Roman" w:cs="Times New Roman"/>
          <w:bCs/>
          <w:i/>
          <w:iCs/>
          <w:color w:val="000000"/>
          <w:sz w:val="24"/>
          <w:szCs w:val="24"/>
          <w:shd w:val="clear" w:color="auto" w:fill="FFFFFF"/>
        </w:rPr>
        <w:t>Business Reengineering</w:t>
      </w:r>
      <w:r w:rsidRPr="00D73296">
        <w:rPr>
          <w:rFonts w:ascii="Times New Roman" w:hAnsi="Times New Roman" w:cs="Times New Roman"/>
          <w:bCs/>
          <w:iCs/>
          <w:color w:val="000000"/>
          <w:sz w:val="24"/>
          <w:szCs w:val="24"/>
          <w:shd w:val="clear" w:color="auto" w:fill="FFFFFF"/>
        </w:rPr>
        <w:t>, consistente in un “intervento radicale su un flusso di compiti/attività che, ponendo al centro l’esigenza del cliente, corrisponde a un processo aziendale, per poi responsabilizzare uno specifico team su tale processo”</w:t>
      </w:r>
      <w:r w:rsidRPr="00D73296">
        <w:rPr>
          <w:rFonts w:ascii="Times New Roman" w:hAnsi="Times New Roman" w:cs="Times New Roman"/>
          <w:bCs/>
          <w:iCs/>
          <w:color w:val="000000"/>
          <w:sz w:val="24"/>
          <w:szCs w:val="24"/>
          <w:shd w:val="clear" w:color="auto" w:fill="FFFFFF"/>
          <w:vertAlign w:val="superscript"/>
        </w:rPr>
        <w:footnoteReference w:id="183"/>
      </w:r>
      <w:r w:rsidRPr="00D73296">
        <w:rPr>
          <w:rFonts w:ascii="Times New Roman" w:hAnsi="Times New Roman" w:cs="Times New Roman"/>
          <w:bCs/>
          <w:iCs/>
          <w:color w:val="000000"/>
          <w:sz w:val="24"/>
          <w:szCs w:val="24"/>
          <w:shd w:val="clear" w:color="auto" w:fill="FFFFFF"/>
        </w:rPr>
        <w:t>.</w:t>
      </w:r>
    </w:p>
    <w:p w14:paraId="34CC6EF2" w14:textId="3FAB2B46" w:rsidR="00D73296" w:rsidRDefault="00D73296" w:rsidP="004B7EA5">
      <w:pPr>
        <w:spacing w:after="0" w:line="276" w:lineRule="auto"/>
        <w:jc w:val="both"/>
        <w:rPr>
          <w:rFonts w:ascii="Times New Roman" w:hAnsi="Times New Roman" w:cs="Times New Roman"/>
          <w:bCs/>
          <w:iCs/>
          <w:color w:val="000000"/>
          <w:sz w:val="24"/>
          <w:szCs w:val="24"/>
          <w:shd w:val="clear" w:color="auto" w:fill="FFFFFF"/>
        </w:rPr>
      </w:pPr>
      <w:r w:rsidRPr="00D73296">
        <w:rPr>
          <w:rFonts w:ascii="Times New Roman" w:hAnsi="Times New Roman" w:cs="Times New Roman"/>
          <w:bCs/>
          <w:iCs/>
          <w:color w:val="000000"/>
          <w:sz w:val="24"/>
          <w:szCs w:val="24"/>
          <w:shd w:val="clear" w:color="auto" w:fill="FFFFFF"/>
        </w:rPr>
        <w:t xml:space="preserve">Il tutto, naturalmente, senza dimenticare il fondamentale ruolo della fiducia. </w:t>
      </w:r>
      <w:r w:rsidR="00FB3D32">
        <w:rPr>
          <w:rFonts w:ascii="Times New Roman" w:hAnsi="Times New Roman" w:cs="Times New Roman"/>
          <w:bCs/>
          <w:iCs/>
          <w:color w:val="000000"/>
          <w:sz w:val="24"/>
          <w:szCs w:val="24"/>
          <w:shd w:val="clear" w:color="auto" w:fill="FFFFFF"/>
        </w:rPr>
        <w:t xml:space="preserve">Invero, </w:t>
      </w:r>
      <w:r w:rsidRPr="00D73296">
        <w:rPr>
          <w:rFonts w:ascii="Times New Roman" w:hAnsi="Times New Roman" w:cs="Times New Roman"/>
          <w:bCs/>
          <w:iCs/>
          <w:color w:val="000000"/>
          <w:sz w:val="24"/>
          <w:szCs w:val="24"/>
          <w:shd w:val="clear" w:color="auto" w:fill="FFFFFF"/>
        </w:rPr>
        <w:t xml:space="preserve">l’obiettivo della reingegnerizzazione dei processi ben difficilmente potrà essere perseguito se il team non è consapevole (o è convinto dell’impossibilità) del cambiamento organizzativo in atto, se il leader non </w:t>
      </w:r>
      <w:r w:rsidRPr="00D73296">
        <w:rPr>
          <w:rFonts w:ascii="Times New Roman" w:hAnsi="Times New Roman" w:cs="Times New Roman"/>
          <w:bCs/>
          <w:iCs/>
          <w:color w:val="000000"/>
          <w:sz w:val="24"/>
          <w:szCs w:val="24"/>
          <w:shd w:val="clear" w:color="auto" w:fill="FFFFFF"/>
        </w:rPr>
        <w:lastRenderedPageBreak/>
        <w:t>diviene egli stesso fattore di cambiamento</w:t>
      </w:r>
      <w:r w:rsidRPr="00D73296">
        <w:rPr>
          <w:rFonts w:ascii="Times New Roman" w:hAnsi="Times New Roman" w:cs="Times New Roman"/>
          <w:bCs/>
          <w:iCs/>
          <w:color w:val="000000"/>
          <w:sz w:val="24"/>
          <w:szCs w:val="24"/>
          <w:shd w:val="clear" w:color="auto" w:fill="FFFFFF"/>
          <w:vertAlign w:val="superscript"/>
        </w:rPr>
        <w:footnoteReference w:id="184"/>
      </w:r>
      <w:r w:rsidRPr="00D73296">
        <w:rPr>
          <w:rFonts w:ascii="Times New Roman" w:hAnsi="Times New Roman" w:cs="Times New Roman"/>
          <w:bCs/>
          <w:iCs/>
          <w:color w:val="000000"/>
          <w:sz w:val="24"/>
          <w:szCs w:val="24"/>
          <w:shd w:val="clear" w:color="auto" w:fill="FFFFFF"/>
        </w:rPr>
        <w:t xml:space="preserve"> e se le informazioni e la condivisione di esperienze non fluiscono liberamente all’interno del gruppo.</w:t>
      </w:r>
    </w:p>
    <w:p w14:paraId="5C79D166" w14:textId="77777777" w:rsidR="00FB3D32" w:rsidRDefault="00FB3D32" w:rsidP="004B7EA5">
      <w:pPr>
        <w:spacing w:after="0" w:line="276" w:lineRule="auto"/>
        <w:jc w:val="both"/>
        <w:rPr>
          <w:rFonts w:ascii="Times New Roman" w:hAnsi="Times New Roman" w:cs="Times New Roman"/>
          <w:bCs/>
          <w:iCs/>
          <w:color w:val="000000"/>
          <w:sz w:val="24"/>
          <w:szCs w:val="24"/>
          <w:shd w:val="clear" w:color="auto" w:fill="FFFFFF"/>
        </w:rPr>
      </w:pPr>
    </w:p>
    <w:p w14:paraId="1CE9A468" w14:textId="172C34F7" w:rsidR="00FB3D32" w:rsidRDefault="00FB3D32" w:rsidP="004B7EA5">
      <w:pPr>
        <w:spacing w:after="0" w:line="276" w:lineRule="auto"/>
        <w:jc w:val="both"/>
        <w:rPr>
          <w:rFonts w:ascii="Times New Roman" w:hAnsi="Times New Roman" w:cs="Times New Roman"/>
          <w:bCs/>
          <w:i/>
          <w:color w:val="000000"/>
          <w:sz w:val="24"/>
          <w:szCs w:val="24"/>
          <w:shd w:val="clear" w:color="auto" w:fill="FFFFFF"/>
        </w:rPr>
      </w:pPr>
      <w:r w:rsidRPr="00FB3D32">
        <w:rPr>
          <w:rFonts w:ascii="Times New Roman" w:hAnsi="Times New Roman" w:cs="Times New Roman"/>
          <w:bCs/>
          <w:i/>
          <w:color w:val="000000"/>
          <w:sz w:val="24"/>
          <w:szCs w:val="24"/>
          <w:shd w:val="clear" w:color="auto" w:fill="FFFFFF"/>
        </w:rPr>
        <w:t>10. Conclusioni.</w:t>
      </w:r>
    </w:p>
    <w:p w14:paraId="00FC08AD" w14:textId="77777777" w:rsidR="00FB3D32" w:rsidRDefault="00FB3D32" w:rsidP="004B7EA5">
      <w:pPr>
        <w:spacing w:after="0" w:line="276" w:lineRule="auto"/>
        <w:jc w:val="both"/>
        <w:rPr>
          <w:rFonts w:ascii="Times New Roman" w:hAnsi="Times New Roman" w:cs="Times New Roman"/>
          <w:bCs/>
          <w:i/>
          <w:color w:val="000000"/>
          <w:sz w:val="24"/>
          <w:szCs w:val="24"/>
          <w:shd w:val="clear" w:color="auto" w:fill="FFFFFF"/>
        </w:rPr>
      </w:pPr>
    </w:p>
    <w:p w14:paraId="02109C53" w14:textId="452B3FE1" w:rsidR="00FB3D32" w:rsidRPr="00D73296" w:rsidRDefault="00FB3D32" w:rsidP="004B7EA5">
      <w:pPr>
        <w:spacing w:after="0" w:line="276" w:lineRule="auto"/>
        <w:jc w:val="both"/>
        <w:rPr>
          <w:rFonts w:ascii="Times New Roman" w:hAnsi="Times New Roman" w:cs="Times New Roman"/>
          <w:bCs/>
          <w:iCs/>
          <w:color w:val="000000"/>
          <w:sz w:val="24"/>
          <w:szCs w:val="24"/>
          <w:shd w:val="clear" w:color="auto" w:fill="FFFFFF"/>
        </w:rPr>
      </w:pPr>
      <w:r>
        <w:rPr>
          <w:rFonts w:ascii="Times New Roman" w:hAnsi="Times New Roman" w:cs="Times New Roman"/>
          <w:bCs/>
          <w:iCs/>
          <w:color w:val="000000"/>
          <w:sz w:val="24"/>
          <w:szCs w:val="24"/>
          <w:shd w:val="clear" w:color="auto" w:fill="FFFFFF"/>
        </w:rPr>
        <w:t xml:space="preserve">La disamina svolta ha cercato di evidenziare l’attuale stato </w:t>
      </w:r>
      <w:r w:rsidR="00423196">
        <w:rPr>
          <w:rFonts w:ascii="Times New Roman" w:hAnsi="Times New Roman" w:cs="Times New Roman"/>
          <w:bCs/>
          <w:iCs/>
          <w:color w:val="000000"/>
          <w:sz w:val="24"/>
          <w:szCs w:val="24"/>
          <w:shd w:val="clear" w:color="auto" w:fill="FFFFFF"/>
        </w:rPr>
        <w:t xml:space="preserve">di evoluzione delle Pubbliche Amministrazioni, muovendo </w:t>
      </w:r>
      <w:r w:rsidR="00DD1F2F">
        <w:rPr>
          <w:rFonts w:ascii="Times New Roman" w:hAnsi="Times New Roman" w:cs="Times New Roman"/>
          <w:bCs/>
          <w:iCs/>
          <w:color w:val="000000"/>
          <w:sz w:val="24"/>
          <w:szCs w:val="24"/>
          <w:shd w:val="clear" w:color="auto" w:fill="FFFFFF"/>
        </w:rPr>
        <w:t xml:space="preserve">dall’esame del principio della fiducia </w:t>
      </w:r>
      <w:r w:rsidR="002B74F8">
        <w:rPr>
          <w:rFonts w:ascii="Times New Roman" w:hAnsi="Times New Roman" w:cs="Times New Roman"/>
          <w:bCs/>
          <w:iCs/>
          <w:color w:val="000000"/>
          <w:sz w:val="24"/>
          <w:szCs w:val="24"/>
          <w:shd w:val="clear" w:color="auto" w:fill="FFFFFF"/>
        </w:rPr>
        <w:t xml:space="preserve">e transitando attraverso </w:t>
      </w:r>
      <w:r w:rsidR="00423196">
        <w:rPr>
          <w:rFonts w:ascii="Times New Roman" w:hAnsi="Times New Roman" w:cs="Times New Roman"/>
          <w:bCs/>
          <w:iCs/>
          <w:color w:val="000000"/>
          <w:sz w:val="24"/>
          <w:szCs w:val="24"/>
          <w:shd w:val="clear" w:color="auto" w:fill="FFFFFF"/>
        </w:rPr>
        <w:t>l’affresco tracciato dalla sent. n. 132/2024 della Corte costituzionale</w:t>
      </w:r>
      <w:r w:rsidR="002B74F8">
        <w:rPr>
          <w:rFonts w:ascii="Times New Roman" w:hAnsi="Times New Roman" w:cs="Times New Roman"/>
          <w:bCs/>
          <w:iCs/>
          <w:color w:val="000000"/>
          <w:sz w:val="24"/>
          <w:szCs w:val="24"/>
          <w:shd w:val="clear" w:color="auto" w:fill="FFFFFF"/>
        </w:rPr>
        <w:t>,</w:t>
      </w:r>
      <w:r w:rsidR="00423196">
        <w:rPr>
          <w:rFonts w:ascii="Times New Roman" w:hAnsi="Times New Roman" w:cs="Times New Roman"/>
          <w:bCs/>
          <w:iCs/>
          <w:color w:val="000000"/>
          <w:sz w:val="24"/>
          <w:szCs w:val="24"/>
          <w:shd w:val="clear" w:color="auto" w:fill="FFFFFF"/>
        </w:rPr>
        <w:t xml:space="preserve"> tentando di ampliare il campo d’indagine sino a coinvolgere problematiche affini quali l’abolizione dell’abuso d’ufficio, dichiaratamente finalizzata al medesimo scopo </w:t>
      </w:r>
      <w:r w:rsidR="00AB0DAA">
        <w:rPr>
          <w:rFonts w:ascii="Times New Roman" w:hAnsi="Times New Roman" w:cs="Times New Roman"/>
          <w:bCs/>
          <w:iCs/>
          <w:color w:val="000000"/>
          <w:sz w:val="24"/>
          <w:szCs w:val="24"/>
          <w:shd w:val="clear" w:color="auto" w:fill="FFFFFF"/>
        </w:rPr>
        <w:t>“tranquillizzante”</w:t>
      </w:r>
      <w:r w:rsidR="006D4A08">
        <w:rPr>
          <w:rFonts w:ascii="Times New Roman" w:hAnsi="Times New Roman" w:cs="Times New Roman"/>
          <w:bCs/>
          <w:iCs/>
          <w:color w:val="000000"/>
          <w:sz w:val="24"/>
          <w:szCs w:val="24"/>
          <w:shd w:val="clear" w:color="auto" w:fill="FFFFFF"/>
        </w:rPr>
        <w:t>, che permea anche il messaggio, sancito dal nuovo Codice dei contratti, della “fiducia” nei confronti del pubblico dipendente</w:t>
      </w:r>
      <w:r w:rsidR="00EE457A">
        <w:rPr>
          <w:rFonts w:ascii="Times New Roman" w:hAnsi="Times New Roman" w:cs="Times New Roman"/>
          <w:bCs/>
          <w:iCs/>
          <w:color w:val="000000"/>
          <w:sz w:val="24"/>
          <w:szCs w:val="24"/>
          <w:shd w:val="clear" w:color="auto" w:fill="FFFFFF"/>
        </w:rPr>
        <w:t xml:space="preserve">, impaurito da un quadro normativo complesso e non esente da contraddizioni. A seguire, sono state formulate proposte, anche </w:t>
      </w:r>
      <w:r w:rsidR="00EE457A" w:rsidRPr="0020385A">
        <w:rPr>
          <w:rFonts w:ascii="Times New Roman" w:hAnsi="Times New Roman" w:cs="Times New Roman"/>
          <w:bCs/>
          <w:i/>
          <w:color w:val="000000"/>
          <w:sz w:val="24"/>
          <w:szCs w:val="24"/>
          <w:shd w:val="clear" w:color="auto" w:fill="FFFFFF"/>
        </w:rPr>
        <w:t>de iure condendo</w:t>
      </w:r>
      <w:r w:rsidR="00EE457A">
        <w:rPr>
          <w:rFonts w:ascii="Times New Roman" w:hAnsi="Times New Roman" w:cs="Times New Roman"/>
          <w:bCs/>
          <w:iCs/>
          <w:color w:val="000000"/>
          <w:sz w:val="24"/>
          <w:szCs w:val="24"/>
          <w:shd w:val="clear" w:color="auto" w:fill="FFFFFF"/>
        </w:rPr>
        <w:t xml:space="preserve">, di modifica di alcuni sottosistemi normativi, quali l’anticorruzione e la performance, per poi analizzare il possibile impatto dell’IA e della reingegnerizzazione dei processi </w:t>
      </w:r>
      <w:r w:rsidR="0020385A">
        <w:rPr>
          <w:rFonts w:ascii="Times New Roman" w:hAnsi="Times New Roman" w:cs="Times New Roman"/>
          <w:bCs/>
          <w:iCs/>
          <w:color w:val="000000"/>
          <w:sz w:val="24"/>
          <w:szCs w:val="24"/>
          <w:shd w:val="clear" w:color="auto" w:fill="FFFFFF"/>
        </w:rPr>
        <w:t>sulla Pubblica Amministrazione della post-modernità.</w:t>
      </w:r>
    </w:p>
    <w:p w14:paraId="008BC626" w14:textId="77777777" w:rsidR="003139E4" w:rsidRPr="00FD0875" w:rsidRDefault="003139E4" w:rsidP="004B7EA5">
      <w:pPr>
        <w:spacing w:after="0" w:line="276" w:lineRule="auto"/>
        <w:jc w:val="both"/>
        <w:rPr>
          <w:rFonts w:ascii="Times New Roman" w:hAnsi="Times New Roman" w:cs="Times New Roman"/>
          <w:bCs/>
          <w:color w:val="000000"/>
          <w:sz w:val="24"/>
          <w:szCs w:val="24"/>
          <w:shd w:val="clear" w:color="auto" w:fill="FFFFFF"/>
        </w:rPr>
      </w:pPr>
    </w:p>
    <w:p w14:paraId="65B439E8" w14:textId="77777777" w:rsidR="00802027" w:rsidRPr="006E2A76" w:rsidRDefault="00802027" w:rsidP="004B7EA5">
      <w:pPr>
        <w:spacing w:after="0" w:line="276" w:lineRule="auto"/>
        <w:jc w:val="both"/>
        <w:rPr>
          <w:rFonts w:ascii="Times New Roman" w:hAnsi="Times New Roman" w:cs="Times New Roman"/>
          <w:bCs/>
          <w:color w:val="000000"/>
          <w:sz w:val="24"/>
          <w:szCs w:val="24"/>
          <w:shd w:val="clear" w:color="auto" w:fill="FFFFFF"/>
        </w:rPr>
      </w:pPr>
    </w:p>
    <w:p w14:paraId="63CA42A6" w14:textId="77777777" w:rsidR="00847DBE" w:rsidRPr="00847DBE" w:rsidRDefault="00847DBE" w:rsidP="004B7EA5">
      <w:pPr>
        <w:spacing w:line="276" w:lineRule="auto"/>
        <w:jc w:val="both"/>
        <w:rPr>
          <w:rFonts w:ascii="Calisto MT" w:hAnsi="Calisto MT"/>
        </w:rPr>
      </w:pPr>
    </w:p>
    <w:sectPr w:rsidR="00847DBE" w:rsidRPr="00847DB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890E" w14:textId="77777777" w:rsidR="007F2449" w:rsidRDefault="007F2449" w:rsidP="00802027">
      <w:pPr>
        <w:spacing w:after="0" w:line="240" w:lineRule="auto"/>
      </w:pPr>
      <w:r>
        <w:separator/>
      </w:r>
    </w:p>
  </w:endnote>
  <w:endnote w:type="continuationSeparator" w:id="0">
    <w:p w14:paraId="362ED6DD" w14:textId="77777777" w:rsidR="007F2449" w:rsidRDefault="007F2449" w:rsidP="00802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sto MT">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4264E" w14:textId="77777777" w:rsidR="007F2449" w:rsidRDefault="007F2449" w:rsidP="00802027">
      <w:pPr>
        <w:spacing w:after="0" w:line="240" w:lineRule="auto"/>
      </w:pPr>
      <w:r>
        <w:separator/>
      </w:r>
    </w:p>
  </w:footnote>
  <w:footnote w:type="continuationSeparator" w:id="0">
    <w:p w14:paraId="457BC000" w14:textId="77777777" w:rsidR="007F2449" w:rsidRDefault="007F2449" w:rsidP="00802027">
      <w:pPr>
        <w:spacing w:after="0" w:line="240" w:lineRule="auto"/>
      </w:pPr>
      <w:r>
        <w:continuationSeparator/>
      </w:r>
    </w:p>
  </w:footnote>
  <w:footnote w:id="1">
    <w:p w14:paraId="16DAF449" w14:textId="29CB3AD1" w:rsidR="00562A37" w:rsidRPr="00AA56DE" w:rsidRDefault="00562A3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Procuratore dello Stato presso l’Avvocatura Distrettuale dello Stato di Reggio Calabria.</w:t>
      </w:r>
      <w:r w:rsidR="007D19EE">
        <w:rPr>
          <w:rFonts w:ascii="Times New Roman" w:hAnsi="Times New Roman" w:cs="Times New Roman"/>
        </w:rPr>
        <w:t xml:space="preserve"> Docente di diritto amministrativo presso la SSPL dell’Università Mediterranea di Reggio Calabria.</w:t>
      </w:r>
    </w:p>
  </w:footnote>
  <w:footnote w:id="2">
    <w:p w14:paraId="0BA5B95D" w14:textId="77777777" w:rsidR="00DC6F6E" w:rsidRPr="00AA56DE" w:rsidRDefault="00DC6F6E"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Sia consentito il rinvio ad A. </w:t>
      </w:r>
      <w:r w:rsidRPr="00AA56DE">
        <w:rPr>
          <w:rFonts w:ascii="Times New Roman" w:hAnsi="Times New Roman" w:cs="Times New Roman"/>
          <w:smallCaps/>
        </w:rPr>
        <w:t>Ripepi</w:t>
      </w:r>
      <w:r w:rsidRPr="00AA56DE">
        <w:rPr>
          <w:rFonts w:ascii="Times New Roman" w:hAnsi="Times New Roman" w:cs="Times New Roman"/>
        </w:rPr>
        <w:t xml:space="preserve">, </w:t>
      </w:r>
      <w:r w:rsidRPr="00AA56DE">
        <w:rPr>
          <w:rFonts w:ascii="Times New Roman" w:hAnsi="Times New Roman" w:cs="Times New Roman"/>
          <w:i/>
          <w:iCs/>
        </w:rPr>
        <w:t>La Corte costituzionale, con una sentenza “storica”, invita il legislatore a riconsiderare il sistema della responsabilità amministrativa dei dipendenti pubblici: verso un (auspicabile) cambio di paradigma</w:t>
      </w:r>
      <w:r w:rsidRPr="00AA56DE">
        <w:rPr>
          <w:rFonts w:ascii="Times New Roman" w:hAnsi="Times New Roman" w:cs="Times New Roman"/>
        </w:rPr>
        <w:t xml:space="preserve">, in Labor, www.rivistalabor.it, 24 luglio 2024; A. </w:t>
      </w:r>
      <w:r w:rsidRPr="00AA56DE">
        <w:rPr>
          <w:rFonts w:ascii="Times New Roman" w:hAnsi="Times New Roman" w:cs="Times New Roman"/>
          <w:smallCaps/>
        </w:rPr>
        <w:t>Ripepi</w:t>
      </w:r>
      <w:r w:rsidRPr="00AA56DE">
        <w:rPr>
          <w:rFonts w:ascii="Times New Roman" w:hAnsi="Times New Roman" w:cs="Times New Roman"/>
        </w:rPr>
        <w:t xml:space="preserve">, </w:t>
      </w:r>
      <w:r w:rsidRPr="00AA56DE">
        <w:rPr>
          <w:rFonts w:ascii="Times New Roman" w:hAnsi="Times New Roman" w:cs="Times New Roman"/>
          <w:i/>
          <w:iCs/>
        </w:rPr>
        <w:t>“Paura della firma”, principio della fiducia ed evoluzioni della Pubblica Amministrazione. Disamina di Corte costituzionale, 16 luglio 2024, n. 132</w:t>
      </w:r>
      <w:r w:rsidRPr="00AA56DE">
        <w:rPr>
          <w:rFonts w:ascii="Times New Roman" w:hAnsi="Times New Roman" w:cs="Times New Roman"/>
        </w:rPr>
        <w:t xml:space="preserve">, in </w:t>
      </w:r>
      <w:r w:rsidRPr="00AA56DE">
        <w:rPr>
          <w:rFonts w:ascii="Times New Roman" w:hAnsi="Times New Roman" w:cs="Times New Roman"/>
          <w:i/>
          <w:iCs/>
        </w:rPr>
        <w:t>Rassegna Avvocatura dello Stato</w:t>
      </w:r>
      <w:r w:rsidRPr="00AA56DE">
        <w:rPr>
          <w:rFonts w:ascii="Times New Roman" w:hAnsi="Times New Roman" w:cs="Times New Roman"/>
        </w:rPr>
        <w:t>, n. 4/2023.</w:t>
      </w:r>
    </w:p>
  </w:footnote>
  <w:footnote w:id="3">
    <w:p w14:paraId="4AB1EA06"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 </w:t>
      </w:r>
      <w:r w:rsidRPr="00AA56DE">
        <w:rPr>
          <w:rFonts w:ascii="Times New Roman" w:hAnsi="Times New Roman" w:cs="Times New Roman"/>
          <w:smallCaps/>
        </w:rPr>
        <w:t>Resta</w:t>
      </w:r>
      <w:r w:rsidRPr="00AA56DE">
        <w:rPr>
          <w:rFonts w:ascii="Times New Roman" w:hAnsi="Times New Roman" w:cs="Times New Roman"/>
        </w:rPr>
        <w:t xml:space="preserve">, </w:t>
      </w:r>
      <w:r w:rsidRPr="00AA56DE">
        <w:rPr>
          <w:rFonts w:ascii="Times New Roman" w:hAnsi="Times New Roman" w:cs="Times New Roman"/>
          <w:i/>
        </w:rPr>
        <w:t>Le regole della fiducia</w:t>
      </w:r>
      <w:r w:rsidRPr="00AA56DE">
        <w:rPr>
          <w:rFonts w:ascii="Times New Roman" w:hAnsi="Times New Roman" w:cs="Times New Roman"/>
        </w:rPr>
        <w:t>, Laterza, 2009, p. 8.</w:t>
      </w:r>
    </w:p>
  </w:footnote>
  <w:footnote w:id="4">
    <w:p w14:paraId="266BBB5A"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Marzano</w:t>
      </w:r>
      <w:r w:rsidRPr="00AA56DE">
        <w:rPr>
          <w:rFonts w:ascii="Times New Roman" w:hAnsi="Times New Roman" w:cs="Times New Roman"/>
        </w:rPr>
        <w:t xml:space="preserve">, </w:t>
      </w:r>
      <w:r w:rsidRPr="00AA56DE">
        <w:rPr>
          <w:rFonts w:ascii="Times New Roman" w:hAnsi="Times New Roman" w:cs="Times New Roman"/>
          <w:i/>
        </w:rPr>
        <w:t>Avere fiducia</w:t>
      </w:r>
      <w:r w:rsidRPr="00AA56DE">
        <w:rPr>
          <w:rFonts w:ascii="Times New Roman" w:hAnsi="Times New Roman" w:cs="Times New Roman"/>
        </w:rPr>
        <w:t>, Mondadori, 2012, p. 9.</w:t>
      </w:r>
    </w:p>
  </w:footnote>
  <w:footnote w:id="5">
    <w:p w14:paraId="0DFF3700"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N. </w:t>
      </w:r>
      <w:r w:rsidRPr="00AA56DE">
        <w:rPr>
          <w:rFonts w:ascii="Times New Roman" w:hAnsi="Times New Roman" w:cs="Times New Roman"/>
          <w:smallCaps/>
        </w:rPr>
        <w:t>Machiavelli</w:t>
      </w:r>
      <w:r w:rsidRPr="00AA56DE">
        <w:rPr>
          <w:rFonts w:ascii="Times New Roman" w:hAnsi="Times New Roman" w:cs="Times New Roman"/>
        </w:rPr>
        <w:t xml:space="preserve">, </w:t>
      </w:r>
      <w:r w:rsidRPr="00AA56DE">
        <w:rPr>
          <w:rFonts w:ascii="Times New Roman" w:hAnsi="Times New Roman" w:cs="Times New Roman"/>
          <w:i/>
        </w:rPr>
        <w:t>Discorsi sopra la prima deca di Tito Livio</w:t>
      </w:r>
      <w:r w:rsidRPr="00AA56DE">
        <w:rPr>
          <w:rFonts w:ascii="Times New Roman" w:hAnsi="Times New Roman" w:cs="Times New Roman"/>
        </w:rPr>
        <w:t xml:space="preserve">, I, 3, in Id., </w:t>
      </w:r>
      <w:r w:rsidRPr="00AA56DE">
        <w:rPr>
          <w:rFonts w:ascii="Times New Roman" w:hAnsi="Times New Roman" w:cs="Times New Roman"/>
          <w:i/>
        </w:rPr>
        <w:t>Tutte le opere</w:t>
      </w:r>
      <w:r w:rsidRPr="00AA56DE">
        <w:rPr>
          <w:rFonts w:ascii="Times New Roman" w:hAnsi="Times New Roman" w:cs="Times New Roman"/>
        </w:rPr>
        <w:t>, a cura di M. Martelli, Sansoni, 1971, p. 282.</w:t>
      </w:r>
    </w:p>
  </w:footnote>
  <w:footnote w:id="6">
    <w:p w14:paraId="12EDC389"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T. </w:t>
      </w:r>
      <w:r w:rsidRPr="00AA56DE">
        <w:rPr>
          <w:rFonts w:ascii="Times New Roman" w:hAnsi="Times New Roman" w:cs="Times New Roman"/>
          <w:smallCaps/>
        </w:rPr>
        <w:t>Hobbes</w:t>
      </w:r>
      <w:r w:rsidRPr="00AA56DE">
        <w:rPr>
          <w:rFonts w:ascii="Times New Roman" w:hAnsi="Times New Roman" w:cs="Times New Roman"/>
        </w:rPr>
        <w:t xml:space="preserve">, </w:t>
      </w:r>
      <w:r w:rsidRPr="00AA56DE">
        <w:rPr>
          <w:rFonts w:ascii="Times New Roman" w:hAnsi="Times New Roman" w:cs="Times New Roman"/>
          <w:i/>
        </w:rPr>
        <w:t>De Cive</w:t>
      </w:r>
      <w:r w:rsidRPr="00AA56DE">
        <w:rPr>
          <w:rFonts w:ascii="Times New Roman" w:hAnsi="Times New Roman" w:cs="Times New Roman"/>
        </w:rPr>
        <w:t xml:space="preserve">, I, 2, trad. it. </w:t>
      </w:r>
      <w:r w:rsidRPr="00AA56DE">
        <w:rPr>
          <w:rFonts w:ascii="Times New Roman" w:hAnsi="Times New Roman" w:cs="Times New Roman"/>
          <w:i/>
        </w:rPr>
        <w:t>Elementi filosofici sul cittadino</w:t>
      </w:r>
      <w:r w:rsidRPr="00AA56DE">
        <w:rPr>
          <w:rFonts w:ascii="Times New Roman" w:hAnsi="Times New Roman" w:cs="Times New Roman"/>
        </w:rPr>
        <w:t>, a cura di N. Bobbio, Utet, 1948, p. 73.</w:t>
      </w:r>
    </w:p>
  </w:footnote>
  <w:footnote w:id="7">
    <w:p w14:paraId="46730BA7"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B. S. </w:t>
      </w:r>
      <w:r w:rsidRPr="00AA56DE">
        <w:rPr>
          <w:rFonts w:ascii="Times New Roman" w:hAnsi="Times New Roman" w:cs="Times New Roman"/>
          <w:smallCaps/>
        </w:rPr>
        <w:t>Frey</w:t>
      </w:r>
      <w:r w:rsidRPr="00AA56DE">
        <w:rPr>
          <w:rFonts w:ascii="Times New Roman" w:hAnsi="Times New Roman" w:cs="Times New Roman"/>
        </w:rPr>
        <w:t xml:space="preserve">, </w:t>
      </w:r>
      <w:r w:rsidRPr="00AA56DE">
        <w:rPr>
          <w:rFonts w:ascii="Times New Roman" w:hAnsi="Times New Roman" w:cs="Times New Roman"/>
          <w:i/>
        </w:rPr>
        <w:t>Non solo per denaro. Le motivazioni disinteressate dell’agire economico</w:t>
      </w:r>
      <w:r w:rsidRPr="00AA56DE">
        <w:rPr>
          <w:rFonts w:ascii="Times New Roman" w:hAnsi="Times New Roman" w:cs="Times New Roman"/>
        </w:rPr>
        <w:t xml:space="preserve"> (1997), Mondadori, 2005, p. 49.</w:t>
      </w:r>
    </w:p>
  </w:footnote>
  <w:footnote w:id="8">
    <w:p w14:paraId="4692D7F0"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 C. </w:t>
      </w:r>
      <w:r w:rsidRPr="00AA56DE">
        <w:rPr>
          <w:rFonts w:ascii="Times New Roman" w:hAnsi="Times New Roman" w:cs="Times New Roman"/>
          <w:smallCaps/>
        </w:rPr>
        <w:t>Banfield</w:t>
      </w:r>
      <w:r w:rsidRPr="00AA56DE">
        <w:rPr>
          <w:rFonts w:ascii="Times New Roman" w:hAnsi="Times New Roman" w:cs="Times New Roman"/>
        </w:rPr>
        <w:t xml:space="preserve">, </w:t>
      </w:r>
      <w:r w:rsidRPr="00AA56DE">
        <w:rPr>
          <w:rFonts w:ascii="Times New Roman" w:hAnsi="Times New Roman" w:cs="Times New Roman"/>
          <w:i/>
        </w:rPr>
        <w:t>Le basi morali di una società arretrata</w:t>
      </w:r>
      <w:r w:rsidRPr="00AA56DE">
        <w:rPr>
          <w:rFonts w:ascii="Times New Roman" w:hAnsi="Times New Roman" w:cs="Times New Roman"/>
        </w:rPr>
        <w:t>, Il Mulino, 2010, p. 101.</w:t>
      </w:r>
    </w:p>
  </w:footnote>
  <w:footnote w:id="9">
    <w:p w14:paraId="0A72FCF7"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L. </w:t>
      </w:r>
      <w:r w:rsidRPr="00AA56DE">
        <w:rPr>
          <w:rFonts w:ascii="Times New Roman" w:hAnsi="Times New Roman" w:cs="Times New Roman"/>
          <w:smallCaps/>
        </w:rPr>
        <w:t>Sciolla</w:t>
      </w:r>
      <w:r w:rsidRPr="00AA56DE">
        <w:rPr>
          <w:rFonts w:ascii="Times New Roman" w:hAnsi="Times New Roman" w:cs="Times New Roman"/>
        </w:rPr>
        <w:t xml:space="preserve">, </w:t>
      </w:r>
      <w:r w:rsidRPr="00AA56DE">
        <w:rPr>
          <w:rFonts w:ascii="Times New Roman" w:hAnsi="Times New Roman" w:cs="Times New Roman"/>
          <w:i/>
        </w:rPr>
        <w:t>Italiani. Stereotipi di casa nostra</w:t>
      </w:r>
      <w:r w:rsidRPr="00AA56DE">
        <w:rPr>
          <w:rFonts w:ascii="Times New Roman" w:hAnsi="Times New Roman" w:cs="Times New Roman"/>
        </w:rPr>
        <w:t>, Il Mulino, 1997.</w:t>
      </w:r>
    </w:p>
  </w:footnote>
  <w:footnote w:id="10">
    <w:p w14:paraId="785F3CFC"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T. </w:t>
      </w:r>
      <w:r w:rsidRPr="00AA56DE">
        <w:rPr>
          <w:rFonts w:ascii="Times New Roman" w:hAnsi="Times New Roman" w:cs="Times New Roman"/>
          <w:smallCaps/>
        </w:rPr>
        <w:t>Greco</w:t>
      </w:r>
      <w:r w:rsidRPr="00AA56DE">
        <w:rPr>
          <w:rFonts w:ascii="Times New Roman" w:hAnsi="Times New Roman" w:cs="Times New Roman"/>
        </w:rPr>
        <w:t xml:space="preserve">, </w:t>
      </w:r>
      <w:r w:rsidRPr="00AA56DE">
        <w:rPr>
          <w:rFonts w:ascii="Times New Roman" w:hAnsi="Times New Roman" w:cs="Times New Roman"/>
          <w:i/>
        </w:rPr>
        <w:t>La legge della fiducia. Alle radici del diritto</w:t>
      </w:r>
      <w:r w:rsidRPr="00AA56DE">
        <w:rPr>
          <w:rFonts w:ascii="Times New Roman" w:hAnsi="Times New Roman" w:cs="Times New Roman"/>
        </w:rPr>
        <w:t>, Laterza, 2021, p. 60.</w:t>
      </w:r>
    </w:p>
  </w:footnote>
  <w:footnote w:id="11">
    <w:p w14:paraId="78B384A8"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B. </w:t>
      </w:r>
      <w:r w:rsidRPr="00AA56DE">
        <w:rPr>
          <w:rFonts w:ascii="Times New Roman" w:hAnsi="Times New Roman" w:cs="Times New Roman"/>
          <w:smallCaps/>
        </w:rPr>
        <w:t>Pastore</w:t>
      </w:r>
      <w:r w:rsidRPr="00AA56DE">
        <w:rPr>
          <w:rFonts w:ascii="Times New Roman" w:hAnsi="Times New Roman" w:cs="Times New Roman"/>
        </w:rPr>
        <w:t xml:space="preserve">, </w:t>
      </w:r>
      <w:r w:rsidRPr="00AA56DE">
        <w:rPr>
          <w:rFonts w:ascii="Times New Roman" w:hAnsi="Times New Roman" w:cs="Times New Roman"/>
          <w:i/>
        </w:rPr>
        <w:t>Pluralismo, fiducia, solidarietà. Questioni di filosofia del diritto</w:t>
      </w:r>
      <w:r w:rsidRPr="00AA56DE">
        <w:rPr>
          <w:rFonts w:ascii="Times New Roman" w:hAnsi="Times New Roman" w:cs="Times New Roman"/>
        </w:rPr>
        <w:t>, Carocci, 2007, p. 11.</w:t>
      </w:r>
    </w:p>
  </w:footnote>
  <w:footnote w:id="12">
    <w:p w14:paraId="19F51DA4"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N. </w:t>
      </w:r>
      <w:r w:rsidRPr="00AA56DE">
        <w:rPr>
          <w:rFonts w:ascii="Times New Roman" w:hAnsi="Times New Roman" w:cs="Times New Roman"/>
          <w:smallCaps/>
        </w:rPr>
        <w:t>Luhmann</w:t>
      </w:r>
      <w:r w:rsidRPr="00AA56DE">
        <w:rPr>
          <w:rFonts w:ascii="Times New Roman" w:hAnsi="Times New Roman" w:cs="Times New Roman"/>
        </w:rPr>
        <w:t xml:space="preserve">, </w:t>
      </w:r>
      <w:r w:rsidRPr="00AA56DE">
        <w:rPr>
          <w:rFonts w:ascii="Times New Roman" w:hAnsi="Times New Roman" w:cs="Times New Roman"/>
          <w:i/>
        </w:rPr>
        <w:t>La fiducia</w:t>
      </w:r>
      <w:r w:rsidRPr="00AA56DE">
        <w:rPr>
          <w:rFonts w:ascii="Times New Roman" w:hAnsi="Times New Roman" w:cs="Times New Roman"/>
        </w:rPr>
        <w:t xml:space="preserve"> cit., p. 55.</w:t>
      </w:r>
    </w:p>
  </w:footnote>
  <w:footnote w:id="13">
    <w:p w14:paraId="6B7ED2C0"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 </w:t>
      </w:r>
      <w:r w:rsidRPr="00AA56DE">
        <w:rPr>
          <w:rFonts w:ascii="Times New Roman" w:hAnsi="Times New Roman" w:cs="Times New Roman"/>
          <w:smallCaps/>
        </w:rPr>
        <w:t>Poggi</w:t>
      </w:r>
      <w:r w:rsidRPr="00AA56DE">
        <w:rPr>
          <w:rFonts w:ascii="Times New Roman" w:hAnsi="Times New Roman" w:cs="Times New Roman"/>
        </w:rPr>
        <w:t xml:space="preserve">, </w:t>
      </w:r>
      <w:r w:rsidRPr="00AA56DE">
        <w:rPr>
          <w:rFonts w:ascii="Times New Roman" w:hAnsi="Times New Roman" w:cs="Times New Roman"/>
          <w:i/>
        </w:rPr>
        <w:t>La buona fede e il principio di cooperazione. Una proposta interpretativa</w:t>
      </w:r>
      <w:r w:rsidRPr="00AA56DE">
        <w:rPr>
          <w:rFonts w:ascii="Times New Roman" w:hAnsi="Times New Roman" w:cs="Times New Roman"/>
        </w:rPr>
        <w:t xml:space="preserve">, in </w:t>
      </w:r>
      <w:r w:rsidRPr="00AA56DE">
        <w:rPr>
          <w:rFonts w:ascii="Times New Roman" w:hAnsi="Times New Roman" w:cs="Times New Roman"/>
          <w:i/>
        </w:rPr>
        <w:t>Rivista critica di diritto privato</w:t>
      </w:r>
      <w:r w:rsidRPr="00AA56DE">
        <w:rPr>
          <w:rFonts w:ascii="Times New Roman" w:hAnsi="Times New Roman" w:cs="Times New Roman"/>
        </w:rPr>
        <w:t>, n. 2/2012, pp. 241-268.</w:t>
      </w:r>
    </w:p>
  </w:footnote>
  <w:footnote w:id="14">
    <w:p w14:paraId="7B67F619"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Basti citare le note ordinanze della Corte costituzionale 24 ottobre 2013, n. 238 e 2 aprile 2014, n. 77. Con riferimento alla giurisprudenza di legittimità, si rinvia a Cass. Sez. Un., 4 novembre 2019, n. 28314, ove si legge che “l’affidamento, che costituisce il nucleo costitutivo della nozione di buona fede, ha un sicuro ancoraggio costituzionale nell’art. 2 Cost.”.</w:t>
      </w:r>
    </w:p>
  </w:footnote>
  <w:footnote w:id="15">
    <w:p w14:paraId="5E592214"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T. </w:t>
      </w:r>
      <w:r w:rsidRPr="00AA56DE">
        <w:rPr>
          <w:rFonts w:ascii="Times New Roman" w:hAnsi="Times New Roman" w:cs="Times New Roman"/>
          <w:smallCaps/>
        </w:rPr>
        <w:t>Greco</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xml:space="preserve"> p. 116.</w:t>
      </w:r>
    </w:p>
  </w:footnote>
  <w:footnote w:id="16">
    <w:p w14:paraId="1C7D42FE"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Ivi</w:t>
      </w:r>
      <w:r w:rsidRPr="00AA56DE">
        <w:rPr>
          <w:rFonts w:ascii="Times New Roman" w:hAnsi="Times New Roman" w:cs="Times New Roman"/>
        </w:rPr>
        <w:t>, p. 118.</w:t>
      </w:r>
    </w:p>
  </w:footnote>
  <w:footnote w:id="17">
    <w:p w14:paraId="0C7FC911"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V. </w:t>
      </w:r>
      <w:r w:rsidRPr="00AA56DE">
        <w:rPr>
          <w:rFonts w:ascii="Times New Roman" w:hAnsi="Times New Roman" w:cs="Times New Roman"/>
          <w:smallCaps/>
        </w:rPr>
        <w:t>Pelligra</w:t>
      </w:r>
      <w:r w:rsidRPr="00AA56DE">
        <w:rPr>
          <w:rFonts w:ascii="Times New Roman" w:hAnsi="Times New Roman" w:cs="Times New Roman"/>
        </w:rPr>
        <w:t xml:space="preserve">, </w:t>
      </w:r>
      <w:r w:rsidRPr="00AA56DE">
        <w:rPr>
          <w:rFonts w:ascii="Times New Roman" w:hAnsi="Times New Roman" w:cs="Times New Roman"/>
          <w:i/>
        </w:rPr>
        <w:t>I paradossi della fiducia. Scelte razionali e dinamiche interpersonali</w:t>
      </w:r>
      <w:r w:rsidRPr="00AA56DE">
        <w:rPr>
          <w:rFonts w:ascii="Times New Roman" w:hAnsi="Times New Roman" w:cs="Times New Roman"/>
        </w:rPr>
        <w:t>, Il Mulino, 2007, p. 88.</w:t>
      </w:r>
    </w:p>
  </w:footnote>
  <w:footnote w:id="18">
    <w:p w14:paraId="1D514CE5"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T. </w:t>
      </w:r>
      <w:r w:rsidRPr="00AA56DE">
        <w:rPr>
          <w:rFonts w:ascii="Times New Roman" w:hAnsi="Times New Roman" w:cs="Times New Roman"/>
          <w:smallCaps/>
        </w:rPr>
        <w:t>Greco</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126.</w:t>
      </w:r>
    </w:p>
  </w:footnote>
  <w:footnote w:id="19">
    <w:p w14:paraId="52FFBE1D"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Zagrebelsky</w:t>
      </w:r>
      <w:r w:rsidRPr="00AA56DE">
        <w:rPr>
          <w:rFonts w:ascii="Times New Roman" w:hAnsi="Times New Roman" w:cs="Times New Roman"/>
        </w:rPr>
        <w:t xml:space="preserve">, </w:t>
      </w:r>
      <w:r w:rsidRPr="00AA56DE">
        <w:rPr>
          <w:rFonts w:ascii="Times New Roman" w:hAnsi="Times New Roman" w:cs="Times New Roman"/>
          <w:i/>
        </w:rPr>
        <w:t>Diritto allo specchio</w:t>
      </w:r>
      <w:r w:rsidRPr="00AA56DE">
        <w:rPr>
          <w:rFonts w:ascii="Times New Roman" w:hAnsi="Times New Roman" w:cs="Times New Roman"/>
        </w:rPr>
        <w:t>, Einaudi, 2018, p. 233.</w:t>
      </w:r>
    </w:p>
  </w:footnote>
  <w:footnote w:id="20">
    <w:p w14:paraId="382D3EF8"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P. </w:t>
      </w:r>
      <w:r w:rsidRPr="00AA56DE">
        <w:rPr>
          <w:rFonts w:ascii="Times New Roman" w:hAnsi="Times New Roman" w:cs="Times New Roman"/>
          <w:smallCaps/>
        </w:rPr>
        <w:t>Miele</w:t>
      </w:r>
      <w:r w:rsidRPr="00AA56DE">
        <w:rPr>
          <w:rFonts w:ascii="Times New Roman" w:hAnsi="Times New Roman" w:cs="Times New Roman"/>
        </w:rPr>
        <w:t xml:space="preserve">, </w:t>
      </w:r>
      <w:r w:rsidRPr="00AA56DE">
        <w:rPr>
          <w:rFonts w:ascii="Times New Roman" w:hAnsi="Times New Roman" w:cs="Times New Roman"/>
          <w:i/>
          <w:iCs/>
        </w:rPr>
        <w:t>Principio del risultato, principio della fiducia e legittimità nel codice dei contratti pubblici</w:t>
      </w:r>
      <w:r w:rsidRPr="00AA56DE">
        <w:rPr>
          <w:rFonts w:ascii="Times New Roman" w:hAnsi="Times New Roman" w:cs="Times New Roman"/>
        </w:rPr>
        <w:t xml:space="preserve">, in </w:t>
      </w:r>
      <w:r w:rsidRPr="00AA56DE">
        <w:rPr>
          <w:rFonts w:ascii="Times New Roman" w:hAnsi="Times New Roman" w:cs="Times New Roman"/>
          <w:i/>
          <w:iCs/>
        </w:rPr>
        <w:t>Riv. Corte dei conti</w:t>
      </w:r>
      <w:r w:rsidRPr="00AA56DE">
        <w:rPr>
          <w:rFonts w:ascii="Times New Roman" w:hAnsi="Times New Roman" w:cs="Times New Roman"/>
        </w:rPr>
        <w:t>, n. 6/2024.</w:t>
      </w:r>
    </w:p>
  </w:footnote>
  <w:footnote w:id="21">
    <w:p w14:paraId="3AD5812B"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A. </w:t>
      </w:r>
      <w:r w:rsidRPr="00AA56DE">
        <w:rPr>
          <w:rFonts w:ascii="Times New Roman" w:hAnsi="Times New Roman" w:cs="Times New Roman"/>
          <w:smallCaps/>
        </w:rPr>
        <w:t>Cioffi</w:t>
      </w:r>
      <w:r w:rsidRPr="00AA56DE">
        <w:rPr>
          <w:rFonts w:ascii="Times New Roman" w:hAnsi="Times New Roman" w:cs="Times New Roman"/>
        </w:rPr>
        <w:t xml:space="preserve">, </w:t>
      </w:r>
      <w:r w:rsidRPr="00AA56DE">
        <w:rPr>
          <w:rFonts w:ascii="Times New Roman" w:hAnsi="Times New Roman" w:cs="Times New Roman"/>
          <w:i/>
        </w:rPr>
        <w:t>Prima lettura del nuovo Codice dei contratti e dei suoi tre principi fondamentali</w:t>
      </w:r>
      <w:r w:rsidRPr="00AA56DE">
        <w:rPr>
          <w:rFonts w:ascii="Times New Roman" w:hAnsi="Times New Roman" w:cs="Times New Roman"/>
        </w:rPr>
        <w:t>, 2023, disponibile in https://www.apertacontrada.it/2023/01/16/prima-lettura-del-nuovo-codice-dei-contratti-e-dei-suoi-tre-principi-fondamentali/.</w:t>
      </w:r>
    </w:p>
  </w:footnote>
  <w:footnote w:id="22">
    <w:p w14:paraId="2BC916A1"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 </w:t>
      </w:r>
      <w:r w:rsidRPr="00AA56DE">
        <w:rPr>
          <w:rFonts w:ascii="Times New Roman" w:hAnsi="Times New Roman" w:cs="Times New Roman"/>
          <w:smallCaps/>
        </w:rPr>
        <w:t>Saitta</w:t>
      </w:r>
      <w:r w:rsidRPr="00AA56DE">
        <w:rPr>
          <w:rFonts w:ascii="Times New Roman" w:hAnsi="Times New Roman" w:cs="Times New Roman"/>
        </w:rPr>
        <w:t xml:space="preserve">, </w:t>
      </w:r>
      <w:r w:rsidRPr="00AA56DE">
        <w:rPr>
          <w:rFonts w:ascii="Times New Roman" w:hAnsi="Times New Roman" w:cs="Times New Roman"/>
          <w:i/>
        </w:rPr>
        <w:t>I principi generali del nuovo Codice dei contratti pubblici</w:t>
      </w:r>
      <w:r w:rsidRPr="00AA56DE">
        <w:rPr>
          <w:rFonts w:ascii="Times New Roman" w:hAnsi="Times New Roman" w:cs="Times New Roman"/>
        </w:rPr>
        <w:t>, 2023, disponibile in https://www.giustiziainsieme.it/it/diritto-e-processo-amministrativo/2799-i-principi-generali-del-nuovo-codice-dei-contratti-pubblici.</w:t>
      </w:r>
    </w:p>
  </w:footnote>
  <w:footnote w:id="23">
    <w:p w14:paraId="5C75E751"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Relazione agli articoli e agli allegati dello Schema definitivo di Codice dei contratti pubblici in attuazione dell’articolo 1 della legge 21 giugno 2022, n. 78, recante “Delega al Governo in materia di contratti pubblici”</w:t>
      </w:r>
      <w:r w:rsidRPr="00AA56DE">
        <w:rPr>
          <w:rFonts w:ascii="Times New Roman" w:hAnsi="Times New Roman" w:cs="Times New Roman"/>
        </w:rPr>
        <w:t>, disponibile in https://www.giustizia-amministrativa.it/documents/20142/17550825/3_CODICE+CONTRATTI+RELAZIONE.pdf/d3223534-d548-1fdc-4be4-e9632c641eb8?t=1670933091420, p. 14.</w:t>
      </w:r>
    </w:p>
  </w:footnote>
  <w:footnote w:id="24">
    <w:p w14:paraId="3237FD8C"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Ibidem</w:t>
      </w:r>
      <w:r w:rsidRPr="00AA56DE">
        <w:rPr>
          <w:rFonts w:ascii="Times New Roman" w:hAnsi="Times New Roman" w:cs="Times New Roman"/>
        </w:rPr>
        <w:t>.</w:t>
      </w:r>
    </w:p>
  </w:footnote>
  <w:footnote w:id="25">
    <w:p w14:paraId="2906A5A6"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Ivi</w:t>
      </w:r>
      <w:r w:rsidRPr="00AA56DE">
        <w:rPr>
          <w:rFonts w:ascii="Times New Roman" w:hAnsi="Times New Roman" w:cs="Times New Roman"/>
        </w:rPr>
        <w:t>, p. 15.</w:t>
      </w:r>
    </w:p>
  </w:footnote>
  <w:footnote w:id="26">
    <w:p w14:paraId="7F0D9736"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L. </w:t>
      </w:r>
      <w:r w:rsidRPr="00AA56DE">
        <w:rPr>
          <w:rFonts w:ascii="Times New Roman" w:hAnsi="Times New Roman" w:cs="Times New Roman"/>
          <w:smallCaps/>
        </w:rPr>
        <w:t>Carbone</w:t>
      </w:r>
      <w:r w:rsidRPr="00AA56DE">
        <w:rPr>
          <w:rFonts w:ascii="Times New Roman" w:hAnsi="Times New Roman" w:cs="Times New Roman"/>
        </w:rPr>
        <w:t xml:space="preserve">, </w:t>
      </w:r>
      <w:r w:rsidRPr="00AA56DE">
        <w:rPr>
          <w:rFonts w:ascii="Times New Roman" w:hAnsi="Times New Roman" w:cs="Times New Roman"/>
          <w:i/>
        </w:rPr>
        <w:t>Una responsabilità erariale transitoriamente “spuntata”. Riflessioni a prima lettura dopo il d.l. 16 luglio 2020, n. 76 (c.d. “decreto semplificazioni”)</w:t>
      </w:r>
      <w:r w:rsidRPr="00AA56DE">
        <w:rPr>
          <w:rFonts w:ascii="Times New Roman" w:hAnsi="Times New Roman" w:cs="Times New Roman"/>
        </w:rPr>
        <w:t>, in federalismi.it, n. 30/2020, p. 10.</w:t>
      </w:r>
    </w:p>
  </w:footnote>
  <w:footnote w:id="27">
    <w:p w14:paraId="476EDE84"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Gerardo</w:t>
      </w:r>
      <w:r w:rsidRPr="00AA56DE">
        <w:rPr>
          <w:rFonts w:ascii="Times New Roman" w:hAnsi="Times New Roman" w:cs="Times New Roman"/>
        </w:rPr>
        <w:t xml:space="preserve">, </w:t>
      </w:r>
      <w:r w:rsidRPr="00AA56DE">
        <w:rPr>
          <w:rFonts w:ascii="Times New Roman" w:hAnsi="Times New Roman" w:cs="Times New Roman"/>
          <w:i/>
        </w:rPr>
        <w:t>I quattro pilastri governativi per l’utilizzo efficiente del Recovery Fund: scelta di “buoni” progetti, semplificazione delle procedure, reperimento di adeguate professionalità, limitazione delle responsabilità gestorie. Analisi e rilievi</w:t>
      </w:r>
      <w:r w:rsidRPr="00AA56DE">
        <w:rPr>
          <w:rFonts w:ascii="Times New Roman" w:hAnsi="Times New Roman" w:cs="Times New Roman"/>
        </w:rPr>
        <w:t xml:space="preserve">, in </w:t>
      </w:r>
      <w:r w:rsidRPr="00AA56DE">
        <w:rPr>
          <w:rFonts w:ascii="Times New Roman" w:hAnsi="Times New Roman" w:cs="Times New Roman"/>
          <w:i/>
        </w:rPr>
        <w:t>Rassegna Avvocatura dello Stato</w:t>
      </w:r>
      <w:r w:rsidRPr="00AA56DE">
        <w:rPr>
          <w:rFonts w:ascii="Times New Roman" w:hAnsi="Times New Roman" w:cs="Times New Roman"/>
        </w:rPr>
        <w:t>, n. 4/2020, p. 233.</w:t>
      </w:r>
    </w:p>
  </w:footnote>
  <w:footnote w:id="28">
    <w:p w14:paraId="035B3703"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D. </w:t>
      </w:r>
      <w:r w:rsidRPr="00AA56DE">
        <w:rPr>
          <w:rFonts w:ascii="Times New Roman" w:hAnsi="Times New Roman" w:cs="Times New Roman"/>
          <w:smallCaps/>
        </w:rPr>
        <w:t>Immordino</w:t>
      </w:r>
      <w:r w:rsidRPr="00AA56DE">
        <w:rPr>
          <w:rFonts w:ascii="Times New Roman" w:hAnsi="Times New Roman" w:cs="Times New Roman"/>
        </w:rPr>
        <w:t xml:space="preserve">, </w:t>
      </w:r>
      <w:r w:rsidRPr="00AA56DE">
        <w:rPr>
          <w:rFonts w:ascii="Times New Roman" w:hAnsi="Times New Roman" w:cs="Times New Roman"/>
          <w:i/>
        </w:rPr>
        <w:t>Responsabilità erariale e “buona amministrazione” nell’evoluzione dell’interesse pubblico</w:t>
      </w:r>
      <w:r w:rsidRPr="00AA56DE">
        <w:rPr>
          <w:rFonts w:ascii="Times New Roman" w:hAnsi="Times New Roman" w:cs="Times New Roman"/>
        </w:rPr>
        <w:t>, in Rivista Corte dei conti, n. 3/2022, p. 75.</w:t>
      </w:r>
    </w:p>
  </w:footnote>
  <w:footnote w:id="29">
    <w:p w14:paraId="5D5A2563"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 </w:t>
      </w:r>
      <w:r w:rsidRPr="00AA56DE">
        <w:rPr>
          <w:rFonts w:ascii="Times New Roman" w:hAnsi="Times New Roman" w:cs="Times New Roman"/>
          <w:smallCaps/>
        </w:rPr>
        <w:t>Albo</w:t>
      </w:r>
      <w:r w:rsidRPr="00AA56DE">
        <w:rPr>
          <w:rFonts w:ascii="Times New Roman" w:hAnsi="Times New Roman" w:cs="Times New Roman"/>
        </w:rPr>
        <w:t xml:space="preserve">, </w:t>
      </w:r>
      <w:r w:rsidRPr="00AA56DE">
        <w:rPr>
          <w:rFonts w:ascii="Times New Roman" w:hAnsi="Times New Roman" w:cs="Times New Roman"/>
          <w:i/>
        </w:rPr>
        <w:t xml:space="preserve">Limitazione della responsabilità amministrativa e anticorruzione: il PNRR è adeguatamente </w:t>
      </w:r>
      <w:proofErr w:type="gramStart"/>
      <w:r w:rsidRPr="00AA56DE">
        <w:rPr>
          <w:rFonts w:ascii="Times New Roman" w:hAnsi="Times New Roman" w:cs="Times New Roman"/>
          <w:i/>
        </w:rPr>
        <w:t>protetto?</w:t>
      </w:r>
      <w:r w:rsidRPr="00AA56DE">
        <w:rPr>
          <w:rFonts w:ascii="Times New Roman" w:hAnsi="Times New Roman" w:cs="Times New Roman"/>
        </w:rPr>
        <w:t>,</w:t>
      </w:r>
      <w:proofErr w:type="gramEnd"/>
      <w:r w:rsidRPr="00AA56DE">
        <w:rPr>
          <w:rFonts w:ascii="Times New Roman" w:hAnsi="Times New Roman" w:cs="Times New Roman"/>
        </w:rPr>
        <w:t xml:space="preserve"> 2021, disponibile in https://dirittoeconti.it/limitazione-della-responsabilita-amministrativa-e-anticorruzione-il-pnrr-e-adeguatamente-protetto/.</w:t>
      </w:r>
    </w:p>
  </w:footnote>
  <w:footnote w:id="30">
    <w:p w14:paraId="665922C0" w14:textId="77777777" w:rsidR="008D1DEF" w:rsidRPr="00AA56DE" w:rsidRDefault="008D1DEF"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V. nota 27.</w:t>
      </w:r>
    </w:p>
  </w:footnote>
  <w:footnote w:id="31">
    <w:p w14:paraId="6FEDF580" w14:textId="0BDBBEF9" w:rsidR="00721717" w:rsidRPr="00AA56DE" w:rsidRDefault="0072171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H. </w:t>
      </w:r>
      <w:r w:rsidRPr="00AA56DE">
        <w:rPr>
          <w:rFonts w:ascii="Times New Roman" w:hAnsi="Times New Roman" w:cs="Times New Roman"/>
          <w:smallCaps/>
        </w:rPr>
        <w:t>B</w:t>
      </w:r>
      <w:r w:rsidR="00505811" w:rsidRPr="00AA56DE">
        <w:rPr>
          <w:rFonts w:ascii="Times New Roman" w:hAnsi="Times New Roman" w:cs="Times New Roman"/>
          <w:smallCaps/>
        </w:rPr>
        <w:t>onura</w:t>
      </w:r>
      <w:r w:rsidRPr="00AA56DE">
        <w:rPr>
          <w:rFonts w:ascii="Times New Roman" w:hAnsi="Times New Roman" w:cs="Times New Roman"/>
        </w:rPr>
        <w:t xml:space="preserve">, </w:t>
      </w:r>
      <w:r w:rsidRPr="00AA56DE">
        <w:rPr>
          <w:rFonts w:ascii="Times New Roman" w:hAnsi="Times New Roman" w:cs="Times New Roman"/>
          <w:i/>
          <w:iCs/>
        </w:rPr>
        <w:t>La paura della firma e la “nuova” responsabilità amministrativa: il decreto Semplificazioni tra equilibri ed equilibrismi (primo commento agli articoli 21 e 22 del “decreto Semplificazioni”)</w:t>
      </w:r>
      <w:r w:rsidRPr="00AA56DE">
        <w:rPr>
          <w:rFonts w:ascii="Times New Roman" w:hAnsi="Times New Roman" w:cs="Times New Roman"/>
        </w:rPr>
        <w:t xml:space="preserve">, in </w:t>
      </w:r>
      <w:r w:rsidRPr="00AA56DE">
        <w:rPr>
          <w:rFonts w:ascii="Times New Roman" w:hAnsi="Times New Roman" w:cs="Times New Roman"/>
          <w:smallCaps/>
        </w:rPr>
        <w:t>D. B</w:t>
      </w:r>
      <w:r w:rsidR="00505811" w:rsidRPr="00AA56DE">
        <w:rPr>
          <w:rFonts w:ascii="Times New Roman" w:hAnsi="Times New Roman" w:cs="Times New Roman"/>
          <w:smallCaps/>
        </w:rPr>
        <w:t>olognino</w:t>
      </w:r>
      <w:r w:rsidRPr="00AA56DE">
        <w:rPr>
          <w:rFonts w:ascii="Times New Roman" w:hAnsi="Times New Roman" w:cs="Times New Roman"/>
          <w:smallCaps/>
        </w:rPr>
        <w:t>, H. B</w:t>
      </w:r>
      <w:r w:rsidR="00505811" w:rsidRPr="00AA56DE">
        <w:rPr>
          <w:rFonts w:ascii="Times New Roman" w:hAnsi="Times New Roman" w:cs="Times New Roman"/>
          <w:smallCaps/>
        </w:rPr>
        <w:t>onura</w:t>
      </w:r>
      <w:r w:rsidRPr="00AA56DE">
        <w:rPr>
          <w:rFonts w:ascii="Times New Roman" w:hAnsi="Times New Roman" w:cs="Times New Roman"/>
          <w:smallCaps/>
        </w:rPr>
        <w:t>, A. S</w:t>
      </w:r>
      <w:r w:rsidR="00505811" w:rsidRPr="00AA56DE">
        <w:rPr>
          <w:rFonts w:ascii="Times New Roman" w:hAnsi="Times New Roman" w:cs="Times New Roman"/>
          <w:smallCaps/>
        </w:rPr>
        <w:t>torto</w:t>
      </w:r>
      <w:r w:rsidRPr="00AA56DE">
        <w:rPr>
          <w:rFonts w:ascii="Times New Roman" w:hAnsi="Times New Roman" w:cs="Times New Roman"/>
        </w:rPr>
        <w:t xml:space="preserve">, </w:t>
      </w:r>
      <w:r w:rsidRPr="00AA56DE">
        <w:rPr>
          <w:rFonts w:ascii="Times New Roman" w:hAnsi="Times New Roman" w:cs="Times New Roman"/>
          <w:i/>
          <w:iCs/>
        </w:rPr>
        <w:t>I contratti pubblici dopo il decreto Semplificazioni. Le principali novità in materia di contratti pubblici, responsabilità, controlli, procedimento e processo, tra emergenza e sistema “a regime”,</w:t>
      </w:r>
      <w:r w:rsidRPr="00AA56DE">
        <w:rPr>
          <w:rFonts w:ascii="Times New Roman" w:hAnsi="Times New Roman" w:cs="Times New Roman"/>
        </w:rPr>
        <w:t xml:space="preserve"> La Tribuna, 2020, pp. 87 ss.; A. </w:t>
      </w:r>
      <w:r w:rsidRPr="00AA56DE">
        <w:rPr>
          <w:rFonts w:ascii="Times New Roman" w:hAnsi="Times New Roman" w:cs="Times New Roman"/>
          <w:smallCaps/>
        </w:rPr>
        <w:t>C</w:t>
      </w:r>
      <w:r w:rsidR="00505811" w:rsidRPr="00AA56DE">
        <w:rPr>
          <w:rFonts w:ascii="Times New Roman" w:hAnsi="Times New Roman" w:cs="Times New Roman"/>
          <w:smallCaps/>
        </w:rPr>
        <w:t>iaramella</w:t>
      </w:r>
      <w:r w:rsidRPr="00AA56DE">
        <w:rPr>
          <w:rFonts w:ascii="Times New Roman" w:hAnsi="Times New Roman" w:cs="Times New Roman"/>
        </w:rPr>
        <w:t xml:space="preserve">, </w:t>
      </w:r>
      <w:r w:rsidRPr="00AA56DE">
        <w:rPr>
          <w:rFonts w:ascii="Times New Roman" w:hAnsi="Times New Roman" w:cs="Times New Roman"/>
          <w:i/>
          <w:iCs/>
        </w:rPr>
        <w:t>La sopravvivenza normativa della colpa grave nella responsabilità erariale</w:t>
      </w:r>
      <w:r w:rsidRPr="00AA56DE">
        <w:rPr>
          <w:rFonts w:ascii="Times New Roman" w:hAnsi="Times New Roman" w:cs="Times New Roman"/>
        </w:rPr>
        <w:t xml:space="preserve">, in dirittoeconti.it, 24 giugno 2020; </w:t>
      </w:r>
      <w:r w:rsidRPr="00AA56DE">
        <w:rPr>
          <w:rFonts w:ascii="Times New Roman" w:hAnsi="Times New Roman" w:cs="Times New Roman"/>
          <w:smallCaps/>
        </w:rPr>
        <w:t>S. C</w:t>
      </w:r>
      <w:r w:rsidR="00505811" w:rsidRPr="00AA56DE">
        <w:rPr>
          <w:rFonts w:ascii="Times New Roman" w:hAnsi="Times New Roman" w:cs="Times New Roman"/>
          <w:smallCaps/>
        </w:rPr>
        <w:t>imini</w:t>
      </w:r>
      <w:r w:rsidRPr="00AA56DE">
        <w:rPr>
          <w:rFonts w:ascii="Times New Roman" w:hAnsi="Times New Roman" w:cs="Times New Roman"/>
          <w:smallCaps/>
        </w:rPr>
        <w:t>, F. V</w:t>
      </w:r>
      <w:r w:rsidR="00505811" w:rsidRPr="00AA56DE">
        <w:rPr>
          <w:rFonts w:ascii="Times New Roman" w:hAnsi="Times New Roman" w:cs="Times New Roman"/>
          <w:smallCaps/>
        </w:rPr>
        <w:t>alentini</w:t>
      </w:r>
      <w:r w:rsidRPr="00AA56DE">
        <w:rPr>
          <w:rFonts w:ascii="Times New Roman" w:hAnsi="Times New Roman" w:cs="Times New Roman"/>
        </w:rPr>
        <w:t xml:space="preserve">, </w:t>
      </w:r>
      <w:r w:rsidRPr="00AA56DE">
        <w:rPr>
          <w:rFonts w:ascii="Times New Roman" w:hAnsi="Times New Roman" w:cs="Times New Roman"/>
          <w:i/>
          <w:iCs/>
        </w:rPr>
        <w:t>La dubbia efficacia dello “scudo erariale” come strumento di tutela del buon andamento della p.a.</w:t>
      </w:r>
      <w:r w:rsidRPr="00AA56DE">
        <w:rPr>
          <w:rFonts w:ascii="Times New Roman" w:hAnsi="Times New Roman" w:cs="Times New Roman"/>
        </w:rPr>
        <w:t xml:space="preserve">, cit., pp. 1 ss.; L. </w:t>
      </w:r>
      <w:r w:rsidRPr="00AA56DE">
        <w:rPr>
          <w:rFonts w:ascii="Times New Roman" w:hAnsi="Times New Roman" w:cs="Times New Roman"/>
          <w:smallCaps/>
        </w:rPr>
        <w:t>D’A</w:t>
      </w:r>
      <w:r w:rsidR="00505811" w:rsidRPr="00AA56DE">
        <w:rPr>
          <w:rFonts w:ascii="Times New Roman" w:hAnsi="Times New Roman" w:cs="Times New Roman"/>
          <w:smallCaps/>
        </w:rPr>
        <w:t>ngelo</w:t>
      </w:r>
      <w:r w:rsidRPr="00AA56DE">
        <w:rPr>
          <w:rFonts w:ascii="Times New Roman" w:hAnsi="Times New Roman" w:cs="Times New Roman"/>
        </w:rPr>
        <w:t xml:space="preserve">, </w:t>
      </w:r>
      <w:r w:rsidRPr="00AA56DE">
        <w:rPr>
          <w:rFonts w:ascii="Times New Roman" w:hAnsi="Times New Roman" w:cs="Times New Roman"/>
          <w:i/>
          <w:iCs/>
        </w:rPr>
        <w:t xml:space="preserve">Il “nuovo” dolo erariale nelle prime decisioni del giudice contabile (nota a Corte dei conti, Sez. I App., 2 settembre 2020, n. 234), </w:t>
      </w:r>
      <w:r w:rsidRPr="00AA56DE">
        <w:rPr>
          <w:rFonts w:ascii="Times New Roman" w:hAnsi="Times New Roman" w:cs="Times New Roman"/>
        </w:rPr>
        <w:t xml:space="preserve">in lexitalia.it, 25 settembre 2020; A. </w:t>
      </w:r>
      <w:r w:rsidRPr="00AA56DE">
        <w:rPr>
          <w:rFonts w:ascii="Times New Roman" w:hAnsi="Times New Roman" w:cs="Times New Roman"/>
          <w:smallCaps/>
        </w:rPr>
        <w:t>G</w:t>
      </w:r>
      <w:r w:rsidR="00505811" w:rsidRPr="00AA56DE">
        <w:rPr>
          <w:rFonts w:ascii="Times New Roman" w:hAnsi="Times New Roman" w:cs="Times New Roman"/>
          <w:smallCaps/>
        </w:rPr>
        <w:t>iordano</w:t>
      </w:r>
      <w:r w:rsidRPr="00AA56DE">
        <w:rPr>
          <w:rFonts w:ascii="Times New Roman" w:hAnsi="Times New Roman" w:cs="Times New Roman"/>
        </w:rPr>
        <w:t xml:space="preserve">, </w:t>
      </w:r>
      <w:r w:rsidRPr="00AA56DE">
        <w:rPr>
          <w:rFonts w:ascii="Times New Roman" w:hAnsi="Times New Roman" w:cs="Times New Roman"/>
          <w:i/>
          <w:iCs/>
        </w:rPr>
        <w:t>La responsabilità amministrativa tra legge e necessità</w:t>
      </w:r>
      <w:r w:rsidRPr="00AA56DE">
        <w:rPr>
          <w:rFonts w:ascii="Times New Roman" w:hAnsi="Times New Roman" w:cs="Times New Roman"/>
        </w:rPr>
        <w:t xml:space="preserve">, in Riv. Corte dei conti, n. 1/2021, pp. 14 ss.; </w:t>
      </w:r>
      <w:r w:rsidRPr="00AA56DE">
        <w:rPr>
          <w:rFonts w:ascii="Times New Roman" w:hAnsi="Times New Roman" w:cs="Times New Roman"/>
          <w:smallCaps/>
        </w:rPr>
        <w:t>C. E.</w:t>
      </w:r>
      <w:r w:rsidR="00505811" w:rsidRPr="00AA56DE">
        <w:rPr>
          <w:rFonts w:ascii="Times New Roman" w:hAnsi="Times New Roman" w:cs="Times New Roman"/>
          <w:smallCaps/>
        </w:rPr>
        <w:t xml:space="preserve"> Marré Brunenghi</w:t>
      </w:r>
      <w:r w:rsidRPr="00AA56DE">
        <w:rPr>
          <w:rFonts w:ascii="Times New Roman" w:hAnsi="Times New Roman" w:cs="Times New Roman"/>
        </w:rPr>
        <w:t xml:space="preserve">, </w:t>
      </w:r>
      <w:r w:rsidRPr="00AA56DE">
        <w:rPr>
          <w:rFonts w:ascii="Times New Roman" w:hAnsi="Times New Roman" w:cs="Times New Roman"/>
          <w:i/>
          <w:iCs/>
        </w:rPr>
        <w:t>Prime riflessioni critiche sulla nuova responsabilità erariale nel decreto</w:t>
      </w:r>
      <w:r w:rsidR="00505811" w:rsidRPr="00AA56DE">
        <w:rPr>
          <w:rFonts w:ascii="Times New Roman" w:hAnsi="Times New Roman" w:cs="Times New Roman"/>
          <w:i/>
          <w:iCs/>
        </w:rPr>
        <w:t>-</w:t>
      </w:r>
      <w:r w:rsidRPr="00AA56DE">
        <w:rPr>
          <w:rFonts w:ascii="Times New Roman" w:hAnsi="Times New Roman" w:cs="Times New Roman"/>
          <w:i/>
          <w:iCs/>
        </w:rPr>
        <w:t>legge 16 luglio 2020, n. 76, conv. in legge 11 settembre 2020, n. 120</w:t>
      </w:r>
      <w:r w:rsidRPr="00AA56DE">
        <w:rPr>
          <w:rFonts w:ascii="Times New Roman" w:hAnsi="Times New Roman" w:cs="Times New Roman"/>
        </w:rPr>
        <w:t xml:space="preserve">, in Bilancio Comunità Persona, n. 2/2020, pp. 151 ss.; M. </w:t>
      </w:r>
      <w:r w:rsidRPr="00AA56DE">
        <w:rPr>
          <w:rFonts w:ascii="Times New Roman" w:hAnsi="Times New Roman" w:cs="Times New Roman"/>
          <w:smallCaps/>
        </w:rPr>
        <w:t>P</w:t>
      </w:r>
      <w:r w:rsidR="00505811" w:rsidRPr="00AA56DE">
        <w:rPr>
          <w:rFonts w:ascii="Times New Roman" w:hAnsi="Times New Roman" w:cs="Times New Roman"/>
          <w:smallCaps/>
        </w:rPr>
        <w:t>ecchioli</w:t>
      </w:r>
      <w:r w:rsidRPr="00AA56DE">
        <w:rPr>
          <w:rFonts w:ascii="Times New Roman" w:hAnsi="Times New Roman" w:cs="Times New Roman"/>
        </w:rPr>
        <w:t xml:space="preserve">, </w:t>
      </w:r>
      <w:r w:rsidRPr="00AA56DE">
        <w:rPr>
          <w:rFonts w:ascii="Times New Roman" w:hAnsi="Times New Roman" w:cs="Times New Roman"/>
          <w:i/>
          <w:iCs/>
        </w:rPr>
        <w:t>Quando il rimedio è peggiore del male: il decreto-legge n. 76/2020 e l’inefficace lotta alla “paura della firma”. Individuare le cause per ripensare le soluzioni, in P.A. Persona e amministrazione</w:t>
      </w:r>
      <w:r w:rsidRPr="00AA56DE">
        <w:rPr>
          <w:rFonts w:ascii="Times New Roman" w:hAnsi="Times New Roman" w:cs="Times New Roman"/>
        </w:rPr>
        <w:t xml:space="preserve">, 1/2022, pp. 645 ss.; M. </w:t>
      </w:r>
      <w:r w:rsidRPr="00AA56DE">
        <w:rPr>
          <w:rFonts w:ascii="Times New Roman" w:hAnsi="Times New Roman" w:cs="Times New Roman"/>
          <w:smallCaps/>
        </w:rPr>
        <w:t>P</w:t>
      </w:r>
      <w:r w:rsidR="00505811" w:rsidRPr="00AA56DE">
        <w:rPr>
          <w:rFonts w:ascii="Times New Roman" w:hAnsi="Times New Roman" w:cs="Times New Roman"/>
          <w:smallCaps/>
        </w:rPr>
        <w:t>erin</w:t>
      </w:r>
      <w:r w:rsidRPr="00AA56DE">
        <w:rPr>
          <w:rFonts w:ascii="Times New Roman" w:hAnsi="Times New Roman" w:cs="Times New Roman"/>
        </w:rPr>
        <w:t xml:space="preserve">, </w:t>
      </w:r>
      <w:r w:rsidRPr="00AA56DE">
        <w:rPr>
          <w:rFonts w:ascii="Times New Roman" w:hAnsi="Times New Roman" w:cs="Times New Roman"/>
          <w:i/>
          <w:iCs/>
        </w:rPr>
        <w:t>Le modifiche (o soppressione) della responsabilità amministrativa per colpa grave. Saranno utili? Probabilmente no,</w:t>
      </w:r>
      <w:r w:rsidRPr="00AA56DE">
        <w:rPr>
          <w:rFonts w:ascii="Times New Roman" w:hAnsi="Times New Roman" w:cs="Times New Roman"/>
        </w:rPr>
        <w:t xml:space="preserve"> in lexitalia.it, 25 agosto 2020; L. </w:t>
      </w:r>
      <w:r w:rsidRPr="00AA56DE">
        <w:rPr>
          <w:rFonts w:ascii="Times New Roman" w:hAnsi="Times New Roman" w:cs="Times New Roman"/>
          <w:smallCaps/>
        </w:rPr>
        <w:t>T</w:t>
      </w:r>
      <w:r w:rsidR="00505811" w:rsidRPr="00AA56DE">
        <w:rPr>
          <w:rFonts w:ascii="Times New Roman" w:hAnsi="Times New Roman" w:cs="Times New Roman"/>
          <w:smallCaps/>
        </w:rPr>
        <w:t>orchia</w:t>
      </w:r>
      <w:r w:rsidRPr="00AA56DE">
        <w:rPr>
          <w:rFonts w:ascii="Times New Roman" w:hAnsi="Times New Roman" w:cs="Times New Roman"/>
        </w:rPr>
        <w:t xml:space="preserve">, </w:t>
      </w:r>
      <w:r w:rsidRPr="00AA56DE">
        <w:rPr>
          <w:rFonts w:ascii="Times New Roman" w:hAnsi="Times New Roman" w:cs="Times New Roman"/>
          <w:i/>
          <w:iCs/>
        </w:rPr>
        <w:t>La responsabilità amministrativa</w:t>
      </w:r>
      <w:r w:rsidRPr="00AA56DE">
        <w:rPr>
          <w:rFonts w:ascii="Times New Roman" w:hAnsi="Times New Roman" w:cs="Times New Roman"/>
        </w:rPr>
        <w:t>, in Giorn. dir. amm., 2020, pp. 727 ss.</w:t>
      </w:r>
    </w:p>
  </w:footnote>
  <w:footnote w:id="32">
    <w:p w14:paraId="1E837724" w14:textId="2C0D85A7" w:rsidR="00256DDD" w:rsidRPr="00AA56DE" w:rsidRDefault="00256DD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V. </w:t>
      </w:r>
      <w:r w:rsidRPr="00AA56DE">
        <w:rPr>
          <w:rFonts w:ascii="Times New Roman" w:hAnsi="Times New Roman" w:cs="Times New Roman"/>
          <w:smallCaps/>
        </w:rPr>
        <w:t>Tenore</w:t>
      </w:r>
      <w:r w:rsidRPr="00AA56DE">
        <w:rPr>
          <w:rFonts w:ascii="Times New Roman" w:hAnsi="Times New Roman" w:cs="Times New Roman"/>
        </w:rPr>
        <w:t xml:space="preserve">, </w:t>
      </w:r>
      <w:r w:rsidRPr="00AA56DE">
        <w:rPr>
          <w:rFonts w:ascii="Times New Roman" w:hAnsi="Times New Roman" w:cs="Times New Roman"/>
          <w:i/>
          <w:iCs/>
        </w:rPr>
        <w:t xml:space="preserve">Vuolsi così colà dove si puote cio che si vuole, e più non dimandare: lo “scudo erariale” è legittimo perché temporaneo e teso ad alleviare “la fatica dell’amministrare”, che rende legittimo anche l’adottando progetto di legge Foti C1621, </w:t>
      </w:r>
      <w:r w:rsidRPr="00AA56DE">
        <w:rPr>
          <w:rFonts w:ascii="Times New Roman" w:hAnsi="Times New Roman" w:cs="Times New Roman"/>
        </w:rPr>
        <w:t xml:space="preserve">in </w:t>
      </w:r>
      <w:r w:rsidRPr="00AA56DE">
        <w:rPr>
          <w:rFonts w:ascii="Times New Roman" w:hAnsi="Times New Roman" w:cs="Times New Roman"/>
          <w:i/>
          <w:iCs/>
        </w:rPr>
        <w:t>Riv. Corte dei conti</w:t>
      </w:r>
      <w:r w:rsidRPr="00AA56DE">
        <w:rPr>
          <w:rFonts w:ascii="Times New Roman" w:hAnsi="Times New Roman" w:cs="Times New Roman"/>
        </w:rPr>
        <w:t xml:space="preserve">, n. 4/2024, pp. 195 ss. D. </w:t>
      </w:r>
      <w:r w:rsidRPr="00AA56DE">
        <w:rPr>
          <w:rFonts w:ascii="Times New Roman" w:hAnsi="Times New Roman" w:cs="Times New Roman"/>
          <w:smallCaps/>
        </w:rPr>
        <w:t>Palumbo</w:t>
      </w:r>
      <w:r w:rsidRPr="00AA56DE">
        <w:rPr>
          <w:rFonts w:ascii="Times New Roman" w:hAnsi="Times New Roman" w:cs="Times New Roman"/>
        </w:rPr>
        <w:t xml:space="preserve">, </w:t>
      </w:r>
      <w:r w:rsidRPr="00AA56DE">
        <w:rPr>
          <w:rFonts w:ascii="Times New Roman" w:hAnsi="Times New Roman" w:cs="Times New Roman"/>
          <w:i/>
          <w:iCs/>
        </w:rPr>
        <w:t xml:space="preserve">La sentenza della Corte costituzionale n. 132/2024: verso un nuovo punto di equilibrio nella ripartizione del rischio tra la P.A. e l’agente </w:t>
      </w:r>
      <w:proofErr w:type="gramStart"/>
      <w:r w:rsidRPr="00AA56DE">
        <w:rPr>
          <w:rFonts w:ascii="Times New Roman" w:hAnsi="Times New Roman" w:cs="Times New Roman"/>
          <w:i/>
          <w:iCs/>
        </w:rPr>
        <w:t>pubblico?,</w:t>
      </w:r>
      <w:proofErr w:type="gramEnd"/>
      <w:r w:rsidRPr="00AA56DE">
        <w:rPr>
          <w:rFonts w:ascii="Times New Roman" w:hAnsi="Times New Roman" w:cs="Times New Roman"/>
        </w:rPr>
        <w:t xml:space="preserve"> in giustiziainsieme.it, 18 novembre 2024; C. </w:t>
      </w:r>
      <w:r w:rsidRPr="00AA56DE">
        <w:rPr>
          <w:rFonts w:ascii="Times New Roman" w:hAnsi="Times New Roman" w:cs="Times New Roman"/>
          <w:smallCaps/>
        </w:rPr>
        <w:t>Taglialatela</w:t>
      </w:r>
      <w:r w:rsidRPr="00AA56DE">
        <w:rPr>
          <w:rFonts w:ascii="Times New Roman" w:hAnsi="Times New Roman" w:cs="Times New Roman"/>
        </w:rPr>
        <w:t xml:space="preserve"> – </w:t>
      </w:r>
      <w:r w:rsidRPr="00AA56DE">
        <w:rPr>
          <w:rFonts w:ascii="Times New Roman" w:hAnsi="Times New Roman" w:cs="Times New Roman"/>
          <w:smallCaps/>
        </w:rPr>
        <w:t>S. F. Regasto</w:t>
      </w:r>
      <w:r w:rsidRPr="00AA56DE">
        <w:rPr>
          <w:rFonts w:ascii="Times New Roman" w:hAnsi="Times New Roman" w:cs="Times New Roman"/>
        </w:rPr>
        <w:t xml:space="preserve">, </w:t>
      </w:r>
      <w:r w:rsidRPr="00AA56DE">
        <w:rPr>
          <w:rFonts w:ascii="Times New Roman" w:hAnsi="Times New Roman" w:cs="Times New Roman"/>
          <w:i/>
          <w:iCs/>
        </w:rPr>
        <w:t>Aspettando godot… la Corte seppellisce la responsabilità dei dipendenti pubblici? brevi considerazioni a margine della sent. Corte cost. 132/2024</w:t>
      </w:r>
      <w:r w:rsidRPr="00AA56DE">
        <w:rPr>
          <w:rFonts w:ascii="Times New Roman" w:hAnsi="Times New Roman" w:cs="Times New Roman"/>
        </w:rPr>
        <w:t xml:space="preserve">, in </w:t>
      </w:r>
      <w:r w:rsidRPr="00AA56DE">
        <w:rPr>
          <w:rFonts w:ascii="Times New Roman" w:hAnsi="Times New Roman" w:cs="Times New Roman"/>
          <w:i/>
          <w:iCs/>
        </w:rPr>
        <w:t>AmbienteDiritto.it</w:t>
      </w:r>
      <w:r w:rsidRPr="00AA56DE">
        <w:rPr>
          <w:rFonts w:ascii="Times New Roman" w:hAnsi="Times New Roman" w:cs="Times New Roman"/>
        </w:rPr>
        <w:t xml:space="preserve">, fasc. n. 4/2024; L. </w:t>
      </w:r>
      <w:r w:rsidRPr="00AA56DE">
        <w:rPr>
          <w:rFonts w:ascii="Times New Roman" w:hAnsi="Times New Roman" w:cs="Times New Roman"/>
          <w:smallCaps/>
        </w:rPr>
        <w:t>Balestra</w:t>
      </w:r>
      <w:r w:rsidRPr="00AA56DE">
        <w:rPr>
          <w:rFonts w:ascii="Times New Roman" w:hAnsi="Times New Roman" w:cs="Times New Roman"/>
        </w:rPr>
        <w:t xml:space="preserve">, </w:t>
      </w:r>
      <w:r w:rsidRPr="00AA56DE">
        <w:rPr>
          <w:rFonts w:ascii="Times New Roman" w:hAnsi="Times New Roman" w:cs="Times New Roman"/>
          <w:i/>
          <w:iCs/>
        </w:rPr>
        <w:t>Per un ripensamento della responsabilità erariale e, più in generale, delle funzioni della Corte dei conti</w:t>
      </w:r>
      <w:r w:rsidRPr="00AA56DE">
        <w:rPr>
          <w:rFonts w:ascii="Times New Roman" w:hAnsi="Times New Roman" w:cs="Times New Roman"/>
        </w:rPr>
        <w:t xml:space="preserve">, in </w:t>
      </w:r>
      <w:r w:rsidRPr="00AA56DE">
        <w:rPr>
          <w:rFonts w:ascii="Times New Roman" w:hAnsi="Times New Roman" w:cs="Times New Roman"/>
          <w:i/>
          <w:iCs/>
        </w:rPr>
        <w:t>Giur. it</w:t>
      </w:r>
      <w:r w:rsidRPr="00AA56DE">
        <w:rPr>
          <w:rFonts w:ascii="Times New Roman" w:hAnsi="Times New Roman" w:cs="Times New Roman"/>
        </w:rPr>
        <w:t xml:space="preserve">., n. 4/2024, pp. 2166 ss.; F. </w:t>
      </w:r>
      <w:r w:rsidRPr="00AA56DE">
        <w:rPr>
          <w:rFonts w:ascii="Times New Roman" w:hAnsi="Times New Roman" w:cs="Times New Roman"/>
          <w:smallCaps/>
        </w:rPr>
        <w:t>Cintioli</w:t>
      </w:r>
      <w:r w:rsidRPr="00AA56DE">
        <w:rPr>
          <w:rFonts w:ascii="Times New Roman" w:hAnsi="Times New Roman" w:cs="Times New Roman"/>
        </w:rPr>
        <w:t xml:space="preserve">, </w:t>
      </w:r>
      <w:r w:rsidRPr="00AA56DE">
        <w:rPr>
          <w:rFonts w:ascii="Times New Roman" w:hAnsi="Times New Roman" w:cs="Times New Roman"/>
          <w:i/>
          <w:iCs/>
        </w:rPr>
        <w:t>La sentenza della Corte costituzionale n. 132 del 2024: dalla responsabilità amministrativa per colpa grave al risultato amministrativo</w:t>
      </w:r>
      <w:r w:rsidRPr="00AA56DE">
        <w:rPr>
          <w:rFonts w:ascii="Times New Roman" w:hAnsi="Times New Roman" w:cs="Times New Roman"/>
        </w:rPr>
        <w:t xml:space="preserve">, in federalismi.it, n. 19/2024, pp. 122 ss.; F. S. Marini, </w:t>
      </w:r>
      <w:r w:rsidRPr="00AA56DE">
        <w:rPr>
          <w:rFonts w:ascii="Times New Roman" w:hAnsi="Times New Roman" w:cs="Times New Roman"/>
          <w:i/>
          <w:iCs/>
        </w:rPr>
        <w:t>La sentenza n. 132 del 2024: la Corte costituzionale sperimenta nuove tecniche decisorie</w:t>
      </w:r>
      <w:r w:rsidRPr="00AA56DE">
        <w:rPr>
          <w:rFonts w:ascii="Times New Roman" w:hAnsi="Times New Roman" w:cs="Times New Roman"/>
        </w:rPr>
        <w:t xml:space="preserve">, in </w:t>
      </w:r>
      <w:r w:rsidRPr="00AA56DE">
        <w:rPr>
          <w:rFonts w:ascii="Times New Roman" w:hAnsi="Times New Roman" w:cs="Times New Roman"/>
          <w:i/>
          <w:iCs/>
        </w:rPr>
        <w:t>Riv. Corte dei conti</w:t>
      </w:r>
      <w:r w:rsidRPr="00AA56DE">
        <w:rPr>
          <w:rFonts w:ascii="Times New Roman" w:hAnsi="Times New Roman" w:cs="Times New Roman"/>
        </w:rPr>
        <w:t xml:space="preserve">, n. 4/2024, pp. 1 ss.; </w:t>
      </w:r>
      <w:r w:rsidRPr="00AA56DE">
        <w:rPr>
          <w:rFonts w:ascii="Times New Roman" w:hAnsi="Times New Roman" w:cs="Times New Roman"/>
          <w:i/>
          <w:iCs/>
        </w:rPr>
        <w:t xml:space="preserve">Brevi note alla sentenza n. 132 del 17/07/2024 della Corte costituzionale: verso un nuovo paradigma della responsabilità </w:t>
      </w:r>
      <w:proofErr w:type="gramStart"/>
      <w:r w:rsidRPr="00AA56DE">
        <w:rPr>
          <w:rFonts w:ascii="Times New Roman" w:hAnsi="Times New Roman" w:cs="Times New Roman"/>
          <w:i/>
          <w:iCs/>
        </w:rPr>
        <w:t>amministrativa?,</w:t>
      </w:r>
      <w:proofErr w:type="gramEnd"/>
      <w:r w:rsidRPr="00AA56DE">
        <w:rPr>
          <w:rFonts w:ascii="Times New Roman" w:hAnsi="Times New Roman" w:cs="Times New Roman"/>
        </w:rPr>
        <w:t xml:space="preserve"> nota redazionale in dirittoeconti.it, 23 luglio 2024. </w:t>
      </w:r>
    </w:p>
  </w:footnote>
  <w:footnote w:id="33">
    <w:p w14:paraId="17FE2AB7" w14:textId="77777777" w:rsidR="007405ED" w:rsidRPr="00AA56DE" w:rsidRDefault="007405ED" w:rsidP="00AA56DE">
      <w:pPr>
        <w:pStyle w:val="Testonotaapidipagina"/>
        <w:jc w:val="both"/>
        <w:rPr>
          <w:rFonts w:ascii="Times New Roman" w:hAnsi="Times New Roman" w:cs="Times New Roman"/>
          <w:b/>
          <w:bCs/>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Su cui si rinvia ad A. </w:t>
      </w:r>
      <w:r w:rsidRPr="00AA56DE">
        <w:rPr>
          <w:rFonts w:ascii="Times New Roman" w:hAnsi="Times New Roman" w:cs="Times New Roman"/>
          <w:smallCaps/>
        </w:rPr>
        <w:t>Ripepi</w:t>
      </w:r>
      <w:r w:rsidRPr="00AA56DE">
        <w:rPr>
          <w:rFonts w:ascii="Times New Roman" w:hAnsi="Times New Roman" w:cs="Times New Roman"/>
        </w:rPr>
        <w:t xml:space="preserve">, </w:t>
      </w:r>
      <w:r w:rsidRPr="00AA56DE">
        <w:rPr>
          <w:rFonts w:ascii="Times New Roman" w:hAnsi="Times New Roman" w:cs="Times New Roman"/>
          <w:i/>
          <w:iCs/>
        </w:rPr>
        <w:t>L’abrogazione dell’art. 323 c.p.,</w:t>
      </w:r>
      <w:r w:rsidRPr="00AA56DE">
        <w:rPr>
          <w:rFonts w:ascii="Times New Roman" w:hAnsi="Times New Roman" w:cs="Times New Roman"/>
        </w:rPr>
        <w:t xml:space="preserve"> in </w:t>
      </w:r>
      <w:bookmarkStart w:id="0" w:name="_Hlk178431213"/>
      <w:r w:rsidRPr="00AA56DE">
        <w:rPr>
          <w:rFonts w:ascii="Times New Roman" w:hAnsi="Times New Roman" w:cs="Times New Roman"/>
          <w:smallCaps/>
        </w:rPr>
        <w:t>L. Acampora – S. Cascone – S. F. De Rosa – G. Grasso – F. Lombardi – M. Mastromatteo – A. Ripepi – A. Salerno</w:t>
      </w:r>
      <w:r w:rsidRPr="00AA56DE">
        <w:rPr>
          <w:rFonts w:ascii="Times New Roman" w:hAnsi="Times New Roman" w:cs="Times New Roman"/>
        </w:rPr>
        <w:t xml:space="preserve">, </w:t>
      </w:r>
      <w:r w:rsidRPr="00AA56DE">
        <w:rPr>
          <w:rFonts w:ascii="Times New Roman" w:hAnsi="Times New Roman" w:cs="Times New Roman"/>
          <w:i/>
          <w:iCs/>
        </w:rPr>
        <w:t>Dossier Le Riforme Nordio 2024</w:t>
      </w:r>
      <w:bookmarkEnd w:id="0"/>
      <w:r w:rsidRPr="00AA56DE">
        <w:rPr>
          <w:rFonts w:ascii="Times New Roman" w:hAnsi="Times New Roman" w:cs="Times New Roman"/>
        </w:rPr>
        <w:t>, Dike, pp. 3 ss.</w:t>
      </w:r>
    </w:p>
  </w:footnote>
  <w:footnote w:id="34">
    <w:p w14:paraId="0CB96568"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 </w:t>
      </w:r>
      <w:r w:rsidRPr="00AA56DE">
        <w:rPr>
          <w:rFonts w:ascii="Times New Roman" w:hAnsi="Times New Roman" w:cs="Times New Roman"/>
          <w:smallCaps/>
        </w:rPr>
        <w:t>Cupelli</w:t>
      </w:r>
      <w:r w:rsidRPr="00AA56DE">
        <w:rPr>
          <w:rFonts w:ascii="Times New Roman" w:hAnsi="Times New Roman" w:cs="Times New Roman"/>
        </w:rPr>
        <w:t xml:space="preserve">, </w:t>
      </w:r>
      <w:r w:rsidRPr="00AA56DE">
        <w:rPr>
          <w:rFonts w:ascii="Times New Roman" w:hAnsi="Times New Roman" w:cs="Times New Roman"/>
          <w:i/>
          <w:iCs/>
        </w:rPr>
        <w:t>Sulla riforma dell’abuso d’ufficio</w:t>
      </w:r>
      <w:r w:rsidRPr="00AA56DE">
        <w:rPr>
          <w:rFonts w:ascii="Times New Roman" w:hAnsi="Times New Roman" w:cs="Times New Roman"/>
        </w:rPr>
        <w:t>, in www.sistemapenale.it, 23 gennaio 2023.</w:t>
      </w:r>
    </w:p>
  </w:footnote>
  <w:footnote w:id="35">
    <w:p w14:paraId="3F73FFBA"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R. </w:t>
      </w:r>
      <w:r w:rsidRPr="00AA56DE">
        <w:rPr>
          <w:rFonts w:ascii="Times New Roman" w:hAnsi="Times New Roman" w:cs="Times New Roman"/>
          <w:smallCaps/>
        </w:rPr>
        <w:t>Cantone</w:t>
      </w:r>
      <w:r w:rsidRPr="00AA56DE">
        <w:rPr>
          <w:rFonts w:ascii="Times New Roman" w:hAnsi="Times New Roman" w:cs="Times New Roman"/>
        </w:rPr>
        <w:t xml:space="preserve">, </w:t>
      </w:r>
      <w:r w:rsidRPr="00AA56DE">
        <w:rPr>
          <w:rFonts w:ascii="Times New Roman" w:hAnsi="Times New Roman" w:cs="Times New Roman"/>
          <w:i/>
          <w:iCs/>
        </w:rPr>
        <w:t>Ancora in tema di abuso d'ufficio e traffico di influenze illecite</w:t>
      </w:r>
      <w:r w:rsidRPr="00AA56DE">
        <w:rPr>
          <w:rFonts w:ascii="Times New Roman" w:hAnsi="Times New Roman" w:cs="Times New Roman"/>
        </w:rPr>
        <w:t xml:space="preserve"> (d.d.l. Nordio), in www.sistemapenale.it, 19 settembre 2023.</w:t>
      </w:r>
    </w:p>
  </w:footnote>
  <w:footnote w:id="36">
    <w:p w14:paraId="60265E35"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Ma, sul punto, vedi </w:t>
      </w:r>
      <w:r w:rsidRPr="00AA56DE">
        <w:rPr>
          <w:rFonts w:ascii="Times New Roman" w:hAnsi="Times New Roman" w:cs="Times New Roman"/>
          <w:i/>
          <w:iCs/>
        </w:rPr>
        <w:t>infra</w:t>
      </w:r>
      <w:r w:rsidRPr="00AA56DE">
        <w:rPr>
          <w:rFonts w:ascii="Times New Roman" w:hAnsi="Times New Roman" w:cs="Times New Roman"/>
        </w:rPr>
        <w:t xml:space="preserve"> la posizione della Commissione europea.</w:t>
      </w:r>
    </w:p>
  </w:footnote>
  <w:footnote w:id="37">
    <w:p w14:paraId="3AF8F6B7"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B. </w:t>
      </w:r>
      <w:r w:rsidRPr="00AA56DE">
        <w:rPr>
          <w:rFonts w:ascii="Times New Roman" w:hAnsi="Times New Roman" w:cs="Times New Roman"/>
          <w:smallCaps/>
        </w:rPr>
        <w:t>Romano</w:t>
      </w:r>
      <w:r w:rsidRPr="00AA56DE">
        <w:rPr>
          <w:rFonts w:ascii="Times New Roman" w:hAnsi="Times New Roman" w:cs="Times New Roman"/>
        </w:rPr>
        <w:t xml:space="preserve">, </w:t>
      </w:r>
      <w:r w:rsidRPr="00AA56DE">
        <w:rPr>
          <w:rFonts w:ascii="Times New Roman" w:hAnsi="Times New Roman" w:cs="Times New Roman"/>
          <w:i/>
          <w:iCs/>
        </w:rPr>
        <w:t>La prospettata abrogazione dell’abuso d’ufficio: più pro che contro</w:t>
      </w:r>
      <w:r w:rsidRPr="00AA56DE">
        <w:rPr>
          <w:rFonts w:ascii="Times New Roman" w:hAnsi="Times New Roman" w:cs="Times New Roman"/>
        </w:rPr>
        <w:t xml:space="preserve">, in </w:t>
      </w:r>
      <w:r w:rsidRPr="00AA56DE">
        <w:rPr>
          <w:rFonts w:ascii="Times New Roman" w:hAnsi="Times New Roman" w:cs="Times New Roman"/>
          <w:i/>
          <w:iCs/>
        </w:rPr>
        <w:t xml:space="preserve">La legislazione penale, </w:t>
      </w:r>
      <w:r w:rsidRPr="00AA56DE">
        <w:rPr>
          <w:rFonts w:ascii="Times New Roman" w:hAnsi="Times New Roman" w:cs="Times New Roman"/>
        </w:rPr>
        <w:t>12 dicembre 2023, p. 16.</w:t>
      </w:r>
    </w:p>
  </w:footnote>
  <w:footnote w:id="38">
    <w:p w14:paraId="7C1D8DB0"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bookmarkStart w:id="1" w:name="_Hlk172139484"/>
      <w:r w:rsidRPr="00AA56DE">
        <w:rPr>
          <w:rFonts w:ascii="Times New Roman" w:hAnsi="Times New Roman" w:cs="Times New Roman"/>
        </w:rPr>
        <w:t xml:space="preserve">Dossier XIX Legislatura, </w:t>
      </w:r>
      <w:r w:rsidRPr="00AA56DE">
        <w:rPr>
          <w:rFonts w:ascii="Times New Roman" w:hAnsi="Times New Roman" w:cs="Times New Roman"/>
          <w:i/>
          <w:iCs/>
        </w:rPr>
        <w:t xml:space="preserve">Modifiche al codice penale, </w:t>
      </w:r>
      <w:bookmarkEnd w:id="1"/>
      <w:r w:rsidRPr="00AA56DE">
        <w:rPr>
          <w:rFonts w:ascii="Times New Roman" w:hAnsi="Times New Roman" w:cs="Times New Roman"/>
          <w:i/>
          <w:iCs/>
        </w:rPr>
        <w:t>al codice di procedura penale, all'ordinamento giudiziario e al codice dell'ordinamento militare</w:t>
      </w:r>
      <w:r w:rsidRPr="00AA56DE">
        <w:rPr>
          <w:rFonts w:ascii="Times New Roman" w:hAnsi="Times New Roman" w:cs="Times New Roman"/>
        </w:rPr>
        <w:t>, A.C. 1718, 12 marzo 2024, pp. 9-10.</w:t>
      </w:r>
    </w:p>
  </w:footnote>
  <w:footnote w:id="39">
    <w:p w14:paraId="14D19685"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i/>
          <w:iCs/>
        </w:rPr>
        <w:t xml:space="preserve"> </w:t>
      </w:r>
      <w:r w:rsidRPr="00AA56DE">
        <w:rPr>
          <w:rFonts w:ascii="Times New Roman" w:hAnsi="Times New Roman" w:cs="Times New Roman"/>
          <w:smallCaps/>
        </w:rPr>
        <w:t>B. Romano</w:t>
      </w:r>
      <w:r w:rsidRPr="00AA56DE">
        <w:rPr>
          <w:rFonts w:ascii="Times New Roman" w:hAnsi="Times New Roman" w:cs="Times New Roman"/>
          <w:i/>
          <w:iCs/>
        </w:rPr>
        <w:t>, op. cit.</w:t>
      </w:r>
      <w:r w:rsidRPr="00AA56DE">
        <w:rPr>
          <w:rFonts w:ascii="Times New Roman" w:hAnsi="Times New Roman" w:cs="Times New Roman"/>
        </w:rPr>
        <w:t>, pp. 18-19.</w:t>
      </w:r>
    </w:p>
  </w:footnote>
  <w:footnote w:id="40">
    <w:p w14:paraId="47883047"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iCs/>
        </w:rPr>
        <w:t>Ivi</w:t>
      </w:r>
      <w:r w:rsidRPr="00AA56DE">
        <w:rPr>
          <w:rFonts w:ascii="Times New Roman" w:hAnsi="Times New Roman" w:cs="Times New Roman"/>
        </w:rPr>
        <w:t>, p. 19.</w:t>
      </w:r>
    </w:p>
  </w:footnote>
  <w:footnote w:id="41">
    <w:p w14:paraId="4EB0E3F7" w14:textId="77777777" w:rsidR="007405ED" w:rsidRPr="00AA56DE" w:rsidRDefault="007405ED"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 </w:t>
      </w:r>
      <w:r w:rsidRPr="00AA56DE">
        <w:rPr>
          <w:rFonts w:ascii="Times New Roman" w:hAnsi="Times New Roman" w:cs="Times New Roman"/>
          <w:smallCaps/>
        </w:rPr>
        <w:t>Carnelutti</w:t>
      </w:r>
      <w:r w:rsidRPr="00AA56DE">
        <w:rPr>
          <w:rFonts w:ascii="Times New Roman" w:hAnsi="Times New Roman" w:cs="Times New Roman"/>
        </w:rPr>
        <w:t xml:space="preserve">, </w:t>
      </w:r>
      <w:r w:rsidRPr="00AA56DE">
        <w:rPr>
          <w:rFonts w:ascii="Times New Roman" w:hAnsi="Times New Roman" w:cs="Times New Roman"/>
          <w:i/>
          <w:iCs/>
        </w:rPr>
        <w:t>Pena e processo</w:t>
      </w:r>
      <w:r w:rsidRPr="00AA56DE">
        <w:rPr>
          <w:rFonts w:ascii="Times New Roman" w:hAnsi="Times New Roman" w:cs="Times New Roman"/>
        </w:rPr>
        <w:t xml:space="preserve">, in </w:t>
      </w:r>
      <w:r w:rsidRPr="00AA56DE">
        <w:rPr>
          <w:rFonts w:ascii="Times New Roman" w:hAnsi="Times New Roman" w:cs="Times New Roman"/>
          <w:i/>
          <w:iCs/>
        </w:rPr>
        <w:t>Riv. dir. proc</w:t>
      </w:r>
      <w:r w:rsidRPr="00AA56DE">
        <w:rPr>
          <w:rFonts w:ascii="Times New Roman" w:hAnsi="Times New Roman" w:cs="Times New Roman"/>
        </w:rPr>
        <w:t>., 1952, I, p. 161.</w:t>
      </w:r>
    </w:p>
  </w:footnote>
  <w:footnote w:id="42">
    <w:p w14:paraId="1747CDA2" w14:textId="77777777" w:rsidR="00AA56DE" w:rsidRPr="00AA56DE" w:rsidRDefault="00AA56DE"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Da ultimo, Corte cost. n. 46/2024 e Corte cost. n. 84/2024.</w:t>
      </w:r>
    </w:p>
  </w:footnote>
  <w:footnote w:id="43">
    <w:p w14:paraId="67D40193" w14:textId="5DB75B6A" w:rsidR="009223F9" w:rsidRPr="00322AFE" w:rsidRDefault="009223F9">
      <w:pPr>
        <w:pStyle w:val="Testonotaapidipagina"/>
        <w:rPr>
          <w:rFonts w:ascii="Times New Roman" w:hAnsi="Times New Roman" w:cs="Times New Roman"/>
        </w:rPr>
      </w:pPr>
      <w:r w:rsidRPr="00322AFE">
        <w:rPr>
          <w:rStyle w:val="Rimandonotaapidipagina"/>
          <w:rFonts w:ascii="Times New Roman" w:hAnsi="Times New Roman" w:cs="Times New Roman"/>
        </w:rPr>
        <w:footnoteRef/>
      </w:r>
      <w:r w:rsidRPr="00322AFE">
        <w:rPr>
          <w:rFonts w:ascii="Times New Roman" w:hAnsi="Times New Roman" w:cs="Times New Roman"/>
        </w:rPr>
        <w:t xml:space="preserve"> A. </w:t>
      </w:r>
      <w:r w:rsidRPr="00322AFE">
        <w:rPr>
          <w:rFonts w:ascii="Times New Roman" w:hAnsi="Times New Roman" w:cs="Times New Roman"/>
          <w:smallCaps/>
        </w:rPr>
        <w:t>Ripepi</w:t>
      </w:r>
      <w:r w:rsidRPr="00322AFE">
        <w:rPr>
          <w:rFonts w:ascii="Times New Roman" w:hAnsi="Times New Roman" w:cs="Times New Roman"/>
        </w:rPr>
        <w:t xml:space="preserve">, </w:t>
      </w:r>
      <w:r w:rsidRPr="00322AFE">
        <w:rPr>
          <w:rFonts w:ascii="Times New Roman" w:hAnsi="Times New Roman" w:cs="Times New Roman"/>
          <w:i/>
          <w:iCs/>
        </w:rPr>
        <w:t>Dirigenza pubblica e fiducia: un’analisi integrata tra diritto e management</w:t>
      </w:r>
      <w:r w:rsidRPr="00322AFE">
        <w:rPr>
          <w:rFonts w:ascii="Times New Roman" w:hAnsi="Times New Roman" w:cs="Times New Roman"/>
        </w:rPr>
        <w:t xml:space="preserve">, Egea, 2025, </w:t>
      </w:r>
      <w:r w:rsidR="00322AFE" w:rsidRPr="00322AFE">
        <w:rPr>
          <w:rFonts w:ascii="Times New Roman" w:hAnsi="Times New Roman" w:cs="Times New Roman"/>
        </w:rPr>
        <w:t>pp. 73 ss.</w:t>
      </w:r>
    </w:p>
  </w:footnote>
  <w:footnote w:id="44">
    <w:p w14:paraId="7456A1BC"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 </w:t>
      </w:r>
      <w:r w:rsidRPr="00AA56DE">
        <w:rPr>
          <w:rFonts w:ascii="Times New Roman" w:hAnsi="Times New Roman" w:cs="Times New Roman"/>
          <w:smallCaps/>
        </w:rPr>
        <w:t>Calvino</w:t>
      </w:r>
      <w:r w:rsidRPr="00AA56DE">
        <w:rPr>
          <w:rFonts w:ascii="Times New Roman" w:hAnsi="Times New Roman" w:cs="Times New Roman"/>
        </w:rPr>
        <w:t xml:space="preserve">, </w:t>
      </w:r>
      <w:r w:rsidRPr="00AA56DE">
        <w:rPr>
          <w:rFonts w:ascii="Times New Roman" w:hAnsi="Times New Roman" w:cs="Times New Roman"/>
          <w:i/>
        </w:rPr>
        <w:t>Le città invisibili</w:t>
      </w:r>
      <w:r w:rsidRPr="00AA56DE">
        <w:rPr>
          <w:rFonts w:ascii="Times New Roman" w:hAnsi="Times New Roman" w:cs="Times New Roman"/>
        </w:rPr>
        <w:t>, Einaudi, 1971.</w:t>
      </w:r>
    </w:p>
  </w:footnote>
  <w:footnote w:id="45">
    <w:p w14:paraId="3A878F33"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In questi termini </w:t>
      </w:r>
      <w:r w:rsidRPr="00AA56DE">
        <w:rPr>
          <w:rFonts w:ascii="Times New Roman" w:hAnsi="Times New Roman" w:cs="Times New Roman"/>
          <w:smallCaps/>
        </w:rPr>
        <w:t>P. Davigo – G. Mannozzi</w:t>
      </w:r>
      <w:r w:rsidRPr="00AA56DE">
        <w:rPr>
          <w:rFonts w:ascii="Times New Roman" w:hAnsi="Times New Roman" w:cs="Times New Roman"/>
        </w:rPr>
        <w:t xml:space="preserve">, </w:t>
      </w:r>
      <w:r w:rsidRPr="00AA56DE">
        <w:rPr>
          <w:rFonts w:ascii="Times New Roman" w:hAnsi="Times New Roman" w:cs="Times New Roman"/>
          <w:i/>
        </w:rPr>
        <w:t>La corruzione in Italia. Percezione sociale e controllo penale</w:t>
      </w:r>
      <w:r w:rsidRPr="00AA56DE">
        <w:rPr>
          <w:rFonts w:ascii="Times New Roman" w:hAnsi="Times New Roman" w:cs="Times New Roman"/>
        </w:rPr>
        <w:t>, Laterza, 2007, pp. 3 ss.</w:t>
      </w:r>
    </w:p>
  </w:footnote>
  <w:footnote w:id="46">
    <w:p w14:paraId="7D8D7290"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P. Davigo – G. Mannozzi</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xml:space="preserve">.; </w:t>
      </w:r>
      <w:r w:rsidRPr="00AA56DE">
        <w:rPr>
          <w:rFonts w:ascii="Times New Roman" w:hAnsi="Times New Roman" w:cs="Times New Roman"/>
          <w:smallCaps/>
        </w:rPr>
        <w:t>C.A. Strazzeri – M. Rupcic</w:t>
      </w:r>
      <w:r w:rsidRPr="00AA56DE">
        <w:rPr>
          <w:rFonts w:ascii="Times New Roman" w:hAnsi="Times New Roman" w:cs="Times New Roman"/>
        </w:rPr>
        <w:t xml:space="preserve">, </w:t>
      </w:r>
      <w:r w:rsidRPr="00AA56DE">
        <w:rPr>
          <w:rFonts w:ascii="Times New Roman" w:hAnsi="Times New Roman" w:cs="Times New Roman"/>
          <w:i/>
        </w:rPr>
        <w:t>ISO 37001 e i Sistemi di gestione anti-corruzione</w:t>
      </w:r>
      <w:r w:rsidRPr="00AA56DE">
        <w:rPr>
          <w:rFonts w:ascii="Times New Roman" w:hAnsi="Times New Roman" w:cs="Times New Roman"/>
        </w:rPr>
        <w:t xml:space="preserve">, Wolters Kluwer, 2016; </w:t>
      </w:r>
      <w:r w:rsidRPr="00AA56DE">
        <w:rPr>
          <w:rFonts w:ascii="Times New Roman" w:hAnsi="Times New Roman" w:cs="Times New Roman"/>
          <w:smallCaps/>
        </w:rPr>
        <w:t>M. Gnaldi – B. Ponti</w:t>
      </w:r>
      <w:r w:rsidRPr="00AA56DE">
        <w:rPr>
          <w:rFonts w:ascii="Times New Roman" w:hAnsi="Times New Roman" w:cs="Times New Roman"/>
        </w:rPr>
        <w:t xml:space="preserve">, </w:t>
      </w:r>
      <w:r w:rsidRPr="00AA56DE">
        <w:rPr>
          <w:rFonts w:ascii="Times New Roman" w:hAnsi="Times New Roman" w:cs="Times New Roman"/>
          <w:i/>
        </w:rPr>
        <w:t>Misurare la corruzione oggi</w:t>
      </w:r>
      <w:r w:rsidRPr="00AA56DE">
        <w:rPr>
          <w:rFonts w:ascii="Times New Roman" w:hAnsi="Times New Roman" w:cs="Times New Roman"/>
        </w:rPr>
        <w:t xml:space="preserve">, FrancoAngeli, 2018; </w:t>
      </w:r>
      <w:r w:rsidRPr="00AA56DE">
        <w:rPr>
          <w:rFonts w:ascii="Times New Roman" w:hAnsi="Times New Roman" w:cs="Times New Roman"/>
          <w:smallCaps/>
        </w:rPr>
        <w:t>F. Monteduro – S. Brunelli – A. Buratti</w:t>
      </w:r>
      <w:r w:rsidRPr="00AA56DE">
        <w:rPr>
          <w:rFonts w:ascii="Times New Roman" w:hAnsi="Times New Roman" w:cs="Times New Roman"/>
        </w:rPr>
        <w:t xml:space="preserve">, </w:t>
      </w:r>
      <w:r w:rsidRPr="00AA56DE">
        <w:rPr>
          <w:rFonts w:ascii="Times New Roman" w:hAnsi="Times New Roman" w:cs="Times New Roman"/>
          <w:i/>
        </w:rPr>
        <w:t>La corruzione. Definizione, misurazione e impatti economici</w:t>
      </w:r>
      <w:r w:rsidRPr="00AA56DE">
        <w:rPr>
          <w:rFonts w:ascii="Times New Roman" w:hAnsi="Times New Roman" w:cs="Times New Roman"/>
        </w:rPr>
        <w:t>, Formez PA, Vol. I, 2013.</w:t>
      </w:r>
    </w:p>
  </w:footnote>
  <w:footnote w:id="47">
    <w:p w14:paraId="3670F2C1"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ANAC, PNA 2013, disponibile in http://comunicazione.formez.it/sites/all/files/pna_sett_2013.pdf, p. 13.</w:t>
      </w:r>
    </w:p>
  </w:footnote>
  <w:footnote w:id="48">
    <w:p w14:paraId="261D9415"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All’analisi economica della corruzione è dedicato un intero Capitolo di </w:t>
      </w:r>
      <w:r w:rsidRPr="00AA56DE">
        <w:rPr>
          <w:rFonts w:ascii="Times New Roman" w:hAnsi="Times New Roman" w:cs="Times New Roman"/>
          <w:smallCaps/>
        </w:rPr>
        <w:t>A. Balestrino, E. Galli, L. Spataro</w:t>
      </w:r>
      <w:r w:rsidRPr="00AA56DE">
        <w:rPr>
          <w:rFonts w:ascii="Times New Roman" w:hAnsi="Times New Roman" w:cs="Times New Roman"/>
        </w:rPr>
        <w:t xml:space="preserve">, </w:t>
      </w:r>
      <w:r w:rsidRPr="00AA56DE">
        <w:rPr>
          <w:rFonts w:ascii="Times New Roman" w:hAnsi="Times New Roman" w:cs="Times New Roman"/>
          <w:i/>
        </w:rPr>
        <w:t>Scienza delle finanze</w:t>
      </w:r>
      <w:r w:rsidRPr="00AA56DE">
        <w:rPr>
          <w:rFonts w:ascii="Times New Roman" w:hAnsi="Times New Roman" w:cs="Times New Roman"/>
        </w:rPr>
        <w:t>, UTET, 2015, pp. 177 ss.</w:t>
      </w:r>
    </w:p>
  </w:footnote>
  <w:footnote w:id="49">
    <w:p w14:paraId="57C6A56C"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Peraltro non del tutto condivisibile, come si dirà. </w:t>
      </w:r>
    </w:p>
  </w:footnote>
  <w:footnote w:id="50">
    <w:p w14:paraId="7AC4F81F"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La corruzione in Italia. Per una politica di prevenzione. Rapporto della Commissione per lo studio e l'elaborazione di proposte in tema di trasparenza e prevenzione della corruzione nella pubblica amministrazione</w:t>
      </w:r>
      <w:r w:rsidRPr="00AA56DE">
        <w:rPr>
          <w:rFonts w:ascii="Times New Roman" w:hAnsi="Times New Roman" w:cs="Times New Roman"/>
        </w:rPr>
        <w:t>, 2012, disponibile in https://www1.interno.gov.it/mininterno/export/sites/default/it/sezioni/sala_stampa/documenti/anticorruzione/2012_10_23_rapporto_corruzione_in_Italia.html_8783072.html, p. 20.</w:t>
      </w:r>
    </w:p>
  </w:footnote>
  <w:footnote w:id="51">
    <w:p w14:paraId="716FBFEF"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 </w:t>
      </w:r>
      <w:r w:rsidRPr="00AA56DE">
        <w:rPr>
          <w:rFonts w:ascii="Times New Roman" w:hAnsi="Times New Roman" w:cs="Times New Roman"/>
          <w:smallCaps/>
        </w:rPr>
        <w:t>Fornari</w:t>
      </w:r>
      <w:r w:rsidRPr="00AA56DE">
        <w:rPr>
          <w:rFonts w:ascii="Times New Roman" w:hAnsi="Times New Roman" w:cs="Times New Roman"/>
        </w:rPr>
        <w:t xml:space="preserve">, </w:t>
      </w:r>
      <w:r w:rsidRPr="00AA56DE">
        <w:rPr>
          <w:rFonts w:ascii="Times New Roman" w:hAnsi="Times New Roman" w:cs="Times New Roman"/>
          <w:i/>
        </w:rPr>
        <w:t>Sociologia della corruzione: aspetti epistemologici e teorici</w:t>
      </w:r>
      <w:r w:rsidRPr="00AA56DE">
        <w:rPr>
          <w:rFonts w:ascii="Times New Roman" w:hAnsi="Times New Roman" w:cs="Times New Roman"/>
        </w:rPr>
        <w:t xml:space="preserve">, in </w:t>
      </w:r>
      <w:r w:rsidRPr="00AA56DE">
        <w:rPr>
          <w:rFonts w:ascii="Times New Roman" w:hAnsi="Times New Roman" w:cs="Times New Roman"/>
          <w:i/>
        </w:rPr>
        <w:t>Rivista quadrimestrale di scienze storiche e sociali</w:t>
      </w:r>
      <w:r w:rsidRPr="00AA56DE">
        <w:rPr>
          <w:rFonts w:ascii="Times New Roman" w:hAnsi="Times New Roman" w:cs="Times New Roman"/>
        </w:rPr>
        <w:t>, n. 3/2015, p. 72.</w:t>
      </w:r>
    </w:p>
  </w:footnote>
  <w:footnote w:id="52">
    <w:p w14:paraId="67232BA2"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V. gli ampi riferimenti contenuti in M. </w:t>
      </w:r>
      <w:r w:rsidRPr="00AA56DE">
        <w:rPr>
          <w:rFonts w:ascii="Times New Roman" w:hAnsi="Times New Roman" w:cs="Times New Roman"/>
          <w:smallCaps/>
        </w:rPr>
        <w:t>D’Alberti</w:t>
      </w:r>
      <w:r w:rsidRPr="00AA56DE">
        <w:rPr>
          <w:rFonts w:ascii="Times New Roman" w:hAnsi="Times New Roman" w:cs="Times New Roman"/>
        </w:rPr>
        <w:t xml:space="preserve">, </w:t>
      </w:r>
      <w:r w:rsidRPr="00AA56DE">
        <w:rPr>
          <w:rFonts w:ascii="Times New Roman" w:hAnsi="Times New Roman" w:cs="Times New Roman"/>
          <w:i/>
        </w:rPr>
        <w:t>Corruzione</w:t>
      </w:r>
      <w:r w:rsidRPr="00AA56DE">
        <w:rPr>
          <w:rFonts w:ascii="Times New Roman" w:hAnsi="Times New Roman" w:cs="Times New Roman"/>
        </w:rPr>
        <w:t>, Treccani, 2020, pp. 3 ss.</w:t>
      </w:r>
    </w:p>
  </w:footnote>
  <w:footnote w:id="53">
    <w:p w14:paraId="4B4DD0C6"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Voce </w:t>
      </w:r>
      <w:r w:rsidRPr="00AA56DE">
        <w:rPr>
          <w:rFonts w:ascii="Times New Roman" w:hAnsi="Times New Roman" w:cs="Times New Roman"/>
          <w:i/>
        </w:rPr>
        <w:t>Trasformismo</w:t>
      </w:r>
      <w:r w:rsidRPr="00AA56DE">
        <w:rPr>
          <w:rFonts w:ascii="Times New Roman" w:hAnsi="Times New Roman" w:cs="Times New Roman"/>
        </w:rPr>
        <w:t>, Dizionario di Storia Treccani online, disponibile in https://www.treccani.it/enciclopedia/trasformismo_%28Dizionario-di-Storia%29/</w:t>
      </w:r>
    </w:p>
  </w:footnote>
  <w:footnote w:id="54">
    <w:p w14:paraId="034F1D7E"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 </w:t>
      </w:r>
      <w:r w:rsidRPr="00AA56DE">
        <w:rPr>
          <w:rFonts w:ascii="Times New Roman" w:hAnsi="Times New Roman" w:cs="Times New Roman"/>
          <w:smallCaps/>
        </w:rPr>
        <w:t>Ragionieri</w:t>
      </w:r>
      <w:r w:rsidRPr="00AA56DE">
        <w:rPr>
          <w:rFonts w:ascii="Times New Roman" w:hAnsi="Times New Roman" w:cs="Times New Roman"/>
        </w:rPr>
        <w:t xml:space="preserve">, </w:t>
      </w:r>
      <w:r w:rsidRPr="00AA56DE">
        <w:rPr>
          <w:rFonts w:ascii="Times New Roman" w:hAnsi="Times New Roman" w:cs="Times New Roman"/>
          <w:i/>
        </w:rPr>
        <w:t>Politica e amministrazione nella storia dell’Italia unita</w:t>
      </w:r>
      <w:r w:rsidRPr="00AA56DE">
        <w:rPr>
          <w:rFonts w:ascii="Times New Roman" w:hAnsi="Times New Roman" w:cs="Times New Roman"/>
        </w:rPr>
        <w:t>, Bari, 1967, pp. 3 ss.</w:t>
      </w:r>
    </w:p>
  </w:footnote>
  <w:footnote w:id="55">
    <w:p w14:paraId="0D2B0AEC"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In cui la corruzione fu elevata “ad arte di governo” secondo </w:t>
      </w:r>
      <w:r w:rsidRPr="00AA56DE">
        <w:rPr>
          <w:rFonts w:ascii="Times New Roman" w:hAnsi="Times New Roman" w:cs="Times New Roman"/>
          <w:smallCaps/>
        </w:rPr>
        <w:t>C. A. Brioschi</w:t>
      </w:r>
      <w:r w:rsidRPr="00AA56DE">
        <w:rPr>
          <w:rFonts w:ascii="Times New Roman" w:hAnsi="Times New Roman" w:cs="Times New Roman"/>
        </w:rPr>
        <w:t>, La corruzione. Una storia culturale, Guanda, 2018, p. 131.</w:t>
      </w:r>
    </w:p>
  </w:footnote>
  <w:footnote w:id="56">
    <w:p w14:paraId="474EB04A"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Sino a divenire “dato strutturale della nostra storia unitaria”: </w:t>
      </w:r>
      <w:r w:rsidRPr="00AA56DE">
        <w:rPr>
          <w:rFonts w:ascii="Times New Roman" w:hAnsi="Times New Roman" w:cs="Times New Roman"/>
          <w:smallCaps/>
        </w:rPr>
        <w:t>I. Sales – S. Melorio</w:t>
      </w:r>
      <w:r w:rsidRPr="00AA56DE">
        <w:rPr>
          <w:rFonts w:ascii="Times New Roman" w:hAnsi="Times New Roman" w:cs="Times New Roman"/>
        </w:rPr>
        <w:t>, Storia dell’Italia corrotta, Rubbettino, 2019, p. 15 ss.</w:t>
      </w:r>
    </w:p>
  </w:footnote>
  <w:footnote w:id="57">
    <w:p w14:paraId="30CDEC54"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Melis</w:t>
      </w:r>
      <w:r w:rsidRPr="00AA56DE">
        <w:rPr>
          <w:rFonts w:ascii="Times New Roman" w:hAnsi="Times New Roman" w:cs="Times New Roman"/>
        </w:rPr>
        <w:t xml:space="preserve">, </w:t>
      </w:r>
      <w:r w:rsidRPr="00AA56DE">
        <w:rPr>
          <w:rFonts w:ascii="Times New Roman" w:hAnsi="Times New Roman" w:cs="Times New Roman"/>
          <w:i/>
        </w:rPr>
        <w:t>La lunga storia della corruzione italiana, Lezione di sabato 25 febbraio 2017 alla Facoltà Giurisprudenza, Università di Roma “La Sapienza” - Master Università-ANAC</w:t>
      </w:r>
      <w:r w:rsidRPr="00AA56DE">
        <w:rPr>
          <w:rFonts w:ascii="Times New Roman" w:hAnsi="Times New Roman" w:cs="Times New Roman"/>
        </w:rPr>
        <w:t>, disponibile in eticapa.it, p. 6.</w:t>
      </w:r>
    </w:p>
  </w:footnote>
  <w:footnote w:id="58">
    <w:p w14:paraId="66F01AD2"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D’Alberti</w:t>
      </w:r>
      <w:r w:rsidRPr="00AA56DE">
        <w:rPr>
          <w:rFonts w:ascii="Times New Roman" w:hAnsi="Times New Roman" w:cs="Times New Roman"/>
        </w:rPr>
        <w:t xml:space="preserve">, </w:t>
      </w:r>
      <w:r w:rsidRPr="00AA56DE">
        <w:rPr>
          <w:rFonts w:ascii="Times New Roman" w:hAnsi="Times New Roman" w:cs="Times New Roman"/>
          <w:i/>
        </w:rPr>
        <w:t>Introduzione</w:t>
      </w:r>
      <w:r w:rsidRPr="00AA56DE">
        <w:rPr>
          <w:rFonts w:ascii="Times New Roman" w:hAnsi="Times New Roman" w:cs="Times New Roman"/>
        </w:rPr>
        <w:t xml:space="preserve">, in </w:t>
      </w:r>
      <w:r w:rsidRPr="00AA56DE">
        <w:rPr>
          <w:rFonts w:ascii="Times New Roman" w:hAnsi="Times New Roman" w:cs="Times New Roman"/>
          <w:smallCaps/>
        </w:rPr>
        <w:t>Id</w:t>
      </w:r>
      <w:r w:rsidRPr="00AA56DE">
        <w:rPr>
          <w:rFonts w:ascii="Times New Roman" w:hAnsi="Times New Roman" w:cs="Times New Roman"/>
        </w:rPr>
        <w:t xml:space="preserve">. (a cura di), </w:t>
      </w:r>
      <w:r w:rsidRPr="00AA56DE">
        <w:rPr>
          <w:rFonts w:ascii="Times New Roman" w:hAnsi="Times New Roman" w:cs="Times New Roman"/>
          <w:i/>
        </w:rPr>
        <w:t>Corruzione e pubblica amministrazione</w:t>
      </w:r>
      <w:r w:rsidRPr="00AA56DE">
        <w:rPr>
          <w:rFonts w:ascii="Times New Roman" w:hAnsi="Times New Roman" w:cs="Times New Roman"/>
        </w:rPr>
        <w:t>, Jovene, 2017, pp. 7-12.</w:t>
      </w:r>
    </w:p>
  </w:footnote>
  <w:footnote w:id="59">
    <w:p w14:paraId="2441CEFF"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G. Sabbatucci – V. Vidotto</w:t>
      </w:r>
      <w:r w:rsidRPr="00AA56DE">
        <w:rPr>
          <w:rFonts w:ascii="Times New Roman" w:hAnsi="Times New Roman" w:cs="Times New Roman"/>
        </w:rPr>
        <w:t xml:space="preserve">, </w:t>
      </w:r>
      <w:r w:rsidRPr="00AA56DE">
        <w:rPr>
          <w:rFonts w:ascii="Times New Roman" w:hAnsi="Times New Roman" w:cs="Times New Roman"/>
          <w:i/>
        </w:rPr>
        <w:t>Il mondo contemporaneo</w:t>
      </w:r>
      <w:r w:rsidRPr="00AA56DE">
        <w:rPr>
          <w:rFonts w:ascii="Times New Roman" w:hAnsi="Times New Roman" w:cs="Times New Roman"/>
        </w:rPr>
        <w:t>, Laterza, 2019, pp. 601 ss.</w:t>
      </w:r>
    </w:p>
  </w:footnote>
  <w:footnote w:id="60">
    <w:p w14:paraId="0BAEC4E9"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 </w:t>
      </w:r>
      <w:r w:rsidRPr="00AA56DE">
        <w:rPr>
          <w:rFonts w:ascii="Times New Roman" w:hAnsi="Times New Roman" w:cs="Times New Roman"/>
          <w:smallCaps/>
        </w:rPr>
        <w:t>Carloni</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pp. 21-22.</w:t>
      </w:r>
    </w:p>
  </w:footnote>
  <w:footnote w:id="61">
    <w:p w14:paraId="4AC4E1EE"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Scrive Battini che “la disciplina per il contrasto della corruzione, intesa in senso assai lato, ha impresso al sistema amministrativo una curvatura penalistica, in cui una penetrante regolazione di prevenzione del fenomeno, inevitabilmente imperniata sul sospetto di potenziali attività illecite della burocrazia, è venuta a saldarsi con un inasprimento della disciplina repressiva della corruzione” (S. </w:t>
      </w:r>
      <w:r w:rsidRPr="00AA56DE">
        <w:rPr>
          <w:rFonts w:ascii="Times New Roman" w:hAnsi="Times New Roman" w:cs="Times New Roman"/>
          <w:smallCaps/>
        </w:rPr>
        <w:t>Battini</w:t>
      </w:r>
      <w:r w:rsidRPr="00AA56DE">
        <w:rPr>
          <w:rFonts w:ascii="Times New Roman" w:hAnsi="Times New Roman" w:cs="Times New Roman"/>
        </w:rPr>
        <w:t xml:space="preserve">, </w:t>
      </w:r>
      <w:r w:rsidRPr="00AA56DE">
        <w:rPr>
          <w:rFonts w:ascii="Times New Roman" w:hAnsi="Times New Roman" w:cs="Times New Roman"/>
          <w:i/>
        </w:rPr>
        <w:t xml:space="preserve">La riforma deformata della Costituzione amministrativa italiana: una retrospettiva a vent’anni dal d. lgs. n. 165 del 2001, </w:t>
      </w:r>
      <w:r w:rsidRPr="00AA56DE">
        <w:rPr>
          <w:rFonts w:ascii="Times New Roman" w:hAnsi="Times New Roman" w:cs="Times New Roman"/>
        </w:rPr>
        <w:t xml:space="preserve">in </w:t>
      </w:r>
      <w:r w:rsidRPr="00AA56DE">
        <w:rPr>
          <w:rFonts w:ascii="Times New Roman" w:hAnsi="Times New Roman" w:cs="Times New Roman"/>
          <w:i/>
        </w:rPr>
        <w:t xml:space="preserve">Istituzioni del federalismo, </w:t>
      </w:r>
      <w:r w:rsidRPr="00AA56DE">
        <w:rPr>
          <w:rFonts w:ascii="Times New Roman" w:hAnsi="Times New Roman" w:cs="Times New Roman"/>
        </w:rPr>
        <w:t>n. 2/2021, p. 319).</w:t>
      </w:r>
    </w:p>
  </w:footnote>
  <w:footnote w:id="62">
    <w:p w14:paraId="7E1C45A4"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Ex plurimis</w:t>
      </w:r>
      <w:r w:rsidRPr="00AA56DE">
        <w:rPr>
          <w:rFonts w:ascii="Times New Roman" w:hAnsi="Times New Roman" w:cs="Times New Roman"/>
        </w:rPr>
        <w:t xml:space="preserve">, si v. </w:t>
      </w:r>
      <w:r w:rsidRPr="00AA56DE">
        <w:rPr>
          <w:rFonts w:ascii="Times New Roman" w:hAnsi="Times New Roman" w:cs="Times New Roman"/>
          <w:i/>
        </w:rPr>
        <w:t xml:space="preserve">La corruzione in Italia. Per una politica di prevenzione </w:t>
      </w:r>
      <w:r w:rsidRPr="00AA56DE">
        <w:rPr>
          <w:rFonts w:ascii="Times New Roman" w:hAnsi="Times New Roman" w:cs="Times New Roman"/>
        </w:rPr>
        <w:t>cit., pp. 7 ss.</w:t>
      </w:r>
    </w:p>
  </w:footnote>
  <w:footnote w:id="63">
    <w:p w14:paraId="1DA8B125"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Cui è dedicata la recentissima monografia di E. </w:t>
      </w:r>
      <w:r w:rsidRPr="00AA56DE">
        <w:rPr>
          <w:rFonts w:ascii="Times New Roman" w:hAnsi="Times New Roman" w:cs="Times New Roman"/>
          <w:smallCaps/>
        </w:rPr>
        <w:t>Carloni</w:t>
      </w:r>
      <w:r w:rsidRPr="00AA56DE">
        <w:rPr>
          <w:rFonts w:ascii="Times New Roman" w:hAnsi="Times New Roman" w:cs="Times New Roman"/>
        </w:rPr>
        <w:t xml:space="preserve">, </w:t>
      </w:r>
      <w:r w:rsidRPr="00AA56DE">
        <w:rPr>
          <w:rFonts w:ascii="Times New Roman" w:hAnsi="Times New Roman" w:cs="Times New Roman"/>
          <w:i/>
        </w:rPr>
        <w:t xml:space="preserve">L’anticorruzione </w:t>
      </w:r>
      <w:r w:rsidRPr="00AA56DE">
        <w:rPr>
          <w:rFonts w:ascii="Times New Roman" w:hAnsi="Times New Roman" w:cs="Times New Roman"/>
        </w:rPr>
        <w:t>cit.</w:t>
      </w:r>
    </w:p>
  </w:footnote>
  <w:footnote w:id="64">
    <w:p w14:paraId="6BA0A8FD"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Id</w:t>
      </w:r>
      <w:r w:rsidRPr="00AA56DE">
        <w:rPr>
          <w:rFonts w:ascii="Times New Roman" w:hAnsi="Times New Roman" w:cs="Times New Roman"/>
        </w:rPr>
        <w:t xml:space="preserve">., voce </w:t>
      </w:r>
      <w:r w:rsidRPr="00AA56DE">
        <w:rPr>
          <w:rFonts w:ascii="Times New Roman" w:hAnsi="Times New Roman" w:cs="Times New Roman"/>
          <w:i/>
        </w:rPr>
        <w:t>Corruzione (prevenzione della)</w:t>
      </w:r>
      <w:r w:rsidRPr="00AA56DE">
        <w:rPr>
          <w:rFonts w:ascii="Times New Roman" w:hAnsi="Times New Roman" w:cs="Times New Roman"/>
        </w:rPr>
        <w:t xml:space="preserve">, in </w:t>
      </w:r>
      <w:r w:rsidRPr="00AA56DE">
        <w:rPr>
          <w:rFonts w:ascii="Times New Roman" w:hAnsi="Times New Roman" w:cs="Times New Roman"/>
          <w:i/>
        </w:rPr>
        <w:t>Enciclopedia del Diritto, I Tematici, Funzioni amministrative</w:t>
      </w:r>
      <w:r w:rsidRPr="00AA56DE">
        <w:rPr>
          <w:rFonts w:ascii="Times New Roman" w:hAnsi="Times New Roman" w:cs="Times New Roman"/>
        </w:rPr>
        <w:t>, Giuffré, 2022, p. 321.</w:t>
      </w:r>
    </w:p>
  </w:footnote>
  <w:footnote w:id="65">
    <w:p w14:paraId="0D7FD5DE"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F. Merloni – R. Cavallo Perin</w:t>
      </w:r>
      <w:r w:rsidRPr="00AA56DE">
        <w:rPr>
          <w:rFonts w:ascii="Times New Roman" w:hAnsi="Times New Roman" w:cs="Times New Roman"/>
        </w:rPr>
        <w:t xml:space="preserve">, </w:t>
      </w:r>
      <w:r w:rsidRPr="00AA56DE">
        <w:rPr>
          <w:rFonts w:ascii="Times New Roman" w:hAnsi="Times New Roman" w:cs="Times New Roman"/>
          <w:i/>
        </w:rPr>
        <w:t>Al servizio della Nazione. Etica e statuto dei funzionari pubblici</w:t>
      </w:r>
      <w:r w:rsidRPr="00AA56DE">
        <w:rPr>
          <w:rFonts w:ascii="Times New Roman" w:hAnsi="Times New Roman" w:cs="Times New Roman"/>
        </w:rPr>
        <w:t xml:space="preserve">, FrancoAngeli, 2009; </w:t>
      </w:r>
      <w:r w:rsidRPr="00AA56DE">
        <w:rPr>
          <w:rFonts w:ascii="Times New Roman" w:hAnsi="Times New Roman" w:cs="Times New Roman"/>
          <w:smallCaps/>
        </w:rPr>
        <w:t xml:space="preserve">F. Merloni – L. Vandelli, </w:t>
      </w:r>
      <w:r w:rsidRPr="00AA56DE">
        <w:rPr>
          <w:rFonts w:ascii="Times New Roman" w:hAnsi="Times New Roman" w:cs="Times New Roman"/>
          <w:i/>
        </w:rPr>
        <w:t>La corruzione amministrativa: cause, prevenzione e rimedi</w:t>
      </w:r>
      <w:r w:rsidRPr="00AA56DE">
        <w:rPr>
          <w:rFonts w:ascii="Times New Roman" w:hAnsi="Times New Roman" w:cs="Times New Roman"/>
        </w:rPr>
        <w:t>, Passigli, 2010.</w:t>
      </w:r>
    </w:p>
  </w:footnote>
  <w:footnote w:id="66">
    <w:p w14:paraId="7C3C651C"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M. Galdi</w:t>
      </w:r>
      <w:r w:rsidRPr="00AA56DE">
        <w:rPr>
          <w:rFonts w:ascii="Times New Roman" w:hAnsi="Times New Roman" w:cs="Times New Roman"/>
        </w:rPr>
        <w:t xml:space="preserve">, </w:t>
      </w:r>
      <w:r w:rsidRPr="00AA56DE">
        <w:rPr>
          <w:rFonts w:ascii="Times New Roman" w:hAnsi="Times New Roman" w:cs="Times New Roman"/>
          <w:i/>
        </w:rPr>
        <w:t>La corruzione come disvalore costituzionale</w:t>
      </w:r>
      <w:r w:rsidRPr="00AA56DE">
        <w:rPr>
          <w:rFonts w:ascii="Times New Roman" w:hAnsi="Times New Roman" w:cs="Times New Roman"/>
        </w:rPr>
        <w:t>, in federalismi.it, n. 20/2019, p. 10.</w:t>
      </w:r>
    </w:p>
  </w:footnote>
  <w:footnote w:id="67">
    <w:p w14:paraId="33FFDD9B"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R. Cavallo Perin</w:t>
      </w:r>
      <w:r w:rsidRPr="00AA56DE">
        <w:rPr>
          <w:rFonts w:ascii="Times New Roman" w:hAnsi="Times New Roman" w:cs="Times New Roman"/>
        </w:rPr>
        <w:t xml:space="preserve">, </w:t>
      </w:r>
      <w:r w:rsidRPr="00AA56DE">
        <w:rPr>
          <w:rFonts w:ascii="Times New Roman" w:hAnsi="Times New Roman" w:cs="Times New Roman"/>
          <w:i/>
        </w:rPr>
        <w:t>L'etica pubblica come contenuto di un diritto degli amministrati alla correttezza dei funzionari</w:t>
      </w:r>
      <w:r w:rsidRPr="00AA56DE">
        <w:rPr>
          <w:rFonts w:ascii="Times New Roman" w:hAnsi="Times New Roman" w:cs="Times New Roman"/>
        </w:rPr>
        <w:t>,</w:t>
      </w:r>
      <w:r w:rsidRPr="00AA56DE">
        <w:rPr>
          <w:rFonts w:ascii="Times New Roman" w:hAnsi="Times New Roman" w:cs="Times New Roman"/>
          <w:smallCaps/>
        </w:rPr>
        <w:t xml:space="preserve"> F. Merloni – R. Cavallo Perin</w:t>
      </w:r>
      <w:r w:rsidRPr="00AA56DE">
        <w:rPr>
          <w:rFonts w:ascii="Times New Roman" w:hAnsi="Times New Roman" w:cs="Times New Roman"/>
        </w:rPr>
        <w:t xml:space="preserve">, </w:t>
      </w:r>
      <w:r w:rsidRPr="00AA56DE">
        <w:rPr>
          <w:rFonts w:ascii="Times New Roman" w:hAnsi="Times New Roman" w:cs="Times New Roman"/>
          <w:i/>
        </w:rPr>
        <w:t>Al servizio della Nazione</w:t>
      </w:r>
      <w:r w:rsidRPr="00AA56DE">
        <w:rPr>
          <w:rFonts w:ascii="Times New Roman" w:hAnsi="Times New Roman" w:cs="Times New Roman"/>
        </w:rPr>
        <w:t xml:space="preserve"> cit., p. 150.</w:t>
      </w:r>
    </w:p>
  </w:footnote>
  <w:footnote w:id="68">
    <w:p w14:paraId="79E555A7"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Si trattava dell’auspicio espresso da </w:t>
      </w:r>
      <w:r w:rsidRPr="00AA56DE">
        <w:rPr>
          <w:rFonts w:ascii="Times New Roman" w:hAnsi="Times New Roman" w:cs="Times New Roman"/>
          <w:smallCaps/>
        </w:rPr>
        <w:t>B.G. Mattarella</w:t>
      </w:r>
      <w:r w:rsidRPr="00AA56DE">
        <w:rPr>
          <w:rFonts w:ascii="Times New Roman" w:hAnsi="Times New Roman" w:cs="Times New Roman"/>
        </w:rPr>
        <w:t xml:space="preserve">, </w:t>
      </w:r>
      <w:r w:rsidRPr="00AA56DE">
        <w:rPr>
          <w:rFonts w:ascii="Times New Roman" w:hAnsi="Times New Roman" w:cs="Times New Roman"/>
          <w:i/>
        </w:rPr>
        <w:t>Le regole dell’onestà. Etica, politica, amministrazione</w:t>
      </w:r>
      <w:r w:rsidRPr="00AA56DE">
        <w:rPr>
          <w:rFonts w:ascii="Times New Roman" w:hAnsi="Times New Roman" w:cs="Times New Roman"/>
        </w:rPr>
        <w:t>, Il Mulino, 2007.</w:t>
      </w:r>
    </w:p>
  </w:footnote>
  <w:footnote w:id="69">
    <w:p w14:paraId="6E13D968"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Come evidenziato, in ambito europeo, nel </w:t>
      </w:r>
      <w:r w:rsidRPr="00AA56DE">
        <w:rPr>
          <w:rFonts w:ascii="Times New Roman" w:hAnsi="Times New Roman" w:cs="Times New Roman"/>
          <w:i/>
        </w:rPr>
        <w:t>Discorso della presidente Ursula von der Leyen sullo stato dell’Unione 2022</w:t>
      </w:r>
      <w:r w:rsidRPr="00AA56DE">
        <w:rPr>
          <w:rFonts w:ascii="Times New Roman" w:hAnsi="Times New Roman" w:cs="Times New Roman"/>
        </w:rPr>
        <w:t>, 14 settembre 2022, in cui si evidenzia che la corruzione pone in discussione gli interessi pubblici fondamentali e i diritti umani, nonché la legittimazione delle istituzioni democratiche, con rischio di cattura delle élite politiche e burocratiche non solo da parte di agenti stranieri, bensì anche di agenti stranieri che tentano di influenzare il tessuto politico dell’UE. D’altronde, già nel 2021 si era registrato un Progetto di Raccomandazione del Parlamento europeo che mira a rafforzare la strategia europea e richiede alla Commissione di “formulare una strategia anticorruzione completa, globale, coerente ed efficace”, “facendo tesoro degli strumenti anticorruzione esistenti e delle buone pratiche presenti nel pacchetto di strumenti dell’UE, individuando le lacune, incrementando gli stanziamenti” e conferendo “priorità alla prevenzione nella lotta alla corruzione mettendo in atto misure, politiche e pratiche preventive, comprese campagne di sensibilizzazione e formazione nei settori pubblico e privato”.</w:t>
      </w:r>
    </w:p>
  </w:footnote>
  <w:footnote w:id="70">
    <w:p w14:paraId="0A8860CC"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F. Merloni – A. Pirni</w:t>
      </w:r>
      <w:r w:rsidRPr="00AA56DE">
        <w:rPr>
          <w:rFonts w:ascii="Times New Roman" w:hAnsi="Times New Roman" w:cs="Times New Roman"/>
        </w:rPr>
        <w:t xml:space="preserve">, </w:t>
      </w:r>
      <w:r w:rsidRPr="00AA56DE">
        <w:rPr>
          <w:rFonts w:ascii="Times New Roman" w:hAnsi="Times New Roman" w:cs="Times New Roman"/>
          <w:i/>
        </w:rPr>
        <w:t>Etica per le istituzioni. Un lessico</w:t>
      </w:r>
      <w:r w:rsidRPr="00AA56DE">
        <w:rPr>
          <w:rFonts w:ascii="Times New Roman" w:hAnsi="Times New Roman" w:cs="Times New Roman"/>
        </w:rPr>
        <w:t>, Donzelli, 2020.</w:t>
      </w:r>
    </w:p>
  </w:footnote>
  <w:footnote w:id="71">
    <w:p w14:paraId="2CF628E2"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Rapporto di valutazione sull’Italia</w:t>
      </w:r>
      <w:r w:rsidRPr="00AA56DE">
        <w:rPr>
          <w:rFonts w:ascii="Times New Roman" w:hAnsi="Times New Roman" w:cs="Times New Roman"/>
        </w:rPr>
        <w:t xml:space="preserve"> adottato dal GRECO, 27 maggio 2011, Greco Eval RC-I/II Rep (2011) 1E, disponibile in https://rm.coe.int/16806c6952, p. 24.</w:t>
      </w:r>
    </w:p>
  </w:footnote>
  <w:footnote w:id="72">
    <w:p w14:paraId="7A8B3778"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Come acutamente notato dalla dottrina che discorre di “professionismo dell’anticorruzione”: R. </w:t>
      </w:r>
      <w:r w:rsidRPr="00AA56DE">
        <w:rPr>
          <w:rFonts w:ascii="Times New Roman" w:hAnsi="Times New Roman" w:cs="Times New Roman"/>
          <w:smallCaps/>
        </w:rPr>
        <w:t>Borsari</w:t>
      </w:r>
      <w:r w:rsidRPr="00AA56DE">
        <w:rPr>
          <w:rFonts w:ascii="Times New Roman" w:hAnsi="Times New Roman" w:cs="Times New Roman"/>
        </w:rPr>
        <w:t xml:space="preserve">, </w:t>
      </w:r>
      <w:r w:rsidRPr="00AA56DE">
        <w:rPr>
          <w:rFonts w:ascii="Times New Roman" w:hAnsi="Times New Roman" w:cs="Times New Roman"/>
          <w:i/>
        </w:rPr>
        <w:t>La corruzione pubblica. Ragioni per un cambiamento della prospettiva penale</w:t>
      </w:r>
      <w:r w:rsidRPr="00AA56DE">
        <w:rPr>
          <w:rFonts w:ascii="Times New Roman" w:hAnsi="Times New Roman" w:cs="Times New Roman"/>
        </w:rPr>
        <w:t>, Giappichelli, 2020, p. 2.</w:t>
      </w:r>
    </w:p>
  </w:footnote>
  <w:footnote w:id="73">
    <w:p w14:paraId="49DC00D6"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In materia contabile, si pensi all’art. 7 L. n. 196/2009; in riferimento alla gestione del personale, si abbia riguardo all’art. 6 D. Lgs. n. 165/2001.</w:t>
      </w:r>
    </w:p>
  </w:footnote>
  <w:footnote w:id="74">
    <w:p w14:paraId="1818F087"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Particolarmente sorvegliata in sede di mappatura dei processi a rischio e di redazione dei PTPCT.</w:t>
      </w:r>
    </w:p>
  </w:footnote>
  <w:footnote w:id="75">
    <w:p w14:paraId="0FD03C45"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Il discorso merita un approfondimento. La Convenzione delle Nazioni Unite del 2003 vincolava gli Stati a prevedere “autorità specializzate”, cioè “uno o più organi o persone specializzate nella lotta alla corruzione mediante attività di individuazione e repressione”, delle quali garantire “l’indipendenza necessaria, conformemente ai principi fondamentali del sistema giuridico dello Stato Parte, per potere esercitare le proprie funzioni efficacemente e al riparo da ogni indebita influenza” (art. 36). L’Italia ha adempiuto istituendo un’Autorità dedicata a compiti di prevenzione, con un ruolo che spazia dall’implementazione delle politiche anticorruzione al rafforzamento della cultura della legalità e il monitoraggio sugli adempimenti con l’esercizio di poteri sanzionatori (</w:t>
      </w:r>
      <w:r w:rsidRPr="00AA56DE">
        <w:rPr>
          <w:rFonts w:ascii="Times New Roman" w:hAnsi="Times New Roman" w:cs="Times New Roman"/>
          <w:i/>
        </w:rPr>
        <w:t>multi-purpose anti-corruption agencies</w:t>
      </w:r>
      <w:r w:rsidRPr="00AA56DE">
        <w:rPr>
          <w:rFonts w:ascii="Times New Roman" w:hAnsi="Times New Roman" w:cs="Times New Roman"/>
        </w:rPr>
        <w:t xml:space="preserve">, modello in cui rientrano anche l’Autorità francese, la </w:t>
      </w:r>
      <w:r w:rsidRPr="00AA56DE">
        <w:rPr>
          <w:rFonts w:ascii="Times New Roman" w:hAnsi="Times New Roman" w:cs="Times New Roman"/>
          <w:i/>
        </w:rPr>
        <w:t>National Integrity Agency</w:t>
      </w:r>
      <w:r w:rsidRPr="00AA56DE">
        <w:rPr>
          <w:rFonts w:ascii="Times New Roman" w:hAnsi="Times New Roman" w:cs="Times New Roman"/>
        </w:rPr>
        <w:t xml:space="preserve"> in Romania e l’</w:t>
      </w:r>
      <w:r w:rsidRPr="00AA56DE">
        <w:rPr>
          <w:rFonts w:ascii="Times New Roman" w:hAnsi="Times New Roman" w:cs="Times New Roman"/>
          <w:i/>
        </w:rPr>
        <w:t>Office of Government Ethics</w:t>
      </w:r>
      <w:r w:rsidRPr="00AA56DE">
        <w:rPr>
          <w:rFonts w:ascii="Times New Roman" w:hAnsi="Times New Roman" w:cs="Times New Roman"/>
        </w:rPr>
        <w:t xml:space="preserve"> statunitense), sebbene fossero astrattamente possibili anche </w:t>
      </w:r>
      <w:r w:rsidRPr="00AA56DE">
        <w:rPr>
          <w:rFonts w:ascii="Times New Roman" w:hAnsi="Times New Roman" w:cs="Times New Roman"/>
          <w:i/>
        </w:rPr>
        <w:t>multipurpose agencies</w:t>
      </w:r>
      <w:r w:rsidRPr="00AA56DE">
        <w:rPr>
          <w:rFonts w:ascii="Times New Roman" w:hAnsi="Times New Roman" w:cs="Times New Roman"/>
        </w:rPr>
        <w:t xml:space="preserve"> (con poteri investigativi) e law </w:t>
      </w:r>
      <w:r w:rsidRPr="00AA56DE">
        <w:rPr>
          <w:rFonts w:ascii="Times New Roman" w:hAnsi="Times New Roman" w:cs="Times New Roman"/>
          <w:i/>
        </w:rPr>
        <w:t>enforcement agencies</w:t>
      </w:r>
      <w:r w:rsidRPr="00AA56DE">
        <w:rPr>
          <w:rFonts w:ascii="Times New Roman" w:hAnsi="Times New Roman" w:cs="Times New Roman"/>
        </w:rPr>
        <w:t xml:space="preserve"> (con poteri repressivi; E. </w:t>
      </w:r>
      <w:r w:rsidRPr="00AA56DE">
        <w:rPr>
          <w:rFonts w:ascii="Times New Roman" w:hAnsi="Times New Roman" w:cs="Times New Roman"/>
          <w:smallCaps/>
        </w:rPr>
        <w:t>Carloni</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xml:space="preserve">., pp. 92-93). Tuttavia, non vi era alcun vincolo sovranazionale circa l’identificazione tra l’Autorità indipendente preposta all’anticorruzione e quella operante nel settore dei contratti pubblici; anzi, tale scelta, pressoché isolata nel panorama europeo, è stata criticata dalla dottrina (E. </w:t>
      </w:r>
      <w:r w:rsidRPr="00AA56DE">
        <w:rPr>
          <w:rFonts w:ascii="Times New Roman" w:hAnsi="Times New Roman" w:cs="Times New Roman"/>
          <w:smallCaps/>
        </w:rPr>
        <w:t>Carloni</w:t>
      </w:r>
      <w:r w:rsidRPr="00AA56DE">
        <w:rPr>
          <w:rFonts w:ascii="Times New Roman" w:hAnsi="Times New Roman" w:cs="Times New Roman"/>
        </w:rPr>
        <w:t xml:space="preserve">, </w:t>
      </w:r>
      <w:r w:rsidRPr="00AA56DE">
        <w:rPr>
          <w:rFonts w:ascii="Times New Roman" w:hAnsi="Times New Roman" w:cs="Times New Roman"/>
          <w:i/>
        </w:rPr>
        <w:t xml:space="preserve">L’anticorruzione e la trasparenza nel sistema di </w:t>
      </w:r>
      <w:r w:rsidRPr="00AA56DE">
        <w:rPr>
          <w:rFonts w:ascii="Times New Roman" w:hAnsi="Times New Roman" w:cs="Times New Roman"/>
        </w:rPr>
        <w:t>procurement</w:t>
      </w:r>
      <w:r w:rsidRPr="00AA56DE">
        <w:rPr>
          <w:rFonts w:ascii="Times New Roman" w:hAnsi="Times New Roman" w:cs="Times New Roman"/>
          <w:i/>
        </w:rPr>
        <w:t xml:space="preserve"> pubblico: tendenze e prospettive ai tempi del PNRR</w:t>
      </w:r>
      <w:r w:rsidRPr="00AA56DE">
        <w:rPr>
          <w:rFonts w:ascii="Times New Roman" w:hAnsi="Times New Roman" w:cs="Times New Roman"/>
        </w:rPr>
        <w:t xml:space="preserve">, in </w:t>
      </w:r>
      <w:r w:rsidRPr="00AA56DE">
        <w:rPr>
          <w:rFonts w:ascii="Times New Roman" w:hAnsi="Times New Roman" w:cs="Times New Roman"/>
          <w:i/>
        </w:rPr>
        <w:t>Dir. Amm.</w:t>
      </w:r>
      <w:r w:rsidRPr="00AA56DE">
        <w:rPr>
          <w:rFonts w:ascii="Times New Roman" w:hAnsi="Times New Roman" w:cs="Times New Roman"/>
        </w:rPr>
        <w:t>, n. 3/2022).</w:t>
      </w:r>
    </w:p>
  </w:footnote>
  <w:footnote w:id="76">
    <w:p w14:paraId="42A4D2A5"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Non possiamo tacere di quell’evoluzione storica per cui, a breve distanza di tempo dallo scandalo di “Tangentopoli”, già la “Legge Merloni” del 1994 intervenne a imporre un impianto maggiormente orientato alla soluzione della gara e al contenimento di margini di discrezionalità nella scelta del contraente: le regole pubblicistiche “apparivano più congeniali a combattere la piaga delle collusioni occulte tra gli uffici delle amministrazioni, i fornitori, gli appaltatori e i somministratori” (</w:t>
      </w:r>
      <w:r w:rsidRPr="00AA56DE">
        <w:rPr>
          <w:rFonts w:ascii="Times New Roman" w:hAnsi="Times New Roman" w:cs="Times New Roman"/>
          <w:smallCaps/>
        </w:rPr>
        <w:t>S. Fantini – H. Simonetti</w:t>
      </w:r>
      <w:r w:rsidRPr="00AA56DE">
        <w:rPr>
          <w:rFonts w:ascii="Times New Roman" w:hAnsi="Times New Roman" w:cs="Times New Roman"/>
        </w:rPr>
        <w:t xml:space="preserve">, </w:t>
      </w:r>
      <w:r w:rsidRPr="00AA56DE">
        <w:rPr>
          <w:rFonts w:ascii="Times New Roman" w:hAnsi="Times New Roman" w:cs="Times New Roman"/>
          <w:i/>
        </w:rPr>
        <w:t>Le basi del diritto dei contratti pubblici</w:t>
      </w:r>
      <w:r w:rsidRPr="00AA56DE">
        <w:rPr>
          <w:rFonts w:ascii="Times New Roman" w:hAnsi="Times New Roman" w:cs="Times New Roman"/>
        </w:rPr>
        <w:t>, Giuffré, 2019, p. 6).</w:t>
      </w:r>
    </w:p>
  </w:footnote>
  <w:footnote w:id="77">
    <w:p w14:paraId="4831EAE5"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L. </w:t>
      </w:r>
      <w:r w:rsidRPr="00AA56DE">
        <w:rPr>
          <w:rFonts w:ascii="Times New Roman" w:hAnsi="Times New Roman" w:cs="Times New Roman"/>
          <w:smallCaps/>
        </w:rPr>
        <w:t>Oliveri</w:t>
      </w:r>
      <w:r w:rsidRPr="00AA56DE">
        <w:rPr>
          <w:rFonts w:ascii="Times New Roman" w:hAnsi="Times New Roman" w:cs="Times New Roman"/>
        </w:rPr>
        <w:t xml:space="preserve">, </w:t>
      </w:r>
      <w:r w:rsidRPr="00AA56DE">
        <w:rPr>
          <w:rFonts w:ascii="Times New Roman" w:hAnsi="Times New Roman" w:cs="Times New Roman"/>
          <w:i/>
        </w:rPr>
        <w:t>Anticorruzione ancora da rodare</w:t>
      </w:r>
      <w:r w:rsidRPr="00AA56DE">
        <w:rPr>
          <w:rFonts w:ascii="Times New Roman" w:hAnsi="Times New Roman" w:cs="Times New Roman"/>
        </w:rPr>
        <w:t>, 2017, in https://luigioliveri.blogspot.com/2017/01/anticorruzione-ancora-da-rodare.html</w:t>
      </w:r>
    </w:p>
  </w:footnote>
  <w:footnote w:id="78">
    <w:p w14:paraId="3E0D1CB2"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Ibidem</w:t>
      </w:r>
      <w:r w:rsidRPr="00AA56DE">
        <w:rPr>
          <w:rFonts w:ascii="Times New Roman" w:hAnsi="Times New Roman" w:cs="Times New Roman"/>
        </w:rPr>
        <w:t>.</w:t>
      </w:r>
    </w:p>
  </w:footnote>
  <w:footnote w:id="79">
    <w:p w14:paraId="1812B9C6" w14:textId="77777777" w:rsidR="003139E4" w:rsidRPr="00AA56DE" w:rsidRDefault="003139E4" w:rsidP="00AA56DE">
      <w:pPr>
        <w:pStyle w:val="Testonotaapidipagina"/>
        <w:jc w:val="both"/>
        <w:rPr>
          <w:rFonts w:ascii="Times New Roman" w:hAnsi="Times New Roman" w:cs="Times New Roman"/>
          <w:smallCaps/>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 xml:space="preserve">A. Battaglia – S. Battini – A. Blasini – V. Bontempi – M. P. Chiti – F. Decarolis – S. Mento – A. Pincini – A. Pirri Valentini – G. Sabato, </w:t>
      </w:r>
      <w:r w:rsidRPr="00AA56DE">
        <w:rPr>
          <w:rFonts w:ascii="Times New Roman" w:hAnsi="Times New Roman" w:cs="Times New Roman"/>
          <w:i/>
        </w:rPr>
        <w:t>Burocrazia difensiva: cause, indicatori e rimedi</w:t>
      </w:r>
      <w:r w:rsidRPr="00AA56DE">
        <w:rPr>
          <w:rFonts w:ascii="Times New Roman" w:hAnsi="Times New Roman" w:cs="Times New Roman"/>
        </w:rPr>
        <w:t>, in https://images.irpa.eu/wp-content/uploads/2021/03/Burocrazia-difensiva_Battini.pdf, p. 1.</w:t>
      </w:r>
    </w:p>
  </w:footnote>
  <w:footnote w:id="80">
    <w:p w14:paraId="216DA3FE"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Ivi</w:t>
      </w:r>
      <w:r w:rsidRPr="00AA56DE">
        <w:rPr>
          <w:rFonts w:ascii="Times New Roman" w:hAnsi="Times New Roman" w:cs="Times New Roman"/>
        </w:rPr>
        <w:t>, p. 2.</w:t>
      </w:r>
    </w:p>
  </w:footnote>
  <w:footnote w:id="81">
    <w:p w14:paraId="0639108F" w14:textId="77777777" w:rsidR="003139E4" w:rsidRPr="00AA56DE" w:rsidRDefault="003139E4"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Krienke</w:t>
      </w:r>
      <w:r w:rsidRPr="00AA56DE">
        <w:rPr>
          <w:rFonts w:ascii="Times New Roman" w:hAnsi="Times New Roman" w:cs="Times New Roman"/>
        </w:rPr>
        <w:t xml:space="preserve">, </w:t>
      </w:r>
      <w:r w:rsidRPr="00AA56DE">
        <w:rPr>
          <w:rFonts w:ascii="Times New Roman" w:hAnsi="Times New Roman" w:cs="Times New Roman"/>
          <w:i/>
        </w:rPr>
        <w:t>Trasparenza, integrità e good governance. La necessaria dimensione etica nella pubblica amministrazione oggi</w:t>
      </w:r>
      <w:r w:rsidRPr="00AA56DE">
        <w:rPr>
          <w:rFonts w:ascii="Times New Roman" w:hAnsi="Times New Roman" w:cs="Times New Roman"/>
        </w:rPr>
        <w:t xml:space="preserve">, in </w:t>
      </w:r>
      <w:r w:rsidRPr="00AA56DE">
        <w:rPr>
          <w:rFonts w:ascii="Times New Roman" w:hAnsi="Times New Roman" w:cs="Times New Roman"/>
          <w:smallCaps/>
        </w:rPr>
        <w:t>P. Previtali – R. Procaccini – A. Zatti</w:t>
      </w:r>
      <w:r w:rsidRPr="00AA56DE">
        <w:rPr>
          <w:rFonts w:ascii="Times New Roman" w:hAnsi="Times New Roman" w:cs="Times New Roman"/>
        </w:rPr>
        <w:t xml:space="preserve"> (a cura di), </w:t>
      </w:r>
      <w:r w:rsidRPr="00AA56DE">
        <w:rPr>
          <w:rFonts w:ascii="Times New Roman" w:hAnsi="Times New Roman" w:cs="Times New Roman"/>
          <w:i/>
        </w:rPr>
        <w:t>Trasparenza e anticorruzione: la nuova frontiera del manager pubblico</w:t>
      </w:r>
      <w:r w:rsidRPr="00AA56DE">
        <w:rPr>
          <w:rFonts w:ascii="Times New Roman" w:hAnsi="Times New Roman" w:cs="Times New Roman"/>
        </w:rPr>
        <w:t>, Pavia University Press, 2016, p. 93.</w:t>
      </w:r>
    </w:p>
  </w:footnote>
  <w:footnote w:id="82">
    <w:p w14:paraId="7ADC6DB2" w14:textId="4D8E2565" w:rsidR="00556285" w:rsidRPr="00AA56DE" w:rsidRDefault="0055628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Ma, per una formalizzazione matematica del fenomeno fiduciario nel contesto delle PP.AA., si veda </w:t>
      </w:r>
      <w:r w:rsidRPr="00AA56DE">
        <w:rPr>
          <w:rFonts w:ascii="Times New Roman" w:hAnsi="Times New Roman" w:cs="Times New Roman"/>
          <w:smallCaps/>
        </w:rPr>
        <w:t>A. Ripepi – M. Ferrara</w:t>
      </w:r>
      <w:r w:rsidRPr="00AA56DE">
        <w:rPr>
          <w:rFonts w:ascii="Times New Roman" w:hAnsi="Times New Roman" w:cs="Times New Roman"/>
        </w:rPr>
        <w:t xml:space="preserve">, </w:t>
      </w:r>
      <w:r w:rsidR="00DC1906" w:rsidRPr="00AA56DE">
        <w:rPr>
          <w:rFonts w:ascii="Times New Roman" w:hAnsi="Times New Roman" w:cs="Times New Roman"/>
          <w:i/>
          <w:iCs/>
        </w:rPr>
        <w:t>Un Approccio Fuzzy alla “Fiducia” nella Pubblica Amministrazione: Modelli matematici nell’Era dell’Intelligenza Artificiale</w:t>
      </w:r>
      <w:r w:rsidR="00DC1906" w:rsidRPr="00AA56DE">
        <w:rPr>
          <w:rFonts w:ascii="Times New Roman" w:hAnsi="Times New Roman" w:cs="Times New Roman"/>
        </w:rPr>
        <w:t xml:space="preserve">, in </w:t>
      </w:r>
      <w:r w:rsidR="00DC1906" w:rsidRPr="00AA56DE">
        <w:rPr>
          <w:rFonts w:ascii="Times New Roman" w:hAnsi="Times New Roman" w:cs="Times New Roman"/>
          <w:i/>
          <w:iCs/>
        </w:rPr>
        <w:t>Ratio iuris</w:t>
      </w:r>
      <w:r w:rsidR="00DC1906" w:rsidRPr="00AA56DE">
        <w:rPr>
          <w:rFonts w:ascii="Times New Roman" w:hAnsi="Times New Roman" w:cs="Times New Roman"/>
        </w:rPr>
        <w:t>, 6 marzo 2025.</w:t>
      </w:r>
    </w:p>
  </w:footnote>
  <w:footnote w:id="83">
    <w:p w14:paraId="361791D2"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D. </w:t>
      </w:r>
      <w:r w:rsidRPr="00AA56DE">
        <w:rPr>
          <w:rFonts w:ascii="Times New Roman" w:hAnsi="Times New Roman" w:cs="Times New Roman"/>
          <w:smallCaps/>
        </w:rPr>
        <w:t>Senzani</w:t>
      </w:r>
      <w:r w:rsidRPr="00AA56DE">
        <w:rPr>
          <w:rFonts w:ascii="Times New Roman" w:hAnsi="Times New Roman" w:cs="Times New Roman"/>
        </w:rPr>
        <w:t xml:space="preserve">, </w:t>
      </w:r>
      <w:r w:rsidRPr="00AA56DE">
        <w:rPr>
          <w:rFonts w:ascii="Times New Roman" w:hAnsi="Times New Roman" w:cs="Times New Roman"/>
          <w:i/>
        </w:rPr>
        <w:t>Misure di prevenzione della corruzione, discrezionalità e prassi amministrativa</w:t>
      </w:r>
      <w:r w:rsidRPr="00AA56DE">
        <w:rPr>
          <w:rFonts w:ascii="Times New Roman" w:hAnsi="Times New Roman" w:cs="Times New Roman"/>
        </w:rPr>
        <w:t xml:space="preserve">, in </w:t>
      </w:r>
      <w:r w:rsidRPr="00AA56DE">
        <w:rPr>
          <w:rFonts w:ascii="Times New Roman" w:hAnsi="Times New Roman" w:cs="Times New Roman"/>
          <w:smallCaps/>
        </w:rPr>
        <w:t>F. Cerioni – V. Sarcone</w:t>
      </w:r>
      <w:r w:rsidRPr="00AA56DE">
        <w:rPr>
          <w:rFonts w:ascii="Times New Roman" w:hAnsi="Times New Roman" w:cs="Times New Roman"/>
        </w:rPr>
        <w:t xml:space="preserve">, </w:t>
      </w:r>
      <w:r w:rsidRPr="00AA56DE">
        <w:rPr>
          <w:rFonts w:ascii="Times New Roman" w:hAnsi="Times New Roman" w:cs="Times New Roman"/>
          <w:i/>
        </w:rPr>
        <w:t>Legislazione anticorruzione e responsabilità nella Pubblica Amministrazione</w:t>
      </w:r>
      <w:r w:rsidRPr="00AA56DE">
        <w:rPr>
          <w:rFonts w:ascii="Times New Roman" w:hAnsi="Times New Roman" w:cs="Times New Roman"/>
        </w:rPr>
        <w:t xml:space="preserve">, Giuffré, 2019, pp. 41 ss. </w:t>
      </w:r>
    </w:p>
  </w:footnote>
  <w:footnote w:id="84">
    <w:p w14:paraId="4141E940"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Sui rapporti tra anticorruzione e contratti pubblici v., tra tutti, E. </w:t>
      </w:r>
      <w:r w:rsidRPr="00AA56DE">
        <w:rPr>
          <w:rFonts w:ascii="Times New Roman" w:hAnsi="Times New Roman" w:cs="Times New Roman"/>
          <w:smallCaps/>
        </w:rPr>
        <w:t>Carloni</w:t>
      </w:r>
      <w:r w:rsidRPr="00AA56DE">
        <w:rPr>
          <w:rFonts w:ascii="Times New Roman" w:hAnsi="Times New Roman" w:cs="Times New Roman"/>
        </w:rPr>
        <w:t xml:space="preserve">, </w:t>
      </w:r>
      <w:r w:rsidRPr="00AA56DE">
        <w:rPr>
          <w:rFonts w:ascii="Times New Roman" w:hAnsi="Times New Roman" w:cs="Times New Roman"/>
          <w:i/>
        </w:rPr>
        <w:t>L’anticorruzione cit</w:t>
      </w:r>
      <w:r w:rsidRPr="00AA56DE">
        <w:rPr>
          <w:rFonts w:ascii="Times New Roman" w:hAnsi="Times New Roman" w:cs="Times New Roman"/>
        </w:rPr>
        <w:t>., pp. 231 ss.</w:t>
      </w:r>
    </w:p>
  </w:footnote>
  <w:footnote w:id="85">
    <w:p w14:paraId="189E0C6D"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smallCaps/>
        </w:rPr>
        <w:footnoteRef/>
      </w:r>
      <w:r w:rsidRPr="00AA56DE">
        <w:rPr>
          <w:rFonts w:ascii="Times New Roman" w:hAnsi="Times New Roman" w:cs="Times New Roman"/>
          <w:smallCaps/>
        </w:rPr>
        <w:t xml:space="preserve"> M.A. Sandulli – A. Cancrini</w:t>
      </w:r>
      <w:r w:rsidRPr="00AA56DE">
        <w:rPr>
          <w:rFonts w:ascii="Times New Roman" w:hAnsi="Times New Roman" w:cs="Times New Roman"/>
        </w:rPr>
        <w:t xml:space="preserve">, </w:t>
      </w:r>
      <w:r w:rsidRPr="00AA56DE">
        <w:rPr>
          <w:rFonts w:ascii="Times New Roman" w:hAnsi="Times New Roman" w:cs="Times New Roman"/>
          <w:i/>
        </w:rPr>
        <w:t>I contratti pubblici</w:t>
      </w:r>
      <w:r w:rsidRPr="00AA56DE">
        <w:rPr>
          <w:rFonts w:ascii="Times New Roman" w:hAnsi="Times New Roman" w:cs="Times New Roman"/>
        </w:rPr>
        <w:t xml:space="preserve">, in </w:t>
      </w:r>
      <w:r w:rsidRPr="00AA56DE">
        <w:rPr>
          <w:rFonts w:ascii="Times New Roman" w:hAnsi="Times New Roman" w:cs="Times New Roman"/>
          <w:smallCaps/>
        </w:rPr>
        <w:t>F. Merloni – A. Vandelli</w:t>
      </w:r>
      <w:r w:rsidRPr="00AA56DE">
        <w:rPr>
          <w:rFonts w:ascii="Times New Roman" w:hAnsi="Times New Roman" w:cs="Times New Roman"/>
        </w:rPr>
        <w:t xml:space="preserve"> (a cura di), </w:t>
      </w:r>
      <w:r w:rsidRPr="00AA56DE">
        <w:rPr>
          <w:rFonts w:ascii="Times New Roman" w:hAnsi="Times New Roman" w:cs="Times New Roman"/>
          <w:i/>
        </w:rPr>
        <w:t xml:space="preserve">La corruzione amministrativa cit., </w:t>
      </w:r>
      <w:r w:rsidRPr="00AA56DE">
        <w:rPr>
          <w:rFonts w:ascii="Times New Roman" w:hAnsi="Times New Roman" w:cs="Times New Roman"/>
        </w:rPr>
        <w:t>pp. 441-443.</w:t>
      </w:r>
    </w:p>
  </w:footnote>
  <w:footnote w:id="86">
    <w:p w14:paraId="024F72B7"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 </w:t>
      </w:r>
      <w:r w:rsidRPr="00AA56DE">
        <w:rPr>
          <w:rFonts w:ascii="Times New Roman" w:hAnsi="Times New Roman" w:cs="Times New Roman"/>
          <w:smallCaps/>
        </w:rPr>
        <w:t>Fantini – H. Simonetti</w:t>
      </w:r>
      <w:r w:rsidRPr="00AA56DE">
        <w:rPr>
          <w:rFonts w:ascii="Times New Roman" w:hAnsi="Times New Roman" w:cs="Times New Roman"/>
        </w:rPr>
        <w:t xml:space="preserve">, </w:t>
      </w:r>
      <w:r w:rsidRPr="00AA56DE">
        <w:rPr>
          <w:rFonts w:ascii="Times New Roman" w:hAnsi="Times New Roman" w:cs="Times New Roman"/>
          <w:i/>
        </w:rPr>
        <w:t xml:space="preserve">Le basi del diritto dei contratti pubblici </w:t>
      </w:r>
      <w:r w:rsidRPr="00AA56DE">
        <w:rPr>
          <w:rFonts w:ascii="Times New Roman" w:hAnsi="Times New Roman" w:cs="Times New Roman"/>
        </w:rPr>
        <w:t>cit., p. 23.</w:t>
      </w:r>
    </w:p>
  </w:footnote>
  <w:footnote w:id="87">
    <w:p w14:paraId="3CF0840A"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 </w:t>
      </w:r>
      <w:r w:rsidRPr="00AA56DE">
        <w:rPr>
          <w:rFonts w:ascii="Times New Roman" w:hAnsi="Times New Roman" w:cs="Times New Roman"/>
          <w:smallCaps/>
        </w:rPr>
        <w:t>Torricelli</w:t>
      </w:r>
      <w:r w:rsidRPr="00AA56DE">
        <w:rPr>
          <w:rFonts w:ascii="Times New Roman" w:hAnsi="Times New Roman" w:cs="Times New Roman"/>
        </w:rPr>
        <w:t xml:space="preserve">, </w:t>
      </w:r>
      <w:r w:rsidRPr="00AA56DE">
        <w:rPr>
          <w:rFonts w:ascii="Times New Roman" w:hAnsi="Times New Roman" w:cs="Times New Roman"/>
          <w:i/>
        </w:rPr>
        <w:t>Disciplina degli appalti e strumenti di lotta alla “corruzione”</w:t>
      </w:r>
      <w:r w:rsidRPr="00AA56DE">
        <w:rPr>
          <w:rFonts w:ascii="Times New Roman" w:hAnsi="Times New Roman" w:cs="Times New Roman"/>
        </w:rPr>
        <w:t xml:space="preserve">, in </w:t>
      </w:r>
      <w:r w:rsidRPr="00AA56DE">
        <w:rPr>
          <w:rFonts w:ascii="Times New Roman" w:hAnsi="Times New Roman" w:cs="Times New Roman"/>
          <w:i/>
        </w:rPr>
        <w:t>Diritto pubblico</w:t>
      </w:r>
      <w:r w:rsidRPr="00AA56DE">
        <w:rPr>
          <w:rFonts w:ascii="Times New Roman" w:hAnsi="Times New Roman" w:cs="Times New Roman"/>
        </w:rPr>
        <w:t xml:space="preserve">, n. 3/2018, pp. 953-977; M. </w:t>
      </w:r>
      <w:r w:rsidRPr="00AA56DE">
        <w:rPr>
          <w:rFonts w:ascii="Times New Roman" w:hAnsi="Times New Roman" w:cs="Times New Roman"/>
          <w:smallCaps/>
        </w:rPr>
        <w:t>Cafagno</w:t>
      </w:r>
      <w:r w:rsidRPr="00AA56DE">
        <w:rPr>
          <w:rFonts w:ascii="Times New Roman" w:hAnsi="Times New Roman" w:cs="Times New Roman"/>
        </w:rPr>
        <w:t xml:space="preserve">, </w:t>
      </w:r>
      <w:r w:rsidRPr="00AA56DE">
        <w:rPr>
          <w:rFonts w:ascii="Times New Roman" w:hAnsi="Times New Roman" w:cs="Times New Roman"/>
          <w:i/>
        </w:rPr>
        <w:t xml:space="preserve">Contratti pubblici, responsabilità amministrativa e “burocrazia difensiva”, </w:t>
      </w:r>
      <w:r w:rsidRPr="00AA56DE">
        <w:rPr>
          <w:rFonts w:ascii="Times New Roman" w:hAnsi="Times New Roman" w:cs="Times New Roman"/>
        </w:rPr>
        <w:t xml:space="preserve">in </w:t>
      </w:r>
      <w:r w:rsidRPr="00AA56DE">
        <w:rPr>
          <w:rFonts w:ascii="Times New Roman" w:hAnsi="Times New Roman" w:cs="Times New Roman"/>
          <w:i/>
        </w:rPr>
        <w:t>Il diritto dell’economia</w:t>
      </w:r>
      <w:r w:rsidRPr="00AA56DE">
        <w:rPr>
          <w:rFonts w:ascii="Times New Roman" w:hAnsi="Times New Roman" w:cs="Times New Roman"/>
        </w:rPr>
        <w:t>, n. 3/2018, p. 33.</w:t>
      </w:r>
    </w:p>
  </w:footnote>
  <w:footnote w:id="88">
    <w:p w14:paraId="720637E4"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 </w:t>
      </w:r>
      <w:r w:rsidRPr="00AA56DE">
        <w:rPr>
          <w:rFonts w:ascii="Times New Roman" w:hAnsi="Times New Roman" w:cs="Times New Roman"/>
          <w:smallCaps/>
        </w:rPr>
        <w:t>Carloni</w:t>
      </w:r>
      <w:r w:rsidRPr="00AA56DE">
        <w:rPr>
          <w:rFonts w:ascii="Times New Roman" w:hAnsi="Times New Roman" w:cs="Times New Roman"/>
        </w:rPr>
        <w:t xml:space="preserve">, </w:t>
      </w:r>
      <w:r w:rsidRPr="00AA56DE">
        <w:rPr>
          <w:rFonts w:ascii="Times New Roman" w:hAnsi="Times New Roman" w:cs="Times New Roman"/>
          <w:i/>
        </w:rPr>
        <w:t xml:space="preserve">L’anticorruzione cit., </w:t>
      </w:r>
      <w:r w:rsidRPr="00AA56DE">
        <w:rPr>
          <w:rFonts w:ascii="Times New Roman" w:hAnsi="Times New Roman" w:cs="Times New Roman"/>
        </w:rPr>
        <w:t>p. 240.</w:t>
      </w:r>
    </w:p>
  </w:footnote>
  <w:footnote w:id="89">
    <w:p w14:paraId="739B28E0"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M. Delsignore – M. Ramajoli</w:t>
      </w:r>
      <w:r w:rsidRPr="00AA56DE">
        <w:rPr>
          <w:rFonts w:ascii="Times New Roman" w:hAnsi="Times New Roman" w:cs="Times New Roman"/>
        </w:rPr>
        <w:t xml:space="preserve">, </w:t>
      </w:r>
      <w:r w:rsidRPr="00AA56DE">
        <w:rPr>
          <w:rFonts w:ascii="Times New Roman" w:hAnsi="Times New Roman" w:cs="Times New Roman"/>
          <w:i/>
        </w:rPr>
        <w:t>La prevenzione della corruzione e l’illusione di un’amministrazione senza macchina, in Rivista trimestrale di diritto pubblico</w:t>
      </w:r>
      <w:r w:rsidRPr="00AA56DE">
        <w:rPr>
          <w:rFonts w:ascii="Times New Roman" w:hAnsi="Times New Roman" w:cs="Times New Roman"/>
        </w:rPr>
        <w:t>, n. 1-2019, pp. 61 ss.</w:t>
      </w:r>
    </w:p>
  </w:footnote>
  <w:footnote w:id="90">
    <w:p w14:paraId="227C0DBE"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Caratterizzato dai poteri attribuiti al Commissario straordinario, il quale poteva operare “in deroga a ogni disposizione di legge extrapenale, fatto salvo il rispetto dei vincoli inderogabili derivanti dall’appartenenza all’Unione Europea” (art. 1, c. 5, D.L. n. 109/2018).</w:t>
      </w:r>
    </w:p>
  </w:footnote>
  <w:footnote w:id="91">
    <w:p w14:paraId="0C27E8F3"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D.L. n. 32/2019, recante numerose misure di sospensione di efficacia e di deroga.</w:t>
      </w:r>
    </w:p>
  </w:footnote>
  <w:footnote w:id="92">
    <w:p w14:paraId="72206B38"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P. </w:t>
      </w:r>
      <w:r w:rsidRPr="00AA56DE">
        <w:rPr>
          <w:rFonts w:ascii="Times New Roman" w:hAnsi="Times New Roman" w:cs="Times New Roman"/>
          <w:smallCaps/>
        </w:rPr>
        <w:t>Lazzara</w:t>
      </w:r>
      <w:r w:rsidRPr="00AA56DE">
        <w:rPr>
          <w:rFonts w:ascii="Times New Roman" w:hAnsi="Times New Roman" w:cs="Times New Roman"/>
        </w:rPr>
        <w:t xml:space="preserve">, </w:t>
      </w:r>
      <w:r w:rsidRPr="00AA56DE">
        <w:rPr>
          <w:rFonts w:ascii="Times New Roman" w:hAnsi="Times New Roman" w:cs="Times New Roman"/>
          <w:i/>
        </w:rPr>
        <w:t>Introduzione al sistema dei contratti della pubblica amministrazione</w:t>
      </w:r>
      <w:r w:rsidRPr="00AA56DE">
        <w:rPr>
          <w:rFonts w:ascii="Times New Roman" w:hAnsi="Times New Roman" w:cs="Times New Roman"/>
        </w:rPr>
        <w:t xml:space="preserve">, in Id. (a cura di), </w:t>
      </w:r>
      <w:r w:rsidRPr="00AA56DE">
        <w:rPr>
          <w:rFonts w:ascii="Times New Roman" w:hAnsi="Times New Roman" w:cs="Times New Roman"/>
          <w:i/>
        </w:rPr>
        <w:t>Il diritto dei contratti pubblici. Temi e questioni</w:t>
      </w:r>
      <w:r w:rsidRPr="00AA56DE">
        <w:rPr>
          <w:rFonts w:ascii="Times New Roman" w:hAnsi="Times New Roman" w:cs="Times New Roman"/>
        </w:rPr>
        <w:t>, Aracne, 2021, p. 22.</w:t>
      </w:r>
    </w:p>
  </w:footnote>
  <w:footnote w:id="93">
    <w:p w14:paraId="60BE4558"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A. </w:t>
      </w:r>
      <w:r w:rsidRPr="00AA56DE">
        <w:rPr>
          <w:rFonts w:ascii="Times New Roman" w:hAnsi="Times New Roman" w:cs="Times New Roman"/>
          <w:smallCaps/>
        </w:rPr>
        <w:t>Zatti</w:t>
      </w:r>
      <w:r w:rsidRPr="00AA56DE">
        <w:rPr>
          <w:rFonts w:ascii="Times New Roman" w:hAnsi="Times New Roman" w:cs="Times New Roman"/>
        </w:rPr>
        <w:t xml:space="preserve">, </w:t>
      </w:r>
      <w:r w:rsidRPr="00AA56DE">
        <w:rPr>
          <w:rFonts w:ascii="Times New Roman" w:hAnsi="Times New Roman" w:cs="Times New Roman"/>
          <w:i/>
        </w:rPr>
        <w:t>Un quadro in tumultuoso divenire</w:t>
      </w:r>
      <w:r w:rsidRPr="00AA56DE">
        <w:rPr>
          <w:rFonts w:ascii="Times New Roman" w:hAnsi="Times New Roman" w:cs="Times New Roman"/>
        </w:rPr>
        <w:t xml:space="preserve">, in </w:t>
      </w:r>
      <w:r w:rsidRPr="00AA56DE">
        <w:rPr>
          <w:rFonts w:ascii="Times New Roman" w:hAnsi="Times New Roman" w:cs="Times New Roman"/>
          <w:smallCaps/>
        </w:rPr>
        <w:t>P. Previtali – R. Procaccini – A. Zatti</w:t>
      </w:r>
      <w:r w:rsidRPr="00AA56DE">
        <w:rPr>
          <w:rFonts w:ascii="Times New Roman" w:hAnsi="Times New Roman" w:cs="Times New Roman"/>
        </w:rPr>
        <w:t xml:space="preserve"> (a cura di), </w:t>
      </w:r>
      <w:r w:rsidRPr="00AA56DE">
        <w:rPr>
          <w:rFonts w:ascii="Times New Roman" w:hAnsi="Times New Roman" w:cs="Times New Roman"/>
          <w:i/>
        </w:rPr>
        <w:t>Trasparenza e anticorruzione: la nuova frontiera del manager pubblico</w:t>
      </w:r>
      <w:r w:rsidRPr="00AA56DE">
        <w:rPr>
          <w:rFonts w:ascii="Times New Roman" w:hAnsi="Times New Roman" w:cs="Times New Roman"/>
        </w:rPr>
        <w:t xml:space="preserve"> cit., p. 12.</w:t>
      </w:r>
    </w:p>
  </w:footnote>
  <w:footnote w:id="94">
    <w:p w14:paraId="7E772080"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Ibidem</w:t>
      </w:r>
      <w:r w:rsidRPr="00AA56DE">
        <w:rPr>
          <w:rFonts w:ascii="Times New Roman" w:hAnsi="Times New Roman" w:cs="Times New Roman"/>
        </w:rPr>
        <w:t>.</w:t>
      </w:r>
    </w:p>
  </w:footnote>
  <w:footnote w:id="95">
    <w:p w14:paraId="3B26BF0B"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Relazione agli articoli e agli allegati del Codice cit., p. 15.</w:t>
      </w:r>
    </w:p>
  </w:footnote>
  <w:footnote w:id="96">
    <w:p w14:paraId="587BDC3E" w14:textId="77777777" w:rsidR="00777007" w:rsidRPr="00AA56DE" w:rsidRDefault="007770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Corte cost., ord. 26 maggio 2015, n. 92.</w:t>
      </w:r>
    </w:p>
  </w:footnote>
  <w:footnote w:id="97">
    <w:p w14:paraId="4A6FBEA7" w14:textId="272D61CE" w:rsidR="00C40A32" w:rsidRPr="00AA56DE" w:rsidRDefault="00C40A32"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bCs/>
          <w:iCs/>
        </w:rPr>
        <w:t xml:space="preserve">Mi permetto di rinviare, per approfondimenti, ad A. </w:t>
      </w:r>
      <w:r w:rsidRPr="00AA56DE">
        <w:rPr>
          <w:rFonts w:ascii="Times New Roman" w:hAnsi="Times New Roman" w:cs="Times New Roman"/>
          <w:bCs/>
          <w:iCs/>
          <w:smallCaps/>
        </w:rPr>
        <w:t>Ripepi</w:t>
      </w:r>
      <w:r w:rsidRPr="00AA56DE">
        <w:rPr>
          <w:rFonts w:ascii="Times New Roman" w:hAnsi="Times New Roman" w:cs="Times New Roman"/>
          <w:bCs/>
          <w:iCs/>
        </w:rPr>
        <w:t xml:space="preserve">, </w:t>
      </w:r>
      <w:r w:rsidRPr="00AA56DE">
        <w:rPr>
          <w:rFonts w:ascii="Times New Roman" w:hAnsi="Times New Roman" w:cs="Times New Roman"/>
          <w:bCs/>
          <w:i/>
        </w:rPr>
        <w:t>Dirigenza pubblica e fiducia: un’analisi integrata tra diritto e management</w:t>
      </w:r>
      <w:r w:rsidRPr="00AA56DE">
        <w:rPr>
          <w:rFonts w:ascii="Times New Roman" w:hAnsi="Times New Roman" w:cs="Times New Roman"/>
          <w:bCs/>
          <w:iCs/>
        </w:rPr>
        <w:t xml:space="preserve">, Egea, 2025, liberamente scaricabile in formato Open Access dal seguente link: </w:t>
      </w:r>
      <w:hyperlink r:id="rId1" w:history="1">
        <w:r w:rsidRPr="00AA56DE">
          <w:rPr>
            <w:rStyle w:val="Collegamentoipertestuale"/>
            <w:rFonts w:ascii="Times New Roman" w:hAnsi="Times New Roman" w:cs="Times New Roman"/>
            <w:bCs/>
            <w:iCs/>
          </w:rPr>
          <w:t xml:space="preserve">Dirigenza pubblica e </w:t>
        </w:r>
        <w:proofErr w:type="gramStart"/>
        <w:r w:rsidRPr="00AA56DE">
          <w:rPr>
            <w:rStyle w:val="Collegamentoipertestuale"/>
            <w:rFonts w:ascii="Times New Roman" w:hAnsi="Times New Roman" w:cs="Times New Roman"/>
            <w:bCs/>
            <w:iCs/>
          </w:rPr>
          <w:t>fiducia :</w:t>
        </w:r>
        <w:proofErr w:type="gramEnd"/>
        <w:r w:rsidRPr="00AA56DE">
          <w:rPr>
            <w:rStyle w:val="Collegamentoipertestuale"/>
            <w:rFonts w:ascii="Times New Roman" w:hAnsi="Times New Roman" w:cs="Times New Roman"/>
            <w:bCs/>
            <w:iCs/>
          </w:rPr>
          <w:t xml:space="preserve"> un'analisi integrata tra diritto e management - Egea - Torrossa</w:t>
        </w:r>
      </w:hyperlink>
      <w:r w:rsidRPr="00AA56DE">
        <w:rPr>
          <w:rFonts w:ascii="Times New Roman" w:hAnsi="Times New Roman" w:cs="Times New Roman"/>
        </w:rPr>
        <w:t>.</w:t>
      </w:r>
    </w:p>
  </w:footnote>
  <w:footnote w:id="98">
    <w:p w14:paraId="2C657292"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D. Etrudis – P. Monfardini</w:t>
      </w:r>
      <w:r w:rsidRPr="00AA56DE">
        <w:rPr>
          <w:rFonts w:ascii="Times New Roman" w:hAnsi="Times New Roman" w:cs="Times New Roman"/>
        </w:rPr>
        <w:t xml:space="preserve">, </w:t>
      </w:r>
      <w:r w:rsidRPr="00AA56DE">
        <w:rPr>
          <w:rFonts w:ascii="Times New Roman" w:hAnsi="Times New Roman" w:cs="Times New Roman"/>
          <w:i/>
          <w:iCs/>
        </w:rPr>
        <w:t>La performance organizzativa in Italia: un’analisi critica</w:t>
      </w:r>
      <w:r w:rsidRPr="00AA56DE">
        <w:rPr>
          <w:rFonts w:ascii="Times New Roman" w:hAnsi="Times New Roman" w:cs="Times New Roman"/>
        </w:rPr>
        <w:t xml:space="preserve">, Azienda Pubblica, n. 2/2019, pp. 165-177; G. </w:t>
      </w:r>
      <w:r w:rsidRPr="00AA56DE">
        <w:rPr>
          <w:rFonts w:ascii="Times New Roman" w:hAnsi="Times New Roman" w:cs="Times New Roman"/>
          <w:smallCaps/>
        </w:rPr>
        <w:t>Nucci</w:t>
      </w:r>
      <w:r w:rsidRPr="00AA56DE">
        <w:rPr>
          <w:rFonts w:ascii="Times New Roman" w:hAnsi="Times New Roman" w:cs="Times New Roman"/>
        </w:rPr>
        <w:t xml:space="preserve">, </w:t>
      </w:r>
      <w:r w:rsidRPr="00AA56DE">
        <w:rPr>
          <w:rFonts w:ascii="Times New Roman" w:hAnsi="Times New Roman" w:cs="Times New Roman"/>
          <w:i/>
          <w:iCs/>
        </w:rPr>
        <w:t>Ripensare il Management Pubblico</w:t>
      </w:r>
      <w:r w:rsidRPr="00AA56DE">
        <w:rPr>
          <w:rFonts w:ascii="Times New Roman" w:hAnsi="Times New Roman" w:cs="Times New Roman"/>
        </w:rPr>
        <w:t>, Simone, 2021, pp. 61 ss.</w:t>
      </w:r>
    </w:p>
  </w:footnote>
  <w:footnote w:id="99">
    <w:p w14:paraId="4AE91B23"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Corte dei conti, Sezione Giurisdizionale d’Appello per la Regione Siciliana, sentenza n. 138/A/2021.</w:t>
      </w:r>
    </w:p>
  </w:footnote>
  <w:footnote w:id="100">
    <w:p w14:paraId="6BC2EE38"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Cass. civ. Sez. lavoro, 28 settembre 2018, n. 23607.</w:t>
      </w:r>
    </w:p>
  </w:footnote>
  <w:footnote w:id="101">
    <w:p w14:paraId="3039D8C0"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Cass. civ. Sez. lavoro, ordinanza 23 maggio 2022, n. 16583.</w:t>
      </w:r>
    </w:p>
  </w:footnote>
  <w:footnote w:id="102">
    <w:p w14:paraId="363D01B6"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 </w:t>
      </w:r>
      <w:r w:rsidRPr="00AA56DE">
        <w:rPr>
          <w:rFonts w:ascii="Times New Roman" w:hAnsi="Times New Roman" w:cs="Times New Roman"/>
          <w:smallCaps/>
        </w:rPr>
        <w:t>Borgonovi</w:t>
      </w:r>
      <w:r w:rsidRPr="00AA56DE">
        <w:rPr>
          <w:rFonts w:ascii="Times New Roman" w:hAnsi="Times New Roman" w:cs="Times New Roman"/>
        </w:rPr>
        <w:t xml:space="preserve">, </w:t>
      </w:r>
      <w:r w:rsidRPr="00AA56DE">
        <w:rPr>
          <w:rFonts w:ascii="Times New Roman" w:hAnsi="Times New Roman" w:cs="Times New Roman"/>
          <w:i/>
          <w:iCs/>
        </w:rPr>
        <w:t>I manager pubblici tra evoluzione e cambio di paradigma</w:t>
      </w:r>
      <w:r w:rsidRPr="00AA56DE">
        <w:rPr>
          <w:rFonts w:ascii="Times New Roman" w:hAnsi="Times New Roman" w:cs="Times New Roman"/>
        </w:rPr>
        <w:t xml:space="preserve">, in </w:t>
      </w:r>
      <w:r w:rsidRPr="00AA56DE">
        <w:rPr>
          <w:rFonts w:ascii="Times New Roman" w:hAnsi="Times New Roman" w:cs="Times New Roman"/>
          <w:i/>
          <w:iCs/>
        </w:rPr>
        <w:t>Rivista italiana di Public Management</w:t>
      </w:r>
      <w:r w:rsidRPr="00AA56DE">
        <w:rPr>
          <w:rFonts w:ascii="Times New Roman" w:hAnsi="Times New Roman" w:cs="Times New Roman"/>
        </w:rPr>
        <w:t>, Vol. 3, n. 1, 2020, p. 21.</w:t>
      </w:r>
    </w:p>
  </w:footnote>
  <w:footnote w:id="103">
    <w:p w14:paraId="5D77734A"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Cuciniello – G. Fattore – F. Longo – E. Ricciuti – A. Turrini</w:t>
      </w:r>
      <w:r w:rsidRPr="00AA56DE">
        <w:rPr>
          <w:rFonts w:ascii="Times New Roman" w:hAnsi="Times New Roman" w:cs="Times New Roman"/>
        </w:rPr>
        <w:t xml:space="preserve">, </w:t>
      </w:r>
      <w:r w:rsidRPr="00AA56DE">
        <w:rPr>
          <w:rFonts w:ascii="Times New Roman" w:hAnsi="Times New Roman" w:cs="Times New Roman"/>
          <w:i/>
          <w:iCs/>
        </w:rPr>
        <w:t>Management pubblico</w:t>
      </w:r>
      <w:r w:rsidRPr="00AA56DE">
        <w:rPr>
          <w:rFonts w:ascii="Times New Roman" w:hAnsi="Times New Roman" w:cs="Times New Roman"/>
        </w:rPr>
        <w:t>, Egea, 2020, p. 144.</w:t>
      </w:r>
    </w:p>
  </w:footnote>
  <w:footnote w:id="104">
    <w:p w14:paraId="4A8EC55C"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“In una realtà dinamica funzionalità, efficacia, efficienza, economicità e anche equità e legalità non si perseguono con la riduzione dell’autonomia di persone, ma con l’aumento di autonomia collegata a responsabilizzazione e a tempestive verifiche sui risultati, nonché al rafforzamento del controllo esterno dei cittadini, titolari di diritti e/o fruitori di servizi”: E. </w:t>
      </w:r>
      <w:r w:rsidRPr="00AA56DE">
        <w:rPr>
          <w:rFonts w:ascii="Times New Roman" w:hAnsi="Times New Roman" w:cs="Times New Roman"/>
          <w:smallCaps/>
        </w:rPr>
        <w:t>Borgonovi</w:t>
      </w:r>
      <w:r w:rsidRPr="00AA56DE">
        <w:rPr>
          <w:rFonts w:ascii="Times New Roman" w:hAnsi="Times New Roman" w:cs="Times New Roman"/>
        </w:rPr>
        <w:t xml:space="preserve">, </w:t>
      </w:r>
      <w:r w:rsidRPr="00AA56DE">
        <w:rPr>
          <w:rFonts w:ascii="Times New Roman" w:hAnsi="Times New Roman" w:cs="Times New Roman"/>
          <w:i/>
          <w:iCs/>
        </w:rPr>
        <w:t>op. ult. cit</w:t>
      </w:r>
      <w:r w:rsidRPr="00AA56DE">
        <w:rPr>
          <w:rFonts w:ascii="Times New Roman" w:hAnsi="Times New Roman" w:cs="Times New Roman"/>
        </w:rPr>
        <w:t>., p. 32.</w:t>
      </w:r>
    </w:p>
  </w:footnote>
  <w:footnote w:id="105">
    <w:p w14:paraId="62362E57"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Cuciniello – G. Fattore – F. Longo – E. Ricciuti – A. Turrini</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pp. 144-145.</w:t>
      </w:r>
    </w:p>
  </w:footnote>
  <w:footnote w:id="106">
    <w:p w14:paraId="539CAA3A"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iCs/>
        </w:rPr>
        <w:t>Ivi</w:t>
      </w:r>
      <w:r w:rsidRPr="00AA56DE">
        <w:rPr>
          <w:rFonts w:ascii="Times New Roman" w:hAnsi="Times New Roman" w:cs="Times New Roman"/>
        </w:rPr>
        <w:t>, p. 143.</w:t>
      </w:r>
    </w:p>
  </w:footnote>
  <w:footnote w:id="107">
    <w:p w14:paraId="3C3B5F1E"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Scognamiglio</w:t>
      </w:r>
      <w:r w:rsidRPr="00AA56DE">
        <w:rPr>
          <w:rFonts w:ascii="Times New Roman" w:hAnsi="Times New Roman" w:cs="Times New Roman"/>
        </w:rPr>
        <w:t xml:space="preserve">, </w:t>
      </w:r>
      <w:r w:rsidRPr="00AA56DE">
        <w:rPr>
          <w:rFonts w:ascii="Times New Roman" w:hAnsi="Times New Roman" w:cs="Times New Roman"/>
          <w:i/>
          <w:iCs/>
        </w:rPr>
        <w:t>Il nuovo ordinamento del lavoro pubblico e il ciclo della performance</w:t>
      </w:r>
      <w:r w:rsidRPr="00AA56DE">
        <w:rPr>
          <w:rFonts w:ascii="Times New Roman" w:hAnsi="Times New Roman" w:cs="Times New Roman"/>
        </w:rPr>
        <w:t>, Promo PA editore, 2010.</w:t>
      </w:r>
    </w:p>
  </w:footnote>
  <w:footnote w:id="108">
    <w:p w14:paraId="4CBCD8E4"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Plan – Do – Check – Act (PDCA): G. </w:t>
      </w:r>
      <w:r w:rsidRPr="00AA56DE">
        <w:rPr>
          <w:rFonts w:ascii="Times New Roman" w:hAnsi="Times New Roman" w:cs="Times New Roman"/>
          <w:smallCaps/>
        </w:rPr>
        <w:t>Nucci</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 62.</w:t>
      </w:r>
    </w:p>
  </w:footnote>
  <w:footnote w:id="109">
    <w:p w14:paraId="03D97840"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M. Cuciniello – G. Fattore – F. Longo – E. Ricciuti – A. Turrini</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 157.</w:t>
      </w:r>
    </w:p>
  </w:footnote>
  <w:footnote w:id="110">
    <w:p w14:paraId="48E6E56C"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iCs/>
        </w:rPr>
        <w:t>Ivi</w:t>
      </w:r>
      <w:r w:rsidRPr="00AA56DE">
        <w:rPr>
          <w:rFonts w:ascii="Times New Roman" w:hAnsi="Times New Roman" w:cs="Times New Roman"/>
        </w:rPr>
        <w:t>, pp. 158-159.</w:t>
      </w:r>
    </w:p>
  </w:footnote>
  <w:footnote w:id="111">
    <w:p w14:paraId="5CFC4696"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G. Giacomelli – S. Rota – G. Valotti</w:t>
      </w:r>
      <w:r w:rsidRPr="00AA56DE">
        <w:rPr>
          <w:rFonts w:ascii="Times New Roman" w:hAnsi="Times New Roman" w:cs="Times New Roman"/>
        </w:rPr>
        <w:t xml:space="preserve">, </w:t>
      </w:r>
      <w:r w:rsidRPr="00AA56DE">
        <w:rPr>
          <w:rFonts w:ascii="Times New Roman" w:hAnsi="Times New Roman" w:cs="Times New Roman"/>
          <w:i/>
          <w:iCs/>
        </w:rPr>
        <w:t xml:space="preserve">Il performance management nella PA italiana: incompiuta o variazione sul </w:t>
      </w:r>
      <w:proofErr w:type="gramStart"/>
      <w:r w:rsidRPr="00AA56DE">
        <w:rPr>
          <w:rFonts w:ascii="Times New Roman" w:hAnsi="Times New Roman" w:cs="Times New Roman"/>
          <w:i/>
          <w:iCs/>
        </w:rPr>
        <w:t>tema?,</w:t>
      </w:r>
      <w:proofErr w:type="gramEnd"/>
      <w:r w:rsidRPr="00AA56DE">
        <w:rPr>
          <w:rFonts w:ascii="Times New Roman" w:hAnsi="Times New Roman" w:cs="Times New Roman"/>
        </w:rPr>
        <w:t xml:space="preserve"> 26 aprile 2021, disponibile in https://www.sdabocconi.it/it/sda-bocconi-insight/cantieri-di-ricerca/pubblica-amministrazione/il-performance-management-nella-pa-italiana-incompiuta-o-variazione-sul-tema.</w:t>
      </w:r>
    </w:p>
  </w:footnote>
  <w:footnote w:id="112">
    <w:p w14:paraId="552CC6FA"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R. </w:t>
      </w:r>
      <w:r w:rsidRPr="00AA56DE">
        <w:rPr>
          <w:rFonts w:ascii="Times New Roman" w:hAnsi="Times New Roman" w:cs="Times New Roman"/>
          <w:smallCaps/>
        </w:rPr>
        <w:t>Saporito</w:t>
      </w:r>
      <w:r w:rsidRPr="00AA56DE">
        <w:rPr>
          <w:rFonts w:ascii="Times New Roman" w:hAnsi="Times New Roman" w:cs="Times New Roman"/>
        </w:rPr>
        <w:t xml:space="preserve">, </w:t>
      </w:r>
      <w:r w:rsidRPr="00AA56DE">
        <w:rPr>
          <w:rFonts w:ascii="Times New Roman" w:hAnsi="Times New Roman" w:cs="Times New Roman"/>
          <w:i/>
          <w:iCs/>
        </w:rPr>
        <w:t>Liberare le Performance della PA. Dai premi</w:t>
      </w:r>
      <w:r w:rsidRPr="00AA56DE">
        <w:rPr>
          <w:rFonts w:ascii="Times New Roman" w:hAnsi="Times New Roman" w:cs="Times New Roman"/>
        </w:rPr>
        <w:t xml:space="preserve">, 5 ottobre 2020, disponibile </w:t>
      </w:r>
      <w:proofErr w:type="gramStart"/>
      <w:r w:rsidRPr="00AA56DE">
        <w:rPr>
          <w:rFonts w:ascii="Times New Roman" w:hAnsi="Times New Roman" w:cs="Times New Roman"/>
        </w:rPr>
        <w:t>in  https://www.sdabocconi.it/it/sda-bocconi-insight/liberare-le-performance-della-pa-dai-premi</w:t>
      </w:r>
      <w:proofErr w:type="gramEnd"/>
      <w:r w:rsidRPr="00AA56DE">
        <w:rPr>
          <w:rFonts w:ascii="Times New Roman" w:hAnsi="Times New Roman" w:cs="Times New Roman"/>
        </w:rPr>
        <w:t>.</w:t>
      </w:r>
    </w:p>
  </w:footnote>
  <w:footnote w:id="113">
    <w:p w14:paraId="31DA4089"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R. </w:t>
      </w:r>
      <w:r w:rsidRPr="00AA56DE">
        <w:rPr>
          <w:rFonts w:ascii="Times New Roman" w:hAnsi="Times New Roman" w:cs="Times New Roman"/>
          <w:smallCaps/>
        </w:rPr>
        <w:t>Saporito</w:t>
      </w:r>
      <w:r w:rsidRPr="00AA56DE">
        <w:rPr>
          <w:rFonts w:ascii="Times New Roman" w:hAnsi="Times New Roman" w:cs="Times New Roman"/>
        </w:rPr>
        <w:t xml:space="preserve">, </w:t>
      </w:r>
      <w:r w:rsidRPr="00AA56DE">
        <w:rPr>
          <w:rFonts w:ascii="Times New Roman" w:hAnsi="Times New Roman" w:cs="Times New Roman"/>
          <w:i/>
          <w:iCs/>
        </w:rPr>
        <w:t>Public leadership, Cinque modi di fare il dirigente pubblico</w:t>
      </w:r>
      <w:r w:rsidRPr="00AA56DE">
        <w:rPr>
          <w:rFonts w:ascii="Times New Roman" w:hAnsi="Times New Roman" w:cs="Times New Roman"/>
        </w:rPr>
        <w:t>, Egea, 2023, p. 77.</w:t>
      </w:r>
    </w:p>
  </w:footnote>
  <w:footnote w:id="114">
    <w:p w14:paraId="1CEA87D6" w14:textId="77777777" w:rsidR="00D6571A" w:rsidRPr="00AA56DE" w:rsidRDefault="00D6571A"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H. A. </w:t>
      </w:r>
      <w:r w:rsidRPr="00AA56DE">
        <w:rPr>
          <w:rFonts w:ascii="Times New Roman" w:hAnsi="Times New Roman" w:cs="Times New Roman"/>
          <w:smallCaps/>
        </w:rPr>
        <w:t>Simon</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w:t>
      </w:r>
    </w:p>
  </w:footnote>
  <w:footnote w:id="115">
    <w:p w14:paraId="3A41B96B"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R. </w:t>
      </w:r>
      <w:r w:rsidRPr="00CC35CC">
        <w:rPr>
          <w:rFonts w:ascii="Times New Roman" w:hAnsi="Times New Roman" w:cs="Times New Roman"/>
          <w:smallCaps/>
        </w:rPr>
        <w:t>Saporito</w:t>
      </w:r>
      <w:r w:rsidRPr="00CC35CC">
        <w:rPr>
          <w:rFonts w:ascii="Times New Roman" w:hAnsi="Times New Roman" w:cs="Times New Roman"/>
        </w:rPr>
        <w:t xml:space="preserve">, </w:t>
      </w:r>
      <w:r w:rsidRPr="00CC35CC">
        <w:rPr>
          <w:rFonts w:ascii="Times New Roman" w:hAnsi="Times New Roman" w:cs="Times New Roman"/>
          <w:i/>
          <w:iCs/>
        </w:rPr>
        <w:t>op. ult. cit</w:t>
      </w:r>
      <w:r w:rsidRPr="00CC35CC">
        <w:rPr>
          <w:rFonts w:ascii="Times New Roman" w:hAnsi="Times New Roman" w:cs="Times New Roman"/>
        </w:rPr>
        <w:t>., p. 81.</w:t>
      </w:r>
    </w:p>
  </w:footnote>
  <w:footnote w:id="116">
    <w:p w14:paraId="06730CC6"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w:t>
      </w:r>
      <w:r w:rsidRPr="00CC35CC">
        <w:rPr>
          <w:rFonts w:ascii="Times New Roman" w:hAnsi="Times New Roman" w:cs="Times New Roman"/>
          <w:i/>
          <w:iCs/>
        </w:rPr>
        <w:t>Ivi</w:t>
      </w:r>
      <w:r w:rsidRPr="00CC35CC">
        <w:rPr>
          <w:rFonts w:ascii="Times New Roman" w:hAnsi="Times New Roman" w:cs="Times New Roman"/>
        </w:rPr>
        <w:t>, p. 82.</w:t>
      </w:r>
    </w:p>
  </w:footnote>
  <w:footnote w:id="117">
    <w:p w14:paraId="06BDC5AD" w14:textId="77777777" w:rsidR="00DD1F2F" w:rsidRPr="00767573" w:rsidRDefault="00DD1F2F" w:rsidP="00DD1F2F">
      <w:pPr>
        <w:pStyle w:val="Testonotaapidipagina"/>
        <w:jc w:val="both"/>
        <w:rPr>
          <w:rFonts w:ascii="Times New Roman" w:hAnsi="Times New Roman" w:cs="Times New Roman"/>
        </w:rPr>
      </w:pPr>
      <w:r w:rsidRPr="00767573">
        <w:rPr>
          <w:rStyle w:val="Rimandonotaapidipagina"/>
          <w:rFonts w:ascii="Times New Roman" w:hAnsi="Times New Roman" w:cs="Times New Roman"/>
        </w:rPr>
        <w:footnoteRef/>
      </w:r>
      <w:r w:rsidRPr="00767573">
        <w:rPr>
          <w:rFonts w:ascii="Times New Roman" w:hAnsi="Times New Roman" w:cs="Times New Roman"/>
        </w:rPr>
        <w:t xml:space="preserve"> </w:t>
      </w:r>
      <w:r w:rsidRPr="00767573">
        <w:rPr>
          <w:rFonts w:ascii="Times New Roman" w:hAnsi="Times New Roman" w:cs="Times New Roman"/>
          <w:smallCaps/>
        </w:rPr>
        <w:t>A. De Pascale</w:t>
      </w:r>
      <w:r w:rsidRPr="00767573">
        <w:rPr>
          <w:rFonts w:ascii="Times New Roman" w:hAnsi="Times New Roman" w:cs="Times New Roman"/>
        </w:rPr>
        <w:t xml:space="preserve">, </w:t>
      </w:r>
      <w:r w:rsidRPr="00767573">
        <w:rPr>
          <w:rFonts w:ascii="Times New Roman" w:hAnsi="Times New Roman" w:cs="Times New Roman"/>
          <w:i/>
          <w:iCs/>
        </w:rPr>
        <w:t>La performance nelle Università: da obbligo di legge a opportunità</w:t>
      </w:r>
      <w:r w:rsidRPr="00767573">
        <w:rPr>
          <w:rFonts w:ascii="Times New Roman" w:hAnsi="Times New Roman" w:cs="Times New Roman"/>
        </w:rPr>
        <w:t xml:space="preserve">, in </w:t>
      </w:r>
      <w:r w:rsidRPr="00767573">
        <w:rPr>
          <w:rFonts w:ascii="Times New Roman" w:hAnsi="Times New Roman" w:cs="Times New Roman"/>
          <w:smallCaps/>
        </w:rPr>
        <w:t>A. Tomo – A. Hinna – P. Canonico – L. Giusino</w:t>
      </w:r>
      <w:r w:rsidRPr="00767573">
        <w:rPr>
          <w:rFonts w:ascii="Times New Roman" w:hAnsi="Times New Roman" w:cs="Times New Roman"/>
        </w:rPr>
        <w:t xml:space="preserve"> (a cura di), </w:t>
      </w:r>
      <w:r w:rsidRPr="00767573">
        <w:rPr>
          <w:rFonts w:ascii="Times New Roman" w:hAnsi="Times New Roman" w:cs="Times New Roman"/>
          <w:i/>
          <w:iCs/>
        </w:rPr>
        <w:t>La dinamica delle relazioni nella Pubblica Amministrazione. Individui, gruppi e leadership</w:t>
      </w:r>
      <w:r w:rsidRPr="00767573">
        <w:rPr>
          <w:rFonts w:ascii="Times New Roman" w:hAnsi="Times New Roman" w:cs="Times New Roman"/>
        </w:rPr>
        <w:t>, Egea, 2019, p. 209.</w:t>
      </w:r>
    </w:p>
  </w:footnote>
  <w:footnote w:id="118">
    <w:p w14:paraId="395524BC"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M. S. </w:t>
      </w:r>
      <w:r w:rsidRPr="00CC35CC">
        <w:rPr>
          <w:rFonts w:ascii="Times New Roman" w:hAnsi="Times New Roman" w:cs="Times New Roman"/>
          <w:smallCaps/>
        </w:rPr>
        <w:t>Giannini</w:t>
      </w:r>
      <w:r w:rsidRPr="00CC35CC">
        <w:rPr>
          <w:rFonts w:ascii="Times New Roman" w:hAnsi="Times New Roman" w:cs="Times New Roman"/>
        </w:rPr>
        <w:t xml:space="preserve">, </w:t>
      </w:r>
      <w:r w:rsidRPr="00CC35CC">
        <w:rPr>
          <w:rFonts w:ascii="Times New Roman" w:hAnsi="Times New Roman" w:cs="Times New Roman"/>
          <w:i/>
          <w:iCs/>
        </w:rPr>
        <w:t>Rapporto sui principali problemi dell’amministrazione dello Stato</w:t>
      </w:r>
      <w:r w:rsidRPr="00CC35CC">
        <w:rPr>
          <w:rFonts w:ascii="Times New Roman" w:hAnsi="Times New Roman" w:cs="Times New Roman"/>
        </w:rPr>
        <w:t>, Il Foro italiano, 102, 1979, 289-290, p. 22.</w:t>
      </w:r>
    </w:p>
  </w:footnote>
  <w:footnote w:id="119">
    <w:p w14:paraId="126F248E"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G. </w:t>
      </w:r>
      <w:r w:rsidRPr="00CC35CC">
        <w:rPr>
          <w:rFonts w:ascii="Times New Roman" w:hAnsi="Times New Roman" w:cs="Times New Roman"/>
          <w:smallCaps/>
        </w:rPr>
        <w:t>Nucci</w:t>
      </w:r>
      <w:r w:rsidRPr="00CC35CC">
        <w:rPr>
          <w:rFonts w:ascii="Times New Roman" w:hAnsi="Times New Roman" w:cs="Times New Roman"/>
        </w:rPr>
        <w:t xml:space="preserve">, </w:t>
      </w:r>
      <w:r>
        <w:rPr>
          <w:rFonts w:ascii="Times New Roman" w:hAnsi="Times New Roman" w:cs="Times New Roman"/>
          <w:i/>
          <w:iCs/>
        </w:rPr>
        <w:t xml:space="preserve">Ripensare il management pubblico, </w:t>
      </w:r>
      <w:r>
        <w:rPr>
          <w:rFonts w:ascii="Times New Roman" w:hAnsi="Times New Roman" w:cs="Times New Roman"/>
        </w:rPr>
        <w:t xml:space="preserve">Simone, 2021, </w:t>
      </w:r>
      <w:r w:rsidRPr="00CC35CC">
        <w:rPr>
          <w:rFonts w:ascii="Times New Roman" w:hAnsi="Times New Roman" w:cs="Times New Roman"/>
        </w:rPr>
        <w:t>p. 241.</w:t>
      </w:r>
    </w:p>
  </w:footnote>
  <w:footnote w:id="120">
    <w:p w14:paraId="4CDA1069"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w:t>
      </w:r>
      <w:r w:rsidRPr="00CC35CC">
        <w:rPr>
          <w:rFonts w:ascii="Times New Roman" w:hAnsi="Times New Roman" w:cs="Times New Roman"/>
          <w:i/>
          <w:iCs/>
        </w:rPr>
        <w:t>Ivi</w:t>
      </w:r>
      <w:r w:rsidRPr="00CC35CC">
        <w:rPr>
          <w:rFonts w:ascii="Times New Roman" w:hAnsi="Times New Roman" w:cs="Times New Roman"/>
        </w:rPr>
        <w:t>, p. 243.</w:t>
      </w:r>
    </w:p>
  </w:footnote>
  <w:footnote w:id="121">
    <w:p w14:paraId="64B46828"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w:t>
      </w:r>
      <w:r w:rsidRPr="00CC35CC">
        <w:rPr>
          <w:rFonts w:ascii="Times New Roman" w:hAnsi="Times New Roman" w:cs="Times New Roman"/>
          <w:i/>
          <w:iCs/>
        </w:rPr>
        <w:t>Ivi</w:t>
      </w:r>
      <w:r w:rsidRPr="00CC35CC">
        <w:rPr>
          <w:rFonts w:ascii="Times New Roman" w:hAnsi="Times New Roman" w:cs="Times New Roman"/>
        </w:rPr>
        <w:t>, p. 227.</w:t>
      </w:r>
    </w:p>
  </w:footnote>
  <w:footnote w:id="122">
    <w:p w14:paraId="780CA277"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R. </w:t>
      </w:r>
      <w:r w:rsidRPr="00CC35CC">
        <w:rPr>
          <w:rFonts w:ascii="Times New Roman" w:hAnsi="Times New Roman" w:cs="Times New Roman"/>
          <w:smallCaps/>
        </w:rPr>
        <w:t>Saporito</w:t>
      </w:r>
      <w:r w:rsidRPr="00CC35CC">
        <w:rPr>
          <w:rFonts w:ascii="Times New Roman" w:hAnsi="Times New Roman" w:cs="Times New Roman"/>
        </w:rPr>
        <w:t xml:space="preserve">, </w:t>
      </w:r>
      <w:r w:rsidRPr="00CC35CC">
        <w:rPr>
          <w:rFonts w:ascii="Times New Roman" w:hAnsi="Times New Roman" w:cs="Times New Roman"/>
          <w:i/>
          <w:iCs/>
        </w:rPr>
        <w:t>op. cit</w:t>
      </w:r>
      <w:r w:rsidRPr="00CC35CC">
        <w:rPr>
          <w:rFonts w:ascii="Times New Roman" w:hAnsi="Times New Roman" w:cs="Times New Roman"/>
        </w:rPr>
        <w:t>., p. 87.</w:t>
      </w:r>
    </w:p>
  </w:footnote>
  <w:footnote w:id="123">
    <w:p w14:paraId="17C1AA91" w14:textId="77777777" w:rsidR="00DD1F2F" w:rsidRPr="00CC35CC" w:rsidRDefault="00DD1F2F" w:rsidP="00DD1F2F">
      <w:pPr>
        <w:pStyle w:val="Testonotaapidipagina"/>
        <w:jc w:val="both"/>
        <w:rPr>
          <w:rFonts w:ascii="Times New Roman" w:hAnsi="Times New Roman" w:cs="Times New Roman"/>
        </w:rPr>
      </w:pPr>
      <w:r w:rsidRPr="00CC35CC">
        <w:rPr>
          <w:rStyle w:val="Rimandonotaapidipagina"/>
          <w:rFonts w:ascii="Times New Roman" w:hAnsi="Times New Roman" w:cs="Times New Roman"/>
        </w:rPr>
        <w:footnoteRef/>
      </w:r>
      <w:r w:rsidRPr="00CC35CC">
        <w:rPr>
          <w:rFonts w:ascii="Times New Roman" w:hAnsi="Times New Roman" w:cs="Times New Roman"/>
        </w:rPr>
        <w:t xml:space="preserve"> G. </w:t>
      </w:r>
      <w:r w:rsidRPr="00CC35CC">
        <w:rPr>
          <w:rFonts w:ascii="Times New Roman" w:hAnsi="Times New Roman" w:cs="Times New Roman"/>
          <w:smallCaps/>
        </w:rPr>
        <w:t>Nucci</w:t>
      </w:r>
      <w:r w:rsidRPr="00CC35CC">
        <w:rPr>
          <w:rFonts w:ascii="Times New Roman" w:hAnsi="Times New Roman" w:cs="Times New Roman"/>
        </w:rPr>
        <w:t xml:space="preserve">, </w:t>
      </w:r>
      <w:r w:rsidRPr="00CC35CC">
        <w:rPr>
          <w:rFonts w:ascii="Times New Roman" w:hAnsi="Times New Roman" w:cs="Times New Roman"/>
          <w:i/>
          <w:iCs/>
        </w:rPr>
        <w:t>op. cit</w:t>
      </w:r>
      <w:r w:rsidRPr="00CC35CC">
        <w:rPr>
          <w:rFonts w:ascii="Times New Roman" w:hAnsi="Times New Roman" w:cs="Times New Roman"/>
        </w:rPr>
        <w:t>., p. 268.</w:t>
      </w:r>
    </w:p>
  </w:footnote>
  <w:footnote w:id="124">
    <w:p w14:paraId="7BB92F8C" w14:textId="77777777" w:rsidR="00DD1F2F" w:rsidRPr="00097A28" w:rsidRDefault="00DD1F2F" w:rsidP="00DD1F2F">
      <w:pPr>
        <w:pStyle w:val="Testonotaapidipagina"/>
        <w:jc w:val="both"/>
        <w:rPr>
          <w:rFonts w:ascii="Times New Roman" w:hAnsi="Times New Roman" w:cs="Times New Roman"/>
        </w:rPr>
      </w:pPr>
      <w:r w:rsidRPr="00097A28">
        <w:rPr>
          <w:rStyle w:val="Rimandonotaapidipagina"/>
          <w:rFonts w:ascii="Times New Roman" w:hAnsi="Times New Roman" w:cs="Times New Roman"/>
        </w:rPr>
        <w:footnoteRef/>
      </w:r>
      <w:r w:rsidRPr="00097A28">
        <w:rPr>
          <w:rFonts w:ascii="Times New Roman" w:hAnsi="Times New Roman" w:cs="Times New Roman"/>
        </w:rPr>
        <w:t xml:space="preserve"> </w:t>
      </w:r>
      <w:r w:rsidRPr="00097A28">
        <w:rPr>
          <w:rFonts w:ascii="Times New Roman" w:hAnsi="Times New Roman" w:cs="Times New Roman"/>
          <w:smallCaps/>
        </w:rPr>
        <w:t>A. De Pascale</w:t>
      </w:r>
      <w:r w:rsidRPr="00097A28">
        <w:rPr>
          <w:rFonts w:ascii="Times New Roman" w:hAnsi="Times New Roman" w:cs="Times New Roman"/>
        </w:rPr>
        <w:t xml:space="preserve">, </w:t>
      </w:r>
      <w:r w:rsidRPr="00097A28">
        <w:rPr>
          <w:rFonts w:ascii="Times New Roman" w:hAnsi="Times New Roman" w:cs="Times New Roman"/>
          <w:i/>
          <w:iCs/>
        </w:rPr>
        <w:t>op. cit.,</w:t>
      </w:r>
      <w:r w:rsidRPr="00097A28">
        <w:rPr>
          <w:rFonts w:ascii="Times New Roman" w:hAnsi="Times New Roman" w:cs="Times New Roman"/>
        </w:rPr>
        <w:t xml:space="preserve"> pp. 210-211.</w:t>
      </w:r>
    </w:p>
  </w:footnote>
  <w:footnote w:id="125">
    <w:p w14:paraId="37F12618"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Ferrara</w:t>
      </w:r>
      <w:r w:rsidRPr="00AA56DE">
        <w:rPr>
          <w:rFonts w:ascii="Times New Roman" w:hAnsi="Times New Roman" w:cs="Times New Roman"/>
        </w:rPr>
        <w:t xml:space="preserve">, </w:t>
      </w:r>
      <w:r w:rsidRPr="00AA56DE">
        <w:rPr>
          <w:rFonts w:ascii="Times New Roman" w:hAnsi="Times New Roman" w:cs="Times New Roman"/>
          <w:i/>
          <w:iCs/>
        </w:rPr>
        <w:t>Explainable Artificial Intelligence and Mathematics</w:t>
      </w:r>
      <w:r w:rsidRPr="00AA56DE">
        <w:rPr>
          <w:rFonts w:ascii="Times New Roman" w:hAnsi="Times New Roman" w:cs="Times New Roman"/>
        </w:rPr>
        <w:t>, in</w:t>
      </w:r>
      <w:r w:rsidRPr="00AA56DE">
        <w:rPr>
          <w:rFonts w:ascii="Times New Roman" w:hAnsi="Times New Roman" w:cs="Times New Roman"/>
          <w:i/>
          <w:iCs/>
        </w:rPr>
        <w:t>International journal of mathematical analysis</w:t>
      </w:r>
      <w:r w:rsidRPr="00AA56DE">
        <w:rPr>
          <w:rFonts w:ascii="Times New Roman" w:hAnsi="Times New Roman" w:cs="Times New Roman"/>
        </w:rPr>
        <w:t xml:space="preserve">, n. 18, 2024, pp. 11-19; </w:t>
      </w:r>
      <w:r w:rsidRPr="00AA56DE">
        <w:rPr>
          <w:rFonts w:ascii="Times New Roman" w:hAnsi="Times New Roman" w:cs="Times New Roman"/>
          <w:smallCaps/>
        </w:rPr>
        <w:t>F. Butera – G. De Michelis</w:t>
      </w:r>
      <w:r w:rsidRPr="00AA56DE">
        <w:rPr>
          <w:rFonts w:ascii="Times New Roman" w:hAnsi="Times New Roman" w:cs="Times New Roman"/>
        </w:rPr>
        <w:t xml:space="preserve">, </w:t>
      </w:r>
      <w:r w:rsidRPr="00AA56DE">
        <w:rPr>
          <w:rFonts w:ascii="Times New Roman" w:hAnsi="Times New Roman" w:cs="Times New Roman"/>
          <w:i/>
          <w:iCs/>
        </w:rPr>
        <w:t>Intelligenza artificiale e lavoro, una rivoluzione governabile</w:t>
      </w:r>
      <w:r w:rsidRPr="00AA56DE">
        <w:rPr>
          <w:rFonts w:ascii="Times New Roman" w:hAnsi="Times New Roman" w:cs="Times New Roman"/>
        </w:rPr>
        <w:t xml:space="preserve">, Marsilio Editori, 2024; v. anche i vari contributi presenti in </w:t>
      </w:r>
      <w:r w:rsidRPr="00AA56DE">
        <w:rPr>
          <w:rFonts w:ascii="Times New Roman" w:hAnsi="Times New Roman" w:cs="Times New Roman"/>
          <w:i/>
          <w:iCs/>
        </w:rPr>
        <w:t>Rivista elettronica di Diritto, Economia, Management</w:t>
      </w:r>
      <w:r w:rsidRPr="00AA56DE">
        <w:rPr>
          <w:rFonts w:ascii="Times New Roman" w:hAnsi="Times New Roman" w:cs="Times New Roman"/>
        </w:rPr>
        <w:t xml:space="preserve">, n. 4/2023, interamente dedicato al tema dell’intelligenza artificiale; </w:t>
      </w:r>
      <w:r w:rsidRPr="00AA56DE">
        <w:rPr>
          <w:rFonts w:ascii="Times New Roman" w:hAnsi="Times New Roman" w:cs="Times New Roman"/>
          <w:smallCaps/>
        </w:rPr>
        <w:t>G. Schneider - N. Abriani</w:t>
      </w:r>
      <w:r w:rsidRPr="00AA56DE">
        <w:rPr>
          <w:rFonts w:ascii="Times New Roman" w:hAnsi="Times New Roman" w:cs="Times New Roman"/>
          <w:i/>
          <w:iCs/>
        </w:rPr>
        <w:t xml:space="preserve">, Diritto delle imprese e intelligenza artificiale. Dalla Fintech alla Corptech, </w:t>
      </w:r>
      <w:r w:rsidRPr="00AA56DE">
        <w:rPr>
          <w:rFonts w:ascii="Times New Roman" w:hAnsi="Times New Roman" w:cs="Times New Roman"/>
        </w:rPr>
        <w:t xml:space="preserve">Il Mulino, 2021; F. </w:t>
      </w:r>
      <w:r w:rsidRPr="00AA56DE">
        <w:rPr>
          <w:rFonts w:ascii="Times New Roman" w:hAnsi="Times New Roman" w:cs="Times New Roman"/>
          <w:smallCaps/>
        </w:rPr>
        <w:t>Nappo</w:t>
      </w:r>
      <w:r w:rsidRPr="00AA56DE">
        <w:rPr>
          <w:rFonts w:ascii="Times New Roman" w:hAnsi="Times New Roman" w:cs="Times New Roman"/>
        </w:rPr>
        <w:t xml:space="preserve">, </w:t>
      </w:r>
      <w:r w:rsidRPr="00AA56DE">
        <w:rPr>
          <w:rFonts w:ascii="Times New Roman" w:hAnsi="Times New Roman" w:cs="Times New Roman"/>
          <w:i/>
          <w:iCs/>
        </w:rPr>
        <w:t>Aziende e intelligenza artificiale: prime riflessioni critiche</w:t>
      </w:r>
      <w:r w:rsidRPr="00AA56DE">
        <w:rPr>
          <w:rFonts w:ascii="Times New Roman" w:hAnsi="Times New Roman" w:cs="Times New Roman"/>
        </w:rPr>
        <w:t>, FrancoAngeli, 2020.</w:t>
      </w:r>
    </w:p>
  </w:footnote>
  <w:footnote w:id="126">
    <w:p w14:paraId="394F377E"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Sia consentito il rinvio ad A. </w:t>
      </w:r>
      <w:bookmarkStart w:id="3" w:name="_Hlk183722330"/>
      <w:r w:rsidRPr="00AA56DE">
        <w:rPr>
          <w:rFonts w:ascii="Times New Roman" w:hAnsi="Times New Roman" w:cs="Times New Roman"/>
          <w:smallCaps/>
        </w:rPr>
        <w:t>Ripepi</w:t>
      </w:r>
      <w:r w:rsidRPr="00AA56DE">
        <w:rPr>
          <w:rFonts w:ascii="Times New Roman" w:hAnsi="Times New Roman" w:cs="Times New Roman"/>
        </w:rPr>
        <w:t xml:space="preserve">, </w:t>
      </w:r>
      <w:r w:rsidRPr="00AA56DE">
        <w:rPr>
          <w:rFonts w:ascii="Times New Roman" w:hAnsi="Times New Roman" w:cs="Times New Roman"/>
          <w:i/>
          <w:iCs/>
        </w:rPr>
        <w:t>Il pubblico impiego e la dirigenza alla prova dell’Intelligenza Artificiale</w:t>
      </w:r>
      <w:r w:rsidRPr="00AA56DE">
        <w:rPr>
          <w:rFonts w:ascii="Times New Roman" w:hAnsi="Times New Roman" w:cs="Times New Roman"/>
        </w:rPr>
        <w:t xml:space="preserve">, in </w:t>
      </w:r>
      <w:r w:rsidRPr="00AA56DE">
        <w:rPr>
          <w:rFonts w:ascii="Times New Roman" w:hAnsi="Times New Roman" w:cs="Times New Roman"/>
          <w:i/>
          <w:iCs/>
        </w:rPr>
        <w:t>Amministrazione e contabilità dello Stato e degli enti pubblici</w:t>
      </w:r>
      <w:r w:rsidRPr="00AA56DE">
        <w:rPr>
          <w:rFonts w:ascii="Times New Roman" w:hAnsi="Times New Roman" w:cs="Times New Roman"/>
        </w:rPr>
        <w:t>, 12 novembre 2024</w:t>
      </w:r>
      <w:bookmarkEnd w:id="3"/>
      <w:r w:rsidRPr="00AA56DE">
        <w:rPr>
          <w:rFonts w:ascii="Times New Roman" w:hAnsi="Times New Roman" w:cs="Times New Roman"/>
        </w:rPr>
        <w:t>.</w:t>
      </w:r>
    </w:p>
  </w:footnote>
  <w:footnote w:id="127">
    <w:p w14:paraId="2F10AF45"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bookmarkStart w:id="4" w:name="_Hlk183721835"/>
      <w:r w:rsidRPr="00AA56DE">
        <w:rPr>
          <w:rFonts w:ascii="Times New Roman" w:hAnsi="Times New Roman" w:cs="Times New Roman"/>
        </w:rPr>
        <w:t>Comunicazione della Commissione al Parlamento europeo, al Consiglio europeo, al Consiglio, al Comitato economico e sociale europeo e al Comitato delle regioni, 7 dicembre 2018</w:t>
      </w:r>
      <w:bookmarkEnd w:id="4"/>
      <w:r w:rsidRPr="00AA56DE">
        <w:rPr>
          <w:rFonts w:ascii="Times New Roman" w:hAnsi="Times New Roman" w:cs="Times New Roman"/>
        </w:rPr>
        <w:t>.</w:t>
      </w:r>
    </w:p>
  </w:footnote>
  <w:footnote w:id="128">
    <w:p w14:paraId="2E20C362"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bookmarkStart w:id="5" w:name="_Hlk183721806"/>
      <w:r w:rsidRPr="00AA56DE">
        <w:rPr>
          <w:rFonts w:ascii="Times New Roman" w:hAnsi="Times New Roman" w:cs="Times New Roman"/>
        </w:rPr>
        <w:t>Considerando n. 4 del testo dell’</w:t>
      </w:r>
      <w:r w:rsidRPr="00AA56DE">
        <w:rPr>
          <w:rFonts w:ascii="Times New Roman" w:hAnsi="Times New Roman" w:cs="Times New Roman"/>
          <w:i/>
          <w:iCs/>
        </w:rPr>
        <w:t>AI Act</w:t>
      </w:r>
      <w:r w:rsidRPr="00AA56DE">
        <w:rPr>
          <w:rFonts w:ascii="Times New Roman" w:hAnsi="Times New Roman" w:cs="Times New Roman"/>
        </w:rPr>
        <w:t xml:space="preserve">, approvato dal Parlamento in data 12 marzo 2024 e dal Consiglio dell’Unione in data 21 maggio 2024, entrato in vigore il 1° agosto 2024. </w:t>
      </w:r>
    </w:p>
    <w:bookmarkEnd w:id="5"/>
  </w:footnote>
  <w:footnote w:id="129">
    <w:p w14:paraId="70B173E3" w14:textId="6DBD069B" w:rsidR="00BF73E5" w:rsidRPr="00AA56DE" w:rsidRDefault="00BF73E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Su lavoro nella PA e</w:t>
      </w:r>
      <w:r w:rsidR="00C1440E" w:rsidRPr="00AA56DE">
        <w:rPr>
          <w:rFonts w:ascii="Times New Roman" w:hAnsi="Times New Roman" w:cs="Times New Roman"/>
        </w:rPr>
        <w:t xml:space="preserve"> implementazione</w:t>
      </w:r>
      <w:r w:rsidRPr="00AA56DE">
        <w:rPr>
          <w:rFonts w:ascii="Times New Roman" w:hAnsi="Times New Roman" w:cs="Times New Roman"/>
        </w:rPr>
        <w:t xml:space="preserve"> </w:t>
      </w:r>
      <w:r w:rsidR="00C1440E" w:rsidRPr="00AA56DE">
        <w:rPr>
          <w:rFonts w:ascii="Times New Roman" w:hAnsi="Times New Roman" w:cs="Times New Roman"/>
        </w:rPr>
        <w:t>dell’</w:t>
      </w:r>
      <w:r w:rsidRPr="00AA56DE">
        <w:rPr>
          <w:rFonts w:ascii="Times New Roman" w:hAnsi="Times New Roman" w:cs="Times New Roman"/>
        </w:rPr>
        <w:t xml:space="preserve">IA, si veda </w:t>
      </w:r>
      <w:r w:rsidR="00B8035A" w:rsidRPr="00AA56DE">
        <w:rPr>
          <w:rFonts w:ascii="Times New Roman" w:hAnsi="Times New Roman" w:cs="Times New Roman"/>
        </w:rPr>
        <w:t xml:space="preserve">P. </w:t>
      </w:r>
      <w:r w:rsidR="00B8035A" w:rsidRPr="00AA56DE">
        <w:rPr>
          <w:rFonts w:ascii="Times New Roman" w:hAnsi="Times New Roman" w:cs="Times New Roman"/>
          <w:smallCaps/>
        </w:rPr>
        <w:t>Miele</w:t>
      </w:r>
      <w:r w:rsidR="00B8035A" w:rsidRPr="00AA56DE">
        <w:rPr>
          <w:rFonts w:ascii="Times New Roman" w:hAnsi="Times New Roman" w:cs="Times New Roman"/>
        </w:rPr>
        <w:t xml:space="preserve">, </w:t>
      </w:r>
      <w:r w:rsidR="00B8035A" w:rsidRPr="00AA56DE">
        <w:rPr>
          <w:rFonts w:ascii="Times New Roman" w:hAnsi="Times New Roman" w:cs="Times New Roman"/>
          <w:i/>
          <w:iCs/>
        </w:rPr>
        <w:t>Intelligenza artificiale e pubblico impiego</w:t>
      </w:r>
      <w:r w:rsidR="00B8035A" w:rsidRPr="00AA56DE">
        <w:rPr>
          <w:rFonts w:ascii="Times New Roman" w:hAnsi="Times New Roman" w:cs="Times New Roman"/>
        </w:rPr>
        <w:t xml:space="preserve">, in </w:t>
      </w:r>
      <w:r w:rsidR="00C1440E" w:rsidRPr="00AA56DE">
        <w:rPr>
          <w:rFonts w:ascii="Times New Roman" w:hAnsi="Times New Roman" w:cs="Times New Roman"/>
          <w:smallCaps/>
        </w:rPr>
        <w:t>P. Monea – G. Pizziconi</w:t>
      </w:r>
      <w:r w:rsidR="00C1440E" w:rsidRPr="00AA56DE">
        <w:rPr>
          <w:rFonts w:ascii="Times New Roman" w:hAnsi="Times New Roman" w:cs="Times New Roman"/>
        </w:rPr>
        <w:t xml:space="preserve">, </w:t>
      </w:r>
      <w:r w:rsidR="00C1440E" w:rsidRPr="00AA56DE">
        <w:rPr>
          <w:rFonts w:ascii="Times New Roman" w:hAnsi="Times New Roman" w:cs="Times New Roman"/>
          <w:i/>
          <w:iCs/>
        </w:rPr>
        <w:t>Rapporto di lavoro e gestione del personale in Enti locali, Regioni, Camere di commercio e Società a partecipazione pubblica</w:t>
      </w:r>
      <w:r w:rsidR="00C1440E" w:rsidRPr="00AA56DE">
        <w:rPr>
          <w:rFonts w:ascii="Times New Roman" w:hAnsi="Times New Roman" w:cs="Times New Roman"/>
        </w:rPr>
        <w:t>, Maggioli, 2024.</w:t>
      </w:r>
    </w:p>
  </w:footnote>
  <w:footnote w:id="130">
    <w:p w14:paraId="39F44DDC"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E. Brynjolfsson - A. McAfee</w:t>
      </w:r>
      <w:r w:rsidRPr="00AA56DE">
        <w:rPr>
          <w:rFonts w:ascii="Times New Roman" w:hAnsi="Times New Roman" w:cs="Times New Roman"/>
        </w:rPr>
        <w:t xml:space="preserve">, </w:t>
      </w:r>
      <w:r w:rsidRPr="00AA56DE">
        <w:rPr>
          <w:rFonts w:ascii="Times New Roman" w:hAnsi="Times New Roman" w:cs="Times New Roman"/>
          <w:i/>
          <w:iCs/>
        </w:rPr>
        <w:t>La nuova rivoluzione delle macchine. lavoro e prosperità nell'era della tecnologia trionfante</w:t>
      </w:r>
      <w:r w:rsidRPr="00AA56DE">
        <w:rPr>
          <w:rFonts w:ascii="Times New Roman" w:hAnsi="Times New Roman" w:cs="Times New Roman"/>
        </w:rPr>
        <w:t>, Feltrinelli, 2015, spec. pp. 99-106.</w:t>
      </w:r>
    </w:p>
  </w:footnote>
  <w:footnote w:id="131">
    <w:p w14:paraId="6C5BC0CB"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P. R. Daugherty - H. J. Wilson</w:t>
      </w:r>
      <w:r w:rsidRPr="00AA56DE">
        <w:rPr>
          <w:rFonts w:ascii="Times New Roman" w:hAnsi="Times New Roman" w:cs="Times New Roman"/>
        </w:rPr>
        <w:t xml:space="preserve">, </w:t>
      </w:r>
      <w:r w:rsidRPr="00AA56DE">
        <w:rPr>
          <w:rFonts w:ascii="Times New Roman" w:hAnsi="Times New Roman" w:cs="Times New Roman"/>
          <w:i/>
          <w:iCs/>
        </w:rPr>
        <w:t>Human + Machine. Ripensare il lavoro nell’età dell’intelligenza artificiale</w:t>
      </w:r>
      <w:r w:rsidRPr="00AA56DE">
        <w:rPr>
          <w:rFonts w:ascii="Times New Roman" w:hAnsi="Times New Roman" w:cs="Times New Roman"/>
        </w:rPr>
        <w:t>, Guerini Next, 2019, spec. Cap. 7, par. 3.</w:t>
      </w:r>
    </w:p>
  </w:footnote>
  <w:footnote w:id="132">
    <w:p w14:paraId="17001DB7"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Il termine è di F. </w:t>
      </w:r>
      <w:r w:rsidRPr="00AA56DE">
        <w:rPr>
          <w:rFonts w:ascii="Times New Roman" w:hAnsi="Times New Roman" w:cs="Times New Roman"/>
          <w:smallCaps/>
        </w:rPr>
        <w:t>Zambonelli</w:t>
      </w:r>
      <w:r w:rsidRPr="00AA56DE">
        <w:rPr>
          <w:rFonts w:ascii="Times New Roman" w:hAnsi="Times New Roman" w:cs="Times New Roman"/>
        </w:rPr>
        <w:t xml:space="preserve">, </w:t>
      </w:r>
      <w:r w:rsidRPr="00AA56DE">
        <w:rPr>
          <w:rFonts w:ascii="Times New Roman" w:hAnsi="Times New Roman" w:cs="Times New Roman"/>
          <w:i/>
          <w:iCs/>
        </w:rPr>
        <w:t>Algocrazia: Il governo degli algoritmi e dell'intelligenza artificiale</w:t>
      </w:r>
      <w:r w:rsidRPr="00AA56DE">
        <w:rPr>
          <w:rFonts w:ascii="Times New Roman" w:hAnsi="Times New Roman" w:cs="Times New Roman"/>
        </w:rPr>
        <w:t>, Scienza Express, 2021.</w:t>
      </w:r>
    </w:p>
  </w:footnote>
  <w:footnote w:id="133">
    <w:p w14:paraId="7A80B398"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P. Giardullo – F. Miele</w:t>
      </w:r>
      <w:r w:rsidRPr="00AA56DE">
        <w:rPr>
          <w:rFonts w:ascii="Times New Roman" w:hAnsi="Times New Roman" w:cs="Times New Roman"/>
        </w:rPr>
        <w:t xml:space="preserve">, </w:t>
      </w:r>
      <w:r w:rsidRPr="00AA56DE">
        <w:rPr>
          <w:rFonts w:ascii="Times New Roman" w:hAnsi="Times New Roman" w:cs="Times New Roman"/>
          <w:i/>
          <w:iCs/>
        </w:rPr>
        <w:t>L’organizzazione algoritmica: tecnologia, performance e automazione</w:t>
      </w:r>
      <w:r w:rsidRPr="00AA56DE">
        <w:rPr>
          <w:rFonts w:ascii="Times New Roman" w:hAnsi="Times New Roman" w:cs="Times New Roman"/>
        </w:rPr>
        <w:t xml:space="preserve">, in </w:t>
      </w:r>
      <w:r w:rsidRPr="00AA56DE">
        <w:rPr>
          <w:rFonts w:ascii="Times New Roman" w:hAnsi="Times New Roman" w:cs="Times New Roman"/>
          <w:smallCaps/>
        </w:rPr>
        <w:t>D. Marini - F. Setiffi</w:t>
      </w:r>
      <w:r w:rsidRPr="00AA56DE">
        <w:rPr>
          <w:rFonts w:ascii="Times New Roman" w:hAnsi="Times New Roman" w:cs="Times New Roman"/>
        </w:rPr>
        <w:t xml:space="preserve">, </w:t>
      </w:r>
      <w:r w:rsidRPr="00AA56DE">
        <w:rPr>
          <w:rFonts w:ascii="Times New Roman" w:hAnsi="Times New Roman" w:cs="Times New Roman"/>
          <w:i/>
          <w:iCs/>
        </w:rPr>
        <w:t>Una grammatica della digitalizzazione interpretare la metamorfosi di società, economia e organizzazioni</w:t>
      </w:r>
      <w:r w:rsidRPr="00AA56DE">
        <w:rPr>
          <w:rFonts w:ascii="Times New Roman" w:hAnsi="Times New Roman" w:cs="Times New Roman"/>
        </w:rPr>
        <w:t>, Guerini scientifica, 2020, pp. 73 ss.</w:t>
      </w:r>
    </w:p>
  </w:footnote>
  <w:footnote w:id="134">
    <w:p w14:paraId="3676BE50"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 </w:t>
      </w:r>
      <w:r w:rsidRPr="00AA56DE">
        <w:rPr>
          <w:rFonts w:ascii="Times New Roman" w:hAnsi="Times New Roman" w:cs="Times New Roman"/>
          <w:smallCaps/>
        </w:rPr>
        <w:t>Musiani</w:t>
      </w:r>
      <w:r w:rsidRPr="00AA56DE">
        <w:rPr>
          <w:rFonts w:ascii="Times New Roman" w:hAnsi="Times New Roman" w:cs="Times New Roman"/>
        </w:rPr>
        <w:t xml:space="preserve">, </w:t>
      </w:r>
      <w:r w:rsidRPr="00AA56DE">
        <w:rPr>
          <w:rFonts w:ascii="Times New Roman" w:hAnsi="Times New Roman" w:cs="Times New Roman"/>
          <w:i/>
          <w:iCs/>
        </w:rPr>
        <w:t>Governance algoritmica: sorveglianza, censura e diritti fondamentali</w:t>
      </w:r>
      <w:r w:rsidRPr="00AA56DE">
        <w:rPr>
          <w:rFonts w:ascii="Times New Roman" w:hAnsi="Times New Roman" w:cs="Times New Roman"/>
        </w:rPr>
        <w:t xml:space="preserve">, in </w:t>
      </w:r>
      <w:r w:rsidRPr="00AA56DE">
        <w:rPr>
          <w:rFonts w:ascii="Times New Roman" w:hAnsi="Times New Roman" w:cs="Times New Roman"/>
          <w:smallCaps/>
        </w:rPr>
        <w:t>F. Fossa - V. Schiaffonati - G. Tamburrini</w:t>
      </w:r>
      <w:r w:rsidRPr="00AA56DE">
        <w:rPr>
          <w:rFonts w:ascii="Times New Roman" w:hAnsi="Times New Roman" w:cs="Times New Roman"/>
        </w:rPr>
        <w:t xml:space="preserve"> (a cura di), </w:t>
      </w:r>
      <w:r w:rsidRPr="00AA56DE">
        <w:rPr>
          <w:rFonts w:ascii="Times New Roman" w:hAnsi="Times New Roman" w:cs="Times New Roman"/>
          <w:i/>
          <w:iCs/>
        </w:rPr>
        <w:t>Introduzione all’etica dell’intelligenza artificiale e della robotica</w:t>
      </w:r>
      <w:r w:rsidRPr="00AA56DE">
        <w:rPr>
          <w:rFonts w:ascii="Times New Roman" w:hAnsi="Times New Roman" w:cs="Times New Roman"/>
        </w:rPr>
        <w:t>, Carocci, 2021, p. 95.</w:t>
      </w:r>
    </w:p>
  </w:footnote>
  <w:footnote w:id="135">
    <w:p w14:paraId="046FD2B7"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FPA data insight, </w:t>
      </w:r>
      <w:r w:rsidRPr="00AA56DE">
        <w:rPr>
          <w:rFonts w:ascii="Times New Roman" w:hAnsi="Times New Roman" w:cs="Times New Roman"/>
          <w:i/>
          <w:iCs/>
        </w:rPr>
        <w:t>L’impatto dell’intelligenza artificiale sul pubblico impiego</w:t>
      </w:r>
      <w:r w:rsidRPr="00AA56DE">
        <w:rPr>
          <w:rFonts w:ascii="Times New Roman" w:hAnsi="Times New Roman" w:cs="Times New Roman"/>
        </w:rPr>
        <w:t>, maggio 2024, p. 17.</w:t>
      </w:r>
    </w:p>
  </w:footnote>
  <w:footnote w:id="136">
    <w:p w14:paraId="50F36D2D"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iCs/>
        </w:rPr>
        <w:t>Ibidem</w:t>
      </w:r>
      <w:r w:rsidRPr="00AA56DE">
        <w:rPr>
          <w:rFonts w:ascii="Times New Roman" w:hAnsi="Times New Roman" w:cs="Times New Roman"/>
        </w:rPr>
        <w:t>.</w:t>
      </w:r>
    </w:p>
  </w:footnote>
  <w:footnote w:id="137">
    <w:p w14:paraId="25B0481E" w14:textId="77777777" w:rsidR="00FF5207" w:rsidRPr="00AA56DE" w:rsidRDefault="00FF5207"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iCs/>
        </w:rPr>
        <w:t>Ibidem</w:t>
      </w:r>
      <w:r w:rsidRPr="00AA56DE">
        <w:rPr>
          <w:rFonts w:ascii="Times New Roman" w:hAnsi="Times New Roman" w:cs="Times New Roman"/>
        </w:rPr>
        <w:t>.</w:t>
      </w:r>
    </w:p>
  </w:footnote>
  <w:footnote w:id="138">
    <w:p w14:paraId="3B451813"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N. Capolupo – P. Adinolfi</w:t>
      </w:r>
      <w:r w:rsidRPr="00AA56DE">
        <w:rPr>
          <w:rFonts w:ascii="Times New Roman" w:hAnsi="Times New Roman" w:cs="Times New Roman"/>
        </w:rPr>
        <w:t xml:space="preserve">, </w:t>
      </w:r>
      <w:r w:rsidRPr="00AA56DE">
        <w:rPr>
          <w:rFonts w:ascii="Times New Roman" w:hAnsi="Times New Roman" w:cs="Times New Roman"/>
          <w:i/>
          <w:iCs/>
        </w:rPr>
        <w:t xml:space="preserve">Organizzazioni pubbliche e intelligenza artificiale. Un cambiamento </w:t>
      </w:r>
      <w:proofErr w:type="gramStart"/>
      <w:r w:rsidRPr="00AA56DE">
        <w:rPr>
          <w:rFonts w:ascii="Times New Roman" w:hAnsi="Times New Roman" w:cs="Times New Roman"/>
          <w:i/>
          <w:iCs/>
        </w:rPr>
        <w:t>possibile?</w:t>
      </w:r>
      <w:r w:rsidRPr="00AA56DE">
        <w:rPr>
          <w:rFonts w:ascii="Times New Roman" w:hAnsi="Times New Roman" w:cs="Times New Roman"/>
        </w:rPr>
        <w:t>,</w:t>
      </w:r>
      <w:proofErr w:type="gramEnd"/>
      <w:r w:rsidRPr="00AA56DE">
        <w:rPr>
          <w:rFonts w:ascii="Times New Roman" w:hAnsi="Times New Roman" w:cs="Times New Roman"/>
        </w:rPr>
        <w:t xml:space="preserve"> in </w:t>
      </w:r>
      <w:r w:rsidRPr="00AA56DE">
        <w:rPr>
          <w:rFonts w:ascii="Times New Roman" w:hAnsi="Times New Roman" w:cs="Times New Roman"/>
          <w:i/>
          <w:iCs/>
        </w:rPr>
        <w:t>Prospettive in organizzazione</w:t>
      </w:r>
      <w:r w:rsidRPr="00AA56DE">
        <w:rPr>
          <w:rFonts w:ascii="Times New Roman" w:hAnsi="Times New Roman" w:cs="Times New Roman"/>
        </w:rPr>
        <w:t>, Rivista trimestrale di Organizzazione Aziendale, 14 aprile 2023, p. 2.</w:t>
      </w:r>
    </w:p>
  </w:footnote>
  <w:footnote w:id="139">
    <w:p w14:paraId="64B971DC"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 </w:t>
      </w:r>
      <w:r w:rsidRPr="00AA56DE">
        <w:rPr>
          <w:rFonts w:ascii="Times New Roman" w:hAnsi="Times New Roman" w:cs="Times New Roman"/>
          <w:smallCaps/>
        </w:rPr>
        <w:t>Borgonovi</w:t>
      </w:r>
      <w:r w:rsidRPr="00AA56DE">
        <w:rPr>
          <w:rFonts w:ascii="Times New Roman" w:hAnsi="Times New Roman" w:cs="Times New Roman"/>
        </w:rPr>
        <w:t xml:space="preserve">, </w:t>
      </w:r>
      <w:r w:rsidRPr="00AA56DE">
        <w:rPr>
          <w:rFonts w:ascii="Times New Roman" w:hAnsi="Times New Roman" w:cs="Times New Roman"/>
          <w:i/>
          <w:iCs/>
        </w:rPr>
        <w:t>I manager pubblici tra evoluzione e cambio di paradigma</w:t>
      </w:r>
      <w:r w:rsidRPr="00AA56DE">
        <w:rPr>
          <w:rFonts w:ascii="Times New Roman" w:hAnsi="Times New Roman" w:cs="Times New Roman"/>
        </w:rPr>
        <w:t xml:space="preserve">, in </w:t>
      </w:r>
      <w:r w:rsidRPr="00AA56DE">
        <w:rPr>
          <w:rFonts w:ascii="Times New Roman" w:hAnsi="Times New Roman" w:cs="Times New Roman"/>
          <w:i/>
          <w:iCs/>
        </w:rPr>
        <w:t>Rivista italiana di Public Management</w:t>
      </w:r>
      <w:r w:rsidRPr="00AA56DE">
        <w:rPr>
          <w:rFonts w:ascii="Times New Roman" w:hAnsi="Times New Roman" w:cs="Times New Roman"/>
        </w:rPr>
        <w:t xml:space="preserve">, Vol. 3, n. 1, 2020; </w:t>
      </w:r>
      <w:r w:rsidRPr="00AA56DE">
        <w:rPr>
          <w:rFonts w:ascii="Times New Roman" w:hAnsi="Times New Roman" w:cs="Times New Roman"/>
          <w:smallCaps/>
        </w:rPr>
        <w:t>L. Nicolais – G. Festinese</w:t>
      </w:r>
      <w:r w:rsidRPr="00AA56DE">
        <w:rPr>
          <w:rFonts w:ascii="Times New Roman" w:hAnsi="Times New Roman" w:cs="Times New Roman"/>
        </w:rPr>
        <w:t xml:space="preserve">, </w:t>
      </w:r>
      <w:r w:rsidRPr="00AA56DE">
        <w:rPr>
          <w:rFonts w:ascii="Times New Roman" w:hAnsi="Times New Roman" w:cs="Times New Roman"/>
          <w:i/>
          <w:iCs/>
        </w:rPr>
        <w:t>Da dirigente a leader: la via del cambiamento</w:t>
      </w:r>
      <w:r w:rsidRPr="00AA56DE">
        <w:rPr>
          <w:rFonts w:ascii="Times New Roman" w:hAnsi="Times New Roman" w:cs="Times New Roman"/>
        </w:rPr>
        <w:t xml:space="preserve">, in </w:t>
      </w:r>
      <w:r w:rsidRPr="00AA56DE">
        <w:rPr>
          <w:rFonts w:ascii="Times New Roman" w:hAnsi="Times New Roman" w:cs="Times New Roman"/>
          <w:i/>
          <w:iCs/>
        </w:rPr>
        <w:t>Rivista italiana di Public Management</w:t>
      </w:r>
      <w:r w:rsidRPr="00AA56DE">
        <w:rPr>
          <w:rFonts w:ascii="Times New Roman" w:hAnsi="Times New Roman" w:cs="Times New Roman"/>
        </w:rPr>
        <w:t>, Vol. 1, n. 1, Gennaio 2018.</w:t>
      </w:r>
    </w:p>
  </w:footnote>
  <w:footnote w:id="140">
    <w:p w14:paraId="3951E069"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bookmarkStart w:id="6" w:name="_Hlk170746497"/>
      <w:r w:rsidRPr="00AA56DE">
        <w:rPr>
          <w:rFonts w:ascii="Times New Roman" w:hAnsi="Times New Roman" w:cs="Times New Roman"/>
        </w:rPr>
        <w:t xml:space="preserve">Commissione XI Lavoro pubblico e Privato della Camera dei Deputati, </w:t>
      </w:r>
      <w:r w:rsidRPr="00AA56DE">
        <w:rPr>
          <w:rFonts w:ascii="Times New Roman" w:hAnsi="Times New Roman" w:cs="Times New Roman"/>
          <w:i/>
          <w:iCs/>
        </w:rPr>
        <w:t>Indagine conoscitiva sul rapporto tra Intelligenza Artificiale e mondo del lavoro</w:t>
      </w:r>
      <w:bookmarkEnd w:id="6"/>
      <w:r w:rsidRPr="00AA56DE">
        <w:rPr>
          <w:rFonts w:ascii="Times New Roman" w:hAnsi="Times New Roman" w:cs="Times New Roman"/>
          <w:i/>
          <w:iCs/>
        </w:rPr>
        <w:t>, con particolare riferimento agli impatti che l'intelligenza artificiale generativa può avere sul mercato del lavoro</w:t>
      </w:r>
      <w:r w:rsidRPr="00AA56DE">
        <w:rPr>
          <w:rFonts w:ascii="Times New Roman" w:hAnsi="Times New Roman" w:cs="Times New Roman"/>
        </w:rPr>
        <w:t>, 13 dicembre 2023, pp. 10 ss.</w:t>
      </w:r>
    </w:p>
  </w:footnote>
  <w:footnote w:id="141">
    <w:p w14:paraId="151AEDAB"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Blasutig</w:t>
      </w:r>
      <w:r w:rsidRPr="00AA56DE">
        <w:rPr>
          <w:rFonts w:ascii="Times New Roman" w:hAnsi="Times New Roman" w:cs="Times New Roman"/>
        </w:rPr>
        <w:t xml:space="preserve">, </w:t>
      </w:r>
      <w:r w:rsidRPr="00AA56DE">
        <w:rPr>
          <w:rFonts w:ascii="Times New Roman" w:hAnsi="Times New Roman" w:cs="Times New Roman"/>
          <w:i/>
          <w:iCs/>
        </w:rPr>
        <w:t>L’intelligenza artificiale nelle organizzazioni e la prospettiva della collaborazione uomo-macchina</w:t>
      </w:r>
      <w:r w:rsidRPr="00AA56DE">
        <w:rPr>
          <w:rFonts w:ascii="Times New Roman" w:hAnsi="Times New Roman" w:cs="Times New Roman"/>
        </w:rPr>
        <w:t xml:space="preserve">, in </w:t>
      </w:r>
      <w:r w:rsidRPr="00AA56DE">
        <w:rPr>
          <w:rFonts w:ascii="Times New Roman" w:hAnsi="Times New Roman" w:cs="Times New Roman"/>
          <w:i/>
          <w:iCs/>
        </w:rPr>
        <w:t>Poliarchie/Polyarchies</w:t>
      </w:r>
      <w:r w:rsidRPr="00AA56DE">
        <w:rPr>
          <w:rFonts w:ascii="Times New Roman" w:hAnsi="Times New Roman" w:cs="Times New Roman"/>
        </w:rPr>
        <w:t>, vol. 5, 2/2022, p. 196.</w:t>
      </w:r>
    </w:p>
  </w:footnote>
  <w:footnote w:id="142">
    <w:p w14:paraId="451C8493"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N. Capolupo – P. Adinolfi</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 3.</w:t>
      </w:r>
    </w:p>
  </w:footnote>
  <w:footnote w:id="143">
    <w:p w14:paraId="7216D1DE"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 </w:t>
      </w:r>
      <w:r w:rsidRPr="00AA56DE">
        <w:rPr>
          <w:rFonts w:ascii="Times New Roman" w:hAnsi="Times New Roman" w:cs="Times New Roman"/>
          <w:smallCaps/>
        </w:rPr>
        <w:t>Zambonelli</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pp. 41-43.</w:t>
      </w:r>
    </w:p>
  </w:footnote>
  <w:footnote w:id="144">
    <w:p w14:paraId="707E2303"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Blasutig</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 197.</w:t>
      </w:r>
    </w:p>
  </w:footnote>
  <w:footnote w:id="145">
    <w:p w14:paraId="3212238D"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Lazzi</w:t>
      </w:r>
      <w:r w:rsidRPr="00AA56DE">
        <w:rPr>
          <w:rFonts w:ascii="Times New Roman" w:hAnsi="Times New Roman" w:cs="Times New Roman"/>
        </w:rPr>
        <w:t xml:space="preserve">, </w:t>
      </w:r>
      <w:r w:rsidRPr="00AA56DE">
        <w:rPr>
          <w:rFonts w:ascii="Times New Roman" w:hAnsi="Times New Roman" w:cs="Times New Roman"/>
          <w:i/>
        </w:rPr>
        <w:t>Reingegnerizzazione dei processi, Contributo al libro "Sistemi Informativi per la Pubblica Amministrazione</w:t>
      </w:r>
      <w:r w:rsidRPr="00AA56DE">
        <w:rPr>
          <w:rFonts w:ascii="Times New Roman" w:hAnsi="Times New Roman" w:cs="Times New Roman"/>
        </w:rPr>
        <w:t>: tecnologie, metodologie, studi di caso", 1999, disponibile in https://www.unica.it/UserFiles/File/Direzioni/Diruma/progetto_aurora/Lazzi.pdf, pp. 19-20.</w:t>
      </w:r>
    </w:p>
  </w:footnote>
  <w:footnote w:id="146">
    <w:p w14:paraId="7CEA9CA1"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A. </w:t>
      </w:r>
      <w:r w:rsidRPr="00AA56DE">
        <w:rPr>
          <w:rFonts w:ascii="Times New Roman" w:hAnsi="Times New Roman" w:cs="Times New Roman"/>
          <w:smallCaps/>
        </w:rPr>
        <w:t>Costanzo</w:t>
      </w:r>
      <w:r w:rsidRPr="00AA56DE">
        <w:rPr>
          <w:rFonts w:ascii="Times New Roman" w:hAnsi="Times New Roman" w:cs="Times New Roman"/>
        </w:rPr>
        <w:t xml:space="preserve">, </w:t>
      </w:r>
      <w:r w:rsidRPr="00AA56DE">
        <w:rPr>
          <w:rFonts w:ascii="Times New Roman" w:hAnsi="Times New Roman" w:cs="Times New Roman"/>
          <w:i/>
        </w:rPr>
        <w:t xml:space="preserve">op. cit., </w:t>
      </w:r>
      <w:r w:rsidRPr="00AA56DE">
        <w:rPr>
          <w:rFonts w:ascii="Times New Roman" w:hAnsi="Times New Roman" w:cs="Times New Roman"/>
          <w:iCs/>
        </w:rPr>
        <w:t>p.</w:t>
      </w:r>
      <w:r w:rsidRPr="00AA56DE">
        <w:rPr>
          <w:rFonts w:ascii="Times New Roman" w:hAnsi="Times New Roman" w:cs="Times New Roman"/>
        </w:rPr>
        <w:t xml:space="preserve"> 310.</w:t>
      </w:r>
    </w:p>
  </w:footnote>
  <w:footnote w:id="147">
    <w:p w14:paraId="4F87C679" w14:textId="77777777" w:rsidR="005F6206" w:rsidRPr="00AA56DE" w:rsidRDefault="005F620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R. Bergoglio – F. Raiteri</w:t>
      </w:r>
      <w:r w:rsidRPr="00AA56DE">
        <w:rPr>
          <w:rFonts w:ascii="Times New Roman" w:hAnsi="Times New Roman" w:cs="Times New Roman"/>
        </w:rPr>
        <w:t xml:space="preserve">, </w:t>
      </w:r>
      <w:r w:rsidRPr="00AA56DE">
        <w:rPr>
          <w:rFonts w:ascii="Times New Roman" w:hAnsi="Times New Roman" w:cs="Times New Roman"/>
          <w:i/>
          <w:iCs/>
        </w:rPr>
        <w:t xml:space="preserve">La gestione per processi, </w:t>
      </w:r>
      <w:r w:rsidRPr="00AA56DE">
        <w:rPr>
          <w:rFonts w:ascii="Times New Roman" w:hAnsi="Times New Roman" w:cs="Times New Roman"/>
        </w:rPr>
        <w:t>in AA.VV.,</w:t>
      </w:r>
      <w:r w:rsidRPr="00AA56DE">
        <w:rPr>
          <w:rFonts w:ascii="Times New Roman" w:hAnsi="Times New Roman" w:cs="Times New Roman"/>
          <w:i/>
          <w:iCs/>
        </w:rPr>
        <w:t xml:space="preserve"> Conoscere le ISO 9000: 2000. Manuale pratico per le piccole imprese</w:t>
      </w:r>
      <w:r w:rsidRPr="00AA56DE">
        <w:rPr>
          <w:rFonts w:ascii="Times New Roman" w:hAnsi="Times New Roman" w:cs="Times New Roman"/>
        </w:rPr>
        <w:t>, Editore UNI, 2001, pp. 75-104.</w:t>
      </w:r>
    </w:p>
  </w:footnote>
  <w:footnote w:id="148">
    <w:p w14:paraId="5F9B5501" w14:textId="77777777" w:rsidR="00725289" w:rsidRPr="00AA56DE" w:rsidRDefault="00725289"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FPA data insight, </w:t>
      </w:r>
      <w:r w:rsidRPr="00AA56DE">
        <w:rPr>
          <w:rFonts w:ascii="Times New Roman" w:hAnsi="Times New Roman" w:cs="Times New Roman"/>
          <w:i/>
          <w:iCs/>
        </w:rPr>
        <w:t>op. cit</w:t>
      </w:r>
      <w:r w:rsidRPr="00AA56DE">
        <w:rPr>
          <w:rFonts w:ascii="Times New Roman" w:hAnsi="Times New Roman" w:cs="Times New Roman"/>
        </w:rPr>
        <w:t>., p. 23.</w:t>
      </w:r>
    </w:p>
  </w:footnote>
  <w:footnote w:id="149">
    <w:p w14:paraId="6518EC71" w14:textId="77777777" w:rsidR="00725289" w:rsidRPr="00AA56DE" w:rsidRDefault="00725289"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Commissione XI Lavoro pubblico e Privato della Camera dei Deputati, </w:t>
      </w:r>
      <w:r w:rsidRPr="00AA56DE">
        <w:rPr>
          <w:rFonts w:ascii="Times New Roman" w:hAnsi="Times New Roman" w:cs="Times New Roman"/>
          <w:i/>
          <w:iCs/>
        </w:rPr>
        <w:t>Indagine conoscitiva sul rapporto tra Intelligenza Artificiale e mondo del lavoro</w:t>
      </w:r>
      <w:r w:rsidRPr="00AA56DE">
        <w:rPr>
          <w:rFonts w:ascii="Times New Roman" w:hAnsi="Times New Roman" w:cs="Times New Roman"/>
        </w:rPr>
        <w:t xml:space="preserve"> cit., pp. 9-10.</w:t>
      </w:r>
    </w:p>
  </w:footnote>
  <w:footnote w:id="150">
    <w:p w14:paraId="0833862B" w14:textId="77777777" w:rsidR="00725289" w:rsidRPr="00AA56DE" w:rsidRDefault="00725289"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iCs/>
        </w:rPr>
        <w:t>Ibidem</w:t>
      </w:r>
      <w:r w:rsidRPr="00AA56DE">
        <w:rPr>
          <w:rFonts w:ascii="Times New Roman" w:hAnsi="Times New Roman" w:cs="Times New Roman"/>
        </w:rPr>
        <w:t>.</w:t>
      </w:r>
    </w:p>
  </w:footnote>
  <w:footnote w:id="151">
    <w:p w14:paraId="3BAECE4D" w14:textId="77777777" w:rsidR="00725289" w:rsidRPr="00AA56DE" w:rsidRDefault="00725289"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Si veda, sul punto, la “Direttiva sulla formazione” emanata dal Ministro Zangrillo in data 23 marzo 2023, in cui le finalità del sistema di formazione vengono individuate come segue: “a) la progettazione a partire dalla individuazione delle competenze necessarie per l’innovazione e il cambiamento, e non dai “mestieri” delle amministrazioni; b) la velocità di progettazione e di erogazione, in modo che ciascuna amministrazione possa disporre delle competenze di cui ha bisogno in tempi utili per l’attuazione del Piano Nazionale di Ripresa e Resilienza e, più in generale, per implementare i processi di innovazione e migliorare la qualità dei servizi erogati a cittadini e imprese; c) la qualità dei contenuti, che può essere assicurata attraverso la realizzazione di investimenti su una formazione guidata dagli obiettivi di missione e di servizio dell’organizzazione e dai suoi specifici fabbisogni; d) la “certificazione” delle competenze acquisite attraverso la formazione da parte dei dipendenti pubblici, integrandole nei percorsi di carriera secondo quanto previsto dalla legge e dai contratti collettivi nazionali ed integrativi; e) l’utilizzo della formazione quale leva strategica rafforzare e sviluppare il senso e il valore pubblico del lavoro nella pubblica amministrazione da parte dei propri dipendenti”. Obiettivi che, naturalmente, il dirigente pubblico della post-modernità non può trascurare.</w:t>
      </w:r>
    </w:p>
  </w:footnote>
  <w:footnote w:id="152">
    <w:p w14:paraId="4A9A180C"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bookmarkStart w:id="7" w:name="_Hlk171154755"/>
      <w:r w:rsidRPr="00AA56DE">
        <w:rPr>
          <w:rFonts w:ascii="Times New Roman" w:hAnsi="Times New Roman" w:cs="Times New Roman"/>
          <w:smallCaps/>
        </w:rPr>
        <w:t>G. Valotti – M. Barbieri – G. Giacomelli – L. Micacchi – F. Vidè</w:t>
      </w:r>
      <w:bookmarkEnd w:id="7"/>
      <w:r w:rsidRPr="00AA56DE">
        <w:rPr>
          <w:rFonts w:ascii="Times New Roman" w:hAnsi="Times New Roman" w:cs="Times New Roman"/>
        </w:rPr>
        <w:t xml:space="preserve">, </w:t>
      </w:r>
      <w:r w:rsidRPr="00AA56DE">
        <w:rPr>
          <w:rFonts w:ascii="Times New Roman" w:hAnsi="Times New Roman" w:cs="Times New Roman"/>
          <w:i/>
          <w:iCs/>
        </w:rPr>
        <w:t>Il lavoro agile: un’occasione da non perdere, in Rivista italiana di public management</w:t>
      </w:r>
      <w:r w:rsidRPr="00AA56DE">
        <w:rPr>
          <w:rFonts w:ascii="Times New Roman" w:hAnsi="Times New Roman" w:cs="Times New Roman"/>
        </w:rPr>
        <w:t>, Vol. 3, n. 2/2020, pp. 4-5.</w:t>
      </w:r>
    </w:p>
  </w:footnote>
  <w:footnote w:id="153">
    <w:p w14:paraId="14996B8A"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Melis</w:t>
      </w:r>
      <w:r w:rsidRPr="00AA56DE">
        <w:rPr>
          <w:rFonts w:ascii="Times New Roman" w:hAnsi="Times New Roman" w:cs="Times New Roman"/>
        </w:rPr>
        <w:t xml:space="preserve">, </w:t>
      </w:r>
      <w:r w:rsidRPr="00AA56DE">
        <w:rPr>
          <w:rFonts w:ascii="Times New Roman" w:hAnsi="Times New Roman" w:cs="Times New Roman"/>
          <w:i/>
          <w:iCs/>
        </w:rPr>
        <w:t xml:space="preserve">Storia </w:t>
      </w:r>
      <w:r w:rsidRPr="00AA56DE">
        <w:rPr>
          <w:rFonts w:ascii="Times New Roman" w:hAnsi="Times New Roman" w:cs="Times New Roman"/>
        </w:rPr>
        <w:t xml:space="preserve">cit., pp. 27 ss.; nello stesso senso G. </w:t>
      </w:r>
      <w:r w:rsidRPr="00AA56DE">
        <w:rPr>
          <w:rFonts w:ascii="Times New Roman" w:hAnsi="Times New Roman" w:cs="Times New Roman"/>
          <w:smallCaps/>
        </w:rPr>
        <w:t>Astuto</w:t>
      </w:r>
      <w:r w:rsidRPr="00AA56DE">
        <w:rPr>
          <w:rFonts w:ascii="Times New Roman" w:hAnsi="Times New Roman" w:cs="Times New Roman"/>
        </w:rPr>
        <w:t xml:space="preserve">, </w:t>
      </w:r>
      <w:r w:rsidRPr="00AA56DE">
        <w:rPr>
          <w:rFonts w:ascii="Times New Roman" w:hAnsi="Times New Roman" w:cs="Times New Roman"/>
          <w:i/>
          <w:iCs/>
        </w:rPr>
        <w:t xml:space="preserve">L’amministrazione italiana </w:t>
      </w:r>
      <w:r w:rsidRPr="00AA56DE">
        <w:rPr>
          <w:rFonts w:ascii="Times New Roman" w:hAnsi="Times New Roman" w:cs="Times New Roman"/>
        </w:rPr>
        <w:t>cit., p. 77.</w:t>
      </w:r>
    </w:p>
  </w:footnote>
  <w:footnote w:id="154">
    <w:p w14:paraId="30CDCA75"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 </w:t>
      </w:r>
      <w:r w:rsidRPr="00AA56DE">
        <w:rPr>
          <w:rFonts w:ascii="Times New Roman" w:hAnsi="Times New Roman" w:cs="Times New Roman"/>
          <w:smallCaps/>
        </w:rPr>
        <w:t>Angeletti</w:t>
      </w:r>
      <w:r w:rsidRPr="00AA56DE">
        <w:rPr>
          <w:rFonts w:ascii="Times New Roman" w:hAnsi="Times New Roman" w:cs="Times New Roman"/>
        </w:rPr>
        <w:t xml:space="preserve">, </w:t>
      </w:r>
      <w:r w:rsidRPr="00AA56DE">
        <w:rPr>
          <w:rFonts w:ascii="Times New Roman" w:hAnsi="Times New Roman" w:cs="Times New Roman"/>
          <w:i/>
          <w:iCs/>
        </w:rPr>
        <w:t>Misurare il lavoro agile nelle amministrazioni pubbliche: profili, problemi e prospettive, in Rivista italiana di public management</w:t>
      </w:r>
      <w:r w:rsidRPr="00AA56DE">
        <w:rPr>
          <w:rFonts w:ascii="Times New Roman" w:hAnsi="Times New Roman" w:cs="Times New Roman"/>
        </w:rPr>
        <w:t>, Vol. 3, n. 1/2020, p. 66.</w:t>
      </w:r>
    </w:p>
  </w:footnote>
  <w:footnote w:id="155">
    <w:p w14:paraId="61DCAEB0"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R. </w:t>
      </w:r>
      <w:r w:rsidRPr="00AA56DE">
        <w:rPr>
          <w:rFonts w:ascii="Times New Roman" w:hAnsi="Times New Roman" w:cs="Times New Roman"/>
          <w:smallCaps/>
        </w:rPr>
        <w:t>Saporito</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pp. 158 ss.</w:t>
      </w:r>
    </w:p>
  </w:footnote>
  <w:footnote w:id="156">
    <w:p w14:paraId="6A267B03"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 </w:t>
      </w:r>
      <w:r w:rsidRPr="00AA56DE">
        <w:rPr>
          <w:rFonts w:ascii="Times New Roman" w:hAnsi="Times New Roman" w:cs="Times New Roman"/>
          <w:smallCaps/>
        </w:rPr>
        <w:t>Chiarelli</w:t>
      </w:r>
      <w:r w:rsidRPr="00AA56DE">
        <w:rPr>
          <w:rFonts w:ascii="Times New Roman" w:hAnsi="Times New Roman" w:cs="Times New Roman"/>
        </w:rPr>
        <w:t>, video cit.</w:t>
      </w:r>
    </w:p>
  </w:footnote>
  <w:footnote w:id="157">
    <w:p w14:paraId="614A2390"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Presidenza del Consiglio dei Ministri - Dipartimento della Funzione Pubblica</w:t>
      </w:r>
      <w:r w:rsidRPr="00AA56DE">
        <w:rPr>
          <w:rFonts w:ascii="Times New Roman" w:hAnsi="Times New Roman" w:cs="Times New Roman"/>
        </w:rPr>
        <w:t xml:space="preserve">, </w:t>
      </w:r>
      <w:r w:rsidRPr="00AA56DE">
        <w:rPr>
          <w:rFonts w:ascii="Times New Roman" w:hAnsi="Times New Roman" w:cs="Times New Roman"/>
          <w:i/>
          <w:iCs/>
        </w:rPr>
        <w:t>Linee guida sul Piano organizzativo del lavoro agile (POLA) e indicatori di performance</w:t>
      </w:r>
      <w:r w:rsidRPr="00AA56DE">
        <w:rPr>
          <w:rFonts w:ascii="Times New Roman" w:hAnsi="Times New Roman" w:cs="Times New Roman"/>
        </w:rPr>
        <w:t>, disponibile in https://www.funzionepubblica.gov.it/sites/funzionepubblica.gov.it/files/LG_pola_9_dicembre.pdf, pp. 14 ss.</w:t>
      </w:r>
    </w:p>
  </w:footnote>
  <w:footnote w:id="158">
    <w:p w14:paraId="744346B7"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G. Valotti – M. Barbieri – G. Giacomelli – L. Micacchi – F. Vidè</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 304.</w:t>
      </w:r>
    </w:p>
  </w:footnote>
  <w:footnote w:id="159">
    <w:p w14:paraId="53FCE0E7"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iCs/>
        </w:rPr>
        <w:t>Ivi</w:t>
      </w:r>
      <w:r w:rsidRPr="00AA56DE">
        <w:rPr>
          <w:rFonts w:ascii="Times New Roman" w:hAnsi="Times New Roman" w:cs="Times New Roman"/>
        </w:rPr>
        <w:t>, p. 305.</w:t>
      </w:r>
    </w:p>
  </w:footnote>
  <w:footnote w:id="160">
    <w:p w14:paraId="274CD2AA" w14:textId="77777777" w:rsidR="00175645" w:rsidRPr="00AA56DE" w:rsidRDefault="00175645"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Presidenza del Consiglio dei Ministri - Dipartimento della Funzione Pubblica</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 11.</w:t>
      </w:r>
    </w:p>
  </w:footnote>
  <w:footnote w:id="161">
    <w:p w14:paraId="21C9182D"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Fondamentale, per il riferimento all’importanza dell’organizzazione per processi, il contributo di </w:t>
      </w:r>
      <w:r w:rsidRPr="00AA56DE">
        <w:rPr>
          <w:rFonts w:ascii="Times New Roman" w:hAnsi="Times New Roman" w:cs="Times New Roman"/>
          <w:smallCaps/>
        </w:rPr>
        <w:t xml:space="preserve">Balducci M., </w:t>
      </w:r>
      <w:r w:rsidRPr="00AA56DE">
        <w:rPr>
          <w:rFonts w:ascii="Times New Roman" w:hAnsi="Times New Roman" w:cs="Times New Roman"/>
          <w:i/>
          <w:iCs/>
        </w:rPr>
        <w:t xml:space="preserve">Un gatto che si morde la coda ovvero le riforma della Pubblica Amministrazione. Analisi e suggerimenti, </w:t>
      </w:r>
      <w:r w:rsidRPr="00AA56DE">
        <w:rPr>
          <w:rFonts w:ascii="Times New Roman" w:hAnsi="Times New Roman" w:cs="Times New Roman"/>
        </w:rPr>
        <w:t>Guerini e associati, 2023, pp. 27 ss.</w:t>
      </w:r>
    </w:p>
  </w:footnote>
  <w:footnote w:id="162">
    <w:p w14:paraId="3AB13D28"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In tali termini, </w:t>
      </w:r>
      <w:r w:rsidRPr="00AA56DE">
        <w:rPr>
          <w:rFonts w:ascii="Times New Roman" w:hAnsi="Times New Roman" w:cs="Times New Roman"/>
          <w:smallCaps/>
        </w:rPr>
        <w:t>A. Lippi – M. Morisi</w:t>
      </w:r>
      <w:r w:rsidRPr="00AA56DE">
        <w:rPr>
          <w:rFonts w:ascii="Times New Roman" w:hAnsi="Times New Roman" w:cs="Times New Roman"/>
        </w:rPr>
        <w:t xml:space="preserve">, </w:t>
      </w:r>
      <w:r w:rsidRPr="00AA56DE">
        <w:rPr>
          <w:rFonts w:ascii="Times New Roman" w:hAnsi="Times New Roman" w:cs="Times New Roman"/>
          <w:i/>
        </w:rPr>
        <w:t>Scienza dell’amministrazione</w:t>
      </w:r>
      <w:r w:rsidRPr="00AA56DE">
        <w:rPr>
          <w:rFonts w:ascii="Times New Roman" w:hAnsi="Times New Roman" w:cs="Times New Roman"/>
        </w:rPr>
        <w:t>, Il Mulino, 2005, p. 91. Gli Autori illustrano ampiamente come il procedimento sia tradizionalmente osservato dalla prospettiva esterna della legge, superiore rispetto agli individui e agli uffici coinvolti nell’azione amministrativa.</w:t>
      </w:r>
    </w:p>
  </w:footnote>
  <w:footnote w:id="163">
    <w:p w14:paraId="3C83F3F5"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E. Leonardi</w:t>
      </w:r>
      <w:r w:rsidRPr="00AA56DE">
        <w:rPr>
          <w:rFonts w:ascii="Times New Roman" w:hAnsi="Times New Roman" w:cs="Times New Roman"/>
        </w:rPr>
        <w:t xml:space="preserve">, </w:t>
      </w:r>
      <w:r w:rsidRPr="00AA56DE">
        <w:rPr>
          <w:rFonts w:ascii="Times New Roman" w:hAnsi="Times New Roman" w:cs="Times New Roman"/>
          <w:i/>
        </w:rPr>
        <w:t>Disegnare i processi. Il metodo Zoom Up. La persona e il gruppo. La comunicazione interna</w:t>
      </w:r>
      <w:r w:rsidRPr="00AA56DE">
        <w:rPr>
          <w:rFonts w:ascii="Times New Roman" w:hAnsi="Times New Roman" w:cs="Times New Roman"/>
        </w:rPr>
        <w:t>, FrancoAngeli, 2012, p. 15. L’Autrice evidenzia, altresì, la distinzione tra funzione e processo: mentre la prima è un insieme di uomini e mezzi necessari per lo svolgimento di attività della stessa natura, i processi mettono in relazione funzioni e mezzi di aree diverse per conseguire obiettivi comuni (p. 17).</w:t>
      </w:r>
    </w:p>
  </w:footnote>
  <w:footnote w:id="164">
    <w:p w14:paraId="2D32E256"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A. Lippi – M. Morisi</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92.</w:t>
      </w:r>
    </w:p>
  </w:footnote>
  <w:footnote w:id="165">
    <w:p w14:paraId="1421B90A"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A. Gandolfi – F. Frigo-Mosca – R. Bortoletto</w:t>
      </w:r>
      <w:r w:rsidRPr="00AA56DE">
        <w:rPr>
          <w:rFonts w:ascii="Times New Roman" w:hAnsi="Times New Roman" w:cs="Times New Roman"/>
        </w:rPr>
        <w:t xml:space="preserve">, </w:t>
      </w:r>
      <w:r w:rsidRPr="00AA56DE">
        <w:rPr>
          <w:rFonts w:ascii="Times New Roman" w:hAnsi="Times New Roman" w:cs="Times New Roman"/>
          <w:i/>
        </w:rPr>
        <w:t>Il process mapping in pratica. Descrivere i processi in modo intuitivo. Individuare le lacune, inefficienze, doppioni</w:t>
      </w:r>
      <w:r w:rsidRPr="00AA56DE">
        <w:rPr>
          <w:rFonts w:ascii="Times New Roman" w:hAnsi="Times New Roman" w:cs="Times New Roman"/>
        </w:rPr>
        <w:t xml:space="preserve">. </w:t>
      </w:r>
      <w:r w:rsidRPr="00AA56DE">
        <w:rPr>
          <w:rFonts w:ascii="Times New Roman" w:hAnsi="Times New Roman" w:cs="Times New Roman"/>
          <w:i/>
        </w:rPr>
        <w:t>Formalizzare le procedure</w:t>
      </w:r>
      <w:r w:rsidRPr="00AA56DE">
        <w:rPr>
          <w:rFonts w:ascii="Times New Roman" w:hAnsi="Times New Roman" w:cs="Times New Roman"/>
        </w:rPr>
        <w:t>, FrancoAngeli, 2014, p. 14.</w:t>
      </w:r>
    </w:p>
  </w:footnote>
  <w:footnote w:id="166">
    <w:p w14:paraId="6CC46628"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A. Lippi – M. Morisi</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89.</w:t>
      </w:r>
    </w:p>
  </w:footnote>
  <w:footnote w:id="167">
    <w:p w14:paraId="45900F35" w14:textId="77777777" w:rsidR="00D73296" w:rsidRPr="00AA56DE" w:rsidRDefault="00D73296" w:rsidP="00AA56DE">
      <w:pPr>
        <w:pStyle w:val="Testonotaapidipagina"/>
        <w:jc w:val="both"/>
        <w:rPr>
          <w:rFonts w:ascii="Times New Roman" w:hAnsi="Times New Roman" w:cs="Times New Roman"/>
          <w:bCs/>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proofErr w:type="gramStart"/>
      <w:r w:rsidRPr="00AA56DE">
        <w:rPr>
          <w:rFonts w:ascii="Times New Roman" w:hAnsi="Times New Roman" w:cs="Times New Roman"/>
        </w:rPr>
        <w:t>E’</w:t>
      </w:r>
      <w:proofErr w:type="gramEnd"/>
      <w:r w:rsidRPr="00AA56DE">
        <w:rPr>
          <w:rFonts w:ascii="Times New Roman" w:hAnsi="Times New Roman" w:cs="Times New Roman"/>
        </w:rPr>
        <w:t xml:space="preserve"> interessante, peraltro, osservare come non tutti gli studiosi siano concordi circa la completa equiparazione tra P.A. e aziende private, in quanto la prima è preordinata al conseguimento di fini pubblici.</w:t>
      </w:r>
      <w:r w:rsidRPr="00AA56DE">
        <w:rPr>
          <w:rFonts w:ascii="Times New Roman" w:hAnsi="Times New Roman" w:cs="Times New Roman"/>
          <w:color w:val="FF0000"/>
        </w:rPr>
        <w:t xml:space="preserve"> </w:t>
      </w:r>
      <w:r w:rsidRPr="00AA56DE">
        <w:rPr>
          <w:rFonts w:ascii="Times New Roman" w:hAnsi="Times New Roman" w:cs="Times New Roman"/>
        </w:rPr>
        <w:t>Tale non completa equiparabilità rende la “traslazione” delle impostazioni teoriche e dei conseguenti modelli adottati nell’ambito privato particolarmente complessa e oggetto, dunque, di continui approfondimenti.</w:t>
      </w:r>
    </w:p>
  </w:footnote>
  <w:footnote w:id="168">
    <w:p w14:paraId="42A435B3"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A. Costanzo</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11. L’Autore evidenzia come tale antica concezione sia stata scardinata dalla teoria dei sistemi, la quale può “favorire la costituzione di gruppi di lavoro e di linee di processo responsabili di obiettivi consensualmente definiti o comunque condivisi” (p. 12).</w:t>
      </w:r>
    </w:p>
  </w:footnote>
  <w:footnote w:id="169">
    <w:p w14:paraId="30ACFEE0"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A. Lippi – M. Morisi</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48.</w:t>
      </w:r>
    </w:p>
  </w:footnote>
  <w:footnote w:id="170">
    <w:p w14:paraId="77BAB1F6"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F. Ferrarotti</w:t>
      </w:r>
      <w:r w:rsidRPr="00AA56DE">
        <w:rPr>
          <w:rFonts w:ascii="Times New Roman" w:hAnsi="Times New Roman" w:cs="Times New Roman"/>
        </w:rPr>
        <w:t xml:space="preserve">, </w:t>
      </w:r>
      <w:r w:rsidRPr="00AA56DE">
        <w:rPr>
          <w:rFonts w:ascii="Times New Roman" w:hAnsi="Times New Roman" w:cs="Times New Roman"/>
          <w:i/>
        </w:rPr>
        <w:t>Manuale di sociologia</w:t>
      </w:r>
      <w:r w:rsidRPr="00AA56DE">
        <w:rPr>
          <w:rFonts w:ascii="Times New Roman" w:hAnsi="Times New Roman" w:cs="Times New Roman"/>
        </w:rPr>
        <w:t>, Laterza editore, 1992, p. 66 ss.</w:t>
      </w:r>
    </w:p>
  </w:footnote>
  <w:footnote w:id="171">
    <w:p w14:paraId="504A1B5C"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M. </w:t>
      </w:r>
      <w:r w:rsidRPr="00AA56DE">
        <w:rPr>
          <w:rFonts w:ascii="Times New Roman" w:hAnsi="Times New Roman" w:cs="Times New Roman"/>
          <w:smallCaps/>
        </w:rPr>
        <w:t>Crozier</w:t>
      </w:r>
      <w:r w:rsidRPr="00AA56DE">
        <w:rPr>
          <w:rFonts w:ascii="Times New Roman" w:hAnsi="Times New Roman" w:cs="Times New Roman"/>
        </w:rPr>
        <w:t xml:space="preserve">, </w:t>
      </w:r>
      <w:r w:rsidRPr="00AA56DE">
        <w:rPr>
          <w:rFonts w:ascii="Times New Roman" w:hAnsi="Times New Roman" w:cs="Times New Roman"/>
          <w:i/>
        </w:rPr>
        <w:t>Il fenomeno burocratico</w:t>
      </w:r>
      <w:r w:rsidRPr="00AA56DE">
        <w:rPr>
          <w:rFonts w:ascii="Times New Roman" w:hAnsi="Times New Roman" w:cs="Times New Roman"/>
        </w:rPr>
        <w:t>, Milano, ETAS, 1969.</w:t>
      </w:r>
    </w:p>
  </w:footnote>
  <w:footnote w:id="172">
    <w:p w14:paraId="46086EF7"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Espressione di K. </w:t>
      </w:r>
      <w:r w:rsidRPr="00AA56DE">
        <w:rPr>
          <w:rFonts w:ascii="Times New Roman" w:hAnsi="Times New Roman" w:cs="Times New Roman"/>
          <w:smallCaps/>
        </w:rPr>
        <w:t>Weick</w:t>
      </w:r>
      <w:r w:rsidRPr="00AA56DE">
        <w:rPr>
          <w:rFonts w:ascii="Times New Roman" w:hAnsi="Times New Roman" w:cs="Times New Roman"/>
        </w:rPr>
        <w:t xml:space="preserve">, </w:t>
      </w:r>
      <w:r w:rsidRPr="00AA56DE">
        <w:rPr>
          <w:rFonts w:ascii="Times New Roman" w:hAnsi="Times New Roman" w:cs="Times New Roman"/>
          <w:i/>
        </w:rPr>
        <w:t>Educational organizations as loosely coupled systems</w:t>
      </w:r>
      <w:r w:rsidRPr="00AA56DE">
        <w:rPr>
          <w:rFonts w:ascii="Times New Roman" w:hAnsi="Times New Roman" w:cs="Times New Roman"/>
        </w:rPr>
        <w:t xml:space="preserve">, in </w:t>
      </w:r>
      <w:r w:rsidRPr="00AA56DE">
        <w:rPr>
          <w:rFonts w:ascii="Times New Roman" w:hAnsi="Times New Roman" w:cs="Times New Roman"/>
          <w:i/>
        </w:rPr>
        <w:t>Administrative science quarterly</w:t>
      </w:r>
      <w:r w:rsidRPr="00AA56DE">
        <w:rPr>
          <w:rFonts w:ascii="Times New Roman" w:hAnsi="Times New Roman" w:cs="Times New Roman"/>
        </w:rPr>
        <w:t>, 21, 1976, pp. 1-19.</w:t>
      </w:r>
    </w:p>
  </w:footnote>
  <w:footnote w:id="173">
    <w:p w14:paraId="4C95CBB4"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A. Lippi – M. Morisi</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58.</w:t>
      </w:r>
    </w:p>
  </w:footnote>
  <w:footnote w:id="174">
    <w:p w14:paraId="29B4874B"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La dottrina discute anche di “azienda corta”: </w:t>
      </w:r>
      <w:r w:rsidRPr="00AA56DE">
        <w:rPr>
          <w:rFonts w:ascii="Times New Roman" w:hAnsi="Times New Roman" w:cs="Times New Roman"/>
          <w:smallCaps/>
        </w:rPr>
        <w:t>A. Costanzo</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305.</w:t>
      </w:r>
    </w:p>
  </w:footnote>
  <w:footnote w:id="175">
    <w:p w14:paraId="0DB705FE"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R. </w:t>
      </w:r>
      <w:r w:rsidRPr="00AA56DE">
        <w:rPr>
          <w:rFonts w:ascii="Times New Roman" w:hAnsi="Times New Roman" w:cs="Times New Roman"/>
          <w:smallCaps/>
        </w:rPr>
        <w:t>Giovannetti</w:t>
      </w:r>
      <w:r w:rsidRPr="00AA56DE">
        <w:rPr>
          <w:rFonts w:ascii="Times New Roman" w:hAnsi="Times New Roman" w:cs="Times New Roman"/>
        </w:rPr>
        <w:t xml:space="preserve">, </w:t>
      </w:r>
      <w:r w:rsidRPr="00AA56DE">
        <w:rPr>
          <w:rFonts w:ascii="Times New Roman" w:hAnsi="Times New Roman" w:cs="Times New Roman"/>
          <w:i/>
        </w:rPr>
        <w:t>I profili professionali negli enti locali: un possibile modello di descrizione del lavoro</w:t>
      </w:r>
      <w:r w:rsidRPr="00AA56DE">
        <w:rPr>
          <w:rFonts w:ascii="Times New Roman" w:hAnsi="Times New Roman" w:cs="Times New Roman"/>
        </w:rPr>
        <w:t>, in https://net.cisl.it/~cisluniversita.lecce/FOV3-0008318B/FOV30006BCFA/Profili%20professionali%20e%20descrizione%20del%20lavoro.PDF?Plugin=Block, p. 2.</w:t>
      </w:r>
    </w:p>
  </w:footnote>
  <w:footnote w:id="176">
    <w:p w14:paraId="416D8829"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Corte di Cassazione, Sez. Lavoro, 12/02/2021, sent. n. 3666.</w:t>
      </w:r>
    </w:p>
  </w:footnote>
  <w:footnote w:id="177">
    <w:p w14:paraId="220D7127"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In https://www.aranagenzia.it/component/content/article/7662-funzioni-locali-emergenza-covid-19/10878-cfl95.html.</w:t>
      </w:r>
    </w:p>
  </w:footnote>
  <w:footnote w:id="178">
    <w:p w14:paraId="78BA99FD"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smallCaps/>
        </w:rPr>
        <w:t>L. Cinquini – A. Quagli</w:t>
      </w:r>
      <w:r w:rsidRPr="00AA56DE">
        <w:rPr>
          <w:rFonts w:ascii="Times New Roman" w:hAnsi="Times New Roman" w:cs="Times New Roman"/>
        </w:rPr>
        <w:t xml:space="preserve">, </w:t>
      </w:r>
      <w:r w:rsidRPr="00AA56DE">
        <w:rPr>
          <w:rFonts w:ascii="Times New Roman" w:hAnsi="Times New Roman" w:cs="Times New Roman"/>
          <w:i/>
        </w:rPr>
        <w:t>Organizzazione snella e apprendimento</w:t>
      </w:r>
      <w:r w:rsidRPr="00AA56DE">
        <w:rPr>
          <w:rFonts w:ascii="Times New Roman" w:hAnsi="Times New Roman" w:cs="Times New Roman"/>
        </w:rPr>
        <w:t xml:space="preserve">, in A. </w:t>
      </w:r>
      <w:r w:rsidRPr="00AA56DE">
        <w:rPr>
          <w:rFonts w:ascii="Times New Roman" w:hAnsi="Times New Roman" w:cs="Times New Roman"/>
          <w:smallCaps/>
        </w:rPr>
        <w:t>Costanzo</w:t>
      </w:r>
      <w:r w:rsidRPr="00AA56DE">
        <w:rPr>
          <w:rFonts w:ascii="Times New Roman" w:hAnsi="Times New Roman" w:cs="Times New Roman"/>
        </w:rPr>
        <w:t xml:space="preserve">, </w:t>
      </w:r>
      <w:r w:rsidRPr="00AA56DE">
        <w:rPr>
          <w:rFonts w:ascii="Times New Roman" w:hAnsi="Times New Roman" w:cs="Times New Roman"/>
          <w:i/>
        </w:rPr>
        <w:t>op. cit</w:t>
      </w:r>
      <w:r w:rsidRPr="00AA56DE">
        <w:rPr>
          <w:rFonts w:ascii="Times New Roman" w:hAnsi="Times New Roman" w:cs="Times New Roman"/>
        </w:rPr>
        <w:t>., p. 205.</w:t>
      </w:r>
    </w:p>
  </w:footnote>
  <w:footnote w:id="179">
    <w:p w14:paraId="4016A975"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w:t>
      </w:r>
      <w:r w:rsidRPr="00AA56DE">
        <w:rPr>
          <w:rFonts w:ascii="Times New Roman" w:hAnsi="Times New Roman" w:cs="Times New Roman"/>
          <w:i/>
        </w:rPr>
        <w:t>Ibidem</w:t>
      </w:r>
      <w:r w:rsidRPr="00AA56DE">
        <w:rPr>
          <w:rFonts w:ascii="Times New Roman" w:hAnsi="Times New Roman" w:cs="Times New Roman"/>
        </w:rPr>
        <w:t>.</w:t>
      </w:r>
    </w:p>
  </w:footnote>
  <w:footnote w:id="180">
    <w:p w14:paraId="406FC279"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Negli enti locali di piccole dimensioni, invece, ci si dovrebbe riferire ai responsabili di servizio, coordinati dal segretario comunale. </w:t>
      </w:r>
    </w:p>
  </w:footnote>
  <w:footnote w:id="181">
    <w:p w14:paraId="1A84750D"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S. </w:t>
      </w:r>
      <w:r w:rsidRPr="00AA56DE">
        <w:rPr>
          <w:rFonts w:ascii="Times New Roman" w:hAnsi="Times New Roman" w:cs="Times New Roman"/>
          <w:smallCaps/>
        </w:rPr>
        <w:t>Frascheri</w:t>
      </w:r>
      <w:r w:rsidRPr="00AA56DE">
        <w:rPr>
          <w:rFonts w:ascii="Times New Roman" w:hAnsi="Times New Roman" w:cs="Times New Roman"/>
        </w:rPr>
        <w:t xml:space="preserve">, </w:t>
      </w:r>
      <w:r w:rsidRPr="00AA56DE">
        <w:rPr>
          <w:rFonts w:ascii="Times New Roman" w:hAnsi="Times New Roman" w:cs="Times New Roman"/>
          <w:bCs/>
          <w:i/>
          <w:iCs/>
        </w:rPr>
        <w:t xml:space="preserve">Business Process Reengineering, </w:t>
      </w:r>
      <w:r w:rsidRPr="00AA56DE">
        <w:rPr>
          <w:rFonts w:ascii="Times New Roman" w:hAnsi="Times New Roman" w:cs="Times New Roman"/>
        </w:rPr>
        <w:t>Una guida pratica per mappare e reingegnerizzare i processi aziendali, FrancoAngeli, 2020.</w:t>
      </w:r>
    </w:p>
  </w:footnote>
  <w:footnote w:id="182">
    <w:p w14:paraId="668B2613"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G. </w:t>
      </w:r>
      <w:r w:rsidRPr="00AA56DE">
        <w:rPr>
          <w:rFonts w:ascii="Times New Roman" w:hAnsi="Times New Roman" w:cs="Times New Roman"/>
          <w:smallCaps/>
        </w:rPr>
        <w:t>Lazzi</w:t>
      </w:r>
      <w:r w:rsidRPr="00AA56DE">
        <w:rPr>
          <w:rFonts w:ascii="Times New Roman" w:hAnsi="Times New Roman" w:cs="Times New Roman"/>
        </w:rPr>
        <w:t xml:space="preserve">, </w:t>
      </w:r>
      <w:r w:rsidRPr="00AA56DE">
        <w:rPr>
          <w:rFonts w:ascii="Times New Roman" w:hAnsi="Times New Roman" w:cs="Times New Roman"/>
          <w:i/>
        </w:rPr>
        <w:t>Reingegnerizzazione dei processi, Contributo al libro "Sistemi Informativi per la Pubblica Amministrazione</w:t>
      </w:r>
      <w:r w:rsidRPr="00AA56DE">
        <w:rPr>
          <w:rFonts w:ascii="Times New Roman" w:hAnsi="Times New Roman" w:cs="Times New Roman"/>
        </w:rPr>
        <w:t>: tecnologie, metodologie, studi di caso", 1999, disponibile in https://www.unica.it/UserFiles/File/Direzioni/Diruma/progetto_aurora/Lazzi.pdf, pp. 19-20.</w:t>
      </w:r>
    </w:p>
  </w:footnote>
  <w:footnote w:id="183">
    <w:p w14:paraId="03408325"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A. </w:t>
      </w:r>
      <w:r w:rsidRPr="00AA56DE">
        <w:rPr>
          <w:rFonts w:ascii="Times New Roman" w:hAnsi="Times New Roman" w:cs="Times New Roman"/>
          <w:smallCaps/>
        </w:rPr>
        <w:t>Costanzo</w:t>
      </w:r>
      <w:r w:rsidRPr="00AA56DE">
        <w:rPr>
          <w:rFonts w:ascii="Times New Roman" w:hAnsi="Times New Roman" w:cs="Times New Roman"/>
        </w:rPr>
        <w:t xml:space="preserve">, </w:t>
      </w:r>
      <w:r w:rsidRPr="00AA56DE">
        <w:rPr>
          <w:rFonts w:ascii="Times New Roman" w:hAnsi="Times New Roman" w:cs="Times New Roman"/>
          <w:i/>
        </w:rPr>
        <w:t>op. cit., p</w:t>
      </w:r>
      <w:r w:rsidRPr="00AA56DE">
        <w:rPr>
          <w:rFonts w:ascii="Times New Roman" w:hAnsi="Times New Roman" w:cs="Times New Roman"/>
        </w:rPr>
        <w:t>. 310.</w:t>
      </w:r>
    </w:p>
  </w:footnote>
  <w:footnote w:id="184">
    <w:p w14:paraId="5CF3C68E" w14:textId="77777777" w:rsidR="00D73296" w:rsidRPr="00AA56DE" w:rsidRDefault="00D73296" w:rsidP="00AA56DE">
      <w:pPr>
        <w:pStyle w:val="Testonotaapidipagina"/>
        <w:jc w:val="both"/>
        <w:rPr>
          <w:rFonts w:ascii="Times New Roman" w:hAnsi="Times New Roman" w:cs="Times New Roman"/>
        </w:rPr>
      </w:pPr>
      <w:r w:rsidRPr="00AA56DE">
        <w:rPr>
          <w:rStyle w:val="Rimandonotaapidipagina"/>
          <w:rFonts w:ascii="Times New Roman" w:hAnsi="Times New Roman" w:cs="Times New Roman"/>
        </w:rPr>
        <w:footnoteRef/>
      </w:r>
      <w:r w:rsidRPr="00AA56DE">
        <w:rPr>
          <w:rFonts w:ascii="Times New Roman" w:hAnsi="Times New Roman" w:cs="Times New Roman"/>
        </w:rPr>
        <w:t xml:space="preserve"> R. </w:t>
      </w:r>
      <w:r w:rsidRPr="00AA56DE">
        <w:rPr>
          <w:rFonts w:ascii="Times New Roman" w:hAnsi="Times New Roman" w:cs="Times New Roman"/>
          <w:smallCaps/>
        </w:rPr>
        <w:t>Saporito</w:t>
      </w:r>
      <w:r w:rsidRPr="00AA56DE">
        <w:rPr>
          <w:rFonts w:ascii="Times New Roman" w:hAnsi="Times New Roman" w:cs="Times New Roman"/>
        </w:rPr>
        <w:t xml:space="preserve">, </w:t>
      </w:r>
      <w:r w:rsidRPr="00AA56DE">
        <w:rPr>
          <w:rFonts w:ascii="Times New Roman" w:hAnsi="Times New Roman" w:cs="Times New Roman"/>
          <w:i/>
          <w:iCs/>
        </w:rPr>
        <w:t>op. cit</w:t>
      </w:r>
      <w:r w:rsidRPr="00AA56DE">
        <w:rPr>
          <w:rFonts w:ascii="Times New Roman" w:hAnsi="Times New Roman" w:cs="Times New Roman"/>
        </w:rPr>
        <w:t>., pp. 136 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F5C9D"/>
    <w:multiLevelType w:val="hybridMultilevel"/>
    <w:tmpl w:val="101EA558"/>
    <w:lvl w:ilvl="0" w:tplc="ABFC5BCE">
      <w:start w:val="1"/>
      <w:numFmt w:val="bullet"/>
      <w:lvlText w:val="-"/>
      <w:lvlJc w:val="left"/>
      <w:pPr>
        <w:ind w:left="720" w:hanging="360"/>
      </w:pPr>
      <w:rPr>
        <w:rFonts w:ascii="Arial" w:hAnsi="Arial" w:hint="default"/>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1B163E"/>
    <w:multiLevelType w:val="hybridMultilevel"/>
    <w:tmpl w:val="3ABCA21A"/>
    <w:lvl w:ilvl="0" w:tplc="D0B436FE">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AB373F"/>
    <w:multiLevelType w:val="multilevel"/>
    <w:tmpl w:val="3C98E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AA4B70"/>
    <w:multiLevelType w:val="multilevel"/>
    <w:tmpl w:val="770C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6488032">
    <w:abstractNumId w:val="1"/>
  </w:num>
  <w:num w:numId="2" w16cid:durableId="689796535">
    <w:abstractNumId w:val="0"/>
  </w:num>
  <w:num w:numId="3" w16cid:durableId="336230933">
    <w:abstractNumId w:val="3"/>
  </w:num>
  <w:num w:numId="4" w16cid:durableId="1112819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DBE"/>
    <w:rsid w:val="000126ED"/>
    <w:rsid w:val="00055676"/>
    <w:rsid w:val="00075EDA"/>
    <w:rsid w:val="00087B0C"/>
    <w:rsid w:val="00107DF6"/>
    <w:rsid w:val="00175645"/>
    <w:rsid w:val="00194B94"/>
    <w:rsid w:val="001977BD"/>
    <w:rsid w:val="001A18B1"/>
    <w:rsid w:val="001D2B8F"/>
    <w:rsid w:val="001F5407"/>
    <w:rsid w:val="0020385A"/>
    <w:rsid w:val="00233D8D"/>
    <w:rsid w:val="00256DDD"/>
    <w:rsid w:val="002666C7"/>
    <w:rsid w:val="00280947"/>
    <w:rsid w:val="002A00FF"/>
    <w:rsid w:val="002A78A8"/>
    <w:rsid w:val="002B74F8"/>
    <w:rsid w:val="002E6ECF"/>
    <w:rsid w:val="002F18AD"/>
    <w:rsid w:val="003139E4"/>
    <w:rsid w:val="00322AFE"/>
    <w:rsid w:val="00343078"/>
    <w:rsid w:val="004014DB"/>
    <w:rsid w:val="004020CC"/>
    <w:rsid w:val="00423196"/>
    <w:rsid w:val="004840AA"/>
    <w:rsid w:val="004A2093"/>
    <w:rsid w:val="004B7EA5"/>
    <w:rsid w:val="004F5325"/>
    <w:rsid w:val="00505811"/>
    <w:rsid w:val="0050700C"/>
    <w:rsid w:val="00544BAD"/>
    <w:rsid w:val="00556285"/>
    <w:rsid w:val="00562A37"/>
    <w:rsid w:val="005632A2"/>
    <w:rsid w:val="00581B63"/>
    <w:rsid w:val="005864B2"/>
    <w:rsid w:val="005A7574"/>
    <w:rsid w:val="005F4D20"/>
    <w:rsid w:val="005F6206"/>
    <w:rsid w:val="006106E5"/>
    <w:rsid w:val="00623891"/>
    <w:rsid w:val="00660616"/>
    <w:rsid w:val="006610C1"/>
    <w:rsid w:val="006639E6"/>
    <w:rsid w:val="00686F7F"/>
    <w:rsid w:val="006D4A08"/>
    <w:rsid w:val="006F1657"/>
    <w:rsid w:val="0070377E"/>
    <w:rsid w:val="00721717"/>
    <w:rsid w:val="00721EEA"/>
    <w:rsid w:val="00725289"/>
    <w:rsid w:val="007405ED"/>
    <w:rsid w:val="00777007"/>
    <w:rsid w:val="0079057F"/>
    <w:rsid w:val="007A02E0"/>
    <w:rsid w:val="007B1FF9"/>
    <w:rsid w:val="007C66C9"/>
    <w:rsid w:val="007D19EE"/>
    <w:rsid w:val="007D60CE"/>
    <w:rsid w:val="007E27F9"/>
    <w:rsid w:val="007E5055"/>
    <w:rsid w:val="007F2449"/>
    <w:rsid w:val="007F6C0C"/>
    <w:rsid w:val="00802027"/>
    <w:rsid w:val="00847DBE"/>
    <w:rsid w:val="008D1DEF"/>
    <w:rsid w:val="008F3B00"/>
    <w:rsid w:val="009101B1"/>
    <w:rsid w:val="00920A22"/>
    <w:rsid w:val="009223F9"/>
    <w:rsid w:val="00931D4A"/>
    <w:rsid w:val="00985A8F"/>
    <w:rsid w:val="009B4A4F"/>
    <w:rsid w:val="009C47E0"/>
    <w:rsid w:val="00A007CB"/>
    <w:rsid w:val="00A37491"/>
    <w:rsid w:val="00AA1A8E"/>
    <w:rsid w:val="00AA218A"/>
    <w:rsid w:val="00AA56DE"/>
    <w:rsid w:val="00AB0DAA"/>
    <w:rsid w:val="00AB439E"/>
    <w:rsid w:val="00AC01B2"/>
    <w:rsid w:val="00AE04A2"/>
    <w:rsid w:val="00B07F86"/>
    <w:rsid w:val="00B410F1"/>
    <w:rsid w:val="00B743E7"/>
    <w:rsid w:val="00B8035A"/>
    <w:rsid w:val="00BA7D12"/>
    <w:rsid w:val="00BD3BAB"/>
    <w:rsid w:val="00BF73E5"/>
    <w:rsid w:val="00C1440E"/>
    <w:rsid w:val="00C14D55"/>
    <w:rsid w:val="00C21276"/>
    <w:rsid w:val="00C40A32"/>
    <w:rsid w:val="00C670E5"/>
    <w:rsid w:val="00C8276D"/>
    <w:rsid w:val="00C9235A"/>
    <w:rsid w:val="00D52AF2"/>
    <w:rsid w:val="00D601A6"/>
    <w:rsid w:val="00D6571A"/>
    <w:rsid w:val="00D73296"/>
    <w:rsid w:val="00D81BFD"/>
    <w:rsid w:val="00D86A22"/>
    <w:rsid w:val="00D95B2C"/>
    <w:rsid w:val="00DC1906"/>
    <w:rsid w:val="00DC6F6E"/>
    <w:rsid w:val="00DD1F2F"/>
    <w:rsid w:val="00DF04D1"/>
    <w:rsid w:val="00E444F7"/>
    <w:rsid w:val="00E740C2"/>
    <w:rsid w:val="00E90593"/>
    <w:rsid w:val="00E97068"/>
    <w:rsid w:val="00EA0E4F"/>
    <w:rsid w:val="00EA4C6D"/>
    <w:rsid w:val="00ED42DC"/>
    <w:rsid w:val="00EE457A"/>
    <w:rsid w:val="00F22677"/>
    <w:rsid w:val="00F75AF7"/>
    <w:rsid w:val="00F77FEF"/>
    <w:rsid w:val="00F943DF"/>
    <w:rsid w:val="00FB3D32"/>
    <w:rsid w:val="00FC21A6"/>
    <w:rsid w:val="00FD0875"/>
    <w:rsid w:val="00FF52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9837"/>
  <w15:chartTrackingRefBased/>
  <w15:docId w15:val="{D9893C1B-C0F0-4CBB-88A2-78ACF8BFD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7DBE"/>
    <w:rPr>
      <w:kern w:val="0"/>
      <w14:ligatures w14:val="none"/>
    </w:rPr>
  </w:style>
  <w:style w:type="paragraph" w:styleId="Titolo1">
    <w:name w:val="heading 1"/>
    <w:basedOn w:val="Normale"/>
    <w:next w:val="Normale"/>
    <w:link w:val="Titolo1Carattere"/>
    <w:uiPriority w:val="9"/>
    <w:qFormat/>
    <w:rsid w:val="00847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47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47DB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47DB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47D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47DB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47DB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47DB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47D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47DB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47DB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47DB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47DB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47D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47D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47D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47D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47D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47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7D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47DB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47D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47D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47DBE"/>
    <w:rPr>
      <w:i/>
      <w:iCs/>
      <w:color w:val="404040" w:themeColor="text1" w:themeTint="BF"/>
    </w:rPr>
  </w:style>
  <w:style w:type="paragraph" w:styleId="Paragrafoelenco">
    <w:name w:val="List Paragraph"/>
    <w:basedOn w:val="Normale"/>
    <w:uiPriority w:val="34"/>
    <w:qFormat/>
    <w:rsid w:val="00847DBE"/>
    <w:pPr>
      <w:ind w:left="720"/>
      <w:contextualSpacing/>
    </w:pPr>
  </w:style>
  <w:style w:type="character" w:styleId="Enfasiintensa">
    <w:name w:val="Intense Emphasis"/>
    <w:basedOn w:val="Carpredefinitoparagrafo"/>
    <w:uiPriority w:val="21"/>
    <w:qFormat/>
    <w:rsid w:val="00847DBE"/>
    <w:rPr>
      <w:i/>
      <w:iCs/>
      <w:color w:val="0F4761" w:themeColor="accent1" w:themeShade="BF"/>
    </w:rPr>
  </w:style>
  <w:style w:type="paragraph" w:styleId="Citazioneintensa">
    <w:name w:val="Intense Quote"/>
    <w:basedOn w:val="Normale"/>
    <w:next w:val="Normale"/>
    <w:link w:val="CitazioneintensaCarattere"/>
    <w:uiPriority w:val="30"/>
    <w:qFormat/>
    <w:rsid w:val="00847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47DBE"/>
    <w:rPr>
      <w:i/>
      <w:iCs/>
      <w:color w:val="0F4761" w:themeColor="accent1" w:themeShade="BF"/>
    </w:rPr>
  </w:style>
  <w:style w:type="character" w:styleId="Riferimentointenso">
    <w:name w:val="Intense Reference"/>
    <w:basedOn w:val="Carpredefinitoparagrafo"/>
    <w:uiPriority w:val="32"/>
    <w:qFormat/>
    <w:rsid w:val="00847DBE"/>
    <w:rPr>
      <w:b/>
      <w:bCs/>
      <w:smallCaps/>
      <w:color w:val="0F4761" w:themeColor="accent1" w:themeShade="BF"/>
      <w:spacing w:val="5"/>
    </w:rPr>
  </w:style>
  <w:style w:type="character" w:styleId="Collegamentoipertestuale">
    <w:name w:val="Hyperlink"/>
    <w:basedOn w:val="Carpredefinitoparagrafo"/>
    <w:uiPriority w:val="99"/>
    <w:unhideWhenUsed/>
    <w:rsid w:val="00847DBE"/>
    <w:rPr>
      <w:color w:val="467886" w:themeColor="hyperlink"/>
      <w:u w:val="single"/>
    </w:rPr>
  </w:style>
  <w:style w:type="paragraph" w:styleId="Testonotaapidipagina">
    <w:name w:val="footnote text"/>
    <w:basedOn w:val="Normale"/>
    <w:link w:val="TestonotaapidipaginaCarattere"/>
    <w:uiPriority w:val="99"/>
    <w:unhideWhenUsed/>
    <w:rsid w:val="00FD087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FD0875"/>
    <w:rPr>
      <w:kern w:val="0"/>
      <w:sz w:val="20"/>
      <w:szCs w:val="20"/>
      <w14:ligatures w14:val="none"/>
    </w:rPr>
  </w:style>
  <w:style w:type="character" w:styleId="Rimandonotaapidipagina">
    <w:name w:val="footnote reference"/>
    <w:basedOn w:val="Carpredefinitoparagrafo"/>
    <w:uiPriority w:val="99"/>
    <w:semiHidden/>
    <w:unhideWhenUsed/>
    <w:rsid w:val="00FD0875"/>
    <w:rPr>
      <w:vertAlign w:val="superscript"/>
    </w:rPr>
  </w:style>
  <w:style w:type="character" w:styleId="Menzionenonrisolta">
    <w:name w:val="Unresolved Mention"/>
    <w:basedOn w:val="Carpredefinitoparagrafo"/>
    <w:uiPriority w:val="99"/>
    <w:semiHidden/>
    <w:unhideWhenUsed/>
    <w:rsid w:val="00D65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159536">
      <w:bodyDiv w:val="1"/>
      <w:marLeft w:val="0"/>
      <w:marRight w:val="0"/>
      <w:marTop w:val="0"/>
      <w:marBottom w:val="0"/>
      <w:divBdr>
        <w:top w:val="none" w:sz="0" w:space="0" w:color="auto"/>
        <w:left w:val="none" w:sz="0" w:space="0" w:color="auto"/>
        <w:bottom w:val="none" w:sz="0" w:space="0" w:color="auto"/>
        <w:right w:val="none" w:sz="0" w:space="0" w:color="auto"/>
      </w:divBdr>
    </w:div>
    <w:div w:id="211000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orrossa.com/it/resources/an/591646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6AAB2-832D-477D-B6AB-24045E62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Pages>
  <Words>15188</Words>
  <Characters>86574</Characters>
  <Application>Microsoft Office Word</Application>
  <DocSecurity>0</DocSecurity>
  <Lines>721</Lines>
  <Paragraphs>203</Paragraphs>
  <ScaleCrop>false</ScaleCrop>
  <Company/>
  <LinksUpToDate>false</LinksUpToDate>
  <CharactersWithSpaces>101559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Ripepi Antonino</dc:creator>
  <cp:keywords/>
  <dc:description/>
  <cp:lastModifiedBy>FAILLA GIACOMOBONO Paolo</cp:lastModifiedBy>
  <cp:revision>4</cp:revision>
  <dcterms:created xsi:type="dcterms:W3CDTF">2025-10-08T10:54:00Z</dcterms:created>
  <dcterms:modified xsi:type="dcterms:W3CDTF">2025-10-13T07:28:00Z</dcterms:modified>
</cp:coreProperties>
</file>