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A2C6C" w14:textId="784C1739" w:rsidR="00741827" w:rsidRPr="00B77149" w:rsidRDefault="004A3345" w:rsidP="00815891">
      <w:pPr>
        <w:spacing w:after="0" w:line="276" w:lineRule="auto"/>
        <w:jc w:val="center"/>
        <w:rPr>
          <w:rStyle w:val="Enfasidelicata"/>
          <w:rFonts w:ascii="Times New Roman" w:hAnsi="Times New Roman" w:cs="Times New Roman"/>
          <w:b/>
          <w:i w:val="0"/>
          <w:iCs w:val="0"/>
          <w:color w:val="auto"/>
          <w:sz w:val="32"/>
          <w:szCs w:val="28"/>
        </w:rPr>
      </w:pPr>
      <w:r w:rsidRPr="00B77149">
        <w:rPr>
          <w:rFonts w:ascii="Times New Roman" w:hAnsi="Times New Roman" w:cs="Times New Roman"/>
          <w:b/>
          <w:sz w:val="32"/>
          <w:szCs w:val="28"/>
        </w:rPr>
        <w:t>Intorno all’autonomia scientifica del</w:t>
      </w:r>
      <w:r w:rsidR="00B81100" w:rsidRPr="00B77149">
        <w:rPr>
          <w:rFonts w:ascii="Times New Roman" w:hAnsi="Times New Roman" w:cs="Times New Roman"/>
          <w:b/>
          <w:sz w:val="32"/>
          <w:szCs w:val="28"/>
        </w:rPr>
        <w:t xml:space="preserve"> diritto dell</w:t>
      </w:r>
      <w:r w:rsidRPr="00B77149">
        <w:rPr>
          <w:rFonts w:ascii="Times New Roman" w:hAnsi="Times New Roman" w:cs="Times New Roman"/>
          <w:b/>
          <w:sz w:val="32"/>
          <w:szCs w:val="28"/>
        </w:rPr>
        <w:t>’energia</w:t>
      </w:r>
      <w:r w:rsidR="007C1252" w:rsidRPr="00B77149">
        <w:rPr>
          <w:rStyle w:val="Rimandonotaapidipagina"/>
          <w:rFonts w:ascii="Times New Roman" w:hAnsi="Times New Roman" w:cs="Times New Roman"/>
          <w:b/>
          <w:sz w:val="32"/>
          <w:szCs w:val="28"/>
        </w:rPr>
        <w:footnoteReference w:customMarkFollows="1" w:id="1"/>
        <w:t>*</w:t>
      </w:r>
    </w:p>
    <w:p w14:paraId="6CF4C734" w14:textId="77777777" w:rsidR="00FC622E" w:rsidRPr="00B77149" w:rsidRDefault="00FC622E" w:rsidP="00741827">
      <w:pPr>
        <w:spacing w:after="0" w:line="276" w:lineRule="auto"/>
        <w:jc w:val="both"/>
        <w:rPr>
          <w:rFonts w:ascii="Times New Roman" w:hAnsi="Times New Roman" w:cs="Times New Roman"/>
          <w:b/>
          <w:sz w:val="28"/>
          <w:szCs w:val="24"/>
        </w:rPr>
      </w:pPr>
    </w:p>
    <w:p w14:paraId="151F0DDF" w14:textId="77777777" w:rsidR="001575E0" w:rsidRPr="00B77149" w:rsidRDefault="001575E0" w:rsidP="00741827">
      <w:pPr>
        <w:spacing w:after="0" w:line="276" w:lineRule="auto"/>
        <w:jc w:val="both"/>
        <w:rPr>
          <w:rFonts w:ascii="Times New Roman" w:hAnsi="Times New Roman" w:cs="Times New Roman"/>
          <w:b/>
          <w:sz w:val="28"/>
          <w:szCs w:val="24"/>
        </w:rPr>
      </w:pPr>
    </w:p>
    <w:p w14:paraId="1BCBC5ED" w14:textId="16225F6B" w:rsidR="004D2D3D" w:rsidRPr="00B77149" w:rsidRDefault="008D70EB" w:rsidP="001575E0">
      <w:pPr>
        <w:spacing w:after="0" w:line="240" w:lineRule="auto"/>
        <w:jc w:val="both"/>
        <w:rPr>
          <w:rFonts w:ascii="Times New Roman" w:hAnsi="Times New Roman" w:cs="Times New Roman"/>
          <w:b/>
          <w:sz w:val="28"/>
          <w:szCs w:val="24"/>
        </w:rPr>
      </w:pPr>
      <w:r w:rsidRPr="00B77149">
        <w:rPr>
          <w:rFonts w:ascii="Times New Roman" w:hAnsi="Times New Roman" w:cs="Times New Roman"/>
          <w:b/>
          <w:sz w:val="28"/>
          <w:szCs w:val="24"/>
        </w:rPr>
        <w:t>1.</w:t>
      </w:r>
      <w:r w:rsidR="001575E0" w:rsidRPr="00B77149">
        <w:rPr>
          <w:rFonts w:ascii="Times New Roman" w:hAnsi="Times New Roman" w:cs="Times New Roman"/>
          <w:b/>
          <w:sz w:val="28"/>
          <w:szCs w:val="24"/>
        </w:rPr>
        <w:t xml:space="preserve"> </w:t>
      </w:r>
      <w:r w:rsidR="004D2D3D" w:rsidRPr="00B77149">
        <w:rPr>
          <w:rFonts w:ascii="Times New Roman" w:hAnsi="Times New Roman" w:cs="Times New Roman"/>
          <w:b/>
          <w:sz w:val="28"/>
          <w:szCs w:val="24"/>
        </w:rPr>
        <w:t>La crescente importanza dell’energia e le parti speciali nell’esperienza giuridica</w:t>
      </w:r>
    </w:p>
    <w:p w14:paraId="6B237FE7" w14:textId="77777777" w:rsidR="004D2D3D" w:rsidRPr="00B77149" w:rsidRDefault="004D2D3D" w:rsidP="001575E0">
      <w:pPr>
        <w:spacing w:after="0" w:line="240" w:lineRule="auto"/>
        <w:jc w:val="both"/>
        <w:rPr>
          <w:rFonts w:ascii="Times New Roman" w:hAnsi="Times New Roman" w:cs="Times New Roman"/>
          <w:sz w:val="28"/>
          <w:szCs w:val="24"/>
        </w:rPr>
      </w:pPr>
    </w:p>
    <w:p w14:paraId="058B011E" w14:textId="417CC878" w:rsidR="00CF45A6" w:rsidRPr="00B77149" w:rsidRDefault="00FC622E"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Il dibattito sull’energia va assumendo proporzioni sempre più larghe e profonde sia presso la dottrina sia presso gli operatori del settore, che</w:t>
      </w:r>
      <w:r w:rsidR="00D66FF4" w:rsidRPr="00B77149">
        <w:rPr>
          <w:rFonts w:ascii="Times New Roman" w:hAnsi="Times New Roman" w:cs="Times New Roman"/>
          <w:sz w:val="28"/>
          <w:szCs w:val="24"/>
        </w:rPr>
        <w:t xml:space="preserve"> sono costretti ad invocare</w:t>
      </w:r>
      <w:r w:rsidRPr="00B77149">
        <w:rPr>
          <w:rFonts w:ascii="Times New Roman" w:hAnsi="Times New Roman" w:cs="Times New Roman"/>
          <w:sz w:val="28"/>
          <w:szCs w:val="24"/>
        </w:rPr>
        <w:t xml:space="preserve"> </w:t>
      </w:r>
      <w:r w:rsidR="00C42C3B" w:rsidRPr="00B77149">
        <w:rPr>
          <w:rFonts w:ascii="Times New Roman" w:hAnsi="Times New Roman" w:cs="Times New Roman"/>
          <w:sz w:val="28"/>
          <w:szCs w:val="24"/>
        </w:rPr>
        <w:t xml:space="preserve">con crescente frequenza </w:t>
      </w:r>
      <w:r w:rsidRPr="00B77149">
        <w:rPr>
          <w:rFonts w:ascii="Times New Roman" w:hAnsi="Times New Roman" w:cs="Times New Roman"/>
          <w:sz w:val="28"/>
          <w:szCs w:val="24"/>
        </w:rPr>
        <w:t>l’intervento della giurisprudenza. La convegnistica si occupa</w:t>
      </w:r>
      <w:r w:rsidR="00D66FF4" w:rsidRPr="00B77149">
        <w:rPr>
          <w:rFonts w:ascii="Times New Roman" w:hAnsi="Times New Roman" w:cs="Times New Roman"/>
          <w:sz w:val="28"/>
          <w:szCs w:val="24"/>
        </w:rPr>
        <w:t xml:space="preserve"> giustamente e</w:t>
      </w:r>
      <w:r w:rsidRPr="00B77149">
        <w:rPr>
          <w:rFonts w:ascii="Times New Roman" w:hAnsi="Times New Roman" w:cs="Times New Roman"/>
          <w:sz w:val="28"/>
          <w:szCs w:val="24"/>
        </w:rPr>
        <w:t xml:space="preserve"> per lo più di temi specifici, an</w:t>
      </w:r>
      <w:r w:rsidR="005207C9" w:rsidRPr="00B77149">
        <w:rPr>
          <w:rFonts w:ascii="Times New Roman" w:hAnsi="Times New Roman" w:cs="Times New Roman"/>
          <w:sz w:val="28"/>
          <w:szCs w:val="24"/>
        </w:rPr>
        <w:t>che se di grande interesse, quali</w:t>
      </w:r>
      <w:r w:rsidRPr="00B77149">
        <w:rPr>
          <w:rFonts w:ascii="Times New Roman" w:hAnsi="Times New Roman" w:cs="Times New Roman"/>
          <w:sz w:val="28"/>
          <w:szCs w:val="24"/>
        </w:rPr>
        <w:t xml:space="preserve"> le energie alternative come antidoto alle emergenze climatiche</w:t>
      </w:r>
      <w:r w:rsidR="00CF45A6" w:rsidRPr="00B77149">
        <w:rPr>
          <w:rFonts w:ascii="Times New Roman" w:hAnsi="Times New Roman" w:cs="Times New Roman"/>
          <w:sz w:val="28"/>
          <w:szCs w:val="24"/>
        </w:rPr>
        <w:t xml:space="preserve"> e ai danni ambientali</w:t>
      </w:r>
      <w:r w:rsidR="00C70677" w:rsidRPr="00B77149">
        <w:rPr>
          <w:rFonts w:ascii="Times New Roman" w:hAnsi="Times New Roman" w:cs="Times New Roman"/>
          <w:sz w:val="28"/>
          <w:szCs w:val="24"/>
        </w:rPr>
        <w:t>; in particolare le CER (Comunità energetiche alternative)</w:t>
      </w:r>
      <w:r w:rsidR="0055158D" w:rsidRPr="00B77149">
        <w:rPr>
          <w:rStyle w:val="Rimandonotaapidipagina"/>
          <w:rFonts w:ascii="Times New Roman" w:hAnsi="Times New Roman" w:cs="Times New Roman"/>
          <w:sz w:val="28"/>
          <w:szCs w:val="24"/>
        </w:rPr>
        <w:footnoteReference w:id="2"/>
      </w:r>
      <w:r w:rsidR="00C70677" w:rsidRPr="00B77149">
        <w:rPr>
          <w:rFonts w:ascii="Times New Roman" w:hAnsi="Times New Roman" w:cs="Times New Roman"/>
          <w:sz w:val="28"/>
          <w:szCs w:val="24"/>
        </w:rPr>
        <w:t>.</w:t>
      </w:r>
    </w:p>
    <w:p w14:paraId="40B68CAD" w14:textId="77777777" w:rsidR="00CF45A6" w:rsidRPr="00B77149" w:rsidRDefault="00CF45A6"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Tuttavia per il giurista, che, in quanto tale, deve fare uso accorto e rigoroso dei suoi strumenti, rimane ineludibile il problema della possibile autonomia del diritto dell’energia. Questo è necessario quantomeno al fine di comprendere</w:t>
      </w:r>
      <w:r w:rsidR="005249CC" w:rsidRPr="00B77149">
        <w:rPr>
          <w:rFonts w:ascii="Times New Roman" w:hAnsi="Times New Roman" w:cs="Times New Roman"/>
          <w:sz w:val="28"/>
          <w:szCs w:val="24"/>
        </w:rPr>
        <w:t xml:space="preserve"> se sia possibile ricavare all’interno della normativa di settore principi e regole generali o se esse vanno rinvenute nell’ordinamento generale (pubblico o privato</w:t>
      </w:r>
      <w:r w:rsidR="00E37DFC" w:rsidRPr="00B77149">
        <w:rPr>
          <w:rFonts w:ascii="Times New Roman" w:hAnsi="Times New Roman" w:cs="Times New Roman"/>
          <w:sz w:val="28"/>
          <w:szCs w:val="24"/>
        </w:rPr>
        <w:t>; nazionale o europeo</w:t>
      </w:r>
      <w:r w:rsidR="005249CC" w:rsidRPr="00B77149">
        <w:rPr>
          <w:rFonts w:ascii="Times New Roman" w:hAnsi="Times New Roman" w:cs="Times New Roman"/>
          <w:sz w:val="28"/>
          <w:szCs w:val="24"/>
        </w:rPr>
        <w:t>) e se, nel primo caso, siano es</w:t>
      </w:r>
      <w:r w:rsidR="00D66FF4" w:rsidRPr="00B77149">
        <w:rPr>
          <w:rFonts w:ascii="Times New Roman" w:hAnsi="Times New Roman" w:cs="Times New Roman"/>
          <w:sz w:val="28"/>
          <w:szCs w:val="24"/>
        </w:rPr>
        <w:t xml:space="preserve">si </w:t>
      </w:r>
      <w:r w:rsidR="00AD6BF2" w:rsidRPr="00B77149">
        <w:rPr>
          <w:rFonts w:ascii="Times New Roman" w:hAnsi="Times New Roman" w:cs="Times New Roman"/>
          <w:sz w:val="28"/>
          <w:szCs w:val="24"/>
        </w:rPr>
        <w:t>compatibili con questi</w:t>
      </w:r>
      <w:r w:rsidR="00F76A43" w:rsidRPr="00B77149">
        <w:rPr>
          <w:rFonts w:ascii="Times New Roman" w:hAnsi="Times New Roman" w:cs="Times New Roman"/>
          <w:sz w:val="28"/>
          <w:szCs w:val="24"/>
        </w:rPr>
        <w:t>; e in caso negativo quali rimedi azionare</w:t>
      </w:r>
      <w:r w:rsidR="005249CC" w:rsidRPr="00B77149">
        <w:rPr>
          <w:rFonts w:ascii="Times New Roman" w:hAnsi="Times New Roman" w:cs="Times New Roman"/>
          <w:sz w:val="28"/>
          <w:szCs w:val="24"/>
        </w:rPr>
        <w:t>.</w:t>
      </w:r>
    </w:p>
    <w:p w14:paraId="363FAC34" w14:textId="77777777" w:rsidR="00706C79" w:rsidRPr="00B77149" w:rsidRDefault="00AD6BF2"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L’</w:t>
      </w:r>
      <w:r w:rsidR="00460F59" w:rsidRPr="00B77149">
        <w:rPr>
          <w:rFonts w:ascii="Times New Roman" w:hAnsi="Times New Roman" w:cs="Times New Roman"/>
          <w:sz w:val="28"/>
          <w:szCs w:val="24"/>
        </w:rPr>
        <w:t>esperienza giuridica conosce già</w:t>
      </w:r>
      <w:r w:rsidRPr="00B77149">
        <w:rPr>
          <w:rFonts w:ascii="Times New Roman" w:hAnsi="Times New Roman" w:cs="Times New Roman"/>
          <w:sz w:val="28"/>
          <w:szCs w:val="24"/>
        </w:rPr>
        <w:t xml:space="preserve"> il problema</w:t>
      </w:r>
      <w:r w:rsidR="00A155A9" w:rsidRPr="00B77149">
        <w:rPr>
          <w:rFonts w:ascii="Times New Roman" w:hAnsi="Times New Roman" w:cs="Times New Roman"/>
          <w:sz w:val="28"/>
          <w:szCs w:val="24"/>
        </w:rPr>
        <w:t xml:space="preserve"> della separazione di settori dell’ordinamento da quello generale di riferimento; basti pensare al diritto della navigazione; al diritto agrario, al diritto del lavoro e sindacale ed altri. Poi vi sono discipline che, se pur staccate dal diritto privato, non hanno mai assunto una vera e propria dimensione autonoma, come</w:t>
      </w:r>
      <w:r w:rsidR="00706C79" w:rsidRPr="00B77149">
        <w:rPr>
          <w:rFonts w:ascii="Times New Roman" w:hAnsi="Times New Roman" w:cs="Times New Roman"/>
          <w:sz w:val="28"/>
          <w:szCs w:val="24"/>
        </w:rPr>
        <w:t xml:space="preserve"> ad esempio</w:t>
      </w:r>
      <w:r w:rsidR="00A155A9" w:rsidRPr="00B77149">
        <w:rPr>
          <w:rFonts w:ascii="Times New Roman" w:hAnsi="Times New Roman" w:cs="Times New Roman"/>
          <w:sz w:val="28"/>
          <w:szCs w:val="24"/>
        </w:rPr>
        <w:t xml:space="preserve"> il diritto industriale e il diritto della proprietà intellettuale. Il diritto commerciale ha tutt’altra storia</w:t>
      </w:r>
      <w:r w:rsidR="00CA7E45" w:rsidRPr="00B77149">
        <w:rPr>
          <w:rFonts w:ascii="Times New Roman" w:hAnsi="Times New Roman" w:cs="Times New Roman"/>
          <w:sz w:val="28"/>
          <w:szCs w:val="24"/>
        </w:rPr>
        <w:t>, anche se</w:t>
      </w:r>
      <w:r w:rsidR="000D0BD1" w:rsidRPr="00B77149">
        <w:rPr>
          <w:rFonts w:ascii="Times New Roman" w:hAnsi="Times New Roman" w:cs="Times New Roman"/>
          <w:sz w:val="28"/>
          <w:szCs w:val="24"/>
        </w:rPr>
        <w:t xml:space="preserve"> fino all’unificazione del codice commerciale con il codice civile ha avuto una autonomia anche normativa, che peraltro ancora conserva sul piano scientifico</w:t>
      </w:r>
      <w:r w:rsidR="00706C79" w:rsidRPr="00B77149">
        <w:rPr>
          <w:rFonts w:ascii="Times New Roman" w:hAnsi="Times New Roman" w:cs="Times New Roman"/>
          <w:sz w:val="28"/>
          <w:szCs w:val="24"/>
        </w:rPr>
        <w:t>.</w:t>
      </w:r>
      <w:r w:rsidR="000D0BD1" w:rsidRPr="00B77149">
        <w:rPr>
          <w:rFonts w:ascii="Times New Roman" w:hAnsi="Times New Roman" w:cs="Times New Roman"/>
          <w:sz w:val="28"/>
          <w:szCs w:val="24"/>
        </w:rPr>
        <w:t xml:space="preserve"> Anche questa disciplina pone al centro del suo sistema</w:t>
      </w:r>
      <w:r w:rsidR="003A3DF9" w:rsidRPr="00B77149">
        <w:rPr>
          <w:rFonts w:ascii="Times New Roman" w:hAnsi="Times New Roman" w:cs="Times New Roman"/>
          <w:sz w:val="28"/>
          <w:szCs w:val="24"/>
        </w:rPr>
        <w:t xml:space="preserve"> il bene</w:t>
      </w:r>
      <w:r w:rsidR="009610E4" w:rsidRPr="00B77149">
        <w:rPr>
          <w:rFonts w:ascii="Times New Roman" w:hAnsi="Times New Roman" w:cs="Times New Roman"/>
          <w:sz w:val="28"/>
          <w:szCs w:val="24"/>
        </w:rPr>
        <w:t>-</w:t>
      </w:r>
      <w:r w:rsidR="000D0BD1" w:rsidRPr="00B77149">
        <w:rPr>
          <w:rFonts w:ascii="Times New Roman" w:hAnsi="Times New Roman" w:cs="Times New Roman"/>
          <w:sz w:val="28"/>
          <w:szCs w:val="24"/>
        </w:rPr>
        <w:t>azienda e l’impresa</w:t>
      </w:r>
    </w:p>
    <w:p w14:paraId="43BE1B2F" w14:textId="77777777" w:rsidR="00706C79" w:rsidRPr="00B77149" w:rsidRDefault="00706C7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Il modo di procedere degli studi giuridici, se si guarda alla storia del diritto, è stato quello di espungere una parte generale come premessa delle parti speciali, così il diritto penale e i diritti processuali.</w:t>
      </w:r>
      <w:r w:rsidR="00631738" w:rsidRPr="00B77149">
        <w:rPr>
          <w:rFonts w:ascii="Times New Roman" w:hAnsi="Times New Roman" w:cs="Times New Roman"/>
          <w:sz w:val="28"/>
          <w:szCs w:val="24"/>
        </w:rPr>
        <w:t xml:space="preserve"> Naturalmente qui non vengono considerate talune prassi universitarie di vera e propria creazione</w:t>
      </w:r>
      <w:r w:rsidR="00D66FF4" w:rsidRPr="00B77149">
        <w:rPr>
          <w:rFonts w:ascii="Times New Roman" w:hAnsi="Times New Roman" w:cs="Times New Roman"/>
          <w:sz w:val="28"/>
          <w:szCs w:val="24"/>
        </w:rPr>
        <w:t xml:space="preserve"> surrettizia</w:t>
      </w:r>
      <w:r w:rsidR="00631738" w:rsidRPr="00B77149">
        <w:rPr>
          <w:rFonts w:ascii="Times New Roman" w:hAnsi="Times New Roman" w:cs="Times New Roman"/>
          <w:sz w:val="28"/>
          <w:szCs w:val="24"/>
        </w:rPr>
        <w:t xml:space="preserve"> di materie nuove o di spacchettamenti di discipline al solo fine di moltiplicare gli insegnamenti, istituendo nuove cattedre.</w:t>
      </w:r>
    </w:p>
    <w:p w14:paraId="6F25C12C" w14:textId="77777777" w:rsidR="00AA643A" w:rsidRPr="00B77149" w:rsidRDefault="00706C7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Il diritto amministrativo ha seguito la stessa linea</w:t>
      </w:r>
      <w:r w:rsidR="00AA643A" w:rsidRPr="00B77149">
        <w:rPr>
          <w:rFonts w:ascii="Times New Roman" w:hAnsi="Times New Roman" w:cs="Times New Roman"/>
          <w:sz w:val="28"/>
          <w:szCs w:val="24"/>
        </w:rPr>
        <w:t xml:space="preserve">, dove la parte generale si occupa dell’organizzazione della soggettività pubblica, </w:t>
      </w:r>
      <w:r w:rsidR="00D66FF4" w:rsidRPr="00B77149">
        <w:rPr>
          <w:rFonts w:ascii="Times New Roman" w:hAnsi="Times New Roman" w:cs="Times New Roman"/>
          <w:sz w:val="28"/>
          <w:szCs w:val="24"/>
        </w:rPr>
        <w:t xml:space="preserve">delle situazioni </w:t>
      </w:r>
      <w:r w:rsidR="00D66FF4" w:rsidRPr="00B77149">
        <w:rPr>
          <w:rFonts w:ascii="Times New Roman" w:hAnsi="Times New Roman" w:cs="Times New Roman"/>
          <w:sz w:val="28"/>
          <w:szCs w:val="24"/>
        </w:rPr>
        <w:lastRenderedPageBreak/>
        <w:t>soggettive</w:t>
      </w:r>
      <w:r w:rsidR="000D0BD1" w:rsidRPr="00B77149">
        <w:rPr>
          <w:rFonts w:ascii="Times New Roman" w:hAnsi="Times New Roman" w:cs="Times New Roman"/>
          <w:sz w:val="28"/>
          <w:szCs w:val="24"/>
        </w:rPr>
        <w:t xml:space="preserve"> (ma questa è materia di teoria generale)</w:t>
      </w:r>
      <w:r w:rsidR="00D66FF4" w:rsidRPr="00B77149">
        <w:rPr>
          <w:rFonts w:ascii="Times New Roman" w:hAnsi="Times New Roman" w:cs="Times New Roman"/>
          <w:sz w:val="28"/>
          <w:szCs w:val="24"/>
        </w:rPr>
        <w:t xml:space="preserve">, </w:t>
      </w:r>
      <w:r w:rsidR="00AA643A" w:rsidRPr="00B77149">
        <w:rPr>
          <w:rFonts w:ascii="Times New Roman" w:hAnsi="Times New Roman" w:cs="Times New Roman"/>
          <w:sz w:val="28"/>
          <w:szCs w:val="24"/>
        </w:rPr>
        <w:t xml:space="preserve">dell’attività e del procedimento amministrativo, dei beni e della responsabilità, ivi compresa la tutela. Le parti speciali sono più numerose e le più importanti sono le espropriazioni, l’edilizia, </w:t>
      </w:r>
      <w:r w:rsidR="005207C9" w:rsidRPr="00B77149">
        <w:rPr>
          <w:rFonts w:ascii="Times New Roman" w:hAnsi="Times New Roman" w:cs="Times New Roman"/>
          <w:sz w:val="28"/>
          <w:szCs w:val="24"/>
        </w:rPr>
        <w:t>g</w:t>
      </w:r>
      <w:r w:rsidR="00AA643A" w:rsidRPr="00B77149">
        <w:rPr>
          <w:rFonts w:ascii="Times New Roman" w:hAnsi="Times New Roman" w:cs="Times New Roman"/>
          <w:sz w:val="28"/>
          <w:szCs w:val="24"/>
        </w:rPr>
        <w:t>l</w:t>
      </w:r>
      <w:r w:rsidR="005207C9" w:rsidRPr="00B77149">
        <w:rPr>
          <w:rFonts w:ascii="Times New Roman" w:hAnsi="Times New Roman" w:cs="Times New Roman"/>
          <w:sz w:val="28"/>
          <w:szCs w:val="24"/>
        </w:rPr>
        <w:t xml:space="preserve">i </w:t>
      </w:r>
      <w:r w:rsidR="00AA643A" w:rsidRPr="00B77149">
        <w:rPr>
          <w:rFonts w:ascii="Times New Roman" w:hAnsi="Times New Roman" w:cs="Times New Roman"/>
          <w:sz w:val="28"/>
          <w:szCs w:val="24"/>
        </w:rPr>
        <w:t>appalt</w:t>
      </w:r>
      <w:r w:rsidR="005207C9" w:rsidRPr="00B77149">
        <w:rPr>
          <w:rFonts w:ascii="Times New Roman" w:hAnsi="Times New Roman" w:cs="Times New Roman"/>
          <w:sz w:val="28"/>
          <w:szCs w:val="24"/>
        </w:rPr>
        <w:t>i</w:t>
      </w:r>
      <w:r w:rsidR="00AA643A" w:rsidRPr="00B77149">
        <w:rPr>
          <w:rFonts w:ascii="Times New Roman" w:hAnsi="Times New Roman" w:cs="Times New Roman"/>
          <w:sz w:val="28"/>
          <w:szCs w:val="24"/>
        </w:rPr>
        <w:t xml:space="preserve"> e i contratti pubblici, i servizi pubblici ed altri.</w:t>
      </w:r>
    </w:p>
    <w:p w14:paraId="1670B2CB" w14:textId="77777777" w:rsidR="00933686" w:rsidRPr="00B77149" w:rsidRDefault="00AA643A"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Tuttavia, ogni qual volta, un settore</w:t>
      </w:r>
      <w:r w:rsidR="00933686" w:rsidRPr="00B77149">
        <w:rPr>
          <w:rFonts w:ascii="Times New Roman" w:hAnsi="Times New Roman" w:cs="Times New Roman"/>
          <w:sz w:val="28"/>
          <w:szCs w:val="24"/>
        </w:rPr>
        <w:t xml:space="preserve"> viene alla ribalta si pone il problema della sua autonomia scientifica, basti pensare al diritto ambientale.</w:t>
      </w:r>
    </w:p>
    <w:p w14:paraId="7C87C852" w14:textId="332D27B7" w:rsidR="00E47D14" w:rsidRPr="00B77149" w:rsidRDefault="00933686"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La storia della legislazione è stata particolarmente interessante, in quanto</w:t>
      </w:r>
      <w:r w:rsidR="00811AD4" w:rsidRPr="00B77149">
        <w:rPr>
          <w:rFonts w:ascii="Times New Roman" w:hAnsi="Times New Roman" w:cs="Times New Roman"/>
          <w:sz w:val="28"/>
          <w:szCs w:val="24"/>
        </w:rPr>
        <w:t xml:space="preserve"> per far fronte alla sterminata produzione normativa </w:t>
      </w:r>
      <w:r w:rsidR="00157DE5" w:rsidRPr="00B77149">
        <w:rPr>
          <w:rFonts w:ascii="Times New Roman" w:hAnsi="Times New Roman" w:cs="Times New Roman"/>
          <w:sz w:val="28"/>
          <w:szCs w:val="24"/>
        </w:rPr>
        <w:t>si è</w:t>
      </w:r>
      <w:r w:rsidRPr="00B77149">
        <w:rPr>
          <w:rFonts w:ascii="Times New Roman" w:hAnsi="Times New Roman" w:cs="Times New Roman"/>
          <w:sz w:val="28"/>
          <w:szCs w:val="24"/>
        </w:rPr>
        <w:t xml:space="preserve"> </w:t>
      </w:r>
      <w:r w:rsidR="00157DE5" w:rsidRPr="00B77149">
        <w:rPr>
          <w:rFonts w:ascii="Times New Roman" w:hAnsi="Times New Roman" w:cs="Times New Roman"/>
          <w:sz w:val="28"/>
          <w:szCs w:val="24"/>
        </w:rPr>
        <w:t>inaugurata</w:t>
      </w:r>
      <w:r w:rsidR="00811AD4" w:rsidRPr="00B77149">
        <w:rPr>
          <w:rFonts w:ascii="Times New Roman" w:hAnsi="Times New Roman" w:cs="Times New Roman"/>
          <w:sz w:val="28"/>
          <w:szCs w:val="24"/>
        </w:rPr>
        <w:t xml:space="preserve"> trent’anni</w:t>
      </w:r>
      <w:r w:rsidR="00D66FF4" w:rsidRPr="00B77149">
        <w:rPr>
          <w:rFonts w:ascii="Times New Roman" w:hAnsi="Times New Roman" w:cs="Times New Roman"/>
          <w:sz w:val="28"/>
          <w:szCs w:val="24"/>
        </w:rPr>
        <w:t xml:space="preserve"> orsono</w:t>
      </w:r>
      <w:r w:rsidRPr="00B77149">
        <w:rPr>
          <w:rFonts w:ascii="Times New Roman" w:hAnsi="Times New Roman" w:cs="Times New Roman"/>
          <w:sz w:val="28"/>
          <w:szCs w:val="24"/>
        </w:rPr>
        <w:t xml:space="preserve"> una vera e propria stagione</w:t>
      </w:r>
      <w:r w:rsidR="00811AD4" w:rsidRPr="00B77149">
        <w:rPr>
          <w:rFonts w:ascii="Times New Roman" w:hAnsi="Times New Roman" w:cs="Times New Roman"/>
          <w:sz w:val="28"/>
          <w:szCs w:val="24"/>
        </w:rPr>
        <w:t xml:space="preserve"> di testi unici e di codici, che, con l’ausilio del Consiglio di Stato</w:t>
      </w:r>
      <w:r w:rsidR="00631738" w:rsidRPr="00B77149">
        <w:rPr>
          <w:rFonts w:ascii="Times New Roman" w:hAnsi="Times New Roman" w:cs="Times New Roman"/>
          <w:sz w:val="28"/>
          <w:szCs w:val="24"/>
        </w:rPr>
        <w:t>,</w:t>
      </w:r>
      <w:r w:rsidR="00811AD4" w:rsidRPr="00B77149">
        <w:rPr>
          <w:rFonts w:ascii="Times New Roman" w:hAnsi="Times New Roman" w:cs="Times New Roman"/>
          <w:sz w:val="28"/>
          <w:szCs w:val="24"/>
        </w:rPr>
        <w:t xml:space="preserve"> ha portato ad </w:t>
      </w:r>
      <w:r w:rsidR="00631738" w:rsidRPr="00B77149">
        <w:rPr>
          <w:rFonts w:ascii="Times New Roman" w:hAnsi="Times New Roman" w:cs="Times New Roman"/>
          <w:sz w:val="28"/>
          <w:szCs w:val="24"/>
        </w:rPr>
        <w:t>una significativa sistemazione de</w:t>
      </w:r>
      <w:r w:rsidR="00811AD4" w:rsidRPr="00B77149">
        <w:rPr>
          <w:rFonts w:ascii="Times New Roman" w:hAnsi="Times New Roman" w:cs="Times New Roman"/>
          <w:sz w:val="28"/>
          <w:szCs w:val="24"/>
        </w:rPr>
        <w:t xml:space="preserve">lle varie discipline. </w:t>
      </w:r>
      <w:r w:rsidR="00E47D14" w:rsidRPr="00B77149">
        <w:rPr>
          <w:rFonts w:ascii="Times New Roman" w:hAnsi="Times New Roman" w:cs="Times New Roman"/>
          <w:sz w:val="28"/>
          <w:szCs w:val="24"/>
        </w:rPr>
        <w:t>Basti pensare al codice</w:t>
      </w:r>
      <w:r w:rsidR="00631738" w:rsidRPr="00B77149">
        <w:rPr>
          <w:rFonts w:ascii="Times New Roman" w:hAnsi="Times New Roman" w:cs="Times New Roman"/>
          <w:sz w:val="28"/>
          <w:szCs w:val="24"/>
        </w:rPr>
        <w:t xml:space="preserve"> dei contratti pubblici, a quello</w:t>
      </w:r>
      <w:r w:rsidR="007645E3" w:rsidRPr="00B77149">
        <w:rPr>
          <w:rFonts w:ascii="Times New Roman" w:hAnsi="Times New Roman" w:cs="Times New Roman"/>
          <w:sz w:val="28"/>
          <w:szCs w:val="24"/>
        </w:rPr>
        <w:t xml:space="preserve"> dell’ambiente</w:t>
      </w:r>
      <w:r w:rsidR="003008FD" w:rsidRPr="00B77149">
        <w:rPr>
          <w:rFonts w:ascii="Times New Roman" w:hAnsi="Times New Roman" w:cs="Times New Roman"/>
          <w:sz w:val="28"/>
          <w:szCs w:val="24"/>
        </w:rPr>
        <w:t xml:space="preserve"> </w:t>
      </w:r>
      <w:r w:rsidR="007645E3" w:rsidRPr="00B77149">
        <w:rPr>
          <w:rFonts w:ascii="Times New Roman" w:hAnsi="Times New Roman" w:cs="Times New Roman"/>
          <w:sz w:val="28"/>
          <w:szCs w:val="24"/>
        </w:rPr>
        <w:t xml:space="preserve">e </w:t>
      </w:r>
      <w:r w:rsidR="005207C9" w:rsidRPr="00B77149">
        <w:rPr>
          <w:rFonts w:ascii="Times New Roman" w:hAnsi="Times New Roman" w:cs="Times New Roman"/>
          <w:sz w:val="28"/>
          <w:szCs w:val="24"/>
        </w:rPr>
        <w:t>dei beni culturali</w:t>
      </w:r>
      <w:r w:rsidR="00D66FF4" w:rsidRPr="00B77149">
        <w:rPr>
          <w:rFonts w:ascii="Times New Roman" w:hAnsi="Times New Roman" w:cs="Times New Roman"/>
          <w:sz w:val="28"/>
          <w:szCs w:val="24"/>
        </w:rPr>
        <w:t>, a</w:t>
      </w:r>
      <w:r w:rsidR="00F76A43" w:rsidRPr="00B77149">
        <w:rPr>
          <w:rFonts w:ascii="Times New Roman" w:hAnsi="Times New Roman" w:cs="Times New Roman"/>
          <w:sz w:val="28"/>
          <w:szCs w:val="24"/>
        </w:rPr>
        <w:t xml:space="preserve"> quello delle autonomie locali,</w:t>
      </w:r>
      <w:r w:rsidR="00D66FF4" w:rsidRPr="00B77149">
        <w:rPr>
          <w:rFonts w:ascii="Times New Roman" w:hAnsi="Times New Roman" w:cs="Times New Roman"/>
          <w:sz w:val="28"/>
          <w:szCs w:val="24"/>
        </w:rPr>
        <w:t xml:space="preserve"> a quello sulle espr</w:t>
      </w:r>
      <w:r w:rsidR="002E61BB" w:rsidRPr="00B77149">
        <w:rPr>
          <w:rFonts w:ascii="Times New Roman" w:hAnsi="Times New Roman" w:cs="Times New Roman"/>
          <w:sz w:val="28"/>
          <w:szCs w:val="24"/>
        </w:rPr>
        <w:t>o</w:t>
      </w:r>
      <w:r w:rsidR="00D66FF4" w:rsidRPr="00B77149">
        <w:rPr>
          <w:rFonts w:ascii="Times New Roman" w:hAnsi="Times New Roman" w:cs="Times New Roman"/>
          <w:sz w:val="28"/>
          <w:szCs w:val="24"/>
        </w:rPr>
        <w:t>priazioni</w:t>
      </w:r>
      <w:r w:rsidR="00F76A43" w:rsidRPr="00B77149">
        <w:rPr>
          <w:rFonts w:ascii="Times New Roman" w:hAnsi="Times New Roman" w:cs="Times New Roman"/>
          <w:sz w:val="28"/>
          <w:szCs w:val="24"/>
        </w:rPr>
        <w:t xml:space="preserve"> e a quello sull’edilizia</w:t>
      </w:r>
      <w:r w:rsidR="007645E3" w:rsidRPr="00B77149">
        <w:rPr>
          <w:rFonts w:ascii="Times New Roman" w:hAnsi="Times New Roman" w:cs="Times New Roman"/>
          <w:sz w:val="28"/>
          <w:szCs w:val="24"/>
        </w:rPr>
        <w:t xml:space="preserve"> e altri</w:t>
      </w:r>
      <w:r w:rsidR="00E47D14" w:rsidRPr="00B77149">
        <w:rPr>
          <w:rFonts w:ascii="Times New Roman" w:hAnsi="Times New Roman" w:cs="Times New Roman"/>
          <w:sz w:val="28"/>
          <w:szCs w:val="24"/>
        </w:rPr>
        <w:t>.</w:t>
      </w:r>
    </w:p>
    <w:p w14:paraId="001CE2EF" w14:textId="4D4E8D49" w:rsidR="00916B5C" w:rsidRPr="00B77149" w:rsidRDefault="00811AD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Si era anche ipotizzato un codice amministrativo di diritto sostanziale, ma l’idea è sfumata</w:t>
      </w:r>
      <w:r w:rsidR="007645E3" w:rsidRPr="00B77149">
        <w:rPr>
          <w:rFonts w:ascii="Times New Roman" w:hAnsi="Times New Roman" w:cs="Times New Roman"/>
          <w:sz w:val="28"/>
          <w:szCs w:val="24"/>
        </w:rPr>
        <w:t xml:space="preserve">. </w:t>
      </w:r>
      <w:proofErr w:type="spellStart"/>
      <w:r w:rsidR="007645E3" w:rsidRPr="00B77149">
        <w:rPr>
          <w:rFonts w:ascii="Times New Roman" w:hAnsi="Times New Roman" w:cs="Times New Roman"/>
          <w:sz w:val="28"/>
          <w:szCs w:val="24"/>
        </w:rPr>
        <w:t>Sicchè</w:t>
      </w:r>
      <w:proofErr w:type="spellEnd"/>
      <w:r w:rsidR="007645E3" w:rsidRPr="00B77149">
        <w:rPr>
          <w:rFonts w:ascii="Times New Roman" w:hAnsi="Times New Roman" w:cs="Times New Roman"/>
          <w:sz w:val="28"/>
          <w:szCs w:val="24"/>
        </w:rPr>
        <w:t xml:space="preserve"> </w:t>
      </w:r>
      <w:r w:rsidRPr="00B77149">
        <w:rPr>
          <w:rFonts w:ascii="Times New Roman" w:hAnsi="Times New Roman" w:cs="Times New Roman"/>
          <w:sz w:val="28"/>
          <w:szCs w:val="24"/>
        </w:rPr>
        <w:t>la legge generale</w:t>
      </w:r>
      <w:r w:rsidR="00E47D14" w:rsidRPr="00B77149">
        <w:rPr>
          <w:rFonts w:ascii="Times New Roman" w:hAnsi="Times New Roman" w:cs="Times New Roman"/>
          <w:sz w:val="28"/>
          <w:szCs w:val="24"/>
        </w:rPr>
        <w:t xml:space="preserve"> sul procedimento amministrativo</w:t>
      </w:r>
      <w:r w:rsidR="0066536E" w:rsidRPr="00B77149">
        <w:rPr>
          <w:rFonts w:ascii="Times New Roman" w:hAnsi="Times New Roman" w:cs="Times New Roman"/>
          <w:sz w:val="28"/>
          <w:szCs w:val="24"/>
        </w:rPr>
        <w:t xml:space="preserve">, </w:t>
      </w:r>
      <w:r w:rsidR="00157DE5" w:rsidRPr="00B77149">
        <w:rPr>
          <w:rFonts w:ascii="Times New Roman" w:hAnsi="Times New Roman" w:cs="Times New Roman"/>
          <w:sz w:val="28"/>
          <w:szCs w:val="24"/>
        </w:rPr>
        <w:t>con le sue continue ‘novelle’</w:t>
      </w:r>
      <w:r w:rsidR="0066536E" w:rsidRPr="00B77149">
        <w:rPr>
          <w:rFonts w:ascii="Times New Roman" w:hAnsi="Times New Roman" w:cs="Times New Roman"/>
          <w:sz w:val="28"/>
          <w:szCs w:val="24"/>
        </w:rPr>
        <w:t>,</w:t>
      </w:r>
      <w:r w:rsidR="00E47D14" w:rsidRPr="00B77149">
        <w:rPr>
          <w:rFonts w:ascii="Times New Roman" w:hAnsi="Times New Roman" w:cs="Times New Roman"/>
          <w:sz w:val="28"/>
          <w:szCs w:val="24"/>
        </w:rPr>
        <w:t xml:space="preserve"> ha finito con il diventare un “piccolo codice”</w:t>
      </w:r>
      <w:r w:rsidR="0055158D" w:rsidRPr="00B77149">
        <w:rPr>
          <w:rStyle w:val="Rimandonotaapidipagina"/>
          <w:rFonts w:ascii="Times New Roman" w:hAnsi="Times New Roman" w:cs="Times New Roman"/>
          <w:sz w:val="28"/>
          <w:szCs w:val="24"/>
        </w:rPr>
        <w:footnoteReference w:id="3"/>
      </w:r>
      <w:r w:rsidR="00E47D14" w:rsidRPr="00B77149">
        <w:rPr>
          <w:rFonts w:ascii="Times New Roman" w:hAnsi="Times New Roman" w:cs="Times New Roman"/>
          <w:sz w:val="28"/>
          <w:szCs w:val="24"/>
        </w:rPr>
        <w:t xml:space="preserve"> al pari dell’invece grande codice civile, che pure conosceva già discipline contenute in leggi speciali, come la legge sui brevetti, la legge di protezione del diritto d’autore</w:t>
      </w:r>
      <w:r w:rsidR="00916B5C" w:rsidRPr="00B77149">
        <w:rPr>
          <w:rFonts w:ascii="Times New Roman" w:hAnsi="Times New Roman" w:cs="Times New Roman"/>
          <w:sz w:val="28"/>
          <w:szCs w:val="24"/>
        </w:rPr>
        <w:t>, le locazioni e i titoli di credito.</w:t>
      </w:r>
    </w:p>
    <w:p w14:paraId="6F3AA8F0" w14:textId="57BD5031" w:rsidR="0066536E" w:rsidRPr="00B77149" w:rsidRDefault="00916B5C"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Anche la legislazio</w:t>
      </w:r>
      <w:r w:rsidR="0066536E" w:rsidRPr="00B77149">
        <w:rPr>
          <w:rFonts w:ascii="Times New Roman" w:hAnsi="Times New Roman" w:cs="Times New Roman"/>
          <w:sz w:val="28"/>
          <w:szCs w:val="24"/>
        </w:rPr>
        <w:t>ne civilistica ha seguito la tecnica</w:t>
      </w:r>
      <w:r w:rsidRPr="00B77149">
        <w:rPr>
          <w:rFonts w:ascii="Times New Roman" w:hAnsi="Times New Roman" w:cs="Times New Roman"/>
          <w:sz w:val="28"/>
          <w:szCs w:val="24"/>
        </w:rPr>
        <w:t xml:space="preserve"> di collocare le normative in leggi speciali, anziché incidere</w:t>
      </w:r>
      <w:r w:rsidR="00D66FF4" w:rsidRPr="00B77149">
        <w:rPr>
          <w:rFonts w:ascii="Times New Roman" w:hAnsi="Times New Roman" w:cs="Times New Roman"/>
          <w:sz w:val="28"/>
          <w:szCs w:val="24"/>
        </w:rPr>
        <w:t>, attraverso la tecnica de</w:t>
      </w:r>
      <w:r w:rsidR="0066536E" w:rsidRPr="00B77149">
        <w:rPr>
          <w:rFonts w:ascii="Times New Roman" w:hAnsi="Times New Roman" w:cs="Times New Roman"/>
          <w:sz w:val="28"/>
          <w:szCs w:val="24"/>
        </w:rPr>
        <w:t xml:space="preserve">lla </w:t>
      </w:r>
      <w:proofErr w:type="spellStart"/>
      <w:r w:rsidR="0066536E" w:rsidRPr="00B77149">
        <w:rPr>
          <w:rFonts w:ascii="Times New Roman" w:hAnsi="Times New Roman" w:cs="Times New Roman"/>
          <w:sz w:val="28"/>
          <w:szCs w:val="24"/>
        </w:rPr>
        <w:t>novellazione</w:t>
      </w:r>
      <w:proofErr w:type="spellEnd"/>
      <w:r w:rsidR="00D66FF4" w:rsidRPr="00B77149">
        <w:rPr>
          <w:rFonts w:ascii="Times New Roman" w:hAnsi="Times New Roman" w:cs="Times New Roman"/>
          <w:sz w:val="28"/>
          <w:szCs w:val="24"/>
        </w:rPr>
        <w:t>,</w:t>
      </w:r>
      <w:r w:rsidRPr="00B77149">
        <w:rPr>
          <w:rFonts w:ascii="Times New Roman" w:hAnsi="Times New Roman" w:cs="Times New Roman"/>
          <w:sz w:val="28"/>
          <w:szCs w:val="24"/>
        </w:rPr>
        <w:t xml:space="preserve"> nel corpo del codice del ’42, tranne lodevoli eccezioni</w:t>
      </w:r>
      <w:r w:rsidR="00D66FF4" w:rsidRPr="00B77149">
        <w:rPr>
          <w:rFonts w:ascii="Times New Roman" w:hAnsi="Times New Roman" w:cs="Times New Roman"/>
          <w:sz w:val="28"/>
          <w:szCs w:val="24"/>
        </w:rPr>
        <w:t xml:space="preserve">, si pensi alla </w:t>
      </w:r>
      <w:r w:rsidR="0066536E" w:rsidRPr="00B77149">
        <w:rPr>
          <w:rFonts w:ascii="Times New Roman" w:hAnsi="Times New Roman" w:cs="Times New Roman"/>
          <w:sz w:val="28"/>
          <w:szCs w:val="24"/>
        </w:rPr>
        <w:t xml:space="preserve">oramai lontana </w:t>
      </w:r>
      <w:r w:rsidR="00D66FF4" w:rsidRPr="00B77149">
        <w:rPr>
          <w:rFonts w:ascii="Times New Roman" w:hAnsi="Times New Roman" w:cs="Times New Roman"/>
          <w:sz w:val="28"/>
          <w:szCs w:val="24"/>
        </w:rPr>
        <w:t>riforma del diritto di famiglia</w:t>
      </w:r>
      <w:r w:rsidRPr="00B77149">
        <w:rPr>
          <w:rFonts w:ascii="Times New Roman" w:hAnsi="Times New Roman" w:cs="Times New Roman"/>
          <w:sz w:val="28"/>
          <w:szCs w:val="24"/>
        </w:rPr>
        <w:t>. No</w:t>
      </w:r>
      <w:r w:rsidR="00631738" w:rsidRPr="00B77149">
        <w:rPr>
          <w:rFonts w:ascii="Times New Roman" w:hAnsi="Times New Roman" w:cs="Times New Roman"/>
          <w:sz w:val="28"/>
          <w:szCs w:val="24"/>
        </w:rPr>
        <w:t>n</w:t>
      </w:r>
      <w:r w:rsidRPr="00B77149">
        <w:rPr>
          <w:rFonts w:ascii="Times New Roman" w:hAnsi="Times New Roman" w:cs="Times New Roman"/>
          <w:sz w:val="28"/>
          <w:szCs w:val="24"/>
        </w:rPr>
        <w:t xml:space="preserve"> a caso</w:t>
      </w:r>
      <w:r w:rsidR="00F76A43" w:rsidRPr="00B77149">
        <w:rPr>
          <w:rFonts w:ascii="Times New Roman" w:hAnsi="Times New Roman" w:cs="Times New Roman"/>
          <w:sz w:val="28"/>
          <w:szCs w:val="24"/>
        </w:rPr>
        <w:t xml:space="preserve"> già</w:t>
      </w:r>
      <w:r w:rsidRPr="00B77149">
        <w:rPr>
          <w:rFonts w:ascii="Times New Roman" w:hAnsi="Times New Roman" w:cs="Times New Roman"/>
          <w:sz w:val="28"/>
          <w:szCs w:val="24"/>
        </w:rPr>
        <w:t xml:space="preserve"> in anni non proprio recentissimi si è parlato di età della decodificazione</w:t>
      </w:r>
      <w:r w:rsidR="0055158D" w:rsidRPr="00B77149">
        <w:rPr>
          <w:rStyle w:val="Rimandonotaapidipagina"/>
          <w:rFonts w:ascii="Times New Roman" w:hAnsi="Times New Roman" w:cs="Times New Roman"/>
          <w:sz w:val="28"/>
          <w:szCs w:val="24"/>
        </w:rPr>
        <w:footnoteReference w:id="4"/>
      </w:r>
      <w:r w:rsidRPr="00B77149">
        <w:rPr>
          <w:rFonts w:ascii="Times New Roman" w:hAnsi="Times New Roman" w:cs="Times New Roman"/>
          <w:sz w:val="28"/>
          <w:szCs w:val="24"/>
        </w:rPr>
        <w:t>.</w:t>
      </w:r>
    </w:p>
    <w:p w14:paraId="7A0B6570" w14:textId="77777777" w:rsidR="001575E0" w:rsidRPr="00B77149" w:rsidRDefault="001575E0" w:rsidP="001575E0">
      <w:pPr>
        <w:spacing w:after="0" w:line="240" w:lineRule="auto"/>
        <w:jc w:val="both"/>
        <w:rPr>
          <w:rFonts w:ascii="Times New Roman" w:hAnsi="Times New Roman" w:cs="Times New Roman"/>
          <w:b/>
          <w:sz w:val="28"/>
          <w:szCs w:val="24"/>
        </w:rPr>
      </w:pPr>
    </w:p>
    <w:p w14:paraId="17D3A937" w14:textId="77777777" w:rsidR="004D2D3D" w:rsidRPr="00B77149" w:rsidRDefault="004D2D3D" w:rsidP="001575E0">
      <w:pPr>
        <w:spacing w:after="0" w:line="240" w:lineRule="auto"/>
        <w:jc w:val="both"/>
        <w:rPr>
          <w:rFonts w:ascii="Times New Roman" w:hAnsi="Times New Roman" w:cs="Times New Roman"/>
          <w:b/>
          <w:sz w:val="28"/>
          <w:szCs w:val="24"/>
        </w:rPr>
      </w:pPr>
    </w:p>
    <w:p w14:paraId="73ADC956" w14:textId="32FDEB2B" w:rsidR="004D2D3D" w:rsidRPr="00B77149" w:rsidRDefault="0066536E" w:rsidP="001575E0">
      <w:pPr>
        <w:spacing w:after="0" w:line="240" w:lineRule="auto"/>
        <w:jc w:val="both"/>
        <w:rPr>
          <w:rFonts w:ascii="Times New Roman" w:hAnsi="Times New Roman" w:cs="Times New Roman"/>
          <w:b/>
          <w:sz w:val="28"/>
          <w:szCs w:val="24"/>
        </w:rPr>
      </w:pPr>
      <w:r w:rsidRPr="00B77149">
        <w:rPr>
          <w:rFonts w:ascii="Times New Roman" w:hAnsi="Times New Roman" w:cs="Times New Roman"/>
          <w:b/>
          <w:sz w:val="28"/>
          <w:szCs w:val="24"/>
        </w:rPr>
        <w:t>2</w:t>
      </w:r>
      <w:r w:rsidR="001575E0" w:rsidRPr="00B77149">
        <w:rPr>
          <w:rFonts w:ascii="Times New Roman" w:hAnsi="Times New Roman" w:cs="Times New Roman"/>
          <w:b/>
          <w:sz w:val="28"/>
          <w:szCs w:val="24"/>
        </w:rPr>
        <w:t>.</w:t>
      </w:r>
      <w:r w:rsidR="00E47D14" w:rsidRPr="00B77149">
        <w:rPr>
          <w:rFonts w:ascii="Times New Roman" w:hAnsi="Times New Roman" w:cs="Times New Roman"/>
          <w:b/>
          <w:sz w:val="28"/>
          <w:szCs w:val="24"/>
        </w:rPr>
        <w:t xml:space="preserve"> </w:t>
      </w:r>
      <w:r w:rsidR="004D2D3D" w:rsidRPr="00B77149">
        <w:rPr>
          <w:rFonts w:ascii="Times New Roman" w:hAnsi="Times New Roman" w:cs="Times New Roman"/>
          <w:b/>
          <w:sz w:val="28"/>
          <w:szCs w:val="24"/>
        </w:rPr>
        <w:t xml:space="preserve">La peculiarità del bene al centro dei microsistemi. Il diritto della navigazione. I tipi contrattuali e in particolare la </w:t>
      </w:r>
      <w:proofErr w:type="spellStart"/>
      <w:r w:rsidR="004D2D3D" w:rsidRPr="00B77149">
        <w:rPr>
          <w:rFonts w:ascii="Times New Roman" w:hAnsi="Times New Roman" w:cs="Times New Roman"/>
          <w:b/>
          <w:i/>
          <w:iCs/>
          <w:sz w:val="28"/>
          <w:szCs w:val="24"/>
        </w:rPr>
        <w:t>locatio-conductio</w:t>
      </w:r>
      <w:proofErr w:type="spellEnd"/>
      <w:r w:rsidR="004D2D3D" w:rsidRPr="00B77149">
        <w:rPr>
          <w:rFonts w:ascii="Times New Roman" w:hAnsi="Times New Roman" w:cs="Times New Roman"/>
          <w:b/>
          <w:sz w:val="28"/>
          <w:szCs w:val="24"/>
        </w:rPr>
        <w:t xml:space="preserve"> del diritto romano. Il bene ambientale</w:t>
      </w:r>
    </w:p>
    <w:p w14:paraId="2B0A76E8" w14:textId="77777777" w:rsidR="004D2D3D" w:rsidRPr="00B77149" w:rsidRDefault="004D2D3D" w:rsidP="001575E0">
      <w:pPr>
        <w:spacing w:after="0" w:line="240" w:lineRule="auto"/>
        <w:jc w:val="both"/>
        <w:rPr>
          <w:rFonts w:ascii="Times New Roman" w:hAnsi="Times New Roman" w:cs="Times New Roman"/>
          <w:sz w:val="28"/>
          <w:szCs w:val="24"/>
        </w:rPr>
      </w:pPr>
    </w:p>
    <w:p w14:paraId="386FEF48" w14:textId="7A730EC4" w:rsidR="00B15309" w:rsidRPr="00B77149" w:rsidRDefault="0066536E"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Nel tentativo di allontanarsi da una visione puramente descrittiva, bisogna osservare che in tutti i settori che hanno aspirato ad una autonomia scientifica</w:t>
      </w:r>
      <w:r w:rsidR="007B4542" w:rsidRPr="00B77149">
        <w:rPr>
          <w:rFonts w:ascii="Times New Roman" w:hAnsi="Times New Roman" w:cs="Times New Roman"/>
          <w:sz w:val="28"/>
          <w:szCs w:val="24"/>
        </w:rPr>
        <w:t xml:space="preserve"> al centro del microsistema si pone la peculiarità del bene disciplinato o meglio le </w:t>
      </w:r>
      <w:proofErr w:type="spellStart"/>
      <w:r w:rsidR="007B4542" w:rsidRPr="00B77149">
        <w:rPr>
          <w:rStyle w:val="Enfasidelicata"/>
          <w:rFonts w:ascii="Times New Roman" w:hAnsi="Times New Roman" w:cs="Times New Roman"/>
          <w:sz w:val="28"/>
          <w:szCs w:val="24"/>
        </w:rPr>
        <w:t>utilita</w:t>
      </w:r>
      <w:r w:rsidR="005207C9" w:rsidRPr="00B77149">
        <w:rPr>
          <w:rStyle w:val="Enfasidelicata"/>
          <w:rFonts w:ascii="Times New Roman" w:hAnsi="Times New Roman" w:cs="Times New Roman"/>
          <w:sz w:val="28"/>
          <w:szCs w:val="24"/>
        </w:rPr>
        <w:t>te</w:t>
      </w:r>
      <w:r w:rsidR="007B4542" w:rsidRPr="00B77149">
        <w:rPr>
          <w:rStyle w:val="Enfasidelicata"/>
          <w:rFonts w:ascii="Times New Roman" w:hAnsi="Times New Roman" w:cs="Times New Roman"/>
          <w:sz w:val="28"/>
          <w:szCs w:val="24"/>
        </w:rPr>
        <w:t>s</w:t>
      </w:r>
      <w:proofErr w:type="spellEnd"/>
      <w:r w:rsidR="007B4542" w:rsidRPr="00B77149">
        <w:rPr>
          <w:rFonts w:ascii="Times New Roman" w:hAnsi="Times New Roman" w:cs="Times New Roman"/>
          <w:sz w:val="28"/>
          <w:szCs w:val="24"/>
        </w:rPr>
        <w:t xml:space="preserve"> che dal bene</w:t>
      </w:r>
      <w:r w:rsidR="00B3446A" w:rsidRPr="00B77149">
        <w:rPr>
          <w:rFonts w:ascii="Times New Roman" w:hAnsi="Times New Roman" w:cs="Times New Roman"/>
          <w:sz w:val="28"/>
          <w:szCs w:val="24"/>
        </w:rPr>
        <w:t xml:space="preserve"> stesso</w:t>
      </w:r>
      <w:r w:rsidR="007B4542" w:rsidRPr="00B77149">
        <w:rPr>
          <w:rFonts w:ascii="Times New Roman" w:hAnsi="Times New Roman" w:cs="Times New Roman"/>
          <w:sz w:val="28"/>
          <w:szCs w:val="24"/>
        </w:rPr>
        <w:t xml:space="preserve"> si possono trarre.</w:t>
      </w:r>
    </w:p>
    <w:p w14:paraId="393B7B31" w14:textId="06B427CF" w:rsidR="00B3446A" w:rsidRPr="00B77149" w:rsidRDefault="00B1530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Se si guardano gli studi che si sono occupati</w:t>
      </w:r>
      <w:r w:rsidR="003C7B89" w:rsidRPr="00B77149">
        <w:rPr>
          <w:rFonts w:ascii="Times New Roman" w:hAnsi="Times New Roman" w:cs="Times New Roman"/>
          <w:sz w:val="28"/>
          <w:szCs w:val="24"/>
        </w:rPr>
        <w:t xml:space="preserve"> del diritto della navigazione, che ha avuto sin dal 1942 un vero e proprio codice degno di questo nome</w:t>
      </w:r>
      <w:r w:rsidR="002027E3" w:rsidRPr="00B77149">
        <w:rPr>
          <w:rFonts w:ascii="Times New Roman" w:hAnsi="Times New Roman" w:cs="Times New Roman"/>
          <w:sz w:val="28"/>
          <w:szCs w:val="24"/>
        </w:rPr>
        <w:t xml:space="preserve"> (recentemente modificato nella parte aeroportuale dai decreti legislativi n.96/2005 e n.151/2006)</w:t>
      </w:r>
      <w:r w:rsidR="003C7B89" w:rsidRPr="00B77149">
        <w:rPr>
          <w:rFonts w:ascii="Times New Roman" w:hAnsi="Times New Roman" w:cs="Times New Roman"/>
          <w:sz w:val="28"/>
          <w:szCs w:val="24"/>
        </w:rPr>
        <w:t xml:space="preserve">, è facile registrare come l’autonomia di quella </w:t>
      </w:r>
      <w:r w:rsidR="003C7B89" w:rsidRPr="00B77149">
        <w:rPr>
          <w:rFonts w:ascii="Times New Roman" w:hAnsi="Times New Roman" w:cs="Times New Roman"/>
          <w:sz w:val="28"/>
          <w:szCs w:val="24"/>
        </w:rPr>
        <w:lastRenderedPageBreak/>
        <w:t>disciplina</w:t>
      </w:r>
      <w:r w:rsidR="004839CD" w:rsidRPr="00B77149">
        <w:rPr>
          <w:rFonts w:ascii="Times New Roman" w:hAnsi="Times New Roman" w:cs="Times New Roman"/>
          <w:sz w:val="28"/>
          <w:szCs w:val="24"/>
        </w:rPr>
        <w:t>,</w:t>
      </w:r>
      <w:r w:rsidR="003C7B89" w:rsidRPr="00B77149">
        <w:rPr>
          <w:rFonts w:ascii="Times New Roman" w:hAnsi="Times New Roman" w:cs="Times New Roman"/>
          <w:sz w:val="28"/>
          <w:szCs w:val="24"/>
        </w:rPr>
        <w:t xml:space="preserve"> è stata ritenuta un concetto di carattere storico e di diritto positivo che si può realizzare solo quando nell’ordinamento giuridico si </w:t>
      </w:r>
      <w:r w:rsidR="00B3446A" w:rsidRPr="00B77149">
        <w:rPr>
          <w:rFonts w:ascii="Times New Roman" w:hAnsi="Times New Roman" w:cs="Times New Roman"/>
          <w:sz w:val="28"/>
          <w:szCs w:val="24"/>
        </w:rPr>
        <w:t>provveda alla statuizione di una</w:t>
      </w:r>
      <w:r w:rsidR="003C7B89" w:rsidRPr="00B77149">
        <w:rPr>
          <w:rFonts w:ascii="Times New Roman" w:hAnsi="Times New Roman" w:cs="Times New Roman"/>
          <w:sz w:val="28"/>
          <w:szCs w:val="24"/>
        </w:rPr>
        <w:t xml:space="preserve"> particolare ed organica disciplina per una categoria particolare di rapporti</w:t>
      </w:r>
      <w:r w:rsidR="00F76A43" w:rsidRPr="00B77149">
        <w:rPr>
          <w:rFonts w:ascii="Times New Roman" w:hAnsi="Times New Roman" w:cs="Times New Roman"/>
          <w:sz w:val="28"/>
          <w:szCs w:val="24"/>
        </w:rPr>
        <w:t xml:space="preserve"> nascenti dall’utilizzo della nave e dell’aeromobile</w:t>
      </w:r>
      <w:r w:rsidR="004839CD" w:rsidRPr="00B77149">
        <w:rPr>
          <w:rFonts w:ascii="Times New Roman" w:hAnsi="Times New Roman" w:cs="Times New Roman"/>
          <w:sz w:val="28"/>
          <w:szCs w:val="24"/>
        </w:rPr>
        <w:t xml:space="preserve"> o dei beni demaniali marittimi; in particolare delle concessioni balneari che hanno fatto ritornare in auge il codice del 1942</w:t>
      </w:r>
      <w:r w:rsidR="003C7B89" w:rsidRPr="00B77149">
        <w:rPr>
          <w:rFonts w:ascii="Times New Roman" w:hAnsi="Times New Roman" w:cs="Times New Roman"/>
          <w:sz w:val="28"/>
          <w:szCs w:val="24"/>
        </w:rPr>
        <w:t>. Si è messo in evidenza che il diritto della navigazione è caratterizzata dal particolare concorso di elementi pubblicisti e privatistici e che tale concorso si va estendendo a tutti i rami dell’ordinamento giuridico. Non si è mancato di mettere in evidenza che quei rapporti sono particolari proprio per il carattere squisitamente tecnico della materia e che da quella disciplina vanno desunti principi mediante un procedimento di astrazione da una norma o da un complesso di norme del diritto speciale. L’autonomia non esclude che il diritto della navigazione debba essere inquadrato nel sistema generale del diritto che comunque ha dei nessi profondi con le altre branche dell’ordinamento giuridico. Questa visione si distingueva da quello del cosiddetto ‘particolarismo’, affermato per il diritto marittimo dalla più antica dottrina francese, secondo la quale esso sarebbe un qualcosa di diverso dal diritto pubblico e dal diritto</w:t>
      </w:r>
      <w:r w:rsidR="00E42003" w:rsidRPr="00B77149">
        <w:rPr>
          <w:rFonts w:ascii="Times New Roman" w:hAnsi="Times New Roman" w:cs="Times New Roman"/>
          <w:sz w:val="28"/>
          <w:szCs w:val="24"/>
        </w:rPr>
        <w:t xml:space="preserve"> </w:t>
      </w:r>
      <w:r w:rsidR="003C7B89" w:rsidRPr="00B77149">
        <w:rPr>
          <w:rFonts w:ascii="Times New Roman" w:hAnsi="Times New Roman" w:cs="Times New Roman"/>
          <w:sz w:val="28"/>
          <w:szCs w:val="24"/>
        </w:rPr>
        <w:t>privato</w:t>
      </w:r>
      <w:r w:rsidR="0055158D" w:rsidRPr="00B77149">
        <w:rPr>
          <w:rStyle w:val="Rimandonotaapidipagina"/>
          <w:rFonts w:ascii="Times New Roman" w:hAnsi="Times New Roman" w:cs="Times New Roman"/>
          <w:sz w:val="28"/>
          <w:szCs w:val="24"/>
        </w:rPr>
        <w:footnoteReference w:id="5"/>
      </w:r>
      <w:r w:rsidR="003C7B89" w:rsidRPr="00B77149">
        <w:rPr>
          <w:rFonts w:ascii="Times New Roman" w:hAnsi="Times New Roman" w:cs="Times New Roman"/>
          <w:sz w:val="28"/>
          <w:szCs w:val="24"/>
        </w:rPr>
        <w:t xml:space="preserve">. </w:t>
      </w:r>
    </w:p>
    <w:p w14:paraId="39F1DF11" w14:textId="77777777" w:rsidR="003C7B89" w:rsidRPr="00B77149" w:rsidRDefault="003C7B8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È signific</w:t>
      </w:r>
      <w:r w:rsidR="00157DE5" w:rsidRPr="00B77149">
        <w:rPr>
          <w:rFonts w:ascii="Times New Roman" w:hAnsi="Times New Roman" w:cs="Times New Roman"/>
          <w:sz w:val="28"/>
          <w:szCs w:val="24"/>
        </w:rPr>
        <w:t>ativo che queste osservazioni sia</w:t>
      </w:r>
      <w:r w:rsidRPr="00B77149">
        <w:rPr>
          <w:rFonts w:ascii="Times New Roman" w:hAnsi="Times New Roman" w:cs="Times New Roman"/>
          <w:sz w:val="28"/>
          <w:szCs w:val="24"/>
        </w:rPr>
        <w:t>no state fatte</w:t>
      </w:r>
      <w:r w:rsidR="000D0BD1" w:rsidRPr="00B77149">
        <w:rPr>
          <w:rFonts w:ascii="Times New Roman" w:hAnsi="Times New Roman" w:cs="Times New Roman"/>
          <w:sz w:val="28"/>
          <w:szCs w:val="24"/>
        </w:rPr>
        <w:t xml:space="preserve"> già</w:t>
      </w:r>
      <w:r w:rsidRPr="00B77149">
        <w:rPr>
          <w:rFonts w:ascii="Times New Roman" w:hAnsi="Times New Roman" w:cs="Times New Roman"/>
          <w:sz w:val="28"/>
          <w:szCs w:val="24"/>
        </w:rPr>
        <w:t xml:space="preserve"> agli inizi del secolo scorso.</w:t>
      </w:r>
    </w:p>
    <w:p w14:paraId="0F0767F8" w14:textId="598F1AE3" w:rsidR="008401DE" w:rsidRPr="00B77149" w:rsidRDefault="00331881"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Anche a proposito dello studio dei tipi contrattuali, non si è mancato di osservare come la locazione</w:t>
      </w:r>
      <w:r w:rsidR="004A4892" w:rsidRPr="00B77149">
        <w:rPr>
          <w:rFonts w:ascii="Times New Roman" w:hAnsi="Times New Roman" w:cs="Times New Roman"/>
          <w:sz w:val="28"/>
          <w:szCs w:val="24"/>
        </w:rPr>
        <w:t xml:space="preserve"> (la </w:t>
      </w:r>
      <w:proofErr w:type="spellStart"/>
      <w:r w:rsidR="004A4892" w:rsidRPr="00B77149">
        <w:rPr>
          <w:rStyle w:val="Enfasidelicata"/>
          <w:rFonts w:ascii="Times New Roman" w:hAnsi="Times New Roman" w:cs="Times New Roman"/>
          <w:sz w:val="28"/>
          <w:szCs w:val="24"/>
        </w:rPr>
        <w:t>locatio-conductio</w:t>
      </w:r>
      <w:proofErr w:type="spellEnd"/>
      <w:r w:rsidR="004A4892" w:rsidRPr="00B77149">
        <w:rPr>
          <w:rFonts w:ascii="Times New Roman" w:hAnsi="Times New Roman" w:cs="Times New Roman"/>
          <w:sz w:val="28"/>
          <w:szCs w:val="24"/>
        </w:rPr>
        <w:t xml:space="preserve"> del diritto romano)</w:t>
      </w:r>
      <w:r w:rsidRPr="00B77149">
        <w:rPr>
          <w:rFonts w:ascii="Times New Roman" w:hAnsi="Times New Roman" w:cs="Times New Roman"/>
          <w:sz w:val="28"/>
          <w:szCs w:val="24"/>
        </w:rPr>
        <w:t xml:space="preserve"> era in origine uno schema avente una grande capacità di adattamento, per l’elaborazione dei pratici e la tecnica dei giuristi. Ad essa venivano ricondotti contratti che oggi siamo abituati a considerare distinti e che ora distintamente la legge disciplina. Infatti appartenevano alla unitaria figura della locazione molti altri sottotipi, come la locazione</w:t>
      </w:r>
      <w:r w:rsidR="00F76A43" w:rsidRPr="00B77149">
        <w:rPr>
          <w:rFonts w:ascii="Times New Roman" w:hAnsi="Times New Roman" w:cs="Times New Roman"/>
          <w:sz w:val="28"/>
          <w:szCs w:val="24"/>
        </w:rPr>
        <w:t xml:space="preserve"> di immobili urbani</w:t>
      </w:r>
      <w:r w:rsidR="00B3446A" w:rsidRPr="00B77149">
        <w:rPr>
          <w:rFonts w:ascii="Times New Roman" w:hAnsi="Times New Roman" w:cs="Times New Roman"/>
          <w:sz w:val="28"/>
          <w:szCs w:val="24"/>
        </w:rPr>
        <w:t>,</w:t>
      </w:r>
      <w:r w:rsidRPr="00B77149">
        <w:rPr>
          <w:rFonts w:ascii="Times New Roman" w:hAnsi="Times New Roman" w:cs="Times New Roman"/>
          <w:sz w:val="28"/>
          <w:szCs w:val="24"/>
        </w:rPr>
        <w:t xml:space="preserve"> l’affitto</w:t>
      </w:r>
      <w:r w:rsidR="00B3446A" w:rsidRPr="00B77149">
        <w:rPr>
          <w:rFonts w:ascii="Times New Roman" w:hAnsi="Times New Roman" w:cs="Times New Roman"/>
          <w:sz w:val="28"/>
          <w:szCs w:val="24"/>
        </w:rPr>
        <w:t>,</w:t>
      </w:r>
      <w:r w:rsidRPr="00B77149">
        <w:rPr>
          <w:rFonts w:ascii="Times New Roman" w:hAnsi="Times New Roman" w:cs="Times New Roman"/>
          <w:sz w:val="28"/>
          <w:szCs w:val="24"/>
        </w:rPr>
        <w:t xml:space="preserve"> il contratto d’opera e il lavoro subordinato.</w:t>
      </w:r>
      <w:r w:rsidR="00AA643A" w:rsidRPr="00B77149">
        <w:rPr>
          <w:rFonts w:ascii="Times New Roman" w:hAnsi="Times New Roman" w:cs="Times New Roman"/>
          <w:sz w:val="28"/>
          <w:szCs w:val="24"/>
        </w:rPr>
        <w:t xml:space="preserve"> </w:t>
      </w:r>
      <w:r w:rsidR="004A4892" w:rsidRPr="00B77149">
        <w:rPr>
          <w:rFonts w:ascii="Times New Roman" w:hAnsi="Times New Roman" w:cs="Times New Roman"/>
          <w:sz w:val="28"/>
          <w:szCs w:val="24"/>
        </w:rPr>
        <w:t>Gli ultimi due hanno assunto una autonomia scientifica netta, mentre i primi due continuano ad essere ricondotti</w:t>
      </w:r>
      <w:r w:rsidR="00684E9C" w:rsidRPr="00B77149">
        <w:rPr>
          <w:rFonts w:ascii="Times New Roman" w:hAnsi="Times New Roman" w:cs="Times New Roman"/>
          <w:sz w:val="28"/>
          <w:szCs w:val="24"/>
        </w:rPr>
        <w:t xml:space="preserve"> alla figura generale</w:t>
      </w:r>
      <w:r w:rsidR="00C41E80" w:rsidRPr="00B77149">
        <w:rPr>
          <w:rFonts w:ascii="Times New Roman" w:hAnsi="Times New Roman" w:cs="Times New Roman"/>
          <w:sz w:val="28"/>
          <w:szCs w:val="24"/>
        </w:rPr>
        <w:t>;</w:t>
      </w:r>
      <w:r w:rsidR="00684E9C" w:rsidRPr="00B77149">
        <w:rPr>
          <w:rFonts w:ascii="Times New Roman" w:hAnsi="Times New Roman" w:cs="Times New Roman"/>
          <w:sz w:val="28"/>
          <w:szCs w:val="24"/>
        </w:rPr>
        <w:t xml:space="preserve"> e nell’affitto di fondi rustici, l’affittuario è titolare di un’impresa medio o grande</w:t>
      </w:r>
      <w:r w:rsidR="004A4892" w:rsidRPr="00B77149">
        <w:rPr>
          <w:rFonts w:ascii="Times New Roman" w:hAnsi="Times New Roman" w:cs="Times New Roman"/>
          <w:sz w:val="28"/>
          <w:szCs w:val="24"/>
        </w:rPr>
        <w:t xml:space="preserve"> </w:t>
      </w:r>
      <w:r w:rsidR="00684E9C" w:rsidRPr="00B77149">
        <w:rPr>
          <w:rFonts w:ascii="Times New Roman" w:hAnsi="Times New Roman" w:cs="Times New Roman"/>
          <w:sz w:val="28"/>
          <w:szCs w:val="24"/>
        </w:rPr>
        <w:t>a seconda del capitale impiegato. Altre sottocategorie si sono aggiunte co</w:t>
      </w:r>
      <w:r w:rsidR="008401DE" w:rsidRPr="00B77149">
        <w:rPr>
          <w:rFonts w:ascii="Times New Roman" w:hAnsi="Times New Roman" w:cs="Times New Roman"/>
          <w:sz w:val="28"/>
          <w:szCs w:val="24"/>
        </w:rPr>
        <w:t>me l’affitto a coltivatore diretto</w:t>
      </w:r>
      <w:r w:rsidR="00684E9C" w:rsidRPr="00B77149">
        <w:rPr>
          <w:rFonts w:ascii="Times New Roman" w:hAnsi="Times New Roman" w:cs="Times New Roman"/>
          <w:sz w:val="28"/>
          <w:szCs w:val="24"/>
        </w:rPr>
        <w:t>, dove l’affittuario è</w:t>
      </w:r>
      <w:r w:rsidR="008401DE" w:rsidRPr="00B77149">
        <w:rPr>
          <w:rFonts w:ascii="Times New Roman" w:hAnsi="Times New Roman" w:cs="Times New Roman"/>
          <w:sz w:val="28"/>
          <w:szCs w:val="24"/>
        </w:rPr>
        <w:t xml:space="preserve"> un piccolo imprenditore che coltiva il fondo con il lavoro prevalentemente proprio e dei componenti della famiglia. In questa materia si è registrata in passato una legislazione, collocata fuori del codice civile, di favore per la classe contadina e per la stabilità dell’abitazione della famiglia, attraverso canoni prestabiliti dal legislatore, che fissava anche la durata minima del contratto</w:t>
      </w:r>
      <w:r w:rsidR="009D26D1" w:rsidRPr="00B77149">
        <w:rPr>
          <w:rFonts w:ascii="Times New Roman" w:hAnsi="Times New Roman" w:cs="Times New Roman"/>
          <w:sz w:val="28"/>
          <w:szCs w:val="24"/>
        </w:rPr>
        <w:t xml:space="preserve"> e il diritto di prelazione a favore del conduttore</w:t>
      </w:r>
      <w:r w:rsidR="0055158D" w:rsidRPr="00B77149">
        <w:rPr>
          <w:rStyle w:val="Rimandonotaapidipagina"/>
          <w:rFonts w:ascii="Times New Roman" w:hAnsi="Times New Roman" w:cs="Times New Roman"/>
          <w:sz w:val="28"/>
          <w:szCs w:val="24"/>
        </w:rPr>
        <w:footnoteReference w:id="6"/>
      </w:r>
      <w:r w:rsidR="008401DE" w:rsidRPr="00B77149">
        <w:rPr>
          <w:rFonts w:ascii="Times New Roman" w:hAnsi="Times New Roman" w:cs="Times New Roman"/>
          <w:sz w:val="28"/>
          <w:szCs w:val="24"/>
        </w:rPr>
        <w:t>.</w:t>
      </w:r>
      <w:r w:rsidR="004839CD" w:rsidRPr="00B77149">
        <w:rPr>
          <w:rFonts w:ascii="Times New Roman" w:hAnsi="Times New Roman" w:cs="Times New Roman"/>
          <w:sz w:val="28"/>
          <w:szCs w:val="24"/>
        </w:rPr>
        <w:t xml:space="preserve"> Anche le con</w:t>
      </w:r>
      <w:r w:rsidR="00682AB1" w:rsidRPr="00B77149">
        <w:rPr>
          <w:rFonts w:ascii="Times New Roman" w:hAnsi="Times New Roman" w:cs="Times New Roman"/>
          <w:sz w:val="28"/>
          <w:szCs w:val="24"/>
        </w:rPr>
        <w:t>cessioni di servizi attinenti all’uso dei</w:t>
      </w:r>
      <w:r w:rsidR="004839CD" w:rsidRPr="00B77149">
        <w:rPr>
          <w:rFonts w:ascii="Times New Roman" w:hAnsi="Times New Roman" w:cs="Times New Roman"/>
          <w:sz w:val="28"/>
          <w:szCs w:val="24"/>
        </w:rPr>
        <w:t xml:space="preserve"> beni demaniali marittimi si rifanno allo schema della locazione.</w:t>
      </w:r>
    </w:p>
    <w:p w14:paraId="2A2C51F0" w14:textId="77777777" w:rsidR="003B0344" w:rsidRPr="00B77149" w:rsidRDefault="003B034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lastRenderedPageBreak/>
        <w:t>Come si intuisce facilmente la particolare natura del bene,</w:t>
      </w:r>
      <w:r w:rsidR="00BD5306" w:rsidRPr="00B77149">
        <w:rPr>
          <w:rFonts w:ascii="Times New Roman" w:hAnsi="Times New Roman" w:cs="Times New Roman"/>
          <w:sz w:val="28"/>
          <w:szCs w:val="24"/>
        </w:rPr>
        <w:t xml:space="preserve"> ad esempio</w:t>
      </w:r>
      <w:r w:rsidRPr="00B77149">
        <w:rPr>
          <w:rFonts w:ascii="Times New Roman" w:hAnsi="Times New Roman" w:cs="Times New Roman"/>
          <w:sz w:val="28"/>
          <w:szCs w:val="24"/>
        </w:rPr>
        <w:t xml:space="preserve"> </w:t>
      </w:r>
      <w:r w:rsidR="00BD5306" w:rsidRPr="00B77149">
        <w:rPr>
          <w:rFonts w:ascii="Times New Roman" w:hAnsi="Times New Roman" w:cs="Times New Roman"/>
          <w:sz w:val="28"/>
          <w:szCs w:val="24"/>
        </w:rPr>
        <w:t xml:space="preserve">la mobilità della </w:t>
      </w:r>
      <w:r w:rsidRPr="00B77149">
        <w:rPr>
          <w:rFonts w:ascii="Times New Roman" w:hAnsi="Times New Roman" w:cs="Times New Roman"/>
          <w:sz w:val="28"/>
          <w:szCs w:val="24"/>
        </w:rPr>
        <w:t>nave e</w:t>
      </w:r>
      <w:r w:rsidR="00BD5306" w:rsidRPr="00B77149">
        <w:rPr>
          <w:rFonts w:ascii="Times New Roman" w:hAnsi="Times New Roman" w:cs="Times New Roman"/>
          <w:sz w:val="28"/>
          <w:szCs w:val="24"/>
        </w:rPr>
        <w:t xml:space="preserve"> dell’</w:t>
      </w:r>
      <w:r w:rsidRPr="00B77149">
        <w:rPr>
          <w:rFonts w:ascii="Times New Roman" w:hAnsi="Times New Roman" w:cs="Times New Roman"/>
          <w:sz w:val="28"/>
          <w:szCs w:val="24"/>
        </w:rPr>
        <w:t>aeromobile</w:t>
      </w:r>
      <w:r w:rsidR="00757DEF" w:rsidRPr="00B77149">
        <w:rPr>
          <w:rFonts w:ascii="Times New Roman" w:hAnsi="Times New Roman" w:cs="Times New Roman"/>
          <w:sz w:val="28"/>
          <w:szCs w:val="24"/>
        </w:rPr>
        <w:t xml:space="preserve"> (ma anche la natura </w:t>
      </w:r>
      <w:r w:rsidR="00DC6F42" w:rsidRPr="00B77149">
        <w:rPr>
          <w:rFonts w:ascii="Times New Roman" w:hAnsi="Times New Roman" w:cs="Times New Roman"/>
          <w:sz w:val="28"/>
          <w:szCs w:val="24"/>
        </w:rPr>
        <w:t>particolare d</w:t>
      </w:r>
      <w:r w:rsidR="00757DEF" w:rsidRPr="00B77149">
        <w:rPr>
          <w:rFonts w:ascii="Times New Roman" w:hAnsi="Times New Roman" w:cs="Times New Roman"/>
          <w:sz w:val="28"/>
          <w:szCs w:val="24"/>
        </w:rPr>
        <w:t>el demanio marittimo)</w:t>
      </w:r>
      <w:r w:rsidRPr="00B77149">
        <w:rPr>
          <w:rFonts w:ascii="Times New Roman" w:hAnsi="Times New Roman" w:cs="Times New Roman"/>
          <w:sz w:val="28"/>
          <w:szCs w:val="24"/>
        </w:rPr>
        <w:t xml:space="preserve"> nonché la produttività del bene nei fondi rustici, costituiscono il substrato giuridico di fondo da cui si dipanano i vari rapporti giuridici.</w:t>
      </w:r>
    </w:p>
    <w:p w14:paraId="01502A8D" w14:textId="46134622" w:rsidR="00C414EC" w:rsidRPr="00B77149" w:rsidRDefault="003B034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Anche per quanto riguarda il più attuale diritt</w:t>
      </w:r>
      <w:r w:rsidR="00F76A43" w:rsidRPr="00B77149">
        <w:rPr>
          <w:rFonts w:ascii="Times New Roman" w:hAnsi="Times New Roman" w:cs="Times New Roman"/>
          <w:sz w:val="28"/>
          <w:szCs w:val="24"/>
        </w:rPr>
        <w:t>o ambientale si può dire che</w:t>
      </w:r>
      <w:r w:rsidRPr="00B77149">
        <w:rPr>
          <w:rFonts w:ascii="Times New Roman" w:hAnsi="Times New Roman" w:cs="Times New Roman"/>
          <w:sz w:val="28"/>
          <w:szCs w:val="24"/>
        </w:rPr>
        <w:t xml:space="preserve"> esso è diventato una disciplina compiuta che si può studiare in modo autonomo. La materia è stata isolata da dottrine autorevoli</w:t>
      </w:r>
      <w:r w:rsidR="0055158D" w:rsidRPr="00B77149">
        <w:rPr>
          <w:rStyle w:val="Rimandonotaapidipagina"/>
          <w:rFonts w:ascii="Times New Roman" w:hAnsi="Times New Roman" w:cs="Times New Roman"/>
          <w:sz w:val="28"/>
          <w:szCs w:val="24"/>
        </w:rPr>
        <w:footnoteReference w:id="7"/>
      </w:r>
      <w:r w:rsidR="00C414EC" w:rsidRPr="00B77149">
        <w:rPr>
          <w:rFonts w:ascii="Times New Roman" w:hAnsi="Times New Roman" w:cs="Times New Roman"/>
          <w:sz w:val="28"/>
          <w:szCs w:val="24"/>
        </w:rPr>
        <w:t>, che hanno lamentato il fatto che il problema dell’ambiente non veniva esaminato in sé e che veniva erroneamente il rilievo solo nell’ambito dello studio della disciplina del territorio o dei valori paesaggistici</w:t>
      </w:r>
      <w:r w:rsidR="00F76A43" w:rsidRPr="00B77149">
        <w:rPr>
          <w:rFonts w:ascii="Times New Roman" w:hAnsi="Times New Roman" w:cs="Times New Roman"/>
          <w:sz w:val="28"/>
          <w:szCs w:val="24"/>
        </w:rPr>
        <w:t xml:space="preserve"> e</w:t>
      </w:r>
      <w:r w:rsidR="00C414EC" w:rsidRPr="00B77149">
        <w:rPr>
          <w:rFonts w:ascii="Times New Roman" w:hAnsi="Times New Roman" w:cs="Times New Roman"/>
          <w:sz w:val="28"/>
          <w:szCs w:val="24"/>
        </w:rPr>
        <w:t xml:space="preserve"> culturali, oppure ancora dell’ecologia o della lotta all’inquinamento. Da quelle intuizioni l’ambiente </w:t>
      </w:r>
      <w:r w:rsidR="009D26D1" w:rsidRPr="00B77149">
        <w:rPr>
          <w:rFonts w:ascii="Times New Roman" w:hAnsi="Times New Roman" w:cs="Times New Roman"/>
          <w:sz w:val="28"/>
          <w:szCs w:val="24"/>
        </w:rPr>
        <w:t xml:space="preserve">è </w:t>
      </w:r>
      <w:r w:rsidR="00C414EC" w:rsidRPr="00B77149">
        <w:rPr>
          <w:rFonts w:ascii="Times New Roman" w:hAnsi="Times New Roman" w:cs="Times New Roman"/>
          <w:sz w:val="28"/>
          <w:szCs w:val="24"/>
        </w:rPr>
        <w:t xml:space="preserve">diventato nel tempo un valore costituzionale e la materia è ora disciplinata dal decreto </w:t>
      </w:r>
      <w:r w:rsidR="00F76A43" w:rsidRPr="00B77149">
        <w:rPr>
          <w:rFonts w:ascii="Times New Roman" w:hAnsi="Times New Roman" w:cs="Times New Roman"/>
          <w:sz w:val="28"/>
          <w:szCs w:val="24"/>
        </w:rPr>
        <w:t>legislativo 3 aprile 2006 n.</w:t>
      </w:r>
      <w:r w:rsidR="00C414EC" w:rsidRPr="00B77149">
        <w:rPr>
          <w:rFonts w:ascii="Times New Roman" w:hAnsi="Times New Roman" w:cs="Times New Roman"/>
          <w:sz w:val="28"/>
          <w:szCs w:val="24"/>
        </w:rPr>
        <w:t xml:space="preserve"> 152, che contiene oltre 300 articoli e una serie di allegati</w:t>
      </w:r>
      <w:r w:rsidR="00F76A43" w:rsidRPr="00B77149">
        <w:rPr>
          <w:rFonts w:ascii="Times New Roman" w:hAnsi="Times New Roman" w:cs="Times New Roman"/>
          <w:sz w:val="28"/>
          <w:szCs w:val="24"/>
        </w:rPr>
        <w:t>.</w:t>
      </w:r>
      <w:r w:rsidR="00C414EC" w:rsidRPr="00B77149">
        <w:rPr>
          <w:rFonts w:ascii="Times New Roman" w:hAnsi="Times New Roman" w:cs="Times New Roman"/>
          <w:sz w:val="28"/>
          <w:szCs w:val="24"/>
        </w:rPr>
        <w:t xml:space="preserve"> </w:t>
      </w:r>
      <w:r w:rsidR="00F76A43" w:rsidRPr="00B77149">
        <w:rPr>
          <w:rFonts w:ascii="Times New Roman" w:hAnsi="Times New Roman" w:cs="Times New Roman"/>
          <w:sz w:val="28"/>
          <w:szCs w:val="24"/>
        </w:rPr>
        <w:t>E</w:t>
      </w:r>
      <w:r w:rsidR="00C414EC" w:rsidRPr="00B77149">
        <w:rPr>
          <w:rFonts w:ascii="Times New Roman" w:hAnsi="Times New Roman" w:cs="Times New Roman"/>
          <w:sz w:val="28"/>
          <w:szCs w:val="24"/>
        </w:rPr>
        <w:t>sso ha subito nel tempo molteplici modifiche e novelle.</w:t>
      </w:r>
    </w:p>
    <w:p w14:paraId="7B7D05D6" w14:textId="648276C4" w:rsidR="00F73210" w:rsidRPr="00B77149" w:rsidRDefault="00C414EC"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Vi è stato un ampio dibattito sulla individuazione di una nozione appagante dell’ambiente. Esso è stato visto dapprima come un bene, ora individuale ora collettivo, per via del fatto che si registrava al suo interno il diritto soggettivo ad un ambiente salubre. Tuttavia è prevalsa la consapevolezza che l’ambiente ha soprattutto una valenza collettiva. Ricondurre l’ambiente alla nozione di bene aveva portato alla necessità di stabilire quali fossero i suoi caratteri, ossia se si trattasse di un bene tangibile, materiale o immateriale, e quale soggetto lo avesse in attribuzione. L’approfondimento del problema ha portato ad escludere che l’ambiente sia un bene</w:t>
      </w:r>
      <w:r w:rsidR="009D26D1" w:rsidRPr="00B77149">
        <w:rPr>
          <w:rFonts w:ascii="Times New Roman" w:hAnsi="Times New Roman" w:cs="Times New Roman"/>
          <w:sz w:val="28"/>
          <w:szCs w:val="24"/>
        </w:rPr>
        <w:t>, almeno in senso tradizionale</w:t>
      </w:r>
      <w:r w:rsidRPr="00B77149">
        <w:rPr>
          <w:rFonts w:ascii="Times New Roman" w:hAnsi="Times New Roman" w:cs="Times New Roman"/>
          <w:sz w:val="28"/>
          <w:szCs w:val="24"/>
        </w:rPr>
        <w:t xml:space="preserve">. Esso è </w:t>
      </w:r>
      <w:r w:rsidR="009D26D1" w:rsidRPr="00B77149">
        <w:rPr>
          <w:rFonts w:ascii="Times New Roman" w:hAnsi="Times New Roman" w:cs="Times New Roman"/>
          <w:sz w:val="28"/>
          <w:szCs w:val="24"/>
        </w:rPr>
        <w:t xml:space="preserve">visto </w:t>
      </w:r>
      <w:r w:rsidRPr="00B77149">
        <w:rPr>
          <w:rFonts w:ascii="Times New Roman" w:hAnsi="Times New Roman" w:cs="Times New Roman"/>
          <w:sz w:val="28"/>
          <w:szCs w:val="24"/>
        </w:rPr>
        <w:t>piuttosto</w:t>
      </w:r>
      <w:r w:rsidR="001C7B22" w:rsidRPr="00B77149">
        <w:rPr>
          <w:rFonts w:ascii="Times New Roman" w:hAnsi="Times New Roman" w:cs="Times New Roman"/>
          <w:sz w:val="28"/>
          <w:szCs w:val="24"/>
        </w:rPr>
        <w:t xml:space="preserve"> come</w:t>
      </w:r>
      <w:r w:rsidRPr="00B77149">
        <w:rPr>
          <w:rFonts w:ascii="Times New Roman" w:hAnsi="Times New Roman" w:cs="Times New Roman"/>
          <w:sz w:val="28"/>
          <w:szCs w:val="24"/>
        </w:rPr>
        <w:t xml:space="preserve"> un ‘valore’ da salvaguardare con interventi legislativi e amministrativi che coesistono e si intersecano</w:t>
      </w:r>
      <w:r w:rsidR="00E42003" w:rsidRPr="00B77149">
        <w:rPr>
          <w:rFonts w:ascii="Times New Roman" w:hAnsi="Times New Roman" w:cs="Times New Roman"/>
          <w:sz w:val="28"/>
          <w:szCs w:val="24"/>
        </w:rPr>
        <w:t xml:space="preserve"> con altri principi e valori, quali lo sviluppo sostenibile e i diritti delle future generazioni</w:t>
      </w:r>
      <w:r w:rsidRPr="00B77149">
        <w:rPr>
          <w:rFonts w:ascii="Times New Roman" w:hAnsi="Times New Roman" w:cs="Times New Roman"/>
          <w:sz w:val="28"/>
          <w:szCs w:val="24"/>
        </w:rPr>
        <w:t>. Esso ha un valore unitario e quindi al tempo stesso è qualcosa di più e qualcosa di meno di un bene</w:t>
      </w:r>
      <w:r w:rsidR="0055158D" w:rsidRPr="00B77149">
        <w:rPr>
          <w:rStyle w:val="Rimandonotaapidipagina"/>
          <w:rFonts w:ascii="Times New Roman" w:hAnsi="Times New Roman" w:cs="Times New Roman"/>
          <w:sz w:val="28"/>
          <w:szCs w:val="24"/>
        </w:rPr>
        <w:footnoteReference w:id="8"/>
      </w:r>
      <w:r w:rsidRPr="00B77149">
        <w:rPr>
          <w:rFonts w:ascii="Times New Roman" w:hAnsi="Times New Roman" w:cs="Times New Roman"/>
          <w:sz w:val="28"/>
          <w:szCs w:val="24"/>
        </w:rPr>
        <w:t>.</w:t>
      </w:r>
    </w:p>
    <w:p w14:paraId="0655DFCD" w14:textId="77777777" w:rsidR="009D26D1" w:rsidRPr="00B77149" w:rsidRDefault="00F73210"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Tuttavia la categoria di bene giuridico </w:t>
      </w:r>
      <w:r w:rsidR="00C9725F" w:rsidRPr="00B77149">
        <w:rPr>
          <w:rFonts w:ascii="Times New Roman" w:hAnsi="Times New Roman" w:cs="Times New Roman"/>
          <w:sz w:val="28"/>
          <w:szCs w:val="24"/>
        </w:rPr>
        <w:t xml:space="preserve">continua </w:t>
      </w:r>
      <w:r w:rsidRPr="00B77149">
        <w:rPr>
          <w:rFonts w:ascii="Times New Roman" w:hAnsi="Times New Roman" w:cs="Times New Roman"/>
          <w:sz w:val="28"/>
          <w:szCs w:val="24"/>
        </w:rPr>
        <w:t>a far parte del dibattito in maniera non secondaria.</w:t>
      </w:r>
      <w:r w:rsidR="00A155A9" w:rsidRPr="00B77149">
        <w:rPr>
          <w:rFonts w:ascii="Times New Roman" w:hAnsi="Times New Roman" w:cs="Times New Roman"/>
          <w:sz w:val="28"/>
          <w:szCs w:val="24"/>
        </w:rPr>
        <w:t xml:space="preserve"> </w:t>
      </w:r>
    </w:p>
    <w:p w14:paraId="2777807C" w14:textId="77777777" w:rsidR="00F53CEF" w:rsidRPr="00B77149" w:rsidRDefault="00F53CEF"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Il punto di contatto più rilevante tra l’attività energetica e l’ambiente, ma a</w:t>
      </w:r>
      <w:r w:rsidR="00243548" w:rsidRPr="00B77149">
        <w:rPr>
          <w:rFonts w:ascii="Times New Roman" w:hAnsi="Times New Roman" w:cs="Times New Roman"/>
          <w:sz w:val="28"/>
          <w:szCs w:val="24"/>
        </w:rPr>
        <w:t>n</w:t>
      </w:r>
      <w:r w:rsidRPr="00B77149">
        <w:rPr>
          <w:rFonts w:ascii="Times New Roman" w:hAnsi="Times New Roman" w:cs="Times New Roman"/>
          <w:sz w:val="28"/>
          <w:szCs w:val="24"/>
        </w:rPr>
        <w:t>che con il clima</w:t>
      </w:r>
      <w:r w:rsidR="00243548" w:rsidRPr="00B77149">
        <w:rPr>
          <w:rFonts w:ascii="Times New Roman" w:hAnsi="Times New Roman" w:cs="Times New Roman"/>
          <w:sz w:val="28"/>
          <w:szCs w:val="24"/>
        </w:rPr>
        <w:t>, è normalmente conflittuale, ed è legato alle c.d. esternalità aziendali</w:t>
      </w:r>
      <w:r w:rsidR="00AE1711" w:rsidRPr="00B77149">
        <w:rPr>
          <w:rFonts w:ascii="Times New Roman" w:hAnsi="Times New Roman" w:cs="Times New Roman"/>
          <w:sz w:val="28"/>
          <w:szCs w:val="24"/>
        </w:rPr>
        <w:t xml:space="preserve"> negative</w:t>
      </w:r>
      <w:r w:rsidR="00243548" w:rsidRPr="00B77149">
        <w:rPr>
          <w:rFonts w:ascii="Times New Roman" w:hAnsi="Times New Roman" w:cs="Times New Roman"/>
          <w:sz w:val="28"/>
          <w:szCs w:val="24"/>
        </w:rPr>
        <w:t>, ossia gli effetti negativi della produzione (scorie, rifiuti tossici ed altro) che non vengono riassorbite all’interno della produzione, ma</w:t>
      </w:r>
      <w:r w:rsidR="00754E18" w:rsidRPr="00B77149">
        <w:rPr>
          <w:rFonts w:ascii="Times New Roman" w:hAnsi="Times New Roman" w:cs="Times New Roman"/>
          <w:sz w:val="28"/>
          <w:szCs w:val="24"/>
        </w:rPr>
        <w:t xml:space="preserve"> cadono</w:t>
      </w:r>
      <w:r w:rsidR="00243548" w:rsidRPr="00B77149">
        <w:rPr>
          <w:rFonts w:ascii="Times New Roman" w:hAnsi="Times New Roman" w:cs="Times New Roman"/>
          <w:sz w:val="28"/>
          <w:szCs w:val="24"/>
        </w:rPr>
        <w:t xml:space="preserve"> all’esterno sulla collettività, la cui eliminazione genera costi che il sistema della legge tende a ricondurre in capo al produttore </w:t>
      </w:r>
    </w:p>
    <w:p w14:paraId="03E373D7" w14:textId="77777777" w:rsidR="00232061" w:rsidRPr="00B77149" w:rsidRDefault="00232061" w:rsidP="001575E0">
      <w:pPr>
        <w:spacing w:after="0" w:line="240" w:lineRule="auto"/>
        <w:jc w:val="both"/>
        <w:rPr>
          <w:rFonts w:ascii="Times New Roman" w:hAnsi="Times New Roman" w:cs="Times New Roman"/>
          <w:b/>
          <w:sz w:val="28"/>
          <w:szCs w:val="24"/>
        </w:rPr>
      </w:pPr>
    </w:p>
    <w:p w14:paraId="31051E8D" w14:textId="77777777" w:rsidR="004D2D3D" w:rsidRPr="00B77149" w:rsidRDefault="004D2D3D" w:rsidP="001575E0">
      <w:pPr>
        <w:spacing w:after="0" w:line="240" w:lineRule="auto"/>
        <w:jc w:val="both"/>
        <w:rPr>
          <w:rFonts w:ascii="Times New Roman" w:hAnsi="Times New Roman" w:cs="Times New Roman"/>
          <w:b/>
          <w:sz w:val="28"/>
          <w:szCs w:val="24"/>
        </w:rPr>
      </w:pPr>
    </w:p>
    <w:p w14:paraId="6B9EBA2B" w14:textId="2C71CCFB" w:rsidR="004D2D3D" w:rsidRPr="00B77149" w:rsidRDefault="009D26D1" w:rsidP="001575E0">
      <w:pPr>
        <w:spacing w:after="0" w:line="240" w:lineRule="auto"/>
        <w:jc w:val="both"/>
        <w:rPr>
          <w:rFonts w:ascii="Times New Roman" w:hAnsi="Times New Roman" w:cs="Times New Roman"/>
          <w:b/>
          <w:sz w:val="28"/>
          <w:szCs w:val="24"/>
        </w:rPr>
      </w:pPr>
      <w:r w:rsidRPr="00B77149">
        <w:rPr>
          <w:rFonts w:ascii="Times New Roman" w:hAnsi="Times New Roman" w:cs="Times New Roman"/>
          <w:b/>
          <w:sz w:val="28"/>
          <w:szCs w:val="24"/>
        </w:rPr>
        <w:lastRenderedPageBreak/>
        <w:t>3</w:t>
      </w:r>
      <w:r w:rsidR="001575E0" w:rsidRPr="00B77149">
        <w:rPr>
          <w:rFonts w:ascii="Times New Roman" w:hAnsi="Times New Roman" w:cs="Times New Roman"/>
          <w:b/>
          <w:sz w:val="28"/>
          <w:szCs w:val="24"/>
        </w:rPr>
        <w:t>.</w:t>
      </w:r>
      <w:r w:rsidR="004D2D3D" w:rsidRPr="00B77149">
        <w:rPr>
          <w:rFonts w:ascii="Times New Roman" w:hAnsi="Times New Roman" w:cs="Times New Roman"/>
          <w:b/>
          <w:sz w:val="28"/>
          <w:szCs w:val="24"/>
        </w:rPr>
        <w:t xml:space="preserve"> La nozione sostanziale e la nozione formale di energia. Tipi forme e fonti di energia. La normativa del codice civile e del codice penale</w:t>
      </w:r>
    </w:p>
    <w:p w14:paraId="62E0E594" w14:textId="77777777" w:rsidR="004D2D3D" w:rsidRPr="00B77149" w:rsidRDefault="004D2D3D" w:rsidP="001575E0">
      <w:pPr>
        <w:spacing w:after="0" w:line="240" w:lineRule="auto"/>
        <w:jc w:val="both"/>
        <w:rPr>
          <w:rFonts w:ascii="Times New Roman" w:hAnsi="Times New Roman" w:cs="Times New Roman"/>
          <w:sz w:val="28"/>
          <w:szCs w:val="24"/>
        </w:rPr>
      </w:pPr>
    </w:p>
    <w:p w14:paraId="522DDB15" w14:textId="21EB81D7" w:rsidR="00CA7E45" w:rsidRPr="00B77149" w:rsidRDefault="003A3DF9"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Vene</w:t>
      </w:r>
      <w:r w:rsidR="001C7B22" w:rsidRPr="00B77149">
        <w:rPr>
          <w:rFonts w:ascii="Times New Roman" w:hAnsi="Times New Roman" w:cs="Times New Roman"/>
          <w:sz w:val="28"/>
          <w:szCs w:val="24"/>
        </w:rPr>
        <w:t>ndo finalmente all’energia, è necessario fornirne</w:t>
      </w:r>
      <w:r w:rsidR="009610E4" w:rsidRPr="00B77149">
        <w:rPr>
          <w:rFonts w:ascii="Times New Roman" w:hAnsi="Times New Roman" w:cs="Times New Roman"/>
          <w:sz w:val="28"/>
          <w:szCs w:val="24"/>
        </w:rPr>
        <w:t xml:space="preserve"> anzitutto</w:t>
      </w:r>
      <w:r w:rsidR="001C7B22" w:rsidRPr="00B77149">
        <w:rPr>
          <w:rFonts w:ascii="Times New Roman" w:hAnsi="Times New Roman" w:cs="Times New Roman"/>
          <w:sz w:val="28"/>
          <w:szCs w:val="24"/>
        </w:rPr>
        <w:t xml:space="preserve"> la nozione</w:t>
      </w:r>
      <w:r w:rsidR="00DC23DD" w:rsidRPr="00B77149">
        <w:rPr>
          <w:rFonts w:ascii="Times New Roman" w:hAnsi="Times New Roman" w:cs="Times New Roman"/>
          <w:sz w:val="28"/>
          <w:szCs w:val="24"/>
        </w:rPr>
        <w:t>, cosa non facile visto che la legge sul punto tace</w:t>
      </w:r>
      <w:r w:rsidR="001C7B22" w:rsidRPr="00B77149">
        <w:rPr>
          <w:rFonts w:ascii="Times New Roman" w:hAnsi="Times New Roman" w:cs="Times New Roman"/>
          <w:sz w:val="28"/>
          <w:szCs w:val="24"/>
        </w:rPr>
        <w:t xml:space="preserve">. </w:t>
      </w:r>
    </w:p>
    <w:p w14:paraId="443A8DCB" w14:textId="343F8024" w:rsidR="00BA7E69" w:rsidRPr="00B77149" w:rsidRDefault="001C7B22"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Tra quelle proposte la più precisa è quella che considera l’energia tutto ciò che ha “la capacità di compiere lavoro”</w:t>
      </w:r>
      <w:r w:rsidR="0055158D" w:rsidRPr="00B77149">
        <w:rPr>
          <w:rStyle w:val="Rimandonotaapidipagina"/>
          <w:rFonts w:ascii="Times New Roman" w:hAnsi="Times New Roman" w:cs="Times New Roman"/>
          <w:sz w:val="28"/>
          <w:szCs w:val="24"/>
        </w:rPr>
        <w:footnoteReference w:id="9"/>
      </w:r>
      <w:r w:rsidRPr="00B77149">
        <w:rPr>
          <w:rFonts w:ascii="Times New Roman" w:hAnsi="Times New Roman" w:cs="Times New Roman"/>
          <w:sz w:val="28"/>
          <w:szCs w:val="24"/>
        </w:rPr>
        <w:t>. Come si vede il vocabolo “lavoro”</w:t>
      </w:r>
      <w:r w:rsidR="001020E4" w:rsidRPr="00B77149">
        <w:rPr>
          <w:rFonts w:ascii="Times New Roman" w:hAnsi="Times New Roman" w:cs="Times New Roman"/>
          <w:sz w:val="28"/>
          <w:szCs w:val="24"/>
        </w:rPr>
        <w:t>, rispetto al quale ora l’energia va intesa come sostitutiva o accrescitiva della forza-lavoro dell’uomo,</w:t>
      </w:r>
      <w:r w:rsidRPr="00B77149">
        <w:rPr>
          <w:rFonts w:ascii="Times New Roman" w:hAnsi="Times New Roman" w:cs="Times New Roman"/>
          <w:sz w:val="28"/>
          <w:szCs w:val="24"/>
        </w:rPr>
        <w:t xml:space="preserve"> evoca le prime forme di produzione di energia, ossia il lavoro umano, compiuto dagli schiavi nell’antica Roma, e poi via via fino alla prima industrializzazione, dove il lavoro è diventato uno dei fattori della produzione</w:t>
      </w:r>
      <w:r w:rsidR="00BA7E69" w:rsidRPr="00B77149">
        <w:rPr>
          <w:rFonts w:ascii="Times New Roman" w:hAnsi="Times New Roman" w:cs="Times New Roman"/>
          <w:sz w:val="28"/>
          <w:szCs w:val="24"/>
        </w:rPr>
        <w:t xml:space="preserve"> e quindi merce di scambio con il salario riconosciuto ai lavoratori all’interno dell’impresa produttiva.</w:t>
      </w:r>
    </w:p>
    <w:p w14:paraId="155E846F" w14:textId="77777777" w:rsidR="007E2CE6" w:rsidRPr="00B77149" w:rsidRDefault="007E2CE6"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Tuttavia essa nel tempo presente assume contorni più contenuti e precisi.</w:t>
      </w:r>
      <w:r w:rsidR="00706772" w:rsidRPr="00B77149">
        <w:rPr>
          <w:rFonts w:ascii="Times New Roman" w:hAnsi="Times New Roman" w:cs="Times New Roman"/>
          <w:sz w:val="28"/>
          <w:szCs w:val="24"/>
        </w:rPr>
        <w:t xml:space="preserve"> </w:t>
      </w:r>
    </w:p>
    <w:p w14:paraId="660B4813" w14:textId="77777777" w:rsidR="004F5D3B" w:rsidRPr="00B77149" w:rsidRDefault="004F5D3B"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Nella manualistica vengono effettuate varie distinzioni. Pertanto vengono individuati più tipi di energia (animali, naturali, artificiali</w:t>
      </w:r>
      <w:r w:rsidR="00BD5306" w:rsidRPr="00B77149">
        <w:rPr>
          <w:rFonts w:ascii="Times New Roman" w:hAnsi="Times New Roman" w:cs="Times New Roman"/>
          <w:sz w:val="28"/>
          <w:szCs w:val="24"/>
        </w:rPr>
        <w:t>)</w:t>
      </w:r>
      <w:r w:rsidRPr="00B77149">
        <w:rPr>
          <w:rFonts w:ascii="Times New Roman" w:hAnsi="Times New Roman" w:cs="Times New Roman"/>
          <w:sz w:val="28"/>
          <w:szCs w:val="24"/>
        </w:rPr>
        <w:t>; forme di energia (meccanica cinetica termica e così via); fonti di energia (petrolio, carbone, uranio, gas naturale). Vi sono poi fonti di energia secondaria, come l’energia elettrica, che deriva dalla trasformazione di fonti energetiche primarie, come il carbone il petrolio e il gas naturale. Viene considerata invece fonte primaria quella idroelettrica e nucleare.</w:t>
      </w:r>
    </w:p>
    <w:p w14:paraId="59D8F21E" w14:textId="77777777" w:rsidR="00C06C4D" w:rsidRPr="00B77149" w:rsidRDefault="004F5D3B"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È importante notare come</w:t>
      </w:r>
      <w:r w:rsidR="00696F6D" w:rsidRPr="00B77149">
        <w:rPr>
          <w:rFonts w:ascii="Times New Roman" w:hAnsi="Times New Roman" w:cs="Times New Roman"/>
          <w:sz w:val="28"/>
          <w:szCs w:val="24"/>
        </w:rPr>
        <w:t>,</w:t>
      </w:r>
      <w:r w:rsidRPr="00B77149">
        <w:rPr>
          <w:rFonts w:ascii="Times New Roman" w:hAnsi="Times New Roman" w:cs="Times New Roman"/>
          <w:sz w:val="28"/>
          <w:szCs w:val="24"/>
        </w:rPr>
        <w:t xml:space="preserve"> mentre il gas e gli idrocarburi hanno una consistenza materiale percepibile </w:t>
      </w:r>
      <w:r w:rsidR="00696F6D" w:rsidRPr="00B77149">
        <w:rPr>
          <w:rFonts w:ascii="Times New Roman" w:hAnsi="Times New Roman" w:cs="Times New Roman"/>
          <w:sz w:val="28"/>
          <w:szCs w:val="24"/>
        </w:rPr>
        <w:t>-</w:t>
      </w:r>
      <w:r w:rsidRPr="00B77149">
        <w:rPr>
          <w:rFonts w:ascii="Times New Roman" w:hAnsi="Times New Roman" w:cs="Times New Roman"/>
          <w:sz w:val="28"/>
          <w:szCs w:val="24"/>
        </w:rPr>
        <w:t>in quanto si tratta di sostanze fluide,</w:t>
      </w:r>
      <w:r w:rsidR="00696F6D" w:rsidRPr="00B77149">
        <w:rPr>
          <w:rFonts w:ascii="Times New Roman" w:hAnsi="Times New Roman" w:cs="Times New Roman"/>
          <w:sz w:val="28"/>
          <w:szCs w:val="24"/>
        </w:rPr>
        <w:t xml:space="preserve"> e quindi comodamente rientrante nei beni mobili-</w:t>
      </w:r>
      <w:r w:rsidRPr="00B77149">
        <w:rPr>
          <w:rFonts w:ascii="Times New Roman" w:hAnsi="Times New Roman" w:cs="Times New Roman"/>
          <w:sz w:val="28"/>
          <w:szCs w:val="24"/>
        </w:rPr>
        <w:t xml:space="preserve"> l’energia elettrica ha una particolare natura trattandosi di una cosa incorporale, misurabile in</w:t>
      </w:r>
      <w:r w:rsidRPr="00B77149">
        <w:rPr>
          <w:rStyle w:val="CitazioneCarattere"/>
          <w:rFonts w:ascii="Times New Roman" w:hAnsi="Times New Roman" w:cs="Times New Roman"/>
          <w:sz w:val="28"/>
          <w:szCs w:val="24"/>
        </w:rPr>
        <w:t xml:space="preserve"> watt</w:t>
      </w:r>
      <w:r w:rsidRPr="00B77149">
        <w:rPr>
          <w:rFonts w:ascii="Times New Roman" w:hAnsi="Times New Roman" w:cs="Times New Roman"/>
          <w:sz w:val="28"/>
          <w:szCs w:val="24"/>
        </w:rPr>
        <w:t xml:space="preserve"> di potenza </w:t>
      </w:r>
      <w:r w:rsidR="00696F6D" w:rsidRPr="00B77149">
        <w:rPr>
          <w:rFonts w:ascii="Times New Roman" w:hAnsi="Times New Roman" w:cs="Times New Roman"/>
          <w:sz w:val="28"/>
          <w:szCs w:val="24"/>
        </w:rPr>
        <w:t>ed è caratterizzata dalla assenza di autonomia, ossia non può essere isolata dalla fonte dalla quale si sprigiona. Tant’è che il codice penale (art. 624, comma 2</w:t>
      </w:r>
      <w:r w:rsidR="00C41E80" w:rsidRPr="00B77149">
        <w:rPr>
          <w:rFonts w:ascii="Times New Roman" w:hAnsi="Times New Roman" w:cs="Times New Roman"/>
          <w:sz w:val="28"/>
          <w:szCs w:val="24"/>
        </w:rPr>
        <w:t>, c.p.</w:t>
      </w:r>
      <w:r w:rsidR="00696F6D" w:rsidRPr="00B77149">
        <w:rPr>
          <w:rFonts w:ascii="Times New Roman" w:hAnsi="Times New Roman" w:cs="Times New Roman"/>
          <w:sz w:val="28"/>
          <w:szCs w:val="24"/>
        </w:rPr>
        <w:t xml:space="preserve">) è costretto a ricorrere ad una </w:t>
      </w:r>
      <w:r w:rsidR="00450B40" w:rsidRPr="00B77149">
        <w:rPr>
          <w:rFonts w:ascii="Times New Roman" w:hAnsi="Times New Roman" w:cs="Times New Roman"/>
          <w:sz w:val="28"/>
          <w:szCs w:val="24"/>
        </w:rPr>
        <w:t>analogia</w:t>
      </w:r>
      <w:r w:rsidR="00696F6D" w:rsidRPr="00B77149">
        <w:rPr>
          <w:rFonts w:ascii="Times New Roman" w:hAnsi="Times New Roman" w:cs="Times New Roman"/>
          <w:sz w:val="28"/>
          <w:szCs w:val="24"/>
        </w:rPr>
        <w:t xml:space="preserve"> giuridica laddove</w:t>
      </w:r>
      <w:r w:rsidR="00CB7F1B" w:rsidRPr="00B77149">
        <w:rPr>
          <w:rFonts w:ascii="Times New Roman" w:hAnsi="Times New Roman" w:cs="Times New Roman"/>
          <w:sz w:val="28"/>
          <w:szCs w:val="24"/>
        </w:rPr>
        <w:t xml:space="preserve"> nel definire il reato di furto, attrae in questo anche</w:t>
      </w:r>
      <w:r w:rsidR="00696F6D" w:rsidRPr="00B77149">
        <w:rPr>
          <w:rFonts w:ascii="Times New Roman" w:hAnsi="Times New Roman" w:cs="Times New Roman"/>
          <w:sz w:val="28"/>
          <w:szCs w:val="24"/>
        </w:rPr>
        <w:t xml:space="preserve"> il furto di energia elettrica ed ogni altra energia che abbia un valore economico. Peraltro anche il codice civile ricorre alla medesima tecnica della finzione, laddove, nel</w:t>
      </w:r>
      <w:r w:rsidR="00CB7F1B" w:rsidRPr="00B77149">
        <w:rPr>
          <w:rFonts w:ascii="Times New Roman" w:hAnsi="Times New Roman" w:cs="Times New Roman"/>
          <w:sz w:val="28"/>
          <w:szCs w:val="24"/>
        </w:rPr>
        <w:t xml:space="preserve"> classificare</w:t>
      </w:r>
      <w:r w:rsidR="00696F6D" w:rsidRPr="00B77149">
        <w:rPr>
          <w:rFonts w:ascii="Times New Roman" w:hAnsi="Times New Roman" w:cs="Times New Roman"/>
          <w:sz w:val="28"/>
          <w:szCs w:val="24"/>
        </w:rPr>
        <w:t xml:space="preserve"> le energie naturali che hanno un valore economico, le equipara a tutti gli altri beni mobili, dedicandovi uno specifico articolo</w:t>
      </w:r>
      <w:r w:rsidR="00CB7F1B" w:rsidRPr="00B77149">
        <w:rPr>
          <w:rFonts w:ascii="Times New Roman" w:hAnsi="Times New Roman" w:cs="Times New Roman"/>
          <w:sz w:val="28"/>
          <w:szCs w:val="24"/>
        </w:rPr>
        <w:t xml:space="preserve"> (814 c. c.).</w:t>
      </w:r>
    </w:p>
    <w:p w14:paraId="72CD5458" w14:textId="77777777" w:rsidR="00CA7E45" w:rsidRPr="00B77149" w:rsidRDefault="00C06C4D"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D</w:t>
      </w:r>
      <w:r w:rsidR="00CB7F1B" w:rsidRPr="00B77149">
        <w:rPr>
          <w:rFonts w:ascii="Times New Roman" w:hAnsi="Times New Roman" w:cs="Times New Roman"/>
          <w:sz w:val="28"/>
          <w:szCs w:val="24"/>
        </w:rPr>
        <w:t>unque nel sistema</w:t>
      </w:r>
      <w:r w:rsidR="00305F0F" w:rsidRPr="00B77149">
        <w:rPr>
          <w:rFonts w:ascii="Times New Roman" w:hAnsi="Times New Roman" w:cs="Times New Roman"/>
          <w:sz w:val="28"/>
          <w:szCs w:val="24"/>
        </w:rPr>
        <w:t xml:space="preserve"> della legge</w:t>
      </w:r>
      <w:r w:rsidR="00CB7F1B" w:rsidRPr="00B77149">
        <w:rPr>
          <w:rFonts w:ascii="Times New Roman" w:hAnsi="Times New Roman" w:cs="Times New Roman"/>
          <w:sz w:val="28"/>
          <w:szCs w:val="24"/>
        </w:rPr>
        <w:t xml:space="preserve"> l’energia è un bene mobile, con tutte le conseguenze che tale classificazione comporta. È un bene perché ha un valore economico-industriale, come dimostra già il R. D. 29 luglio 1927, n. 1443, laddove assoggettava al regime delle miniere le energie del sottosuolo suscettibili di utilizzazione industriale. Ed è un bene mobile perché tale il legislatore lo considera.</w:t>
      </w:r>
      <w:r w:rsidR="00CA7E45" w:rsidRPr="00B77149">
        <w:rPr>
          <w:rFonts w:ascii="Times New Roman" w:hAnsi="Times New Roman" w:cs="Times New Roman"/>
          <w:sz w:val="28"/>
          <w:szCs w:val="24"/>
        </w:rPr>
        <w:t xml:space="preserve"> Inoltre il gas e l’energia elettrica sono beni consumabili (art.</w:t>
      </w:r>
      <w:r w:rsidR="00F32767" w:rsidRPr="00B77149">
        <w:rPr>
          <w:rFonts w:ascii="Times New Roman" w:hAnsi="Times New Roman" w:cs="Times New Roman"/>
          <w:sz w:val="28"/>
          <w:szCs w:val="24"/>
        </w:rPr>
        <w:t xml:space="preserve"> </w:t>
      </w:r>
      <w:r w:rsidR="00CA7E45" w:rsidRPr="00B77149">
        <w:rPr>
          <w:rFonts w:ascii="Times New Roman" w:hAnsi="Times New Roman" w:cs="Times New Roman"/>
          <w:sz w:val="28"/>
          <w:szCs w:val="24"/>
        </w:rPr>
        <w:t>995 c</w:t>
      </w:r>
      <w:r w:rsidR="00C41E80" w:rsidRPr="00B77149">
        <w:rPr>
          <w:rFonts w:ascii="Times New Roman" w:hAnsi="Times New Roman" w:cs="Times New Roman"/>
          <w:sz w:val="28"/>
          <w:szCs w:val="24"/>
        </w:rPr>
        <w:t>.</w:t>
      </w:r>
      <w:r w:rsidR="00CA7E45" w:rsidRPr="00B77149">
        <w:rPr>
          <w:rFonts w:ascii="Times New Roman" w:hAnsi="Times New Roman" w:cs="Times New Roman"/>
          <w:sz w:val="28"/>
          <w:szCs w:val="24"/>
        </w:rPr>
        <w:t xml:space="preserve"> c</w:t>
      </w:r>
      <w:r w:rsidR="00C41E80" w:rsidRPr="00B77149">
        <w:rPr>
          <w:rFonts w:ascii="Times New Roman" w:hAnsi="Times New Roman" w:cs="Times New Roman"/>
          <w:sz w:val="28"/>
          <w:szCs w:val="24"/>
        </w:rPr>
        <w:t>.</w:t>
      </w:r>
      <w:r w:rsidR="00CA7E45" w:rsidRPr="00B77149">
        <w:rPr>
          <w:rFonts w:ascii="Times New Roman" w:hAnsi="Times New Roman" w:cs="Times New Roman"/>
          <w:sz w:val="28"/>
          <w:szCs w:val="24"/>
        </w:rPr>
        <w:t>).</w:t>
      </w:r>
    </w:p>
    <w:p w14:paraId="4A299FF1" w14:textId="77777777" w:rsidR="00777AA5" w:rsidRPr="00B77149" w:rsidRDefault="00C06C4D"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Inoltre, l’energia elettrica, che, come si vedrà, costituisce il paradigma dell’evoluzione dei vari regimi giuridici che si sono susseguiti nel tempo, è anche </w:t>
      </w:r>
      <w:r w:rsidRPr="00B77149">
        <w:rPr>
          <w:rFonts w:ascii="Times New Roman" w:hAnsi="Times New Roman" w:cs="Times New Roman"/>
          <w:sz w:val="28"/>
          <w:szCs w:val="24"/>
        </w:rPr>
        <w:lastRenderedPageBreak/>
        <w:t>una cosa incorporale</w:t>
      </w:r>
      <w:r w:rsidR="00C41E80" w:rsidRPr="00B77149">
        <w:rPr>
          <w:rFonts w:ascii="Times New Roman" w:hAnsi="Times New Roman" w:cs="Times New Roman"/>
          <w:sz w:val="28"/>
          <w:szCs w:val="24"/>
        </w:rPr>
        <w:t>,</w:t>
      </w:r>
      <w:r w:rsidRPr="00B77149">
        <w:rPr>
          <w:rFonts w:ascii="Times New Roman" w:hAnsi="Times New Roman" w:cs="Times New Roman"/>
          <w:sz w:val="28"/>
          <w:szCs w:val="24"/>
        </w:rPr>
        <w:t xml:space="preserve"> non separabile dal corpo materiale che la produce e la contiene. Essa rimane tale sia che venga prodotta da fonti rinnovabili (gli impianti eolici) sia che venga prodotta da fonti tradizionali (carbone).</w:t>
      </w:r>
      <w:r w:rsidR="00356542" w:rsidRPr="00B77149">
        <w:rPr>
          <w:rFonts w:ascii="Times New Roman" w:hAnsi="Times New Roman" w:cs="Times New Roman"/>
          <w:sz w:val="28"/>
          <w:szCs w:val="24"/>
        </w:rPr>
        <w:t xml:space="preserve"> E nonostante le avanzate tecnologie oggi disponibili, essa non è immagazzinabile se non per mezzo di batterie e quindi in quantità ridotte e misurabili. Questo comporta che vi deve essere una corrispondenza tra i flussi di entrata e i flussi di uscita attraverso la creazione di un sistema di reti centralizzato, necessariamente sottoposto a controllo</w:t>
      </w:r>
      <w:r w:rsidR="00486F39" w:rsidRPr="00B77149">
        <w:rPr>
          <w:rFonts w:ascii="Times New Roman" w:hAnsi="Times New Roman" w:cs="Times New Roman"/>
          <w:sz w:val="28"/>
          <w:szCs w:val="24"/>
        </w:rPr>
        <w:t xml:space="preserve"> pubblico</w:t>
      </w:r>
      <w:r w:rsidR="00356542" w:rsidRPr="00B77149">
        <w:rPr>
          <w:rFonts w:ascii="Times New Roman" w:hAnsi="Times New Roman" w:cs="Times New Roman"/>
          <w:sz w:val="28"/>
          <w:szCs w:val="24"/>
        </w:rPr>
        <w:t xml:space="preserve"> per garantire la continuità e la stabilità della frequenza di rete (servizio di dispacciamento). Data l’importanza e la diffusione dell’energia elettrica nel nostro paese (ma questo vale per tutti i paesi industrializzati del mondo), è stata necessaria la creazione di reti operanti a livello nazionale. Lo stesso sistema</w:t>
      </w:r>
      <w:r w:rsidR="00D80F0F" w:rsidRPr="00B77149">
        <w:rPr>
          <w:rFonts w:ascii="Times New Roman" w:hAnsi="Times New Roman" w:cs="Times New Roman"/>
          <w:sz w:val="28"/>
          <w:szCs w:val="24"/>
        </w:rPr>
        <w:t xml:space="preserve"> vale per il gas immesso nei gasdotti.</w:t>
      </w:r>
    </w:p>
    <w:p w14:paraId="75120EBA" w14:textId="77777777" w:rsidR="001575E0" w:rsidRPr="00B77149" w:rsidRDefault="001575E0" w:rsidP="001575E0">
      <w:pPr>
        <w:spacing w:after="0" w:line="240" w:lineRule="auto"/>
        <w:jc w:val="both"/>
        <w:rPr>
          <w:rFonts w:ascii="Times New Roman" w:hAnsi="Times New Roman" w:cs="Times New Roman"/>
          <w:b/>
          <w:sz w:val="28"/>
          <w:szCs w:val="24"/>
        </w:rPr>
      </w:pPr>
    </w:p>
    <w:p w14:paraId="4D580576" w14:textId="77777777" w:rsidR="00CD187E" w:rsidRPr="00B77149" w:rsidRDefault="00CD187E" w:rsidP="001575E0">
      <w:pPr>
        <w:spacing w:after="0" w:line="240" w:lineRule="auto"/>
        <w:jc w:val="both"/>
        <w:rPr>
          <w:rFonts w:ascii="Times New Roman" w:hAnsi="Times New Roman" w:cs="Times New Roman"/>
          <w:b/>
          <w:sz w:val="28"/>
          <w:szCs w:val="24"/>
        </w:rPr>
      </w:pPr>
    </w:p>
    <w:p w14:paraId="65C4F006" w14:textId="38FC97CA" w:rsidR="00CD187E" w:rsidRPr="00B77149" w:rsidRDefault="00CD187E" w:rsidP="001575E0">
      <w:pPr>
        <w:spacing w:after="0" w:line="240" w:lineRule="auto"/>
        <w:jc w:val="both"/>
        <w:rPr>
          <w:rFonts w:ascii="Times New Roman" w:hAnsi="Times New Roman" w:cs="Times New Roman"/>
          <w:b/>
          <w:sz w:val="28"/>
          <w:szCs w:val="24"/>
        </w:rPr>
      </w:pPr>
      <w:r w:rsidRPr="00B77149">
        <w:rPr>
          <w:rFonts w:ascii="Times New Roman" w:hAnsi="Times New Roman" w:cs="Times New Roman"/>
          <w:b/>
          <w:sz w:val="28"/>
          <w:szCs w:val="24"/>
        </w:rPr>
        <w:t>4. Il bene-energia e il bene-rete. La necessaria costituzione del servizio pubblico a seguito del tramonto dei monopoli di diritto e del pericolo costante della formazione di monopoli di fatto. Il ruolo delle autorità amministrative indipendenti (ARERA e AGCOM)</w:t>
      </w:r>
    </w:p>
    <w:p w14:paraId="585C6A78" w14:textId="77777777" w:rsidR="00CD187E" w:rsidRPr="00B77149" w:rsidRDefault="00CD187E" w:rsidP="001575E0">
      <w:pPr>
        <w:spacing w:after="0" w:line="240" w:lineRule="auto"/>
        <w:jc w:val="both"/>
        <w:rPr>
          <w:rFonts w:ascii="Times New Roman" w:hAnsi="Times New Roman" w:cs="Times New Roman"/>
          <w:b/>
          <w:sz w:val="28"/>
          <w:szCs w:val="24"/>
        </w:rPr>
      </w:pPr>
    </w:p>
    <w:p w14:paraId="39E9B0A6" w14:textId="4F38FD5B" w:rsidR="00C06C4D" w:rsidRPr="00B77149" w:rsidRDefault="00D80F0F"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Questo comporta che il sistema delle reti e l’energia che in esse viene immessa costituiscono un vero e proprio bene primario per l’intera collettività. Ciò postula che il potere pubblico, per poter far fronte alle esigenze della collettività, deve organizzare un vero e proprio servizio pubblico o se si vuole un servizio di intere</w:t>
      </w:r>
      <w:r w:rsidR="00135C0E" w:rsidRPr="00B77149">
        <w:rPr>
          <w:rFonts w:ascii="Times New Roman" w:hAnsi="Times New Roman" w:cs="Times New Roman"/>
          <w:sz w:val="28"/>
          <w:szCs w:val="24"/>
        </w:rPr>
        <w:t>sse generale, secondo</w:t>
      </w:r>
      <w:r w:rsidR="00CA7E45" w:rsidRPr="00B77149">
        <w:rPr>
          <w:rFonts w:ascii="Times New Roman" w:hAnsi="Times New Roman" w:cs="Times New Roman"/>
          <w:sz w:val="28"/>
          <w:szCs w:val="24"/>
        </w:rPr>
        <w:t xml:space="preserve"> la terminologia</w:t>
      </w:r>
      <w:r w:rsidR="00135C0E" w:rsidRPr="00B77149">
        <w:rPr>
          <w:rFonts w:ascii="Times New Roman" w:hAnsi="Times New Roman" w:cs="Times New Roman"/>
          <w:sz w:val="28"/>
          <w:szCs w:val="24"/>
        </w:rPr>
        <w:t xml:space="preserve"> </w:t>
      </w:r>
      <w:r w:rsidR="00CA7E45" w:rsidRPr="00B77149">
        <w:rPr>
          <w:rFonts w:ascii="Times New Roman" w:hAnsi="Times New Roman" w:cs="Times New Roman"/>
          <w:sz w:val="28"/>
          <w:szCs w:val="24"/>
        </w:rPr>
        <w:t>de</w:t>
      </w:r>
      <w:r w:rsidR="00135C0E" w:rsidRPr="00B77149">
        <w:rPr>
          <w:rFonts w:ascii="Times New Roman" w:hAnsi="Times New Roman" w:cs="Times New Roman"/>
          <w:sz w:val="28"/>
          <w:szCs w:val="24"/>
        </w:rPr>
        <w:t>l diritto</w:t>
      </w:r>
      <w:r w:rsidRPr="00B77149">
        <w:rPr>
          <w:rFonts w:ascii="Times New Roman" w:hAnsi="Times New Roman" w:cs="Times New Roman"/>
          <w:sz w:val="28"/>
          <w:szCs w:val="24"/>
        </w:rPr>
        <w:t xml:space="preserve"> euro</w:t>
      </w:r>
      <w:r w:rsidR="00F32767" w:rsidRPr="00B77149">
        <w:rPr>
          <w:rFonts w:ascii="Times New Roman" w:hAnsi="Times New Roman" w:cs="Times New Roman"/>
          <w:sz w:val="28"/>
          <w:szCs w:val="24"/>
        </w:rPr>
        <w:t>peo</w:t>
      </w:r>
      <w:r w:rsidRPr="00B77149">
        <w:rPr>
          <w:rFonts w:ascii="Times New Roman" w:hAnsi="Times New Roman" w:cs="Times New Roman"/>
          <w:sz w:val="28"/>
          <w:szCs w:val="24"/>
        </w:rPr>
        <w:t>.</w:t>
      </w:r>
    </w:p>
    <w:p w14:paraId="552AB0D0" w14:textId="77777777" w:rsidR="00F32767" w:rsidRPr="00B77149" w:rsidRDefault="00C8340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Da ciò deriva che è possibile individuare, </w:t>
      </w:r>
      <w:r w:rsidR="00432AC5" w:rsidRPr="00B77149">
        <w:rPr>
          <w:rFonts w:ascii="Times New Roman" w:hAnsi="Times New Roman" w:cs="Times New Roman"/>
          <w:sz w:val="28"/>
          <w:szCs w:val="24"/>
        </w:rPr>
        <w:t>accanto al bene energia</w:t>
      </w:r>
      <w:r w:rsidRPr="00B77149">
        <w:rPr>
          <w:rFonts w:ascii="Times New Roman" w:hAnsi="Times New Roman" w:cs="Times New Roman"/>
          <w:sz w:val="28"/>
          <w:szCs w:val="24"/>
        </w:rPr>
        <w:t>,</w:t>
      </w:r>
      <w:r w:rsidR="00432AC5" w:rsidRPr="00B77149">
        <w:rPr>
          <w:rFonts w:ascii="Times New Roman" w:hAnsi="Times New Roman" w:cs="Times New Roman"/>
          <w:sz w:val="28"/>
          <w:szCs w:val="24"/>
        </w:rPr>
        <w:t xml:space="preserve"> un altro bene di più recen</w:t>
      </w:r>
      <w:r w:rsidR="005F04B0" w:rsidRPr="00B77149">
        <w:rPr>
          <w:rFonts w:ascii="Times New Roman" w:hAnsi="Times New Roman" w:cs="Times New Roman"/>
          <w:sz w:val="28"/>
          <w:szCs w:val="24"/>
        </w:rPr>
        <w:t>te creazione, ossia la r</w:t>
      </w:r>
      <w:r w:rsidR="00C574BE" w:rsidRPr="00B77149">
        <w:rPr>
          <w:rFonts w:ascii="Times New Roman" w:hAnsi="Times New Roman" w:cs="Times New Roman"/>
          <w:sz w:val="28"/>
          <w:szCs w:val="24"/>
        </w:rPr>
        <w:t>ete.</w:t>
      </w:r>
    </w:p>
    <w:p w14:paraId="61CDF39A" w14:textId="77777777" w:rsidR="00F32767" w:rsidRPr="00B77149" w:rsidRDefault="00C574BE"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 Le reti</w:t>
      </w:r>
      <w:r w:rsidR="00432AC5" w:rsidRPr="00B77149">
        <w:rPr>
          <w:rFonts w:ascii="Times New Roman" w:hAnsi="Times New Roman" w:cs="Times New Roman"/>
          <w:sz w:val="28"/>
          <w:szCs w:val="24"/>
        </w:rPr>
        <w:t xml:space="preserve"> </w:t>
      </w:r>
      <w:r w:rsidRPr="00B77149">
        <w:rPr>
          <w:rFonts w:ascii="Times New Roman" w:hAnsi="Times New Roman" w:cs="Times New Roman"/>
          <w:sz w:val="28"/>
          <w:szCs w:val="24"/>
        </w:rPr>
        <w:t>sono</w:t>
      </w:r>
      <w:r w:rsidR="00432AC5" w:rsidRPr="00B77149">
        <w:rPr>
          <w:rFonts w:ascii="Times New Roman" w:hAnsi="Times New Roman" w:cs="Times New Roman"/>
          <w:sz w:val="28"/>
          <w:szCs w:val="24"/>
        </w:rPr>
        <w:t xml:space="preserve"> un vero e proprio bene in senso giuridico</w:t>
      </w:r>
      <w:r w:rsidR="00135C0E" w:rsidRPr="00B77149">
        <w:rPr>
          <w:rFonts w:ascii="Times New Roman" w:hAnsi="Times New Roman" w:cs="Times New Roman"/>
          <w:sz w:val="28"/>
          <w:szCs w:val="24"/>
        </w:rPr>
        <w:t>, che, per il loro modo di presentarsi nel mondo materiale, generalme</w:t>
      </w:r>
      <w:r w:rsidRPr="00B77149">
        <w:rPr>
          <w:rFonts w:ascii="Times New Roman" w:hAnsi="Times New Roman" w:cs="Times New Roman"/>
          <w:sz w:val="28"/>
          <w:szCs w:val="24"/>
        </w:rPr>
        <w:t>n</w:t>
      </w:r>
      <w:r w:rsidR="00135C0E" w:rsidRPr="00B77149">
        <w:rPr>
          <w:rFonts w:ascii="Times New Roman" w:hAnsi="Times New Roman" w:cs="Times New Roman"/>
          <w:sz w:val="28"/>
          <w:szCs w:val="24"/>
        </w:rPr>
        <w:t xml:space="preserve">te </w:t>
      </w:r>
      <w:r w:rsidR="00AE1711" w:rsidRPr="00B77149">
        <w:rPr>
          <w:rFonts w:ascii="Times New Roman" w:hAnsi="Times New Roman" w:cs="Times New Roman"/>
          <w:sz w:val="28"/>
          <w:szCs w:val="24"/>
        </w:rPr>
        <w:t xml:space="preserve">impianti </w:t>
      </w:r>
      <w:r w:rsidR="00135C0E" w:rsidRPr="00B77149">
        <w:rPr>
          <w:rFonts w:ascii="Times New Roman" w:hAnsi="Times New Roman" w:cs="Times New Roman"/>
          <w:sz w:val="28"/>
          <w:szCs w:val="24"/>
        </w:rPr>
        <w:t>radic</w:t>
      </w:r>
      <w:r w:rsidR="00AE1711" w:rsidRPr="00B77149">
        <w:rPr>
          <w:rFonts w:ascii="Times New Roman" w:hAnsi="Times New Roman" w:cs="Times New Roman"/>
          <w:sz w:val="28"/>
          <w:szCs w:val="24"/>
        </w:rPr>
        <w:t>ati</w:t>
      </w:r>
      <w:r w:rsidR="00135C0E" w:rsidRPr="00B77149">
        <w:rPr>
          <w:rFonts w:ascii="Times New Roman" w:hAnsi="Times New Roman" w:cs="Times New Roman"/>
          <w:sz w:val="28"/>
          <w:szCs w:val="24"/>
        </w:rPr>
        <w:t xml:space="preserve"> al suolo, ma anche nel caso di mulini</w:t>
      </w:r>
      <w:r w:rsidRPr="00B77149">
        <w:rPr>
          <w:rFonts w:ascii="Times New Roman" w:hAnsi="Times New Roman" w:cs="Times New Roman"/>
          <w:sz w:val="28"/>
          <w:szCs w:val="24"/>
        </w:rPr>
        <w:t xml:space="preserve"> ad acqua (esistono ancora mulini che producono energia elettrica) s</w:t>
      </w:r>
      <w:r w:rsidR="00135C0E" w:rsidRPr="00B77149">
        <w:rPr>
          <w:rFonts w:ascii="Times New Roman" w:hAnsi="Times New Roman" w:cs="Times New Roman"/>
          <w:sz w:val="28"/>
          <w:szCs w:val="24"/>
        </w:rPr>
        <w:t>ono beni immobili</w:t>
      </w:r>
      <w:r w:rsidRPr="00B77149">
        <w:rPr>
          <w:rFonts w:ascii="Times New Roman" w:hAnsi="Times New Roman" w:cs="Times New Roman"/>
          <w:sz w:val="28"/>
          <w:szCs w:val="24"/>
        </w:rPr>
        <w:t>, ai sensi dell’art. 812 del codice civile. Basti pensare alle reti elettriche e di telecom</w:t>
      </w:r>
      <w:r w:rsidR="00636C57" w:rsidRPr="00B77149">
        <w:rPr>
          <w:rFonts w:ascii="Times New Roman" w:hAnsi="Times New Roman" w:cs="Times New Roman"/>
          <w:sz w:val="28"/>
          <w:szCs w:val="24"/>
        </w:rPr>
        <w:t>u</w:t>
      </w:r>
      <w:r w:rsidRPr="00B77149">
        <w:rPr>
          <w:rFonts w:ascii="Times New Roman" w:hAnsi="Times New Roman" w:cs="Times New Roman"/>
          <w:sz w:val="28"/>
          <w:szCs w:val="24"/>
        </w:rPr>
        <w:t>nicazione che portano energia alle abitazioni o alla rete ferroviaria o alla fibra o agli uffici locali del servizio postale.</w:t>
      </w:r>
      <w:r w:rsidR="00432AC5" w:rsidRPr="00B77149">
        <w:rPr>
          <w:rFonts w:ascii="Times New Roman" w:hAnsi="Times New Roman" w:cs="Times New Roman"/>
          <w:sz w:val="28"/>
          <w:szCs w:val="24"/>
        </w:rPr>
        <w:t xml:space="preserve"> </w:t>
      </w:r>
      <w:r w:rsidR="00636C57" w:rsidRPr="00B77149">
        <w:rPr>
          <w:rFonts w:ascii="Times New Roman" w:hAnsi="Times New Roman" w:cs="Times New Roman"/>
          <w:sz w:val="28"/>
          <w:szCs w:val="24"/>
        </w:rPr>
        <w:t>Normalmente le reti non sono replicabili dato il loro elevatissimo costo economic</w:t>
      </w:r>
      <w:r w:rsidR="00227BC6" w:rsidRPr="00B77149">
        <w:rPr>
          <w:rFonts w:ascii="Times New Roman" w:hAnsi="Times New Roman" w:cs="Times New Roman"/>
          <w:sz w:val="28"/>
          <w:szCs w:val="24"/>
        </w:rPr>
        <w:t>o e quindi l’operatore</w:t>
      </w:r>
      <w:r w:rsidR="00636C57" w:rsidRPr="00B77149">
        <w:rPr>
          <w:rFonts w:ascii="Times New Roman" w:hAnsi="Times New Roman" w:cs="Times New Roman"/>
          <w:sz w:val="28"/>
          <w:szCs w:val="24"/>
        </w:rPr>
        <w:t xml:space="preserve"> deve poter accedere alla rete che innerva il mercato di riferimento, altrimenti l’attività d’impresa gli è preclusa. Questa è la ragione per cui a</w:t>
      </w:r>
      <w:r w:rsidR="00432AC5" w:rsidRPr="00B77149">
        <w:rPr>
          <w:rFonts w:ascii="Times New Roman" w:hAnsi="Times New Roman" w:cs="Times New Roman"/>
          <w:sz w:val="28"/>
          <w:szCs w:val="24"/>
        </w:rPr>
        <w:t>ttorno a</w:t>
      </w:r>
      <w:r w:rsidRPr="00B77149">
        <w:rPr>
          <w:rFonts w:ascii="Times New Roman" w:hAnsi="Times New Roman" w:cs="Times New Roman"/>
          <w:sz w:val="28"/>
          <w:szCs w:val="24"/>
        </w:rPr>
        <w:t>lle reti</w:t>
      </w:r>
      <w:r w:rsidR="00432AC5" w:rsidRPr="00B77149">
        <w:rPr>
          <w:rFonts w:ascii="Times New Roman" w:hAnsi="Times New Roman" w:cs="Times New Roman"/>
          <w:sz w:val="28"/>
          <w:szCs w:val="24"/>
        </w:rPr>
        <w:t xml:space="preserve"> si addens</w:t>
      </w:r>
      <w:r w:rsidR="00636C57" w:rsidRPr="00B77149">
        <w:rPr>
          <w:rFonts w:ascii="Times New Roman" w:hAnsi="Times New Roman" w:cs="Times New Roman"/>
          <w:sz w:val="28"/>
          <w:szCs w:val="24"/>
        </w:rPr>
        <w:t>ano rapporti giuridici complessi</w:t>
      </w:r>
      <w:r w:rsidR="00432AC5" w:rsidRPr="00B77149">
        <w:rPr>
          <w:rFonts w:ascii="Times New Roman" w:hAnsi="Times New Roman" w:cs="Times New Roman"/>
          <w:sz w:val="28"/>
          <w:szCs w:val="24"/>
        </w:rPr>
        <w:t>, che</w:t>
      </w:r>
      <w:r w:rsidR="00135C0E" w:rsidRPr="00B77149">
        <w:rPr>
          <w:rFonts w:ascii="Times New Roman" w:hAnsi="Times New Roman" w:cs="Times New Roman"/>
          <w:sz w:val="28"/>
          <w:szCs w:val="24"/>
        </w:rPr>
        <w:t xml:space="preserve"> implicano la soluzione</w:t>
      </w:r>
      <w:r w:rsidR="00432AC5" w:rsidRPr="00B77149">
        <w:rPr>
          <w:rFonts w:ascii="Times New Roman" w:hAnsi="Times New Roman" w:cs="Times New Roman"/>
          <w:sz w:val="28"/>
          <w:szCs w:val="24"/>
        </w:rPr>
        <w:t xml:space="preserve"> di problemi legati alla proprietà e alla gestione</w:t>
      </w:r>
      <w:r w:rsidR="00636C57" w:rsidRPr="00B77149">
        <w:rPr>
          <w:rFonts w:ascii="Times New Roman" w:hAnsi="Times New Roman" w:cs="Times New Roman"/>
          <w:sz w:val="28"/>
          <w:szCs w:val="24"/>
        </w:rPr>
        <w:t xml:space="preserve"> della rete, oltre a quelli legati all’attività più propriamente commerciale</w:t>
      </w:r>
      <w:r w:rsidR="00432AC5" w:rsidRPr="00B77149">
        <w:rPr>
          <w:rFonts w:ascii="Times New Roman" w:hAnsi="Times New Roman" w:cs="Times New Roman"/>
          <w:sz w:val="28"/>
          <w:szCs w:val="24"/>
        </w:rPr>
        <w:t>.</w:t>
      </w:r>
      <w:r w:rsidR="00074FB6" w:rsidRPr="00B77149">
        <w:rPr>
          <w:rFonts w:ascii="Times New Roman" w:hAnsi="Times New Roman" w:cs="Times New Roman"/>
          <w:sz w:val="28"/>
          <w:szCs w:val="24"/>
        </w:rPr>
        <w:t xml:space="preserve"> A questi si affiancano</w:t>
      </w:r>
      <w:r w:rsidR="00636C57" w:rsidRPr="00B77149">
        <w:rPr>
          <w:rFonts w:ascii="Times New Roman" w:hAnsi="Times New Roman" w:cs="Times New Roman"/>
          <w:sz w:val="28"/>
          <w:szCs w:val="24"/>
        </w:rPr>
        <w:t>, oltre ai</w:t>
      </w:r>
      <w:r w:rsidR="00074FB6" w:rsidRPr="00B77149">
        <w:rPr>
          <w:rFonts w:ascii="Times New Roman" w:hAnsi="Times New Roman" w:cs="Times New Roman"/>
          <w:sz w:val="28"/>
          <w:szCs w:val="24"/>
        </w:rPr>
        <w:t xml:space="preserve"> rapporti tra il gestore</w:t>
      </w:r>
      <w:r w:rsidR="00636C57" w:rsidRPr="00B77149">
        <w:rPr>
          <w:rFonts w:ascii="Times New Roman" w:hAnsi="Times New Roman" w:cs="Times New Roman"/>
          <w:sz w:val="28"/>
          <w:szCs w:val="24"/>
        </w:rPr>
        <w:t xml:space="preserve"> della rete</w:t>
      </w:r>
      <w:r w:rsidR="00074FB6" w:rsidRPr="00B77149">
        <w:rPr>
          <w:rFonts w:ascii="Times New Roman" w:hAnsi="Times New Roman" w:cs="Times New Roman"/>
          <w:sz w:val="28"/>
          <w:szCs w:val="24"/>
        </w:rPr>
        <w:t xml:space="preserve"> e gli operatori economici</w:t>
      </w:r>
      <w:r w:rsidR="00636C57" w:rsidRPr="00B77149">
        <w:rPr>
          <w:rFonts w:ascii="Times New Roman" w:hAnsi="Times New Roman" w:cs="Times New Roman"/>
          <w:sz w:val="28"/>
          <w:szCs w:val="24"/>
        </w:rPr>
        <w:t>, anche quelli legati alla</w:t>
      </w:r>
      <w:r w:rsidR="007E0D33" w:rsidRPr="00B77149">
        <w:rPr>
          <w:rFonts w:ascii="Times New Roman" w:hAnsi="Times New Roman" w:cs="Times New Roman"/>
          <w:sz w:val="28"/>
          <w:szCs w:val="24"/>
        </w:rPr>
        <w:t xml:space="preserve"> corretta</w:t>
      </w:r>
      <w:r w:rsidR="00636C57" w:rsidRPr="00B77149">
        <w:rPr>
          <w:rFonts w:ascii="Times New Roman" w:hAnsi="Times New Roman" w:cs="Times New Roman"/>
          <w:sz w:val="28"/>
          <w:szCs w:val="24"/>
        </w:rPr>
        <w:t xml:space="preserve"> concorrenza tra imprese private e private</w:t>
      </w:r>
      <w:r w:rsidR="009E0E8E" w:rsidRPr="00B77149">
        <w:rPr>
          <w:rFonts w:ascii="Times New Roman" w:hAnsi="Times New Roman" w:cs="Times New Roman"/>
          <w:sz w:val="28"/>
          <w:szCs w:val="24"/>
        </w:rPr>
        <w:t>-</w:t>
      </w:r>
      <w:r w:rsidR="00636C57" w:rsidRPr="00B77149">
        <w:rPr>
          <w:rFonts w:ascii="Times New Roman" w:hAnsi="Times New Roman" w:cs="Times New Roman"/>
          <w:sz w:val="28"/>
          <w:szCs w:val="24"/>
        </w:rPr>
        <w:t xml:space="preserve"> pubbliche</w:t>
      </w:r>
      <w:r w:rsidR="00F32767" w:rsidRPr="00B77149">
        <w:rPr>
          <w:rFonts w:ascii="Times New Roman" w:hAnsi="Times New Roman" w:cs="Times New Roman"/>
          <w:sz w:val="28"/>
          <w:szCs w:val="24"/>
        </w:rPr>
        <w:t>.</w:t>
      </w:r>
    </w:p>
    <w:p w14:paraId="35074532" w14:textId="77777777" w:rsidR="00432AC5" w:rsidRPr="00B77149" w:rsidRDefault="00F32767"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A questi vanno aggiunti</w:t>
      </w:r>
      <w:r w:rsidR="00074FB6" w:rsidRPr="00B77149">
        <w:rPr>
          <w:rFonts w:ascii="Times New Roman" w:hAnsi="Times New Roman" w:cs="Times New Roman"/>
          <w:sz w:val="28"/>
          <w:szCs w:val="24"/>
        </w:rPr>
        <w:t xml:space="preserve"> quelli con le autorità amministrative preposte al controllo del buon andamento del mercato</w:t>
      </w:r>
      <w:r w:rsidR="009E0E8E" w:rsidRPr="00B77149">
        <w:rPr>
          <w:rFonts w:ascii="Times New Roman" w:hAnsi="Times New Roman" w:cs="Times New Roman"/>
          <w:sz w:val="28"/>
          <w:szCs w:val="24"/>
        </w:rPr>
        <w:t xml:space="preserve"> di riferimento</w:t>
      </w:r>
      <w:r w:rsidR="00074FB6" w:rsidRPr="00B77149">
        <w:rPr>
          <w:rFonts w:ascii="Times New Roman" w:hAnsi="Times New Roman" w:cs="Times New Roman"/>
          <w:sz w:val="28"/>
          <w:szCs w:val="24"/>
        </w:rPr>
        <w:t>.</w:t>
      </w:r>
      <w:r w:rsidR="00227BC6" w:rsidRPr="00B77149">
        <w:rPr>
          <w:rFonts w:ascii="Times New Roman" w:hAnsi="Times New Roman" w:cs="Times New Roman"/>
          <w:sz w:val="28"/>
          <w:szCs w:val="24"/>
        </w:rPr>
        <w:t xml:space="preserve"> I conflitti che insorgono </w:t>
      </w:r>
      <w:r w:rsidR="00227BC6" w:rsidRPr="00B77149">
        <w:rPr>
          <w:rFonts w:ascii="Times New Roman" w:hAnsi="Times New Roman" w:cs="Times New Roman"/>
          <w:sz w:val="28"/>
          <w:szCs w:val="24"/>
        </w:rPr>
        <w:lastRenderedPageBreak/>
        <w:t>vengono risolti dall’autorità amministrativa indipendente preposta al settore di mercato (ora ARERA) e dal giudice amministrativo.</w:t>
      </w:r>
    </w:p>
    <w:p w14:paraId="72F6585E" w14:textId="22CF670F" w:rsidR="002027E3" w:rsidRPr="00B77149" w:rsidRDefault="002027E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Le reti hanno interessato a tal punto gli studiosi di diritto pubblico dell’economia</w:t>
      </w:r>
      <w:r w:rsidR="0055158D" w:rsidRPr="00B77149">
        <w:rPr>
          <w:rStyle w:val="Rimandonotaapidipagina"/>
          <w:rFonts w:ascii="Times New Roman" w:hAnsi="Times New Roman" w:cs="Times New Roman"/>
          <w:sz w:val="28"/>
          <w:szCs w:val="24"/>
        </w:rPr>
        <w:footnoteReference w:id="10"/>
      </w:r>
      <w:r w:rsidR="00B97AA4" w:rsidRPr="00B77149">
        <w:rPr>
          <w:rFonts w:ascii="Times New Roman" w:hAnsi="Times New Roman" w:cs="Times New Roman"/>
          <w:sz w:val="28"/>
          <w:szCs w:val="24"/>
        </w:rPr>
        <w:t xml:space="preserve"> che si è ipotizzato un vero e proprio </w:t>
      </w:r>
      <w:r w:rsidR="00024C2D" w:rsidRPr="00B77149">
        <w:rPr>
          <w:rFonts w:ascii="Times New Roman" w:hAnsi="Times New Roman" w:cs="Times New Roman"/>
          <w:sz w:val="28"/>
          <w:szCs w:val="24"/>
        </w:rPr>
        <w:t>‘</w:t>
      </w:r>
      <w:r w:rsidR="00B97AA4" w:rsidRPr="00B77149">
        <w:rPr>
          <w:rFonts w:ascii="Times New Roman" w:hAnsi="Times New Roman" w:cs="Times New Roman"/>
          <w:sz w:val="28"/>
          <w:szCs w:val="24"/>
        </w:rPr>
        <w:t>diritto delle reti</w:t>
      </w:r>
      <w:r w:rsidR="00024C2D" w:rsidRPr="00B77149">
        <w:rPr>
          <w:rFonts w:ascii="Times New Roman" w:hAnsi="Times New Roman" w:cs="Times New Roman"/>
          <w:sz w:val="28"/>
          <w:szCs w:val="24"/>
        </w:rPr>
        <w:t>’</w:t>
      </w:r>
      <w:r w:rsidR="00B97AA4" w:rsidRPr="00B77149">
        <w:rPr>
          <w:rFonts w:ascii="Times New Roman" w:hAnsi="Times New Roman" w:cs="Times New Roman"/>
          <w:sz w:val="28"/>
          <w:szCs w:val="24"/>
        </w:rPr>
        <w:t xml:space="preserve"> nei mercati regolamentati, separato dal diritto che governa i settori in cui esse vengono in rilievo. Le reti innervano non soltanto i settori dell’energia elettrica</w:t>
      </w:r>
      <w:r w:rsidR="00900EBA" w:rsidRPr="00B77149">
        <w:rPr>
          <w:rFonts w:ascii="Times New Roman" w:hAnsi="Times New Roman" w:cs="Times New Roman"/>
          <w:sz w:val="28"/>
          <w:szCs w:val="24"/>
        </w:rPr>
        <w:t>, delle ferrovie</w:t>
      </w:r>
      <w:r w:rsidR="00B97AA4" w:rsidRPr="00B77149">
        <w:rPr>
          <w:rFonts w:ascii="Times New Roman" w:hAnsi="Times New Roman" w:cs="Times New Roman"/>
          <w:sz w:val="28"/>
          <w:szCs w:val="24"/>
        </w:rPr>
        <w:t xml:space="preserve"> e del gas, ma anche quelli della comunicazione elettronica</w:t>
      </w:r>
      <w:r w:rsidR="00951740" w:rsidRPr="00B77149">
        <w:rPr>
          <w:rFonts w:ascii="Times New Roman" w:hAnsi="Times New Roman" w:cs="Times New Roman"/>
          <w:sz w:val="28"/>
          <w:szCs w:val="24"/>
        </w:rPr>
        <w:t xml:space="preserve"> e postale</w:t>
      </w:r>
      <w:r w:rsidR="00B97AA4" w:rsidRPr="00B77149">
        <w:rPr>
          <w:rFonts w:ascii="Times New Roman" w:hAnsi="Times New Roman" w:cs="Times New Roman"/>
          <w:sz w:val="28"/>
          <w:szCs w:val="24"/>
        </w:rPr>
        <w:t xml:space="preserve">, dell’acqua, </w:t>
      </w:r>
      <w:r w:rsidR="00900EBA" w:rsidRPr="00B77149">
        <w:rPr>
          <w:rFonts w:ascii="Times New Roman" w:hAnsi="Times New Roman" w:cs="Times New Roman"/>
          <w:sz w:val="28"/>
          <w:szCs w:val="24"/>
        </w:rPr>
        <w:t>de</w:t>
      </w:r>
      <w:r w:rsidR="00B97AA4" w:rsidRPr="00B77149">
        <w:rPr>
          <w:rFonts w:ascii="Times New Roman" w:hAnsi="Times New Roman" w:cs="Times New Roman"/>
          <w:sz w:val="28"/>
          <w:szCs w:val="24"/>
        </w:rPr>
        <w:t xml:space="preserve">i rifiuti, </w:t>
      </w:r>
      <w:r w:rsidR="00900EBA" w:rsidRPr="00B77149">
        <w:rPr>
          <w:rFonts w:ascii="Times New Roman" w:hAnsi="Times New Roman" w:cs="Times New Roman"/>
          <w:sz w:val="28"/>
          <w:szCs w:val="24"/>
        </w:rPr>
        <w:t>del</w:t>
      </w:r>
      <w:r w:rsidR="00B97AA4" w:rsidRPr="00B77149">
        <w:rPr>
          <w:rFonts w:ascii="Times New Roman" w:hAnsi="Times New Roman" w:cs="Times New Roman"/>
          <w:sz w:val="28"/>
          <w:szCs w:val="24"/>
        </w:rPr>
        <w:t xml:space="preserve">le autostrade, </w:t>
      </w:r>
      <w:r w:rsidR="00900EBA" w:rsidRPr="00B77149">
        <w:rPr>
          <w:rFonts w:ascii="Times New Roman" w:hAnsi="Times New Roman" w:cs="Times New Roman"/>
          <w:sz w:val="28"/>
          <w:szCs w:val="24"/>
        </w:rPr>
        <w:t>de</w:t>
      </w:r>
      <w:r w:rsidR="00B97AA4" w:rsidRPr="00B77149">
        <w:rPr>
          <w:rFonts w:ascii="Times New Roman" w:hAnsi="Times New Roman" w:cs="Times New Roman"/>
          <w:sz w:val="28"/>
          <w:szCs w:val="24"/>
        </w:rPr>
        <w:t xml:space="preserve">gli aeroporti, </w:t>
      </w:r>
      <w:r w:rsidR="00900EBA" w:rsidRPr="00B77149">
        <w:rPr>
          <w:rFonts w:ascii="Times New Roman" w:hAnsi="Times New Roman" w:cs="Times New Roman"/>
          <w:sz w:val="28"/>
          <w:szCs w:val="24"/>
        </w:rPr>
        <w:t>de</w:t>
      </w:r>
      <w:r w:rsidR="00B97AA4" w:rsidRPr="00B77149">
        <w:rPr>
          <w:rFonts w:ascii="Times New Roman" w:hAnsi="Times New Roman" w:cs="Times New Roman"/>
          <w:sz w:val="28"/>
          <w:szCs w:val="24"/>
        </w:rPr>
        <w:t>i porti</w:t>
      </w:r>
      <w:r w:rsidR="00900EBA" w:rsidRPr="00B77149">
        <w:rPr>
          <w:rFonts w:ascii="Times New Roman" w:hAnsi="Times New Roman" w:cs="Times New Roman"/>
          <w:sz w:val="28"/>
          <w:szCs w:val="24"/>
        </w:rPr>
        <w:t xml:space="preserve"> e del trasporto locale.</w:t>
      </w:r>
    </w:p>
    <w:p w14:paraId="6FA8F9BE" w14:textId="77777777" w:rsidR="00951740" w:rsidRPr="00B77149" w:rsidRDefault="00951740"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Quindi la rete è una infrastruttura essenziale nel settore dell’energia, anche se non esclusiva di tale settore.</w:t>
      </w:r>
    </w:p>
    <w:p w14:paraId="4081E7EF" w14:textId="70A1C8E7" w:rsidR="00951740" w:rsidRPr="00B77149" w:rsidRDefault="00951740"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In realtà proprio la presenza di essa</w:t>
      </w:r>
      <w:r w:rsidR="00E046FA" w:rsidRPr="00B77149">
        <w:rPr>
          <w:rFonts w:ascii="Times New Roman" w:hAnsi="Times New Roman" w:cs="Times New Roman"/>
          <w:sz w:val="28"/>
          <w:szCs w:val="24"/>
        </w:rPr>
        <w:t>, unitamente alle esternalità negative sull’ambiente e alle asimmetrie informative,</w:t>
      </w:r>
      <w:r w:rsidRPr="00B77149">
        <w:rPr>
          <w:rFonts w:ascii="Times New Roman" w:hAnsi="Times New Roman" w:cs="Times New Roman"/>
          <w:sz w:val="28"/>
          <w:szCs w:val="24"/>
        </w:rPr>
        <w:t xml:space="preserve"> ha impedito il realizzarsi di una vera e propria liberalizzazione</w:t>
      </w:r>
      <w:r w:rsidR="007F4E50" w:rsidRPr="00B77149">
        <w:rPr>
          <w:rFonts w:ascii="Times New Roman" w:hAnsi="Times New Roman" w:cs="Times New Roman"/>
          <w:sz w:val="28"/>
          <w:szCs w:val="24"/>
        </w:rPr>
        <w:t xml:space="preserve"> del settore energetico</w:t>
      </w:r>
      <w:r w:rsidRPr="00B77149">
        <w:rPr>
          <w:rFonts w:ascii="Times New Roman" w:hAnsi="Times New Roman" w:cs="Times New Roman"/>
          <w:sz w:val="28"/>
          <w:szCs w:val="24"/>
        </w:rPr>
        <w:t xml:space="preserve"> sulla spinta europea</w:t>
      </w:r>
      <w:r w:rsidR="00F53CEF" w:rsidRPr="00B77149">
        <w:rPr>
          <w:rFonts w:ascii="Times New Roman" w:hAnsi="Times New Roman" w:cs="Times New Roman"/>
          <w:sz w:val="28"/>
          <w:szCs w:val="24"/>
        </w:rPr>
        <w:t xml:space="preserve"> (</w:t>
      </w:r>
      <w:r w:rsidR="005A5597" w:rsidRPr="00B77149">
        <w:rPr>
          <w:rFonts w:ascii="Times New Roman" w:hAnsi="Times New Roman" w:cs="Times New Roman"/>
          <w:sz w:val="28"/>
          <w:szCs w:val="24"/>
        </w:rPr>
        <w:t xml:space="preserve">c.d. </w:t>
      </w:r>
      <w:r w:rsidR="00F53CEF" w:rsidRPr="00B77149">
        <w:rPr>
          <w:rFonts w:ascii="Times New Roman" w:hAnsi="Times New Roman" w:cs="Times New Roman"/>
          <w:sz w:val="28"/>
          <w:szCs w:val="24"/>
        </w:rPr>
        <w:t>fallimento del mercato)</w:t>
      </w:r>
      <w:r w:rsidRPr="00B77149">
        <w:rPr>
          <w:rFonts w:ascii="Times New Roman" w:hAnsi="Times New Roman" w:cs="Times New Roman"/>
          <w:sz w:val="28"/>
          <w:szCs w:val="24"/>
        </w:rPr>
        <w:t>,</w:t>
      </w:r>
      <w:r w:rsidR="007F4E50" w:rsidRPr="00B77149">
        <w:rPr>
          <w:rFonts w:ascii="Times New Roman" w:hAnsi="Times New Roman" w:cs="Times New Roman"/>
          <w:sz w:val="28"/>
          <w:szCs w:val="24"/>
        </w:rPr>
        <w:t xml:space="preserve"> che ha </w:t>
      </w:r>
      <w:r w:rsidRPr="00B77149">
        <w:rPr>
          <w:rFonts w:ascii="Times New Roman" w:hAnsi="Times New Roman" w:cs="Times New Roman"/>
          <w:sz w:val="28"/>
          <w:szCs w:val="24"/>
        </w:rPr>
        <w:t>voluto estendere il principio della libera concorrenza anche ai settori produttivi sottoposti a un rigido sistema pubblicistico, dove l’attività era interamente riservata al potere pubblico, attraverso la creazione di enti pubblici che operavano in un regime di monopolio legale.</w:t>
      </w:r>
      <w:r w:rsidR="00330755" w:rsidRPr="00B77149">
        <w:rPr>
          <w:rFonts w:ascii="Times New Roman" w:hAnsi="Times New Roman" w:cs="Times New Roman"/>
          <w:sz w:val="28"/>
          <w:szCs w:val="24"/>
        </w:rPr>
        <w:t xml:space="preserve"> Con la trasformazione degli enti pubblici preposti al settore energetico in società per azioni private non si eliminava il problema</w:t>
      </w:r>
      <w:r w:rsidR="007F4E50" w:rsidRPr="00B77149">
        <w:rPr>
          <w:rFonts w:ascii="Times New Roman" w:hAnsi="Times New Roman" w:cs="Times New Roman"/>
          <w:sz w:val="28"/>
          <w:szCs w:val="24"/>
        </w:rPr>
        <w:t xml:space="preserve">, </w:t>
      </w:r>
      <w:r w:rsidR="00F32767" w:rsidRPr="00B77149">
        <w:rPr>
          <w:rFonts w:ascii="Times New Roman" w:hAnsi="Times New Roman" w:cs="Times New Roman"/>
          <w:sz w:val="28"/>
          <w:szCs w:val="24"/>
        </w:rPr>
        <w:t xml:space="preserve">poiché </w:t>
      </w:r>
      <w:r w:rsidR="00330755" w:rsidRPr="00B77149">
        <w:rPr>
          <w:rFonts w:ascii="Times New Roman" w:hAnsi="Times New Roman" w:cs="Times New Roman"/>
          <w:sz w:val="28"/>
          <w:szCs w:val="24"/>
        </w:rPr>
        <w:t xml:space="preserve">l’esistenza di una infrastruttura non duplicabile sul piano della convenienza economica generava un monopolio di fatto. Da qui la necessità di una disciplina che imponesse alla società proprietaria della rete </w:t>
      </w:r>
      <w:r w:rsidR="00AF30C1" w:rsidRPr="00B77149">
        <w:rPr>
          <w:rFonts w:ascii="Times New Roman" w:hAnsi="Times New Roman" w:cs="Times New Roman"/>
          <w:sz w:val="28"/>
          <w:szCs w:val="24"/>
        </w:rPr>
        <w:t xml:space="preserve">di consentire </w:t>
      </w:r>
      <w:r w:rsidR="00330755" w:rsidRPr="00B77149">
        <w:rPr>
          <w:rFonts w:ascii="Times New Roman" w:hAnsi="Times New Roman" w:cs="Times New Roman"/>
          <w:sz w:val="28"/>
          <w:szCs w:val="24"/>
        </w:rPr>
        <w:t>l’accesso delle imprese che intendessero utilizzarla, a parità di condizioni e senza discriminazioni</w:t>
      </w:r>
      <w:r w:rsidR="00AF30C1" w:rsidRPr="00B77149">
        <w:rPr>
          <w:rFonts w:ascii="Times New Roman" w:hAnsi="Times New Roman" w:cs="Times New Roman"/>
          <w:sz w:val="28"/>
          <w:szCs w:val="24"/>
        </w:rPr>
        <w:t xml:space="preserve"> non giustificate</w:t>
      </w:r>
      <w:r w:rsidR="00330755" w:rsidRPr="00B77149">
        <w:rPr>
          <w:rFonts w:ascii="Times New Roman" w:hAnsi="Times New Roman" w:cs="Times New Roman"/>
          <w:sz w:val="28"/>
          <w:szCs w:val="24"/>
        </w:rPr>
        <w:t>, utilizzando meccanismi di gara nel caso in cui la capacità dell’infrastruttura si rivelasse insufficiente in relazione alla domanda di utilizzo</w:t>
      </w:r>
      <w:r w:rsidR="0055158D" w:rsidRPr="00B77149">
        <w:rPr>
          <w:rStyle w:val="Rimandonotaapidipagina"/>
          <w:rFonts w:ascii="Times New Roman" w:hAnsi="Times New Roman" w:cs="Times New Roman"/>
          <w:sz w:val="28"/>
          <w:szCs w:val="24"/>
        </w:rPr>
        <w:footnoteReference w:id="11"/>
      </w:r>
      <w:r w:rsidR="00330755" w:rsidRPr="00B77149">
        <w:rPr>
          <w:rFonts w:ascii="Times New Roman" w:hAnsi="Times New Roman" w:cs="Times New Roman"/>
          <w:sz w:val="28"/>
          <w:szCs w:val="24"/>
        </w:rPr>
        <w:t>.</w:t>
      </w:r>
    </w:p>
    <w:p w14:paraId="52AB83AE" w14:textId="77777777" w:rsidR="00330755" w:rsidRPr="00B77149" w:rsidRDefault="00330755"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Va anche ricordato che</w:t>
      </w:r>
      <w:r w:rsidR="009A2816" w:rsidRPr="00B77149">
        <w:rPr>
          <w:rFonts w:ascii="Times New Roman" w:hAnsi="Times New Roman" w:cs="Times New Roman"/>
          <w:sz w:val="28"/>
          <w:szCs w:val="24"/>
        </w:rPr>
        <w:t xml:space="preserve"> l’esistenza di un monopolio di fatto, nonostante il trasferimento formale a soggetti pubblici della proprietà della rete, ha comportato che il proprietario, oltre a gestirla, abbia anche svolto attività di utilizzazione della stessa</w:t>
      </w:r>
      <w:r w:rsidR="00C42C3B" w:rsidRPr="00B77149">
        <w:rPr>
          <w:rFonts w:ascii="Times New Roman" w:hAnsi="Times New Roman" w:cs="Times New Roman"/>
          <w:sz w:val="28"/>
          <w:szCs w:val="24"/>
        </w:rPr>
        <w:t xml:space="preserve"> ( si pensi </w:t>
      </w:r>
      <w:r w:rsidR="00AF30C1" w:rsidRPr="00B77149">
        <w:rPr>
          <w:rFonts w:ascii="Times New Roman" w:hAnsi="Times New Roman" w:cs="Times New Roman"/>
          <w:sz w:val="28"/>
          <w:szCs w:val="24"/>
        </w:rPr>
        <w:t xml:space="preserve">nel trasporto ferroviario a </w:t>
      </w:r>
      <w:r w:rsidR="007F4E50" w:rsidRPr="00B77149">
        <w:rPr>
          <w:rFonts w:ascii="Times New Roman" w:hAnsi="Times New Roman" w:cs="Times New Roman"/>
          <w:sz w:val="28"/>
          <w:szCs w:val="24"/>
        </w:rPr>
        <w:t>Trenitalia e Italo</w:t>
      </w:r>
      <w:r w:rsidR="00D2252A" w:rsidRPr="00B77149">
        <w:rPr>
          <w:rFonts w:ascii="Times New Roman" w:hAnsi="Times New Roman" w:cs="Times New Roman"/>
          <w:sz w:val="28"/>
          <w:szCs w:val="24"/>
        </w:rPr>
        <w:t>)</w:t>
      </w:r>
      <w:r w:rsidR="009A2816" w:rsidRPr="00B77149">
        <w:rPr>
          <w:rFonts w:ascii="Times New Roman" w:hAnsi="Times New Roman" w:cs="Times New Roman"/>
          <w:sz w:val="28"/>
          <w:szCs w:val="24"/>
        </w:rPr>
        <w:t>, configurando così la possibilità di un abuso di posizione dominante e quindi la possibilità di intervento da parte dell’autorità preposta a garantire la corretta concorrenza (AGCOM)</w:t>
      </w:r>
      <w:r w:rsidR="00D2252A" w:rsidRPr="00B77149">
        <w:rPr>
          <w:rFonts w:ascii="Times New Roman" w:hAnsi="Times New Roman" w:cs="Times New Roman"/>
          <w:sz w:val="28"/>
          <w:szCs w:val="24"/>
        </w:rPr>
        <w:t xml:space="preserve">, che pure, in virtù della sua trasversalità, contribuisce a governare il settore, assieme all’ARERA </w:t>
      </w:r>
      <w:r w:rsidR="009A2816" w:rsidRPr="00B77149">
        <w:rPr>
          <w:rFonts w:ascii="Times New Roman" w:hAnsi="Times New Roman" w:cs="Times New Roman"/>
          <w:sz w:val="28"/>
          <w:szCs w:val="24"/>
        </w:rPr>
        <w:t>.</w:t>
      </w:r>
    </w:p>
    <w:p w14:paraId="18E78B78" w14:textId="77777777" w:rsidR="008621F3" w:rsidRPr="00B77149" w:rsidRDefault="009A2816"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Questo ha indotto i legislatori</w:t>
      </w:r>
      <w:r w:rsidR="008621F3" w:rsidRPr="00B77149">
        <w:rPr>
          <w:rFonts w:ascii="Times New Roman" w:hAnsi="Times New Roman" w:cs="Times New Roman"/>
          <w:sz w:val="28"/>
          <w:szCs w:val="24"/>
        </w:rPr>
        <w:t xml:space="preserve"> nazionali ed europei a vedere con un certo sfavore le società </w:t>
      </w:r>
      <w:r w:rsidR="00C42C3B" w:rsidRPr="00B77149">
        <w:rPr>
          <w:rFonts w:ascii="Times New Roman" w:hAnsi="Times New Roman" w:cs="Times New Roman"/>
          <w:sz w:val="28"/>
          <w:szCs w:val="24"/>
        </w:rPr>
        <w:t>‘</w:t>
      </w:r>
      <w:r w:rsidR="008621F3" w:rsidRPr="00B77149">
        <w:rPr>
          <w:rFonts w:ascii="Times New Roman" w:hAnsi="Times New Roman" w:cs="Times New Roman"/>
          <w:sz w:val="28"/>
          <w:szCs w:val="24"/>
        </w:rPr>
        <w:t>verticalmente integrate</w:t>
      </w:r>
      <w:r w:rsidR="00C42C3B" w:rsidRPr="00B77149">
        <w:rPr>
          <w:rFonts w:ascii="Times New Roman" w:hAnsi="Times New Roman" w:cs="Times New Roman"/>
          <w:sz w:val="28"/>
          <w:szCs w:val="24"/>
        </w:rPr>
        <w:t>’</w:t>
      </w:r>
      <w:r w:rsidR="008621F3" w:rsidRPr="00B77149">
        <w:rPr>
          <w:rFonts w:ascii="Times New Roman" w:hAnsi="Times New Roman" w:cs="Times New Roman"/>
          <w:sz w:val="28"/>
          <w:szCs w:val="24"/>
        </w:rPr>
        <w:t xml:space="preserve">, privilegiando invece la separazione tra il soggetto gestore e il soggetto proprietario-utilizzatore, attraverso l’instaurazione di un regime pubblicistico del servizio reso dall’infrastruttura </w:t>
      </w:r>
      <w:r w:rsidR="008621F3" w:rsidRPr="00B77149">
        <w:rPr>
          <w:rFonts w:ascii="Times New Roman" w:hAnsi="Times New Roman" w:cs="Times New Roman"/>
          <w:sz w:val="28"/>
          <w:szCs w:val="24"/>
        </w:rPr>
        <w:lastRenderedPageBreak/>
        <w:t>medesima, considerata come oggetto di un servizio pubblico</w:t>
      </w:r>
      <w:r w:rsidR="00D2252A" w:rsidRPr="00B77149">
        <w:rPr>
          <w:rFonts w:ascii="Times New Roman" w:hAnsi="Times New Roman" w:cs="Times New Roman"/>
          <w:sz w:val="28"/>
          <w:szCs w:val="24"/>
        </w:rPr>
        <w:t>,</w:t>
      </w:r>
      <w:r w:rsidR="008621F3" w:rsidRPr="00B77149">
        <w:rPr>
          <w:rFonts w:ascii="Times New Roman" w:hAnsi="Times New Roman" w:cs="Times New Roman"/>
          <w:sz w:val="28"/>
          <w:szCs w:val="24"/>
        </w:rPr>
        <w:t xml:space="preserve"> affidandone la gestione a concessionari, soggett</w:t>
      </w:r>
      <w:r w:rsidR="00D2252A" w:rsidRPr="00B77149">
        <w:rPr>
          <w:rFonts w:ascii="Times New Roman" w:hAnsi="Times New Roman" w:cs="Times New Roman"/>
          <w:sz w:val="28"/>
          <w:szCs w:val="24"/>
        </w:rPr>
        <w:t>i</w:t>
      </w:r>
      <w:r w:rsidR="008621F3" w:rsidRPr="00B77149">
        <w:rPr>
          <w:rFonts w:ascii="Times New Roman" w:hAnsi="Times New Roman" w:cs="Times New Roman"/>
          <w:sz w:val="28"/>
          <w:szCs w:val="24"/>
        </w:rPr>
        <w:t xml:space="preserve"> ad obblighi non diversi da quelli dei concessionari delle altre infrastrutture essenziali.</w:t>
      </w:r>
    </w:p>
    <w:p w14:paraId="05DE4B98" w14:textId="77777777" w:rsidR="00AF30C1" w:rsidRPr="00B77149" w:rsidRDefault="008621F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Riprendendo la linea del discorso incentrata sul bene-rete</w:t>
      </w:r>
      <w:r w:rsidR="00C46657" w:rsidRPr="00B77149">
        <w:rPr>
          <w:rFonts w:ascii="Times New Roman" w:hAnsi="Times New Roman" w:cs="Times New Roman"/>
          <w:sz w:val="28"/>
          <w:szCs w:val="24"/>
        </w:rPr>
        <w:t xml:space="preserve">, bisogna ricordare che non sempre la proprietà del bene è stata trasferita a soggetti privati. Ma anche quando questo è avvenuto, </w:t>
      </w:r>
      <w:r w:rsidR="00682AB1" w:rsidRPr="00B77149">
        <w:rPr>
          <w:rFonts w:ascii="Times New Roman" w:hAnsi="Times New Roman" w:cs="Times New Roman"/>
          <w:sz w:val="28"/>
          <w:szCs w:val="24"/>
        </w:rPr>
        <w:t xml:space="preserve">ed è avvenuto progressivamente quasi sempre, </w:t>
      </w:r>
      <w:r w:rsidR="00C46657" w:rsidRPr="00B77149">
        <w:rPr>
          <w:rFonts w:ascii="Times New Roman" w:hAnsi="Times New Roman" w:cs="Times New Roman"/>
          <w:sz w:val="28"/>
          <w:szCs w:val="24"/>
        </w:rPr>
        <w:t>la separazione tra proprietà pubblica in senso soggettivo e</w:t>
      </w:r>
      <w:r w:rsidR="00AF30C1" w:rsidRPr="00B77149">
        <w:rPr>
          <w:rFonts w:ascii="Times New Roman" w:hAnsi="Times New Roman" w:cs="Times New Roman"/>
          <w:sz w:val="28"/>
          <w:szCs w:val="24"/>
        </w:rPr>
        <w:t xml:space="preserve"> quella</w:t>
      </w:r>
      <w:r w:rsidR="00C46657" w:rsidRPr="00B77149">
        <w:rPr>
          <w:rFonts w:ascii="Times New Roman" w:hAnsi="Times New Roman" w:cs="Times New Roman"/>
          <w:sz w:val="28"/>
          <w:szCs w:val="24"/>
        </w:rPr>
        <w:t xml:space="preserve"> in senso oggettivo consente di neutralizzare le possibili conseguenze sul piano giuridico, in quanto quel che rileva è la particolare destinazione del bene</w:t>
      </w:r>
      <w:r w:rsidR="00D2252A" w:rsidRPr="00B77149">
        <w:rPr>
          <w:rFonts w:ascii="Times New Roman" w:hAnsi="Times New Roman" w:cs="Times New Roman"/>
          <w:sz w:val="28"/>
          <w:szCs w:val="24"/>
        </w:rPr>
        <w:t>-</w:t>
      </w:r>
      <w:r w:rsidR="00C46657" w:rsidRPr="00B77149">
        <w:rPr>
          <w:rFonts w:ascii="Times New Roman" w:hAnsi="Times New Roman" w:cs="Times New Roman"/>
          <w:sz w:val="28"/>
          <w:szCs w:val="24"/>
        </w:rPr>
        <w:t xml:space="preserve"> rete, che prescinde dal mero fatto dell’appartenenza.</w:t>
      </w:r>
      <w:r w:rsidR="00F176D3" w:rsidRPr="00B77149">
        <w:rPr>
          <w:rFonts w:ascii="Times New Roman" w:hAnsi="Times New Roman" w:cs="Times New Roman"/>
          <w:sz w:val="28"/>
          <w:szCs w:val="24"/>
        </w:rPr>
        <w:t xml:space="preserve"> </w:t>
      </w:r>
    </w:p>
    <w:p w14:paraId="3C06C742" w14:textId="77777777" w:rsidR="009A2816" w:rsidRPr="00B77149" w:rsidRDefault="00F176D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Infatti gli articoli 8</w:t>
      </w:r>
      <w:r w:rsidR="00C46657" w:rsidRPr="00B77149">
        <w:rPr>
          <w:rFonts w:ascii="Times New Roman" w:hAnsi="Times New Roman" w:cs="Times New Roman"/>
          <w:sz w:val="28"/>
          <w:szCs w:val="24"/>
        </w:rPr>
        <w:t>22</w:t>
      </w:r>
      <w:r w:rsidRPr="00B77149">
        <w:rPr>
          <w:rFonts w:ascii="Times New Roman" w:hAnsi="Times New Roman" w:cs="Times New Roman"/>
          <w:sz w:val="28"/>
          <w:szCs w:val="24"/>
        </w:rPr>
        <w:t xml:space="preserve"> e </w:t>
      </w:r>
      <w:r w:rsidR="00C46657" w:rsidRPr="00B77149">
        <w:rPr>
          <w:rFonts w:ascii="Times New Roman" w:hAnsi="Times New Roman" w:cs="Times New Roman"/>
          <w:sz w:val="28"/>
          <w:szCs w:val="24"/>
        </w:rPr>
        <w:t>8</w:t>
      </w:r>
      <w:r w:rsidRPr="00B77149">
        <w:rPr>
          <w:rFonts w:ascii="Times New Roman" w:hAnsi="Times New Roman" w:cs="Times New Roman"/>
          <w:sz w:val="28"/>
          <w:szCs w:val="24"/>
        </w:rPr>
        <w:t>2</w:t>
      </w:r>
      <w:r w:rsidR="00C46657" w:rsidRPr="00B77149">
        <w:rPr>
          <w:rFonts w:ascii="Times New Roman" w:hAnsi="Times New Roman" w:cs="Times New Roman"/>
          <w:sz w:val="28"/>
          <w:szCs w:val="24"/>
        </w:rPr>
        <w:t>6 del codice civile, nell’elencare le categorie di beni che fanno parte rispettivamente del demanio</w:t>
      </w:r>
      <w:r w:rsidRPr="00B77149">
        <w:rPr>
          <w:rFonts w:ascii="Times New Roman" w:hAnsi="Times New Roman" w:cs="Times New Roman"/>
          <w:sz w:val="28"/>
          <w:szCs w:val="24"/>
        </w:rPr>
        <w:t xml:space="preserve"> e</w:t>
      </w:r>
      <w:r w:rsidR="00C46657" w:rsidRPr="00B77149">
        <w:rPr>
          <w:rFonts w:ascii="Times New Roman" w:hAnsi="Times New Roman" w:cs="Times New Roman"/>
          <w:sz w:val="28"/>
          <w:szCs w:val="24"/>
        </w:rPr>
        <w:t xml:space="preserve"> del patrimonio indisponibile degli enti territoriali (spesso proprietari formali dell’infrastruttura), fonda il </w:t>
      </w:r>
      <w:r w:rsidR="00C42C3B" w:rsidRPr="00B77149">
        <w:rPr>
          <w:rFonts w:ascii="Times New Roman" w:hAnsi="Times New Roman" w:cs="Times New Roman"/>
          <w:sz w:val="28"/>
          <w:szCs w:val="24"/>
        </w:rPr>
        <w:t xml:space="preserve">particolare regime cui sono </w:t>
      </w:r>
      <w:r w:rsidR="00C46657" w:rsidRPr="00B77149">
        <w:rPr>
          <w:rFonts w:ascii="Times New Roman" w:hAnsi="Times New Roman" w:cs="Times New Roman"/>
          <w:sz w:val="28"/>
          <w:szCs w:val="24"/>
        </w:rPr>
        <w:t>sottoposti sulla destinazione dei beni ad usi coerenti con l’interesse pubblico specifico ad essi inerent</w:t>
      </w:r>
      <w:r w:rsidRPr="00B77149">
        <w:rPr>
          <w:rFonts w:ascii="Times New Roman" w:hAnsi="Times New Roman" w:cs="Times New Roman"/>
          <w:sz w:val="28"/>
          <w:szCs w:val="24"/>
        </w:rPr>
        <w:t xml:space="preserve">e. Quindi la regola della </w:t>
      </w:r>
      <w:r w:rsidR="00C46657" w:rsidRPr="00B77149">
        <w:rPr>
          <w:rFonts w:ascii="Times New Roman" w:hAnsi="Times New Roman" w:cs="Times New Roman"/>
          <w:sz w:val="28"/>
          <w:szCs w:val="24"/>
        </w:rPr>
        <w:t>non commerciabilità</w:t>
      </w:r>
      <w:r w:rsidRPr="00B77149">
        <w:rPr>
          <w:rFonts w:ascii="Times New Roman" w:hAnsi="Times New Roman" w:cs="Times New Roman"/>
          <w:sz w:val="28"/>
          <w:szCs w:val="24"/>
        </w:rPr>
        <w:t xml:space="preserve"> e </w:t>
      </w:r>
      <w:r w:rsidR="00C46657" w:rsidRPr="00B77149">
        <w:rPr>
          <w:rFonts w:ascii="Times New Roman" w:hAnsi="Times New Roman" w:cs="Times New Roman"/>
          <w:sz w:val="28"/>
          <w:szCs w:val="24"/>
        </w:rPr>
        <w:t xml:space="preserve">la prevalenza del vincolo di destinazione </w:t>
      </w:r>
      <w:r w:rsidR="00D2252A" w:rsidRPr="00B77149">
        <w:rPr>
          <w:rFonts w:ascii="Times New Roman" w:hAnsi="Times New Roman" w:cs="Times New Roman"/>
          <w:sz w:val="28"/>
          <w:szCs w:val="24"/>
        </w:rPr>
        <w:t>attribuiscono</w:t>
      </w:r>
      <w:r w:rsidR="00C46657" w:rsidRPr="00B77149">
        <w:rPr>
          <w:rFonts w:ascii="Times New Roman" w:hAnsi="Times New Roman" w:cs="Times New Roman"/>
          <w:sz w:val="28"/>
          <w:szCs w:val="24"/>
        </w:rPr>
        <w:t xml:space="preserve"> a tali beni</w:t>
      </w:r>
      <w:r w:rsidRPr="00B77149">
        <w:rPr>
          <w:rFonts w:ascii="Times New Roman" w:hAnsi="Times New Roman" w:cs="Times New Roman"/>
          <w:sz w:val="28"/>
          <w:szCs w:val="24"/>
        </w:rPr>
        <w:t xml:space="preserve"> valore d’uso e non valore di scambio.</w:t>
      </w:r>
    </w:p>
    <w:p w14:paraId="6B16FBED" w14:textId="77777777" w:rsidR="00F176D3" w:rsidRPr="00B77149" w:rsidRDefault="00F176D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I beni destinati ai servizi pubblici, e tali sono le infrastrutture energetiche, appartengono al patrimonio indisponibile dell’ente che si impernia sul vincolo di destinazione dei beni al servizio pubblico. Tale regime si applica anche </w:t>
      </w:r>
      <w:r w:rsidR="00C42C3B" w:rsidRPr="00B77149">
        <w:rPr>
          <w:rFonts w:ascii="Times New Roman" w:hAnsi="Times New Roman" w:cs="Times New Roman"/>
          <w:sz w:val="28"/>
          <w:szCs w:val="24"/>
        </w:rPr>
        <w:t>a</w:t>
      </w:r>
      <w:r w:rsidRPr="00B77149">
        <w:rPr>
          <w:rFonts w:ascii="Times New Roman" w:hAnsi="Times New Roman" w:cs="Times New Roman"/>
          <w:sz w:val="28"/>
          <w:szCs w:val="24"/>
        </w:rPr>
        <w:t>i beni appartenenti agli enti pubblici non territoriali (art.</w:t>
      </w:r>
      <w:r w:rsidR="00AF30C1" w:rsidRPr="00B77149">
        <w:rPr>
          <w:rFonts w:ascii="Times New Roman" w:hAnsi="Times New Roman" w:cs="Times New Roman"/>
          <w:sz w:val="28"/>
          <w:szCs w:val="24"/>
        </w:rPr>
        <w:t xml:space="preserve"> 830, comma 2, del c. c.</w:t>
      </w:r>
      <w:r w:rsidRPr="00B77149">
        <w:rPr>
          <w:rFonts w:ascii="Times New Roman" w:hAnsi="Times New Roman" w:cs="Times New Roman"/>
          <w:sz w:val="28"/>
          <w:szCs w:val="24"/>
        </w:rPr>
        <w:t>).</w:t>
      </w:r>
    </w:p>
    <w:p w14:paraId="6BCBA1D7" w14:textId="77777777" w:rsidR="00D80F0F" w:rsidRPr="00B77149" w:rsidRDefault="00D80F0F" w:rsidP="001575E0">
      <w:pPr>
        <w:spacing w:after="0" w:line="240" w:lineRule="auto"/>
        <w:ind w:firstLine="284"/>
        <w:jc w:val="both"/>
        <w:rPr>
          <w:rFonts w:ascii="Times New Roman" w:hAnsi="Times New Roman" w:cs="Times New Roman"/>
          <w:b/>
          <w:sz w:val="28"/>
          <w:szCs w:val="24"/>
        </w:rPr>
      </w:pPr>
      <w:r w:rsidRPr="00B77149">
        <w:rPr>
          <w:rFonts w:ascii="Times New Roman" w:hAnsi="Times New Roman" w:cs="Times New Roman"/>
          <w:sz w:val="28"/>
          <w:szCs w:val="24"/>
        </w:rPr>
        <w:t>Si sono volute richiamare queste non recentissime norme, che sono di sistema, poiché esse vengono spesso dimenticate nei dibattiti, dove prevale la tendenza ad occuparsi di questioni di attualità (</w:t>
      </w:r>
      <w:r w:rsidR="00ED080B" w:rsidRPr="00B77149">
        <w:rPr>
          <w:rFonts w:ascii="Times New Roman" w:hAnsi="Times New Roman" w:cs="Times New Roman"/>
          <w:sz w:val="28"/>
          <w:szCs w:val="24"/>
        </w:rPr>
        <w:t>la guerra in Ucraina che ostacola</w:t>
      </w:r>
      <w:r w:rsidR="00AF30C1" w:rsidRPr="00B77149">
        <w:rPr>
          <w:rFonts w:ascii="Times New Roman" w:hAnsi="Times New Roman" w:cs="Times New Roman"/>
          <w:sz w:val="28"/>
          <w:szCs w:val="24"/>
        </w:rPr>
        <w:t>, facendo crescere il prezzo,</w:t>
      </w:r>
      <w:r w:rsidR="00ED080B" w:rsidRPr="00B77149">
        <w:rPr>
          <w:rFonts w:ascii="Times New Roman" w:hAnsi="Times New Roman" w:cs="Times New Roman"/>
          <w:sz w:val="28"/>
          <w:szCs w:val="24"/>
        </w:rPr>
        <w:t xml:space="preserve"> il</w:t>
      </w:r>
      <w:r w:rsidR="00AF30C1" w:rsidRPr="00B77149">
        <w:rPr>
          <w:rFonts w:ascii="Times New Roman" w:hAnsi="Times New Roman" w:cs="Times New Roman"/>
          <w:sz w:val="28"/>
          <w:szCs w:val="24"/>
        </w:rPr>
        <w:t xml:space="preserve"> </w:t>
      </w:r>
      <w:r w:rsidR="00ED080B" w:rsidRPr="00B77149">
        <w:rPr>
          <w:rFonts w:ascii="Times New Roman" w:hAnsi="Times New Roman" w:cs="Times New Roman"/>
          <w:sz w:val="28"/>
          <w:szCs w:val="24"/>
        </w:rPr>
        <w:t>flusso del gas proveniente dai grandi gasdotti della Russia</w:t>
      </w:r>
      <w:r w:rsidR="0089333E" w:rsidRPr="00B77149">
        <w:rPr>
          <w:rFonts w:ascii="Times New Roman" w:hAnsi="Times New Roman" w:cs="Times New Roman"/>
          <w:sz w:val="28"/>
          <w:szCs w:val="24"/>
        </w:rPr>
        <w:t xml:space="preserve"> e così via</w:t>
      </w:r>
      <w:r w:rsidR="00ED080B" w:rsidRPr="00B77149">
        <w:rPr>
          <w:rFonts w:ascii="Times New Roman" w:hAnsi="Times New Roman" w:cs="Times New Roman"/>
          <w:sz w:val="28"/>
          <w:szCs w:val="24"/>
        </w:rPr>
        <w:t>), dimenticando che il</w:t>
      </w:r>
      <w:r w:rsidR="00486F39" w:rsidRPr="00B77149">
        <w:rPr>
          <w:rFonts w:ascii="Times New Roman" w:hAnsi="Times New Roman" w:cs="Times New Roman"/>
          <w:sz w:val="28"/>
          <w:szCs w:val="24"/>
        </w:rPr>
        <w:t xml:space="preserve"> compito del</w:t>
      </w:r>
      <w:r w:rsidR="00ED080B" w:rsidRPr="00B77149">
        <w:rPr>
          <w:rFonts w:ascii="Times New Roman" w:hAnsi="Times New Roman" w:cs="Times New Roman"/>
          <w:sz w:val="28"/>
          <w:szCs w:val="24"/>
        </w:rPr>
        <w:t xml:space="preserve"> giurista </w:t>
      </w:r>
      <w:r w:rsidR="00486F39" w:rsidRPr="00B77149">
        <w:rPr>
          <w:rFonts w:ascii="Times New Roman" w:hAnsi="Times New Roman" w:cs="Times New Roman"/>
          <w:sz w:val="28"/>
          <w:szCs w:val="24"/>
        </w:rPr>
        <w:t>è quello di fare</w:t>
      </w:r>
      <w:r w:rsidR="00ED080B" w:rsidRPr="00B77149">
        <w:rPr>
          <w:rFonts w:ascii="Times New Roman" w:hAnsi="Times New Roman" w:cs="Times New Roman"/>
          <w:sz w:val="28"/>
          <w:szCs w:val="24"/>
        </w:rPr>
        <w:t xml:space="preserve"> i conti con le norme esistenti da cui ricavare un sistema giuridico compiuto</w:t>
      </w:r>
      <w:r w:rsidR="00227BC6" w:rsidRPr="00B77149">
        <w:rPr>
          <w:rFonts w:ascii="Times New Roman" w:hAnsi="Times New Roman" w:cs="Times New Roman"/>
          <w:sz w:val="28"/>
          <w:szCs w:val="24"/>
        </w:rPr>
        <w:t>, anche per un settore come quello dell’energia caratterizzato da un alto tasso di politicizzazione</w:t>
      </w:r>
      <w:r w:rsidR="00ED080B" w:rsidRPr="00B77149">
        <w:rPr>
          <w:rFonts w:ascii="Times New Roman" w:hAnsi="Times New Roman" w:cs="Times New Roman"/>
          <w:sz w:val="28"/>
          <w:szCs w:val="24"/>
        </w:rPr>
        <w:t>.</w:t>
      </w:r>
    </w:p>
    <w:p w14:paraId="3A364EF9" w14:textId="77777777" w:rsidR="001575E0" w:rsidRPr="00B77149" w:rsidRDefault="001575E0" w:rsidP="001575E0">
      <w:pPr>
        <w:spacing w:after="0" w:line="240" w:lineRule="auto"/>
        <w:jc w:val="both"/>
        <w:rPr>
          <w:rFonts w:ascii="Times New Roman" w:hAnsi="Times New Roman" w:cs="Times New Roman"/>
          <w:b/>
          <w:sz w:val="28"/>
          <w:szCs w:val="24"/>
        </w:rPr>
      </w:pPr>
    </w:p>
    <w:p w14:paraId="138D144F" w14:textId="77777777" w:rsidR="00CD187E" w:rsidRPr="00B77149" w:rsidRDefault="00CD187E" w:rsidP="001575E0">
      <w:pPr>
        <w:spacing w:after="0" w:line="240" w:lineRule="auto"/>
        <w:jc w:val="both"/>
        <w:rPr>
          <w:rFonts w:ascii="Times New Roman" w:hAnsi="Times New Roman" w:cs="Times New Roman"/>
          <w:b/>
          <w:sz w:val="28"/>
          <w:szCs w:val="24"/>
        </w:rPr>
      </w:pPr>
    </w:p>
    <w:p w14:paraId="245822E1" w14:textId="77777777" w:rsidR="00CD187E" w:rsidRPr="00B77149" w:rsidRDefault="00CD187E" w:rsidP="001575E0">
      <w:pPr>
        <w:spacing w:after="0" w:line="240" w:lineRule="auto"/>
        <w:jc w:val="both"/>
        <w:rPr>
          <w:rFonts w:ascii="Times New Roman" w:hAnsi="Times New Roman" w:cs="Times New Roman"/>
          <w:b/>
          <w:sz w:val="28"/>
          <w:szCs w:val="24"/>
        </w:rPr>
      </w:pPr>
      <w:r w:rsidRPr="00B77149">
        <w:rPr>
          <w:rFonts w:ascii="Times New Roman" w:hAnsi="Times New Roman" w:cs="Times New Roman"/>
          <w:b/>
          <w:sz w:val="28"/>
          <w:szCs w:val="24"/>
        </w:rPr>
        <w:t>5. Le norme di sistema</w:t>
      </w:r>
    </w:p>
    <w:p w14:paraId="3F8279D6" w14:textId="77777777" w:rsidR="00CD187E" w:rsidRPr="00B77149" w:rsidRDefault="00CD187E" w:rsidP="001575E0">
      <w:pPr>
        <w:spacing w:after="0" w:line="240" w:lineRule="auto"/>
        <w:jc w:val="both"/>
        <w:rPr>
          <w:rFonts w:ascii="Times New Roman" w:hAnsi="Times New Roman" w:cs="Times New Roman"/>
          <w:b/>
          <w:sz w:val="28"/>
          <w:szCs w:val="24"/>
        </w:rPr>
      </w:pPr>
    </w:p>
    <w:p w14:paraId="6C13A520" w14:textId="598AE605" w:rsidR="00CD187E" w:rsidRPr="00B77149" w:rsidRDefault="00CD187E" w:rsidP="00CD187E">
      <w:pPr>
        <w:spacing w:after="0" w:line="240" w:lineRule="auto"/>
        <w:ind w:firstLine="708"/>
        <w:jc w:val="both"/>
        <w:rPr>
          <w:rFonts w:ascii="Times New Roman" w:hAnsi="Times New Roman" w:cs="Times New Roman"/>
          <w:b/>
          <w:sz w:val="28"/>
          <w:szCs w:val="24"/>
        </w:rPr>
      </w:pPr>
      <w:r w:rsidRPr="00B77149">
        <w:rPr>
          <w:rFonts w:ascii="Times New Roman" w:hAnsi="Times New Roman" w:cs="Times New Roman"/>
          <w:b/>
          <w:sz w:val="28"/>
          <w:szCs w:val="24"/>
        </w:rPr>
        <w:t xml:space="preserve">5.1. </w:t>
      </w:r>
      <w:r w:rsidRPr="00B77149">
        <w:rPr>
          <w:rFonts w:ascii="Times New Roman" w:hAnsi="Times New Roman" w:cs="Times New Roman"/>
          <w:bCs/>
          <w:sz w:val="28"/>
          <w:szCs w:val="24"/>
        </w:rPr>
        <w:t>L’art. 43 della Costituzione</w:t>
      </w:r>
    </w:p>
    <w:p w14:paraId="077509D5" w14:textId="77777777" w:rsidR="00CD187E" w:rsidRPr="00B77149" w:rsidRDefault="00CD187E" w:rsidP="001575E0">
      <w:pPr>
        <w:spacing w:after="0" w:line="240" w:lineRule="auto"/>
        <w:jc w:val="both"/>
        <w:rPr>
          <w:rFonts w:ascii="Times New Roman" w:hAnsi="Times New Roman" w:cs="Times New Roman"/>
          <w:sz w:val="28"/>
          <w:szCs w:val="24"/>
        </w:rPr>
      </w:pPr>
    </w:p>
    <w:p w14:paraId="7E0CA0C6" w14:textId="2650DE83" w:rsidR="00ED080B" w:rsidRPr="00B77149" w:rsidRDefault="00ED080B"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 xml:space="preserve">Il quadro generale sarebbe </w:t>
      </w:r>
      <w:r w:rsidR="009067E7" w:rsidRPr="00B77149">
        <w:rPr>
          <w:rFonts w:ascii="Times New Roman" w:hAnsi="Times New Roman" w:cs="Times New Roman"/>
          <w:sz w:val="28"/>
          <w:szCs w:val="24"/>
        </w:rPr>
        <w:t xml:space="preserve">esageratamente </w:t>
      </w:r>
      <w:r w:rsidRPr="00B77149">
        <w:rPr>
          <w:rFonts w:ascii="Times New Roman" w:hAnsi="Times New Roman" w:cs="Times New Roman"/>
          <w:sz w:val="28"/>
          <w:szCs w:val="24"/>
        </w:rPr>
        <w:t>incompleto se si o</w:t>
      </w:r>
      <w:r w:rsidR="00B97AA4" w:rsidRPr="00B77149">
        <w:rPr>
          <w:rFonts w:ascii="Times New Roman" w:hAnsi="Times New Roman" w:cs="Times New Roman"/>
          <w:sz w:val="28"/>
          <w:szCs w:val="24"/>
        </w:rPr>
        <w:t>mettesse di ricordare altre quattro</w:t>
      </w:r>
      <w:r w:rsidR="000D64B7" w:rsidRPr="00B77149">
        <w:rPr>
          <w:rFonts w:ascii="Times New Roman" w:hAnsi="Times New Roman" w:cs="Times New Roman"/>
          <w:sz w:val="28"/>
          <w:szCs w:val="24"/>
        </w:rPr>
        <w:t xml:space="preserve"> </w:t>
      </w:r>
      <w:r w:rsidRPr="00B77149">
        <w:rPr>
          <w:rFonts w:ascii="Times New Roman" w:hAnsi="Times New Roman" w:cs="Times New Roman"/>
          <w:sz w:val="28"/>
          <w:szCs w:val="24"/>
        </w:rPr>
        <w:t xml:space="preserve">norme </w:t>
      </w:r>
      <w:r w:rsidR="00900EBA" w:rsidRPr="00B77149">
        <w:rPr>
          <w:rFonts w:ascii="Times New Roman" w:hAnsi="Times New Roman" w:cs="Times New Roman"/>
          <w:sz w:val="28"/>
          <w:szCs w:val="24"/>
        </w:rPr>
        <w:t>che pure contribuiscono a formare il</w:t>
      </w:r>
      <w:r w:rsidRPr="00B77149">
        <w:rPr>
          <w:rFonts w:ascii="Times New Roman" w:hAnsi="Times New Roman" w:cs="Times New Roman"/>
          <w:sz w:val="28"/>
          <w:szCs w:val="24"/>
        </w:rPr>
        <w:t xml:space="preserve"> sistema</w:t>
      </w:r>
      <w:r w:rsidR="00900EBA" w:rsidRPr="00B77149">
        <w:rPr>
          <w:rFonts w:ascii="Times New Roman" w:hAnsi="Times New Roman" w:cs="Times New Roman"/>
          <w:sz w:val="28"/>
          <w:szCs w:val="24"/>
        </w:rPr>
        <w:t xml:space="preserve"> generale del diritto dell’energia</w:t>
      </w:r>
      <w:r w:rsidRPr="00B77149">
        <w:rPr>
          <w:rFonts w:ascii="Times New Roman" w:hAnsi="Times New Roman" w:cs="Times New Roman"/>
          <w:sz w:val="28"/>
          <w:szCs w:val="24"/>
        </w:rPr>
        <w:t>.</w:t>
      </w:r>
    </w:p>
    <w:p w14:paraId="4580CCE2" w14:textId="13993371" w:rsidR="00756CBB" w:rsidRPr="00B77149" w:rsidRDefault="00756CBB"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La prima che viene in rilievo è sicuramente l’</w:t>
      </w:r>
      <w:r w:rsidR="000D64B7" w:rsidRPr="00B77149">
        <w:rPr>
          <w:rFonts w:ascii="Times New Roman" w:hAnsi="Times New Roman" w:cs="Times New Roman"/>
          <w:sz w:val="28"/>
          <w:szCs w:val="24"/>
        </w:rPr>
        <w:t>art.</w:t>
      </w:r>
      <w:r w:rsidRPr="00B77149">
        <w:rPr>
          <w:rFonts w:ascii="Times New Roman" w:hAnsi="Times New Roman" w:cs="Times New Roman"/>
          <w:sz w:val="28"/>
          <w:szCs w:val="24"/>
        </w:rPr>
        <w:t xml:space="preserve"> 43 della Costituzione, che, laddove consente la collettivizzazione di imprese che si riferiscono a servizi pubblici essenziali o a fonti di energia</w:t>
      </w:r>
      <w:r w:rsidR="00C83403" w:rsidRPr="00B77149">
        <w:rPr>
          <w:rFonts w:ascii="Times New Roman" w:hAnsi="Times New Roman" w:cs="Times New Roman"/>
          <w:sz w:val="28"/>
          <w:szCs w:val="24"/>
        </w:rPr>
        <w:t xml:space="preserve"> o a situazioni di monopolio ave</w:t>
      </w:r>
      <w:r w:rsidR="009610E4" w:rsidRPr="00B77149">
        <w:rPr>
          <w:rFonts w:ascii="Times New Roman" w:hAnsi="Times New Roman" w:cs="Times New Roman"/>
          <w:sz w:val="28"/>
          <w:szCs w:val="24"/>
        </w:rPr>
        <w:t xml:space="preserve">nti </w:t>
      </w:r>
      <w:r w:rsidRPr="00B77149">
        <w:rPr>
          <w:rFonts w:ascii="Times New Roman" w:hAnsi="Times New Roman" w:cs="Times New Roman"/>
          <w:sz w:val="28"/>
          <w:szCs w:val="24"/>
        </w:rPr>
        <w:t>carattere di preminente interesse generale, ha costituito la base per introdurre un regime di monopolio legale del settore elettrico (l. 6 dicembre 1962, n.1643), istituendo l’ente nazionale per l’energia elettrica</w:t>
      </w:r>
      <w:r w:rsidR="00E84C71" w:rsidRPr="00B77149">
        <w:rPr>
          <w:rFonts w:ascii="Times New Roman" w:hAnsi="Times New Roman" w:cs="Times New Roman"/>
          <w:sz w:val="28"/>
          <w:szCs w:val="24"/>
        </w:rPr>
        <w:t xml:space="preserve"> (ENEL). Questo era definito come un ente </w:t>
      </w:r>
      <w:r w:rsidR="00E84C71" w:rsidRPr="00B77149">
        <w:rPr>
          <w:rFonts w:ascii="Times New Roman" w:hAnsi="Times New Roman" w:cs="Times New Roman"/>
          <w:sz w:val="28"/>
          <w:szCs w:val="24"/>
        </w:rPr>
        <w:lastRenderedPageBreak/>
        <w:t xml:space="preserve">nazionale con personalità giuridica pubblica, riservatario e concessionario </w:t>
      </w:r>
      <w:r w:rsidR="00E84C71" w:rsidRPr="00B77149">
        <w:rPr>
          <w:rStyle w:val="CitazioneCarattere"/>
          <w:rFonts w:ascii="Times New Roman" w:hAnsi="Times New Roman" w:cs="Times New Roman"/>
          <w:sz w:val="28"/>
          <w:szCs w:val="24"/>
        </w:rPr>
        <w:t xml:space="preserve">ex </w:t>
      </w:r>
      <w:proofErr w:type="spellStart"/>
      <w:r w:rsidR="00E84C71" w:rsidRPr="00B77149">
        <w:rPr>
          <w:rStyle w:val="CitazioneCarattere"/>
          <w:rFonts w:ascii="Times New Roman" w:hAnsi="Times New Roman" w:cs="Times New Roman"/>
          <w:sz w:val="28"/>
          <w:szCs w:val="24"/>
        </w:rPr>
        <w:t>lege</w:t>
      </w:r>
      <w:proofErr w:type="spellEnd"/>
      <w:r w:rsidR="00E84C71" w:rsidRPr="00B77149">
        <w:rPr>
          <w:rFonts w:ascii="Times New Roman" w:hAnsi="Times New Roman" w:cs="Times New Roman"/>
          <w:sz w:val="28"/>
          <w:szCs w:val="24"/>
        </w:rPr>
        <w:t xml:space="preserve"> dell’intera filiera elettrica pro</w:t>
      </w:r>
      <w:r w:rsidR="00560F9D" w:rsidRPr="00B77149">
        <w:rPr>
          <w:rFonts w:ascii="Times New Roman" w:hAnsi="Times New Roman" w:cs="Times New Roman"/>
          <w:sz w:val="28"/>
          <w:szCs w:val="24"/>
        </w:rPr>
        <w:t>prio in attuazione dell’art.</w:t>
      </w:r>
      <w:r w:rsidR="00AF30C1" w:rsidRPr="00B77149">
        <w:rPr>
          <w:rFonts w:ascii="Times New Roman" w:hAnsi="Times New Roman" w:cs="Times New Roman"/>
          <w:sz w:val="28"/>
          <w:szCs w:val="24"/>
        </w:rPr>
        <w:t xml:space="preserve"> 43 della costituzione </w:t>
      </w:r>
      <w:r w:rsidR="00E84C71" w:rsidRPr="00B77149">
        <w:rPr>
          <w:rFonts w:ascii="Times New Roman" w:hAnsi="Times New Roman" w:cs="Times New Roman"/>
          <w:sz w:val="28"/>
          <w:szCs w:val="24"/>
        </w:rPr>
        <w:t>richiamato, che consente la riserva di attività (produzione, trasmissione, distribuzione) anche a favore di enti pubblici.</w:t>
      </w:r>
      <w:r w:rsidR="00C42C3B" w:rsidRPr="00B77149">
        <w:rPr>
          <w:rFonts w:ascii="Times New Roman" w:hAnsi="Times New Roman" w:cs="Times New Roman"/>
          <w:sz w:val="28"/>
          <w:szCs w:val="24"/>
        </w:rPr>
        <w:t xml:space="preserve"> La legge indicata costituisce la prima applicazione</w:t>
      </w:r>
      <w:r w:rsidR="004018E6" w:rsidRPr="00B77149">
        <w:rPr>
          <w:rFonts w:ascii="Times New Roman" w:hAnsi="Times New Roman" w:cs="Times New Roman"/>
          <w:sz w:val="28"/>
          <w:szCs w:val="24"/>
        </w:rPr>
        <w:t xml:space="preserve"> della norma costituzionale</w:t>
      </w:r>
      <w:r w:rsidR="0055158D" w:rsidRPr="00B77149">
        <w:rPr>
          <w:rStyle w:val="Rimandonotaapidipagina"/>
          <w:rFonts w:ascii="Times New Roman" w:hAnsi="Times New Roman" w:cs="Times New Roman"/>
          <w:sz w:val="28"/>
          <w:szCs w:val="24"/>
        </w:rPr>
        <w:footnoteReference w:id="12"/>
      </w:r>
      <w:r w:rsidR="004018E6" w:rsidRPr="00B77149">
        <w:rPr>
          <w:rFonts w:ascii="Times New Roman" w:hAnsi="Times New Roman" w:cs="Times New Roman"/>
          <w:sz w:val="28"/>
          <w:szCs w:val="24"/>
        </w:rPr>
        <w:t>.</w:t>
      </w:r>
    </w:p>
    <w:p w14:paraId="7940C4CD" w14:textId="77777777" w:rsidR="00E84C71" w:rsidRPr="00B77149" w:rsidRDefault="00E84C71"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Per gli idrocarburi non fu necessario istituire un regime di riser</w:t>
      </w:r>
      <w:r w:rsidR="00560F9D" w:rsidRPr="00B77149">
        <w:rPr>
          <w:rFonts w:ascii="Times New Roman" w:hAnsi="Times New Roman" w:cs="Times New Roman"/>
          <w:sz w:val="28"/>
          <w:szCs w:val="24"/>
        </w:rPr>
        <w:t>va legale, ai sensi del medesimo articolo della</w:t>
      </w:r>
      <w:r w:rsidR="005E005D" w:rsidRPr="00B77149">
        <w:rPr>
          <w:rFonts w:ascii="Times New Roman" w:hAnsi="Times New Roman" w:cs="Times New Roman"/>
          <w:sz w:val="28"/>
          <w:szCs w:val="24"/>
        </w:rPr>
        <w:t xml:space="preserve"> C</w:t>
      </w:r>
      <w:r w:rsidRPr="00B77149">
        <w:rPr>
          <w:rFonts w:ascii="Times New Roman" w:hAnsi="Times New Roman" w:cs="Times New Roman"/>
          <w:sz w:val="28"/>
          <w:szCs w:val="24"/>
        </w:rPr>
        <w:t xml:space="preserve">ostituzione, per via della esistenza di un monopolio di fatto che venne a determinarsi fino </w:t>
      </w:r>
      <w:r w:rsidR="005E005D" w:rsidRPr="00B77149">
        <w:rPr>
          <w:rFonts w:ascii="Times New Roman" w:hAnsi="Times New Roman" w:cs="Times New Roman"/>
          <w:sz w:val="28"/>
          <w:szCs w:val="24"/>
        </w:rPr>
        <w:t>d</w:t>
      </w:r>
      <w:r w:rsidRPr="00B77149">
        <w:rPr>
          <w:rFonts w:ascii="Times New Roman" w:hAnsi="Times New Roman" w:cs="Times New Roman"/>
          <w:sz w:val="28"/>
          <w:szCs w:val="24"/>
        </w:rPr>
        <w:t>a quando è stata istituita l’</w:t>
      </w:r>
      <w:r w:rsidR="005E005D" w:rsidRPr="00B77149">
        <w:rPr>
          <w:rFonts w:ascii="Times New Roman" w:hAnsi="Times New Roman" w:cs="Times New Roman"/>
          <w:sz w:val="28"/>
          <w:szCs w:val="24"/>
        </w:rPr>
        <w:t>A</w:t>
      </w:r>
      <w:r w:rsidRPr="00B77149">
        <w:rPr>
          <w:rFonts w:ascii="Times New Roman" w:hAnsi="Times New Roman" w:cs="Times New Roman"/>
          <w:sz w:val="28"/>
          <w:szCs w:val="24"/>
        </w:rPr>
        <w:t>genzia generale petroli italiani (AGIP).</w:t>
      </w:r>
    </w:p>
    <w:p w14:paraId="44CAF059" w14:textId="77777777" w:rsidR="009E60F0" w:rsidRPr="00B77149" w:rsidRDefault="00E84C71"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Un altro ente del settore energetico è stato il </w:t>
      </w:r>
      <w:r w:rsidR="005E005D" w:rsidRPr="00B77149">
        <w:rPr>
          <w:rFonts w:ascii="Times New Roman" w:hAnsi="Times New Roman" w:cs="Times New Roman"/>
          <w:sz w:val="28"/>
          <w:szCs w:val="24"/>
        </w:rPr>
        <w:t>C</w:t>
      </w:r>
      <w:r w:rsidRPr="00B77149">
        <w:rPr>
          <w:rFonts w:ascii="Times New Roman" w:hAnsi="Times New Roman" w:cs="Times New Roman"/>
          <w:sz w:val="28"/>
          <w:szCs w:val="24"/>
        </w:rPr>
        <w:t>omitato nazionale per le ricerche nucleari (CNRN), costituito per acquisire</w:t>
      </w:r>
      <w:r w:rsidR="005E005D" w:rsidRPr="00B77149">
        <w:rPr>
          <w:rFonts w:ascii="Times New Roman" w:hAnsi="Times New Roman" w:cs="Times New Roman"/>
          <w:sz w:val="28"/>
          <w:szCs w:val="24"/>
        </w:rPr>
        <w:t xml:space="preserve"> e</w:t>
      </w:r>
      <w:r w:rsidRPr="00B77149">
        <w:rPr>
          <w:rFonts w:ascii="Times New Roman" w:hAnsi="Times New Roman" w:cs="Times New Roman"/>
          <w:sz w:val="28"/>
          <w:szCs w:val="24"/>
        </w:rPr>
        <w:t xml:space="preserve"> diffondere le conoscenze scientifiche sulle applicazioni pacifiche dell’energia nucleare</w:t>
      </w:r>
      <w:r w:rsidR="009E60F0" w:rsidRPr="00B77149">
        <w:rPr>
          <w:rFonts w:ascii="Times New Roman" w:hAnsi="Times New Roman" w:cs="Times New Roman"/>
          <w:sz w:val="28"/>
          <w:szCs w:val="24"/>
        </w:rPr>
        <w:t>.</w:t>
      </w:r>
    </w:p>
    <w:p w14:paraId="3873542F" w14:textId="77777777" w:rsidR="009E60F0" w:rsidRPr="00B77149" w:rsidRDefault="00C8340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 Tale </w:t>
      </w:r>
      <w:r w:rsidR="009E60F0" w:rsidRPr="00B77149">
        <w:rPr>
          <w:rFonts w:ascii="Times New Roman" w:hAnsi="Times New Roman" w:cs="Times New Roman"/>
          <w:sz w:val="28"/>
          <w:szCs w:val="24"/>
        </w:rPr>
        <w:t>è stato il regime giuridico fino agli anni Novanta</w:t>
      </w:r>
      <w:r w:rsidR="00AF30C1" w:rsidRPr="00B77149">
        <w:rPr>
          <w:rFonts w:ascii="Times New Roman" w:hAnsi="Times New Roman" w:cs="Times New Roman"/>
          <w:sz w:val="28"/>
          <w:szCs w:val="24"/>
        </w:rPr>
        <w:t xml:space="preserve"> </w:t>
      </w:r>
      <w:r w:rsidR="004018E6" w:rsidRPr="00B77149">
        <w:rPr>
          <w:rFonts w:ascii="Times New Roman" w:hAnsi="Times New Roman" w:cs="Times New Roman"/>
          <w:sz w:val="28"/>
          <w:szCs w:val="24"/>
        </w:rPr>
        <w:t>(</w:t>
      </w:r>
      <w:r w:rsidR="00AF30C1" w:rsidRPr="00B77149">
        <w:rPr>
          <w:rFonts w:ascii="Times New Roman" w:hAnsi="Times New Roman" w:cs="Times New Roman"/>
          <w:sz w:val="28"/>
          <w:szCs w:val="24"/>
        </w:rPr>
        <w:t>iniziato nel 1992)</w:t>
      </w:r>
      <w:r w:rsidR="009E60F0" w:rsidRPr="00B77149">
        <w:rPr>
          <w:rFonts w:ascii="Times New Roman" w:hAnsi="Times New Roman" w:cs="Times New Roman"/>
          <w:sz w:val="28"/>
          <w:szCs w:val="24"/>
        </w:rPr>
        <w:t xml:space="preserve"> del secolo scorso, allorquando si è proceduto alla c. d. privatizzazione, che ha riguardato i soggetti, i beni e i rapporti di larga parte</w:t>
      </w:r>
      <w:r w:rsidR="005E005D" w:rsidRPr="00B77149">
        <w:rPr>
          <w:rFonts w:ascii="Times New Roman" w:hAnsi="Times New Roman" w:cs="Times New Roman"/>
          <w:sz w:val="28"/>
          <w:szCs w:val="24"/>
        </w:rPr>
        <w:t xml:space="preserve"> del diritto amministrativo</w:t>
      </w:r>
      <w:r w:rsidR="008B6A1F" w:rsidRPr="00B77149">
        <w:rPr>
          <w:rFonts w:ascii="Times New Roman" w:hAnsi="Times New Roman" w:cs="Times New Roman"/>
          <w:sz w:val="28"/>
          <w:szCs w:val="24"/>
        </w:rPr>
        <w:t xml:space="preserve"> classico</w:t>
      </w:r>
      <w:r w:rsidR="005E005D" w:rsidRPr="00B77149">
        <w:rPr>
          <w:rFonts w:ascii="Times New Roman" w:hAnsi="Times New Roman" w:cs="Times New Roman"/>
          <w:sz w:val="28"/>
          <w:szCs w:val="24"/>
        </w:rPr>
        <w:t>.</w:t>
      </w:r>
    </w:p>
    <w:p w14:paraId="3B715E59" w14:textId="673364EE" w:rsidR="007E2371" w:rsidRPr="00B77149" w:rsidRDefault="005E005D" w:rsidP="001575E0">
      <w:pPr>
        <w:spacing w:after="0" w:line="240" w:lineRule="auto"/>
        <w:ind w:firstLine="284"/>
        <w:jc w:val="both"/>
        <w:rPr>
          <w:rFonts w:ascii="Times New Roman" w:hAnsi="Times New Roman" w:cs="Times New Roman"/>
          <w:sz w:val="28"/>
          <w:szCs w:val="24"/>
        </w:rPr>
      </w:pPr>
      <w:proofErr w:type="spellStart"/>
      <w:r w:rsidRPr="00B77149">
        <w:rPr>
          <w:rFonts w:ascii="Times New Roman" w:hAnsi="Times New Roman" w:cs="Times New Roman"/>
          <w:sz w:val="28"/>
          <w:szCs w:val="24"/>
        </w:rPr>
        <w:t>Sicchè</w:t>
      </w:r>
      <w:proofErr w:type="spellEnd"/>
      <w:r w:rsidR="00C83403" w:rsidRPr="00B77149">
        <w:rPr>
          <w:rFonts w:ascii="Times New Roman" w:hAnsi="Times New Roman" w:cs="Times New Roman"/>
          <w:sz w:val="28"/>
          <w:szCs w:val="24"/>
        </w:rPr>
        <w:t xml:space="preserve">, </w:t>
      </w:r>
      <w:r w:rsidRPr="00B77149">
        <w:rPr>
          <w:rFonts w:ascii="Times New Roman" w:hAnsi="Times New Roman" w:cs="Times New Roman"/>
          <w:sz w:val="28"/>
          <w:szCs w:val="24"/>
        </w:rPr>
        <w:t>l’ENEL, al pari di tanti altri enti pubblici ec</w:t>
      </w:r>
      <w:r w:rsidR="007E2371" w:rsidRPr="00B77149">
        <w:rPr>
          <w:rFonts w:ascii="Times New Roman" w:hAnsi="Times New Roman" w:cs="Times New Roman"/>
          <w:sz w:val="28"/>
          <w:szCs w:val="24"/>
        </w:rPr>
        <w:t>onomici (Poste, Ferrovie dello S</w:t>
      </w:r>
      <w:r w:rsidRPr="00B77149">
        <w:rPr>
          <w:rFonts w:ascii="Times New Roman" w:hAnsi="Times New Roman" w:cs="Times New Roman"/>
          <w:sz w:val="28"/>
          <w:szCs w:val="24"/>
        </w:rPr>
        <w:t xml:space="preserve">tato ed altri), è stato trasformato in società per azioni, con la dismissione graduale delle azioni detenute inizialmente dallo </w:t>
      </w:r>
      <w:r w:rsidR="008B6A1F" w:rsidRPr="00B77149">
        <w:rPr>
          <w:rFonts w:ascii="Times New Roman" w:hAnsi="Times New Roman" w:cs="Times New Roman"/>
          <w:sz w:val="28"/>
          <w:szCs w:val="24"/>
        </w:rPr>
        <w:t>S</w:t>
      </w:r>
      <w:r w:rsidRPr="00B77149">
        <w:rPr>
          <w:rFonts w:ascii="Times New Roman" w:hAnsi="Times New Roman" w:cs="Times New Roman"/>
          <w:sz w:val="28"/>
          <w:szCs w:val="24"/>
        </w:rPr>
        <w:t>tato (c.d. passaggio dalla privatizzazione fredda alla privatizzazione calda).</w:t>
      </w:r>
      <w:r w:rsidR="007E2371" w:rsidRPr="00B77149">
        <w:rPr>
          <w:rFonts w:ascii="Times New Roman" w:hAnsi="Times New Roman" w:cs="Times New Roman"/>
          <w:sz w:val="28"/>
          <w:szCs w:val="24"/>
        </w:rPr>
        <w:t xml:space="preserve"> La liberalizzazione ha portato successivamente, al fine di favorire una maggiore concorrenzialità, all’imposizione di un obbligo in capo all’ex</w:t>
      </w:r>
      <w:r w:rsidR="00070778" w:rsidRPr="00B77149">
        <w:rPr>
          <w:rFonts w:ascii="Times New Roman" w:hAnsi="Times New Roman" w:cs="Times New Roman"/>
          <w:sz w:val="28"/>
          <w:szCs w:val="24"/>
        </w:rPr>
        <w:t xml:space="preserve"> monopolista ENEL di operare una separazione delle attività di produzione, trasmissione, distribuzione e vendita dell’energia, che furono affidate a società distinte, controllate da una</w:t>
      </w:r>
      <w:r w:rsidR="00070778" w:rsidRPr="00B77149">
        <w:rPr>
          <w:rFonts w:ascii="Times New Roman" w:hAnsi="Times New Roman" w:cs="Times New Roman"/>
          <w:b/>
          <w:sz w:val="28"/>
          <w:szCs w:val="24"/>
        </w:rPr>
        <w:t xml:space="preserve"> </w:t>
      </w:r>
      <w:r w:rsidR="00070778" w:rsidRPr="00B77149">
        <w:rPr>
          <w:rStyle w:val="CitazioneCarattere"/>
          <w:rFonts w:ascii="Times New Roman" w:hAnsi="Times New Roman" w:cs="Times New Roman"/>
          <w:sz w:val="28"/>
          <w:szCs w:val="24"/>
        </w:rPr>
        <w:t>holding</w:t>
      </w:r>
      <w:r w:rsidR="0055158D" w:rsidRPr="00B77149">
        <w:rPr>
          <w:rStyle w:val="Rimandonotaapidipagina"/>
          <w:rFonts w:ascii="Times New Roman" w:hAnsi="Times New Roman" w:cs="Times New Roman"/>
          <w:i/>
          <w:iCs/>
          <w:color w:val="404040" w:themeColor="text1" w:themeTint="BF"/>
          <w:sz w:val="28"/>
          <w:szCs w:val="24"/>
        </w:rPr>
        <w:footnoteReference w:id="13"/>
      </w:r>
      <w:r w:rsidR="00F30C21" w:rsidRPr="00B77149">
        <w:rPr>
          <w:rFonts w:ascii="Times New Roman" w:hAnsi="Times New Roman" w:cs="Times New Roman"/>
          <w:sz w:val="28"/>
          <w:szCs w:val="24"/>
        </w:rPr>
        <w:t>.</w:t>
      </w:r>
    </w:p>
    <w:p w14:paraId="073D5CEB" w14:textId="77777777" w:rsidR="005E005D" w:rsidRPr="00B77149" w:rsidRDefault="00070778"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Sempre per effetto</w:t>
      </w:r>
      <w:r w:rsidR="005E005D" w:rsidRPr="00B77149">
        <w:rPr>
          <w:rFonts w:ascii="Times New Roman" w:hAnsi="Times New Roman" w:cs="Times New Roman"/>
          <w:sz w:val="28"/>
          <w:szCs w:val="24"/>
        </w:rPr>
        <w:t xml:space="preserve"> della c.d. privatizzazione</w:t>
      </w:r>
      <w:r w:rsidRPr="00B77149">
        <w:rPr>
          <w:rFonts w:ascii="Times New Roman" w:hAnsi="Times New Roman" w:cs="Times New Roman"/>
          <w:sz w:val="28"/>
          <w:szCs w:val="24"/>
        </w:rPr>
        <w:t xml:space="preserve"> calda è stata creata </w:t>
      </w:r>
      <w:r w:rsidR="008B6A1F" w:rsidRPr="00B77149">
        <w:rPr>
          <w:rFonts w:ascii="Times New Roman" w:hAnsi="Times New Roman" w:cs="Times New Roman"/>
          <w:sz w:val="28"/>
          <w:szCs w:val="24"/>
        </w:rPr>
        <w:t>una apposita A</w:t>
      </w:r>
      <w:r w:rsidR="005E005D" w:rsidRPr="00B77149">
        <w:rPr>
          <w:rFonts w:ascii="Times New Roman" w:hAnsi="Times New Roman" w:cs="Times New Roman"/>
          <w:sz w:val="28"/>
          <w:szCs w:val="24"/>
        </w:rPr>
        <w:t>utorità amministrativa indipendente (ora ARERA</w:t>
      </w:r>
      <w:r w:rsidR="00AB2307" w:rsidRPr="00B77149">
        <w:rPr>
          <w:rFonts w:ascii="Times New Roman" w:hAnsi="Times New Roman" w:cs="Times New Roman"/>
          <w:sz w:val="28"/>
          <w:szCs w:val="24"/>
        </w:rPr>
        <w:t>, con funzioni di regolazione e di controllo anche del ciclo dei rifiuti, pure quelli differenziati, urbani e assimilati)</w:t>
      </w:r>
      <w:r w:rsidR="005E005D" w:rsidRPr="00B77149">
        <w:rPr>
          <w:rFonts w:ascii="Times New Roman" w:hAnsi="Times New Roman" w:cs="Times New Roman"/>
          <w:sz w:val="28"/>
          <w:szCs w:val="24"/>
        </w:rPr>
        <w:t>, con la l. 14 novembre 1995 n. 481</w:t>
      </w:r>
      <w:r w:rsidR="008B6A1F" w:rsidRPr="00B77149">
        <w:rPr>
          <w:rFonts w:ascii="Times New Roman" w:hAnsi="Times New Roman" w:cs="Times New Roman"/>
          <w:sz w:val="28"/>
          <w:szCs w:val="24"/>
        </w:rPr>
        <w:t>. Essa</w:t>
      </w:r>
      <w:r w:rsidR="005E005D" w:rsidRPr="00B77149">
        <w:rPr>
          <w:rFonts w:ascii="Times New Roman" w:hAnsi="Times New Roman" w:cs="Times New Roman"/>
          <w:sz w:val="28"/>
          <w:szCs w:val="24"/>
        </w:rPr>
        <w:t xml:space="preserve"> è tra le più importanti</w:t>
      </w:r>
      <w:r w:rsidR="0005335C" w:rsidRPr="00B77149">
        <w:rPr>
          <w:rFonts w:ascii="Times New Roman" w:hAnsi="Times New Roman" w:cs="Times New Roman"/>
          <w:sz w:val="28"/>
          <w:szCs w:val="24"/>
        </w:rPr>
        <w:t xml:space="preserve"> autorità amministrative indipendenti non trasversali, quindi di regolazione. L’indicata legge istitutiva costituisce ancora oggi la disciplina generale delle autorità di regolazione dei mercati</w:t>
      </w:r>
      <w:r w:rsidR="008B6A1F" w:rsidRPr="00B77149">
        <w:rPr>
          <w:rFonts w:ascii="Times New Roman" w:hAnsi="Times New Roman" w:cs="Times New Roman"/>
          <w:sz w:val="28"/>
          <w:szCs w:val="24"/>
        </w:rPr>
        <w:t xml:space="preserve"> regolati, laddove ne</w:t>
      </w:r>
      <w:r w:rsidR="0005335C" w:rsidRPr="00B77149">
        <w:rPr>
          <w:rFonts w:ascii="Times New Roman" w:hAnsi="Times New Roman" w:cs="Times New Roman"/>
          <w:sz w:val="28"/>
          <w:szCs w:val="24"/>
        </w:rPr>
        <w:t xml:space="preserve"> spe</w:t>
      </w:r>
      <w:r w:rsidR="008B6A1F" w:rsidRPr="00B77149">
        <w:rPr>
          <w:rFonts w:ascii="Times New Roman" w:hAnsi="Times New Roman" w:cs="Times New Roman"/>
          <w:sz w:val="28"/>
          <w:szCs w:val="24"/>
        </w:rPr>
        <w:t>cifica</w:t>
      </w:r>
      <w:r w:rsidR="0005335C" w:rsidRPr="00B77149">
        <w:rPr>
          <w:rFonts w:ascii="Times New Roman" w:hAnsi="Times New Roman" w:cs="Times New Roman"/>
          <w:sz w:val="28"/>
          <w:szCs w:val="24"/>
        </w:rPr>
        <w:t xml:space="preserve"> le finalità e i poteri.</w:t>
      </w:r>
    </w:p>
    <w:p w14:paraId="6B14A8CF" w14:textId="77777777" w:rsidR="001575E0" w:rsidRPr="00B77149" w:rsidRDefault="001575E0" w:rsidP="001575E0">
      <w:pPr>
        <w:spacing w:after="0" w:line="240" w:lineRule="auto"/>
        <w:jc w:val="both"/>
        <w:rPr>
          <w:rFonts w:ascii="Times New Roman" w:hAnsi="Times New Roman" w:cs="Times New Roman"/>
          <w:b/>
          <w:sz w:val="28"/>
          <w:szCs w:val="24"/>
        </w:rPr>
      </w:pPr>
    </w:p>
    <w:p w14:paraId="355D1B6C" w14:textId="77777777" w:rsidR="003E5166" w:rsidRPr="00B77149" w:rsidRDefault="003E5166" w:rsidP="001575E0">
      <w:pPr>
        <w:spacing w:after="0" w:line="240" w:lineRule="auto"/>
        <w:jc w:val="both"/>
        <w:rPr>
          <w:rFonts w:ascii="Times New Roman" w:hAnsi="Times New Roman" w:cs="Times New Roman"/>
          <w:b/>
          <w:sz w:val="28"/>
          <w:szCs w:val="24"/>
        </w:rPr>
      </w:pPr>
    </w:p>
    <w:p w14:paraId="0C851C5F" w14:textId="77777777" w:rsidR="003E5166" w:rsidRPr="00B77149" w:rsidRDefault="003E5166" w:rsidP="001575E0">
      <w:pPr>
        <w:spacing w:after="0" w:line="240" w:lineRule="auto"/>
        <w:jc w:val="both"/>
        <w:rPr>
          <w:rFonts w:ascii="Times New Roman" w:hAnsi="Times New Roman" w:cs="Times New Roman"/>
          <w:b/>
          <w:sz w:val="28"/>
          <w:szCs w:val="24"/>
        </w:rPr>
      </w:pPr>
    </w:p>
    <w:p w14:paraId="36E0E77E" w14:textId="163DC57E" w:rsidR="00CD187E" w:rsidRPr="00B77149" w:rsidRDefault="00CD187E" w:rsidP="00CD187E">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b/>
          <w:sz w:val="28"/>
          <w:szCs w:val="24"/>
        </w:rPr>
        <w:t>5.2.</w:t>
      </w:r>
      <w:r w:rsidRPr="00B77149">
        <w:rPr>
          <w:rFonts w:ascii="Times New Roman" w:hAnsi="Times New Roman" w:cs="Times New Roman"/>
          <w:sz w:val="28"/>
          <w:szCs w:val="24"/>
        </w:rPr>
        <w:t xml:space="preserve"> L’art. 194 del TFUE</w:t>
      </w:r>
    </w:p>
    <w:p w14:paraId="34C5F295" w14:textId="77777777" w:rsidR="00CD187E" w:rsidRPr="00B77149" w:rsidRDefault="00CD187E" w:rsidP="00CD187E">
      <w:pPr>
        <w:spacing w:after="0" w:line="240" w:lineRule="auto"/>
        <w:ind w:firstLine="284"/>
        <w:jc w:val="both"/>
        <w:rPr>
          <w:rFonts w:ascii="Times New Roman" w:hAnsi="Times New Roman" w:cs="Times New Roman"/>
          <w:sz w:val="28"/>
          <w:szCs w:val="24"/>
        </w:rPr>
      </w:pPr>
    </w:p>
    <w:p w14:paraId="58225C04" w14:textId="1E47785A" w:rsidR="0005335C" w:rsidRPr="00B77149" w:rsidRDefault="0005335C"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 xml:space="preserve">A </w:t>
      </w:r>
      <w:r w:rsidR="00B75DAA" w:rsidRPr="00B77149">
        <w:rPr>
          <w:rFonts w:ascii="Times New Roman" w:hAnsi="Times New Roman" w:cs="Times New Roman"/>
          <w:sz w:val="28"/>
          <w:szCs w:val="24"/>
        </w:rPr>
        <w:t>questo punto va indicata la seconda</w:t>
      </w:r>
      <w:r w:rsidRPr="00B77149">
        <w:rPr>
          <w:rFonts w:ascii="Times New Roman" w:hAnsi="Times New Roman" w:cs="Times New Roman"/>
          <w:sz w:val="28"/>
          <w:szCs w:val="24"/>
        </w:rPr>
        <w:t xml:space="preserve"> norma di sistema, visto che l’indicata liberalizzazione di settori così importanti come quello elettrico e quello del gas, ha comportato una produzione copiosa di normative europee proprio a partire dagli anni Novanta.</w:t>
      </w:r>
    </w:p>
    <w:p w14:paraId="3930EB95" w14:textId="77777777" w:rsidR="00310153" w:rsidRPr="00B77149" w:rsidRDefault="0031015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Ci si riferisce all’art. 194 TFUE, che attribuisce al Parlamento Europeo e al Consiglio la competenza</w:t>
      </w:r>
      <w:r w:rsidR="008B6A1F" w:rsidRPr="00B77149">
        <w:rPr>
          <w:rFonts w:ascii="Times New Roman" w:hAnsi="Times New Roman" w:cs="Times New Roman"/>
          <w:sz w:val="28"/>
          <w:szCs w:val="24"/>
        </w:rPr>
        <w:t xml:space="preserve"> a</w:t>
      </w:r>
      <w:r w:rsidRPr="00B77149">
        <w:rPr>
          <w:rFonts w:ascii="Times New Roman" w:hAnsi="Times New Roman" w:cs="Times New Roman"/>
          <w:sz w:val="28"/>
          <w:szCs w:val="24"/>
        </w:rPr>
        <w:t xml:space="preserve"> stabilire le misure necessarie per garantire il funzionamento del mercato interno dell’energia, la sicurezza degli approvvigionamenti, il risparmio energetico, l’efficienza energetica, l’interconnessione delle reti e soprattutto lo sviluppo delle energie rinnovabili. Si tratta di una materia concorrente con quella degli Stati membri che conservano il diritto di determinare le condizioni di utilizzo delle proprie fonti energetiche</w:t>
      </w:r>
      <w:r w:rsidR="008B6A1F" w:rsidRPr="00B77149">
        <w:rPr>
          <w:rFonts w:ascii="Times New Roman" w:hAnsi="Times New Roman" w:cs="Times New Roman"/>
          <w:sz w:val="28"/>
          <w:szCs w:val="24"/>
        </w:rPr>
        <w:t>,</w:t>
      </w:r>
      <w:r w:rsidRPr="00B77149">
        <w:rPr>
          <w:rFonts w:ascii="Times New Roman" w:hAnsi="Times New Roman" w:cs="Times New Roman"/>
          <w:sz w:val="28"/>
          <w:szCs w:val="24"/>
        </w:rPr>
        <w:t xml:space="preserve"> oltre che la scelta tra le varie fonti della struttura generale dell’approvvigionamento energetico.</w:t>
      </w:r>
    </w:p>
    <w:p w14:paraId="24CA7CB6" w14:textId="77777777" w:rsidR="00070778" w:rsidRPr="00B77149" w:rsidRDefault="00070778"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Sulla base di questa norma sono state emanate numerosissime direttive, che qui non possono essere ricordate. Va solo detto che esse vengono classificate distinguendo tra prima e seconda liberalizzazione. In esecuzione di esse sono state emanate alcune leggi fondamentali, come il cosiddetto decreto Bersani</w:t>
      </w:r>
      <w:r w:rsidR="009D275E" w:rsidRPr="00B77149">
        <w:rPr>
          <w:rFonts w:ascii="Times New Roman" w:hAnsi="Times New Roman" w:cs="Times New Roman"/>
          <w:sz w:val="28"/>
          <w:szCs w:val="24"/>
        </w:rPr>
        <w:t xml:space="preserve"> (decreto legislativo 16 marzo 1999</w:t>
      </w:r>
      <w:r w:rsidR="00006D6D" w:rsidRPr="00B77149">
        <w:rPr>
          <w:rFonts w:ascii="Times New Roman" w:hAnsi="Times New Roman" w:cs="Times New Roman"/>
          <w:sz w:val="28"/>
          <w:szCs w:val="24"/>
        </w:rPr>
        <w:t>, n.</w:t>
      </w:r>
      <w:r w:rsidR="009D275E" w:rsidRPr="00B77149">
        <w:rPr>
          <w:rFonts w:ascii="Times New Roman" w:hAnsi="Times New Roman" w:cs="Times New Roman"/>
          <w:sz w:val="28"/>
          <w:szCs w:val="24"/>
        </w:rPr>
        <w:t xml:space="preserve"> 79</w:t>
      </w:r>
      <w:r w:rsidR="00462914" w:rsidRPr="00B77149">
        <w:rPr>
          <w:rFonts w:ascii="Times New Roman" w:hAnsi="Times New Roman" w:cs="Times New Roman"/>
          <w:sz w:val="28"/>
          <w:szCs w:val="24"/>
        </w:rPr>
        <w:t>)</w:t>
      </w:r>
      <w:r w:rsidR="009D275E" w:rsidRPr="00B77149">
        <w:rPr>
          <w:rFonts w:ascii="Times New Roman" w:hAnsi="Times New Roman" w:cs="Times New Roman"/>
          <w:sz w:val="28"/>
          <w:szCs w:val="24"/>
        </w:rPr>
        <w:t>; la cosiddetta legge Marzano (</w:t>
      </w:r>
      <w:r w:rsidR="00006D6D" w:rsidRPr="00B77149">
        <w:rPr>
          <w:rFonts w:ascii="Times New Roman" w:hAnsi="Times New Roman" w:cs="Times New Roman"/>
          <w:sz w:val="28"/>
          <w:szCs w:val="24"/>
        </w:rPr>
        <w:t xml:space="preserve">legge </w:t>
      </w:r>
      <w:r w:rsidR="00AB2307" w:rsidRPr="00B77149">
        <w:rPr>
          <w:rFonts w:ascii="Times New Roman" w:hAnsi="Times New Roman" w:cs="Times New Roman"/>
          <w:sz w:val="28"/>
          <w:szCs w:val="24"/>
        </w:rPr>
        <w:t>18 febbraio 2004 n. 39</w:t>
      </w:r>
      <w:r w:rsidR="009D275E" w:rsidRPr="00B77149">
        <w:rPr>
          <w:rFonts w:ascii="Times New Roman" w:hAnsi="Times New Roman" w:cs="Times New Roman"/>
          <w:sz w:val="28"/>
          <w:szCs w:val="24"/>
        </w:rPr>
        <w:t>); il cosiddetto decreto Letta (decreto legislativo</w:t>
      </w:r>
      <w:r w:rsidR="00006D6D" w:rsidRPr="00B77149">
        <w:rPr>
          <w:rFonts w:ascii="Times New Roman" w:hAnsi="Times New Roman" w:cs="Times New Roman"/>
          <w:sz w:val="28"/>
          <w:szCs w:val="24"/>
        </w:rPr>
        <w:t xml:space="preserve"> 23 maggio 2000, n.</w:t>
      </w:r>
      <w:r w:rsidR="009D275E" w:rsidRPr="00B77149">
        <w:rPr>
          <w:rFonts w:ascii="Times New Roman" w:hAnsi="Times New Roman" w:cs="Times New Roman"/>
          <w:sz w:val="28"/>
          <w:szCs w:val="24"/>
        </w:rPr>
        <w:t xml:space="preserve"> 164).</w:t>
      </w:r>
    </w:p>
    <w:p w14:paraId="071F13D5" w14:textId="77777777" w:rsidR="00006D6D" w:rsidRPr="00B77149" w:rsidRDefault="0046291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N</w:t>
      </w:r>
      <w:r w:rsidR="00006D6D" w:rsidRPr="00B77149">
        <w:rPr>
          <w:rFonts w:ascii="Times New Roman" w:hAnsi="Times New Roman" w:cs="Times New Roman"/>
          <w:sz w:val="28"/>
          <w:szCs w:val="24"/>
        </w:rPr>
        <w:t xml:space="preserve">el 2009 è stato emanato il cosiddetto “terzo pacchetto”, composto da due direttive </w:t>
      </w:r>
      <w:r w:rsidR="00B75DAA" w:rsidRPr="00B77149">
        <w:rPr>
          <w:rFonts w:ascii="Times New Roman" w:hAnsi="Times New Roman" w:cs="Times New Roman"/>
          <w:sz w:val="28"/>
          <w:szCs w:val="24"/>
        </w:rPr>
        <w:t xml:space="preserve">e </w:t>
      </w:r>
      <w:r w:rsidR="00006D6D" w:rsidRPr="00B77149">
        <w:rPr>
          <w:rFonts w:ascii="Times New Roman" w:hAnsi="Times New Roman" w:cs="Times New Roman"/>
          <w:sz w:val="28"/>
          <w:szCs w:val="24"/>
        </w:rPr>
        <w:t>tre regolamenti, che ha rafforzato il regime di separazione tra gestione della rete</w:t>
      </w:r>
      <w:r w:rsidR="00477539" w:rsidRPr="00B77149">
        <w:rPr>
          <w:rFonts w:ascii="Times New Roman" w:hAnsi="Times New Roman" w:cs="Times New Roman"/>
          <w:sz w:val="28"/>
          <w:szCs w:val="24"/>
        </w:rPr>
        <w:t xml:space="preserve"> e</w:t>
      </w:r>
      <w:r w:rsidR="00006D6D" w:rsidRPr="00B77149">
        <w:rPr>
          <w:rFonts w:ascii="Times New Roman" w:hAnsi="Times New Roman" w:cs="Times New Roman"/>
          <w:sz w:val="28"/>
          <w:szCs w:val="24"/>
        </w:rPr>
        <w:t xml:space="preserve"> </w:t>
      </w:r>
      <w:r w:rsidR="00477539" w:rsidRPr="00B77149">
        <w:rPr>
          <w:rFonts w:ascii="Times New Roman" w:hAnsi="Times New Roman" w:cs="Times New Roman"/>
          <w:sz w:val="28"/>
          <w:szCs w:val="24"/>
        </w:rPr>
        <w:t>l’</w:t>
      </w:r>
      <w:r w:rsidR="00006D6D" w:rsidRPr="00B77149">
        <w:rPr>
          <w:rFonts w:ascii="Times New Roman" w:hAnsi="Times New Roman" w:cs="Times New Roman"/>
          <w:sz w:val="28"/>
          <w:szCs w:val="24"/>
        </w:rPr>
        <w:t xml:space="preserve">attività di produzione e vendita, al fine di prevenire conflitti di interessi nelle imprese </w:t>
      </w:r>
      <w:r w:rsidR="00AF082E" w:rsidRPr="00B77149">
        <w:rPr>
          <w:rFonts w:ascii="Times New Roman" w:hAnsi="Times New Roman" w:cs="Times New Roman"/>
          <w:sz w:val="28"/>
          <w:szCs w:val="24"/>
        </w:rPr>
        <w:t>‘</w:t>
      </w:r>
      <w:r w:rsidR="00006D6D" w:rsidRPr="00B77149">
        <w:rPr>
          <w:rFonts w:ascii="Times New Roman" w:hAnsi="Times New Roman" w:cs="Times New Roman"/>
          <w:sz w:val="28"/>
          <w:szCs w:val="24"/>
        </w:rPr>
        <w:t>verticalmente integrate</w:t>
      </w:r>
      <w:r w:rsidR="00AF082E" w:rsidRPr="00B77149">
        <w:rPr>
          <w:rFonts w:ascii="Times New Roman" w:hAnsi="Times New Roman" w:cs="Times New Roman"/>
          <w:sz w:val="28"/>
          <w:szCs w:val="24"/>
        </w:rPr>
        <w:t>’</w:t>
      </w:r>
      <w:r w:rsidR="00006D6D" w:rsidRPr="00B77149">
        <w:rPr>
          <w:rFonts w:ascii="Times New Roman" w:hAnsi="Times New Roman" w:cs="Times New Roman"/>
          <w:sz w:val="28"/>
          <w:szCs w:val="24"/>
        </w:rPr>
        <w:t xml:space="preserve"> e di promuovere gli investimenti per potenziare le reti. Con esso è stata istituita una rete europea dei sistemi di trasmissione dell’energia elettrica e del gas (ENTSO-E ed ENTSO-G)</w:t>
      </w:r>
      <w:r w:rsidR="00AB2307" w:rsidRPr="00B77149">
        <w:rPr>
          <w:rFonts w:ascii="Times New Roman" w:hAnsi="Times New Roman" w:cs="Times New Roman"/>
          <w:sz w:val="28"/>
          <w:szCs w:val="24"/>
        </w:rPr>
        <w:t xml:space="preserve">, acronimo di </w:t>
      </w:r>
      <w:proofErr w:type="spellStart"/>
      <w:r w:rsidR="00AB2307" w:rsidRPr="00B77149">
        <w:rPr>
          <w:rStyle w:val="Enfasidelicata"/>
          <w:rFonts w:ascii="Times New Roman" w:hAnsi="Times New Roman" w:cs="Times New Roman"/>
          <w:sz w:val="28"/>
          <w:szCs w:val="24"/>
        </w:rPr>
        <w:t>European</w:t>
      </w:r>
      <w:proofErr w:type="spellEnd"/>
      <w:r w:rsidR="00AB2307" w:rsidRPr="00B77149">
        <w:rPr>
          <w:rStyle w:val="Enfasidelicata"/>
          <w:rFonts w:ascii="Times New Roman" w:hAnsi="Times New Roman" w:cs="Times New Roman"/>
          <w:sz w:val="28"/>
          <w:szCs w:val="24"/>
        </w:rPr>
        <w:t xml:space="preserve"> Network of </w:t>
      </w:r>
      <w:proofErr w:type="spellStart"/>
      <w:r w:rsidR="00477539" w:rsidRPr="00B77149">
        <w:rPr>
          <w:rStyle w:val="Enfasidelicata"/>
          <w:rFonts w:ascii="Times New Roman" w:hAnsi="Times New Roman" w:cs="Times New Roman"/>
          <w:sz w:val="28"/>
          <w:szCs w:val="24"/>
        </w:rPr>
        <w:t>Trasmission</w:t>
      </w:r>
      <w:proofErr w:type="spellEnd"/>
      <w:r w:rsidR="00477539" w:rsidRPr="00B77149">
        <w:rPr>
          <w:rStyle w:val="Enfasidelicata"/>
          <w:rFonts w:ascii="Times New Roman" w:hAnsi="Times New Roman" w:cs="Times New Roman"/>
          <w:sz w:val="28"/>
          <w:szCs w:val="24"/>
        </w:rPr>
        <w:t xml:space="preserve"> System </w:t>
      </w:r>
      <w:proofErr w:type="spellStart"/>
      <w:r w:rsidR="00477539" w:rsidRPr="00B77149">
        <w:rPr>
          <w:rStyle w:val="Enfasidelicata"/>
          <w:rFonts w:ascii="Times New Roman" w:hAnsi="Times New Roman" w:cs="Times New Roman"/>
          <w:sz w:val="28"/>
          <w:szCs w:val="24"/>
        </w:rPr>
        <w:t>Operators</w:t>
      </w:r>
      <w:proofErr w:type="spellEnd"/>
      <w:r w:rsidR="00477539" w:rsidRPr="00B77149">
        <w:rPr>
          <w:rStyle w:val="Enfasidelicata"/>
          <w:rFonts w:ascii="Times New Roman" w:hAnsi="Times New Roman" w:cs="Times New Roman"/>
          <w:sz w:val="28"/>
          <w:szCs w:val="24"/>
        </w:rPr>
        <w:t xml:space="preserve"> for</w:t>
      </w:r>
      <w:r w:rsidR="00AB2307" w:rsidRPr="00B77149">
        <w:rPr>
          <w:rStyle w:val="Enfasidelicata"/>
          <w:rFonts w:ascii="Times New Roman" w:hAnsi="Times New Roman" w:cs="Times New Roman"/>
          <w:sz w:val="28"/>
          <w:szCs w:val="24"/>
        </w:rPr>
        <w:t xml:space="preserve"> </w:t>
      </w:r>
      <w:proofErr w:type="spellStart"/>
      <w:r w:rsidR="00AB2307" w:rsidRPr="00B77149">
        <w:rPr>
          <w:rStyle w:val="Enfasidelicata"/>
          <w:rFonts w:ascii="Times New Roman" w:hAnsi="Times New Roman" w:cs="Times New Roman"/>
          <w:sz w:val="28"/>
          <w:szCs w:val="24"/>
        </w:rPr>
        <w:t>Elecricit</w:t>
      </w:r>
      <w:r w:rsidR="00477539" w:rsidRPr="00B77149">
        <w:rPr>
          <w:rStyle w:val="Enfasidelicata"/>
          <w:rFonts w:ascii="Times New Roman" w:hAnsi="Times New Roman" w:cs="Times New Roman"/>
          <w:sz w:val="28"/>
          <w:szCs w:val="24"/>
        </w:rPr>
        <w:t>y</w:t>
      </w:r>
      <w:proofErr w:type="spellEnd"/>
      <w:r w:rsidR="00477539" w:rsidRPr="00B77149">
        <w:rPr>
          <w:rFonts w:ascii="Times New Roman" w:hAnsi="Times New Roman" w:cs="Times New Roman"/>
          <w:sz w:val="28"/>
          <w:szCs w:val="24"/>
        </w:rPr>
        <w:t xml:space="preserve">, ovvero </w:t>
      </w:r>
      <w:r w:rsidR="00477539" w:rsidRPr="00B77149">
        <w:rPr>
          <w:rStyle w:val="Enfasidelicata"/>
          <w:rFonts w:ascii="Times New Roman" w:hAnsi="Times New Roman" w:cs="Times New Roman"/>
          <w:sz w:val="28"/>
          <w:szCs w:val="24"/>
        </w:rPr>
        <w:t>for Gas</w:t>
      </w:r>
      <w:r w:rsidR="00477539" w:rsidRPr="00B77149">
        <w:rPr>
          <w:rFonts w:ascii="Times New Roman" w:hAnsi="Times New Roman" w:cs="Times New Roman"/>
          <w:sz w:val="28"/>
          <w:szCs w:val="24"/>
        </w:rPr>
        <w:t>, un’associazione di gestori dei sistemi di trasmissione dell’energia elettrica o del gas di vari Paesi in tutta Europa</w:t>
      </w:r>
      <w:r w:rsidR="00006D6D" w:rsidRPr="00B77149">
        <w:rPr>
          <w:rFonts w:ascii="Times New Roman" w:hAnsi="Times New Roman" w:cs="Times New Roman"/>
          <w:sz w:val="28"/>
          <w:szCs w:val="24"/>
        </w:rPr>
        <w:t>. Gli organismi ivi istituiti hanno il compito di elaborare i cosiddetti codici di</w:t>
      </w:r>
      <w:r w:rsidR="005D00D1" w:rsidRPr="00B77149">
        <w:rPr>
          <w:rFonts w:ascii="Times New Roman" w:hAnsi="Times New Roman" w:cs="Times New Roman"/>
          <w:sz w:val="28"/>
          <w:szCs w:val="24"/>
        </w:rPr>
        <w:t xml:space="preserve"> rete</w:t>
      </w:r>
      <w:r w:rsidR="00006D6D" w:rsidRPr="00B77149">
        <w:rPr>
          <w:rFonts w:ascii="Times New Roman" w:hAnsi="Times New Roman" w:cs="Times New Roman"/>
          <w:sz w:val="28"/>
          <w:szCs w:val="24"/>
        </w:rPr>
        <w:t xml:space="preserve"> che disciplina</w:t>
      </w:r>
      <w:r w:rsidR="00B75DAA" w:rsidRPr="00B77149">
        <w:rPr>
          <w:rFonts w:ascii="Times New Roman" w:hAnsi="Times New Roman" w:cs="Times New Roman"/>
          <w:sz w:val="28"/>
          <w:szCs w:val="24"/>
        </w:rPr>
        <w:t>no</w:t>
      </w:r>
      <w:r w:rsidR="00006D6D" w:rsidRPr="00B77149">
        <w:rPr>
          <w:rFonts w:ascii="Times New Roman" w:hAnsi="Times New Roman" w:cs="Times New Roman"/>
          <w:sz w:val="28"/>
          <w:szCs w:val="24"/>
        </w:rPr>
        <w:t xml:space="preserve"> i collegamenti con le reti di trasmissione, il funzionamento dei sistemi paneuropei e armonizzano il commercio interstatale. Con questo importante corpo normativo è stata rafforzata ulteriormente l’indipendenza delle autorità n</w:t>
      </w:r>
      <w:r w:rsidR="00F1503B" w:rsidRPr="00B77149">
        <w:rPr>
          <w:rFonts w:ascii="Times New Roman" w:hAnsi="Times New Roman" w:cs="Times New Roman"/>
          <w:sz w:val="28"/>
          <w:szCs w:val="24"/>
        </w:rPr>
        <w:t>azionali di regolazione,</w:t>
      </w:r>
      <w:r w:rsidR="00006D6D" w:rsidRPr="00B77149">
        <w:rPr>
          <w:rFonts w:ascii="Times New Roman" w:hAnsi="Times New Roman" w:cs="Times New Roman"/>
          <w:sz w:val="28"/>
          <w:szCs w:val="24"/>
        </w:rPr>
        <w:t xml:space="preserve"> stabil</w:t>
      </w:r>
      <w:r w:rsidR="00F1503B" w:rsidRPr="00B77149">
        <w:rPr>
          <w:rFonts w:ascii="Times New Roman" w:hAnsi="Times New Roman" w:cs="Times New Roman"/>
          <w:sz w:val="28"/>
          <w:szCs w:val="24"/>
        </w:rPr>
        <w:t xml:space="preserve">endo che </w:t>
      </w:r>
      <w:r w:rsidR="00006D6D" w:rsidRPr="00B77149">
        <w:rPr>
          <w:rFonts w:ascii="Times New Roman" w:hAnsi="Times New Roman" w:cs="Times New Roman"/>
          <w:sz w:val="28"/>
          <w:szCs w:val="24"/>
        </w:rPr>
        <w:t>deve essere garantita non soltanto dalle imprese ma anche dai governi nazionali. Il coordinamento europeo</w:t>
      </w:r>
      <w:r w:rsidR="00351E01" w:rsidRPr="00B77149">
        <w:rPr>
          <w:rFonts w:ascii="Times New Roman" w:hAnsi="Times New Roman" w:cs="Times New Roman"/>
          <w:sz w:val="28"/>
          <w:szCs w:val="24"/>
        </w:rPr>
        <w:t xml:space="preserve"> viene assicurato dall’A</w:t>
      </w:r>
      <w:r w:rsidR="00BB2414" w:rsidRPr="00B77149">
        <w:rPr>
          <w:rFonts w:ascii="Times New Roman" w:hAnsi="Times New Roman" w:cs="Times New Roman"/>
          <w:sz w:val="28"/>
          <w:szCs w:val="24"/>
        </w:rPr>
        <w:t>genzia per la cooperazione tra i regolatori nazionali dell’energia (ACER).</w:t>
      </w:r>
    </w:p>
    <w:p w14:paraId="4E489151" w14:textId="77777777" w:rsidR="00BB2414" w:rsidRPr="00B77149" w:rsidRDefault="00BB241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Parimenti non si può omettere di ricordare la direttiva 23 aprile 2009, n.</w:t>
      </w:r>
      <w:r w:rsidR="00351E01" w:rsidRPr="00B77149">
        <w:rPr>
          <w:rFonts w:ascii="Times New Roman" w:hAnsi="Times New Roman" w:cs="Times New Roman"/>
          <w:sz w:val="28"/>
          <w:szCs w:val="24"/>
        </w:rPr>
        <w:t xml:space="preserve"> </w:t>
      </w:r>
      <w:r w:rsidRPr="00B77149">
        <w:rPr>
          <w:rFonts w:ascii="Times New Roman" w:hAnsi="Times New Roman" w:cs="Times New Roman"/>
          <w:sz w:val="28"/>
          <w:szCs w:val="24"/>
        </w:rPr>
        <w:t xml:space="preserve">209/28/CE, relativa alla promozione dell’uso dell’energia da fonti rinnovabili, fissando una quota minima di questo tipo di energia che gli Stati sono tenuti a conseguire; in coerenza con l’obiettivo europeo di raggiungere nel 2020 una quota complessiva pari almeno al 20 per cento di tale energia. Gli Stati membri </w:t>
      </w:r>
      <w:r w:rsidRPr="00B77149">
        <w:rPr>
          <w:rFonts w:ascii="Times New Roman" w:hAnsi="Times New Roman" w:cs="Times New Roman"/>
          <w:sz w:val="28"/>
          <w:szCs w:val="24"/>
        </w:rPr>
        <w:lastRenderedPageBreak/>
        <w:t>devono dotarsi di piani di azione nazionali per le energie rinnovabili. A questa sono succedute altre direttive.</w:t>
      </w:r>
    </w:p>
    <w:p w14:paraId="50FBC071" w14:textId="77777777" w:rsidR="00C277C4" w:rsidRPr="00B77149" w:rsidRDefault="001F104D"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L</w:t>
      </w:r>
      <w:r w:rsidR="00BB2414" w:rsidRPr="00B77149">
        <w:rPr>
          <w:rFonts w:ascii="Times New Roman" w:hAnsi="Times New Roman" w:cs="Times New Roman"/>
          <w:sz w:val="28"/>
          <w:szCs w:val="24"/>
        </w:rPr>
        <w:t>a tappa più recente dell’evoluzione del diritto europeo è costituita dal cosiddetto</w:t>
      </w:r>
      <w:r w:rsidR="00BB2414" w:rsidRPr="00B77149">
        <w:rPr>
          <w:rStyle w:val="Enfasicorsivo"/>
          <w:rFonts w:ascii="Times New Roman" w:hAnsi="Times New Roman" w:cs="Times New Roman"/>
          <w:sz w:val="28"/>
          <w:szCs w:val="24"/>
        </w:rPr>
        <w:t xml:space="preserve"> </w:t>
      </w:r>
      <w:proofErr w:type="spellStart"/>
      <w:r w:rsidR="00BB2414" w:rsidRPr="00B77149">
        <w:rPr>
          <w:rStyle w:val="Enfasicorsivo"/>
          <w:rFonts w:ascii="Times New Roman" w:hAnsi="Times New Roman" w:cs="Times New Roman"/>
          <w:sz w:val="28"/>
          <w:szCs w:val="24"/>
        </w:rPr>
        <w:t>Winter</w:t>
      </w:r>
      <w:proofErr w:type="spellEnd"/>
      <w:r w:rsidR="00BB2414" w:rsidRPr="00B77149">
        <w:rPr>
          <w:rStyle w:val="Enfasicorsivo"/>
          <w:rFonts w:ascii="Times New Roman" w:hAnsi="Times New Roman" w:cs="Times New Roman"/>
          <w:sz w:val="28"/>
          <w:szCs w:val="24"/>
        </w:rPr>
        <w:t xml:space="preserve"> </w:t>
      </w:r>
      <w:proofErr w:type="spellStart"/>
      <w:r w:rsidR="00BB2414" w:rsidRPr="00B77149">
        <w:rPr>
          <w:rStyle w:val="Enfasicorsivo"/>
          <w:rFonts w:ascii="Times New Roman" w:hAnsi="Times New Roman" w:cs="Times New Roman"/>
          <w:sz w:val="28"/>
          <w:szCs w:val="24"/>
        </w:rPr>
        <w:t>Pachage</w:t>
      </w:r>
      <w:proofErr w:type="spellEnd"/>
      <w:r w:rsidR="00BB2414" w:rsidRPr="00B77149">
        <w:rPr>
          <w:rStyle w:val="Enfasicorsivo"/>
          <w:rFonts w:ascii="Times New Roman" w:hAnsi="Times New Roman" w:cs="Times New Roman"/>
          <w:sz w:val="28"/>
          <w:szCs w:val="24"/>
        </w:rPr>
        <w:t xml:space="preserve"> o Clear Energy </w:t>
      </w:r>
      <w:proofErr w:type="spellStart"/>
      <w:r w:rsidR="00BB2414" w:rsidRPr="00B77149">
        <w:rPr>
          <w:rStyle w:val="Enfasicorsivo"/>
          <w:rFonts w:ascii="Times New Roman" w:hAnsi="Times New Roman" w:cs="Times New Roman"/>
          <w:sz w:val="28"/>
          <w:szCs w:val="24"/>
        </w:rPr>
        <w:t>Pachage</w:t>
      </w:r>
      <w:proofErr w:type="spellEnd"/>
      <w:r w:rsidR="0078656B" w:rsidRPr="00B77149">
        <w:rPr>
          <w:rFonts w:ascii="Times New Roman" w:hAnsi="Times New Roman" w:cs="Times New Roman"/>
          <w:sz w:val="28"/>
          <w:szCs w:val="24"/>
        </w:rPr>
        <w:t>,</w:t>
      </w:r>
      <w:r w:rsidR="00AB36E7" w:rsidRPr="00B77149">
        <w:rPr>
          <w:rFonts w:ascii="Times New Roman" w:hAnsi="Times New Roman" w:cs="Times New Roman"/>
          <w:sz w:val="28"/>
          <w:szCs w:val="24"/>
        </w:rPr>
        <w:t xml:space="preserve"> che,</w:t>
      </w:r>
      <w:r w:rsidR="0078656B" w:rsidRPr="00B77149">
        <w:rPr>
          <w:rFonts w:ascii="Times New Roman" w:hAnsi="Times New Roman" w:cs="Times New Roman"/>
          <w:sz w:val="28"/>
          <w:szCs w:val="24"/>
        </w:rPr>
        <w:t xml:space="preserve"> oltre a rafforzare la necessità di produrre energie da fonti rinnovabili, pone un obiettivo vincolante per l’unione europea da raggiungere nel 2030 con l’impiego di non meno del 32% di tale energia, introducendo la regola per cui il sostegno finanziario deve essere basato su meccanismi di mercato e </w:t>
      </w:r>
      <w:r w:rsidR="00351E01" w:rsidRPr="00B77149">
        <w:rPr>
          <w:rFonts w:ascii="Times New Roman" w:hAnsi="Times New Roman" w:cs="Times New Roman"/>
          <w:sz w:val="28"/>
          <w:szCs w:val="24"/>
        </w:rPr>
        <w:t>sul</w:t>
      </w:r>
      <w:r w:rsidR="0078656B" w:rsidRPr="00B77149">
        <w:rPr>
          <w:rFonts w:ascii="Times New Roman" w:hAnsi="Times New Roman" w:cs="Times New Roman"/>
          <w:sz w:val="28"/>
          <w:szCs w:val="24"/>
        </w:rPr>
        <w:t>lo snellimento delle procedure. Esso autorizza i consumatori a divenire produttori e auto</w:t>
      </w:r>
      <w:r w:rsidR="00AB36E7" w:rsidRPr="00B77149">
        <w:rPr>
          <w:rFonts w:ascii="Times New Roman" w:hAnsi="Times New Roman" w:cs="Times New Roman"/>
          <w:sz w:val="28"/>
          <w:szCs w:val="24"/>
        </w:rPr>
        <w:t>-consumatori</w:t>
      </w:r>
      <w:r w:rsidR="0078656B" w:rsidRPr="00B77149">
        <w:rPr>
          <w:rFonts w:ascii="Times New Roman" w:hAnsi="Times New Roman" w:cs="Times New Roman"/>
          <w:sz w:val="28"/>
          <w:szCs w:val="24"/>
        </w:rPr>
        <w:t xml:space="preserve"> di energia rinnovabile, prevedendo organismi di grande originalità</w:t>
      </w:r>
      <w:r w:rsidR="00AB36E7" w:rsidRPr="00B77149">
        <w:rPr>
          <w:rFonts w:ascii="Times New Roman" w:hAnsi="Times New Roman" w:cs="Times New Roman"/>
          <w:sz w:val="28"/>
          <w:szCs w:val="24"/>
        </w:rPr>
        <w:t>,</w:t>
      </w:r>
      <w:r w:rsidR="0078656B" w:rsidRPr="00B77149">
        <w:rPr>
          <w:rFonts w:ascii="Times New Roman" w:hAnsi="Times New Roman" w:cs="Times New Roman"/>
          <w:sz w:val="28"/>
          <w:szCs w:val="24"/>
        </w:rPr>
        <w:t xml:space="preserve"> come le comunità di energia rinnovabile (CER</w:t>
      </w:r>
      <w:r w:rsidR="00287409" w:rsidRPr="00B77149">
        <w:rPr>
          <w:rFonts w:ascii="Times New Roman" w:hAnsi="Times New Roman" w:cs="Times New Roman"/>
          <w:sz w:val="28"/>
          <w:szCs w:val="24"/>
        </w:rPr>
        <w:t>, ma anche le CEC</w:t>
      </w:r>
      <w:r w:rsidR="0078656B" w:rsidRPr="00B77149">
        <w:rPr>
          <w:rFonts w:ascii="Times New Roman" w:hAnsi="Times New Roman" w:cs="Times New Roman"/>
          <w:sz w:val="28"/>
          <w:szCs w:val="24"/>
        </w:rPr>
        <w:t>), che hanno soggettività giuridica autonoma e sono aperte all’adesione dei clienti finali</w:t>
      </w:r>
      <w:r w:rsidR="00AB36E7" w:rsidRPr="00B77149">
        <w:rPr>
          <w:rFonts w:ascii="Times New Roman" w:hAnsi="Times New Roman" w:cs="Times New Roman"/>
          <w:sz w:val="28"/>
          <w:szCs w:val="24"/>
        </w:rPr>
        <w:t>. Queste</w:t>
      </w:r>
      <w:r w:rsidR="0078656B" w:rsidRPr="00B77149">
        <w:rPr>
          <w:rFonts w:ascii="Times New Roman" w:hAnsi="Times New Roman" w:cs="Times New Roman"/>
          <w:sz w:val="28"/>
          <w:szCs w:val="24"/>
        </w:rPr>
        <w:t xml:space="preserve"> possono produrre, consumare, immagazzinare e vendere, con scambi anche all’interno della comunità, l’energia rinnovabi</w:t>
      </w:r>
      <w:r w:rsidR="00C277C4" w:rsidRPr="00B77149">
        <w:rPr>
          <w:rFonts w:ascii="Times New Roman" w:hAnsi="Times New Roman" w:cs="Times New Roman"/>
          <w:sz w:val="28"/>
          <w:szCs w:val="24"/>
        </w:rPr>
        <w:t>le.</w:t>
      </w:r>
    </w:p>
    <w:p w14:paraId="65129E18" w14:textId="77777777" w:rsidR="0090011B" w:rsidRPr="00B77149" w:rsidRDefault="00C277C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Va infine ricordato, tanto più che alcuni dei protagonisti della geopolitica planetaria vogliono rimettere tutto in discussione, </w:t>
      </w:r>
      <w:r w:rsidR="0090011B" w:rsidRPr="00B77149">
        <w:rPr>
          <w:rFonts w:ascii="Times New Roman" w:hAnsi="Times New Roman" w:cs="Times New Roman"/>
          <w:sz w:val="28"/>
          <w:szCs w:val="24"/>
        </w:rPr>
        <w:t>l’accordo di Parigi del 2015 sui cambiamenti climatici promosso dalle Nazioni Unite. Con esso si intende contrastare il riscaldamento globale e cercare di contenerne l’aumento al di sotto dei 2° centigradi. Si vuole raggiungere in Europa la riduzione del 55 per cento delle emissioni nell’atmosfera di gas a effetto serra entro il 2030 e nel 2050 raggiungere l’obiettivo di una completa neutralità climatica.</w:t>
      </w:r>
      <w:r w:rsidR="00351E01" w:rsidRPr="00B77149">
        <w:rPr>
          <w:rFonts w:ascii="Times New Roman" w:hAnsi="Times New Roman" w:cs="Times New Roman"/>
          <w:sz w:val="28"/>
          <w:szCs w:val="24"/>
        </w:rPr>
        <w:t xml:space="preserve"> Si parla appunto di epoca della transizione climatica.</w:t>
      </w:r>
    </w:p>
    <w:p w14:paraId="1647DFE7" w14:textId="77777777" w:rsidR="00AF082E" w:rsidRPr="00B77149" w:rsidRDefault="001F104D" w:rsidP="001575E0">
      <w:pPr>
        <w:spacing w:after="0" w:line="240" w:lineRule="auto"/>
        <w:ind w:firstLine="284"/>
        <w:jc w:val="both"/>
        <w:rPr>
          <w:rFonts w:ascii="Times New Roman" w:hAnsi="Times New Roman" w:cs="Times New Roman"/>
          <w:strike/>
          <w:sz w:val="28"/>
          <w:szCs w:val="24"/>
        </w:rPr>
      </w:pPr>
      <w:r w:rsidRPr="00B77149">
        <w:rPr>
          <w:rFonts w:ascii="Times New Roman" w:hAnsi="Times New Roman" w:cs="Times New Roman"/>
          <w:sz w:val="28"/>
          <w:szCs w:val="24"/>
        </w:rPr>
        <w:t xml:space="preserve">In tale direzione già era andato </w:t>
      </w:r>
      <w:r w:rsidR="00AE37A7" w:rsidRPr="00B77149">
        <w:rPr>
          <w:rFonts w:ascii="Times New Roman" w:hAnsi="Times New Roman" w:cs="Times New Roman"/>
          <w:sz w:val="28"/>
          <w:szCs w:val="24"/>
        </w:rPr>
        <w:t>il Protocollo di Kyoto del 1997, dove si prevedono per la riduzione delle emissioni alcuni meccanismi flessibili per il raggiungimento degli obiettivi. In Europa lo strumento attuativo del Protocollo è stato dapprima la direttiva 13 ottobre 2003, n. 2003/ 87</w:t>
      </w:r>
      <w:r w:rsidRPr="00B77149">
        <w:rPr>
          <w:rFonts w:ascii="Times New Roman" w:hAnsi="Times New Roman" w:cs="Times New Roman"/>
          <w:sz w:val="28"/>
          <w:szCs w:val="24"/>
        </w:rPr>
        <w:t>, successivamente emendato dalla direttiva UE 14 marzo 2016, n. 218/410 e più di recente dalla direttiva 2023/958 del Parlamento europeo e del Consiglio, per quanto riguarda il contributo del trasporto aereo all’obiettivo di riduzione delle emissioni</w:t>
      </w:r>
      <w:r w:rsidR="00733035" w:rsidRPr="00B77149">
        <w:rPr>
          <w:rFonts w:ascii="Times New Roman" w:hAnsi="Times New Roman" w:cs="Times New Roman"/>
          <w:sz w:val="28"/>
          <w:szCs w:val="24"/>
        </w:rPr>
        <w:t xml:space="preserve"> e la direttiva UE 2023/059, entrambe del 10 maggio 2023 che istituisce un sistema di scambio di quote di emissione del gas ad effetto serra.</w:t>
      </w:r>
      <w:r w:rsidR="00AE37A7" w:rsidRPr="00B77149">
        <w:rPr>
          <w:rFonts w:ascii="Times New Roman" w:hAnsi="Times New Roman" w:cs="Times New Roman"/>
          <w:sz w:val="28"/>
          <w:szCs w:val="24"/>
        </w:rPr>
        <w:t xml:space="preserve"> </w:t>
      </w:r>
      <w:r w:rsidR="00733035" w:rsidRPr="00B77149">
        <w:rPr>
          <w:rFonts w:ascii="Times New Roman" w:hAnsi="Times New Roman" w:cs="Times New Roman"/>
          <w:sz w:val="28"/>
          <w:szCs w:val="24"/>
        </w:rPr>
        <w:t>Con</w:t>
      </w:r>
      <w:r w:rsidR="00AE37A7" w:rsidRPr="00B77149">
        <w:rPr>
          <w:rFonts w:ascii="Times New Roman" w:hAnsi="Times New Roman" w:cs="Times New Roman"/>
          <w:sz w:val="28"/>
          <w:szCs w:val="24"/>
        </w:rPr>
        <w:t xml:space="preserve"> decreto legislativo 9 giugno 2020, n. 47,</w:t>
      </w:r>
      <w:r w:rsidR="00733035" w:rsidRPr="00B77149">
        <w:rPr>
          <w:rFonts w:ascii="Times New Roman" w:hAnsi="Times New Roman" w:cs="Times New Roman"/>
          <w:sz w:val="28"/>
          <w:szCs w:val="24"/>
        </w:rPr>
        <w:t xml:space="preserve"> si era data attuazione al</w:t>
      </w:r>
      <w:r w:rsidR="00AE37A7" w:rsidRPr="00B77149">
        <w:rPr>
          <w:rFonts w:ascii="Times New Roman" w:hAnsi="Times New Roman" w:cs="Times New Roman"/>
          <w:sz w:val="28"/>
          <w:szCs w:val="24"/>
        </w:rPr>
        <w:t>la direttiva UE 14 marzo 2018, n. 218/ 410</w:t>
      </w:r>
      <w:r w:rsidR="00733035" w:rsidRPr="00B77149">
        <w:rPr>
          <w:rFonts w:ascii="Times New Roman" w:hAnsi="Times New Roman" w:cs="Times New Roman"/>
          <w:sz w:val="28"/>
          <w:szCs w:val="24"/>
        </w:rPr>
        <w:t>; con il più recente decreto legislativo 10 settembre 2024 n. 147, sono state recepite le direttive del 2023.</w:t>
      </w:r>
    </w:p>
    <w:p w14:paraId="5E656AF2" w14:textId="77777777" w:rsidR="00DE1113" w:rsidRPr="00B77149" w:rsidRDefault="00AF082E" w:rsidP="001575E0">
      <w:pPr>
        <w:spacing w:after="0" w:line="240" w:lineRule="auto"/>
        <w:ind w:firstLine="284"/>
        <w:jc w:val="both"/>
        <w:rPr>
          <w:rFonts w:ascii="Times New Roman" w:hAnsi="Times New Roman" w:cs="Times New Roman"/>
          <w:strike/>
          <w:sz w:val="28"/>
          <w:szCs w:val="24"/>
        </w:rPr>
      </w:pPr>
      <w:r w:rsidRPr="00B77149">
        <w:rPr>
          <w:rFonts w:ascii="Times New Roman" w:hAnsi="Times New Roman" w:cs="Times New Roman"/>
          <w:sz w:val="28"/>
          <w:szCs w:val="24"/>
        </w:rPr>
        <w:t>Questo deve avvenire all’interno del co</w:t>
      </w:r>
      <w:r w:rsidR="00DE1D50" w:rsidRPr="00B77149">
        <w:rPr>
          <w:rFonts w:ascii="Times New Roman" w:hAnsi="Times New Roman" w:cs="Times New Roman"/>
          <w:sz w:val="28"/>
          <w:szCs w:val="24"/>
        </w:rPr>
        <w:t xml:space="preserve">siddetto </w:t>
      </w:r>
      <w:r w:rsidR="00DE1D50" w:rsidRPr="00B77149">
        <w:rPr>
          <w:rStyle w:val="Enfasidelicata"/>
          <w:rFonts w:ascii="Times New Roman" w:hAnsi="Times New Roman" w:cs="Times New Roman"/>
          <w:sz w:val="28"/>
          <w:szCs w:val="24"/>
        </w:rPr>
        <w:t>Green Deal</w:t>
      </w:r>
      <w:r w:rsidR="00DE1D50" w:rsidRPr="00B77149">
        <w:rPr>
          <w:rFonts w:ascii="Times New Roman" w:hAnsi="Times New Roman" w:cs="Times New Roman"/>
          <w:sz w:val="28"/>
          <w:szCs w:val="24"/>
        </w:rPr>
        <w:t xml:space="preserve"> europeo</w:t>
      </w:r>
      <w:r w:rsidRPr="00B77149">
        <w:rPr>
          <w:rFonts w:ascii="Times New Roman" w:hAnsi="Times New Roman" w:cs="Times New Roman"/>
          <w:sz w:val="28"/>
          <w:szCs w:val="24"/>
        </w:rPr>
        <w:t>. Esso</w:t>
      </w:r>
      <w:r w:rsidR="00DE1113" w:rsidRPr="00B77149">
        <w:rPr>
          <w:rFonts w:ascii="Times New Roman" w:hAnsi="Times New Roman" w:cs="Times New Roman"/>
          <w:sz w:val="28"/>
          <w:szCs w:val="24"/>
        </w:rPr>
        <w:t xml:space="preserve"> consiste in</w:t>
      </w:r>
      <w:r w:rsidR="00BE11F6" w:rsidRPr="00B77149">
        <w:rPr>
          <w:rFonts w:ascii="Times New Roman" w:hAnsi="Times New Roman" w:cs="Times New Roman"/>
          <w:sz w:val="28"/>
          <w:szCs w:val="24"/>
        </w:rPr>
        <w:t xml:space="preserve"> un programma strategico risalente al 2019 che vuole avviare l’UE verso una ‘transizione verde’, con l’obiettivo finale di raggiungere la neutralità climatica entro il 2050. L’intero pacchetto di iniziative strategiche</w:t>
      </w:r>
      <w:r w:rsidR="002F014C" w:rsidRPr="00B77149">
        <w:rPr>
          <w:rFonts w:ascii="Times New Roman" w:hAnsi="Times New Roman" w:cs="Times New Roman"/>
          <w:sz w:val="28"/>
          <w:szCs w:val="24"/>
        </w:rPr>
        <w:t xml:space="preserve"> si fonda </w:t>
      </w:r>
      <w:r w:rsidR="00BE11F6" w:rsidRPr="00B77149">
        <w:rPr>
          <w:rFonts w:ascii="Times New Roman" w:hAnsi="Times New Roman" w:cs="Times New Roman"/>
          <w:sz w:val="28"/>
          <w:szCs w:val="24"/>
        </w:rPr>
        <w:t>sulla constatazione che energia ambiente e clima costituiscono una triade i</w:t>
      </w:r>
      <w:r w:rsidR="002F014C" w:rsidRPr="00B77149">
        <w:rPr>
          <w:rFonts w:ascii="Times New Roman" w:hAnsi="Times New Roman" w:cs="Times New Roman"/>
          <w:sz w:val="28"/>
          <w:szCs w:val="24"/>
        </w:rPr>
        <w:t>n</w:t>
      </w:r>
      <w:r w:rsidR="00BE11F6" w:rsidRPr="00B77149">
        <w:rPr>
          <w:rFonts w:ascii="Times New Roman" w:hAnsi="Times New Roman" w:cs="Times New Roman"/>
          <w:sz w:val="28"/>
          <w:szCs w:val="24"/>
        </w:rPr>
        <w:t xml:space="preserve">scindibile e quindi hanno bisogno di politiche </w:t>
      </w:r>
      <w:proofErr w:type="spellStart"/>
      <w:r w:rsidR="00BE11F6" w:rsidRPr="00B77149">
        <w:rPr>
          <w:rFonts w:ascii="Times New Roman" w:hAnsi="Times New Roman" w:cs="Times New Roman"/>
          <w:sz w:val="28"/>
          <w:szCs w:val="24"/>
        </w:rPr>
        <w:t>regolatorie</w:t>
      </w:r>
      <w:proofErr w:type="spellEnd"/>
      <w:r w:rsidR="00BE11F6" w:rsidRPr="00B77149">
        <w:rPr>
          <w:rFonts w:ascii="Times New Roman" w:hAnsi="Times New Roman" w:cs="Times New Roman"/>
          <w:sz w:val="28"/>
          <w:szCs w:val="24"/>
        </w:rPr>
        <w:t xml:space="preserve"> unitarie. Il cosiddetto </w:t>
      </w:r>
      <w:proofErr w:type="spellStart"/>
      <w:r w:rsidR="00BE11F6" w:rsidRPr="00B77149">
        <w:rPr>
          <w:rStyle w:val="Enfasidelicata"/>
          <w:rFonts w:ascii="Times New Roman" w:hAnsi="Times New Roman" w:cs="Times New Roman"/>
          <w:sz w:val="28"/>
          <w:szCs w:val="24"/>
        </w:rPr>
        <w:t>Grean</w:t>
      </w:r>
      <w:proofErr w:type="spellEnd"/>
      <w:r w:rsidR="00BE11F6" w:rsidRPr="00B77149">
        <w:rPr>
          <w:rStyle w:val="Enfasidelicata"/>
          <w:rFonts w:ascii="Times New Roman" w:hAnsi="Times New Roman" w:cs="Times New Roman"/>
          <w:sz w:val="28"/>
          <w:szCs w:val="24"/>
        </w:rPr>
        <w:t xml:space="preserve"> Deal</w:t>
      </w:r>
      <w:r w:rsidR="00DE1D50" w:rsidRPr="00B77149">
        <w:rPr>
          <w:rFonts w:ascii="Times New Roman" w:hAnsi="Times New Roman" w:cs="Times New Roman"/>
          <w:sz w:val="28"/>
          <w:szCs w:val="24"/>
        </w:rPr>
        <w:t xml:space="preserve"> </w:t>
      </w:r>
      <w:r w:rsidR="00BE11F6" w:rsidRPr="00B77149">
        <w:rPr>
          <w:rFonts w:ascii="Times New Roman" w:hAnsi="Times New Roman" w:cs="Times New Roman"/>
          <w:sz w:val="28"/>
          <w:szCs w:val="24"/>
        </w:rPr>
        <w:t xml:space="preserve">europeo </w:t>
      </w:r>
      <w:r w:rsidR="00DE1D50" w:rsidRPr="00B77149">
        <w:rPr>
          <w:rFonts w:ascii="Times New Roman" w:hAnsi="Times New Roman" w:cs="Times New Roman"/>
          <w:sz w:val="28"/>
          <w:szCs w:val="24"/>
        </w:rPr>
        <w:t>tende a fronteggiare i cambiamenti climatici, dove la strategia di crescita deve anzitutto proteggere la salute e il benessere dei cittadini dai rischi ambientali, senza rinunciare agli obiettivi di una società giusta e prospera</w:t>
      </w:r>
      <w:r w:rsidR="00467DF3" w:rsidRPr="00B77149">
        <w:rPr>
          <w:rFonts w:ascii="Times New Roman" w:hAnsi="Times New Roman" w:cs="Times New Roman"/>
          <w:sz w:val="28"/>
          <w:szCs w:val="24"/>
        </w:rPr>
        <w:t>,</w:t>
      </w:r>
      <w:r w:rsidR="00AD6BCB" w:rsidRPr="00B77149">
        <w:rPr>
          <w:rFonts w:ascii="Times New Roman" w:hAnsi="Times New Roman" w:cs="Times New Roman"/>
          <w:sz w:val="28"/>
          <w:szCs w:val="24"/>
        </w:rPr>
        <w:t xml:space="preserve"> come </w:t>
      </w:r>
      <w:r w:rsidR="00AD6BCB" w:rsidRPr="00B77149">
        <w:rPr>
          <w:rFonts w:ascii="Times New Roman" w:hAnsi="Times New Roman" w:cs="Times New Roman"/>
          <w:sz w:val="28"/>
          <w:szCs w:val="24"/>
        </w:rPr>
        <w:lastRenderedPageBreak/>
        <w:t>richiede</w:t>
      </w:r>
      <w:r w:rsidR="00DE1D50" w:rsidRPr="00B77149">
        <w:rPr>
          <w:rFonts w:ascii="Times New Roman" w:hAnsi="Times New Roman" w:cs="Times New Roman"/>
          <w:sz w:val="28"/>
          <w:szCs w:val="24"/>
        </w:rPr>
        <w:t xml:space="preserve"> un’economia moderna. Si intende così promuovere una transizione </w:t>
      </w:r>
      <w:r w:rsidR="00467DF3" w:rsidRPr="00B77149">
        <w:rPr>
          <w:rFonts w:ascii="Times New Roman" w:hAnsi="Times New Roman" w:cs="Times New Roman"/>
          <w:sz w:val="28"/>
          <w:szCs w:val="24"/>
        </w:rPr>
        <w:t>‘</w:t>
      </w:r>
      <w:r w:rsidR="00DE1D50" w:rsidRPr="00B77149">
        <w:rPr>
          <w:rFonts w:ascii="Times New Roman" w:hAnsi="Times New Roman" w:cs="Times New Roman"/>
          <w:sz w:val="28"/>
          <w:szCs w:val="24"/>
        </w:rPr>
        <w:t>giusta ed inclusiva</w:t>
      </w:r>
      <w:r w:rsidR="00467DF3" w:rsidRPr="00B77149">
        <w:rPr>
          <w:rFonts w:ascii="Times New Roman" w:hAnsi="Times New Roman" w:cs="Times New Roman"/>
          <w:sz w:val="28"/>
          <w:szCs w:val="24"/>
        </w:rPr>
        <w:t>’</w:t>
      </w:r>
      <w:r w:rsidR="00DE1D50" w:rsidRPr="00B77149">
        <w:rPr>
          <w:rFonts w:ascii="Times New Roman" w:hAnsi="Times New Roman" w:cs="Times New Roman"/>
          <w:sz w:val="28"/>
          <w:szCs w:val="24"/>
        </w:rPr>
        <w:t xml:space="preserve"> e indirizzare l’economia e la società su un percorso maggiormente sostenibile.</w:t>
      </w:r>
      <w:r w:rsidR="00DE1113" w:rsidRPr="00B77149">
        <w:rPr>
          <w:rFonts w:ascii="Times New Roman" w:hAnsi="Times New Roman" w:cs="Times New Roman"/>
          <w:sz w:val="28"/>
          <w:szCs w:val="24"/>
        </w:rPr>
        <w:t xml:space="preserve"> </w:t>
      </w:r>
    </w:p>
    <w:p w14:paraId="5BD7E243" w14:textId="129CEF0F" w:rsidR="00467DF3" w:rsidRPr="00B77149" w:rsidRDefault="00DE111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Nel 2021 la commissione europea ha adottato un programma organico di proposte normative (</w:t>
      </w:r>
      <w:proofErr w:type="spellStart"/>
      <w:r w:rsidR="00441327" w:rsidRPr="00B77149">
        <w:rPr>
          <w:rFonts w:ascii="Times New Roman" w:hAnsi="Times New Roman" w:cs="Times New Roman"/>
          <w:sz w:val="28"/>
          <w:szCs w:val="24"/>
        </w:rPr>
        <w:t>F</w:t>
      </w:r>
      <w:r w:rsidRPr="00B77149">
        <w:rPr>
          <w:rStyle w:val="Enfasidelicata"/>
          <w:rFonts w:ascii="Times New Roman" w:hAnsi="Times New Roman" w:cs="Times New Roman"/>
          <w:sz w:val="28"/>
          <w:szCs w:val="24"/>
        </w:rPr>
        <w:t>it</w:t>
      </w:r>
      <w:proofErr w:type="spellEnd"/>
      <w:r w:rsidRPr="00B77149">
        <w:rPr>
          <w:rStyle w:val="Enfasidelicata"/>
          <w:rFonts w:ascii="Times New Roman" w:hAnsi="Times New Roman" w:cs="Times New Roman"/>
          <w:sz w:val="28"/>
          <w:szCs w:val="24"/>
        </w:rPr>
        <w:t xml:space="preserve"> for 55</w:t>
      </w:r>
      <w:r w:rsidRPr="00B77149">
        <w:rPr>
          <w:rFonts w:ascii="Times New Roman" w:hAnsi="Times New Roman" w:cs="Times New Roman"/>
          <w:sz w:val="28"/>
          <w:szCs w:val="24"/>
        </w:rPr>
        <w:t>) per rendere più realistico il raggiungimento di obiettivi così ambiziosi, che egualmente mira alla “neutralità climatica” entro il 2055 (da qui la denominazione)</w:t>
      </w:r>
      <w:r w:rsidR="00073FD9" w:rsidRPr="00B77149">
        <w:rPr>
          <w:rFonts w:ascii="Times New Roman" w:hAnsi="Times New Roman" w:cs="Times New Roman"/>
          <w:sz w:val="28"/>
          <w:szCs w:val="24"/>
        </w:rPr>
        <w:t>,</w:t>
      </w:r>
      <w:r w:rsidRPr="00B77149">
        <w:rPr>
          <w:rFonts w:ascii="Times New Roman" w:hAnsi="Times New Roman" w:cs="Times New Roman"/>
          <w:sz w:val="28"/>
          <w:szCs w:val="24"/>
        </w:rPr>
        <w:t xml:space="preserve"> prevedendo la riduzione a zero delle emissioni degli autoveicoli entro il 2035, dando così un impulso decisivo alla transizione da motorizzazioni fondate su motori a petrolio a quello fondato su motori elettrici.</w:t>
      </w:r>
    </w:p>
    <w:p w14:paraId="0410169C" w14:textId="77777777" w:rsidR="00467DF3" w:rsidRPr="00B77149" w:rsidRDefault="00467DF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 Va infine ricordato che la strategia di cui si tratta si fonda su un profondo ripensamento delle politiche per l’approvvigionamento di energia, che deve essere ‘pulita’ in tutti i settori dell’economia.</w:t>
      </w:r>
    </w:p>
    <w:p w14:paraId="78401238" w14:textId="41E320BB" w:rsidR="00467DF3" w:rsidRPr="00B77149" w:rsidRDefault="00467DF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In realtà la transizione energetica era stata già così delineata nel pacchetto “Unione dell’energia” del 2015. Sicché la regolazione futura dovrà riguardare: la sicurezza energetica, la piena integrazione del mercato europeo dell’energia, l’efficienza energetica, la </w:t>
      </w:r>
      <w:proofErr w:type="spellStart"/>
      <w:r w:rsidRPr="00B77149">
        <w:rPr>
          <w:rFonts w:ascii="Times New Roman" w:hAnsi="Times New Roman" w:cs="Times New Roman"/>
          <w:sz w:val="28"/>
          <w:szCs w:val="24"/>
        </w:rPr>
        <w:t>de</w:t>
      </w:r>
      <w:r w:rsidR="00DF2669" w:rsidRPr="00B77149">
        <w:rPr>
          <w:rFonts w:ascii="Times New Roman" w:hAnsi="Times New Roman" w:cs="Times New Roman"/>
          <w:sz w:val="28"/>
          <w:szCs w:val="24"/>
        </w:rPr>
        <w:t>carbonizzazione</w:t>
      </w:r>
      <w:proofErr w:type="spellEnd"/>
      <w:r w:rsidR="00DF2669" w:rsidRPr="00B77149">
        <w:rPr>
          <w:rFonts w:ascii="Times New Roman" w:hAnsi="Times New Roman" w:cs="Times New Roman"/>
          <w:sz w:val="28"/>
          <w:szCs w:val="24"/>
        </w:rPr>
        <w:t xml:space="preserve"> </w:t>
      </w:r>
      <w:r w:rsidRPr="00B77149">
        <w:rPr>
          <w:rFonts w:ascii="Times New Roman" w:hAnsi="Times New Roman" w:cs="Times New Roman"/>
          <w:sz w:val="28"/>
          <w:szCs w:val="24"/>
        </w:rPr>
        <w:t>dell’economia, la ricerca, la innovazione e la competitività</w:t>
      </w:r>
      <w:r w:rsidR="0055158D" w:rsidRPr="00B77149">
        <w:rPr>
          <w:rStyle w:val="Rimandonotaapidipagina"/>
          <w:rFonts w:ascii="Times New Roman" w:hAnsi="Times New Roman" w:cs="Times New Roman"/>
          <w:sz w:val="28"/>
          <w:szCs w:val="24"/>
        </w:rPr>
        <w:footnoteReference w:id="14"/>
      </w:r>
      <w:r w:rsidRPr="00B77149">
        <w:rPr>
          <w:rFonts w:ascii="Times New Roman" w:hAnsi="Times New Roman" w:cs="Times New Roman"/>
          <w:sz w:val="28"/>
          <w:szCs w:val="24"/>
        </w:rPr>
        <w:t>.</w:t>
      </w:r>
    </w:p>
    <w:p w14:paraId="1577C8A5" w14:textId="77777777" w:rsidR="001575E0" w:rsidRPr="00B77149" w:rsidRDefault="001575E0" w:rsidP="001575E0">
      <w:pPr>
        <w:spacing w:after="0" w:line="240" w:lineRule="auto"/>
        <w:jc w:val="both"/>
        <w:rPr>
          <w:rFonts w:ascii="Times New Roman" w:hAnsi="Times New Roman" w:cs="Times New Roman"/>
          <w:b/>
          <w:sz w:val="28"/>
          <w:szCs w:val="24"/>
        </w:rPr>
      </w:pPr>
    </w:p>
    <w:p w14:paraId="0A0BCEF8" w14:textId="00CFF423" w:rsidR="00CD187E" w:rsidRPr="00B77149" w:rsidRDefault="00CD187E" w:rsidP="00CD187E">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b/>
          <w:sz w:val="28"/>
          <w:szCs w:val="24"/>
        </w:rPr>
        <w:t>5.3</w:t>
      </w:r>
      <w:r w:rsidR="003008FD" w:rsidRPr="00B77149">
        <w:rPr>
          <w:rFonts w:ascii="Times New Roman" w:hAnsi="Times New Roman" w:cs="Times New Roman"/>
          <w:b/>
          <w:sz w:val="28"/>
          <w:szCs w:val="24"/>
        </w:rPr>
        <w:t>.</w:t>
      </w:r>
      <w:r w:rsidR="00334101" w:rsidRPr="00B77149">
        <w:rPr>
          <w:rFonts w:ascii="Times New Roman" w:hAnsi="Times New Roman" w:cs="Times New Roman"/>
          <w:sz w:val="28"/>
          <w:szCs w:val="24"/>
        </w:rPr>
        <w:t xml:space="preserve"> </w:t>
      </w:r>
      <w:r w:rsidRPr="00B77149">
        <w:rPr>
          <w:rFonts w:ascii="Times New Roman" w:hAnsi="Times New Roman" w:cs="Times New Roman"/>
          <w:sz w:val="28"/>
          <w:szCs w:val="24"/>
        </w:rPr>
        <w:t>L’art. 41 della Costituzione</w:t>
      </w:r>
    </w:p>
    <w:p w14:paraId="0FCD467F" w14:textId="77777777" w:rsidR="00CD187E" w:rsidRPr="00B77149" w:rsidRDefault="00CD187E" w:rsidP="001575E0">
      <w:pPr>
        <w:spacing w:after="0" w:line="240" w:lineRule="auto"/>
        <w:jc w:val="both"/>
        <w:rPr>
          <w:rFonts w:ascii="Times New Roman" w:hAnsi="Times New Roman" w:cs="Times New Roman"/>
          <w:sz w:val="28"/>
          <w:szCs w:val="24"/>
        </w:rPr>
      </w:pPr>
    </w:p>
    <w:p w14:paraId="4D07ED59" w14:textId="6291AFA2" w:rsidR="00334101" w:rsidRPr="00B77149" w:rsidRDefault="00334101"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Va da sé che l’intreccio indissolubile</w:t>
      </w:r>
      <w:r w:rsidR="00B24B7E" w:rsidRPr="00B77149">
        <w:rPr>
          <w:rFonts w:ascii="Times New Roman" w:hAnsi="Times New Roman" w:cs="Times New Roman"/>
          <w:sz w:val="28"/>
          <w:szCs w:val="24"/>
        </w:rPr>
        <w:t>,</w:t>
      </w:r>
      <w:r w:rsidRPr="00B77149">
        <w:rPr>
          <w:rFonts w:ascii="Times New Roman" w:hAnsi="Times New Roman" w:cs="Times New Roman"/>
          <w:sz w:val="28"/>
          <w:szCs w:val="24"/>
        </w:rPr>
        <w:t xml:space="preserve"> rinvenibile nella indicata normativa</w:t>
      </w:r>
      <w:r w:rsidR="00B24B7E" w:rsidRPr="00B77149">
        <w:rPr>
          <w:rFonts w:ascii="Times New Roman" w:hAnsi="Times New Roman" w:cs="Times New Roman"/>
          <w:sz w:val="28"/>
          <w:szCs w:val="24"/>
        </w:rPr>
        <w:t>,</w:t>
      </w:r>
      <w:r w:rsidRPr="00B77149">
        <w:rPr>
          <w:rFonts w:ascii="Times New Roman" w:hAnsi="Times New Roman" w:cs="Times New Roman"/>
          <w:sz w:val="28"/>
          <w:szCs w:val="24"/>
        </w:rPr>
        <w:t xml:space="preserve"> tra energia ambiente e clima consente di includere tra le cosiddette norme di sistema </w:t>
      </w:r>
      <w:r w:rsidR="00F32767" w:rsidRPr="00B77149">
        <w:rPr>
          <w:rFonts w:ascii="Times New Roman" w:hAnsi="Times New Roman" w:cs="Times New Roman"/>
          <w:sz w:val="28"/>
          <w:szCs w:val="24"/>
        </w:rPr>
        <w:t xml:space="preserve">anche </w:t>
      </w:r>
      <w:r w:rsidRPr="00B77149">
        <w:rPr>
          <w:rFonts w:ascii="Times New Roman" w:hAnsi="Times New Roman" w:cs="Times New Roman"/>
          <w:sz w:val="28"/>
          <w:szCs w:val="24"/>
        </w:rPr>
        <w:t xml:space="preserve">l’art. 41 della Costituzione, così come modificato dalla legge costituzionale 11 febbraio 2022 n.1. Esso stabilisce che l’attività economica privata, </w:t>
      </w:r>
      <w:r w:rsidR="008D70EB" w:rsidRPr="00B77149">
        <w:rPr>
          <w:rFonts w:ascii="Times New Roman" w:hAnsi="Times New Roman" w:cs="Times New Roman"/>
          <w:sz w:val="28"/>
          <w:szCs w:val="24"/>
        </w:rPr>
        <w:t xml:space="preserve">pur rimanendo libera, </w:t>
      </w:r>
      <w:r w:rsidRPr="00B77149">
        <w:rPr>
          <w:rFonts w:ascii="Times New Roman" w:hAnsi="Times New Roman" w:cs="Times New Roman"/>
          <w:sz w:val="28"/>
          <w:szCs w:val="24"/>
        </w:rPr>
        <w:t>non può svolgersi in contrasto con l’utilità sociale o in modo da recare danno alla salute all’ambiente alla sicurezza alla libertà e alla dignità umana. Inoltre la legge deve fissare i programmi e i controlli opportuni perché l’attività economica pubblica e privata possa essere indirizzata e coordinata a fini sociali e ambientali. La medesima legge costituzionale ha aggiunto un ulteriore comma all’</w:t>
      </w:r>
      <w:r w:rsidR="008D70EB" w:rsidRPr="00B77149">
        <w:rPr>
          <w:rFonts w:ascii="Times New Roman" w:hAnsi="Times New Roman" w:cs="Times New Roman"/>
          <w:sz w:val="28"/>
          <w:szCs w:val="24"/>
        </w:rPr>
        <w:t xml:space="preserve">art. 9 </w:t>
      </w:r>
      <w:r w:rsidRPr="00B77149">
        <w:rPr>
          <w:rFonts w:ascii="Times New Roman" w:hAnsi="Times New Roman" w:cs="Times New Roman"/>
          <w:sz w:val="28"/>
          <w:szCs w:val="24"/>
        </w:rPr>
        <w:t xml:space="preserve">della </w:t>
      </w:r>
      <w:r w:rsidR="008D70EB" w:rsidRPr="00B77149">
        <w:rPr>
          <w:rFonts w:ascii="Times New Roman" w:hAnsi="Times New Roman" w:cs="Times New Roman"/>
          <w:sz w:val="28"/>
          <w:szCs w:val="24"/>
        </w:rPr>
        <w:t>C</w:t>
      </w:r>
      <w:r w:rsidRPr="00B77149">
        <w:rPr>
          <w:rFonts w:ascii="Times New Roman" w:hAnsi="Times New Roman" w:cs="Times New Roman"/>
          <w:sz w:val="28"/>
          <w:szCs w:val="24"/>
        </w:rPr>
        <w:t xml:space="preserve">ostituzione, stabilendo che la </w:t>
      </w:r>
      <w:r w:rsidR="008D70EB" w:rsidRPr="00B77149">
        <w:rPr>
          <w:rFonts w:ascii="Times New Roman" w:hAnsi="Times New Roman" w:cs="Times New Roman"/>
          <w:sz w:val="28"/>
          <w:szCs w:val="24"/>
        </w:rPr>
        <w:t>R</w:t>
      </w:r>
      <w:r w:rsidRPr="00B77149">
        <w:rPr>
          <w:rFonts w:ascii="Times New Roman" w:hAnsi="Times New Roman" w:cs="Times New Roman"/>
          <w:sz w:val="28"/>
          <w:szCs w:val="24"/>
        </w:rPr>
        <w:t>epubblica tutela l’ambiente, la biodiversità e gli ecosistemi, anche nell’interesse delle future generazioni e che la legge disciplina i modi e le forme di tutela degli animali</w:t>
      </w:r>
      <w:r w:rsidR="008D70EB" w:rsidRPr="00B77149">
        <w:rPr>
          <w:rFonts w:ascii="Times New Roman" w:hAnsi="Times New Roman" w:cs="Times New Roman"/>
          <w:sz w:val="28"/>
          <w:szCs w:val="24"/>
        </w:rPr>
        <w:t>.</w:t>
      </w:r>
      <w:r w:rsidR="00AD6BCB" w:rsidRPr="00B77149">
        <w:rPr>
          <w:rFonts w:ascii="Times New Roman" w:hAnsi="Times New Roman" w:cs="Times New Roman"/>
          <w:sz w:val="28"/>
          <w:szCs w:val="24"/>
        </w:rPr>
        <w:t xml:space="preserve"> Inoltre la Repubblica tutela il paesaggio e il patrimonio storico e artistico della Nazione</w:t>
      </w:r>
      <w:r w:rsidR="0055158D" w:rsidRPr="00B77149">
        <w:rPr>
          <w:rStyle w:val="Rimandonotaapidipagina"/>
          <w:rFonts w:ascii="Times New Roman" w:hAnsi="Times New Roman" w:cs="Times New Roman"/>
          <w:sz w:val="28"/>
          <w:szCs w:val="24"/>
        </w:rPr>
        <w:footnoteReference w:id="15"/>
      </w:r>
      <w:r w:rsidR="00AD6BCB" w:rsidRPr="00B77149">
        <w:rPr>
          <w:rFonts w:ascii="Times New Roman" w:hAnsi="Times New Roman" w:cs="Times New Roman"/>
          <w:sz w:val="28"/>
          <w:szCs w:val="24"/>
        </w:rPr>
        <w:t>.</w:t>
      </w:r>
    </w:p>
    <w:p w14:paraId="08D0CD73" w14:textId="77777777" w:rsidR="001575E0" w:rsidRPr="00B77149" w:rsidRDefault="001575E0" w:rsidP="001575E0">
      <w:pPr>
        <w:spacing w:after="0" w:line="240" w:lineRule="auto"/>
        <w:jc w:val="both"/>
        <w:rPr>
          <w:rFonts w:ascii="Times New Roman" w:hAnsi="Times New Roman" w:cs="Times New Roman"/>
          <w:b/>
          <w:sz w:val="28"/>
          <w:szCs w:val="24"/>
        </w:rPr>
      </w:pPr>
    </w:p>
    <w:p w14:paraId="21495F24" w14:textId="15BB793E" w:rsidR="00CD187E" w:rsidRPr="00B77149" w:rsidRDefault="00CD187E" w:rsidP="00CD187E">
      <w:pPr>
        <w:spacing w:after="0" w:line="240" w:lineRule="auto"/>
        <w:ind w:firstLine="708"/>
        <w:jc w:val="both"/>
        <w:rPr>
          <w:rFonts w:ascii="Times New Roman" w:hAnsi="Times New Roman" w:cs="Times New Roman"/>
          <w:sz w:val="28"/>
          <w:szCs w:val="24"/>
        </w:rPr>
      </w:pPr>
      <w:r w:rsidRPr="00B77149">
        <w:rPr>
          <w:rFonts w:ascii="Times New Roman" w:hAnsi="Times New Roman" w:cs="Times New Roman"/>
          <w:b/>
          <w:sz w:val="28"/>
          <w:szCs w:val="24"/>
        </w:rPr>
        <w:lastRenderedPageBreak/>
        <w:t>5.4</w:t>
      </w:r>
      <w:r w:rsidR="003008FD" w:rsidRPr="00B77149">
        <w:rPr>
          <w:rFonts w:ascii="Times New Roman" w:hAnsi="Times New Roman" w:cs="Times New Roman"/>
          <w:b/>
          <w:sz w:val="28"/>
          <w:szCs w:val="24"/>
        </w:rPr>
        <w:t>.</w:t>
      </w:r>
      <w:r w:rsidR="00E062C3" w:rsidRPr="00B77149">
        <w:rPr>
          <w:rFonts w:ascii="Times New Roman" w:hAnsi="Times New Roman" w:cs="Times New Roman"/>
          <w:sz w:val="28"/>
          <w:szCs w:val="24"/>
        </w:rPr>
        <w:t xml:space="preserve"> </w:t>
      </w:r>
      <w:r w:rsidRPr="00B77149">
        <w:rPr>
          <w:rFonts w:ascii="Times New Roman" w:hAnsi="Times New Roman" w:cs="Times New Roman"/>
          <w:sz w:val="28"/>
          <w:szCs w:val="24"/>
        </w:rPr>
        <w:t>L’art. 117, comma 3 della Costituzione</w:t>
      </w:r>
    </w:p>
    <w:p w14:paraId="23B79218" w14:textId="77777777" w:rsidR="00CD187E" w:rsidRPr="00B77149" w:rsidRDefault="00CD187E" w:rsidP="001575E0">
      <w:pPr>
        <w:spacing w:after="0" w:line="240" w:lineRule="auto"/>
        <w:jc w:val="both"/>
        <w:rPr>
          <w:rFonts w:ascii="Times New Roman" w:hAnsi="Times New Roman" w:cs="Times New Roman"/>
          <w:sz w:val="28"/>
          <w:szCs w:val="24"/>
        </w:rPr>
      </w:pPr>
    </w:p>
    <w:p w14:paraId="442944AD" w14:textId="62102ADE" w:rsidR="006C5223" w:rsidRPr="00B77149" w:rsidRDefault="000D64B7"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Infine viene in rilievo l’art. 117, comma 3, della Costituzione, che, al pari di quella or ora vista circa i rapporti tra il Parlamento europeo e gli Stati membri, include tra le materie di legisl</w:t>
      </w:r>
      <w:r w:rsidR="00C83403" w:rsidRPr="00B77149">
        <w:rPr>
          <w:rFonts w:ascii="Times New Roman" w:hAnsi="Times New Roman" w:cs="Times New Roman"/>
          <w:sz w:val="28"/>
          <w:szCs w:val="24"/>
        </w:rPr>
        <w:t>azione concorrent</w:t>
      </w:r>
      <w:r w:rsidR="00E062C3" w:rsidRPr="00B77149">
        <w:rPr>
          <w:rFonts w:ascii="Times New Roman" w:hAnsi="Times New Roman" w:cs="Times New Roman"/>
          <w:sz w:val="28"/>
          <w:szCs w:val="24"/>
        </w:rPr>
        <w:t>e</w:t>
      </w:r>
      <w:r w:rsidRPr="00B77149">
        <w:rPr>
          <w:rFonts w:ascii="Times New Roman" w:hAnsi="Times New Roman" w:cs="Times New Roman"/>
          <w:sz w:val="28"/>
          <w:szCs w:val="24"/>
        </w:rPr>
        <w:t>,</w:t>
      </w:r>
      <w:r w:rsidR="006C5223" w:rsidRPr="00B77149">
        <w:rPr>
          <w:rFonts w:ascii="Times New Roman" w:hAnsi="Times New Roman" w:cs="Times New Roman"/>
          <w:sz w:val="28"/>
          <w:szCs w:val="24"/>
        </w:rPr>
        <w:t xml:space="preserve"> anche “la produzione, trasporto e distribuzione dell’energia”. La norm</w:t>
      </w:r>
      <w:r w:rsidR="00F44930" w:rsidRPr="00B77149">
        <w:rPr>
          <w:rFonts w:ascii="Times New Roman" w:hAnsi="Times New Roman" w:cs="Times New Roman"/>
          <w:sz w:val="28"/>
          <w:szCs w:val="24"/>
        </w:rPr>
        <w:t>a è stata introdotta con la l. c</w:t>
      </w:r>
      <w:r w:rsidR="006C5223" w:rsidRPr="00B77149">
        <w:rPr>
          <w:rFonts w:ascii="Times New Roman" w:hAnsi="Times New Roman" w:cs="Times New Roman"/>
          <w:sz w:val="28"/>
          <w:szCs w:val="24"/>
        </w:rPr>
        <w:t>ostituzionale 18 ottobre 2001, n. 3, che ha posto fine alla competenza legislativa esclusiva dello Stato in materia di energia. Le Regioni eser</w:t>
      </w:r>
      <w:r w:rsidR="00F44930" w:rsidRPr="00B77149">
        <w:rPr>
          <w:rFonts w:ascii="Times New Roman" w:hAnsi="Times New Roman" w:cs="Times New Roman"/>
          <w:sz w:val="28"/>
          <w:szCs w:val="24"/>
        </w:rPr>
        <w:t>citano la competenza</w:t>
      </w:r>
      <w:r w:rsidR="006C5223" w:rsidRPr="00B77149">
        <w:rPr>
          <w:rFonts w:ascii="Times New Roman" w:hAnsi="Times New Roman" w:cs="Times New Roman"/>
          <w:sz w:val="28"/>
          <w:szCs w:val="24"/>
        </w:rPr>
        <w:t xml:space="preserve"> nel rispetto dei principi fondamentali posti dalle leggi statali e dei vincoli derivanti dall’ordinamento europeo (art. 117, commi 3 e 1</w:t>
      </w:r>
      <w:r w:rsidR="00B75DAA" w:rsidRPr="00B77149">
        <w:rPr>
          <w:rFonts w:ascii="Times New Roman" w:hAnsi="Times New Roman" w:cs="Times New Roman"/>
          <w:sz w:val="28"/>
          <w:szCs w:val="24"/>
        </w:rPr>
        <w:t>,</w:t>
      </w:r>
      <w:r w:rsidR="006C5223" w:rsidRPr="00B77149">
        <w:rPr>
          <w:rFonts w:ascii="Times New Roman" w:hAnsi="Times New Roman" w:cs="Times New Roman"/>
          <w:sz w:val="28"/>
          <w:szCs w:val="24"/>
        </w:rPr>
        <w:t xml:space="preserve"> della Costituzione), con il vincolo della libera circolazion</w:t>
      </w:r>
      <w:r w:rsidR="00C83403" w:rsidRPr="00B77149">
        <w:rPr>
          <w:rFonts w:ascii="Times New Roman" w:hAnsi="Times New Roman" w:cs="Times New Roman"/>
          <w:sz w:val="28"/>
          <w:szCs w:val="24"/>
        </w:rPr>
        <w:t>e delle persone e delle cose e con</w:t>
      </w:r>
      <w:r w:rsidR="006C5223" w:rsidRPr="00B77149">
        <w:rPr>
          <w:rFonts w:ascii="Times New Roman" w:hAnsi="Times New Roman" w:cs="Times New Roman"/>
          <w:sz w:val="28"/>
          <w:szCs w:val="24"/>
        </w:rPr>
        <w:t xml:space="preserve"> quello della tutela dell’unità economica (art. 120 della Costituzione). Un ulteriore limite è costituito dalla tutela della concorrenza e la determinazione dei livelli essenziali delle prestazioni concernenti i diritti civili e sociali.</w:t>
      </w:r>
    </w:p>
    <w:p w14:paraId="7E3C766A" w14:textId="77777777" w:rsidR="002C7849" w:rsidRPr="00B77149" w:rsidRDefault="006C522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La modifica costituzionale ha comportato</w:t>
      </w:r>
      <w:r w:rsidR="002C7849" w:rsidRPr="00B77149">
        <w:rPr>
          <w:rFonts w:ascii="Times New Roman" w:hAnsi="Times New Roman" w:cs="Times New Roman"/>
          <w:sz w:val="28"/>
          <w:szCs w:val="24"/>
        </w:rPr>
        <w:t xml:space="preserve"> un in</w:t>
      </w:r>
      <w:r w:rsidR="00C83403" w:rsidRPr="00B77149">
        <w:rPr>
          <w:rFonts w:ascii="Times New Roman" w:hAnsi="Times New Roman" w:cs="Times New Roman"/>
          <w:sz w:val="28"/>
          <w:szCs w:val="24"/>
        </w:rPr>
        <w:t>cremento dell’intervento della C</w:t>
      </w:r>
      <w:r w:rsidR="002C7849" w:rsidRPr="00B77149">
        <w:rPr>
          <w:rFonts w:ascii="Times New Roman" w:hAnsi="Times New Roman" w:cs="Times New Roman"/>
          <w:sz w:val="28"/>
          <w:szCs w:val="24"/>
        </w:rPr>
        <w:t>orte costituzionale nei rapporti St</w:t>
      </w:r>
      <w:r w:rsidR="00B75DAA" w:rsidRPr="00B77149">
        <w:rPr>
          <w:rFonts w:ascii="Times New Roman" w:hAnsi="Times New Roman" w:cs="Times New Roman"/>
          <w:sz w:val="28"/>
          <w:szCs w:val="24"/>
        </w:rPr>
        <w:t>ato-Regioni, in particolare la C</w:t>
      </w:r>
      <w:r w:rsidR="002C7849" w:rsidRPr="00B77149">
        <w:rPr>
          <w:rFonts w:ascii="Times New Roman" w:hAnsi="Times New Roman" w:cs="Times New Roman"/>
          <w:sz w:val="28"/>
          <w:szCs w:val="24"/>
        </w:rPr>
        <w:t xml:space="preserve">orte ha dovuto affermare, in materia di regime </w:t>
      </w:r>
      <w:proofErr w:type="spellStart"/>
      <w:r w:rsidR="002C7849" w:rsidRPr="00B77149">
        <w:rPr>
          <w:rFonts w:ascii="Times New Roman" w:hAnsi="Times New Roman" w:cs="Times New Roman"/>
          <w:sz w:val="28"/>
          <w:szCs w:val="24"/>
        </w:rPr>
        <w:t>autorizzatorio</w:t>
      </w:r>
      <w:proofErr w:type="spellEnd"/>
      <w:r w:rsidR="002C7849" w:rsidRPr="00B77149">
        <w:rPr>
          <w:rFonts w:ascii="Times New Roman" w:hAnsi="Times New Roman" w:cs="Times New Roman"/>
          <w:sz w:val="28"/>
          <w:szCs w:val="24"/>
        </w:rPr>
        <w:t xml:space="preserve"> degli impianti alimentati da fonti rinnovabili, la necessità che queste ultime debbono conformarsi ai principi fondamentali in materia poste dal legislatore statale (il decreto legislativo 29 dicembre 2003, n. 387, in particolare) nonché delle Linee guida ministeriali, considerate come norme</w:t>
      </w:r>
      <w:r w:rsidR="00C83403" w:rsidRPr="00B77149">
        <w:rPr>
          <w:rFonts w:ascii="Times New Roman" w:hAnsi="Times New Roman" w:cs="Times New Roman"/>
          <w:sz w:val="28"/>
          <w:szCs w:val="24"/>
        </w:rPr>
        <w:t xml:space="preserve"> interposte, soprattutto perché </w:t>
      </w:r>
      <w:r w:rsidR="002C7849" w:rsidRPr="00B77149">
        <w:rPr>
          <w:rFonts w:ascii="Times New Roman" w:hAnsi="Times New Roman" w:cs="Times New Roman"/>
          <w:sz w:val="28"/>
          <w:szCs w:val="24"/>
        </w:rPr>
        <w:t xml:space="preserve">sono state approvate anche in sede di </w:t>
      </w:r>
      <w:r w:rsidR="00F44930" w:rsidRPr="00B77149">
        <w:rPr>
          <w:rFonts w:ascii="Times New Roman" w:hAnsi="Times New Roman" w:cs="Times New Roman"/>
          <w:sz w:val="28"/>
          <w:szCs w:val="24"/>
        </w:rPr>
        <w:t>C</w:t>
      </w:r>
      <w:r w:rsidR="002C7849" w:rsidRPr="00B77149">
        <w:rPr>
          <w:rFonts w:ascii="Times New Roman" w:hAnsi="Times New Roman" w:cs="Times New Roman"/>
          <w:sz w:val="28"/>
          <w:szCs w:val="24"/>
        </w:rPr>
        <w:t>onferenza unificata Stato</w:t>
      </w:r>
      <w:r w:rsidR="00E958A4" w:rsidRPr="00B77149">
        <w:rPr>
          <w:rFonts w:ascii="Times New Roman" w:hAnsi="Times New Roman" w:cs="Times New Roman"/>
          <w:sz w:val="28"/>
          <w:szCs w:val="24"/>
        </w:rPr>
        <w:t>-</w:t>
      </w:r>
      <w:r w:rsidR="002C7849" w:rsidRPr="00B77149">
        <w:rPr>
          <w:rFonts w:ascii="Times New Roman" w:hAnsi="Times New Roman" w:cs="Times New Roman"/>
          <w:sz w:val="28"/>
          <w:szCs w:val="24"/>
        </w:rPr>
        <w:t>Regioni.</w:t>
      </w:r>
      <w:r w:rsidR="00E958A4" w:rsidRPr="00B77149">
        <w:rPr>
          <w:rFonts w:ascii="Times New Roman" w:hAnsi="Times New Roman" w:cs="Times New Roman"/>
          <w:sz w:val="28"/>
          <w:szCs w:val="24"/>
        </w:rPr>
        <w:t xml:space="preserve"> </w:t>
      </w:r>
    </w:p>
    <w:p w14:paraId="7097AAFA" w14:textId="621907AE" w:rsidR="00E958A4" w:rsidRPr="00B77149" w:rsidRDefault="00C8340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Dalle varie sentenze della C</w:t>
      </w:r>
      <w:r w:rsidR="00E958A4" w:rsidRPr="00B77149">
        <w:rPr>
          <w:rFonts w:ascii="Times New Roman" w:hAnsi="Times New Roman" w:cs="Times New Roman"/>
          <w:sz w:val="28"/>
          <w:szCs w:val="24"/>
        </w:rPr>
        <w:t>orte costituzional</w:t>
      </w:r>
      <w:r w:rsidR="00F44930" w:rsidRPr="00B77149">
        <w:rPr>
          <w:rFonts w:ascii="Times New Roman" w:hAnsi="Times New Roman" w:cs="Times New Roman"/>
          <w:sz w:val="28"/>
          <w:szCs w:val="24"/>
        </w:rPr>
        <w:t>e si ricava che sicuramente le R</w:t>
      </w:r>
      <w:r w:rsidR="00E958A4" w:rsidRPr="00B77149">
        <w:rPr>
          <w:rFonts w:ascii="Times New Roman" w:hAnsi="Times New Roman" w:cs="Times New Roman"/>
          <w:sz w:val="28"/>
          <w:szCs w:val="24"/>
        </w:rPr>
        <w:t xml:space="preserve">egioni possono individuare aree </w:t>
      </w:r>
      <w:r w:rsidRPr="00B77149">
        <w:rPr>
          <w:rFonts w:ascii="Times New Roman" w:hAnsi="Times New Roman" w:cs="Times New Roman"/>
          <w:sz w:val="28"/>
          <w:szCs w:val="24"/>
        </w:rPr>
        <w:t xml:space="preserve">e </w:t>
      </w:r>
      <w:r w:rsidR="00E958A4" w:rsidRPr="00B77149">
        <w:rPr>
          <w:rFonts w:ascii="Times New Roman" w:hAnsi="Times New Roman" w:cs="Times New Roman"/>
          <w:sz w:val="28"/>
          <w:szCs w:val="24"/>
        </w:rPr>
        <w:t>siti non idonei alle installazioni di impianti in particolare per la tutela di valori ambientali e paesaggistici. Tuttavia c’è bisogno di una istruttoria specifica che opera un bilanciamento in concreto dei vari interessi in gioco, incluso quello della massima diffusione degli impianti da fonti di energia rinnovabili</w:t>
      </w:r>
      <w:r w:rsidR="0055158D" w:rsidRPr="00B77149">
        <w:rPr>
          <w:rStyle w:val="Rimandonotaapidipagina"/>
          <w:rFonts w:ascii="Times New Roman" w:hAnsi="Times New Roman" w:cs="Times New Roman"/>
          <w:sz w:val="28"/>
          <w:szCs w:val="24"/>
        </w:rPr>
        <w:footnoteReference w:id="16"/>
      </w:r>
      <w:r w:rsidR="00E958A4" w:rsidRPr="00B77149">
        <w:rPr>
          <w:rFonts w:ascii="Times New Roman" w:hAnsi="Times New Roman" w:cs="Times New Roman"/>
          <w:sz w:val="28"/>
          <w:szCs w:val="24"/>
        </w:rPr>
        <w:t>.</w:t>
      </w:r>
    </w:p>
    <w:p w14:paraId="05873D5F" w14:textId="77777777" w:rsidR="00E958A4" w:rsidRPr="00B77149" w:rsidRDefault="00E958A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Per quanto infine riguarda le funzioni amministrative, la c. d. legge Marzano contiene un lungo elenco di funzioni esercitate dallo Stato e consente alle Regioni di determinare con proprie leggi l’attribuzione dei compiti e delle funzioni amministrative residue, che possono essere assegnate anche in capo agli enti locali.</w:t>
      </w:r>
    </w:p>
    <w:p w14:paraId="304A256D" w14:textId="77777777" w:rsidR="00E958A4" w:rsidRPr="00B77149" w:rsidRDefault="00E958A4"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Certamente l’inserimento </w:t>
      </w:r>
      <w:r w:rsidR="0063366A" w:rsidRPr="00B77149">
        <w:rPr>
          <w:rFonts w:ascii="Times New Roman" w:hAnsi="Times New Roman" w:cs="Times New Roman"/>
          <w:sz w:val="28"/>
          <w:szCs w:val="24"/>
        </w:rPr>
        <w:t xml:space="preserve">delle Regioni </w:t>
      </w:r>
      <w:r w:rsidRPr="00B77149">
        <w:rPr>
          <w:rFonts w:ascii="Times New Roman" w:hAnsi="Times New Roman" w:cs="Times New Roman"/>
          <w:sz w:val="28"/>
          <w:szCs w:val="24"/>
        </w:rPr>
        <w:t>tra i protagonisti pubblici</w:t>
      </w:r>
      <w:r w:rsidR="00C83403" w:rsidRPr="00B77149">
        <w:rPr>
          <w:rFonts w:ascii="Times New Roman" w:hAnsi="Times New Roman" w:cs="Times New Roman"/>
          <w:sz w:val="28"/>
          <w:szCs w:val="24"/>
        </w:rPr>
        <w:t xml:space="preserve"> è</w:t>
      </w:r>
      <w:r w:rsidRPr="00B77149">
        <w:rPr>
          <w:rFonts w:ascii="Times New Roman" w:hAnsi="Times New Roman" w:cs="Times New Roman"/>
          <w:sz w:val="28"/>
          <w:szCs w:val="24"/>
        </w:rPr>
        <w:t xml:space="preserve"> giudicata da più parti insoddisfacente, nonostante l’esito negativo della consultazione referendaria del 2016, e da più parti si reclamano modifiche volte a riportare allo Stato centrale la competenza esclusiva in materia.</w:t>
      </w:r>
    </w:p>
    <w:p w14:paraId="278A9E1E" w14:textId="77777777" w:rsidR="00B75DAA" w:rsidRPr="00B77149" w:rsidRDefault="00B75DAA" w:rsidP="001575E0">
      <w:pPr>
        <w:spacing w:after="0" w:line="240" w:lineRule="auto"/>
        <w:ind w:firstLine="284"/>
        <w:jc w:val="both"/>
        <w:rPr>
          <w:rFonts w:ascii="Times New Roman" w:hAnsi="Times New Roman" w:cs="Times New Roman"/>
          <w:sz w:val="28"/>
          <w:szCs w:val="24"/>
        </w:rPr>
      </w:pPr>
    </w:p>
    <w:p w14:paraId="37E6CD17" w14:textId="77777777" w:rsidR="00CD187E" w:rsidRPr="00B77149" w:rsidRDefault="00CD187E" w:rsidP="001575E0">
      <w:pPr>
        <w:spacing w:after="0" w:line="240" w:lineRule="auto"/>
        <w:jc w:val="both"/>
        <w:rPr>
          <w:rFonts w:ascii="Times New Roman" w:hAnsi="Times New Roman" w:cs="Times New Roman"/>
          <w:b/>
          <w:sz w:val="28"/>
          <w:szCs w:val="24"/>
        </w:rPr>
      </w:pPr>
    </w:p>
    <w:p w14:paraId="23A0108E" w14:textId="14F93805" w:rsidR="00CD187E" w:rsidRPr="00B77149" w:rsidRDefault="00CD187E" w:rsidP="001575E0">
      <w:pPr>
        <w:spacing w:after="0" w:line="240" w:lineRule="auto"/>
        <w:jc w:val="both"/>
        <w:rPr>
          <w:rFonts w:ascii="Times New Roman" w:hAnsi="Times New Roman" w:cs="Times New Roman"/>
          <w:b/>
          <w:sz w:val="28"/>
          <w:szCs w:val="24"/>
        </w:rPr>
      </w:pPr>
      <w:r w:rsidRPr="00B77149">
        <w:rPr>
          <w:rFonts w:ascii="Times New Roman" w:hAnsi="Times New Roman" w:cs="Times New Roman"/>
          <w:b/>
          <w:sz w:val="28"/>
          <w:szCs w:val="24"/>
        </w:rPr>
        <w:t>6. I soggetti del mercato dell’energia</w:t>
      </w:r>
    </w:p>
    <w:p w14:paraId="5DDA2639" w14:textId="77777777" w:rsidR="00CD187E" w:rsidRPr="00B77149" w:rsidRDefault="00CD187E" w:rsidP="001575E0">
      <w:pPr>
        <w:spacing w:after="0" w:line="240" w:lineRule="auto"/>
        <w:jc w:val="both"/>
        <w:rPr>
          <w:rFonts w:ascii="Times New Roman" w:hAnsi="Times New Roman" w:cs="Times New Roman"/>
          <w:sz w:val="28"/>
          <w:szCs w:val="24"/>
        </w:rPr>
      </w:pPr>
    </w:p>
    <w:p w14:paraId="0BE09E5F" w14:textId="115DFDB1" w:rsidR="00782113" w:rsidRPr="00B77149" w:rsidRDefault="00012407"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Sempre al s</w:t>
      </w:r>
      <w:r w:rsidR="00560F9D" w:rsidRPr="00B77149">
        <w:rPr>
          <w:rFonts w:ascii="Times New Roman" w:hAnsi="Times New Roman" w:cs="Times New Roman"/>
          <w:sz w:val="28"/>
          <w:szCs w:val="24"/>
        </w:rPr>
        <w:t>olo al fine di rendere meno incompleto</w:t>
      </w:r>
      <w:r w:rsidR="00F21CAC" w:rsidRPr="00B77149">
        <w:rPr>
          <w:rFonts w:ascii="Times New Roman" w:hAnsi="Times New Roman" w:cs="Times New Roman"/>
          <w:sz w:val="28"/>
          <w:szCs w:val="24"/>
        </w:rPr>
        <w:t xml:space="preserve"> il presente contributo e prima di passare al tentativo di riportare a sistema la materia dell’energia, bisogna ricordare quali sono i soggetti op</w:t>
      </w:r>
      <w:r w:rsidR="00301520" w:rsidRPr="00B77149">
        <w:rPr>
          <w:rFonts w:ascii="Times New Roman" w:hAnsi="Times New Roman" w:cs="Times New Roman"/>
          <w:sz w:val="28"/>
          <w:szCs w:val="24"/>
        </w:rPr>
        <w:t>eranti nel mercato regolato</w:t>
      </w:r>
      <w:r w:rsidR="00F21CAC" w:rsidRPr="00B77149">
        <w:rPr>
          <w:rFonts w:ascii="Times New Roman" w:hAnsi="Times New Roman" w:cs="Times New Roman"/>
          <w:sz w:val="28"/>
          <w:szCs w:val="24"/>
        </w:rPr>
        <w:t xml:space="preserve"> dell’energia e quali sono gli strumenti adottati dal legislatore per governarlo.</w:t>
      </w:r>
    </w:p>
    <w:p w14:paraId="43286233" w14:textId="77777777" w:rsidR="00301520" w:rsidRPr="00B77149" w:rsidRDefault="00782113" w:rsidP="001575E0">
      <w:pPr>
        <w:spacing w:after="0" w:line="240" w:lineRule="auto"/>
        <w:ind w:firstLine="284"/>
        <w:jc w:val="both"/>
        <w:rPr>
          <w:rFonts w:ascii="Times New Roman" w:hAnsi="Times New Roman" w:cs="Times New Roman"/>
          <w:b/>
          <w:sz w:val="28"/>
          <w:szCs w:val="24"/>
        </w:rPr>
      </w:pPr>
      <w:r w:rsidRPr="00B77149">
        <w:rPr>
          <w:rFonts w:ascii="Times New Roman" w:hAnsi="Times New Roman" w:cs="Times New Roman"/>
          <w:sz w:val="28"/>
          <w:szCs w:val="24"/>
        </w:rPr>
        <w:t>Conviene cominciare la breve rassegna indicando alcune società pubbliche che sono titolari di funzioni pubblicistiche in materia di energia elettrica e di gas, essendo queste le vere p</w:t>
      </w:r>
      <w:r w:rsidR="00301520" w:rsidRPr="00B77149">
        <w:rPr>
          <w:rFonts w:ascii="Times New Roman" w:hAnsi="Times New Roman" w:cs="Times New Roman"/>
          <w:sz w:val="28"/>
          <w:szCs w:val="24"/>
        </w:rPr>
        <w:t>rotagoniste del mercato in esame</w:t>
      </w:r>
      <w:r w:rsidRPr="00B77149">
        <w:rPr>
          <w:rFonts w:ascii="Times New Roman" w:hAnsi="Times New Roman" w:cs="Times New Roman"/>
          <w:sz w:val="28"/>
          <w:szCs w:val="24"/>
        </w:rPr>
        <w:t xml:space="preserve"> (decreto legislativo n. 79 del 1999).</w:t>
      </w:r>
      <w:r w:rsidR="00B75DAA" w:rsidRPr="00B77149">
        <w:rPr>
          <w:rFonts w:ascii="Times New Roman" w:hAnsi="Times New Roman" w:cs="Times New Roman"/>
          <w:b/>
          <w:sz w:val="28"/>
          <w:szCs w:val="24"/>
        </w:rPr>
        <w:t xml:space="preserve"> </w:t>
      </w:r>
    </w:p>
    <w:p w14:paraId="7F4C2780" w14:textId="77777777" w:rsidR="00301520" w:rsidRPr="00B77149" w:rsidRDefault="0078211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In primo luogo va ricordato il </w:t>
      </w:r>
      <w:r w:rsidR="00301520" w:rsidRPr="00B77149">
        <w:rPr>
          <w:rFonts w:ascii="Times New Roman" w:hAnsi="Times New Roman" w:cs="Times New Roman"/>
          <w:sz w:val="28"/>
          <w:szCs w:val="24"/>
        </w:rPr>
        <w:t>G</w:t>
      </w:r>
      <w:r w:rsidRPr="00B77149">
        <w:rPr>
          <w:rFonts w:ascii="Times New Roman" w:hAnsi="Times New Roman" w:cs="Times New Roman"/>
          <w:sz w:val="28"/>
          <w:szCs w:val="24"/>
        </w:rPr>
        <w:t>estore dei servizi energetici S.p.A. (GSE), che ha come compito la promozione dell’energia elettrica prodotta da fonti rinnovabili anche attraverso l’erogazione di incentivi economici. Si tratta di una società per azioni</w:t>
      </w:r>
      <w:r w:rsidR="00301520" w:rsidRPr="00B77149">
        <w:rPr>
          <w:rFonts w:ascii="Times New Roman" w:hAnsi="Times New Roman" w:cs="Times New Roman"/>
          <w:sz w:val="28"/>
          <w:szCs w:val="24"/>
        </w:rPr>
        <w:t>,</w:t>
      </w:r>
      <w:r w:rsidRPr="00B77149">
        <w:rPr>
          <w:rFonts w:ascii="Times New Roman" w:hAnsi="Times New Roman" w:cs="Times New Roman"/>
          <w:sz w:val="28"/>
          <w:szCs w:val="24"/>
        </w:rPr>
        <w:t xml:space="preserve"> interamente controllata dal Ministero dell’economia</w:t>
      </w:r>
      <w:r w:rsidR="00301520" w:rsidRPr="00B77149">
        <w:rPr>
          <w:rFonts w:ascii="Times New Roman" w:hAnsi="Times New Roman" w:cs="Times New Roman"/>
          <w:sz w:val="28"/>
          <w:szCs w:val="24"/>
        </w:rPr>
        <w:t>,</w:t>
      </w:r>
      <w:r w:rsidRPr="00B77149">
        <w:rPr>
          <w:rFonts w:ascii="Times New Roman" w:hAnsi="Times New Roman" w:cs="Times New Roman"/>
          <w:sz w:val="28"/>
          <w:szCs w:val="24"/>
        </w:rPr>
        <w:t xml:space="preserve"> con connotazioni pubblicistiche. Essa opera sulla base di indirizzi strategici e </w:t>
      </w:r>
      <w:r w:rsidR="00301520" w:rsidRPr="00B77149">
        <w:rPr>
          <w:rFonts w:ascii="Times New Roman" w:hAnsi="Times New Roman" w:cs="Times New Roman"/>
          <w:sz w:val="28"/>
          <w:szCs w:val="24"/>
        </w:rPr>
        <w:t>operativi definiti dal Ministero, unitamente con il M</w:t>
      </w:r>
      <w:r w:rsidRPr="00B77149">
        <w:rPr>
          <w:rFonts w:ascii="Times New Roman" w:hAnsi="Times New Roman" w:cs="Times New Roman"/>
          <w:sz w:val="28"/>
          <w:szCs w:val="24"/>
        </w:rPr>
        <w:t>inistero della transizione ecologica.</w:t>
      </w:r>
      <w:r w:rsidR="00273C5D" w:rsidRPr="00B77149">
        <w:rPr>
          <w:rFonts w:ascii="Times New Roman" w:hAnsi="Times New Roman" w:cs="Times New Roman"/>
          <w:sz w:val="28"/>
          <w:szCs w:val="24"/>
        </w:rPr>
        <w:t xml:space="preserve"> Esso, in base all’indicato decreto legislativo, originariamente aveva come compito primario la gestione delle attività di trasmissione e di dispacciamento dell’energia elettrica nella rete di trasmissione nazionale, la cui proprietà era in capo a Terna S.p.A., società controllata dall’Enel S.p.A. </w:t>
      </w:r>
    </w:p>
    <w:p w14:paraId="279445B3" w14:textId="77777777" w:rsidR="006B12A6" w:rsidRPr="00B77149" w:rsidRDefault="00B870A2"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 N</w:t>
      </w:r>
      <w:r w:rsidR="00273C5D" w:rsidRPr="00B77149">
        <w:rPr>
          <w:rFonts w:ascii="Times New Roman" w:hAnsi="Times New Roman" w:cs="Times New Roman"/>
          <w:sz w:val="28"/>
          <w:szCs w:val="24"/>
        </w:rPr>
        <w:t>el 2005, a</w:t>
      </w:r>
      <w:r w:rsidR="00CD1115" w:rsidRPr="00B77149">
        <w:rPr>
          <w:rFonts w:ascii="Times New Roman" w:hAnsi="Times New Roman" w:cs="Times New Roman"/>
          <w:sz w:val="28"/>
          <w:szCs w:val="24"/>
        </w:rPr>
        <w:t xml:space="preserve"> seguito del recepimento della D</w:t>
      </w:r>
      <w:r w:rsidR="00273C5D" w:rsidRPr="00B77149">
        <w:rPr>
          <w:rFonts w:ascii="Times New Roman" w:hAnsi="Times New Roman" w:cs="Times New Roman"/>
          <w:sz w:val="28"/>
          <w:szCs w:val="24"/>
        </w:rPr>
        <w:t>irettiva 15 luglio 2003, n. 2003/ 54/CE, che introdusse l’obbligo della separazione societaria del gestore della rete di distribuzione, fu disposta l’unificazione della proprietà e della gestione della rete di trasmissione in capo a Terna S.p.A., affidando a GSE il compito principale di incentivare la produzione di energia da fonti rinnovabili.</w:t>
      </w:r>
      <w:r w:rsidR="00CD1115" w:rsidRPr="00B77149">
        <w:rPr>
          <w:rFonts w:ascii="Times New Roman" w:hAnsi="Times New Roman" w:cs="Times New Roman"/>
          <w:sz w:val="28"/>
          <w:szCs w:val="24"/>
        </w:rPr>
        <w:t xml:space="preserve"> Questa ha come compito in particolare di ritirare </w:t>
      </w:r>
      <w:r w:rsidRPr="00B77149">
        <w:rPr>
          <w:rFonts w:ascii="Times New Roman" w:hAnsi="Times New Roman" w:cs="Times New Roman"/>
          <w:sz w:val="28"/>
          <w:szCs w:val="24"/>
        </w:rPr>
        <w:t xml:space="preserve">e </w:t>
      </w:r>
      <w:r w:rsidR="00CD1115" w:rsidRPr="00B77149">
        <w:rPr>
          <w:rFonts w:ascii="Times New Roman" w:hAnsi="Times New Roman" w:cs="Times New Roman"/>
          <w:sz w:val="28"/>
          <w:szCs w:val="24"/>
        </w:rPr>
        <w:t>collocare sul mercato dell’energia prodotta da impianti da fonti rinnovabili e assimilate. Inoltre ha il compito di erogare incentivi alla produzione di elettricità da tali fonti e l’emissione dei cosiddetti ce</w:t>
      </w:r>
      <w:r w:rsidR="00301520" w:rsidRPr="00B77149">
        <w:rPr>
          <w:rFonts w:ascii="Times New Roman" w:hAnsi="Times New Roman" w:cs="Times New Roman"/>
          <w:sz w:val="28"/>
          <w:szCs w:val="24"/>
        </w:rPr>
        <w:t>rtificati verdi</w:t>
      </w:r>
      <w:r w:rsidR="00CD1115" w:rsidRPr="00B77149">
        <w:rPr>
          <w:rFonts w:ascii="Times New Roman" w:hAnsi="Times New Roman" w:cs="Times New Roman"/>
          <w:sz w:val="28"/>
          <w:szCs w:val="24"/>
        </w:rPr>
        <w:t>.</w:t>
      </w:r>
      <w:r w:rsidRPr="00B77149">
        <w:rPr>
          <w:rFonts w:ascii="Times New Roman" w:hAnsi="Times New Roman" w:cs="Times New Roman"/>
          <w:sz w:val="28"/>
          <w:szCs w:val="24"/>
        </w:rPr>
        <w:t xml:space="preserve"> Essa è</w:t>
      </w:r>
      <w:r w:rsidR="00CD1115" w:rsidRPr="00B77149">
        <w:rPr>
          <w:rFonts w:ascii="Times New Roman" w:hAnsi="Times New Roman" w:cs="Times New Roman"/>
          <w:sz w:val="28"/>
          <w:szCs w:val="24"/>
        </w:rPr>
        <w:t xml:space="preserve"> titolare di veri e propri poteri pubblicisti</w:t>
      </w:r>
      <w:r w:rsidRPr="00B77149">
        <w:rPr>
          <w:rFonts w:ascii="Times New Roman" w:hAnsi="Times New Roman" w:cs="Times New Roman"/>
          <w:sz w:val="28"/>
          <w:szCs w:val="24"/>
        </w:rPr>
        <w:t>,</w:t>
      </w:r>
      <w:r w:rsidR="00CD1115" w:rsidRPr="00B77149">
        <w:rPr>
          <w:rFonts w:ascii="Times New Roman" w:hAnsi="Times New Roman" w:cs="Times New Roman"/>
          <w:sz w:val="28"/>
          <w:szCs w:val="24"/>
        </w:rPr>
        <w:t xml:space="preserve"> come quello di ripristinare</w:t>
      </w:r>
      <w:r w:rsidR="00351E01" w:rsidRPr="00B77149">
        <w:rPr>
          <w:rFonts w:ascii="Times New Roman" w:hAnsi="Times New Roman" w:cs="Times New Roman"/>
          <w:sz w:val="28"/>
          <w:szCs w:val="24"/>
        </w:rPr>
        <w:t xml:space="preserve"> lo </w:t>
      </w:r>
      <w:r w:rsidR="00351E01" w:rsidRPr="00B77149">
        <w:rPr>
          <w:rStyle w:val="Enfasidelicata"/>
          <w:rFonts w:ascii="Times New Roman" w:hAnsi="Times New Roman" w:cs="Times New Roman"/>
          <w:sz w:val="28"/>
          <w:szCs w:val="24"/>
        </w:rPr>
        <w:t>status quo ante</w:t>
      </w:r>
      <w:r w:rsidR="00CD1115" w:rsidRPr="00B77149">
        <w:rPr>
          <w:rFonts w:ascii="Times New Roman" w:hAnsi="Times New Roman" w:cs="Times New Roman"/>
          <w:sz w:val="28"/>
          <w:szCs w:val="24"/>
        </w:rPr>
        <w:t xml:space="preserve"> e irrogare sanzioni</w:t>
      </w:r>
      <w:r w:rsidR="004018E6" w:rsidRPr="00B77149">
        <w:rPr>
          <w:rFonts w:ascii="Times New Roman" w:hAnsi="Times New Roman" w:cs="Times New Roman"/>
          <w:sz w:val="28"/>
          <w:szCs w:val="24"/>
        </w:rPr>
        <w:t xml:space="preserve"> pecuniarie</w:t>
      </w:r>
      <w:r w:rsidRPr="00B77149">
        <w:rPr>
          <w:rFonts w:ascii="Times New Roman" w:hAnsi="Times New Roman" w:cs="Times New Roman"/>
          <w:sz w:val="28"/>
          <w:szCs w:val="24"/>
        </w:rPr>
        <w:t xml:space="preserve"> allo scopo di garantire il rispetto</w:t>
      </w:r>
      <w:r w:rsidR="00301520" w:rsidRPr="00B77149">
        <w:rPr>
          <w:rFonts w:ascii="Times New Roman" w:hAnsi="Times New Roman" w:cs="Times New Roman"/>
          <w:sz w:val="28"/>
          <w:szCs w:val="24"/>
        </w:rPr>
        <w:t xml:space="preserve"> delle norme</w:t>
      </w:r>
      <w:r w:rsidRPr="00B77149">
        <w:rPr>
          <w:rFonts w:ascii="Times New Roman" w:hAnsi="Times New Roman" w:cs="Times New Roman"/>
          <w:sz w:val="28"/>
          <w:szCs w:val="24"/>
        </w:rPr>
        <w:t xml:space="preserve"> da parte degli operatori in materia di fonti energetiche rinnovabili.</w:t>
      </w:r>
    </w:p>
    <w:p w14:paraId="7E42A297" w14:textId="77777777" w:rsidR="00B870A2" w:rsidRPr="00B77149" w:rsidRDefault="00B870A2"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Va ricordato che la società in esame è titolare della partecipazione di altre società a controllo pubblico, in particolare dell’Acquirente unico S.p.A.</w:t>
      </w:r>
      <w:r w:rsidR="002C65B9" w:rsidRPr="00B77149">
        <w:rPr>
          <w:rFonts w:ascii="Times New Roman" w:hAnsi="Times New Roman" w:cs="Times New Roman"/>
          <w:sz w:val="28"/>
          <w:szCs w:val="24"/>
        </w:rPr>
        <w:t xml:space="preserve"> (AU)</w:t>
      </w:r>
      <w:r w:rsidRPr="00B77149">
        <w:rPr>
          <w:rFonts w:ascii="Times New Roman" w:hAnsi="Times New Roman" w:cs="Times New Roman"/>
          <w:sz w:val="28"/>
          <w:szCs w:val="24"/>
        </w:rPr>
        <w:t xml:space="preserve"> e del Gestore dei mercati energetici S.p.A. (GME)</w:t>
      </w:r>
      <w:r w:rsidR="002C65B9" w:rsidRPr="00B77149">
        <w:rPr>
          <w:rFonts w:ascii="Times New Roman" w:hAnsi="Times New Roman" w:cs="Times New Roman"/>
          <w:sz w:val="28"/>
          <w:szCs w:val="24"/>
        </w:rPr>
        <w:t>. Il primo è particolarmente importante, in quanto ha come compito principale quello di garantire la fornitura di energia elettrica alle famiglie</w:t>
      </w:r>
      <w:r w:rsidR="007E0D33" w:rsidRPr="00B77149">
        <w:rPr>
          <w:rFonts w:ascii="Times New Roman" w:hAnsi="Times New Roman" w:cs="Times New Roman"/>
          <w:sz w:val="28"/>
          <w:szCs w:val="24"/>
        </w:rPr>
        <w:t xml:space="preserve"> (soprattutto i c.d. soggetti</w:t>
      </w:r>
      <w:r w:rsidR="0063366A" w:rsidRPr="00B77149">
        <w:rPr>
          <w:rFonts w:ascii="Times New Roman" w:hAnsi="Times New Roman" w:cs="Times New Roman"/>
          <w:sz w:val="28"/>
          <w:szCs w:val="24"/>
        </w:rPr>
        <w:t xml:space="preserve"> </w:t>
      </w:r>
      <w:r w:rsidR="007E0D33" w:rsidRPr="00B77149">
        <w:rPr>
          <w:rFonts w:ascii="Times New Roman" w:hAnsi="Times New Roman" w:cs="Times New Roman"/>
          <w:sz w:val="28"/>
          <w:szCs w:val="24"/>
        </w:rPr>
        <w:t>vulnerabili)</w:t>
      </w:r>
      <w:r w:rsidR="002C65B9" w:rsidRPr="00B77149">
        <w:rPr>
          <w:rFonts w:ascii="Times New Roman" w:hAnsi="Times New Roman" w:cs="Times New Roman"/>
          <w:sz w:val="28"/>
          <w:szCs w:val="24"/>
        </w:rPr>
        <w:t xml:space="preserve"> e alle piccole imprese, a condizioni di economicità, continuità, sicurezza ed efficienza del servizio. Il secondo gestisce una piattaforma informatica per le transazioni che possono avvenire in due aree: il mercato a termine e il mercato a pronti, ossia la borsa elettrica, dato che il prezz</w:t>
      </w:r>
      <w:r w:rsidR="00E95A8B" w:rsidRPr="00B77149">
        <w:rPr>
          <w:rFonts w:ascii="Times New Roman" w:hAnsi="Times New Roman" w:cs="Times New Roman"/>
          <w:sz w:val="28"/>
          <w:szCs w:val="24"/>
        </w:rPr>
        <w:t>o si forma sulla base di domanda e</w:t>
      </w:r>
      <w:r w:rsidR="002C65B9" w:rsidRPr="00B77149">
        <w:rPr>
          <w:rFonts w:ascii="Times New Roman" w:hAnsi="Times New Roman" w:cs="Times New Roman"/>
          <w:sz w:val="28"/>
          <w:szCs w:val="24"/>
        </w:rPr>
        <w:t xml:space="preserve"> offerta complessiva.</w:t>
      </w:r>
    </w:p>
    <w:p w14:paraId="5D646E65" w14:textId="77777777" w:rsidR="002C65B9" w:rsidRPr="00B77149" w:rsidRDefault="002C65B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La società GME gestisce anche il mercato del gas naturale e organizza la piattaforma di assegnazione della capacità di </w:t>
      </w:r>
      <w:proofErr w:type="spellStart"/>
      <w:r w:rsidRPr="00B77149">
        <w:rPr>
          <w:rFonts w:ascii="Times New Roman" w:hAnsi="Times New Roman" w:cs="Times New Roman"/>
          <w:sz w:val="28"/>
          <w:szCs w:val="24"/>
        </w:rPr>
        <w:t>rigassificazione</w:t>
      </w:r>
      <w:proofErr w:type="spellEnd"/>
      <w:r w:rsidRPr="00B77149">
        <w:rPr>
          <w:rFonts w:ascii="Times New Roman" w:hAnsi="Times New Roman" w:cs="Times New Roman"/>
          <w:sz w:val="28"/>
          <w:szCs w:val="24"/>
        </w:rPr>
        <w:t>, nonché la piattaforma di rilevazione della capacità di stoccaggio e di transito di oli minerali.</w:t>
      </w:r>
    </w:p>
    <w:p w14:paraId="70EBF5F9" w14:textId="77777777" w:rsidR="002C65B9" w:rsidRPr="00B77149" w:rsidRDefault="002C65B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lastRenderedPageBreak/>
        <w:t>Va infine richiamata</w:t>
      </w:r>
      <w:r w:rsidR="00CA1533" w:rsidRPr="00B77149">
        <w:rPr>
          <w:rFonts w:ascii="Times New Roman" w:hAnsi="Times New Roman" w:cs="Times New Roman"/>
          <w:sz w:val="28"/>
          <w:szCs w:val="24"/>
        </w:rPr>
        <w:t xml:space="preserve"> la C</w:t>
      </w:r>
      <w:r w:rsidRPr="00B77149">
        <w:rPr>
          <w:rFonts w:ascii="Times New Roman" w:hAnsi="Times New Roman" w:cs="Times New Roman"/>
          <w:sz w:val="28"/>
          <w:szCs w:val="24"/>
        </w:rPr>
        <w:t>assa per i servizi energetici ambientali (</w:t>
      </w:r>
      <w:r w:rsidR="00E95A8B" w:rsidRPr="00B77149">
        <w:rPr>
          <w:rFonts w:ascii="Times New Roman" w:hAnsi="Times New Roman" w:cs="Times New Roman"/>
          <w:sz w:val="28"/>
          <w:szCs w:val="24"/>
        </w:rPr>
        <w:t>CSEA), operante nei settori elettrico gas ed idrico. Si tratta di un vero e proprio ente pubblico economico sottoposto alla vigilanza di ARERA e del Ministero dell’economia e delle finanze.</w:t>
      </w:r>
    </w:p>
    <w:p w14:paraId="27485722" w14:textId="77777777" w:rsidR="002C65B9" w:rsidRPr="00B77149" w:rsidRDefault="002C65B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Ciascuno di questi soggetti </w:t>
      </w:r>
      <w:r w:rsidR="00301520" w:rsidRPr="00B77149">
        <w:rPr>
          <w:rFonts w:ascii="Times New Roman" w:hAnsi="Times New Roman" w:cs="Times New Roman"/>
          <w:sz w:val="28"/>
          <w:szCs w:val="24"/>
        </w:rPr>
        <w:t>meriterebbe ben altra attenzione</w:t>
      </w:r>
      <w:r w:rsidRPr="00B77149">
        <w:rPr>
          <w:rFonts w:ascii="Times New Roman" w:hAnsi="Times New Roman" w:cs="Times New Roman"/>
          <w:sz w:val="28"/>
          <w:szCs w:val="24"/>
        </w:rPr>
        <w:t>, che qui non è possibile</w:t>
      </w:r>
      <w:r w:rsidR="00351E01" w:rsidRPr="00B77149">
        <w:rPr>
          <w:rFonts w:ascii="Times New Roman" w:hAnsi="Times New Roman" w:cs="Times New Roman"/>
          <w:sz w:val="28"/>
          <w:szCs w:val="24"/>
        </w:rPr>
        <w:t xml:space="preserve"> assicurare</w:t>
      </w:r>
      <w:r w:rsidR="00E95A8B" w:rsidRPr="00B77149">
        <w:rPr>
          <w:rFonts w:ascii="Times New Roman" w:hAnsi="Times New Roman" w:cs="Times New Roman"/>
          <w:sz w:val="28"/>
          <w:szCs w:val="24"/>
        </w:rPr>
        <w:t>.</w:t>
      </w:r>
    </w:p>
    <w:p w14:paraId="1D4368A1" w14:textId="77777777" w:rsidR="00D32878" w:rsidRPr="00B77149" w:rsidRDefault="00E95A8B"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Nel corso del presente lavoro si è già incontrata l’autorità amministrativa indipendente preposta al settore dell’energia e ora anche dei rifiuti</w:t>
      </w:r>
      <w:r w:rsidR="00307B79" w:rsidRPr="00B77149">
        <w:rPr>
          <w:rFonts w:ascii="Times New Roman" w:hAnsi="Times New Roman" w:cs="Times New Roman"/>
          <w:sz w:val="28"/>
          <w:szCs w:val="24"/>
        </w:rPr>
        <w:t xml:space="preserve"> (</w:t>
      </w:r>
      <w:r w:rsidRPr="00B77149">
        <w:rPr>
          <w:rFonts w:ascii="Times New Roman" w:hAnsi="Times New Roman" w:cs="Times New Roman"/>
          <w:sz w:val="28"/>
          <w:szCs w:val="24"/>
        </w:rPr>
        <w:t>ARERA)</w:t>
      </w:r>
      <w:r w:rsidR="00D32878" w:rsidRPr="00B77149">
        <w:rPr>
          <w:rFonts w:ascii="Times New Roman" w:hAnsi="Times New Roman" w:cs="Times New Roman"/>
          <w:sz w:val="28"/>
          <w:szCs w:val="24"/>
        </w:rPr>
        <w:t>, che, unitamente al Ministero della transizione ecologica (MITE), cui sono state trasferite gran parte delle funzioni esercitate dal Ministero dello sviluppo economico in materia di politica energetica, sono i principali soggetti regolatori nazionali. Per quanto riguarda la regolazione europea si è già v</w:t>
      </w:r>
      <w:r w:rsidR="00441327" w:rsidRPr="00B77149">
        <w:rPr>
          <w:rFonts w:ascii="Times New Roman" w:hAnsi="Times New Roman" w:cs="Times New Roman"/>
          <w:sz w:val="28"/>
          <w:szCs w:val="24"/>
        </w:rPr>
        <w:t>ista la funzione esercitata da ACER</w:t>
      </w:r>
      <w:r w:rsidR="00307B79" w:rsidRPr="00B77149">
        <w:rPr>
          <w:rFonts w:ascii="Times New Roman" w:hAnsi="Times New Roman" w:cs="Times New Roman"/>
          <w:sz w:val="28"/>
          <w:szCs w:val="24"/>
        </w:rPr>
        <w:t xml:space="preserve"> e </w:t>
      </w:r>
      <w:r w:rsidR="00301520" w:rsidRPr="00B77149">
        <w:rPr>
          <w:rFonts w:ascii="Times New Roman" w:hAnsi="Times New Roman" w:cs="Times New Roman"/>
          <w:sz w:val="28"/>
          <w:szCs w:val="24"/>
        </w:rPr>
        <w:t>dal</w:t>
      </w:r>
      <w:r w:rsidR="00B933C5" w:rsidRPr="00B77149">
        <w:rPr>
          <w:rFonts w:ascii="Times New Roman" w:hAnsi="Times New Roman" w:cs="Times New Roman"/>
          <w:sz w:val="28"/>
          <w:szCs w:val="24"/>
        </w:rPr>
        <w:t>la Commissione</w:t>
      </w:r>
      <w:r w:rsidR="00F44930" w:rsidRPr="00B77149">
        <w:rPr>
          <w:rFonts w:ascii="Times New Roman" w:hAnsi="Times New Roman" w:cs="Times New Roman"/>
          <w:sz w:val="28"/>
          <w:szCs w:val="24"/>
        </w:rPr>
        <w:t xml:space="preserve"> </w:t>
      </w:r>
      <w:r w:rsidR="00351E01" w:rsidRPr="00B77149">
        <w:rPr>
          <w:rFonts w:ascii="Times New Roman" w:hAnsi="Times New Roman" w:cs="Times New Roman"/>
          <w:sz w:val="28"/>
          <w:szCs w:val="24"/>
        </w:rPr>
        <w:t>E</w:t>
      </w:r>
      <w:r w:rsidR="00307B79" w:rsidRPr="00B77149">
        <w:rPr>
          <w:rFonts w:ascii="Times New Roman" w:hAnsi="Times New Roman" w:cs="Times New Roman"/>
          <w:sz w:val="28"/>
          <w:szCs w:val="24"/>
        </w:rPr>
        <w:t>uropea.</w:t>
      </w:r>
    </w:p>
    <w:p w14:paraId="3E11A196" w14:textId="77777777" w:rsidR="00D32878" w:rsidRPr="00B77149" w:rsidRDefault="00D32878"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L’ARERA, sul piano della struttura, presenta tutte le caratteristiche delle autorità amministrative indipendenti</w:t>
      </w:r>
      <w:r w:rsidR="00F82CCD" w:rsidRPr="00B77149">
        <w:rPr>
          <w:rFonts w:ascii="Times New Roman" w:hAnsi="Times New Roman" w:cs="Times New Roman"/>
          <w:sz w:val="28"/>
          <w:szCs w:val="24"/>
        </w:rPr>
        <w:t>, in primo luogo quella di operare in piena autonomia e con indipendenza di giudizio e di valutazione</w:t>
      </w:r>
      <w:r w:rsidRPr="00B77149">
        <w:rPr>
          <w:rFonts w:ascii="Times New Roman" w:hAnsi="Times New Roman" w:cs="Times New Roman"/>
          <w:sz w:val="28"/>
          <w:szCs w:val="24"/>
        </w:rPr>
        <w:t>. Qui si vogliono richiamare solamente alcune peculiarità, che sono sostanzialmente due:</w:t>
      </w:r>
      <w:r w:rsidR="00307B79" w:rsidRPr="00B77149">
        <w:rPr>
          <w:rFonts w:ascii="Times New Roman" w:hAnsi="Times New Roman" w:cs="Times New Roman"/>
          <w:sz w:val="28"/>
          <w:szCs w:val="24"/>
        </w:rPr>
        <w:t xml:space="preserve"> </w:t>
      </w:r>
      <w:r w:rsidR="00F82CCD" w:rsidRPr="00B77149">
        <w:rPr>
          <w:rFonts w:ascii="Times New Roman" w:hAnsi="Times New Roman" w:cs="Times New Roman"/>
          <w:sz w:val="28"/>
          <w:szCs w:val="24"/>
        </w:rPr>
        <w:t>il rapporto con le funzioni di indirizzo nel settore</w:t>
      </w:r>
      <w:r w:rsidR="00301520" w:rsidRPr="00B77149">
        <w:rPr>
          <w:rFonts w:ascii="Times New Roman" w:hAnsi="Times New Roman" w:cs="Times New Roman"/>
          <w:sz w:val="28"/>
          <w:szCs w:val="24"/>
        </w:rPr>
        <w:t xml:space="preserve"> energetico</w:t>
      </w:r>
      <w:r w:rsidR="00F82CCD" w:rsidRPr="00B77149">
        <w:rPr>
          <w:rFonts w:ascii="Times New Roman" w:hAnsi="Times New Roman" w:cs="Times New Roman"/>
          <w:sz w:val="28"/>
          <w:szCs w:val="24"/>
        </w:rPr>
        <w:t xml:space="preserve"> spettanti al Governo; il fondamento del potere regolamentare e il potere di garantirne l’osservanza, attraverso il riconoscimento di poteri</w:t>
      </w:r>
      <w:r w:rsidR="00D027B2" w:rsidRPr="00B77149">
        <w:rPr>
          <w:rFonts w:ascii="Times New Roman" w:hAnsi="Times New Roman" w:cs="Times New Roman"/>
          <w:sz w:val="28"/>
          <w:szCs w:val="24"/>
        </w:rPr>
        <w:t>, spesso</w:t>
      </w:r>
      <w:r w:rsidR="00F82CCD" w:rsidRPr="00B77149">
        <w:rPr>
          <w:rFonts w:ascii="Times New Roman" w:hAnsi="Times New Roman" w:cs="Times New Roman"/>
          <w:sz w:val="28"/>
          <w:szCs w:val="24"/>
        </w:rPr>
        <w:t xml:space="preserve"> impliciti</w:t>
      </w:r>
      <w:r w:rsidR="00D027B2" w:rsidRPr="00B77149">
        <w:rPr>
          <w:rFonts w:ascii="Times New Roman" w:hAnsi="Times New Roman" w:cs="Times New Roman"/>
          <w:sz w:val="28"/>
          <w:szCs w:val="24"/>
        </w:rPr>
        <w:t>,</w:t>
      </w:r>
      <w:r w:rsidR="00F82CCD" w:rsidRPr="00B77149">
        <w:rPr>
          <w:rFonts w:ascii="Times New Roman" w:hAnsi="Times New Roman" w:cs="Times New Roman"/>
          <w:sz w:val="28"/>
          <w:szCs w:val="24"/>
        </w:rPr>
        <w:t xml:space="preserve"> in capo all’autorità stessa.</w:t>
      </w:r>
    </w:p>
    <w:p w14:paraId="4570BAB4" w14:textId="77777777" w:rsidR="00F82CCD" w:rsidRPr="00B77149" w:rsidRDefault="00CA1533"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Sul primo è possibile</w:t>
      </w:r>
      <w:r w:rsidR="00F82CCD" w:rsidRPr="00B77149">
        <w:rPr>
          <w:rFonts w:ascii="Times New Roman" w:hAnsi="Times New Roman" w:cs="Times New Roman"/>
          <w:sz w:val="28"/>
          <w:szCs w:val="24"/>
        </w:rPr>
        <w:t xml:space="preserve"> solamente </w:t>
      </w:r>
      <w:r w:rsidR="00887909" w:rsidRPr="00B77149">
        <w:rPr>
          <w:rFonts w:ascii="Times New Roman" w:hAnsi="Times New Roman" w:cs="Times New Roman"/>
          <w:sz w:val="28"/>
          <w:szCs w:val="24"/>
        </w:rPr>
        <w:t>ricord</w:t>
      </w:r>
      <w:r w:rsidR="00F82CCD" w:rsidRPr="00B77149">
        <w:rPr>
          <w:rFonts w:ascii="Times New Roman" w:hAnsi="Times New Roman" w:cs="Times New Roman"/>
          <w:sz w:val="28"/>
          <w:szCs w:val="24"/>
        </w:rPr>
        <w:t>are che al Governo spettano funzioni di indirizzo</w:t>
      </w:r>
      <w:r w:rsidR="00887909" w:rsidRPr="00B77149">
        <w:rPr>
          <w:rFonts w:ascii="Times New Roman" w:hAnsi="Times New Roman" w:cs="Times New Roman"/>
          <w:sz w:val="28"/>
          <w:szCs w:val="24"/>
        </w:rPr>
        <w:t xml:space="preserve"> particolarmente precise</w:t>
      </w:r>
      <w:r w:rsidR="00494453" w:rsidRPr="00B77149">
        <w:rPr>
          <w:rFonts w:ascii="Times New Roman" w:hAnsi="Times New Roman" w:cs="Times New Roman"/>
          <w:sz w:val="28"/>
          <w:szCs w:val="24"/>
        </w:rPr>
        <w:t>, in quanto, in base alla cosiddetta legge Marzano già ricordata, esso deve formulare indirizzi di politica generale del settore per l’esercizio delle funzioni attribuite all’autorità per l’energia elettrica e il gas e quest’ultima deve illustrare nella propria relazione annuale le iniziative assunte nel quadro delle esigenze di sviluppo dei servizi di pubblica utilità e in conformità agli indirizzi di politica generale del settore. Quindi la relazione annuale, che per le altre autorità indipendenti generalmente si risolve in un rito praticamente asfittico, nel settore dell’energia ha una rilevanza importantissima per la politica economica del Paese.</w:t>
      </w:r>
    </w:p>
    <w:p w14:paraId="10B7629C" w14:textId="41938A12" w:rsidR="00D32878" w:rsidRPr="00B77149" w:rsidRDefault="0088790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Quanto al fondamento del potere </w:t>
      </w:r>
      <w:proofErr w:type="spellStart"/>
      <w:r w:rsidRPr="00B77149">
        <w:rPr>
          <w:rFonts w:ascii="Times New Roman" w:hAnsi="Times New Roman" w:cs="Times New Roman"/>
          <w:sz w:val="28"/>
          <w:szCs w:val="24"/>
        </w:rPr>
        <w:t>regolatorio</w:t>
      </w:r>
      <w:proofErr w:type="spellEnd"/>
      <w:r w:rsidR="00721F6B" w:rsidRPr="00B77149">
        <w:rPr>
          <w:rFonts w:ascii="Times New Roman" w:hAnsi="Times New Roman" w:cs="Times New Roman"/>
          <w:sz w:val="28"/>
          <w:szCs w:val="24"/>
        </w:rPr>
        <w:t xml:space="preserve">, va ricordato che il problema si era posto per tutte le autorità amministrative indipendenti (ossia se in assenza di una legge queste potessero emanare regolamenti indipendenti), ma nel caso di ARERA assume contorni particolari, poiché le sue determinazioni, che sono appunto atti di regolazione, consistono nello stabilire le “regole del gioco” nel funzionamento concreto del settore energetico. </w:t>
      </w:r>
      <w:r w:rsidR="00953D07" w:rsidRPr="00B77149">
        <w:rPr>
          <w:rFonts w:ascii="Times New Roman" w:hAnsi="Times New Roman" w:cs="Times New Roman"/>
          <w:sz w:val="28"/>
          <w:szCs w:val="24"/>
        </w:rPr>
        <w:t>Si tratta di regole</w:t>
      </w:r>
      <w:r w:rsidR="00145913" w:rsidRPr="00B77149">
        <w:rPr>
          <w:rFonts w:ascii="Times New Roman" w:hAnsi="Times New Roman" w:cs="Times New Roman"/>
          <w:sz w:val="28"/>
          <w:szCs w:val="24"/>
        </w:rPr>
        <w:t xml:space="preserve"> perlopiù tecniche</w:t>
      </w:r>
      <w:r w:rsidR="00953D07" w:rsidRPr="00B77149">
        <w:rPr>
          <w:rFonts w:ascii="Times New Roman" w:hAnsi="Times New Roman" w:cs="Times New Roman"/>
          <w:sz w:val="28"/>
          <w:szCs w:val="24"/>
        </w:rPr>
        <w:t xml:space="preserve"> e di comandi nei confronti degli attori attivi del mercato, mentre invece nell’attività regolamentare propria dell’attività amministrativa tradizionale si tratta pur sempre di un’opera di bilanciamento tra l’interesse pubblico e gli altri interessi secondari, composti a</w:t>
      </w:r>
      <w:r w:rsidR="00D027B2" w:rsidRPr="00B77149">
        <w:rPr>
          <w:rFonts w:ascii="Times New Roman" w:hAnsi="Times New Roman" w:cs="Times New Roman"/>
          <w:sz w:val="28"/>
          <w:szCs w:val="24"/>
        </w:rPr>
        <w:t>ttraverso la norma</w:t>
      </w:r>
      <w:r w:rsidR="0055158D" w:rsidRPr="00B77149">
        <w:rPr>
          <w:rStyle w:val="Rimandonotaapidipagina"/>
          <w:rFonts w:ascii="Times New Roman" w:hAnsi="Times New Roman" w:cs="Times New Roman"/>
          <w:sz w:val="28"/>
          <w:szCs w:val="24"/>
        </w:rPr>
        <w:footnoteReference w:id="17"/>
      </w:r>
      <w:r w:rsidR="00953D07" w:rsidRPr="00B77149">
        <w:rPr>
          <w:rFonts w:ascii="Times New Roman" w:hAnsi="Times New Roman" w:cs="Times New Roman"/>
          <w:sz w:val="28"/>
          <w:szCs w:val="24"/>
        </w:rPr>
        <w:t>.</w:t>
      </w:r>
    </w:p>
    <w:p w14:paraId="664EBEA1" w14:textId="77777777" w:rsidR="001B04E9" w:rsidRPr="00B77149" w:rsidRDefault="003B3A18"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lastRenderedPageBreak/>
        <w:t>Le “regole del gioco” hanno un intrinseco valore normativo, che solo la legge può autorizzare</w:t>
      </w:r>
      <w:r w:rsidR="001B04E9" w:rsidRPr="00B77149">
        <w:rPr>
          <w:rFonts w:ascii="Times New Roman" w:hAnsi="Times New Roman" w:cs="Times New Roman"/>
          <w:sz w:val="28"/>
          <w:szCs w:val="24"/>
        </w:rPr>
        <w:t>, soprattutto se a crearle è un organismo che sfugge al circuito democratico</w:t>
      </w:r>
      <w:r w:rsidRPr="00B77149">
        <w:rPr>
          <w:rFonts w:ascii="Times New Roman" w:hAnsi="Times New Roman" w:cs="Times New Roman"/>
          <w:sz w:val="28"/>
          <w:szCs w:val="24"/>
        </w:rPr>
        <w:t>. Tuttavia la giurisprudenza amministrativa (in particolare quella del Tar di Milano e del Consiglio di Stato)</w:t>
      </w:r>
      <w:r w:rsidR="00C80E2A" w:rsidRPr="00B77149">
        <w:rPr>
          <w:rFonts w:ascii="Times New Roman" w:hAnsi="Times New Roman" w:cs="Times New Roman"/>
          <w:sz w:val="28"/>
          <w:szCs w:val="24"/>
        </w:rPr>
        <w:t xml:space="preserve"> ha</w:t>
      </w:r>
      <w:r w:rsidRPr="00B77149">
        <w:rPr>
          <w:rFonts w:ascii="Times New Roman" w:hAnsi="Times New Roman" w:cs="Times New Roman"/>
          <w:sz w:val="28"/>
          <w:szCs w:val="24"/>
        </w:rPr>
        <w:t xml:space="preserve"> ritenuto che, pur essendo innegabile che l’autorità amministrativa indipendente in esame spesso nell’esercizio della regolazione</w:t>
      </w:r>
      <w:r w:rsidR="00C80E2A" w:rsidRPr="00B77149">
        <w:rPr>
          <w:rFonts w:ascii="Times New Roman" w:hAnsi="Times New Roman" w:cs="Times New Roman"/>
          <w:sz w:val="28"/>
          <w:szCs w:val="24"/>
        </w:rPr>
        <w:t xml:space="preserve"> introduce </w:t>
      </w:r>
      <w:r w:rsidRPr="00B77149">
        <w:rPr>
          <w:rFonts w:ascii="Times New Roman" w:hAnsi="Times New Roman" w:cs="Times New Roman"/>
          <w:sz w:val="28"/>
          <w:szCs w:val="24"/>
        </w:rPr>
        <w:t xml:space="preserve">misure </w:t>
      </w:r>
      <w:r w:rsidR="00C80E2A" w:rsidRPr="00B77149">
        <w:rPr>
          <w:rFonts w:ascii="Times New Roman" w:hAnsi="Times New Roman" w:cs="Times New Roman"/>
          <w:sz w:val="28"/>
          <w:szCs w:val="24"/>
        </w:rPr>
        <w:t xml:space="preserve">e </w:t>
      </w:r>
      <w:r w:rsidRPr="00B77149">
        <w:rPr>
          <w:rFonts w:ascii="Times New Roman" w:hAnsi="Times New Roman" w:cs="Times New Roman"/>
          <w:sz w:val="28"/>
          <w:szCs w:val="24"/>
        </w:rPr>
        <w:t>strumenti non espressamente previsti dalla legge</w:t>
      </w:r>
      <w:r w:rsidR="00C80E2A" w:rsidRPr="00B77149">
        <w:rPr>
          <w:rFonts w:ascii="Times New Roman" w:hAnsi="Times New Roman" w:cs="Times New Roman"/>
          <w:sz w:val="28"/>
          <w:szCs w:val="24"/>
        </w:rPr>
        <w:t xml:space="preserve"> e non compatibi</w:t>
      </w:r>
      <w:r w:rsidR="00D05DA4" w:rsidRPr="00B77149">
        <w:rPr>
          <w:rFonts w:ascii="Times New Roman" w:hAnsi="Times New Roman" w:cs="Times New Roman"/>
          <w:sz w:val="28"/>
          <w:szCs w:val="24"/>
        </w:rPr>
        <w:t>li con il principio di legalità</w:t>
      </w:r>
      <w:r w:rsidR="00C80E2A" w:rsidRPr="00B77149">
        <w:rPr>
          <w:rFonts w:ascii="Times New Roman" w:hAnsi="Times New Roman" w:cs="Times New Roman"/>
          <w:sz w:val="28"/>
          <w:szCs w:val="24"/>
        </w:rPr>
        <w:t xml:space="preserve"> </w:t>
      </w:r>
      <w:r w:rsidR="00D05DA4" w:rsidRPr="00B77149">
        <w:rPr>
          <w:rFonts w:ascii="Times New Roman" w:hAnsi="Times New Roman" w:cs="Times New Roman"/>
          <w:sz w:val="28"/>
          <w:szCs w:val="24"/>
        </w:rPr>
        <w:t>(</w:t>
      </w:r>
      <w:r w:rsidR="00C80E2A" w:rsidRPr="00B77149">
        <w:rPr>
          <w:rFonts w:ascii="Times New Roman" w:hAnsi="Times New Roman" w:cs="Times New Roman"/>
          <w:sz w:val="28"/>
          <w:szCs w:val="24"/>
        </w:rPr>
        <w:t>nelle sue due declinazioni di tipicità e nominatività dei provvedimenti amministrativi</w:t>
      </w:r>
      <w:r w:rsidR="00D05DA4" w:rsidRPr="00B77149">
        <w:rPr>
          <w:rFonts w:ascii="Times New Roman" w:hAnsi="Times New Roman" w:cs="Times New Roman"/>
          <w:sz w:val="28"/>
          <w:szCs w:val="24"/>
        </w:rPr>
        <w:t>)</w:t>
      </w:r>
      <w:r w:rsidR="00C80E2A" w:rsidRPr="00B77149">
        <w:rPr>
          <w:rFonts w:ascii="Times New Roman" w:hAnsi="Times New Roman" w:cs="Times New Roman"/>
          <w:sz w:val="28"/>
          <w:szCs w:val="24"/>
        </w:rPr>
        <w:t xml:space="preserve"> </w:t>
      </w:r>
      <w:r w:rsidRPr="00B77149">
        <w:rPr>
          <w:rFonts w:ascii="Times New Roman" w:hAnsi="Times New Roman" w:cs="Times New Roman"/>
          <w:sz w:val="28"/>
          <w:szCs w:val="24"/>
        </w:rPr>
        <w:t>, ha aderito alla tesi secondo cui</w:t>
      </w:r>
      <w:r w:rsidR="00C80E2A" w:rsidRPr="00B77149">
        <w:rPr>
          <w:rFonts w:ascii="Times New Roman" w:hAnsi="Times New Roman" w:cs="Times New Roman"/>
          <w:sz w:val="28"/>
          <w:szCs w:val="24"/>
        </w:rPr>
        <w:t xml:space="preserve"> la particolare tecnicità della materia rende impossibile al legislatore determinare </w:t>
      </w:r>
      <w:r w:rsidR="00C80E2A" w:rsidRPr="00B77149">
        <w:rPr>
          <w:rStyle w:val="Enfasidelicata"/>
          <w:rFonts w:ascii="Times New Roman" w:hAnsi="Times New Roman" w:cs="Times New Roman"/>
          <w:sz w:val="28"/>
          <w:szCs w:val="24"/>
        </w:rPr>
        <w:t>ex ante</w:t>
      </w:r>
      <w:r w:rsidR="00C80E2A" w:rsidRPr="00B77149">
        <w:rPr>
          <w:rFonts w:ascii="Times New Roman" w:hAnsi="Times New Roman" w:cs="Times New Roman"/>
          <w:sz w:val="28"/>
          <w:szCs w:val="24"/>
        </w:rPr>
        <w:t xml:space="preserve"> </w:t>
      </w:r>
      <w:r w:rsidR="001B04E9" w:rsidRPr="00B77149">
        <w:rPr>
          <w:rFonts w:ascii="Times New Roman" w:hAnsi="Times New Roman" w:cs="Times New Roman"/>
          <w:sz w:val="28"/>
          <w:szCs w:val="24"/>
        </w:rPr>
        <w:t xml:space="preserve">e </w:t>
      </w:r>
      <w:r w:rsidR="00C80E2A" w:rsidRPr="00B77149">
        <w:rPr>
          <w:rFonts w:ascii="Times New Roman" w:hAnsi="Times New Roman" w:cs="Times New Roman"/>
          <w:sz w:val="28"/>
          <w:szCs w:val="24"/>
        </w:rPr>
        <w:t xml:space="preserve">tassativamente tutti gli strumenti e le misure che le autorità devono adottare per perseguire gli obiettivi posti. </w:t>
      </w:r>
    </w:p>
    <w:p w14:paraId="75F41D06" w14:textId="77777777" w:rsidR="003B3A18" w:rsidRPr="00B77149" w:rsidRDefault="00C80E2A"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Pertanto il giudice amministrativo ha effettuato una riflessione</w:t>
      </w:r>
      <w:r w:rsidR="00145913" w:rsidRPr="00B77149">
        <w:rPr>
          <w:rFonts w:ascii="Times New Roman" w:hAnsi="Times New Roman" w:cs="Times New Roman"/>
          <w:sz w:val="28"/>
          <w:szCs w:val="24"/>
        </w:rPr>
        <w:t xml:space="preserve"> sulla tradizionale concezione del principio di legalità int</w:t>
      </w:r>
      <w:r w:rsidR="00F44930" w:rsidRPr="00B77149">
        <w:rPr>
          <w:rFonts w:ascii="Times New Roman" w:hAnsi="Times New Roman" w:cs="Times New Roman"/>
          <w:sz w:val="28"/>
          <w:szCs w:val="24"/>
        </w:rPr>
        <w:t>eso in senso form</w:t>
      </w:r>
      <w:r w:rsidR="00D027B2" w:rsidRPr="00B77149">
        <w:rPr>
          <w:rFonts w:ascii="Times New Roman" w:hAnsi="Times New Roman" w:cs="Times New Roman"/>
          <w:sz w:val="28"/>
          <w:szCs w:val="24"/>
        </w:rPr>
        <w:t>ale. H</w:t>
      </w:r>
      <w:r w:rsidR="001B04E9" w:rsidRPr="00B77149">
        <w:rPr>
          <w:rFonts w:ascii="Times New Roman" w:hAnsi="Times New Roman" w:cs="Times New Roman"/>
          <w:sz w:val="28"/>
          <w:szCs w:val="24"/>
        </w:rPr>
        <w:t xml:space="preserve">a ritenuto </w:t>
      </w:r>
      <w:r w:rsidR="00145913" w:rsidRPr="00B77149">
        <w:rPr>
          <w:rFonts w:ascii="Times New Roman" w:hAnsi="Times New Roman" w:cs="Times New Roman"/>
          <w:sz w:val="28"/>
          <w:szCs w:val="24"/>
        </w:rPr>
        <w:t>che il modello di democrazia rappresentativa non è l’unico modello di legittimazione democratica, poiché accanto ad esso esiste anche un modello di democrazia deliberativa, secondo cui la legittimazione all’esercizio dell’autorità non discende dalla rappresentanza politica, ma si realizza attraverso la partecipazione degli interessati al processo d</w:t>
      </w:r>
      <w:r w:rsidR="00D027B2" w:rsidRPr="00B77149">
        <w:rPr>
          <w:rFonts w:ascii="Times New Roman" w:hAnsi="Times New Roman" w:cs="Times New Roman"/>
          <w:sz w:val="28"/>
          <w:szCs w:val="24"/>
        </w:rPr>
        <w:t>ecisionale. Da qui la necessità</w:t>
      </w:r>
      <w:r w:rsidR="001B04E9" w:rsidRPr="00B77149">
        <w:rPr>
          <w:rFonts w:ascii="Times New Roman" w:hAnsi="Times New Roman" w:cs="Times New Roman"/>
          <w:sz w:val="28"/>
          <w:szCs w:val="24"/>
        </w:rPr>
        <w:t xml:space="preserve"> </w:t>
      </w:r>
      <w:r w:rsidR="00145913" w:rsidRPr="00B77149">
        <w:rPr>
          <w:rFonts w:ascii="Times New Roman" w:hAnsi="Times New Roman" w:cs="Times New Roman"/>
          <w:sz w:val="28"/>
          <w:szCs w:val="24"/>
        </w:rPr>
        <w:t xml:space="preserve">che il procedimento che porta alla creazione della </w:t>
      </w:r>
      <w:r w:rsidR="00D05DA4" w:rsidRPr="00B77149">
        <w:rPr>
          <w:rFonts w:ascii="Times New Roman" w:hAnsi="Times New Roman" w:cs="Times New Roman"/>
          <w:sz w:val="28"/>
          <w:szCs w:val="24"/>
        </w:rPr>
        <w:t>‘</w:t>
      </w:r>
      <w:r w:rsidR="00145913" w:rsidRPr="00B77149">
        <w:rPr>
          <w:rFonts w:ascii="Times New Roman" w:hAnsi="Times New Roman" w:cs="Times New Roman"/>
          <w:sz w:val="28"/>
          <w:szCs w:val="24"/>
        </w:rPr>
        <w:t xml:space="preserve">regola del </w:t>
      </w:r>
      <w:proofErr w:type="spellStart"/>
      <w:r w:rsidR="00145913" w:rsidRPr="00B77149">
        <w:rPr>
          <w:rFonts w:ascii="Times New Roman" w:hAnsi="Times New Roman" w:cs="Times New Roman"/>
          <w:sz w:val="28"/>
          <w:szCs w:val="24"/>
        </w:rPr>
        <w:t>gioco</w:t>
      </w:r>
      <w:r w:rsidR="00D05DA4" w:rsidRPr="00B77149">
        <w:rPr>
          <w:rFonts w:ascii="Times New Roman" w:hAnsi="Times New Roman" w:cs="Times New Roman"/>
          <w:sz w:val="28"/>
          <w:szCs w:val="24"/>
        </w:rPr>
        <w:t>’</w:t>
      </w:r>
      <w:proofErr w:type="spellEnd"/>
      <w:r w:rsidR="00D05DA4" w:rsidRPr="00B77149">
        <w:rPr>
          <w:rFonts w:ascii="Times New Roman" w:hAnsi="Times New Roman" w:cs="Times New Roman"/>
          <w:sz w:val="28"/>
          <w:szCs w:val="24"/>
        </w:rPr>
        <w:t xml:space="preserve"> </w:t>
      </w:r>
      <w:r w:rsidR="00145913" w:rsidRPr="00B77149">
        <w:rPr>
          <w:rFonts w:ascii="Times New Roman" w:hAnsi="Times New Roman" w:cs="Times New Roman"/>
          <w:sz w:val="28"/>
          <w:szCs w:val="24"/>
        </w:rPr>
        <w:t>deve essere caratterizzato da un’ampia partecipazione delle imp</w:t>
      </w:r>
      <w:r w:rsidR="00D027B2" w:rsidRPr="00B77149">
        <w:rPr>
          <w:rFonts w:ascii="Times New Roman" w:hAnsi="Times New Roman" w:cs="Times New Roman"/>
          <w:sz w:val="28"/>
          <w:szCs w:val="24"/>
        </w:rPr>
        <w:t>rese destinatarie della regola</w:t>
      </w:r>
      <w:r w:rsidR="00D05DA4" w:rsidRPr="00B77149">
        <w:rPr>
          <w:rFonts w:ascii="Times New Roman" w:hAnsi="Times New Roman" w:cs="Times New Roman"/>
          <w:sz w:val="28"/>
          <w:szCs w:val="24"/>
        </w:rPr>
        <w:t xml:space="preserve"> stessa</w:t>
      </w:r>
      <w:r w:rsidR="00D027B2" w:rsidRPr="00B77149">
        <w:rPr>
          <w:rFonts w:ascii="Times New Roman" w:hAnsi="Times New Roman" w:cs="Times New Roman"/>
          <w:sz w:val="28"/>
          <w:szCs w:val="24"/>
        </w:rPr>
        <w:t xml:space="preserve"> e </w:t>
      </w:r>
      <w:r w:rsidR="00145913" w:rsidRPr="00B77149">
        <w:rPr>
          <w:rFonts w:ascii="Times New Roman" w:hAnsi="Times New Roman" w:cs="Times New Roman"/>
          <w:sz w:val="28"/>
          <w:szCs w:val="24"/>
        </w:rPr>
        <w:t>che deve essere ampiamente motivata, in deroga alla regola generale del procedimento amministrativo secondo cui gli atti generali non vanno motivati.</w:t>
      </w:r>
      <w:r w:rsidR="003B3A18" w:rsidRPr="00B77149">
        <w:rPr>
          <w:rFonts w:ascii="Times New Roman" w:hAnsi="Times New Roman" w:cs="Times New Roman"/>
          <w:sz w:val="28"/>
          <w:szCs w:val="24"/>
        </w:rPr>
        <w:t xml:space="preserve"> </w:t>
      </w:r>
    </w:p>
    <w:p w14:paraId="310A56A8" w14:textId="77777777" w:rsidR="001B04E9" w:rsidRPr="00B77149" w:rsidRDefault="001B04E9"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 xml:space="preserve">Quanto ai cosiddetti poteri impliciti va premesso che l’attività di regolazione </w:t>
      </w:r>
      <w:r w:rsidR="00822AF1" w:rsidRPr="00B77149">
        <w:rPr>
          <w:rFonts w:ascii="Times New Roman" w:hAnsi="Times New Roman" w:cs="Times New Roman"/>
          <w:sz w:val="28"/>
          <w:szCs w:val="24"/>
        </w:rPr>
        <w:t xml:space="preserve">si sostanzia più nella scelta e nella </w:t>
      </w:r>
      <w:r w:rsidR="00B933C5" w:rsidRPr="00B77149">
        <w:rPr>
          <w:rFonts w:ascii="Times New Roman" w:hAnsi="Times New Roman" w:cs="Times New Roman"/>
          <w:sz w:val="28"/>
          <w:szCs w:val="24"/>
        </w:rPr>
        <w:t xml:space="preserve">creazione delle regole </w:t>
      </w:r>
      <w:r w:rsidR="00822AF1" w:rsidRPr="00B77149">
        <w:rPr>
          <w:rFonts w:ascii="Times New Roman" w:hAnsi="Times New Roman" w:cs="Times New Roman"/>
          <w:sz w:val="28"/>
          <w:szCs w:val="24"/>
        </w:rPr>
        <w:t>che nella loro applicazione.</w:t>
      </w:r>
    </w:p>
    <w:p w14:paraId="74AB3F06" w14:textId="700434DC" w:rsidR="00822AF1" w:rsidRPr="00B77149" w:rsidRDefault="00822AF1"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Tuttavia tra i compiti dell’autorità in esame rientra anche quella di assicurarsi l’esecuzione esatta della regolamentazione posta; il che postula l’esistenza di poteri idonei a garantirne l’osservanza. Anche in questo caso vi è l’assenza del</w:t>
      </w:r>
      <w:r w:rsidR="00D027B2" w:rsidRPr="00B77149">
        <w:rPr>
          <w:rFonts w:ascii="Times New Roman" w:hAnsi="Times New Roman" w:cs="Times New Roman"/>
          <w:sz w:val="28"/>
          <w:szCs w:val="24"/>
        </w:rPr>
        <w:t xml:space="preserve">la </w:t>
      </w:r>
      <w:r w:rsidRPr="00B77149">
        <w:rPr>
          <w:rFonts w:ascii="Times New Roman" w:hAnsi="Times New Roman" w:cs="Times New Roman"/>
          <w:sz w:val="28"/>
          <w:szCs w:val="24"/>
        </w:rPr>
        <w:t>leg</w:t>
      </w:r>
      <w:r w:rsidR="00D027B2" w:rsidRPr="00B77149">
        <w:rPr>
          <w:rFonts w:ascii="Times New Roman" w:hAnsi="Times New Roman" w:cs="Times New Roman"/>
          <w:sz w:val="28"/>
          <w:szCs w:val="24"/>
        </w:rPr>
        <w:t>ge</w:t>
      </w:r>
      <w:r w:rsidRPr="00B77149">
        <w:rPr>
          <w:rFonts w:ascii="Times New Roman" w:hAnsi="Times New Roman" w:cs="Times New Roman"/>
          <w:sz w:val="28"/>
          <w:szCs w:val="24"/>
        </w:rPr>
        <w:t xml:space="preserve"> nel predisporre misure e sanzioni</w:t>
      </w:r>
      <w:r w:rsidR="00F44930" w:rsidRPr="00B77149">
        <w:rPr>
          <w:rFonts w:ascii="Times New Roman" w:hAnsi="Times New Roman" w:cs="Times New Roman"/>
          <w:sz w:val="28"/>
          <w:szCs w:val="24"/>
        </w:rPr>
        <w:t>, che possono essere poste solo da essa</w:t>
      </w:r>
      <w:r w:rsidRPr="00B77149">
        <w:rPr>
          <w:rFonts w:ascii="Times New Roman" w:hAnsi="Times New Roman" w:cs="Times New Roman"/>
          <w:sz w:val="28"/>
          <w:szCs w:val="24"/>
        </w:rPr>
        <w:t>. Da qui l</w:t>
      </w:r>
      <w:r w:rsidR="00F44930" w:rsidRPr="00B77149">
        <w:rPr>
          <w:rFonts w:ascii="Times New Roman" w:hAnsi="Times New Roman" w:cs="Times New Roman"/>
          <w:sz w:val="28"/>
          <w:szCs w:val="24"/>
        </w:rPr>
        <w:t>a necessità di afferma l’</w:t>
      </w:r>
      <w:r w:rsidRPr="00B77149">
        <w:rPr>
          <w:rFonts w:ascii="Times New Roman" w:hAnsi="Times New Roman" w:cs="Times New Roman"/>
          <w:sz w:val="28"/>
          <w:szCs w:val="24"/>
        </w:rPr>
        <w:t xml:space="preserve">assunto in base al quale se </w:t>
      </w:r>
      <w:r w:rsidR="00D027B2" w:rsidRPr="00B77149">
        <w:rPr>
          <w:rFonts w:ascii="Times New Roman" w:hAnsi="Times New Roman" w:cs="Times New Roman"/>
          <w:sz w:val="28"/>
          <w:szCs w:val="24"/>
        </w:rPr>
        <w:t>vi è il potere di esercitare la regolazione</w:t>
      </w:r>
      <w:r w:rsidRPr="00B77149">
        <w:rPr>
          <w:rFonts w:ascii="Times New Roman" w:hAnsi="Times New Roman" w:cs="Times New Roman"/>
          <w:sz w:val="28"/>
          <w:szCs w:val="24"/>
        </w:rPr>
        <w:t xml:space="preserve"> vi deve essere necessariamente anche quello di garantirne l’osservanza</w:t>
      </w:r>
      <w:r w:rsidR="00D027B2" w:rsidRPr="00B77149">
        <w:rPr>
          <w:rFonts w:ascii="Times New Roman" w:hAnsi="Times New Roman" w:cs="Times New Roman"/>
          <w:sz w:val="28"/>
          <w:szCs w:val="24"/>
        </w:rPr>
        <w:t xml:space="preserve"> (c.d. teoria dei poteri impliciti)</w:t>
      </w:r>
      <w:r w:rsidR="0055158D" w:rsidRPr="00B77149">
        <w:rPr>
          <w:rStyle w:val="Rimandonotaapidipagina"/>
          <w:rFonts w:ascii="Times New Roman" w:hAnsi="Times New Roman" w:cs="Times New Roman"/>
          <w:sz w:val="28"/>
          <w:szCs w:val="24"/>
        </w:rPr>
        <w:footnoteReference w:id="18"/>
      </w:r>
      <w:r w:rsidR="003B63C7" w:rsidRPr="00B77149">
        <w:rPr>
          <w:rFonts w:ascii="Times New Roman" w:hAnsi="Times New Roman" w:cs="Times New Roman"/>
          <w:sz w:val="28"/>
          <w:szCs w:val="24"/>
        </w:rPr>
        <w:t>.</w:t>
      </w:r>
    </w:p>
    <w:p w14:paraId="689DBAC5" w14:textId="77777777" w:rsidR="00F32767" w:rsidRPr="00B77149" w:rsidRDefault="00F32767" w:rsidP="001575E0">
      <w:pPr>
        <w:spacing w:after="0" w:line="240" w:lineRule="auto"/>
        <w:ind w:firstLine="284"/>
        <w:jc w:val="both"/>
        <w:rPr>
          <w:rFonts w:ascii="Times New Roman" w:hAnsi="Times New Roman" w:cs="Times New Roman"/>
          <w:sz w:val="28"/>
          <w:szCs w:val="24"/>
        </w:rPr>
      </w:pPr>
    </w:p>
    <w:p w14:paraId="13D90A11" w14:textId="77777777" w:rsidR="00CD187E" w:rsidRPr="00B77149" w:rsidRDefault="00CD187E" w:rsidP="001575E0">
      <w:pPr>
        <w:spacing w:after="0" w:line="240" w:lineRule="auto"/>
        <w:jc w:val="both"/>
        <w:rPr>
          <w:rFonts w:ascii="Times New Roman" w:hAnsi="Times New Roman" w:cs="Times New Roman"/>
          <w:b/>
          <w:sz w:val="28"/>
          <w:szCs w:val="24"/>
        </w:rPr>
      </w:pPr>
    </w:p>
    <w:p w14:paraId="1E7A50EF" w14:textId="47C71A5A" w:rsidR="00CD187E" w:rsidRPr="00B77149" w:rsidRDefault="00CD187E" w:rsidP="001575E0">
      <w:pPr>
        <w:spacing w:after="0" w:line="240" w:lineRule="auto"/>
        <w:jc w:val="both"/>
        <w:rPr>
          <w:rFonts w:ascii="Times New Roman" w:hAnsi="Times New Roman" w:cs="Times New Roman"/>
          <w:b/>
          <w:sz w:val="28"/>
          <w:szCs w:val="24"/>
        </w:rPr>
      </w:pPr>
      <w:r w:rsidRPr="00B77149">
        <w:rPr>
          <w:rFonts w:ascii="Times New Roman" w:hAnsi="Times New Roman" w:cs="Times New Roman"/>
          <w:b/>
          <w:sz w:val="28"/>
          <w:szCs w:val="24"/>
        </w:rPr>
        <w:t>7. Gli strumenti integrati di tipo amministrativo e di tipo civilistico</w:t>
      </w:r>
    </w:p>
    <w:p w14:paraId="1C3E1E78" w14:textId="77777777" w:rsidR="00CD187E" w:rsidRPr="00B77149" w:rsidRDefault="00CD187E" w:rsidP="001575E0">
      <w:pPr>
        <w:spacing w:after="0" w:line="240" w:lineRule="auto"/>
        <w:jc w:val="both"/>
        <w:rPr>
          <w:rFonts w:ascii="Times New Roman" w:hAnsi="Times New Roman" w:cs="Times New Roman"/>
          <w:sz w:val="28"/>
          <w:szCs w:val="24"/>
        </w:rPr>
      </w:pPr>
    </w:p>
    <w:p w14:paraId="0612FF7F" w14:textId="3C4ACA42" w:rsidR="003B3A18" w:rsidRPr="00B77149" w:rsidRDefault="00F32767" w:rsidP="001575E0">
      <w:pPr>
        <w:spacing w:after="0" w:line="240" w:lineRule="auto"/>
        <w:jc w:val="both"/>
        <w:rPr>
          <w:rFonts w:ascii="Times New Roman" w:hAnsi="Times New Roman" w:cs="Times New Roman"/>
          <w:sz w:val="28"/>
          <w:szCs w:val="24"/>
        </w:rPr>
      </w:pPr>
      <w:r w:rsidRPr="00B77149">
        <w:rPr>
          <w:rFonts w:ascii="Times New Roman" w:hAnsi="Times New Roman" w:cs="Times New Roman"/>
          <w:sz w:val="28"/>
          <w:szCs w:val="24"/>
        </w:rPr>
        <w:t>Passando agli strumenti utilizzati nei complessi rapporti giuridici che si realizzano all’interno del pianeta</w:t>
      </w:r>
      <w:r w:rsidR="008B2AAC" w:rsidRPr="00B77149">
        <w:rPr>
          <w:rFonts w:ascii="Times New Roman" w:hAnsi="Times New Roman" w:cs="Times New Roman"/>
          <w:sz w:val="28"/>
          <w:szCs w:val="24"/>
        </w:rPr>
        <w:t>-</w:t>
      </w:r>
      <w:r w:rsidRPr="00B77149">
        <w:rPr>
          <w:rFonts w:ascii="Times New Roman" w:hAnsi="Times New Roman" w:cs="Times New Roman"/>
          <w:sz w:val="28"/>
          <w:szCs w:val="24"/>
        </w:rPr>
        <w:t>energia</w:t>
      </w:r>
      <w:r w:rsidR="00045012" w:rsidRPr="00B77149">
        <w:rPr>
          <w:rFonts w:ascii="Times New Roman" w:hAnsi="Times New Roman" w:cs="Times New Roman"/>
          <w:sz w:val="28"/>
          <w:szCs w:val="24"/>
        </w:rPr>
        <w:t xml:space="preserve">, si inizia la breve rassegna, prendendo </w:t>
      </w:r>
      <w:r w:rsidR="00045012" w:rsidRPr="00B77149">
        <w:rPr>
          <w:rFonts w:ascii="Times New Roman" w:hAnsi="Times New Roman" w:cs="Times New Roman"/>
          <w:sz w:val="28"/>
          <w:szCs w:val="24"/>
        </w:rPr>
        <w:lastRenderedPageBreak/>
        <w:t>in prestito da uno studio recente</w:t>
      </w:r>
      <w:r w:rsidR="0055158D" w:rsidRPr="00B77149">
        <w:rPr>
          <w:rStyle w:val="Rimandonotaapidipagina"/>
          <w:rFonts w:ascii="Times New Roman" w:hAnsi="Times New Roman" w:cs="Times New Roman"/>
          <w:sz w:val="28"/>
          <w:szCs w:val="24"/>
        </w:rPr>
        <w:footnoteReference w:id="19"/>
      </w:r>
      <w:r w:rsidR="00045012" w:rsidRPr="00B77149">
        <w:rPr>
          <w:rFonts w:ascii="Times New Roman" w:hAnsi="Times New Roman" w:cs="Times New Roman"/>
          <w:sz w:val="28"/>
          <w:szCs w:val="24"/>
        </w:rPr>
        <w:t xml:space="preserve"> la distinzione tra strumenti di tipo amministrativo e strumenti civilistici, e più precisamente di mercato.</w:t>
      </w:r>
    </w:p>
    <w:p w14:paraId="21E05C24" w14:textId="77777777" w:rsidR="00045012" w:rsidRPr="00B77149" w:rsidRDefault="00045012" w:rsidP="001575E0">
      <w:pPr>
        <w:spacing w:after="0" w:line="240" w:lineRule="auto"/>
        <w:ind w:firstLine="284"/>
        <w:jc w:val="both"/>
        <w:rPr>
          <w:rFonts w:ascii="Times New Roman" w:hAnsi="Times New Roman" w:cs="Times New Roman"/>
          <w:sz w:val="28"/>
          <w:szCs w:val="24"/>
        </w:rPr>
      </w:pPr>
      <w:r w:rsidRPr="00B77149">
        <w:rPr>
          <w:rFonts w:ascii="Times New Roman" w:hAnsi="Times New Roman" w:cs="Times New Roman"/>
          <w:sz w:val="28"/>
          <w:szCs w:val="24"/>
        </w:rPr>
        <w:t>Nei primi, denominati anche</w:t>
      </w:r>
      <w:r w:rsidR="00BA5B9F" w:rsidRPr="00B77149">
        <w:rPr>
          <w:rFonts w:ascii="Times New Roman" w:hAnsi="Times New Roman" w:cs="Times New Roman"/>
          <w:sz w:val="28"/>
          <w:szCs w:val="24"/>
        </w:rPr>
        <w:t xml:space="preserve"> di</w:t>
      </w:r>
      <w:r w:rsidRPr="00B77149">
        <w:rPr>
          <w:rFonts w:ascii="Times New Roman" w:hAnsi="Times New Roman" w:cs="Times New Roman"/>
          <w:sz w:val="28"/>
          <w:szCs w:val="24"/>
        </w:rPr>
        <w:t xml:space="preserve"> </w:t>
      </w:r>
      <w:proofErr w:type="spellStart"/>
      <w:r w:rsidRPr="00B77149">
        <w:rPr>
          <w:rStyle w:val="Enfasidelicata"/>
          <w:rFonts w:ascii="Times New Roman" w:hAnsi="Times New Roman" w:cs="Times New Roman"/>
          <w:sz w:val="28"/>
          <w:szCs w:val="24"/>
        </w:rPr>
        <w:t>command</w:t>
      </w:r>
      <w:proofErr w:type="spellEnd"/>
      <w:r w:rsidRPr="00B77149">
        <w:rPr>
          <w:rStyle w:val="Enfasidelicata"/>
          <w:rFonts w:ascii="Times New Roman" w:hAnsi="Times New Roman" w:cs="Times New Roman"/>
          <w:sz w:val="28"/>
          <w:szCs w:val="24"/>
        </w:rPr>
        <w:t xml:space="preserve"> and control</w:t>
      </w:r>
      <w:r w:rsidR="00BA5B9F" w:rsidRPr="00B77149">
        <w:rPr>
          <w:rFonts w:ascii="Times New Roman" w:hAnsi="Times New Roman" w:cs="Times New Roman"/>
          <w:sz w:val="28"/>
          <w:szCs w:val="24"/>
        </w:rPr>
        <w:t>,</w:t>
      </w:r>
      <w:r w:rsidRPr="00B77149">
        <w:rPr>
          <w:rFonts w:ascii="Times New Roman" w:hAnsi="Times New Roman" w:cs="Times New Roman"/>
          <w:sz w:val="28"/>
          <w:szCs w:val="24"/>
        </w:rPr>
        <w:t xml:space="preserve"> rientrano </w:t>
      </w:r>
      <w:r w:rsidR="00BA5B9F" w:rsidRPr="00B77149">
        <w:rPr>
          <w:rFonts w:ascii="Times New Roman" w:hAnsi="Times New Roman" w:cs="Times New Roman"/>
          <w:sz w:val="28"/>
          <w:szCs w:val="24"/>
        </w:rPr>
        <w:t>gli atti di pianificazione, i regimi tariffari, le normative tecniche, gli atti autorizzativi, le attestazioni e certificazioni, iscrizione ad elenchi e registri, l’attribuzione di incentivi e sovvenzioni, i regimi impositivi, gli obblighi informativi, le sanzioni amministrative. I secondi invece si sostanziano nella predisposizione di regole incidenti sulle dinamiche di mercato (domanda ed offerta), ora operando in modo per così dire “naturale” ora istituendo veri e propri “mercati artificiali”.</w:t>
      </w:r>
    </w:p>
    <w:p w14:paraId="373BA2FA" w14:textId="77777777" w:rsidR="00BA5B9F" w:rsidRPr="00B77149" w:rsidRDefault="00BA5B9F"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Dei primi non si possono non ricordare i Piani nazionali integrati</w:t>
      </w:r>
      <w:r w:rsidR="000E78CC" w:rsidRPr="00B77149">
        <w:rPr>
          <w:rStyle w:val="Enfasidelicata"/>
          <w:rFonts w:ascii="Times New Roman" w:hAnsi="Times New Roman" w:cs="Times New Roman"/>
          <w:i w:val="0"/>
          <w:color w:val="auto"/>
          <w:sz w:val="28"/>
          <w:szCs w:val="24"/>
        </w:rPr>
        <w:t xml:space="preserve"> per l’energia e il clima (PNIEC), disciplinati dal Regolamento UE 11 dicembre 2018, n. 218/1999. La disciplina prende in considerazione le sinergie e le interazioni tra i vari settori di intervento e stabilisce che la predisposizione e l’approvazione dei piani debba avvenire in modo concertato e partecipato, sia a livello europeo sia a livello nazionale. La Commissione europea ha espresso una valutazione positiva sul PNIEC italiano il 17 settembre 2020. Il piano concorre con un altro atto di programmazione di derivazione europea, ossia il piano nazionale di ripresa e resilienza</w:t>
      </w:r>
      <w:r w:rsidR="00D64F54" w:rsidRPr="00B77149">
        <w:rPr>
          <w:rStyle w:val="Enfasidelicata"/>
          <w:rFonts w:ascii="Times New Roman" w:hAnsi="Times New Roman" w:cs="Times New Roman"/>
          <w:i w:val="0"/>
          <w:color w:val="auto"/>
          <w:sz w:val="28"/>
          <w:szCs w:val="24"/>
        </w:rPr>
        <w:t xml:space="preserve"> (PNRR)</w:t>
      </w:r>
      <w:r w:rsidR="000E78CC" w:rsidRPr="00B77149">
        <w:rPr>
          <w:rStyle w:val="Enfasidelicata"/>
          <w:rFonts w:ascii="Times New Roman" w:hAnsi="Times New Roman" w:cs="Times New Roman"/>
          <w:i w:val="0"/>
          <w:color w:val="auto"/>
          <w:sz w:val="28"/>
          <w:szCs w:val="24"/>
        </w:rPr>
        <w:t xml:space="preserve">, pure approvato dall’unione europea il 13 luglio 2021, che contiene un’intera sezione dedicata alla rivoluzione verde e </w:t>
      </w:r>
      <w:r w:rsidR="00D64F54" w:rsidRPr="00B77149">
        <w:rPr>
          <w:rStyle w:val="Enfasidelicata"/>
          <w:rFonts w:ascii="Times New Roman" w:hAnsi="Times New Roman" w:cs="Times New Roman"/>
          <w:i w:val="0"/>
          <w:color w:val="auto"/>
          <w:sz w:val="28"/>
          <w:szCs w:val="24"/>
        </w:rPr>
        <w:t xml:space="preserve">alla </w:t>
      </w:r>
      <w:r w:rsidR="000E78CC" w:rsidRPr="00B77149">
        <w:rPr>
          <w:rStyle w:val="Enfasidelicata"/>
          <w:rFonts w:ascii="Times New Roman" w:hAnsi="Times New Roman" w:cs="Times New Roman"/>
          <w:i w:val="0"/>
          <w:color w:val="auto"/>
          <w:sz w:val="28"/>
          <w:szCs w:val="24"/>
        </w:rPr>
        <w:t>transizione ecologica all’interno della quale figurano due sottos</w:t>
      </w:r>
      <w:r w:rsidR="00D64F54" w:rsidRPr="00B77149">
        <w:rPr>
          <w:rStyle w:val="Enfasidelicata"/>
          <w:rFonts w:ascii="Times New Roman" w:hAnsi="Times New Roman" w:cs="Times New Roman"/>
          <w:i w:val="0"/>
          <w:color w:val="auto"/>
          <w:sz w:val="28"/>
          <w:szCs w:val="24"/>
        </w:rPr>
        <w:t xml:space="preserve">ezioni: </w:t>
      </w:r>
      <w:r w:rsidR="000E78CC" w:rsidRPr="00B77149">
        <w:rPr>
          <w:rStyle w:val="Enfasidelicata"/>
          <w:rFonts w:ascii="Times New Roman" w:hAnsi="Times New Roman" w:cs="Times New Roman"/>
          <w:i w:val="0"/>
          <w:color w:val="auto"/>
          <w:sz w:val="28"/>
          <w:szCs w:val="24"/>
        </w:rPr>
        <w:t>l’energia rinnovabile</w:t>
      </w:r>
      <w:r w:rsidR="00D64F54" w:rsidRPr="00B77149">
        <w:rPr>
          <w:rStyle w:val="Enfasidelicata"/>
          <w:rFonts w:ascii="Times New Roman" w:hAnsi="Times New Roman" w:cs="Times New Roman"/>
          <w:i w:val="0"/>
          <w:color w:val="auto"/>
          <w:sz w:val="28"/>
          <w:szCs w:val="24"/>
        </w:rPr>
        <w:t xml:space="preserve"> e </w:t>
      </w:r>
      <w:r w:rsidR="000E78CC" w:rsidRPr="00B77149">
        <w:rPr>
          <w:rStyle w:val="Enfasidelicata"/>
          <w:rFonts w:ascii="Times New Roman" w:hAnsi="Times New Roman" w:cs="Times New Roman"/>
          <w:i w:val="0"/>
          <w:color w:val="auto"/>
          <w:sz w:val="28"/>
          <w:szCs w:val="24"/>
        </w:rPr>
        <w:t>l’efficienza energetica e riqualificazione degli edifici.</w:t>
      </w:r>
      <w:r w:rsidR="00D64F54" w:rsidRPr="00B77149">
        <w:rPr>
          <w:rStyle w:val="Enfasidelicata"/>
          <w:rFonts w:ascii="Times New Roman" w:hAnsi="Times New Roman" w:cs="Times New Roman"/>
          <w:i w:val="0"/>
          <w:color w:val="auto"/>
          <w:sz w:val="28"/>
          <w:szCs w:val="24"/>
        </w:rPr>
        <w:t xml:space="preserve"> Per il raggiungimento degli obiettivi indicati nelle due sottosezioni sono stati stanziati cospicui finanziamenti.</w:t>
      </w:r>
    </w:p>
    <w:p w14:paraId="05E818C1" w14:textId="77777777" w:rsidR="00D64F54" w:rsidRPr="00B77149" w:rsidRDefault="00D64F54"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Anche per il settore degli idrocarburi è stato previsto uno strumento di pianificazione generale delle attività minerarie all’interno del territorio nazionale per individuare le aree dove è possibile svolgere in modo sostenibile le attività di ricerca e coltivazione (legge 11 febbraio 2019 n. 12).</w:t>
      </w:r>
    </w:p>
    <w:p w14:paraId="340A65FA" w14:textId="77777777" w:rsidR="00D64F54" w:rsidRPr="00B77149" w:rsidRDefault="009067E7"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Il potere tariffario è</w:t>
      </w:r>
      <w:r w:rsidR="00D64F54" w:rsidRPr="00B77149">
        <w:rPr>
          <w:rStyle w:val="Enfasidelicata"/>
          <w:rFonts w:ascii="Times New Roman" w:hAnsi="Times New Roman" w:cs="Times New Roman"/>
          <w:i w:val="0"/>
          <w:color w:val="auto"/>
          <w:sz w:val="28"/>
          <w:szCs w:val="24"/>
        </w:rPr>
        <w:t xml:space="preserve"> attribuito all’ARERA e serve a disciplinare i rapporti contrattuali relativo alle </w:t>
      </w:r>
      <w:r w:rsidRPr="00B77149">
        <w:rPr>
          <w:rStyle w:val="Enfasidelicata"/>
          <w:rFonts w:ascii="Times New Roman" w:hAnsi="Times New Roman" w:cs="Times New Roman"/>
          <w:i w:val="0"/>
          <w:color w:val="auto"/>
          <w:sz w:val="28"/>
          <w:szCs w:val="24"/>
        </w:rPr>
        <w:t xml:space="preserve">varie </w:t>
      </w:r>
      <w:r w:rsidR="00D64F54" w:rsidRPr="00B77149">
        <w:rPr>
          <w:rStyle w:val="Enfasidelicata"/>
          <w:rFonts w:ascii="Times New Roman" w:hAnsi="Times New Roman" w:cs="Times New Roman"/>
          <w:i w:val="0"/>
          <w:color w:val="auto"/>
          <w:sz w:val="28"/>
          <w:szCs w:val="24"/>
        </w:rPr>
        <w:t xml:space="preserve">attività che sono gestiti </w:t>
      </w:r>
      <w:r w:rsidR="004018E6" w:rsidRPr="00B77149">
        <w:rPr>
          <w:rStyle w:val="Enfasidelicata"/>
          <w:rFonts w:ascii="Times New Roman" w:hAnsi="Times New Roman" w:cs="Times New Roman"/>
          <w:i w:val="0"/>
          <w:color w:val="auto"/>
          <w:sz w:val="28"/>
          <w:szCs w:val="24"/>
        </w:rPr>
        <w:t xml:space="preserve">in </w:t>
      </w:r>
      <w:r w:rsidR="00D64F54" w:rsidRPr="00B77149">
        <w:rPr>
          <w:rStyle w:val="Enfasidelicata"/>
          <w:rFonts w:ascii="Times New Roman" w:hAnsi="Times New Roman" w:cs="Times New Roman"/>
          <w:i w:val="0"/>
          <w:color w:val="auto"/>
          <w:sz w:val="28"/>
          <w:szCs w:val="24"/>
        </w:rPr>
        <w:t>regime di esclusiva e altri casi in cui il potere di mercato di un soggetto altera le dinamiche della formazione dei prezzi.</w:t>
      </w:r>
    </w:p>
    <w:p w14:paraId="0DF6F4B3" w14:textId="77777777" w:rsidR="00B6395F" w:rsidRPr="00B77149" w:rsidRDefault="00D64F54"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 poteri di regolazione relativi all’accesso alle infrastrutture, l’art. 10, comma 2, del decreto legislativo n. 79 del 1999 garantisce condizioni di parità tra i soggetti interessati e in particolare in materia di importazioni di energia elettrica e di accesso alla rete per gli scambi transfrontalieri</w:t>
      </w:r>
      <w:r w:rsidR="005E4F92" w:rsidRPr="00B77149">
        <w:rPr>
          <w:rStyle w:val="Enfasidelicata"/>
          <w:rFonts w:ascii="Times New Roman" w:hAnsi="Times New Roman" w:cs="Times New Roman"/>
          <w:i w:val="0"/>
          <w:color w:val="auto"/>
          <w:sz w:val="28"/>
          <w:szCs w:val="24"/>
        </w:rPr>
        <w:t>, attribuendo in capo al M</w:t>
      </w:r>
      <w:r w:rsidR="00B6395F" w:rsidRPr="00B77149">
        <w:rPr>
          <w:rStyle w:val="Enfasidelicata"/>
          <w:rFonts w:ascii="Times New Roman" w:hAnsi="Times New Roman" w:cs="Times New Roman"/>
          <w:i w:val="0"/>
          <w:color w:val="auto"/>
          <w:sz w:val="28"/>
          <w:szCs w:val="24"/>
        </w:rPr>
        <w:t>inistero delle attività produttive, con il parere del A</w:t>
      </w:r>
      <w:r w:rsidR="00441327" w:rsidRPr="00B77149">
        <w:rPr>
          <w:rStyle w:val="Enfasidelicata"/>
          <w:rFonts w:ascii="Times New Roman" w:hAnsi="Times New Roman" w:cs="Times New Roman"/>
          <w:i w:val="0"/>
          <w:color w:val="auto"/>
          <w:sz w:val="28"/>
          <w:szCs w:val="24"/>
        </w:rPr>
        <w:t>RERA</w:t>
      </w:r>
      <w:r w:rsidR="00B6395F" w:rsidRPr="00B77149">
        <w:rPr>
          <w:rStyle w:val="Enfasidelicata"/>
          <w:rFonts w:ascii="Times New Roman" w:hAnsi="Times New Roman" w:cs="Times New Roman"/>
          <w:i w:val="0"/>
          <w:color w:val="auto"/>
          <w:sz w:val="28"/>
          <w:szCs w:val="24"/>
        </w:rPr>
        <w:t xml:space="preserve">, il compito di individuare modalità e condizioni delle importazioni nel caso risultino insufficienti le capacità di trasporto disponibili, tenuto conto di un’equa ripartizione complessiva tra mercato vincolato al mercato libero. Analogamente in materia di accesso alle infrastrutture del sistema del gas vengono attribuiti al </w:t>
      </w:r>
      <w:r w:rsidR="00B6395F" w:rsidRPr="00B77149">
        <w:rPr>
          <w:rStyle w:val="Enfasidelicata"/>
          <w:rFonts w:ascii="Times New Roman" w:hAnsi="Times New Roman" w:cs="Times New Roman"/>
          <w:i w:val="0"/>
          <w:color w:val="auto"/>
          <w:sz w:val="28"/>
          <w:szCs w:val="24"/>
        </w:rPr>
        <w:lastRenderedPageBreak/>
        <w:t xml:space="preserve">medesimo ministero poteri di definizione dei principi e delle modalità per il rilascio delle esenzioni e per l’accesso alla rete nazionale dei gasdotti italiani. </w:t>
      </w:r>
    </w:p>
    <w:p w14:paraId="56163870" w14:textId="77777777" w:rsidR="00D64F54" w:rsidRPr="00B77149" w:rsidRDefault="00B6395F"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Per quanto riguarda le concessioni qui si possono ricordare che esse, in quanto collegate a elementi di monopolio naturale (in particolare le reti) o a risorse scarse</w:t>
      </w:r>
      <w:r w:rsidR="009067E7"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 xml:space="preserve"> devono essere rilasciate sulla base di procedure competitive</w:t>
      </w:r>
      <w:r w:rsidR="005E4F92" w:rsidRPr="00B77149">
        <w:rPr>
          <w:rStyle w:val="Enfasidelicata"/>
          <w:rFonts w:ascii="Times New Roman" w:hAnsi="Times New Roman" w:cs="Times New Roman"/>
          <w:i w:val="0"/>
          <w:color w:val="auto"/>
          <w:sz w:val="28"/>
          <w:szCs w:val="24"/>
        </w:rPr>
        <w:t>.</w:t>
      </w:r>
    </w:p>
    <w:p w14:paraId="2D80107B" w14:textId="77777777" w:rsidR="00B6395F" w:rsidRPr="00B77149" w:rsidRDefault="00B6395F"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 xml:space="preserve">Per le autorizzazioni amministrative </w:t>
      </w:r>
      <w:r w:rsidR="005E4F92" w:rsidRPr="00B77149">
        <w:rPr>
          <w:rStyle w:val="Enfasidelicata"/>
          <w:rFonts w:ascii="Times New Roman" w:hAnsi="Times New Roman" w:cs="Times New Roman"/>
          <w:i w:val="0"/>
          <w:color w:val="auto"/>
          <w:sz w:val="28"/>
          <w:szCs w:val="24"/>
        </w:rPr>
        <w:t>è</w:t>
      </w:r>
      <w:r w:rsidRPr="00B77149">
        <w:rPr>
          <w:rStyle w:val="Enfasidelicata"/>
          <w:rFonts w:ascii="Times New Roman" w:hAnsi="Times New Roman" w:cs="Times New Roman"/>
          <w:i w:val="0"/>
          <w:color w:val="auto"/>
          <w:sz w:val="28"/>
          <w:szCs w:val="24"/>
        </w:rPr>
        <w:t xml:space="preserve"> possibile solo ricordare l’autorizzazione per la costruzione </w:t>
      </w:r>
      <w:r w:rsidR="005E4F92" w:rsidRPr="00B77149">
        <w:rPr>
          <w:rStyle w:val="Enfasidelicata"/>
          <w:rFonts w:ascii="Times New Roman" w:hAnsi="Times New Roman" w:cs="Times New Roman"/>
          <w:i w:val="0"/>
          <w:color w:val="auto"/>
          <w:sz w:val="28"/>
          <w:szCs w:val="24"/>
        </w:rPr>
        <w:t xml:space="preserve">e </w:t>
      </w:r>
      <w:r w:rsidRPr="00B77149">
        <w:rPr>
          <w:rStyle w:val="Enfasidelicata"/>
          <w:rFonts w:ascii="Times New Roman" w:hAnsi="Times New Roman" w:cs="Times New Roman"/>
          <w:i w:val="0"/>
          <w:color w:val="auto"/>
          <w:sz w:val="28"/>
          <w:szCs w:val="24"/>
        </w:rPr>
        <w:t>l’esercizio degli impianti di produzione di energia elettrica prodotta da fonti rinnovabili, che viene qualificat</w:t>
      </w:r>
      <w:r w:rsidR="005E4F92" w:rsidRPr="00B77149">
        <w:rPr>
          <w:rStyle w:val="Enfasidelicata"/>
          <w:rFonts w:ascii="Times New Roman" w:hAnsi="Times New Roman" w:cs="Times New Roman"/>
          <w:i w:val="0"/>
          <w:color w:val="auto"/>
          <w:sz w:val="28"/>
          <w:szCs w:val="24"/>
        </w:rPr>
        <w:t>a come attività libera (art.</w:t>
      </w:r>
      <w:r w:rsidRPr="00B77149">
        <w:rPr>
          <w:rStyle w:val="Enfasidelicata"/>
          <w:rFonts w:ascii="Times New Roman" w:hAnsi="Times New Roman" w:cs="Times New Roman"/>
          <w:i w:val="0"/>
          <w:color w:val="auto"/>
          <w:sz w:val="28"/>
          <w:szCs w:val="24"/>
        </w:rPr>
        <w:t xml:space="preserve"> 12 del decreto legislativo n</w:t>
      </w:r>
      <w:r w:rsidR="005E4F92"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 xml:space="preserve"> 387 del 2003 e art</w:t>
      </w:r>
      <w:r w:rsidR="005E4F92" w:rsidRPr="00B77149">
        <w:rPr>
          <w:rStyle w:val="Enfasidelicata"/>
          <w:rFonts w:ascii="Times New Roman" w:hAnsi="Times New Roman" w:cs="Times New Roman"/>
          <w:i w:val="0"/>
          <w:color w:val="auto"/>
          <w:sz w:val="28"/>
          <w:szCs w:val="24"/>
        </w:rPr>
        <w:t>. 1 del decreto legislativo n.</w:t>
      </w:r>
      <w:r w:rsidRPr="00B77149">
        <w:rPr>
          <w:rStyle w:val="Enfasidelicata"/>
          <w:rFonts w:ascii="Times New Roman" w:hAnsi="Times New Roman" w:cs="Times New Roman"/>
          <w:i w:val="0"/>
          <w:color w:val="auto"/>
          <w:sz w:val="28"/>
          <w:szCs w:val="24"/>
        </w:rPr>
        <w:t xml:space="preserve"> 79 del 1999)</w:t>
      </w:r>
    </w:p>
    <w:p w14:paraId="250518D3" w14:textId="77777777" w:rsidR="00B6395F" w:rsidRPr="00B77149" w:rsidRDefault="00B6395F"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 xml:space="preserve">Nel settore del gas è sottoposta a un regime di autorizzazione l’importazione di gas naturale con contratti di durata superiore ad un anno effettuata attraverso la rete nazionale di gasdotti. Essa è rilasciata </w:t>
      </w:r>
      <w:r w:rsidR="005E4F92" w:rsidRPr="00B77149">
        <w:rPr>
          <w:rStyle w:val="Enfasidelicata"/>
          <w:rFonts w:ascii="Times New Roman" w:hAnsi="Times New Roman" w:cs="Times New Roman"/>
          <w:i w:val="0"/>
          <w:color w:val="auto"/>
          <w:sz w:val="28"/>
          <w:szCs w:val="24"/>
        </w:rPr>
        <w:t xml:space="preserve">sempre </w:t>
      </w:r>
      <w:r w:rsidRPr="00B77149">
        <w:rPr>
          <w:rStyle w:val="Enfasidelicata"/>
          <w:rFonts w:ascii="Times New Roman" w:hAnsi="Times New Roman" w:cs="Times New Roman"/>
          <w:i w:val="0"/>
          <w:color w:val="auto"/>
          <w:sz w:val="28"/>
          <w:szCs w:val="24"/>
        </w:rPr>
        <w:t xml:space="preserve">dal </w:t>
      </w:r>
      <w:r w:rsidR="005E4F92" w:rsidRPr="00B77149">
        <w:rPr>
          <w:rStyle w:val="Enfasidelicata"/>
          <w:rFonts w:ascii="Times New Roman" w:hAnsi="Times New Roman" w:cs="Times New Roman"/>
          <w:i w:val="0"/>
          <w:color w:val="auto"/>
          <w:sz w:val="28"/>
          <w:szCs w:val="24"/>
        </w:rPr>
        <w:t>M</w:t>
      </w:r>
      <w:r w:rsidRPr="00B77149">
        <w:rPr>
          <w:rStyle w:val="Enfasidelicata"/>
          <w:rFonts w:ascii="Times New Roman" w:hAnsi="Times New Roman" w:cs="Times New Roman"/>
          <w:i w:val="0"/>
          <w:color w:val="auto"/>
          <w:sz w:val="28"/>
          <w:szCs w:val="24"/>
        </w:rPr>
        <w:t>inistero dello sviluppo economico sulla base di criteri non discriminatori.</w:t>
      </w:r>
    </w:p>
    <w:p w14:paraId="4F961DD5" w14:textId="77777777" w:rsidR="00B6395F" w:rsidRPr="00B77149" w:rsidRDefault="00B6395F"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Gli idrocarburi sono qualificati come minerali di interesse nazionale e pertanto rientrano nel patrimonio indisponibile dello Stato (art. 826 c. c.</w:t>
      </w:r>
      <w:r w:rsidR="001272CC"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 Pertan</w:t>
      </w:r>
      <w:r w:rsidR="001272CC" w:rsidRPr="00B77149">
        <w:rPr>
          <w:rStyle w:val="Enfasidelicata"/>
          <w:rFonts w:ascii="Times New Roman" w:hAnsi="Times New Roman" w:cs="Times New Roman"/>
          <w:i w:val="0"/>
          <w:color w:val="auto"/>
          <w:sz w:val="28"/>
          <w:szCs w:val="24"/>
        </w:rPr>
        <w:t>to sono necessarie autorizzazioni e concessioni, non essendo un’attività libera.</w:t>
      </w:r>
    </w:p>
    <w:p w14:paraId="4D0363A6" w14:textId="77777777" w:rsidR="001272CC" w:rsidRPr="00B77149" w:rsidRDefault="001272CC"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Infine tra le concessioni vanno richiamate quelle relative alle derivazioni per usi idroelettrici che hanno a</w:t>
      </w:r>
      <w:r w:rsidR="005E4F92" w:rsidRPr="00B77149">
        <w:rPr>
          <w:rStyle w:val="Enfasidelicata"/>
          <w:rFonts w:ascii="Times New Roman" w:hAnsi="Times New Roman" w:cs="Times New Roman"/>
          <w:i w:val="0"/>
          <w:color w:val="auto"/>
          <w:sz w:val="28"/>
          <w:szCs w:val="24"/>
        </w:rPr>
        <w:t>d oggetto un bene demaniale, ossia</w:t>
      </w:r>
      <w:r w:rsidRPr="00B77149">
        <w:rPr>
          <w:rStyle w:val="Enfasidelicata"/>
          <w:rFonts w:ascii="Times New Roman" w:hAnsi="Times New Roman" w:cs="Times New Roman"/>
          <w:i w:val="0"/>
          <w:color w:val="auto"/>
          <w:sz w:val="28"/>
          <w:szCs w:val="24"/>
        </w:rPr>
        <w:t xml:space="preserve"> l’acqua (822). Esse si distinguono in concessioni di grandi</w:t>
      </w:r>
      <w:r w:rsidR="005E4F92" w:rsidRPr="00B77149">
        <w:rPr>
          <w:rStyle w:val="Enfasidelicata"/>
          <w:rFonts w:ascii="Times New Roman" w:hAnsi="Times New Roman" w:cs="Times New Roman"/>
          <w:i w:val="0"/>
          <w:color w:val="auto"/>
          <w:sz w:val="28"/>
          <w:szCs w:val="24"/>
        </w:rPr>
        <w:t xml:space="preserve"> e piccole</w:t>
      </w:r>
      <w:r w:rsidRPr="00B77149">
        <w:rPr>
          <w:rStyle w:val="Enfasidelicata"/>
          <w:rFonts w:ascii="Times New Roman" w:hAnsi="Times New Roman" w:cs="Times New Roman"/>
          <w:i w:val="0"/>
          <w:color w:val="auto"/>
          <w:sz w:val="28"/>
          <w:szCs w:val="24"/>
        </w:rPr>
        <w:t xml:space="preserve"> derivazioni.</w:t>
      </w:r>
    </w:p>
    <w:p w14:paraId="1612A708" w14:textId="77777777" w:rsidR="001272CC" w:rsidRPr="00B77149" w:rsidRDefault="001272CC"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Sulle sanzioni vale quanto già detto</w:t>
      </w:r>
      <w:r w:rsidR="006073A6"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 xml:space="preserve"> ossia che sono strumenti volti a dare effettività alla regolamentazione di settore, incluse</w:t>
      </w:r>
      <w:r w:rsidR="005E4F92" w:rsidRPr="00B77149">
        <w:rPr>
          <w:rStyle w:val="Enfasidelicata"/>
          <w:rFonts w:ascii="Times New Roman" w:hAnsi="Times New Roman" w:cs="Times New Roman"/>
          <w:i w:val="0"/>
          <w:color w:val="auto"/>
          <w:sz w:val="28"/>
          <w:szCs w:val="24"/>
        </w:rPr>
        <w:t xml:space="preserve"> le delibere adottate dall’ARERA</w:t>
      </w:r>
      <w:r w:rsidRPr="00B77149">
        <w:rPr>
          <w:rStyle w:val="Enfasidelicata"/>
          <w:rFonts w:ascii="Times New Roman" w:hAnsi="Times New Roman" w:cs="Times New Roman"/>
          <w:i w:val="0"/>
          <w:color w:val="auto"/>
          <w:sz w:val="28"/>
          <w:szCs w:val="24"/>
        </w:rPr>
        <w:t>. Esse costituiscono un tassello essenziale del disegno complessivo.</w:t>
      </w:r>
    </w:p>
    <w:p w14:paraId="649E9B92" w14:textId="77777777" w:rsidR="006073A6" w:rsidRPr="00B77149" w:rsidRDefault="006073A6"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Per quanto riguarda gli strumenti di mercato in questa sede si possono ricordare solamente i cosiddetti mercati artificiali. Essi sono possibili solamente per effetto dell’imposizione di legge di certi tipi di obblighi a carico di imprese già operanti, ma anche creando i presupposti affinché un mercato possa sorgere e svilupparsi. Il fondamento di tali mercati si fonda su obblighi giuridici imposti ad alcune tipologie di operatori. Essi hanno per oggetto i certificati bianchi, rappresentativi di titoli di efficienza energetica, i certificati verdi relativi a quantitativi di energia prodotta da fonti rinnovabili e i certificati neri, rappresentativi di quote di emissione in atmosfera di gas ad effetto serra (cosiddetti diritti di inquinamento). Essi sono emessi trasferiti e annullati dal gestore</w:t>
      </w:r>
      <w:r w:rsidR="003C68E0" w:rsidRPr="00B77149">
        <w:rPr>
          <w:rStyle w:val="Enfasidelicata"/>
          <w:rFonts w:ascii="Times New Roman" w:hAnsi="Times New Roman" w:cs="Times New Roman"/>
          <w:i w:val="0"/>
          <w:color w:val="auto"/>
          <w:sz w:val="28"/>
          <w:szCs w:val="24"/>
        </w:rPr>
        <w:t xml:space="preserve"> dei mercati energetici (GME), n</w:t>
      </w:r>
      <w:r w:rsidRPr="00B77149">
        <w:rPr>
          <w:rStyle w:val="Enfasidelicata"/>
          <w:rFonts w:ascii="Times New Roman" w:hAnsi="Times New Roman" w:cs="Times New Roman"/>
          <w:i w:val="0"/>
          <w:color w:val="auto"/>
          <w:sz w:val="28"/>
          <w:szCs w:val="24"/>
        </w:rPr>
        <w:t>ella misura corrispondente ai risparmi energetici certificati dal GSE.</w:t>
      </w:r>
    </w:p>
    <w:p w14:paraId="33C31CB0" w14:textId="77777777" w:rsidR="00BE516C" w:rsidRPr="00B77149" w:rsidRDefault="00E43CFE"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In questa materia le controversie sono molto numerose e vengono risolte attraverso procedure di conciliazione e di arbitrato innanzi all’ARERA e poi innanzi al giudice amministrativo</w:t>
      </w:r>
      <w:r w:rsidR="009067E7" w:rsidRPr="00B77149">
        <w:rPr>
          <w:rStyle w:val="Enfasidelicata"/>
          <w:rFonts w:ascii="Times New Roman" w:hAnsi="Times New Roman" w:cs="Times New Roman"/>
          <w:i w:val="0"/>
          <w:color w:val="auto"/>
          <w:sz w:val="28"/>
          <w:szCs w:val="24"/>
        </w:rPr>
        <w:t>. Le liti più importanti vengono definite</w:t>
      </w:r>
      <w:r w:rsidRPr="00B77149">
        <w:rPr>
          <w:rStyle w:val="Enfasidelicata"/>
          <w:rFonts w:ascii="Times New Roman" w:hAnsi="Times New Roman" w:cs="Times New Roman"/>
          <w:i w:val="0"/>
          <w:color w:val="auto"/>
          <w:sz w:val="28"/>
          <w:szCs w:val="24"/>
        </w:rPr>
        <w:t xml:space="preserve"> secondo i noti meccanismi giustiziali ed eventualmente giurisdizionali propri delle autorità amministrative indipendenti, il cui tratto caratterizzante è dato proprio dalla indefettibile presenza </w:t>
      </w:r>
      <w:r w:rsidR="003C68E0" w:rsidRPr="00B77149">
        <w:rPr>
          <w:rStyle w:val="Enfasidelicata"/>
          <w:rFonts w:ascii="Times New Roman" w:hAnsi="Times New Roman" w:cs="Times New Roman"/>
          <w:i w:val="0"/>
          <w:color w:val="auto"/>
          <w:sz w:val="28"/>
          <w:szCs w:val="24"/>
        </w:rPr>
        <w:t xml:space="preserve">presso di esse </w:t>
      </w:r>
      <w:r w:rsidRPr="00B77149">
        <w:rPr>
          <w:rStyle w:val="Enfasidelicata"/>
          <w:rFonts w:ascii="Times New Roman" w:hAnsi="Times New Roman" w:cs="Times New Roman"/>
          <w:i w:val="0"/>
          <w:color w:val="auto"/>
          <w:sz w:val="28"/>
          <w:szCs w:val="24"/>
        </w:rPr>
        <w:t>di procedimenti sanzionatori esecutivi e sanzionatori puri</w:t>
      </w:r>
      <w:r w:rsidR="005E4F92" w:rsidRPr="00B77149">
        <w:rPr>
          <w:rStyle w:val="Enfasidelicata"/>
          <w:rFonts w:ascii="Times New Roman" w:hAnsi="Times New Roman" w:cs="Times New Roman"/>
          <w:i w:val="0"/>
          <w:color w:val="auto"/>
          <w:sz w:val="28"/>
          <w:szCs w:val="24"/>
        </w:rPr>
        <w:t>, la cui decisine è sindacabile</w:t>
      </w:r>
      <w:r w:rsidR="00AD02E3" w:rsidRPr="00B77149">
        <w:rPr>
          <w:rStyle w:val="Enfasidelicata"/>
          <w:rFonts w:ascii="Times New Roman" w:hAnsi="Times New Roman" w:cs="Times New Roman"/>
          <w:i w:val="0"/>
          <w:color w:val="auto"/>
          <w:sz w:val="28"/>
          <w:szCs w:val="24"/>
        </w:rPr>
        <w:t xml:space="preserve"> </w:t>
      </w:r>
      <w:r w:rsidR="00707EA3" w:rsidRPr="00B77149">
        <w:rPr>
          <w:rStyle w:val="Enfasidelicata"/>
          <w:rFonts w:ascii="Times New Roman" w:hAnsi="Times New Roman" w:cs="Times New Roman"/>
          <w:i w:val="0"/>
          <w:color w:val="auto"/>
          <w:sz w:val="28"/>
          <w:szCs w:val="24"/>
        </w:rPr>
        <w:t>innanzi al giudice amministrativo (sindacato forte e non debole, come si era ritenuto in passato)</w:t>
      </w:r>
      <w:r w:rsidRPr="00B77149">
        <w:rPr>
          <w:rStyle w:val="Enfasidelicata"/>
          <w:rFonts w:ascii="Times New Roman" w:hAnsi="Times New Roman" w:cs="Times New Roman"/>
          <w:i w:val="0"/>
          <w:color w:val="auto"/>
          <w:sz w:val="28"/>
          <w:szCs w:val="24"/>
        </w:rPr>
        <w:t>.</w:t>
      </w:r>
      <w:r w:rsidR="008C74AB" w:rsidRPr="00B77149">
        <w:rPr>
          <w:rStyle w:val="Enfasidelicata"/>
          <w:rFonts w:ascii="Times New Roman" w:hAnsi="Times New Roman" w:cs="Times New Roman"/>
          <w:i w:val="0"/>
          <w:color w:val="auto"/>
          <w:sz w:val="28"/>
          <w:szCs w:val="24"/>
        </w:rPr>
        <w:t xml:space="preserve"> </w:t>
      </w:r>
    </w:p>
    <w:p w14:paraId="5F304DF3" w14:textId="28B73E99" w:rsidR="00E43CFE" w:rsidRPr="00B77149" w:rsidRDefault="00CD187E"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lastRenderedPageBreak/>
        <w:t xml:space="preserve">È </w:t>
      </w:r>
      <w:r w:rsidR="008C74AB" w:rsidRPr="00B77149">
        <w:rPr>
          <w:rStyle w:val="Enfasidelicata"/>
          <w:rFonts w:ascii="Times New Roman" w:hAnsi="Times New Roman" w:cs="Times New Roman"/>
          <w:i w:val="0"/>
          <w:color w:val="auto"/>
          <w:sz w:val="28"/>
          <w:szCs w:val="24"/>
        </w:rPr>
        <w:t>utile ricordare che spesso le controversie hanno riguardato atti dell’autority che avevano invaso la competenza riservata alle regioni o altri organismi espressione del potere governativo</w:t>
      </w:r>
      <w:r w:rsidR="000B0A7F" w:rsidRPr="00B77149">
        <w:rPr>
          <w:rStyle w:val="Enfasidelicata"/>
          <w:rFonts w:ascii="Times New Roman" w:hAnsi="Times New Roman" w:cs="Times New Roman"/>
          <w:i w:val="0"/>
          <w:color w:val="auto"/>
          <w:sz w:val="28"/>
          <w:szCs w:val="24"/>
        </w:rPr>
        <w:t xml:space="preserve"> (</w:t>
      </w:r>
      <w:r w:rsidR="00B340A9" w:rsidRPr="00B77149">
        <w:rPr>
          <w:rStyle w:val="Enfasidelicata"/>
          <w:rFonts w:ascii="Times New Roman" w:hAnsi="Times New Roman" w:cs="Times New Roman"/>
          <w:i w:val="0"/>
          <w:color w:val="auto"/>
          <w:sz w:val="28"/>
          <w:szCs w:val="24"/>
        </w:rPr>
        <w:t>c. d.</w:t>
      </w:r>
      <w:r w:rsidR="000B0A7F" w:rsidRPr="00B77149">
        <w:rPr>
          <w:rStyle w:val="Enfasidelicata"/>
          <w:rFonts w:ascii="Times New Roman" w:hAnsi="Times New Roman" w:cs="Times New Roman"/>
          <w:i w:val="0"/>
          <w:color w:val="auto"/>
          <w:sz w:val="28"/>
          <w:szCs w:val="24"/>
        </w:rPr>
        <w:t xml:space="preserve"> politico)</w:t>
      </w:r>
      <w:r w:rsidR="008C74AB" w:rsidRPr="00B77149">
        <w:rPr>
          <w:rStyle w:val="Enfasidelicata"/>
          <w:rFonts w:ascii="Times New Roman" w:hAnsi="Times New Roman" w:cs="Times New Roman"/>
          <w:i w:val="0"/>
          <w:color w:val="auto"/>
          <w:sz w:val="28"/>
          <w:szCs w:val="24"/>
        </w:rPr>
        <w:t xml:space="preserve"> del settore.</w:t>
      </w:r>
      <w:r w:rsidR="003C68E0" w:rsidRPr="00B77149">
        <w:rPr>
          <w:rStyle w:val="Enfasidelicata"/>
          <w:rFonts w:ascii="Times New Roman" w:hAnsi="Times New Roman" w:cs="Times New Roman"/>
          <w:i w:val="0"/>
          <w:color w:val="auto"/>
          <w:sz w:val="28"/>
          <w:szCs w:val="24"/>
        </w:rPr>
        <w:t xml:space="preserve"> </w:t>
      </w:r>
    </w:p>
    <w:p w14:paraId="5B2B3E17" w14:textId="77777777" w:rsidR="00D90534" w:rsidRPr="00B77149" w:rsidRDefault="00D90534" w:rsidP="001575E0">
      <w:pPr>
        <w:spacing w:after="0" w:line="240" w:lineRule="auto"/>
        <w:ind w:firstLine="284"/>
        <w:jc w:val="both"/>
        <w:rPr>
          <w:rStyle w:val="Enfasidelicata"/>
          <w:rFonts w:ascii="Times New Roman" w:hAnsi="Times New Roman" w:cs="Times New Roman"/>
          <w:i w:val="0"/>
          <w:color w:val="auto"/>
          <w:sz w:val="28"/>
          <w:szCs w:val="24"/>
        </w:rPr>
      </w:pPr>
    </w:p>
    <w:p w14:paraId="36247F09" w14:textId="58968EDC" w:rsidR="00CD187E" w:rsidRPr="00B77149" w:rsidRDefault="00CD187E" w:rsidP="001575E0">
      <w:pPr>
        <w:spacing w:after="0" w:line="240" w:lineRule="auto"/>
        <w:jc w:val="both"/>
        <w:rPr>
          <w:rStyle w:val="Enfasidelicata"/>
          <w:rFonts w:ascii="Times New Roman" w:hAnsi="Times New Roman" w:cs="Times New Roman"/>
          <w:b/>
          <w:i w:val="0"/>
          <w:color w:val="auto"/>
          <w:sz w:val="28"/>
          <w:szCs w:val="24"/>
        </w:rPr>
      </w:pPr>
      <w:r w:rsidRPr="00B77149">
        <w:rPr>
          <w:rStyle w:val="Enfasidelicata"/>
          <w:rFonts w:ascii="Times New Roman" w:hAnsi="Times New Roman" w:cs="Times New Roman"/>
          <w:b/>
          <w:i w:val="0"/>
          <w:color w:val="auto"/>
          <w:sz w:val="28"/>
          <w:szCs w:val="24"/>
        </w:rPr>
        <w:t xml:space="preserve">8. La formula </w:t>
      </w:r>
      <w:proofErr w:type="spellStart"/>
      <w:r w:rsidRPr="00B77149">
        <w:rPr>
          <w:rStyle w:val="Enfasidelicata"/>
          <w:rFonts w:ascii="Times New Roman" w:hAnsi="Times New Roman" w:cs="Times New Roman"/>
          <w:b/>
          <w:i w:val="0"/>
          <w:color w:val="auto"/>
          <w:sz w:val="28"/>
          <w:szCs w:val="24"/>
        </w:rPr>
        <w:t>organizzatoria</w:t>
      </w:r>
      <w:proofErr w:type="spellEnd"/>
      <w:r w:rsidRPr="00B77149">
        <w:rPr>
          <w:rStyle w:val="Enfasidelicata"/>
          <w:rFonts w:ascii="Times New Roman" w:hAnsi="Times New Roman" w:cs="Times New Roman"/>
          <w:b/>
          <w:i w:val="0"/>
          <w:color w:val="auto"/>
          <w:sz w:val="28"/>
          <w:szCs w:val="24"/>
        </w:rPr>
        <w:t xml:space="preserve"> dell’energia come ordinamento sezionale. Gli atti interni dell’ordinamento sezionale e la loro sindacabilità. I principi e le regole del diritto dell’energia tra diritto privato e diritto amministrativo. La necessità di un codice dell’energia</w:t>
      </w:r>
    </w:p>
    <w:p w14:paraId="4361F1E8" w14:textId="77777777" w:rsidR="00CD187E" w:rsidRPr="00B77149" w:rsidRDefault="00CD187E" w:rsidP="001575E0">
      <w:pPr>
        <w:spacing w:after="0" w:line="240" w:lineRule="auto"/>
        <w:jc w:val="both"/>
        <w:rPr>
          <w:rStyle w:val="Enfasidelicata"/>
          <w:rFonts w:ascii="Times New Roman" w:hAnsi="Times New Roman" w:cs="Times New Roman"/>
          <w:i w:val="0"/>
          <w:color w:val="auto"/>
          <w:sz w:val="28"/>
          <w:szCs w:val="24"/>
        </w:rPr>
      </w:pPr>
    </w:p>
    <w:p w14:paraId="24F9D7E4" w14:textId="711462F0" w:rsidR="00D90534" w:rsidRPr="00B77149" w:rsidRDefault="00AD02E3" w:rsidP="001575E0">
      <w:pPr>
        <w:spacing w:after="0" w:line="240" w:lineRule="auto"/>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Dall’esposizione svolta è possibile osservare che il diritto dell’energia presenta contorni precisi e originali, che cospirano nel senso di pote</w:t>
      </w:r>
      <w:r w:rsidR="00F85E59" w:rsidRPr="00B77149">
        <w:rPr>
          <w:rStyle w:val="Enfasidelicata"/>
          <w:rFonts w:ascii="Times New Roman" w:hAnsi="Times New Roman" w:cs="Times New Roman"/>
          <w:i w:val="0"/>
          <w:color w:val="auto"/>
          <w:sz w:val="28"/>
          <w:szCs w:val="24"/>
        </w:rPr>
        <w:t>rlo riguardare</w:t>
      </w:r>
      <w:r w:rsidR="007A58C8" w:rsidRPr="00B77149">
        <w:rPr>
          <w:rStyle w:val="Enfasidelicata"/>
          <w:rFonts w:ascii="Times New Roman" w:hAnsi="Times New Roman" w:cs="Times New Roman"/>
          <w:i w:val="0"/>
          <w:color w:val="auto"/>
          <w:sz w:val="28"/>
          <w:szCs w:val="24"/>
        </w:rPr>
        <w:t xml:space="preserve"> come una branca scientifica autonoma.</w:t>
      </w:r>
    </w:p>
    <w:p w14:paraId="1FDC1002" w14:textId="10D2E0CF" w:rsidR="00BE516C" w:rsidRPr="00B77149" w:rsidRDefault="00A8049A"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In realtà l’ordinamento dell’energia si presenta come un ordinamento se</w:t>
      </w:r>
      <w:r w:rsidR="00F85E59" w:rsidRPr="00B77149">
        <w:rPr>
          <w:rStyle w:val="Enfasidelicata"/>
          <w:rFonts w:ascii="Times New Roman" w:hAnsi="Times New Roman" w:cs="Times New Roman"/>
          <w:i w:val="0"/>
          <w:color w:val="auto"/>
          <w:sz w:val="28"/>
          <w:szCs w:val="24"/>
        </w:rPr>
        <w:t xml:space="preserve">zionale (o settoriale), che è una realtà </w:t>
      </w:r>
      <w:r w:rsidR="009B3787" w:rsidRPr="00B77149">
        <w:rPr>
          <w:rStyle w:val="Enfasidelicata"/>
          <w:rFonts w:ascii="Times New Roman" w:hAnsi="Times New Roman" w:cs="Times New Roman"/>
          <w:i w:val="0"/>
          <w:color w:val="auto"/>
          <w:sz w:val="28"/>
          <w:szCs w:val="24"/>
        </w:rPr>
        <w:t>giuridica del nostro tempo, soprattutto a seguito delle privatizzazioni dei grandi monopoli facenti capo agli enti pubblici economici</w:t>
      </w:r>
      <w:r w:rsidR="0055158D" w:rsidRPr="00B77149">
        <w:rPr>
          <w:rStyle w:val="Rimandonotaapidipagina"/>
          <w:rFonts w:ascii="Times New Roman" w:hAnsi="Times New Roman" w:cs="Times New Roman"/>
          <w:iCs/>
          <w:sz w:val="28"/>
          <w:szCs w:val="24"/>
        </w:rPr>
        <w:footnoteReference w:id="20"/>
      </w:r>
      <w:r w:rsidR="009B3787" w:rsidRPr="00B77149">
        <w:rPr>
          <w:rStyle w:val="Enfasidelicata"/>
          <w:rFonts w:ascii="Times New Roman" w:hAnsi="Times New Roman" w:cs="Times New Roman"/>
          <w:i w:val="0"/>
          <w:color w:val="auto"/>
          <w:sz w:val="28"/>
          <w:szCs w:val="24"/>
        </w:rPr>
        <w:t>.</w:t>
      </w:r>
      <w:r w:rsidR="00361005" w:rsidRPr="00B77149">
        <w:rPr>
          <w:rStyle w:val="Enfasidelicata"/>
          <w:rFonts w:ascii="Times New Roman" w:hAnsi="Times New Roman" w:cs="Times New Roman"/>
          <w:i w:val="0"/>
          <w:color w:val="auto"/>
          <w:sz w:val="28"/>
          <w:szCs w:val="24"/>
        </w:rPr>
        <w:t xml:space="preserve"> </w:t>
      </w:r>
      <w:r w:rsidR="00BE516C" w:rsidRPr="00B77149">
        <w:rPr>
          <w:rStyle w:val="Enfasidelicata"/>
          <w:rFonts w:ascii="Times New Roman" w:hAnsi="Times New Roman" w:cs="Times New Roman"/>
          <w:i w:val="0"/>
          <w:color w:val="auto"/>
          <w:sz w:val="28"/>
          <w:szCs w:val="24"/>
        </w:rPr>
        <w:t>Paradossalmente alla privatizzazione è seguita una copiosa regolamentazione, costituita da norme ‘interne’ al mercato di riferimento.</w:t>
      </w:r>
    </w:p>
    <w:p w14:paraId="585EEFD2" w14:textId="6207497C" w:rsidR="00BE516C" w:rsidRPr="00B77149" w:rsidRDefault="00361005"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 xml:space="preserve">Si tratta di una formula </w:t>
      </w:r>
      <w:proofErr w:type="spellStart"/>
      <w:r w:rsidRPr="00B77149">
        <w:rPr>
          <w:rStyle w:val="Enfasidelicata"/>
          <w:rFonts w:ascii="Times New Roman" w:hAnsi="Times New Roman" w:cs="Times New Roman"/>
          <w:i w:val="0"/>
          <w:color w:val="auto"/>
          <w:sz w:val="28"/>
          <w:szCs w:val="24"/>
        </w:rPr>
        <w:t>organizzatoria</w:t>
      </w:r>
      <w:proofErr w:type="spellEnd"/>
      <w:r w:rsidRPr="00B77149">
        <w:rPr>
          <w:rStyle w:val="Enfasidelicata"/>
          <w:rFonts w:ascii="Times New Roman" w:hAnsi="Times New Roman" w:cs="Times New Roman"/>
          <w:i w:val="0"/>
          <w:color w:val="auto"/>
          <w:sz w:val="28"/>
          <w:szCs w:val="24"/>
        </w:rPr>
        <w:t>, che ha trovato la sua compiutezza più nota nell’organizzazione del credito</w:t>
      </w:r>
      <w:r w:rsidR="005A5597" w:rsidRPr="00B77149">
        <w:rPr>
          <w:rStyle w:val="Enfasidelicata"/>
          <w:rFonts w:ascii="Times New Roman" w:hAnsi="Times New Roman" w:cs="Times New Roman"/>
          <w:i w:val="0"/>
          <w:color w:val="auto"/>
          <w:sz w:val="28"/>
          <w:szCs w:val="24"/>
        </w:rPr>
        <w:t xml:space="preserve"> e nei regolamenti dell’organizzazione dei corpi militari</w:t>
      </w:r>
      <w:r w:rsidRPr="00B77149">
        <w:rPr>
          <w:rStyle w:val="Enfasidelicata"/>
          <w:rFonts w:ascii="Times New Roman" w:hAnsi="Times New Roman" w:cs="Times New Roman"/>
          <w:i w:val="0"/>
          <w:color w:val="auto"/>
          <w:sz w:val="28"/>
          <w:szCs w:val="24"/>
        </w:rPr>
        <w:t>. Gli ordinamenti sezionali hanno tutti una base economica ben identificabile e si profila quando l’attività economica presenta aspetti di pubblica utilità</w:t>
      </w:r>
      <w:r w:rsidR="00E01A4A" w:rsidRPr="00B77149">
        <w:rPr>
          <w:rStyle w:val="Enfasidelicata"/>
          <w:rFonts w:ascii="Times New Roman" w:hAnsi="Times New Roman" w:cs="Times New Roman"/>
          <w:i w:val="0"/>
          <w:color w:val="auto"/>
          <w:sz w:val="28"/>
          <w:szCs w:val="24"/>
        </w:rPr>
        <w:t xml:space="preserve">, </w:t>
      </w:r>
      <w:r w:rsidR="0054724A" w:rsidRPr="00B77149">
        <w:rPr>
          <w:rStyle w:val="Enfasidelicata"/>
          <w:rFonts w:ascii="Times New Roman" w:hAnsi="Times New Roman" w:cs="Times New Roman"/>
          <w:i w:val="0"/>
          <w:color w:val="auto"/>
          <w:sz w:val="28"/>
          <w:szCs w:val="24"/>
        </w:rPr>
        <w:t>per cui non può essere lasciata al mercato libero</w:t>
      </w:r>
      <w:r w:rsidRPr="00B77149">
        <w:rPr>
          <w:rStyle w:val="Enfasidelicata"/>
          <w:rFonts w:ascii="Times New Roman" w:hAnsi="Times New Roman" w:cs="Times New Roman"/>
          <w:i w:val="0"/>
          <w:color w:val="auto"/>
          <w:sz w:val="28"/>
          <w:szCs w:val="24"/>
        </w:rPr>
        <w:t>.</w:t>
      </w:r>
      <w:r w:rsidR="00E01A4A" w:rsidRPr="00B77149">
        <w:rPr>
          <w:rStyle w:val="Enfasidelicata"/>
          <w:rFonts w:ascii="Times New Roman" w:hAnsi="Times New Roman" w:cs="Times New Roman"/>
          <w:i w:val="0"/>
          <w:color w:val="auto"/>
          <w:sz w:val="28"/>
          <w:szCs w:val="24"/>
        </w:rPr>
        <w:t xml:space="preserve"> </w:t>
      </w:r>
      <w:r w:rsidR="00116813" w:rsidRPr="00B77149">
        <w:rPr>
          <w:rStyle w:val="Enfasidelicata"/>
          <w:rFonts w:ascii="Times New Roman" w:hAnsi="Times New Roman" w:cs="Times New Roman"/>
          <w:i w:val="0"/>
          <w:color w:val="auto"/>
          <w:sz w:val="28"/>
          <w:szCs w:val="24"/>
        </w:rPr>
        <w:t xml:space="preserve">La formula </w:t>
      </w:r>
      <w:proofErr w:type="spellStart"/>
      <w:r w:rsidR="00116813" w:rsidRPr="00B77149">
        <w:rPr>
          <w:rStyle w:val="Enfasidelicata"/>
          <w:rFonts w:ascii="Times New Roman" w:hAnsi="Times New Roman" w:cs="Times New Roman"/>
          <w:i w:val="0"/>
          <w:color w:val="auto"/>
          <w:sz w:val="28"/>
          <w:szCs w:val="24"/>
        </w:rPr>
        <w:t>organizzatoria</w:t>
      </w:r>
      <w:proofErr w:type="spellEnd"/>
      <w:r w:rsidR="00116813" w:rsidRPr="00B77149">
        <w:rPr>
          <w:rStyle w:val="Enfasidelicata"/>
          <w:rFonts w:ascii="Times New Roman" w:hAnsi="Times New Roman" w:cs="Times New Roman"/>
          <w:i w:val="0"/>
          <w:color w:val="auto"/>
          <w:sz w:val="28"/>
          <w:szCs w:val="24"/>
        </w:rPr>
        <w:t xml:space="preserve"> in esame è perfettamente compatibile con il principio di cui all’art. 41 della Costituzione, che consente il controllo pubblico di imprese private in presenza di un interesse</w:t>
      </w:r>
      <w:r w:rsidR="00214398" w:rsidRPr="00B77149">
        <w:rPr>
          <w:rStyle w:val="Enfasidelicata"/>
          <w:rFonts w:ascii="Times New Roman" w:hAnsi="Times New Roman" w:cs="Times New Roman"/>
          <w:i w:val="0"/>
          <w:color w:val="auto"/>
          <w:sz w:val="28"/>
          <w:szCs w:val="24"/>
        </w:rPr>
        <w:t xml:space="preserve"> pubblico</w:t>
      </w:r>
      <w:r w:rsidR="00116813" w:rsidRPr="00B77149">
        <w:rPr>
          <w:rStyle w:val="Enfasidelicata"/>
          <w:rFonts w:ascii="Times New Roman" w:hAnsi="Times New Roman" w:cs="Times New Roman"/>
          <w:i w:val="0"/>
          <w:color w:val="auto"/>
          <w:sz w:val="28"/>
          <w:szCs w:val="24"/>
        </w:rPr>
        <w:t xml:space="preserve">. </w:t>
      </w:r>
    </w:p>
    <w:p w14:paraId="4D2335FD" w14:textId="77777777" w:rsidR="00B11468" w:rsidRPr="00B77149" w:rsidRDefault="00116813"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Tali ordinamenti sono costituiti da imprenditori</w:t>
      </w:r>
      <w:r w:rsidR="008C74AB" w:rsidRPr="00B77149">
        <w:rPr>
          <w:rStyle w:val="Enfasidelicata"/>
          <w:rFonts w:ascii="Times New Roman" w:hAnsi="Times New Roman" w:cs="Times New Roman"/>
          <w:i w:val="0"/>
          <w:color w:val="auto"/>
          <w:sz w:val="28"/>
          <w:szCs w:val="24"/>
        </w:rPr>
        <w:t xml:space="preserve"> che per svolgere una certa </w:t>
      </w:r>
      <w:r w:rsidRPr="00B77149">
        <w:rPr>
          <w:rStyle w:val="Enfasidelicata"/>
          <w:rFonts w:ascii="Times New Roman" w:hAnsi="Times New Roman" w:cs="Times New Roman"/>
          <w:i w:val="0"/>
          <w:color w:val="auto"/>
          <w:sz w:val="28"/>
          <w:szCs w:val="24"/>
        </w:rPr>
        <w:t>attività hanno bisogno di un provvedimento amministrativo iniziale che le norme configurano ora come autorizzazione ora come concessione. Il provvedimento consente l’immissione nell’ordinamento degli imprenditori, la cui organizzazione</w:t>
      </w:r>
      <w:r w:rsidR="008C74AB" w:rsidRPr="00B77149">
        <w:rPr>
          <w:rStyle w:val="Enfasidelicata"/>
          <w:rFonts w:ascii="Times New Roman" w:hAnsi="Times New Roman" w:cs="Times New Roman"/>
          <w:i w:val="0"/>
          <w:color w:val="auto"/>
          <w:sz w:val="28"/>
          <w:szCs w:val="24"/>
        </w:rPr>
        <w:t xml:space="preserve"> è</w:t>
      </w:r>
      <w:r w:rsidRPr="00B77149">
        <w:rPr>
          <w:rStyle w:val="Enfasidelicata"/>
          <w:rFonts w:ascii="Times New Roman" w:hAnsi="Times New Roman" w:cs="Times New Roman"/>
          <w:i w:val="0"/>
          <w:color w:val="auto"/>
          <w:sz w:val="28"/>
          <w:szCs w:val="24"/>
        </w:rPr>
        <w:t xml:space="preserve"> costituita da organi dello </w:t>
      </w:r>
      <w:r w:rsidR="008C74AB" w:rsidRPr="00B77149">
        <w:rPr>
          <w:rStyle w:val="Enfasidelicata"/>
          <w:rFonts w:ascii="Times New Roman" w:hAnsi="Times New Roman" w:cs="Times New Roman"/>
          <w:i w:val="0"/>
          <w:color w:val="auto"/>
          <w:sz w:val="28"/>
          <w:szCs w:val="24"/>
        </w:rPr>
        <w:t>Stato o da un apposito ente, e</w:t>
      </w:r>
      <w:r w:rsidRPr="00B77149">
        <w:rPr>
          <w:rStyle w:val="Enfasidelicata"/>
          <w:rFonts w:ascii="Times New Roman" w:hAnsi="Times New Roman" w:cs="Times New Roman"/>
          <w:i w:val="0"/>
          <w:color w:val="auto"/>
          <w:sz w:val="28"/>
          <w:szCs w:val="24"/>
        </w:rPr>
        <w:t xml:space="preserve"> hanno poteri normativi interni, poteri di direzione e di ordine nonché poteri di controllo, preventivi o repressivi</w:t>
      </w:r>
      <w:r w:rsidR="00214398" w:rsidRPr="00B77149">
        <w:rPr>
          <w:rStyle w:val="Enfasidelicata"/>
          <w:rFonts w:ascii="Times New Roman" w:hAnsi="Times New Roman" w:cs="Times New Roman"/>
          <w:i w:val="0"/>
          <w:color w:val="auto"/>
          <w:sz w:val="28"/>
          <w:szCs w:val="24"/>
        </w:rPr>
        <w:t>.</w:t>
      </w:r>
    </w:p>
    <w:p w14:paraId="5ADAF78F" w14:textId="77777777" w:rsidR="00B11468" w:rsidRPr="00B77149" w:rsidRDefault="00BE516C"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 xml:space="preserve"> Gli imprenditori del settore energetico naturalmente sono diversi dalle imprese che utilizzano energia per produrre altro. A tal proposito si distinguono i grandi consumatori di energia (c.d. idonei), da quelli medi e piccoli</w:t>
      </w:r>
      <w:r w:rsidR="00B11468" w:rsidRPr="00B77149">
        <w:rPr>
          <w:rStyle w:val="Enfasidelicata"/>
          <w:rFonts w:ascii="Times New Roman" w:hAnsi="Times New Roman" w:cs="Times New Roman"/>
          <w:i w:val="0"/>
          <w:color w:val="auto"/>
          <w:sz w:val="28"/>
          <w:szCs w:val="24"/>
        </w:rPr>
        <w:t>, incluse le fasce meno abbienti, che non possono essere escluse dalla fornitura di energie indispensabili (c.d. servizio universale).</w:t>
      </w:r>
    </w:p>
    <w:p w14:paraId="1D582230" w14:textId="77777777" w:rsidR="00C74185" w:rsidRPr="00B77149" w:rsidRDefault="00116813"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 xml:space="preserve"> </w:t>
      </w:r>
      <w:r w:rsidR="00214398" w:rsidRPr="00B77149">
        <w:rPr>
          <w:rStyle w:val="Enfasidelicata"/>
          <w:rFonts w:ascii="Times New Roman" w:hAnsi="Times New Roman" w:cs="Times New Roman"/>
          <w:i w:val="0"/>
          <w:color w:val="auto"/>
          <w:sz w:val="28"/>
          <w:szCs w:val="24"/>
        </w:rPr>
        <w:t>L</w:t>
      </w:r>
      <w:r w:rsidRPr="00B77149">
        <w:rPr>
          <w:rStyle w:val="Enfasidelicata"/>
          <w:rFonts w:ascii="Times New Roman" w:hAnsi="Times New Roman" w:cs="Times New Roman"/>
          <w:i w:val="0"/>
          <w:color w:val="auto"/>
          <w:sz w:val="28"/>
          <w:szCs w:val="24"/>
        </w:rPr>
        <w:t>a caratteristica fondamentale degli ordinamenti sezionali è data dal fatto che il controllo pubblico non è episodico ma programmatico e generale</w:t>
      </w:r>
      <w:r w:rsidR="00214398" w:rsidRPr="00B77149">
        <w:rPr>
          <w:rStyle w:val="Enfasidelicata"/>
          <w:rFonts w:ascii="Times New Roman" w:hAnsi="Times New Roman" w:cs="Times New Roman"/>
          <w:i w:val="0"/>
          <w:color w:val="auto"/>
          <w:sz w:val="28"/>
          <w:szCs w:val="24"/>
        </w:rPr>
        <w:t xml:space="preserve"> (ossia non individual</w:t>
      </w:r>
      <w:r w:rsidR="008C74AB" w:rsidRPr="00B77149">
        <w:rPr>
          <w:rStyle w:val="Enfasidelicata"/>
          <w:rFonts w:ascii="Times New Roman" w:hAnsi="Times New Roman" w:cs="Times New Roman"/>
          <w:i w:val="0"/>
          <w:color w:val="auto"/>
          <w:sz w:val="28"/>
          <w:szCs w:val="24"/>
        </w:rPr>
        <w:t>izzato in una singola impresa</w:t>
      </w:r>
      <w:r w:rsidR="00214398"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w:t>
      </w:r>
    </w:p>
    <w:p w14:paraId="59243ADE" w14:textId="374EC307" w:rsidR="00116813" w:rsidRPr="00B77149" w:rsidRDefault="00214398"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lastRenderedPageBreak/>
        <w:t xml:space="preserve"> </w:t>
      </w:r>
      <w:r w:rsidR="00CD187E" w:rsidRPr="00B77149">
        <w:rPr>
          <w:rStyle w:val="Enfasidelicata"/>
          <w:rFonts w:ascii="Times New Roman" w:hAnsi="Times New Roman" w:cs="Times New Roman"/>
          <w:i w:val="0"/>
          <w:color w:val="auto"/>
          <w:sz w:val="28"/>
          <w:szCs w:val="24"/>
        </w:rPr>
        <w:t>É</w:t>
      </w:r>
      <w:r w:rsidR="00B340A9" w:rsidRPr="00B77149">
        <w:rPr>
          <w:rStyle w:val="Enfasidelicata"/>
          <w:rFonts w:ascii="Times New Roman" w:hAnsi="Times New Roman" w:cs="Times New Roman"/>
          <w:i w:val="0"/>
          <w:color w:val="auto"/>
          <w:sz w:val="28"/>
          <w:szCs w:val="24"/>
        </w:rPr>
        <w:t xml:space="preserve"> </w:t>
      </w:r>
      <w:r w:rsidRPr="00B77149">
        <w:rPr>
          <w:rStyle w:val="Enfasidelicata"/>
          <w:rFonts w:ascii="Times New Roman" w:hAnsi="Times New Roman" w:cs="Times New Roman"/>
          <w:i w:val="0"/>
          <w:color w:val="auto"/>
          <w:sz w:val="28"/>
          <w:szCs w:val="24"/>
        </w:rPr>
        <w:t>i</w:t>
      </w:r>
      <w:r w:rsidR="00116813" w:rsidRPr="00B77149">
        <w:rPr>
          <w:rStyle w:val="Enfasidelicata"/>
          <w:rFonts w:ascii="Times New Roman" w:hAnsi="Times New Roman" w:cs="Times New Roman"/>
          <w:i w:val="0"/>
          <w:color w:val="auto"/>
          <w:sz w:val="28"/>
          <w:szCs w:val="24"/>
        </w:rPr>
        <w:t xml:space="preserve">mportante </w:t>
      </w:r>
      <w:r w:rsidRPr="00B77149">
        <w:rPr>
          <w:rStyle w:val="Enfasidelicata"/>
          <w:rFonts w:ascii="Times New Roman" w:hAnsi="Times New Roman" w:cs="Times New Roman"/>
          <w:i w:val="0"/>
          <w:color w:val="auto"/>
          <w:sz w:val="28"/>
          <w:szCs w:val="24"/>
        </w:rPr>
        <w:t>ricordare</w:t>
      </w:r>
      <w:r w:rsidR="00116813" w:rsidRPr="00B77149">
        <w:rPr>
          <w:rStyle w:val="Enfasidelicata"/>
          <w:rFonts w:ascii="Times New Roman" w:hAnsi="Times New Roman" w:cs="Times New Roman"/>
          <w:i w:val="0"/>
          <w:color w:val="auto"/>
          <w:sz w:val="28"/>
          <w:szCs w:val="24"/>
        </w:rPr>
        <w:t xml:space="preserve"> che gli organi che reggono l’ordinamento sezionale sono sempre qualificabili nell’ordinamento generale statale come provvedimenti amministrativi e che quindi essi soggiacciono alle misure di tutela date contro i provvedimenti invalidi.</w:t>
      </w:r>
    </w:p>
    <w:p w14:paraId="5DF32FA9" w14:textId="77777777" w:rsidR="00D83390" w:rsidRPr="00B77149" w:rsidRDefault="000301E1"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Il problema più delicato, che attende</w:t>
      </w:r>
      <w:r w:rsidR="009B03E5" w:rsidRPr="00B77149">
        <w:rPr>
          <w:rStyle w:val="Enfasidelicata"/>
          <w:rFonts w:ascii="Times New Roman" w:hAnsi="Times New Roman" w:cs="Times New Roman"/>
          <w:i w:val="0"/>
          <w:color w:val="auto"/>
          <w:sz w:val="28"/>
          <w:szCs w:val="24"/>
        </w:rPr>
        <w:t xml:space="preserve"> una messa a punto,</w:t>
      </w:r>
      <w:r w:rsidR="00EB67F0" w:rsidRPr="00B77149">
        <w:rPr>
          <w:rStyle w:val="Enfasidelicata"/>
          <w:rFonts w:ascii="Times New Roman" w:hAnsi="Times New Roman" w:cs="Times New Roman"/>
          <w:i w:val="0"/>
          <w:color w:val="auto"/>
          <w:sz w:val="28"/>
          <w:szCs w:val="24"/>
        </w:rPr>
        <w:t xml:space="preserve"> riguarda la qualificazione e il rapporto delle norme interne dell’ordinamento sezionale con quelle dell’ordinamento generale. </w:t>
      </w:r>
    </w:p>
    <w:p w14:paraId="55785E81" w14:textId="77777777" w:rsidR="000301E1" w:rsidRPr="00B77149" w:rsidRDefault="00EB67F0"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Infatti</w:t>
      </w:r>
      <w:r w:rsidR="00C74185"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 xml:space="preserve"> se si segue il principio formale per cui gli atti normativi efficaci nell’ordinamento generale sono quelli espressamente previsti dalle norme sulla normazione dell’ordinamento statale, le norme dell’ordinamento sezionale sono sempre e comunque</w:t>
      </w:r>
      <w:r w:rsidR="00D83390" w:rsidRPr="00B77149">
        <w:rPr>
          <w:rStyle w:val="Enfasidelicata"/>
          <w:rFonts w:ascii="Times New Roman" w:hAnsi="Times New Roman" w:cs="Times New Roman"/>
          <w:i w:val="0"/>
          <w:color w:val="auto"/>
          <w:sz w:val="28"/>
          <w:szCs w:val="24"/>
        </w:rPr>
        <w:t xml:space="preserve"> norme interne contenute in</w:t>
      </w:r>
      <w:r w:rsidRPr="00B77149">
        <w:rPr>
          <w:rStyle w:val="Enfasidelicata"/>
          <w:rFonts w:ascii="Times New Roman" w:hAnsi="Times New Roman" w:cs="Times New Roman"/>
          <w:i w:val="0"/>
          <w:color w:val="auto"/>
          <w:sz w:val="28"/>
          <w:szCs w:val="24"/>
        </w:rPr>
        <w:t xml:space="preserve"> atti amministrativi interni. Va da sé che soprattutto nella materia energetica la continua produzione di norme contenute in atti generali genera non pochi problemi</w:t>
      </w:r>
      <w:r w:rsidR="00D83390"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 xml:space="preserve"> in particolare per i giudici amministrativi, che comunque</w:t>
      </w:r>
      <w:r w:rsidR="00D83390" w:rsidRPr="00B77149">
        <w:rPr>
          <w:rStyle w:val="Enfasidelicata"/>
          <w:rFonts w:ascii="Times New Roman" w:hAnsi="Times New Roman" w:cs="Times New Roman"/>
          <w:i w:val="0"/>
          <w:color w:val="auto"/>
          <w:sz w:val="28"/>
          <w:szCs w:val="24"/>
        </w:rPr>
        <w:t>, e per fortuna,</w:t>
      </w:r>
      <w:r w:rsidRPr="00B77149">
        <w:rPr>
          <w:rStyle w:val="Enfasidelicata"/>
          <w:rFonts w:ascii="Times New Roman" w:hAnsi="Times New Roman" w:cs="Times New Roman"/>
          <w:i w:val="0"/>
          <w:color w:val="auto"/>
          <w:sz w:val="28"/>
          <w:szCs w:val="24"/>
        </w:rPr>
        <w:t xml:space="preserve"> ritengono che la loro violazione costituisca un atto viziato da illegittimità</w:t>
      </w:r>
      <w:r w:rsidR="00D83390" w:rsidRPr="00B77149">
        <w:rPr>
          <w:rStyle w:val="Enfasidelicata"/>
          <w:rFonts w:ascii="Times New Roman" w:hAnsi="Times New Roman" w:cs="Times New Roman"/>
          <w:i w:val="0"/>
          <w:color w:val="auto"/>
          <w:sz w:val="28"/>
          <w:szCs w:val="24"/>
        </w:rPr>
        <w:t>, tralasciando tutto quanto ruota intorno alle conseguenze, talvolta impeditive, legate alla qualificazione di norma interna</w:t>
      </w:r>
      <w:r w:rsidR="005A5597" w:rsidRPr="00B77149">
        <w:rPr>
          <w:rStyle w:val="Enfasidelicata"/>
          <w:rFonts w:ascii="Times New Roman" w:hAnsi="Times New Roman" w:cs="Times New Roman"/>
          <w:i w:val="0"/>
          <w:color w:val="auto"/>
          <w:sz w:val="28"/>
          <w:szCs w:val="24"/>
        </w:rPr>
        <w:t>, che non sempre produce effetti nell’ordinamento generale</w:t>
      </w:r>
      <w:r w:rsidR="00D83390" w:rsidRPr="00B77149">
        <w:rPr>
          <w:rStyle w:val="Enfasidelicata"/>
          <w:rFonts w:ascii="Times New Roman" w:hAnsi="Times New Roman" w:cs="Times New Roman"/>
          <w:i w:val="0"/>
          <w:color w:val="auto"/>
          <w:sz w:val="28"/>
          <w:szCs w:val="24"/>
        </w:rPr>
        <w:t>. Per le norme interne si esclude</w:t>
      </w:r>
      <w:r w:rsidRPr="00B77149">
        <w:rPr>
          <w:rStyle w:val="Enfasidelicata"/>
          <w:rFonts w:ascii="Times New Roman" w:hAnsi="Times New Roman" w:cs="Times New Roman"/>
          <w:i w:val="0"/>
          <w:color w:val="auto"/>
          <w:sz w:val="28"/>
          <w:szCs w:val="24"/>
        </w:rPr>
        <w:t xml:space="preserve"> la possibilità di ricorrere per Cassazione </w:t>
      </w:r>
      <w:r w:rsidR="008E739D" w:rsidRPr="00B77149">
        <w:rPr>
          <w:rStyle w:val="Enfasidelicata"/>
          <w:rFonts w:ascii="Times New Roman" w:hAnsi="Times New Roman" w:cs="Times New Roman"/>
          <w:i w:val="0"/>
          <w:color w:val="auto"/>
          <w:sz w:val="28"/>
          <w:szCs w:val="24"/>
        </w:rPr>
        <w:t xml:space="preserve">a seguito della loro </w:t>
      </w:r>
      <w:r w:rsidRPr="00B77149">
        <w:rPr>
          <w:rStyle w:val="Enfasidelicata"/>
          <w:rFonts w:ascii="Times New Roman" w:hAnsi="Times New Roman" w:cs="Times New Roman"/>
          <w:i w:val="0"/>
          <w:color w:val="auto"/>
          <w:sz w:val="28"/>
          <w:szCs w:val="24"/>
        </w:rPr>
        <w:t>violazione.</w:t>
      </w:r>
    </w:p>
    <w:p w14:paraId="05CE5B3A" w14:textId="77777777" w:rsidR="00116813" w:rsidRPr="00B77149" w:rsidRDefault="00116813"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Se questi sono i caratteri propri dell’istituto dell’ordinamento sezionale, va da sé, per quanto esposto nei paragrafi precedenti, che l’organizzazione del mercato dell’energia vi rientra perfettamente.</w:t>
      </w:r>
    </w:p>
    <w:p w14:paraId="588E63CF" w14:textId="77777777" w:rsidR="006073A6" w:rsidRPr="00B77149" w:rsidRDefault="003875EE"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Infatti</w:t>
      </w:r>
      <w:r w:rsidR="008C74AB" w:rsidRPr="00B77149">
        <w:rPr>
          <w:rStyle w:val="Enfasidelicata"/>
          <w:rFonts w:ascii="Times New Roman" w:hAnsi="Times New Roman" w:cs="Times New Roman"/>
          <w:i w:val="0"/>
          <w:color w:val="auto"/>
          <w:sz w:val="28"/>
          <w:szCs w:val="24"/>
        </w:rPr>
        <w:t>:</w:t>
      </w:r>
      <w:r w:rsidRPr="00B77149">
        <w:rPr>
          <w:rStyle w:val="Enfasidelicata"/>
          <w:rFonts w:ascii="Times New Roman" w:hAnsi="Times New Roman" w:cs="Times New Roman"/>
          <w:i w:val="0"/>
          <w:color w:val="auto"/>
          <w:sz w:val="28"/>
          <w:szCs w:val="24"/>
        </w:rPr>
        <w:t xml:space="preserve"> esiste una vera e propria</w:t>
      </w:r>
      <w:r w:rsidR="00B340A9" w:rsidRPr="00B77149">
        <w:rPr>
          <w:rStyle w:val="Enfasidelicata"/>
          <w:rFonts w:ascii="Times New Roman" w:hAnsi="Times New Roman" w:cs="Times New Roman"/>
          <w:i w:val="0"/>
          <w:color w:val="auto"/>
          <w:sz w:val="28"/>
          <w:szCs w:val="24"/>
        </w:rPr>
        <w:t xml:space="preserve"> </w:t>
      </w:r>
      <w:proofErr w:type="spellStart"/>
      <w:r w:rsidRPr="00B77149">
        <w:rPr>
          <w:rStyle w:val="Enfasidelicata"/>
          <w:rFonts w:ascii="Times New Roman" w:hAnsi="Times New Roman" w:cs="Times New Roman"/>
          <w:sz w:val="28"/>
          <w:szCs w:val="24"/>
        </w:rPr>
        <w:t>governance</w:t>
      </w:r>
      <w:proofErr w:type="spellEnd"/>
      <w:r w:rsidR="00B340A9" w:rsidRPr="00B77149">
        <w:rPr>
          <w:rStyle w:val="Enfasidelicata"/>
          <w:rFonts w:ascii="Times New Roman" w:hAnsi="Times New Roman" w:cs="Times New Roman"/>
          <w:sz w:val="28"/>
          <w:szCs w:val="24"/>
        </w:rPr>
        <w:t xml:space="preserve"> </w:t>
      </w:r>
      <w:r w:rsidRPr="00B77149">
        <w:rPr>
          <w:rStyle w:val="Enfasidelicata"/>
          <w:rFonts w:ascii="Times New Roman" w:hAnsi="Times New Roman" w:cs="Times New Roman"/>
          <w:i w:val="0"/>
          <w:color w:val="auto"/>
          <w:sz w:val="28"/>
          <w:szCs w:val="24"/>
        </w:rPr>
        <w:t xml:space="preserve">in capo ai poteri pubblici; la particolarità del bene energia e la indefettibile presenza della rete in cui l’energia si innerva conformano schemi particolari dell’attività imprenditoriale; l’immissione nell’ordinamento avviene attraverso gli strumenti, sopra ricordati, delle concessioni e delle autorizzazioni; il controllo è di tipo programmatico e generale, e a questi fini è irrilevante che esso venga svolto anche con il coinvolgimento di autorità </w:t>
      </w:r>
      <w:r w:rsidR="00D03E35" w:rsidRPr="00B77149">
        <w:rPr>
          <w:rStyle w:val="Enfasidelicata"/>
          <w:rFonts w:ascii="Times New Roman" w:hAnsi="Times New Roman" w:cs="Times New Roman"/>
          <w:i w:val="0"/>
          <w:color w:val="auto"/>
          <w:sz w:val="28"/>
          <w:szCs w:val="24"/>
        </w:rPr>
        <w:t>europee</w:t>
      </w:r>
      <w:r w:rsidRPr="00B77149">
        <w:rPr>
          <w:rStyle w:val="Enfasidelicata"/>
          <w:rFonts w:ascii="Times New Roman" w:hAnsi="Times New Roman" w:cs="Times New Roman"/>
          <w:i w:val="0"/>
          <w:color w:val="auto"/>
          <w:sz w:val="28"/>
          <w:szCs w:val="24"/>
        </w:rPr>
        <w:t>.</w:t>
      </w:r>
    </w:p>
    <w:p w14:paraId="6997EEB0" w14:textId="4C9AFDC7" w:rsidR="00FA7048" w:rsidRPr="00B77149" w:rsidRDefault="00FA7048"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Con il presente studio si è voluto semplicemente dimostrare che la classificazione dell’energia tra gli esempi più vistosi di ordinamento sezionale già di per sé fa del diritto che lo governa una scienza autonoma</w:t>
      </w:r>
      <w:r w:rsidR="00A90A6D" w:rsidRPr="00B77149">
        <w:rPr>
          <w:rStyle w:val="Enfasidelicata"/>
          <w:rFonts w:ascii="Times New Roman" w:hAnsi="Times New Roman" w:cs="Times New Roman"/>
          <w:i w:val="0"/>
          <w:color w:val="auto"/>
          <w:sz w:val="28"/>
          <w:szCs w:val="24"/>
        </w:rPr>
        <w:t>, che prende in prestito strumenti del diritto privato e del diritto amministrativo</w:t>
      </w:r>
      <w:r w:rsidRPr="00B77149">
        <w:rPr>
          <w:rStyle w:val="Enfasidelicata"/>
          <w:rFonts w:ascii="Times New Roman" w:hAnsi="Times New Roman" w:cs="Times New Roman"/>
          <w:i w:val="0"/>
          <w:color w:val="auto"/>
          <w:sz w:val="28"/>
          <w:szCs w:val="24"/>
        </w:rPr>
        <w:t>.</w:t>
      </w:r>
      <w:r w:rsidR="00EF14C5" w:rsidRPr="00B77149">
        <w:rPr>
          <w:rStyle w:val="Enfasidelicata"/>
          <w:rFonts w:ascii="Times New Roman" w:hAnsi="Times New Roman" w:cs="Times New Roman"/>
          <w:i w:val="0"/>
          <w:color w:val="auto"/>
          <w:sz w:val="28"/>
          <w:szCs w:val="24"/>
        </w:rPr>
        <w:t xml:space="preserve"> </w:t>
      </w:r>
      <w:r w:rsidRPr="00B77149">
        <w:rPr>
          <w:rStyle w:val="Enfasidelicata"/>
          <w:rFonts w:ascii="Times New Roman" w:hAnsi="Times New Roman" w:cs="Times New Roman"/>
          <w:i w:val="0"/>
          <w:color w:val="auto"/>
          <w:sz w:val="28"/>
          <w:szCs w:val="24"/>
        </w:rPr>
        <w:t>Tuttavia</w:t>
      </w:r>
      <w:r w:rsidR="00A90A6D" w:rsidRPr="00B77149">
        <w:rPr>
          <w:rStyle w:val="Enfasidelicata"/>
          <w:rFonts w:ascii="Times New Roman" w:hAnsi="Times New Roman" w:cs="Times New Roman"/>
          <w:i w:val="0"/>
          <w:color w:val="auto"/>
          <w:sz w:val="28"/>
          <w:szCs w:val="24"/>
        </w:rPr>
        <w:t xml:space="preserve"> non bisogna trascurare il fatto che essa si fonda sulla specificità dei beni che stanno alla base della particolare disciplina, ossia il bene energia e il bene rete.</w:t>
      </w:r>
      <w:r w:rsidRPr="00B77149">
        <w:rPr>
          <w:rStyle w:val="Enfasidelicata"/>
          <w:rFonts w:ascii="Times New Roman" w:hAnsi="Times New Roman" w:cs="Times New Roman"/>
          <w:i w:val="0"/>
          <w:color w:val="auto"/>
          <w:sz w:val="28"/>
          <w:szCs w:val="24"/>
        </w:rPr>
        <w:t xml:space="preserve"> </w:t>
      </w:r>
    </w:p>
    <w:p w14:paraId="04ACC4C3" w14:textId="77777777" w:rsidR="001C247B" w:rsidRPr="00B77149" w:rsidRDefault="001C247B"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 xml:space="preserve">Prima di concludere la nostra disamina occorre riprendere quanto si osservava nel paragrafo iniziale </w:t>
      </w:r>
      <w:r w:rsidR="008C74AB" w:rsidRPr="00B77149">
        <w:rPr>
          <w:rStyle w:val="Enfasidelicata"/>
          <w:rFonts w:ascii="Times New Roman" w:hAnsi="Times New Roman" w:cs="Times New Roman"/>
          <w:i w:val="0"/>
          <w:color w:val="auto"/>
          <w:sz w:val="28"/>
          <w:szCs w:val="24"/>
        </w:rPr>
        <w:t xml:space="preserve">a proposito del diritto della navigazione </w:t>
      </w:r>
      <w:r w:rsidRPr="00B77149">
        <w:rPr>
          <w:rStyle w:val="Enfasidelicata"/>
          <w:rFonts w:ascii="Times New Roman" w:hAnsi="Times New Roman" w:cs="Times New Roman"/>
          <w:i w:val="0"/>
          <w:color w:val="auto"/>
          <w:sz w:val="28"/>
          <w:szCs w:val="24"/>
        </w:rPr>
        <w:t>e degli altri diritti autonomi.</w:t>
      </w:r>
    </w:p>
    <w:p w14:paraId="730512C0" w14:textId="5D992C49" w:rsidR="001C247B" w:rsidRPr="00B77149" w:rsidRDefault="001C247B"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L’ordinamento sezionale dell’energia non</w:t>
      </w:r>
      <w:r w:rsidR="00C132A8" w:rsidRPr="00B77149">
        <w:rPr>
          <w:rStyle w:val="Enfasidelicata"/>
          <w:rFonts w:ascii="Times New Roman" w:hAnsi="Times New Roman" w:cs="Times New Roman"/>
          <w:i w:val="0"/>
          <w:color w:val="auto"/>
          <w:sz w:val="28"/>
          <w:szCs w:val="24"/>
        </w:rPr>
        <w:t xml:space="preserve"> </w:t>
      </w:r>
      <w:r w:rsidRPr="00B77149">
        <w:rPr>
          <w:rStyle w:val="Enfasidelicata"/>
          <w:rFonts w:ascii="Times New Roman" w:hAnsi="Times New Roman" w:cs="Times New Roman"/>
          <w:i w:val="0"/>
          <w:color w:val="auto"/>
          <w:sz w:val="28"/>
          <w:szCs w:val="24"/>
        </w:rPr>
        <w:t>ha niente a che vedere con il ‘particolarismo’ propugnato agli inizi del secolo scorso dalla dottrina francese</w:t>
      </w:r>
      <w:r w:rsidR="00C132A8" w:rsidRPr="00B77149">
        <w:rPr>
          <w:rStyle w:val="Enfasidelicata"/>
          <w:rFonts w:ascii="Times New Roman" w:hAnsi="Times New Roman" w:cs="Times New Roman"/>
          <w:i w:val="0"/>
          <w:color w:val="auto"/>
          <w:sz w:val="28"/>
          <w:szCs w:val="24"/>
        </w:rPr>
        <w:t xml:space="preserve">, ossia esso non è separato dagli ordinamenti generali del diritto privato e del diritto amministrativo. Anzi esso utilizza indifferentemente lo strumentario dell’uno e dell’altro, a seconda della convenienza e della necessità giuridica. Quindi non ha molto senso collocarlo nell’una o nell’altra grande disciplina, in quanto entrambe </w:t>
      </w:r>
      <w:r w:rsidR="00C132A8" w:rsidRPr="00B77149">
        <w:rPr>
          <w:rStyle w:val="Enfasidelicata"/>
          <w:rFonts w:ascii="Times New Roman" w:hAnsi="Times New Roman" w:cs="Times New Roman"/>
          <w:i w:val="0"/>
          <w:color w:val="auto"/>
          <w:sz w:val="28"/>
          <w:szCs w:val="24"/>
        </w:rPr>
        <w:lastRenderedPageBreak/>
        <w:t>lo alimentano.</w:t>
      </w:r>
      <w:r w:rsidR="00061FAE" w:rsidRPr="00B77149">
        <w:rPr>
          <w:rStyle w:val="Enfasidelicata"/>
          <w:rFonts w:ascii="Times New Roman" w:hAnsi="Times New Roman" w:cs="Times New Roman"/>
          <w:i w:val="0"/>
          <w:color w:val="auto"/>
          <w:sz w:val="28"/>
          <w:szCs w:val="24"/>
        </w:rPr>
        <w:t xml:space="preserve"> Anzi il diritto dell’energia costituisce l’ulteriore riprova che b</w:t>
      </w:r>
      <w:r w:rsidR="00C132A8" w:rsidRPr="00B77149">
        <w:rPr>
          <w:rStyle w:val="Enfasidelicata"/>
          <w:rFonts w:ascii="Times New Roman" w:hAnsi="Times New Roman" w:cs="Times New Roman"/>
          <w:i w:val="0"/>
          <w:color w:val="auto"/>
          <w:sz w:val="28"/>
          <w:szCs w:val="24"/>
        </w:rPr>
        <w:t>isogna finalmente abbandonare la visione dico</w:t>
      </w:r>
      <w:r w:rsidR="00530F20" w:rsidRPr="00B77149">
        <w:rPr>
          <w:rStyle w:val="Enfasidelicata"/>
          <w:rFonts w:ascii="Times New Roman" w:hAnsi="Times New Roman" w:cs="Times New Roman"/>
          <w:i w:val="0"/>
          <w:color w:val="auto"/>
          <w:sz w:val="28"/>
          <w:szCs w:val="24"/>
        </w:rPr>
        <w:t>tomica</w:t>
      </w:r>
      <w:r w:rsidR="00C132A8" w:rsidRPr="00B77149">
        <w:rPr>
          <w:rStyle w:val="Enfasidelicata"/>
          <w:rFonts w:ascii="Times New Roman" w:hAnsi="Times New Roman" w:cs="Times New Roman"/>
          <w:i w:val="0"/>
          <w:color w:val="auto"/>
          <w:sz w:val="28"/>
          <w:szCs w:val="24"/>
        </w:rPr>
        <w:t xml:space="preserve"> e approdare</w:t>
      </w:r>
      <w:r w:rsidR="00061FAE" w:rsidRPr="00B77149">
        <w:rPr>
          <w:rStyle w:val="Enfasidelicata"/>
          <w:rFonts w:ascii="Times New Roman" w:hAnsi="Times New Roman" w:cs="Times New Roman"/>
          <w:i w:val="0"/>
          <w:color w:val="auto"/>
          <w:sz w:val="28"/>
          <w:szCs w:val="24"/>
        </w:rPr>
        <w:t xml:space="preserve"> ad una concezione</w:t>
      </w:r>
      <w:r w:rsidR="00C132A8" w:rsidRPr="00B77149">
        <w:rPr>
          <w:rStyle w:val="Enfasidelicata"/>
          <w:rFonts w:ascii="Times New Roman" w:hAnsi="Times New Roman" w:cs="Times New Roman"/>
          <w:i w:val="0"/>
          <w:color w:val="auto"/>
          <w:sz w:val="28"/>
          <w:szCs w:val="24"/>
        </w:rPr>
        <w:t xml:space="preserve"> integrata dei due sistemi giuridici</w:t>
      </w:r>
      <w:r w:rsidR="0055158D" w:rsidRPr="00B77149">
        <w:rPr>
          <w:rStyle w:val="Rimandonotaapidipagina"/>
          <w:rFonts w:ascii="Times New Roman" w:hAnsi="Times New Roman" w:cs="Times New Roman"/>
          <w:iCs/>
          <w:sz w:val="28"/>
          <w:szCs w:val="24"/>
        </w:rPr>
        <w:footnoteReference w:id="21"/>
      </w:r>
      <w:r w:rsidR="00C132A8" w:rsidRPr="00B77149">
        <w:rPr>
          <w:rStyle w:val="Enfasidelicata"/>
          <w:rFonts w:ascii="Times New Roman" w:hAnsi="Times New Roman" w:cs="Times New Roman"/>
          <w:i w:val="0"/>
          <w:color w:val="auto"/>
          <w:sz w:val="28"/>
          <w:szCs w:val="24"/>
        </w:rPr>
        <w:t>.</w:t>
      </w:r>
    </w:p>
    <w:p w14:paraId="24AD4C82" w14:textId="71068C10" w:rsidR="0063366A" w:rsidRPr="00B77149" w:rsidRDefault="00B340A9"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Quanto al tema</w:t>
      </w:r>
      <w:r w:rsidR="00C132A8" w:rsidRPr="00B77149">
        <w:rPr>
          <w:rStyle w:val="Enfasidelicata"/>
          <w:rFonts w:ascii="Times New Roman" w:hAnsi="Times New Roman" w:cs="Times New Roman"/>
          <w:i w:val="0"/>
          <w:color w:val="auto"/>
          <w:sz w:val="28"/>
          <w:szCs w:val="24"/>
        </w:rPr>
        <w:t xml:space="preserve"> se dall’ordinamento particolare </w:t>
      </w:r>
      <w:r w:rsidR="00061FAE" w:rsidRPr="00B77149">
        <w:rPr>
          <w:rStyle w:val="Enfasidelicata"/>
          <w:rFonts w:ascii="Times New Roman" w:hAnsi="Times New Roman" w:cs="Times New Roman"/>
          <w:i w:val="0"/>
          <w:color w:val="auto"/>
          <w:sz w:val="28"/>
          <w:szCs w:val="24"/>
        </w:rPr>
        <w:t>è</w:t>
      </w:r>
      <w:r w:rsidR="00C132A8" w:rsidRPr="00B77149">
        <w:rPr>
          <w:rStyle w:val="Enfasidelicata"/>
          <w:rFonts w:ascii="Times New Roman" w:hAnsi="Times New Roman" w:cs="Times New Roman"/>
          <w:i w:val="0"/>
          <w:color w:val="auto"/>
          <w:sz w:val="28"/>
          <w:szCs w:val="24"/>
        </w:rPr>
        <w:t xml:space="preserve"> possibile espungere principi e regole particolari, è sufficiente ricordare che vi sono stati dei tentativi in tal senso nella dottrina più recente</w:t>
      </w:r>
      <w:r w:rsidR="0055158D" w:rsidRPr="00B77149">
        <w:rPr>
          <w:rStyle w:val="Rimandonotaapidipagina"/>
          <w:rFonts w:ascii="Times New Roman" w:hAnsi="Times New Roman" w:cs="Times New Roman"/>
          <w:iCs/>
          <w:sz w:val="28"/>
          <w:szCs w:val="24"/>
        </w:rPr>
        <w:footnoteReference w:id="22"/>
      </w:r>
      <w:r w:rsidR="00C132A8" w:rsidRPr="00B77149">
        <w:rPr>
          <w:rStyle w:val="Enfasidelicata"/>
          <w:rFonts w:ascii="Times New Roman" w:hAnsi="Times New Roman" w:cs="Times New Roman"/>
          <w:i w:val="0"/>
          <w:color w:val="auto"/>
          <w:sz w:val="28"/>
          <w:szCs w:val="24"/>
        </w:rPr>
        <w:t>.</w:t>
      </w:r>
      <w:r w:rsidR="00061FAE" w:rsidRPr="00B77149">
        <w:rPr>
          <w:rStyle w:val="Enfasidelicata"/>
          <w:rFonts w:ascii="Times New Roman" w:hAnsi="Times New Roman" w:cs="Times New Roman"/>
          <w:i w:val="0"/>
          <w:color w:val="auto"/>
          <w:sz w:val="28"/>
          <w:szCs w:val="24"/>
        </w:rPr>
        <w:t xml:space="preserve"> Essi sono stati individuati nel</w:t>
      </w:r>
      <w:r w:rsidR="00F16DC6" w:rsidRPr="00B77149">
        <w:rPr>
          <w:rStyle w:val="Enfasidelicata"/>
          <w:rFonts w:ascii="Times New Roman" w:hAnsi="Times New Roman" w:cs="Times New Roman"/>
          <w:i w:val="0"/>
          <w:color w:val="auto"/>
          <w:sz w:val="28"/>
          <w:szCs w:val="24"/>
        </w:rPr>
        <w:t xml:space="preserve"> principio della giustizia </w:t>
      </w:r>
      <w:r w:rsidR="00061FAE" w:rsidRPr="00B77149">
        <w:rPr>
          <w:rStyle w:val="Enfasidelicata"/>
          <w:rFonts w:ascii="Times New Roman" w:hAnsi="Times New Roman" w:cs="Times New Roman"/>
          <w:i w:val="0"/>
          <w:color w:val="auto"/>
          <w:sz w:val="28"/>
          <w:szCs w:val="24"/>
        </w:rPr>
        <w:t>energetica</w:t>
      </w:r>
      <w:r w:rsidR="00F16DC6" w:rsidRPr="00B77149">
        <w:rPr>
          <w:rStyle w:val="Enfasidelicata"/>
          <w:rFonts w:ascii="Times New Roman" w:hAnsi="Times New Roman" w:cs="Times New Roman"/>
          <w:i w:val="0"/>
          <w:color w:val="auto"/>
          <w:sz w:val="28"/>
          <w:szCs w:val="24"/>
        </w:rPr>
        <w:t>, ossia un sistema globale di regole e principi in grado di distribui</w:t>
      </w:r>
      <w:r w:rsidR="00530F20" w:rsidRPr="00B77149">
        <w:rPr>
          <w:rStyle w:val="Enfasidelicata"/>
          <w:rFonts w:ascii="Times New Roman" w:hAnsi="Times New Roman" w:cs="Times New Roman"/>
          <w:i w:val="0"/>
          <w:color w:val="auto"/>
          <w:sz w:val="28"/>
          <w:szCs w:val="24"/>
        </w:rPr>
        <w:t xml:space="preserve">re equamente sia i benefici sia </w:t>
      </w:r>
      <w:r w:rsidR="00F16DC6" w:rsidRPr="00B77149">
        <w:rPr>
          <w:rStyle w:val="Enfasidelicata"/>
          <w:rFonts w:ascii="Times New Roman" w:hAnsi="Times New Roman" w:cs="Times New Roman"/>
          <w:i w:val="0"/>
          <w:color w:val="auto"/>
          <w:sz w:val="28"/>
          <w:szCs w:val="24"/>
        </w:rPr>
        <w:t xml:space="preserve">i costi dei servizi energetici con l’adozione di decisioni più rappresentative e imparziali possibili; il principio della sovranità sulle risorse energetiche; l’accesso ai servizi; l’uso prudenziale e sostenibile delle risorse naturali; la salvaguardia dell’ambiente e della salute umana; il combattimento del cambiamento climatico; la sicurezza energetica e l’affidabilità; il principio della resilienza, ossia un equilibrio non statico ma </w:t>
      </w:r>
      <w:r w:rsidR="00530F20" w:rsidRPr="00B77149">
        <w:rPr>
          <w:rStyle w:val="Enfasidelicata"/>
          <w:rFonts w:ascii="Times New Roman" w:hAnsi="Times New Roman" w:cs="Times New Roman"/>
          <w:i w:val="0"/>
          <w:color w:val="auto"/>
          <w:sz w:val="28"/>
          <w:szCs w:val="24"/>
        </w:rPr>
        <w:t xml:space="preserve">di </w:t>
      </w:r>
      <w:r w:rsidR="00F16DC6" w:rsidRPr="00B77149">
        <w:rPr>
          <w:rStyle w:val="Enfasidelicata"/>
          <w:rFonts w:ascii="Times New Roman" w:hAnsi="Times New Roman" w:cs="Times New Roman"/>
          <w:i w:val="0"/>
          <w:color w:val="auto"/>
          <w:sz w:val="28"/>
          <w:szCs w:val="24"/>
        </w:rPr>
        <w:t>adatta</w:t>
      </w:r>
      <w:r w:rsidR="00530F20" w:rsidRPr="00B77149">
        <w:rPr>
          <w:rStyle w:val="Enfasidelicata"/>
          <w:rFonts w:ascii="Times New Roman" w:hAnsi="Times New Roman" w:cs="Times New Roman"/>
          <w:i w:val="0"/>
          <w:color w:val="auto"/>
          <w:sz w:val="28"/>
          <w:szCs w:val="24"/>
        </w:rPr>
        <w:t>mento</w:t>
      </w:r>
      <w:r w:rsidR="00F16DC6" w:rsidRPr="00B77149">
        <w:rPr>
          <w:rStyle w:val="Enfasidelicata"/>
          <w:rFonts w:ascii="Times New Roman" w:hAnsi="Times New Roman" w:cs="Times New Roman"/>
          <w:i w:val="0"/>
          <w:color w:val="auto"/>
          <w:sz w:val="28"/>
          <w:szCs w:val="24"/>
        </w:rPr>
        <w:t xml:space="preserve"> </w:t>
      </w:r>
      <w:r w:rsidR="00B11468" w:rsidRPr="00B77149">
        <w:rPr>
          <w:rStyle w:val="Enfasidelicata"/>
          <w:rFonts w:ascii="Times New Roman" w:hAnsi="Times New Roman" w:cs="Times New Roman"/>
          <w:i w:val="0"/>
          <w:color w:val="auto"/>
          <w:sz w:val="28"/>
          <w:szCs w:val="24"/>
        </w:rPr>
        <w:t xml:space="preserve">continuo </w:t>
      </w:r>
      <w:r w:rsidR="00F16DC6" w:rsidRPr="00B77149">
        <w:rPr>
          <w:rStyle w:val="Enfasidelicata"/>
          <w:rFonts w:ascii="Times New Roman" w:hAnsi="Times New Roman" w:cs="Times New Roman"/>
          <w:i w:val="0"/>
          <w:color w:val="auto"/>
          <w:sz w:val="28"/>
          <w:szCs w:val="24"/>
        </w:rPr>
        <w:t>che ha origine dall’estrema variabilità e interconnessione degli ecosistemi naturali.</w:t>
      </w:r>
    </w:p>
    <w:p w14:paraId="275CDB57" w14:textId="77777777" w:rsidR="00F16DC6" w:rsidRPr="00B77149" w:rsidRDefault="0063366A"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T</w:t>
      </w:r>
      <w:r w:rsidR="00F16DC6" w:rsidRPr="00B77149">
        <w:rPr>
          <w:rStyle w:val="Enfasidelicata"/>
          <w:rFonts w:ascii="Times New Roman" w:hAnsi="Times New Roman" w:cs="Times New Roman"/>
          <w:i w:val="0"/>
          <w:color w:val="auto"/>
          <w:sz w:val="28"/>
          <w:szCs w:val="24"/>
        </w:rPr>
        <w:t>utti questi</w:t>
      </w:r>
      <w:r w:rsidRPr="00B77149">
        <w:rPr>
          <w:rStyle w:val="Enfasidelicata"/>
          <w:rFonts w:ascii="Times New Roman" w:hAnsi="Times New Roman" w:cs="Times New Roman"/>
          <w:i w:val="0"/>
          <w:color w:val="auto"/>
          <w:sz w:val="28"/>
          <w:szCs w:val="24"/>
        </w:rPr>
        <w:t xml:space="preserve"> principi</w:t>
      </w:r>
      <w:r w:rsidR="00530F20" w:rsidRPr="00B77149">
        <w:rPr>
          <w:rStyle w:val="Enfasidelicata"/>
          <w:rFonts w:ascii="Times New Roman" w:hAnsi="Times New Roman" w:cs="Times New Roman"/>
          <w:i w:val="0"/>
          <w:color w:val="auto"/>
          <w:sz w:val="28"/>
          <w:szCs w:val="24"/>
        </w:rPr>
        <w:t xml:space="preserve"> sono coerenti con il sistema delineato e</w:t>
      </w:r>
      <w:r w:rsidR="00F16DC6" w:rsidRPr="00B77149">
        <w:rPr>
          <w:rStyle w:val="Enfasidelicata"/>
          <w:rFonts w:ascii="Times New Roman" w:hAnsi="Times New Roman" w:cs="Times New Roman"/>
          <w:i w:val="0"/>
          <w:color w:val="auto"/>
          <w:sz w:val="28"/>
          <w:szCs w:val="24"/>
        </w:rPr>
        <w:t xml:space="preserve"> possono essere accettati, anche se essi</w:t>
      </w:r>
      <w:r w:rsidR="00530F20" w:rsidRPr="00B77149">
        <w:rPr>
          <w:rStyle w:val="Enfasidelicata"/>
          <w:rFonts w:ascii="Times New Roman" w:hAnsi="Times New Roman" w:cs="Times New Roman"/>
          <w:i w:val="0"/>
          <w:color w:val="auto"/>
          <w:sz w:val="28"/>
          <w:szCs w:val="24"/>
        </w:rPr>
        <w:t xml:space="preserve"> attendono di essere</w:t>
      </w:r>
      <w:r w:rsidR="00F16DC6" w:rsidRPr="00B77149">
        <w:rPr>
          <w:rStyle w:val="Enfasidelicata"/>
          <w:rFonts w:ascii="Times New Roman" w:hAnsi="Times New Roman" w:cs="Times New Roman"/>
          <w:i w:val="0"/>
          <w:color w:val="auto"/>
          <w:sz w:val="28"/>
          <w:szCs w:val="24"/>
        </w:rPr>
        <w:t xml:space="preserve"> adeguatamen</w:t>
      </w:r>
      <w:r w:rsidR="000301E1" w:rsidRPr="00B77149">
        <w:rPr>
          <w:rStyle w:val="Enfasidelicata"/>
          <w:rFonts w:ascii="Times New Roman" w:hAnsi="Times New Roman" w:cs="Times New Roman"/>
          <w:i w:val="0"/>
          <w:color w:val="auto"/>
          <w:sz w:val="28"/>
          <w:szCs w:val="24"/>
        </w:rPr>
        <w:t>te giustificati dall’analisi delle singole norme disseminate negli</w:t>
      </w:r>
      <w:r w:rsidR="00F16DC6" w:rsidRPr="00B77149">
        <w:rPr>
          <w:rStyle w:val="Enfasidelicata"/>
          <w:rFonts w:ascii="Times New Roman" w:hAnsi="Times New Roman" w:cs="Times New Roman"/>
          <w:i w:val="0"/>
          <w:color w:val="auto"/>
          <w:sz w:val="28"/>
          <w:szCs w:val="24"/>
        </w:rPr>
        <w:t xml:space="preserve"> ordinamenti giuridici</w:t>
      </w:r>
      <w:r w:rsidR="000301E1" w:rsidRPr="00B77149">
        <w:rPr>
          <w:rStyle w:val="Enfasidelicata"/>
          <w:rFonts w:ascii="Times New Roman" w:hAnsi="Times New Roman" w:cs="Times New Roman"/>
          <w:i w:val="0"/>
          <w:color w:val="auto"/>
          <w:sz w:val="28"/>
          <w:szCs w:val="24"/>
        </w:rPr>
        <w:t xml:space="preserve"> multilivello</w:t>
      </w:r>
      <w:r w:rsidR="00F16DC6" w:rsidRPr="00B77149">
        <w:rPr>
          <w:rStyle w:val="Enfasidelicata"/>
          <w:rFonts w:ascii="Times New Roman" w:hAnsi="Times New Roman" w:cs="Times New Roman"/>
          <w:i w:val="0"/>
          <w:color w:val="auto"/>
          <w:sz w:val="28"/>
          <w:szCs w:val="24"/>
        </w:rPr>
        <w:t xml:space="preserve"> in materia, onde evitare che si traducano in opzioni filosofiche, morali o politiche.</w:t>
      </w:r>
    </w:p>
    <w:p w14:paraId="47BE7436" w14:textId="1210F5B9" w:rsidR="00176F07" w:rsidRPr="00B77149" w:rsidRDefault="000301E1" w:rsidP="001575E0">
      <w:pPr>
        <w:spacing w:after="0" w:line="240" w:lineRule="auto"/>
        <w:ind w:firstLine="284"/>
        <w:jc w:val="both"/>
        <w:rPr>
          <w:rStyle w:val="Enfasidelicata"/>
          <w:rFonts w:ascii="Times New Roman" w:hAnsi="Times New Roman" w:cs="Times New Roman"/>
          <w:i w:val="0"/>
          <w:color w:val="auto"/>
          <w:sz w:val="28"/>
          <w:szCs w:val="24"/>
        </w:rPr>
      </w:pPr>
      <w:r w:rsidRPr="00B77149">
        <w:rPr>
          <w:rStyle w:val="Enfasidelicata"/>
          <w:rFonts w:ascii="Times New Roman" w:hAnsi="Times New Roman" w:cs="Times New Roman"/>
          <w:i w:val="0"/>
          <w:color w:val="auto"/>
          <w:sz w:val="28"/>
          <w:szCs w:val="24"/>
        </w:rPr>
        <w:t>Certamente l’assenza di un codice o di un testo unico che raggruppi e razionalizzi</w:t>
      </w:r>
      <w:r w:rsidR="00B11468" w:rsidRPr="00B77149">
        <w:rPr>
          <w:rStyle w:val="Enfasidelicata"/>
          <w:rFonts w:ascii="Times New Roman" w:hAnsi="Times New Roman" w:cs="Times New Roman"/>
          <w:i w:val="0"/>
          <w:color w:val="auto"/>
          <w:sz w:val="28"/>
          <w:szCs w:val="24"/>
        </w:rPr>
        <w:t>, alla luce di precisi principi generali,</w:t>
      </w:r>
      <w:r w:rsidRPr="00B77149">
        <w:rPr>
          <w:rStyle w:val="Enfasidelicata"/>
          <w:rFonts w:ascii="Times New Roman" w:hAnsi="Times New Roman" w:cs="Times New Roman"/>
          <w:i w:val="0"/>
          <w:color w:val="auto"/>
          <w:sz w:val="28"/>
          <w:szCs w:val="24"/>
        </w:rPr>
        <w:t xml:space="preserve"> le tante norme in materia non facilita il compito.</w:t>
      </w:r>
    </w:p>
    <w:p w14:paraId="2FAF7E65" w14:textId="27FE118A" w:rsidR="00815891" w:rsidRPr="00B77149" w:rsidRDefault="00815891" w:rsidP="001575E0">
      <w:pPr>
        <w:spacing w:after="0" w:line="240" w:lineRule="auto"/>
        <w:ind w:firstLine="284"/>
        <w:jc w:val="both"/>
        <w:rPr>
          <w:rStyle w:val="Enfasidelicata"/>
          <w:rFonts w:ascii="Times New Roman" w:hAnsi="Times New Roman" w:cs="Times New Roman"/>
          <w:i w:val="0"/>
          <w:color w:val="auto"/>
          <w:sz w:val="28"/>
          <w:szCs w:val="24"/>
        </w:rPr>
      </w:pPr>
    </w:p>
    <w:p w14:paraId="58F3B006" w14:textId="0270F9A6" w:rsidR="00815891" w:rsidRPr="00B77149" w:rsidRDefault="00B77149" w:rsidP="00B77149">
      <w:pPr>
        <w:pStyle w:val="Citazione"/>
        <w:ind w:left="0"/>
        <w:jc w:val="left"/>
        <w:rPr>
          <w:rStyle w:val="Enfasidelicata"/>
          <w:rFonts w:ascii="Times New Roman" w:hAnsi="Times New Roman" w:cs="Times New Roman"/>
          <w:i/>
          <w:color w:val="auto"/>
          <w:sz w:val="28"/>
          <w:szCs w:val="24"/>
        </w:rPr>
      </w:pPr>
      <w:r>
        <w:rPr>
          <w:rStyle w:val="Enfasidelicata"/>
          <w:rFonts w:ascii="Times New Roman" w:hAnsi="Times New Roman" w:cs="Times New Roman"/>
          <w:i/>
          <w:color w:val="auto"/>
          <w:sz w:val="28"/>
          <w:szCs w:val="24"/>
        </w:rPr>
        <w:t xml:space="preserve">                                                </w:t>
      </w:r>
      <w:r w:rsidR="00815891" w:rsidRPr="00B77149">
        <w:rPr>
          <w:rStyle w:val="Enfasidelicata"/>
          <w:rFonts w:ascii="Times New Roman" w:hAnsi="Times New Roman" w:cs="Times New Roman"/>
          <w:i/>
          <w:color w:val="auto"/>
          <w:sz w:val="28"/>
          <w:szCs w:val="24"/>
        </w:rPr>
        <w:t>Prof. Gianpiero Paolo Cirillo</w:t>
      </w:r>
    </w:p>
    <w:p w14:paraId="2426AE43" w14:textId="25F8B4E0" w:rsidR="00815891" w:rsidRPr="00B77149" w:rsidRDefault="00815891" w:rsidP="00815891">
      <w:pPr>
        <w:pStyle w:val="Citazione"/>
        <w:rPr>
          <w:rStyle w:val="Enfasidelicata"/>
          <w:rFonts w:ascii="Times New Roman" w:hAnsi="Times New Roman" w:cs="Times New Roman"/>
          <w:i/>
          <w:color w:val="auto"/>
          <w:sz w:val="28"/>
          <w:szCs w:val="24"/>
        </w:rPr>
      </w:pPr>
      <w:r w:rsidRPr="00B77149">
        <w:rPr>
          <w:rStyle w:val="Enfasidelicata"/>
          <w:rFonts w:ascii="Times New Roman" w:hAnsi="Times New Roman" w:cs="Times New Roman"/>
          <w:i/>
          <w:color w:val="auto"/>
          <w:sz w:val="28"/>
          <w:szCs w:val="24"/>
        </w:rPr>
        <w:t xml:space="preserve">     </w:t>
      </w:r>
      <w:r w:rsidR="00B77149">
        <w:rPr>
          <w:rStyle w:val="Enfasidelicata"/>
          <w:rFonts w:ascii="Times New Roman" w:hAnsi="Times New Roman" w:cs="Times New Roman"/>
          <w:i/>
          <w:color w:val="auto"/>
          <w:sz w:val="28"/>
          <w:szCs w:val="24"/>
        </w:rPr>
        <w:t xml:space="preserve">             </w:t>
      </w:r>
      <w:r w:rsidRPr="00B77149">
        <w:rPr>
          <w:rStyle w:val="Enfasidelicata"/>
          <w:rFonts w:ascii="Times New Roman" w:hAnsi="Times New Roman" w:cs="Times New Roman"/>
          <w:i/>
          <w:color w:val="auto"/>
          <w:sz w:val="28"/>
          <w:szCs w:val="24"/>
        </w:rPr>
        <w:t xml:space="preserve">       Già presidente di sezione del Consiglio di Stato</w:t>
      </w:r>
    </w:p>
    <w:p w14:paraId="0DB0E3CF" w14:textId="5B5B3343" w:rsidR="00815891" w:rsidRPr="00B77149" w:rsidRDefault="00815891" w:rsidP="00815891">
      <w:pPr>
        <w:rPr>
          <w:sz w:val="24"/>
        </w:rPr>
      </w:pPr>
    </w:p>
    <w:p w14:paraId="54CA67A8" w14:textId="716DD8AC" w:rsidR="00815891" w:rsidRPr="00B77149" w:rsidRDefault="00815891" w:rsidP="00815891">
      <w:pPr>
        <w:rPr>
          <w:sz w:val="24"/>
        </w:rPr>
      </w:pPr>
      <w:r w:rsidRPr="00B77149">
        <w:rPr>
          <w:sz w:val="24"/>
        </w:rPr>
        <w:t>*</w:t>
      </w:r>
      <w:r w:rsidR="00B77149">
        <w:rPr>
          <w:sz w:val="24"/>
        </w:rPr>
        <w:t>Il s</w:t>
      </w:r>
      <w:r w:rsidRPr="00B77149">
        <w:rPr>
          <w:sz w:val="24"/>
        </w:rPr>
        <w:t>aggio</w:t>
      </w:r>
      <w:r w:rsidR="00B77149">
        <w:rPr>
          <w:sz w:val="24"/>
        </w:rPr>
        <w:t xml:space="preserve"> è</w:t>
      </w:r>
      <w:r w:rsidRPr="00B77149">
        <w:rPr>
          <w:sz w:val="24"/>
        </w:rPr>
        <w:t xml:space="preserve"> destinato alla pubblicazione</w:t>
      </w:r>
      <w:r w:rsidR="00016758" w:rsidRPr="00B77149">
        <w:rPr>
          <w:sz w:val="24"/>
        </w:rPr>
        <w:t xml:space="preserve"> sul primo numero</w:t>
      </w:r>
      <w:r w:rsidRPr="00B77149">
        <w:rPr>
          <w:sz w:val="24"/>
        </w:rPr>
        <w:t xml:space="preserve"> </w:t>
      </w:r>
      <w:r w:rsidR="00016758" w:rsidRPr="00B77149">
        <w:rPr>
          <w:sz w:val="24"/>
        </w:rPr>
        <w:t>de</w:t>
      </w:r>
      <w:r w:rsidR="00CC21DE">
        <w:rPr>
          <w:sz w:val="24"/>
        </w:rPr>
        <w:t>lla</w:t>
      </w:r>
      <w:r w:rsidR="00B77149">
        <w:rPr>
          <w:sz w:val="24"/>
        </w:rPr>
        <w:t xml:space="preserve"> rivista</w:t>
      </w:r>
      <w:r w:rsidR="00CC21DE">
        <w:rPr>
          <w:sz w:val="24"/>
        </w:rPr>
        <w:t xml:space="preserve"> di prossima uscita</w:t>
      </w:r>
      <w:r w:rsidRPr="00B77149">
        <w:rPr>
          <w:sz w:val="24"/>
        </w:rPr>
        <w:t xml:space="preserve">, </w:t>
      </w:r>
      <w:r w:rsidR="00016758" w:rsidRPr="00B77149">
        <w:rPr>
          <w:rStyle w:val="CitazioneCarattere"/>
          <w:sz w:val="24"/>
        </w:rPr>
        <w:t>Rivista dell’Ambiente e dell’Energia</w:t>
      </w:r>
      <w:r w:rsidR="00B77149">
        <w:rPr>
          <w:sz w:val="24"/>
        </w:rPr>
        <w:t>,</w:t>
      </w:r>
      <w:r w:rsidR="00FC25AD">
        <w:rPr>
          <w:sz w:val="24"/>
        </w:rPr>
        <w:t xml:space="preserve"> edita dalla </w:t>
      </w:r>
      <w:proofErr w:type="spellStart"/>
      <w:r w:rsidR="00FC25AD" w:rsidRPr="00FC25AD">
        <w:rPr>
          <w:rStyle w:val="CitazioneCarattere"/>
        </w:rPr>
        <w:t>Jovene</w:t>
      </w:r>
      <w:proofErr w:type="spellEnd"/>
      <w:r w:rsidR="00B77149" w:rsidRPr="00B77149">
        <w:rPr>
          <w:sz w:val="24"/>
        </w:rPr>
        <w:t xml:space="preserve"> di Napoli</w:t>
      </w:r>
      <w:r w:rsidR="00B77149">
        <w:rPr>
          <w:sz w:val="24"/>
        </w:rPr>
        <w:t>.</w:t>
      </w:r>
      <w:r w:rsidR="00016758" w:rsidRPr="00B77149">
        <w:rPr>
          <w:sz w:val="24"/>
        </w:rPr>
        <w:t xml:space="preserve"> Qui</w:t>
      </w:r>
      <w:r w:rsidR="00B77149">
        <w:rPr>
          <w:sz w:val="24"/>
        </w:rPr>
        <w:t>,</w:t>
      </w:r>
      <w:r w:rsidR="00016758" w:rsidRPr="00B77149">
        <w:rPr>
          <w:sz w:val="24"/>
        </w:rPr>
        <w:t xml:space="preserve"> per gentile concessione della direzione</w:t>
      </w:r>
      <w:r w:rsidR="00B77149">
        <w:rPr>
          <w:sz w:val="24"/>
        </w:rPr>
        <w:t>,</w:t>
      </w:r>
      <w:r w:rsidR="00016758" w:rsidRPr="00B77149">
        <w:rPr>
          <w:sz w:val="24"/>
        </w:rPr>
        <w:t xml:space="preserve"> se ne anticipa la pubblicazione.</w:t>
      </w:r>
      <w:bookmarkStart w:id="0" w:name="_GoBack"/>
      <w:bookmarkEnd w:id="0"/>
    </w:p>
    <w:sectPr w:rsidR="00815891" w:rsidRPr="00B77149" w:rsidSect="00DA3B88">
      <w:footerReference w:type="even"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DEEDE" w14:textId="77777777" w:rsidR="00CF12DF" w:rsidRDefault="00CF12DF" w:rsidP="00CD1CE8">
      <w:pPr>
        <w:spacing w:after="0" w:line="240" w:lineRule="auto"/>
      </w:pPr>
      <w:r>
        <w:separator/>
      </w:r>
    </w:p>
  </w:endnote>
  <w:endnote w:type="continuationSeparator" w:id="0">
    <w:p w14:paraId="2C5BC638" w14:textId="77777777" w:rsidR="00CF12DF" w:rsidRDefault="00CF12DF" w:rsidP="00CD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474097465"/>
      <w:docPartObj>
        <w:docPartGallery w:val="Page Numbers (Bottom of Page)"/>
        <w:docPartUnique/>
      </w:docPartObj>
    </w:sdtPr>
    <w:sdtEndPr>
      <w:rPr>
        <w:rStyle w:val="Numeropagina"/>
      </w:rPr>
    </w:sdtEndPr>
    <w:sdtContent>
      <w:p w14:paraId="6ACE772C" w14:textId="6C682DCE" w:rsidR="001575E0" w:rsidRDefault="001575E0" w:rsidP="00DA3B88">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3FA0CEB" w14:textId="77777777" w:rsidR="001575E0" w:rsidRDefault="001575E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Fonts w:ascii="Times New Roman" w:hAnsi="Times New Roman" w:cs="Times New Roman"/>
      </w:rPr>
      <w:id w:val="-1233082283"/>
      <w:docPartObj>
        <w:docPartGallery w:val="Page Numbers (Bottom of Page)"/>
        <w:docPartUnique/>
      </w:docPartObj>
    </w:sdtPr>
    <w:sdtEndPr>
      <w:rPr>
        <w:rStyle w:val="Numeropagina"/>
      </w:rPr>
    </w:sdtEndPr>
    <w:sdtContent>
      <w:p w14:paraId="6D610548" w14:textId="0D11D75B" w:rsidR="00DA3B88" w:rsidRPr="00DA3B88" w:rsidRDefault="00DA3B88" w:rsidP="005572B8">
        <w:pPr>
          <w:pStyle w:val="Pidipagina"/>
          <w:framePr w:wrap="none" w:vAnchor="text" w:hAnchor="margin" w:xAlign="center" w:y="1"/>
          <w:rPr>
            <w:rStyle w:val="Numeropagina"/>
            <w:rFonts w:ascii="Times New Roman" w:hAnsi="Times New Roman" w:cs="Times New Roman"/>
          </w:rPr>
        </w:pPr>
        <w:r w:rsidRPr="00DA3B88">
          <w:rPr>
            <w:rStyle w:val="Numeropagina"/>
            <w:rFonts w:ascii="Times New Roman" w:hAnsi="Times New Roman" w:cs="Times New Roman"/>
          </w:rPr>
          <w:fldChar w:fldCharType="begin"/>
        </w:r>
        <w:r w:rsidRPr="00DA3B88">
          <w:rPr>
            <w:rStyle w:val="Numeropagina"/>
            <w:rFonts w:ascii="Times New Roman" w:hAnsi="Times New Roman" w:cs="Times New Roman"/>
          </w:rPr>
          <w:instrText xml:space="preserve"> PAGE </w:instrText>
        </w:r>
        <w:r w:rsidRPr="00DA3B88">
          <w:rPr>
            <w:rStyle w:val="Numeropagina"/>
            <w:rFonts w:ascii="Times New Roman" w:hAnsi="Times New Roman" w:cs="Times New Roman"/>
          </w:rPr>
          <w:fldChar w:fldCharType="separate"/>
        </w:r>
        <w:r w:rsidR="00FC25AD">
          <w:rPr>
            <w:rStyle w:val="Numeropagina"/>
            <w:rFonts w:ascii="Times New Roman" w:hAnsi="Times New Roman" w:cs="Times New Roman"/>
            <w:noProof/>
          </w:rPr>
          <w:t>20</w:t>
        </w:r>
        <w:r w:rsidRPr="00DA3B88">
          <w:rPr>
            <w:rStyle w:val="Numeropagina"/>
            <w:rFonts w:ascii="Times New Roman" w:hAnsi="Times New Roman" w:cs="Times New Roman"/>
          </w:rPr>
          <w:fldChar w:fldCharType="end"/>
        </w:r>
      </w:p>
    </w:sdtContent>
  </w:sdt>
  <w:p w14:paraId="0B3E3AC3" w14:textId="77777777" w:rsidR="00DA3B88" w:rsidRPr="00DA3B88" w:rsidRDefault="00DA3B88">
    <w:pPr>
      <w:pStyle w:val="Pidipa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E8163" w14:textId="77777777" w:rsidR="00CF12DF" w:rsidRDefault="00CF12DF" w:rsidP="00CD1CE8">
      <w:pPr>
        <w:spacing w:after="0" w:line="240" w:lineRule="auto"/>
      </w:pPr>
      <w:r>
        <w:separator/>
      </w:r>
    </w:p>
  </w:footnote>
  <w:footnote w:type="continuationSeparator" w:id="0">
    <w:p w14:paraId="5DA28A70" w14:textId="77777777" w:rsidR="00CF12DF" w:rsidRDefault="00CF12DF" w:rsidP="00CD1CE8">
      <w:pPr>
        <w:spacing w:after="0" w:line="240" w:lineRule="auto"/>
      </w:pPr>
      <w:r>
        <w:continuationSeparator/>
      </w:r>
    </w:p>
  </w:footnote>
  <w:footnote w:id="1">
    <w:p w14:paraId="624F861E" w14:textId="5CEAC607" w:rsidR="007C1252" w:rsidRPr="007C1252" w:rsidRDefault="007C1252" w:rsidP="0027603E">
      <w:pPr>
        <w:pStyle w:val="Testonotaapidipagina"/>
        <w:snapToGrid w:val="0"/>
        <w:spacing w:before="120"/>
        <w:ind w:firstLine="284"/>
        <w:rPr>
          <w:rFonts w:ascii="Times New Roman" w:hAnsi="Times New Roman" w:cs="Times New Roman"/>
        </w:rPr>
      </w:pPr>
      <w:r w:rsidRPr="007C1252">
        <w:rPr>
          <w:rStyle w:val="Rimandonotaapidipagina"/>
          <w:rFonts w:ascii="Times New Roman" w:hAnsi="Times New Roman" w:cs="Times New Roman"/>
        </w:rPr>
        <w:t>*</w:t>
      </w:r>
      <w:r w:rsidRPr="007C1252">
        <w:rPr>
          <w:rFonts w:ascii="Times New Roman" w:hAnsi="Times New Roman" w:cs="Times New Roman"/>
        </w:rPr>
        <w:t xml:space="preserve"> Articolo sottoposto a </w:t>
      </w:r>
      <w:proofErr w:type="spellStart"/>
      <w:r w:rsidRPr="007C1252">
        <w:rPr>
          <w:rFonts w:ascii="Times New Roman" w:hAnsi="Times New Roman" w:cs="Times New Roman"/>
        </w:rPr>
        <w:t>referaggio</w:t>
      </w:r>
      <w:proofErr w:type="spellEnd"/>
      <w:r w:rsidRPr="007C1252">
        <w:rPr>
          <w:rFonts w:ascii="Times New Roman" w:hAnsi="Times New Roman" w:cs="Times New Roman"/>
        </w:rPr>
        <w:t>.</w:t>
      </w:r>
    </w:p>
  </w:footnote>
  <w:footnote w:id="2">
    <w:p w14:paraId="2ECE3C42" w14:textId="16E4B080"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Sul tema si veda da ultimo il bel volumetto coordinato da L. Martiniello</w:t>
      </w:r>
      <w:r w:rsidR="003008FD">
        <w:rPr>
          <w:rFonts w:ascii="Times New Roman" w:hAnsi="Times New Roman" w:cs="Times New Roman"/>
        </w:rPr>
        <w:t>,</w:t>
      </w:r>
      <w:r w:rsidRPr="00741827">
        <w:rPr>
          <w:rFonts w:ascii="Times New Roman" w:hAnsi="Times New Roman" w:cs="Times New Roman"/>
        </w:rPr>
        <w:t xml:space="preserve"> B. Giliberti e A. </w:t>
      </w:r>
      <w:proofErr w:type="spellStart"/>
      <w:r w:rsidRPr="00741827">
        <w:rPr>
          <w:rFonts w:ascii="Times New Roman" w:hAnsi="Times New Roman" w:cs="Times New Roman"/>
        </w:rPr>
        <w:t>Presciutti</w:t>
      </w:r>
      <w:proofErr w:type="spellEnd"/>
      <w:r w:rsidR="003008FD">
        <w:rPr>
          <w:rFonts w:ascii="Times New Roman" w:hAnsi="Times New Roman" w:cs="Times New Roman"/>
        </w:rPr>
        <w:t xml:space="preserve"> (a cura di),</w:t>
      </w:r>
      <w:r w:rsidRPr="00741827">
        <w:rPr>
          <w:rFonts w:ascii="Times New Roman" w:hAnsi="Times New Roman" w:cs="Times New Roman"/>
        </w:rPr>
        <w:t xml:space="preserve"> </w:t>
      </w:r>
      <w:proofErr w:type="spellStart"/>
      <w:r w:rsidRPr="003008FD">
        <w:rPr>
          <w:rFonts w:ascii="Times New Roman" w:hAnsi="Times New Roman" w:cs="Times New Roman"/>
          <w:i/>
          <w:iCs/>
        </w:rPr>
        <w:t>Parteniariato</w:t>
      </w:r>
      <w:proofErr w:type="spellEnd"/>
      <w:r w:rsidRPr="003008FD">
        <w:rPr>
          <w:rFonts w:ascii="Times New Roman" w:hAnsi="Times New Roman" w:cs="Times New Roman"/>
          <w:i/>
          <w:iCs/>
        </w:rPr>
        <w:t xml:space="preserve"> pubblico privato e comunità energetiche a trazione pubblica</w:t>
      </w:r>
      <w:r w:rsidRPr="00741827">
        <w:rPr>
          <w:rFonts w:ascii="Times New Roman" w:hAnsi="Times New Roman" w:cs="Times New Roman"/>
        </w:rPr>
        <w:t xml:space="preserve">, </w:t>
      </w:r>
      <w:proofErr w:type="spellStart"/>
      <w:r w:rsidRPr="00741827">
        <w:rPr>
          <w:rFonts w:ascii="Times New Roman" w:hAnsi="Times New Roman" w:cs="Times New Roman"/>
        </w:rPr>
        <w:t>F</w:t>
      </w:r>
      <w:r w:rsidR="003008FD">
        <w:rPr>
          <w:rFonts w:ascii="Times New Roman" w:hAnsi="Times New Roman" w:cs="Times New Roman"/>
        </w:rPr>
        <w:t>ranco</w:t>
      </w:r>
      <w:r w:rsidRPr="00741827">
        <w:rPr>
          <w:rFonts w:ascii="Times New Roman" w:hAnsi="Times New Roman" w:cs="Times New Roman"/>
        </w:rPr>
        <w:t>Angeli</w:t>
      </w:r>
      <w:proofErr w:type="spellEnd"/>
      <w:r w:rsidRPr="00741827">
        <w:rPr>
          <w:rFonts w:ascii="Times New Roman" w:hAnsi="Times New Roman" w:cs="Times New Roman"/>
        </w:rPr>
        <w:t>,</w:t>
      </w:r>
      <w:r w:rsidR="003008FD">
        <w:rPr>
          <w:rFonts w:ascii="Times New Roman" w:hAnsi="Times New Roman" w:cs="Times New Roman"/>
        </w:rPr>
        <w:t xml:space="preserve"> Milano,</w:t>
      </w:r>
      <w:r w:rsidRPr="00741827">
        <w:rPr>
          <w:rFonts w:ascii="Times New Roman" w:hAnsi="Times New Roman" w:cs="Times New Roman"/>
        </w:rPr>
        <w:t xml:space="preserve"> 2025; in particolare S. Di Cunzolo e B. </w:t>
      </w:r>
      <w:proofErr w:type="spellStart"/>
      <w:r w:rsidRPr="00741827">
        <w:rPr>
          <w:rFonts w:ascii="Times New Roman" w:hAnsi="Times New Roman" w:cs="Times New Roman"/>
        </w:rPr>
        <w:t>Ciliberti</w:t>
      </w:r>
      <w:proofErr w:type="spellEnd"/>
      <w:r w:rsidRPr="00741827">
        <w:rPr>
          <w:rFonts w:ascii="Times New Roman" w:hAnsi="Times New Roman" w:cs="Times New Roman"/>
        </w:rPr>
        <w:t xml:space="preserve">, </w:t>
      </w:r>
      <w:r w:rsidRPr="003008FD">
        <w:rPr>
          <w:rFonts w:ascii="Times New Roman" w:hAnsi="Times New Roman" w:cs="Times New Roman"/>
          <w:i/>
          <w:iCs/>
        </w:rPr>
        <w:t>CER a partecipazione pubblica: tematiche e modelli</w:t>
      </w:r>
      <w:r w:rsidRPr="00741827">
        <w:rPr>
          <w:rFonts w:ascii="Times New Roman" w:hAnsi="Times New Roman" w:cs="Times New Roman"/>
        </w:rPr>
        <w:t>,</w:t>
      </w:r>
      <w:r w:rsidR="003008FD">
        <w:rPr>
          <w:rFonts w:ascii="Times New Roman" w:hAnsi="Times New Roman" w:cs="Times New Roman"/>
        </w:rPr>
        <w:t xml:space="preserve"> ivi,</w:t>
      </w:r>
      <w:r w:rsidRPr="00741827">
        <w:rPr>
          <w:rFonts w:ascii="Times New Roman" w:hAnsi="Times New Roman" w:cs="Times New Roman"/>
        </w:rPr>
        <w:t xml:space="preserve"> p.</w:t>
      </w:r>
      <w:r w:rsidR="003008FD">
        <w:rPr>
          <w:rFonts w:ascii="Times New Roman" w:hAnsi="Times New Roman" w:cs="Times New Roman"/>
        </w:rPr>
        <w:t xml:space="preserve"> </w:t>
      </w:r>
      <w:r w:rsidRPr="00741827">
        <w:rPr>
          <w:rFonts w:ascii="Times New Roman" w:hAnsi="Times New Roman" w:cs="Times New Roman"/>
        </w:rPr>
        <w:t>75 e ss</w:t>
      </w:r>
      <w:r w:rsidR="003008FD">
        <w:rPr>
          <w:rFonts w:ascii="Times New Roman" w:hAnsi="Times New Roman" w:cs="Times New Roman"/>
        </w:rPr>
        <w:t>.</w:t>
      </w:r>
      <w:r w:rsidRPr="00741827">
        <w:rPr>
          <w:rFonts w:ascii="Times New Roman" w:hAnsi="Times New Roman" w:cs="Times New Roman"/>
        </w:rPr>
        <w:t xml:space="preserve"> </w:t>
      </w:r>
      <w:r w:rsidR="003008FD">
        <w:rPr>
          <w:rFonts w:ascii="Times New Roman" w:hAnsi="Times New Roman" w:cs="Times New Roman"/>
        </w:rPr>
        <w:t>P</w:t>
      </w:r>
      <w:r w:rsidRPr="00741827">
        <w:rPr>
          <w:rFonts w:ascii="Times New Roman" w:hAnsi="Times New Roman" w:cs="Times New Roman"/>
        </w:rPr>
        <w:t xml:space="preserve">iù in generale, A. </w:t>
      </w:r>
      <w:proofErr w:type="spellStart"/>
      <w:r w:rsidRPr="00741827">
        <w:rPr>
          <w:rFonts w:ascii="Times New Roman" w:hAnsi="Times New Roman" w:cs="Times New Roman"/>
        </w:rPr>
        <w:t>Brandonisio</w:t>
      </w:r>
      <w:proofErr w:type="spellEnd"/>
      <w:r w:rsidRPr="00741827">
        <w:rPr>
          <w:rFonts w:ascii="Times New Roman" w:hAnsi="Times New Roman" w:cs="Times New Roman"/>
        </w:rPr>
        <w:t xml:space="preserve">, </w:t>
      </w:r>
      <w:r w:rsidRPr="003008FD">
        <w:rPr>
          <w:rFonts w:ascii="Times New Roman" w:hAnsi="Times New Roman" w:cs="Times New Roman"/>
          <w:i/>
          <w:iCs/>
        </w:rPr>
        <w:t>Diritto e cambiamento climatico</w:t>
      </w:r>
      <w:r w:rsidRPr="00741827">
        <w:rPr>
          <w:rFonts w:ascii="Times New Roman" w:hAnsi="Times New Roman" w:cs="Times New Roman"/>
        </w:rPr>
        <w:t xml:space="preserve">, </w:t>
      </w:r>
      <w:r w:rsidR="003008FD">
        <w:rPr>
          <w:rFonts w:ascii="Times New Roman" w:hAnsi="Times New Roman" w:cs="Times New Roman"/>
        </w:rPr>
        <w:t xml:space="preserve">in </w:t>
      </w:r>
      <w:r w:rsidRPr="003008FD">
        <w:rPr>
          <w:rFonts w:ascii="Times New Roman" w:hAnsi="Times New Roman" w:cs="Times New Roman"/>
          <w:i/>
          <w:iCs/>
        </w:rPr>
        <w:t>Cultura e diritti</w:t>
      </w:r>
      <w:r w:rsidRPr="00741827">
        <w:rPr>
          <w:rFonts w:ascii="Times New Roman" w:hAnsi="Times New Roman" w:cs="Times New Roman"/>
        </w:rPr>
        <w:t>,</w:t>
      </w:r>
      <w:r w:rsidR="003008FD">
        <w:rPr>
          <w:rFonts w:ascii="Times New Roman" w:hAnsi="Times New Roman" w:cs="Times New Roman"/>
        </w:rPr>
        <w:t xml:space="preserve"> v. 13, n.1, 2024,</w:t>
      </w:r>
      <w:r w:rsidRPr="00741827">
        <w:rPr>
          <w:rFonts w:ascii="Times New Roman" w:hAnsi="Times New Roman" w:cs="Times New Roman"/>
        </w:rPr>
        <w:t xml:space="preserve"> </w:t>
      </w:r>
      <w:r w:rsidR="003008FD">
        <w:rPr>
          <w:rFonts w:ascii="Times New Roman" w:hAnsi="Times New Roman" w:cs="Times New Roman"/>
        </w:rPr>
        <w:t>p</w:t>
      </w:r>
      <w:r w:rsidRPr="00741827">
        <w:rPr>
          <w:rFonts w:ascii="Times New Roman" w:hAnsi="Times New Roman" w:cs="Times New Roman"/>
        </w:rPr>
        <w:t>p. 11-44.</w:t>
      </w:r>
    </w:p>
  </w:footnote>
  <w:footnote w:id="3">
    <w:p w14:paraId="49C045E9" w14:textId="2EC9EC18"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G.P. Cirillo, </w:t>
      </w:r>
      <w:r w:rsidRPr="00333BD7">
        <w:rPr>
          <w:rFonts w:ascii="Times New Roman" w:hAnsi="Times New Roman" w:cs="Times New Roman"/>
          <w:i/>
          <w:iCs/>
        </w:rPr>
        <w:t>La pubblica amministrazione e le società intermedie</w:t>
      </w:r>
      <w:r w:rsidRPr="00741827">
        <w:rPr>
          <w:rFonts w:ascii="Times New Roman" w:hAnsi="Times New Roman" w:cs="Times New Roman"/>
        </w:rPr>
        <w:t xml:space="preserve">, in </w:t>
      </w:r>
      <w:r w:rsidR="00333BD7">
        <w:rPr>
          <w:rFonts w:ascii="Times New Roman" w:hAnsi="Times New Roman" w:cs="Times New Roman"/>
          <w:i/>
          <w:iCs/>
        </w:rPr>
        <w:t>f</w:t>
      </w:r>
      <w:r w:rsidRPr="00333BD7">
        <w:rPr>
          <w:rFonts w:ascii="Times New Roman" w:hAnsi="Times New Roman" w:cs="Times New Roman"/>
          <w:i/>
          <w:iCs/>
        </w:rPr>
        <w:t>ederalismi</w:t>
      </w:r>
      <w:r w:rsidR="00333BD7">
        <w:rPr>
          <w:rFonts w:ascii="Times New Roman" w:hAnsi="Times New Roman" w:cs="Times New Roman"/>
          <w:i/>
          <w:iCs/>
        </w:rPr>
        <w:t>.it</w:t>
      </w:r>
      <w:r w:rsidRPr="00741827">
        <w:rPr>
          <w:rFonts w:ascii="Times New Roman" w:hAnsi="Times New Roman" w:cs="Times New Roman"/>
        </w:rPr>
        <w:t>,</w:t>
      </w:r>
      <w:r w:rsidR="00333BD7">
        <w:rPr>
          <w:rFonts w:ascii="Times New Roman" w:hAnsi="Times New Roman" w:cs="Times New Roman"/>
        </w:rPr>
        <w:t xml:space="preserve"> n. 20,</w:t>
      </w:r>
      <w:r w:rsidRPr="00741827">
        <w:rPr>
          <w:rFonts w:ascii="Times New Roman" w:hAnsi="Times New Roman" w:cs="Times New Roman"/>
        </w:rPr>
        <w:t xml:space="preserve"> 2017, p.</w:t>
      </w:r>
      <w:r w:rsidR="00333BD7">
        <w:rPr>
          <w:rFonts w:ascii="Times New Roman" w:hAnsi="Times New Roman" w:cs="Times New Roman"/>
        </w:rPr>
        <w:t xml:space="preserve"> </w:t>
      </w:r>
      <w:r w:rsidRPr="00741827">
        <w:rPr>
          <w:rFonts w:ascii="Times New Roman" w:hAnsi="Times New Roman" w:cs="Times New Roman"/>
        </w:rPr>
        <w:t>3 e ss.</w:t>
      </w:r>
    </w:p>
  </w:footnote>
  <w:footnote w:id="4">
    <w:p w14:paraId="14BA5845" w14:textId="3CA39CBA"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N. Irti, </w:t>
      </w:r>
      <w:r w:rsidRPr="00333BD7">
        <w:rPr>
          <w:rFonts w:ascii="Times New Roman" w:hAnsi="Times New Roman" w:cs="Times New Roman"/>
          <w:i/>
          <w:iCs/>
        </w:rPr>
        <w:t>L’età della decodificazione</w:t>
      </w:r>
      <w:r w:rsidRPr="00741827">
        <w:rPr>
          <w:rFonts w:ascii="Times New Roman" w:hAnsi="Times New Roman" w:cs="Times New Roman"/>
        </w:rPr>
        <w:t xml:space="preserve">, </w:t>
      </w:r>
      <w:proofErr w:type="spellStart"/>
      <w:r w:rsidRPr="00741827">
        <w:rPr>
          <w:rFonts w:ascii="Times New Roman" w:hAnsi="Times New Roman" w:cs="Times New Roman"/>
        </w:rPr>
        <w:t>Giuffrè</w:t>
      </w:r>
      <w:proofErr w:type="spellEnd"/>
      <w:r w:rsidR="004026B1">
        <w:rPr>
          <w:rFonts w:ascii="Times New Roman" w:hAnsi="Times New Roman" w:cs="Times New Roman"/>
        </w:rPr>
        <w:t>,</w:t>
      </w:r>
      <w:r w:rsidRPr="00741827">
        <w:rPr>
          <w:rFonts w:ascii="Times New Roman" w:hAnsi="Times New Roman" w:cs="Times New Roman"/>
        </w:rPr>
        <w:t xml:space="preserve"> Milano, 1979; S. Rodotà, </w:t>
      </w:r>
      <w:r w:rsidRPr="004026B1">
        <w:rPr>
          <w:rFonts w:ascii="Times New Roman" w:hAnsi="Times New Roman" w:cs="Times New Roman"/>
          <w:i/>
          <w:iCs/>
        </w:rPr>
        <w:t>Ideologia e tecniche della riforma del diritto civile</w:t>
      </w:r>
      <w:r w:rsidRPr="00741827">
        <w:rPr>
          <w:rFonts w:ascii="Times New Roman" w:hAnsi="Times New Roman" w:cs="Times New Roman"/>
        </w:rPr>
        <w:t>,</w:t>
      </w:r>
      <w:r w:rsidR="004026B1">
        <w:rPr>
          <w:rFonts w:ascii="Times New Roman" w:hAnsi="Times New Roman" w:cs="Times New Roman"/>
        </w:rPr>
        <w:t xml:space="preserve"> </w:t>
      </w:r>
      <w:r w:rsidR="004026B1" w:rsidRPr="004026B1">
        <w:rPr>
          <w:rFonts w:ascii="Times New Roman" w:hAnsi="Times New Roman" w:cs="Times New Roman"/>
        </w:rPr>
        <w:t xml:space="preserve">in </w:t>
      </w:r>
      <w:r w:rsidR="004026B1" w:rsidRPr="004026B1">
        <w:rPr>
          <w:rFonts w:ascii="Times New Roman" w:hAnsi="Times New Roman" w:cs="Times New Roman"/>
          <w:i/>
          <w:iCs/>
        </w:rPr>
        <w:t>Rivista del diritto commerciale e del diritto generale delle obbligazioni</w:t>
      </w:r>
      <w:r w:rsidR="004026B1">
        <w:rPr>
          <w:rFonts w:ascii="Times New Roman" w:hAnsi="Times New Roman" w:cs="Times New Roman"/>
        </w:rPr>
        <w:t>,</w:t>
      </w:r>
      <w:r w:rsidR="004026B1" w:rsidRPr="004026B1">
        <w:rPr>
          <w:rFonts w:ascii="Times New Roman" w:hAnsi="Times New Roman" w:cs="Times New Roman"/>
        </w:rPr>
        <w:t xml:space="preserve"> </w:t>
      </w:r>
      <w:r w:rsidR="004026B1">
        <w:rPr>
          <w:rFonts w:ascii="Times New Roman" w:hAnsi="Times New Roman" w:cs="Times New Roman"/>
        </w:rPr>
        <w:t>I,</w:t>
      </w:r>
      <w:r w:rsidR="004026B1" w:rsidRPr="004026B1">
        <w:rPr>
          <w:rFonts w:ascii="Times New Roman" w:hAnsi="Times New Roman" w:cs="Times New Roman"/>
        </w:rPr>
        <w:t xml:space="preserve"> 1967, </w:t>
      </w:r>
      <w:r w:rsidRPr="00741827">
        <w:rPr>
          <w:rFonts w:ascii="Times New Roman" w:hAnsi="Times New Roman" w:cs="Times New Roman"/>
        </w:rPr>
        <w:t>1967</w:t>
      </w:r>
      <w:r w:rsidR="004026B1">
        <w:rPr>
          <w:rFonts w:ascii="Times New Roman" w:hAnsi="Times New Roman" w:cs="Times New Roman"/>
        </w:rPr>
        <w:t>, p. 83 e ss</w:t>
      </w:r>
      <w:r w:rsidRPr="00741827">
        <w:rPr>
          <w:rFonts w:ascii="Times New Roman" w:hAnsi="Times New Roman" w:cs="Times New Roman"/>
        </w:rPr>
        <w:t>.</w:t>
      </w:r>
    </w:p>
  </w:footnote>
  <w:footnote w:id="5">
    <w:p w14:paraId="4867F416" w14:textId="00E36B2A"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Per tutti, A. Lefevre D’Ovidio</w:t>
      </w:r>
      <w:r w:rsidR="004026B1">
        <w:rPr>
          <w:rFonts w:ascii="Times New Roman" w:hAnsi="Times New Roman" w:cs="Times New Roman"/>
        </w:rPr>
        <w:t xml:space="preserve"> e </w:t>
      </w:r>
      <w:proofErr w:type="spellStart"/>
      <w:proofErr w:type="gramStart"/>
      <w:r w:rsidRPr="00741827">
        <w:rPr>
          <w:rFonts w:ascii="Times New Roman" w:hAnsi="Times New Roman" w:cs="Times New Roman"/>
        </w:rPr>
        <w:t>G.Pescatore</w:t>
      </w:r>
      <w:proofErr w:type="spellEnd"/>
      <w:proofErr w:type="gramEnd"/>
      <w:r w:rsidRPr="00741827">
        <w:rPr>
          <w:rFonts w:ascii="Times New Roman" w:hAnsi="Times New Roman" w:cs="Times New Roman"/>
        </w:rPr>
        <w:t xml:space="preserve">, </w:t>
      </w:r>
      <w:r w:rsidRPr="004026B1">
        <w:rPr>
          <w:rFonts w:ascii="Times New Roman" w:hAnsi="Times New Roman" w:cs="Times New Roman"/>
          <w:i/>
          <w:iCs/>
        </w:rPr>
        <w:t>Manuale di diritto della navigazione</w:t>
      </w:r>
      <w:r w:rsidRPr="00741827">
        <w:rPr>
          <w:rFonts w:ascii="Times New Roman" w:hAnsi="Times New Roman" w:cs="Times New Roman"/>
        </w:rPr>
        <w:t xml:space="preserve">, </w:t>
      </w:r>
      <w:proofErr w:type="spellStart"/>
      <w:r w:rsidRPr="00741827">
        <w:rPr>
          <w:rFonts w:ascii="Times New Roman" w:hAnsi="Times New Roman" w:cs="Times New Roman"/>
        </w:rPr>
        <w:t>Giuffrè</w:t>
      </w:r>
      <w:proofErr w:type="spellEnd"/>
      <w:r w:rsidRPr="00741827">
        <w:rPr>
          <w:rFonts w:ascii="Times New Roman" w:hAnsi="Times New Roman" w:cs="Times New Roman"/>
        </w:rPr>
        <w:t>,</w:t>
      </w:r>
      <w:r w:rsidR="004026B1" w:rsidRPr="004026B1">
        <w:rPr>
          <w:rFonts w:ascii="Times New Roman" w:hAnsi="Times New Roman" w:cs="Times New Roman"/>
        </w:rPr>
        <w:t xml:space="preserve"> </w:t>
      </w:r>
      <w:r w:rsidR="004026B1" w:rsidRPr="00741827">
        <w:rPr>
          <w:rFonts w:ascii="Times New Roman" w:hAnsi="Times New Roman" w:cs="Times New Roman"/>
        </w:rPr>
        <w:t>Milano,</w:t>
      </w:r>
      <w:r w:rsidRPr="00741827">
        <w:rPr>
          <w:rFonts w:ascii="Times New Roman" w:hAnsi="Times New Roman" w:cs="Times New Roman"/>
        </w:rPr>
        <w:t xml:space="preserve"> 1969, p. 5. </w:t>
      </w:r>
      <w:r w:rsidR="00603051">
        <w:rPr>
          <w:rFonts w:ascii="Times New Roman" w:hAnsi="Times New Roman" w:cs="Times New Roman"/>
        </w:rPr>
        <w:t xml:space="preserve">J. </w:t>
      </w:r>
      <w:proofErr w:type="spellStart"/>
      <w:r w:rsidRPr="00741827">
        <w:rPr>
          <w:rFonts w:ascii="Times New Roman" w:hAnsi="Times New Roman" w:cs="Times New Roman"/>
        </w:rPr>
        <w:t>Bonnecase</w:t>
      </w:r>
      <w:proofErr w:type="spellEnd"/>
      <w:r w:rsidRPr="00741827">
        <w:rPr>
          <w:rFonts w:ascii="Times New Roman" w:hAnsi="Times New Roman" w:cs="Times New Roman"/>
        </w:rPr>
        <w:t xml:space="preserve">, </w:t>
      </w:r>
      <w:r w:rsidRPr="00603051">
        <w:rPr>
          <w:rFonts w:ascii="Times New Roman" w:hAnsi="Times New Roman" w:cs="Times New Roman"/>
          <w:i/>
          <w:iCs/>
        </w:rPr>
        <w:t xml:space="preserve">Le </w:t>
      </w:r>
      <w:proofErr w:type="spellStart"/>
      <w:r w:rsidRPr="00603051">
        <w:rPr>
          <w:rFonts w:ascii="Times New Roman" w:hAnsi="Times New Roman" w:cs="Times New Roman"/>
          <w:i/>
          <w:iCs/>
        </w:rPr>
        <w:t>droit</w:t>
      </w:r>
      <w:proofErr w:type="spellEnd"/>
      <w:r w:rsidRPr="00603051">
        <w:rPr>
          <w:rFonts w:ascii="Times New Roman" w:hAnsi="Times New Roman" w:cs="Times New Roman"/>
          <w:i/>
          <w:iCs/>
        </w:rPr>
        <w:t xml:space="preserve"> commercial </w:t>
      </w:r>
      <w:proofErr w:type="spellStart"/>
      <w:r w:rsidRPr="00603051">
        <w:rPr>
          <w:rFonts w:ascii="Times New Roman" w:hAnsi="Times New Roman" w:cs="Times New Roman"/>
          <w:i/>
          <w:iCs/>
        </w:rPr>
        <w:t>maritime</w:t>
      </w:r>
      <w:proofErr w:type="spellEnd"/>
      <w:r w:rsidRPr="00603051">
        <w:rPr>
          <w:rFonts w:ascii="Times New Roman" w:hAnsi="Times New Roman" w:cs="Times New Roman"/>
          <w:i/>
          <w:iCs/>
        </w:rPr>
        <w:t xml:space="preserve">, son </w:t>
      </w:r>
      <w:proofErr w:type="spellStart"/>
      <w:r w:rsidRPr="00603051">
        <w:rPr>
          <w:rFonts w:ascii="Times New Roman" w:hAnsi="Times New Roman" w:cs="Times New Roman"/>
          <w:i/>
          <w:iCs/>
        </w:rPr>
        <w:t>particolarisme</w:t>
      </w:r>
      <w:proofErr w:type="spellEnd"/>
      <w:r w:rsidRPr="00741827">
        <w:rPr>
          <w:rFonts w:ascii="Times New Roman" w:hAnsi="Times New Roman" w:cs="Times New Roman"/>
        </w:rPr>
        <w:t>, 1932, p. 8 e ss.</w:t>
      </w:r>
    </w:p>
  </w:footnote>
  <w:footnote w:id="6">
    <w:p w14:paraId="7CFDC50B" w14:textId="601DFCCF"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P. Rescigno, </w:t>
      </w:r>
      <w:r w:rsidRPr="00603051">
        <w:rPr>
          <w:rFonts w:ascii="Times New Roman" w:hAnsi="Times New Roman" w:cs="Times New Roman"/>
          <w:i/>
          <w:iCs/>
        </w:rPr>
        <w:t>Manuale d</w:t>
      </w:r>
      <w:r w:rsidR="00603051">
        <w:rPr>
          <w:rFonts w:ascii="Times New Roman" w:hAnsi="Times New Roman" w:cs="Times New Roman"/>
          <w:i/>
          <w:iCs/>
        </w:rPr>
        <w:t>i</w:t>
      </w:r>
      <w:r w:rsidRPr="00603051">
        <w:rPr>
          <w:rFonts w:ascii="Times New Roman" w:hAnsi="Times New Roman" w:cs="Times New Roman"/>
          <w:i/>
          <w:iCs/>
        </w:rPr>
        <w:t xml:space="preserve"> diritto privato</w:t>
      </w:r>
      <w:r w:rsidRPr="00741827">
        <w:rPr>
          <w:rFonts w:ascii="Times New Roman" w:hAnsi="Times New Roman" w:cs="Times New Roman"/>
        </w:rPr>
        <w:t xml:space="preserve">, </w:t>
      </w:r>
      <w:proofErr w:type="spellStart"/>
      <w:r w:rsidRPr="00741827">
        <w:rPr>
          <w:rFonts w:ascii="Times New Roman" w:hAnsi="Times New Roman" w:cs="Times New Roman"/>
        </w:rPr>
        <w:t>Wolters</w:t>
      </w:r>
      <w:proofErr w:type="spellEnd"/>
      <w:r w:rsidRPr="00741827">
        <w:rPr>
          <w:rFonts w:ascii="Times New Roman" w:hAnsi="Times New Roman" w:cs="Times New Roman"/>
        </w:rPr>
        <w:t xml:space="preserve"> </w:t>
      </w:r>
      <w:proofErr w:type="spellStart"/>
      <w:r w:rsidRPr="00741827">
        <w:rPr>
          <w:rFonts w:ascii="Times New Roman" w:hAnsi="Times New Roman" w:cs="Times New Roman"/>
        </w:rPr>
        <w:t>Kluwer</w:t>
      </w:r>
      <w:proofErr w:type="spellEnd"/>
      <w:r w:rsidR="00603051">
        <w:rPr>
          <w:rFonts w:ascii="Times New Roman" w:hAnsi="Times New Roman" w:cs="Times New Roman"/>
        </w:rPr>
        <w:t xml:space="preserve">, </w:t>
      </w:r>
      <w:r w:rsidR="00603051" w:rsidRPr="00603051">
        <w:rPr>
          <w:rFonts w:ascii="Times New Roman" w:hAnsi="Times New Roman" w:cs="Times New Roman"/>
        </w:rPr>
        <w:t xml:space="preserve">Alphen </w:t>
      </w:r>
      <w:proofErr w:type="spellStart"/>
      <w:r w:rsidR="00603051" w:rsidRPr="00603051">
        <w:rPr>
          <w:rFonts w:ascii="Times New Roman" w:hAnsi="Times New Roman" w:cs="Times New Roman"/>
        </w:rPr>
        <w:t>aan</w:t>
      </w:r>
      <w:proofErr w:type="spellEnd"/>
      <w:r w:rsidR="00603051" w:rsidRPr="00603051">
        <w:rPr>
          <w:rFonts w:ascii="Times New Roman" w:hAnsi="Times New Roman" w:cs="Times New Roman"/>
        </w:rPr>
        <w:t xml:space="preserve"> </w:t>
      </w:r>
      <w:proofErr w:type="spellStart"/>
      <w:r w:rsidR="00603051" w:rsidRPr="00603051">
        <w:rPr>
          <w:rFonts w:ascii="Times New Roman" w:hAnsi="Times New Roman" w:cs="Times New Roman"/>
        </w:rPr>
        <w:t>den</w:t>
      </w:r>
      <w:proofErr w:type="spellEnd"/>
      <w:r w:rsidR="00603051" w:rsidRPr="00603051">
        <w:rPr>
          <w:rFonts w:ascii="Times New Roman" w:hAnsi="Times New Roman" w:cs="Times New Roman"/>
        </w:rPr>
        <w:t xml:space="preserve"> </w:t>
      </w:r>
      <w:proofErr w:type="spellStart"/>
      <w:r w:rsidR="00603051" w:rsidRPr="00603051">
        <w:rPr>
          <w:rFonts w:ascii="Times New Roman" w:hAnsi="Times New Roman" w:cs="Times New Roman"/>
        </w:rPr>
        <w:t>Rijn</w:t>
      </w:r>
      <w:proofErr w:type="spellEnd"/>
      <w:r w:rsidR="00603051" w:rsidRPr="00603051">
        <w:rPr>
          <w:rFonts w:ascii="Times New Roman" w:hAnsi="Times New Roman" w:cs="Times New Roman"/>
        </w:rPr>
        <w:t>,</w:t>
      </w:r>
      <w:r w:rsidRPr="00741827">
        <w:rPr>
          <w:rFonts w:ascii="Times New Roman" w:hAnsi="Times New Roman" w:cs="Times New Roman"/>
        </w:rPr>
        <w:t xml:space="preserve"> 2000, edizione a cura di G.P. Cirillo, p.</w:t>
      </w:r>
      <w:r w:rsidR="00603051">
        <w:rPr>
          <w:rFonts w:ascii="Times New Roman" w:hAnsi="Times New Roman" w:cs="Times New Roman"/>
        </w:rPr>
        <w:t xml:space="preserve"> </w:t>
      </w:r>
      <w:r w:rsidRPr="00741827">
        <w:rPr>
          <w:rFonts w:ascii="Times New Roman" w:hAnsi="Times New Roman" w:cs="Times New Roman"/>
        </w:rPr>
        <w:t xml:space="preserve">685 e ss.; E. Volterra, </w:t>
      </w:r>
      <w:r w:rsidRPr="00603051">
        <w:rPr>
          <w:rFonts w:ascii="Times New Roman" w:hAnsi="Times New Roman" w:cs="Times New Roman"/>
          <w:i/>
          <w:iCs/>
        </w:rPr>
        <w:t>Istituzioni di diritto privato romano</w:t>
      </w:r>
      <w:r w:rsidRPr="00741827">
        <w:rPr>
          <w:rFonts w:ascii="Times New Roman" w:hAnsi="Times New Roman" w:cs="Times New Roman"/>
        </w:rPr>
        <w:t>, Edizione Ricerche, ristampa corretta, 1972, p. 511 e ss</w:t>
      </w:r>
      <w:r w:rsidR="00603051">
        <w:rPr>
          <w:rFonts w:ascii="Times New Roman" w:hAnsi="Times New Roman" w:cs="Times New Roman"/>
        </w:rPr>
        <w:t>.</w:t>
      </w:r>
    </w:p>
  </w:footnote>
  <w:footnote w:id="7">
    <w:p w14:paraId="6C765240" w14:textId="265379D2"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M.S. Giannini, </w:t>
      </w:r>
      <w:r w:rsidRPr="00603051">
        <w:rPr>
          <w:rFonts w:ascii="Times New Roman" w:hAnsi="Times New Roman" w:cs="Times New Roman"/>
          <w:i/>
          <w:iCs/>
        </w:rPr>
        <w:t>Diritto dell’ambiente e del patrimonio naturale e culturale</w:t>
      </w:r>
      <w:r w:rsidR="00603051">
        <w:rPr>
          <w:rFonts w:ascii="Times New Roman" w:hAnsi="Times New Roman" w:cs="Times New Roman"/>
        </w:rPr>
        <w:t>,</w:t>
      </w:r>
      <w:r w:rsidRPr="00741827">
        <w:rPr>
          <w:rFonts w:ascii="Times New Roman" w:hAnsi="Times New Roman" w:cs="Times New Roman"/>
        </w:rPr>
        <w:t xml:space="preserve"> </w:t>
      </w:r>
      <w:r w:rsidR="00603051">
        <w:rPr>
          <w:rFonts w:ascii="Times New Roman" w:hAnsi="Times New Roman" w:cs="Times New Roman"/>
        </w:rPr>
        <w:t>i</w:t>
      </w:r>
      <w:r w:rsidRPr="00741827">
        <w:rPr>
          <w:rFonts w:ascii="Times New Roman" w:hAnsi="Times New Roman" w:cs="Times New Roman"/>
        </w:rPr>
        <w:t xml:space="preserve">n </w:t>
      </w:r>
      <w:r w:rsidRPr="009C0E9A">
        <w:rPr>
          <w:rFonts w:ascii="Times New Roman" w:hAnsi="Times New Roman" w:cs="Times New Roman"/>
          <w:i/>
          <w:iCs/>
        </w:rPr>
        <w:t>Riv</w:t>
      </w:r>
      <w:r w:rsidR="009C0E9A" w:rsidRPr="009C0E9A">
        <w:rPr>
          <w:rFonts w:ascii="Times New Roman" w:hAnsi="Times New Roman" w:cs="Times New Roman"/>
          <w:i/>
          <w:iCs/>
        </w:rPr>
        <w:t>ista trimestrale di diritto pubblico</w:t>
      </w:r>
      <w:r w:rsidRPr="00741827">
        <w:rPr>
          <w:rFonts w:ascii="Times New Roman" w:hAnsi="Times New Roman" w:cs="Times New Roman"/>
        </w:rPr>
        <w:t>, 1971, p.</w:t>
      </w:r>
      <w:r w:rsidR="009C0E9A">
        <w:rPr>
          <w:rFonts w:ascii="Times New Roman" w:hAnsi="Times New Roman" w:cs="Times New Roman"/>
        </w:rPr>
        <w:t xml:space="preserve"> </w:t>
      </w:r>
      <w:r w:rsidRPr="00741827">
        <w:rPr>
          <w:rFonts w:ascii="Times New Roman" w:hAnsi="Times New Roman" w:cs="Times New Roman"/>
        </w:rPr>
        <w:t>1125</w:t>
      </w:r>
      <w:r w:rsidR="009C0E9A">
        <w:rPr>
          <w:rFonts w:ascii="Times New Roman" w:hAnsi="Times New Roman" w:cs="Times New Roman"/>
        </w:rPr>
        <w:t>.</w:t>
      </w:r>
    </w:p>
  </w:footnote>
  <w:footnote w:id="8">
    <w:p w14:paraId="7C133529" w14:textId="48AE7CD1"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G.P. Cirillo, </w:t>
      </w:r>
      <w:r w:rsidRPr="009C0E9A">
        <w:rPr>
          <w:rFonts w:ascii="Times New Roman" w:hAnsi="Times New Roman" w:cs="Times New Roman"/>
          <w:i/>
          <w:iCs/>
        </w:rPr>
        <w:t>Sistema istituzionale di diritto comune</w:t>
      </w:r>
      <w:r w:rsidRPr="00741827">
        <w:rPr>
          <w:rFonts w:ascii="Times New Roman" w:hAnsi="Times New Roman" w:cs="Times New Roman"/>
        </w:rPr>
        <w:t xml:space="preserve">, </w:t>
      </w:r>
      <w:proofErr w:type="spellStart"/>
      <w:r w:rsidRPr="00741827">
        <w:rPr>
          <w:rFonts w:ascii="Times New Roman" w:hAnsi="Times New Roman" w:cs="Times New Roman"/>
        </w:rPr>
        <w:t>Wolters</w:t>
      </w:r>
      <w:proofErr w:type="spellEnd"/>
      <w:r w:rsidRPr="00741827">
        <w:rPr>
          <w:rFonts w:ascii="Times New Roman" w:hAnsi="Times New Roman" w:cs="Times New Roman"/>
        </w:rPr>
        <w:t xml:space="preserve"> </w:t>
      </w:r>
      <w:proofErr w:type="spellStart"/>
      <w:r w:rsidRPr="00741827">
        <w:rPr>
          <w:rFonts w:ascii="Times New Roman" w:hAnsi="Times New Roman" w:cs="Times New Roman"/>
        </w:rPr>
        <w:t>Kluwer</w:t>
      </w:r>
      <w:proofErr w:type="spellEnd"/>
      <w:r w:rsidR="009C0E9A">
        <w:rPr>
          <w:rFonts w:ascii="Times New Roman" w:hAnsi="Times New Roman" w:cs="Times New Roman"/>
        </w:rPr>
        <w:t>,</w:t>
      </w:r>
      <w:r w:rsidRPr="00741827">
        <w:rPr>
          <w:rFonts w:ascii="Times New Roman" w:hAnsi="Times New Roman" w:cs="Times New Roman"/>
        </w:rPr>
        <w:t xml:space="preserve"> CEDAM</w:t>
      </w:r>
      <w:r w:rsidR="009C0E9A">
        <w:rPr>
          <w:rFonts w:ascii="Times New Roman" w:hAnsi="Times New Roman" w:cs="Times New Roman"/>
        </w:rPr>
        <w:t xml:space="preserve">, </w:t>
      </w:r>
      <w:r w:rsidR="009C0E9A" w:rsidRPr="00603051">
        <w:rPr>
          <w:rFonts w:ascii="Times New Roman" w:hAnsi="Times New Roman" w:cs="Times New Roman"/>
        </w:rPr>
        <w:t xml:space="preserve">Alphen </w:t>
      </w:r>
      <w:proofErr w:type="spellStart"/>
      <w:r w:rsidR="009C0E9A" w:rsidRPr="00603051">
        <w:rPr>
          <w:rFonts w:ascii="Times New Roman" w:hAnsi="Times New Roman" w:cs="Times New Roman"/>
        </w:rPr>
        <w:t>aan</w:t>
      </w:r>
      <w:proofErr w:type="spellEnd"/>
      <w:r w:rsidR="009C0E9A" w:rsidRPr="00603051">
        <w:rPr>
          <w:rFonts w:ascii="Times New Roman" w:hAnsi="Times New Roman" w:cs="Times New Roman"/>
        </w:rPr>
        <w:t xml:space="preserve"> </w:t>
      </w:r>
      <w:proofErr w:type="spellStart"/>
      <w:r w:rsidR="009C0E9A" w:rsidRPr="00603051">
        <w:rPr>
          <w:rFonts w:ascii="Times New Roman" w:hAnsi="Times New Roman" w:cs="Times New Roman"/>
        </w:rPr>
        <w:t>den</w:t>
      </w:r>
      <w:proofErr w:type="spellEnd"/>
      <w:r w:rsidR="009C0E9A" w:rsidRPr="00603051">
        <w:rPr>
          <w:rFonts w:ascii="Times New Roman" w:hAnsi="Times New Roman" w:cs="Times New Roman"/>
        </w:rPr>
        <w:t xml:space="preserve"> </w:t>
      </w:r>
      <w:proofErr w:type="spellStart"/>
      <w:r w:rsidR="009C0E9A" w:rsidRPr="00603051">
        <w:rPr>
          <w:rFonts w:ascii="Times New Roman" w:hAnsi="Times New Roman" w:cs="Times New Roman"/>
        </w:rPr>
        <w:t>Rijn</w:t>
      </w:r>
      <w:proofErr w:type="spellEnd"/>
      <w:r w:rsidR="009C0E9A">
        <w:rPr>
          <w:rFonts w:ascii="Times New Roman" w:hAnsi="Times New Roman" w:cs="Times New Roman"/>
        </w:rPr>
        <w:t>, Padova,</w:t>
      </w:r>
      <w:r w:rsidRPr="00741827">
        <w:rPr>
          <w:rFonts w:ascii="Times New Roman" w:hAnsi="Times New Roman" w:cs="Times New Roman"/>
        </w:rPr>
        <w:t xml:space="preserve"> </w:t>
      </w:r>
      <w:r w:rsidR="009C0E9A" w:rsidRPr="00741827">
        <w:rPr>
          <w:rFonts w:ascii="Times New Roman" w:hAnsi="Times New Roman" w:cs="Times New Roman"/>
        </w:rPr>
        <w:t>2</w:t>
      </w:r>
      <w:r w:rsidR="009C0E9A">
        <w:rPr>
          <w:rFonts w:ascii="Times New Roman" w:hAnsi="Times New Roman" w:cs="Times New Roman"/>
        </w:rPr>
        <w:t>a</w:t>
      </w:r>
      <w:r w:rsidR="009C0E9A" w:rsidRPr="00741827">
        <w:rPr>
          <w:rFonts w:ascii="Times New Roman" w:hAnsi="Times New Roman" w:cs="Times New Roman"/>
        </w:rPr>
        <w:t xml:space="preserve"> </w:t>
      </w:r>
      <w:r w:rsidR="009C0E9A">
        <w:rPr>
          <w:rFonts w:ascii="Times New Roman" w:hAnsi="Times New Roman" w:cs="Times New Roman"/>
        </w:rPr>
        <w:t xml:space="preserve">ed., </w:t>
      </w:r>
      <w:r w:rsidRPr="00741827">
        <w:rPr>
          <w:rFonts w:ascii="Times New Roman" w:hAnsi="Times New Roman" w:cs="Times New Roman"/>
        </w:rPr>
        <w:t>2021,</w:t>
      </w:r>
      <w:r w:rsidR="009C0E9A">
        <w:rPr>
          <w:rFonts w:ascii="Times New Roman" w:hAnsi="Times New Roman" w:cs="Times New Roman"/>
        </w:rPr>
        <w:t xml:space="preserve"> </w:t>
      </w:r>
      <w:r w:rsidRPr="00741827">
        <w:rPr>
          <w:rFonts w:ascii="Times New Roman" w:hAnsi="Times New Roman" w:cs="Times New Roman"/>
        </w:rPr>
        <w:t>p. 373 e ss</w:t>
      </w:r>
      <w:r w:rsidR="009C0E9A">
        <w:rPr>
          <w:rFonts w:ascii="Times New Roman" w:hAnsi="Times New Roman" w:cs="Times New Roman"/>
        </w:rPr>
        <w:t>.</w:t>
      </w:r>
    </w:p>
  </w:footnote>
  <w:footnote w:id="9">
    <w:p w14:paraId="0323B22F" w14:textId="1297FD9E"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G. Gentile, </w:t>
      </w:r>
      <w:r w:rsidRPr="009C0E9A">
        <w:rPr>
          <w:rFonts w:ascii="Times New Roman" w:hAnsi="Times New Roman" w:cs="Times New Roman"/>
          <w:i/>
          <w:iCs/>
        </w:rPr>
        <w:t>Lezioni di diritto dell’energia</w:t>
      </w:r>
      <w:r w:rsidRPr="00741827">
        <w:rPr>
          <w:rFonts w:ascii="Times New Roman" w:hAnsi="Times New Roman" w:cs="Times New Roman"/>
        </w:rPr>
        <w:t xml:space="preserve">, </w:t>
      </w:r>
      <w:proofErr w:type="spellStart"/>
      <w:r w:rsidRPr="00741827">
        <w:rPr>
          <w:rFonts w:ascii="Times New Roman" w:hAnsi="Times New Roman" w:cs="Times New Roman"/>
        </w:rPr>
        <w:t>Giuffrè</w:t>
      </w:r>
      <w:proofErr w:type="spellEnd"/>
      <w:r w:rsidRPr="00741827">
        <w:rPr>
          <w:rFonts w:ascii="Times New Roman" w:hAnsi="Times New Roman" w:cs="Times New Roman"/>
        </w:rPr>
        <w:t>,</w:t>
      </w:r>
      <w:r w:rsidR="009C0E9A" w:rsidRPr="009C0E9A">
        <w:rPr>
          <w:rFonts w:ascii="Times New Roman" w:hAnsi="Times New Roman" w:cs="Times New Roman"/>
        </w:rPr>
        <w:t xml:space="preserve"> </w:t>
      </w:r>
      <w:r w:rsidR="009C0E9A" w:rsidRPr="00741827">
        <w:rPr>
          <w:rFonts w:ascii="Times New Roman" w:hAnsi="Times New Roman" w:cs="Times New Roman"/>
        </w:rPr>
        <w:t>Milano,</w:t>
      </w:r>
      <w:r w:rsidRPr="00741827">
        <w:rPr>
          <w:rFonts w:ascii="Times New Roman" w:hAnsi="Times New Roman" w:cs="Times New Roman"/>
        </w:rPr>
        <w:t xml:space="preserve"> 1989, p. 6 e ss</w:t>
      </w:r>
      <w:r w:rsidR="009C0E9A">
        <w:rPr>
          <w:rFonts w:ascii="Times New Roman" w:hAnsi="Times New Roman" w:cs="Times New Roman"/>
        </w:rPr>
        <w:t>.</w:t>
      </w:r>
    </w:p>
  </w:footnote>
  <w:footnote w:id="10">
    <w:p w14:paraId="637C24FC" w14:textId="093DEBEB"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w:t>
      </w:r>
      <w:r w:rsidR="009C0E9A">
        <w:rPr>
          <w:rFonts w:ascii="Times New Roman" w:hAnsi="Times New Roman" w:cs="Times New Roman"/>
        </w:rPr>
        <w:t xml:space="preserve">C. San Mauro (a cura di), </w:t>
      </w:r>
      <w:r w:rsidRPr="009C0E9A">
        <w:rPr>
          <w:rFonts w:ascii="Times New Roman" w:hAnsi="Times New Roman" w:cs="Times New Roman"/>
          <w:i/>
          <w:iCs/>
        </w:rPr>
        <w:t>Manuale di diritto delle reti nei mercati regolati</w:t>
      </w:r>
      <w:r w:rsidRPr="00741827">
        <w:rPr>
          <w:rFonts w:ascii="Times New Roman" w:hAnsi="Times New Roman" w:cs="Times New Roman"/>
        </w:rPr>
        <w:t xml:space="preserve">, </w:t>
      </w:r>
      <w:proofErr w:type="spellStart"/>
      <w:r w:rsidRPr="00741827">
        <w:rPr>
          <w:rFonts w:ascii="Times New Roman" w:hAnsi="Times New Roman" w:cs="Times New Roman"/>
        </w:rPr>
        <w:t>Giappichelli</w:t>
      </w:r>
      <w:proofErr w:type="spellEnd"/>
      <w:r w:rsidRPr="00741827">
        <w:rPr>
          <w:rFonts w:ascii="Times New Roman" w:hAnsi="Times New Roman" w:cs="Times New Roman"/>
        </w:rPr>
        <w:t>,</w:t>
      </w:r>
      <w:r w:rsidR="009C0E9A">
        <w:rPr>
          <w:rFonts w:ascii="Times New Roman" w:hAnsi="Times New Roman" w:cs="Times New Roman"/>
        </w:rPr>
        <w:t xml:space="preserve"> Torino,</w:t>
      </w:r>
      <w:r w:rsidRPr="00741827">
        <w:rPr>
          <w:rFonts w:ascii="Times New Roman" w:hAnsi="Times New Roman" w:cs="Times New Roman"/>
        </w:rPr>
        <w:t xml:space="preserve"> 2024</w:t>
      </w:r>
      <w:r w:rsidR="009C0E9A">
        <w:rPr>
          <w:rFonts w:ascii="Times New Roman" w:hAnsi="Times New Roman" w:cs="Times New Roman"/>
        </w:rPr>
        <w:t>.</w:t>
      </w:r>
    </w:p>
  </w:footnote>
  <w:footnote w:id="11">
    <w:p w14:paraId="09A54CB8" w14:textId="29895460"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V. </w:t>
      </w:r>
      <w:proofErr w:type="spellStart"/>
      <w:r w:rsidRPr="00741827">
        <w:rPr>
          <w:rFonts w:ascii="Times New Roman" w:hAnsi="Times New Roman" w:cs="Times New Roman"/>
        </w:rPr>
        <w:t>Smil</w:t>
      </w:r>
      <w:proofErr w:type="spellEnd"/>
      <w:r w:rsidRPr="00741827">
        <w:rPr>
          <w:rFonts w:ascii="Times New Roman" w:hAnsi="Times New Roman" w:cs="Times New Roman"/>
        </w:rPr>
        <w:t xml:space="preserve">, </w:t>
      </w:r>
      <w:r w:rsidRPr="009C0E9A">
        <w:rPr>
          <w:rFonts w:ascii="Times New Roman" w:hAnsi="Times New Roman" w:cs="Times New Roman"/>
          <w:i/>
          <w:iCs/>
        </w:rPr>
        <w:t>Storia dell’energia</w:t>
      </w:r>
      <w:r w:rsidRPr="00741827">
        <w:rPr>
          <w:rFonts w:ascii="Times New Roman" w:hAnsi="Times New Roman" w:cs="Times New Roman"/>
        </w:rPr>
        <w:t xml:space="preserve">, </w:t>
      </w:r>
      <w:r w:rsidR="009C0E9A">
        <w:rPr>
          <w:rFonts w:ascii="Times New Roman" w:hAnsi="Times New Roman" w:cs="Times New Roman"/>
        </w:rPr>
        <w:t xml:space="preserve">il Mulino, </w:t>
      </w:r>
      <w:r w:rsidRPr="00741827">
        <w:rPr>
          <w:rFonts w:ascii="Times New Roman" w:hAnsi="Times New Roman" w:cs="Times New Roman"/>
        </w:rPr>
        <w:t xml:space="preserve">Bologna, 1994, </w:t>
      </w:r>
      <w:r w:rsidR="009C0E9A">
        <w:rPr>
          <w:rFonts w:ascii="Times New Roman" w:hAnsi="Times New Roman" w:cs="Times New Roman"/>
        </w:rPr>
        <w:t xml:space="preserve">p. </w:t>
      </w:r>
      <w:r w:rsidRPr="00741827">
        <w:rPr>
          <w:rFonts w:ascii="Times New Roman" w:hAnsi="Times New Roman" w:cs="Times New Roman"/>
        </w:rPr>
        <w:t>22</w:t>
      </w:r>
      <w:r w:rsidR="009C0E9A">
        <w:rPr>
          <w:rFonts w:ascii="Times New Roman" w:hAnsi="Times New Roman" w:cs="Times New Roman"/>
        </w:rPr>
        <w:t xml:space="preserve"> s.</w:t>
      </w:r>
      <w:r w:rsidRPr="00741827">
        <w:rPr>
          <w:rFonts w:ascii="Times New Roman" w:hAnsi="Times New Roman" w:cs="Times New Roman"/>
        </w:rPr>
        <w:t xml:space="preserve"> A</w:t>
      </w:r>
      <w:r w:rsidR="009C0E9A">
        <w:rPr>
          <w:rFonts w:ascii="Times New Roman" w:hAnsi="Times New Roman" w:cs="Times New Roman"/>
        </w:rPr>
        <w:t>.</w:t>
      </w:r>
      <w:r w:rsidRPr="00741827">
        <w:rPr>
          <w:rFonts w:ascii="Times New Roman" w:hAnsi="Times New Roman" w:cs="Times New Roman"/>
        </w:rPr>
        <w:t xml:space="preserve"> </w:t>
      </w:r>
      <w:proofErr w:type="spellStart"/>
      <w:r w:rsidRPr="00741827">
        <w:rPr>
          <w:rFonts w:ascii="Times New Roman" w:hAnsi="Times New Roman" w:cs="Times New Roman"/>
        </w:rPr>
        <w:t>Clò</w:t>
      </w:r>
      <w:proofErr w:type="spellEnd"/>
      <w:r w:rsidRPr="00741827">
        <w:rPr>
          <w:rFonts w:ascii="Times New Roman" w:hAnsi="Times New Roman" w:cs="Times New Roman"/>
        </w:rPr>
        <w:t xml:space="preserve">, S. </w:t>
      </w:r>
      <w:proofErr w:type="spellStart"/>
      <w:r w:rsidRPr="00741827">
        <w:rPr>
          <w:rFonts w:ascii="Times New Roman" w:hAnsi="Times New Roman" w:cs="Times New Roman"/>
        </w:rPr>
        <w:t>Clò</w:t>
      </w:r>
      <w:proofErr w:type="spellEnd"/>
      <w:r w:rsidRPr="00741827">
        <w:rPr>
          <w:rFonts w:ascii="Times New Roman" w:hAnsi="Times New Roman" w:cs="Times New Roman"/>
        </w:rPr>
        <w:t xml:space="preserve"> e F. </w:t>
      </w:r>
      <w:proofErr w:type="spellStart"/>
      <w:r w:rsidRPr="00741827">
        <w:rPr>
          <w:rFonts w:ascii="Times New Roman" w:hAnsi="Times New Roman" w:cs="Times New Roman"/>
        </w:rPr>
        <w:t>Boffa</w:t>
      </w:r>
      <w:proofErr w:type="spellEnd"/>
      <w:r w:rsidRPr="00741827">
        <w:rPr>
          <w:rFonts w:ascii="Times New Roman" w:hAnsi="Times New Roman" w:cs="Times New Roman"/>
        </w:rPr>
        <w:t>,</w:t>
      </w:r>
      <w:r w:rsidR="009C0E9A">
        <w:rPr>
          <w:rFonts w:ascii="Times New Roman" w:hAnsi="Times New Roman" w:cs="Times New Roman"/>
        </w:rPr>
        <w:t xml:space="preserve"> </w:t>
      </w:r>
      <w:r w:rsidR="009C0E9A" w:rsidRPr="009C0E9A">
        <w:rPr>
          <w:rFonts w:ascii="Times New Roman" w:hAnsi="Times New Roman" w:cs="Times New Roman"/>
        </w:rPr>
        <w:t xml:space="preserve">Riforme </w:t>
      </w:r>
      <w:r w:rsidR="009C0E9A">
        <w:rPr>
          <w:rFonts w:ascii="Times New Roman" w:hAnsi="Times New Roman" w:cs="Times New Roman"/>
        </w:rPr>
        <w:t>e</w:t>
      </w:r>
      <w:r w:rsidR="009C0E9A" w:rsidRPr="009C0E9A">
        <w:rPr>
          <w:rFonts w:ascii="Times New Roman" w:hAnsi="Times New Roman" w:cs="Times New Roman"/>
        </w:rPr>
        <w:t xml:space="preserve">lettriche </w:t>
      </w:r>
      <w:r w:rsidR="009C0E9A">
        <w:rPr>
          <w:rFonts w:ascii="Times New Roman" w:hAnsi="Times New Roman" w:cs="Times New Roman"/>
        </w:rPr>
        <w:t>t</w:t>
      </w:r>
      <w:r w:rsidR="009C0E9A" w:rsidRPr="009C0E9A">
        <w:rPr>
          <w:rFonts w:ascii="Times New Roman" w:hAnsi="Times New Roman" w:cs="Times New Roman"/>
        </w:rPr>
        <w:t xml:space="preserve">ra </w:t>
      </w:r>
      <w:r w:rsidR="009C0E9A">
        <w:rPr>
          <w:rFonts w:ascii="Times New Roman" w:hAnsi="Times New Roman" w:cs="Times New Roman"/>
        </w:rPr>
        <w:t>e</w:t>
      </w:r>
      <w:r w:rsidR="009C0E9A" w:rsidRPr="009C0E9A">
        <w:rPr>
          <w:rFonts w:ascii="Times New Roman" w:hAnsi="Times New Roman" w:cs="Times New Roman"/>
        </w:rPr>
        <w:t xml:space="preserve">fficienza </w:t>
      </w:r>
      <w:r w:rsidR="009C0E9A">
        <w:rPr>
          <w:rFonts w:ascii="Times New Roman" w:hAnsi="Times New Roman" w:cs="Times New Roman"/>
        </w:rPr>
        <w:t>e</w:t>
      </w:r>
      <w:r w:rsidR="009C0E9A" w:rsidRPr="009C0E9A">
        <w:rPr>
          <w:rFonts w:ascii="Times New Roman" w:hAnsi="Times New Roman" w:cs="Times New Roman"/>
        </w:rPr>
        <w:t xml:space="preserve">d </w:t>
      </w:r>
      <w:r w:rsidR="009C0E9A">
        <w:rPr>
          <w:rFonts w:ascii="Times New Roman" w:hAnsi="Times New Roman" w:cs="Times New Roman"/>
        </w:rPr>
        <w:t>e</w:t>
      </w:r>
      <w:r w:rsidR="009C0E9A" w:rsidRPr="009C0E9A">
        <w:rPr>
          <w:rFonts w:ascii="Times New Roman" w:hAnsi="Times New Roman" w:cs="Times New Roman"/>
        </w:rPr>
        <w:t>quit</w:t>
      </w:r>
      <w:r w:rsidR="009C0E9A">
        <w:rPr>
          <w:rFonts w:ascii="Times New Roman" w:hAnsi="Times New Roman" w:cs="Times New Roman"/>
        </w:rPr>
        <w:t>à,</w:t>
      </w:r>
      <w:r w:rsidRPr="00741827">
        <w:rPr>
          <w:rFonts w:ascii="Times New Roman" w:hAnsi="Times New Roman" w:cs="Times New Roman"/>
        </w:rPr>
        <w:t xml:space="preserve"> </w:t>
      </w:r>
      <w:r w:rsidR="009C0E9A">
        <w:rPr>
          <w:rFonts w:ascii="Times New Roman" w:hAnsi="Times New Roman" w:cs="Times New Roman"/>
        </w:rPr>
        <w:t xml:space="preserve">il Mulino, </w:t>
      </w:r>
      <w:r w:rsidRPr="00741827">
        <w:rPr>
          <w:rFonts w:ascii="Times New Roman" w:hAnsi="Times New Roman" w:cs="Times New Roman"/>
        </w:rPr>
        <w:t xml:space="preserve">Bologna, 2014. Sul servizio pubblico in generale e gli obblighi che da esso derivano, L. De Lucia, </w:t>
      </w:r>
      <w:r w:rsidRPr="009C0E9A">
        <w:rPr>
          <w:rFonts w:ascii="Times New Roman" w:hAnsi="Times New Roman" w:cs="Times New Roman"/>
          <w:i/>
          <w:iCs/>
        </w:rPr>
        <w:t>La regolazione amministrativa dei servizi pubblici</w:t>
      </w:r>
      <w:r w:rsidRPr="00741827">
        <w:rPr>
          <w:rFonts w:ascii="Times New Roman" w:hAnsi="Times New Roman" w:cs="Times New Roman"/>
        </w:rPr>
        <w:t xml:space="preserve">, </w:t>
      </w:r>
      <w:proofErr w:type="spellStart"/>
      <w:r w:rsidRPr="00741827">
        <w:rPr>
          <w:rFonts w:ascii="Times New Roman" w:hAnsi="Times New Roman" w:cs="Times New Roman"/>
        </w:rPr>
        <w:t>Giappichelli</w:t>
      </w:r>
      <w:proofErr w:type="spellEnd"/>
      <w:r w:rsidRPr="00741827">
        <w:rPr>
          <w:rFonts w:ascii="Times New Roman" w:hAnsi="Times New Roman" w:cs="Times New Roman"/>
        </w:rPr>
        <w:t>,</w:t>
      </w:r>
      <w:r w:rsidR="009C0E9A" w:rsidRPr="009C0E9A">
        <w:rPr>
          <w:rFonts w:ascii="Times New Roman" w:hAnsi="Times New Roman" w:cs="Times New Roman"/>
        </w:rPr>
        <w:t xml:space="preserve"> </w:t>
      </w:r>
      <w:r w:rsidR="009C0E9A" w:rsidRPr="00741827">
        <w:rPr>
          <w:rFonts w:ascii="Times New Roman" w:hAnsi="Times New Roman" w:cs="Times New Roman"/>
        </w:rPr>
        <w:t>Torino,</w:t>
      </w:r>
      <w:r w:rsidRPr="00741827">
        <w:rPr>
          <w:rFonts w:ascii="Times New Roman" w:hAnsi="Times New Roman" w:cs="Times New Roman"/>
        </w:rPr>
        <w:t xml:space="preserve"> 2002, </w:t>
      </w:r>
      <w:r w:rsidR="009C0E9A">
        <w:rPr>
          <w:rFonts w:ascii="Times New Roman" w:hAnsi="Times New Roman" w:cs="Times New Roman"/>
        </w:rPr>
        <w:t xml:space="preserve">p. </w:t>
      </w:r>
      <w:r w:rsidRPr="00741827">
        <w:rPr>
          <w:rFonts w:ascii="Times New Roman" w:hAnsi="Times New Roman" w:cs="Times New Roman"/>
        </w:rPr>
        <w:t xml:space="preserve">165 e ss.; P. Ranci, </w:t>
      </w:r>
      <w:r w:rsidRPr="009C0E9A">
        <w:rPr>
          <w:rFonts w:ascii="Times New Roman" w:hAnsi="Times New Roman" w:cs="Times New Roman"/>
          <w:i/>
          <w:iCs/>
        </w:rPr>
        <w:t>L’energia elettrica e il gas</w:t>
      </w:r>
      <w:r w:rsidRPr="00741827">
        <w:rPr>
          <w:rFonts w:ascii="Times New Roman" w:hAnsi="Times New Roman" w:cs="Times New Roman"/>
        </w:rPr>
        <w:t>, in</w:t>
      </w:r>
      <w:r w:rsidR="009C0E9A">
        <w:rPr>
          <w:rFonts w:ascii="Times New Roman" w:hAnsi="Times New Roman" w:cs="Times New Roman"/>
        </w:rPr>
        <w:t xml:space="preserve"> </w:t>
      </w:r>
      <w:r w:rsidR="009C0E9A" w:rsidRPr="00741827">
        <w:rPr>
          <w:rFonts w:ascii="Times New Roman" w:hAnsi="Times New Roman" w:cs="Times New Roman"/>
        </w:rPr>
        <w:t>G. Tesauro e M. D’Alberti</w:t>
      </w:r>
      <w:r w:rsidR="009C0E9A">
        <w:rPr>
          <w:rFonts w:ascii="Times New Roman" w:hAnsi="Times New Roman" w:cs="Times New Roman"/>
        </w:rPr>
        <w:t xml:space="preserve"> (a cura di),</w:t>
      </w:r>
      <w:r w:rsidRPr="00741827">
        <w:rPr>
          <w:rFonts w:ascii="Times New Roman" w:hAnsi="Times New Roman" w:cs="Times New Roman"/>
        </w:rPr>
        <w:t xml:space="preserve"> </w:t>
      </w:r>
      <w:r w:rsidRPr="009C0E9A">
        <w:rPr>
          <w:rFonts w:ascii="Times New Roman" w:hAnsi="Times New Roman" w:cs="Times New Roman"/>
          <w:i/>
          <w:iCs/>
        </w:rPr>
        <w:t>Regolazione e concorrenza</w:t>
      </w:r>
      <w:r w:rsidRPr="00741827">
        <w:rPr>
          <w:rFonts w:ascii="Times New Roman" w:hAnsi="Times New Roman" w:cs="Times New Roman"/>
        </w:rPr>
        <w:t xml:space="preserve">, </w:t>
      </w:r>
      <w:r w:rsidR="009C0E9A">
        <w:rPr>
          <w:rFonts w:ascii="Times New Roman" w:hAnsi="Times New Roman" w:cs="Times New Roman"/>
        </w:rPr>
        <w:t>il Mulino</w:t>
      </w:r>
      <w:r w:rsidRPr="00741827">
        <w:rPr>
          <w:rFonts w:ascii="Times New Roman" w:hAnsi="Times New Roman" w:cs="Times New Roman"/>
        </w:rPr>
        <w:t>, Bologna, 2000, p. 133</w:t>
      </w:r>
      <w:r w:rsidR="009C0E9A">
        <w:rPr>
          <w:rFonts w:ascii="Times New Roman" w:hAnsi="Times New Roman" w:cs="Times New Roman"/>
        </w:rPr>
        <w:t xml:space="preserve"> s.</w:t>
      </w:r>
    </w:p>
  </w:footnote>
  <w:footnote w:id="12">
    <w:p w14:paraId="7757285D" w14:textId="2B22E325"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Sui riflessi economici dell’art. 43 della Costituzione, G. Guarino, </w:t>
      </w:r>
      <w:r w:rsidRPr="009C0E9A">
        <w:rPr>
          <w:rFonts w:ascii="Times New Roman" w:hAnsi="Times New Roman" w:cs="Times New Roman"/>
          <w:i/>
          <w:iCs/>
        </w:rPr>
        <w:t>L’elettricità e lo Stato</w:t>
      </w:r>
      <w:r w:rsidRPr="00741827">
        <w:rPr>
          <w:rFonts w:ascii="Times New Roman" w:hAnsi="Times New Roman" w:cs="Times New Roman"/>
        </w:rPr>
        <w:t xml:space="preserve">, in </w:t>
      </w:r>
      <w:r w:rsidRPr="009C0E9A">
        <w:rPr>
          <w:rFonts w:ascii="Times New Roman" w:hAnsi="Times New Roman" w:cs="Times New Roman"/>
          <w:i/>
          <w:iCs/>
        </w:rPr>
        <w:t>Scritti di diritto pubblico dell’economia</w:t>
      </w:r>
      <w:r w:rsidRPr="00741827">
        <w:rPr>
          <w:rFonts w:ascii="Times New Roman" w:hAnsi="Times New Roman" w:cs="Times New Roman"/>
        </w:rPr>
        <w:t xml:space="preserve">, </w:t>
      </w:r>
      <w:proofErr w:type="spellStart"/>
      <w:r w:rsidR="009C0E9A">
        <w:rPr>
          <w:rFonts w:ascii="Times New Roman" w:hAnsi="Times New Roman" w:cs="Times New Roman"/>
        </w:rPr>
        <w:t>Giuffrè</w:t>
      </w:r>
      <w:proofErr w:type="spellEnd"/>
      <w:r w:rsidR="009C0E9A">
        <w:rPr>
          <w:rFonts w:ascii="Times New Roman" w:hAnsi="Times New Roman" w:cs="Times New Roman"/>
        </w:rPr>
        <w:t xml:space="preserve">, </w:t>
      </w:r>
      <w:r w:rsidRPr="00741827">
        <w:rPr>
          <w:rFonts w:ascii="Times New Roman" w:hAnsi="Times New Roman" w:cs="Times New Roman"/>
        </w:rPr>
        <w:t>Milano, 1970</w:t>
      </w:r>
      <w:r w:rsidR="009C0E9A">
        <w:rPr>
          <w:rFonts w:ascii="Times New Roman" w:hAnsi="Times New Roman" w:cs="Times New Roman"/>
        </w:rPr>
        <w:t>,</w:t>
      </w:r>
      <w:r w:rsidRPr="00741827">
        <w:rPr>
          <w:rFonts w:ascii="Times New Roman" w:hAnsi="Times New Roman" w:cs="Times New Roman"/>
        </w:rPr>
        <w:t xml:space="preserve"> p. 482 e ss. A. </w:t>
      </w:r>
      <w:proofErr w:type="spellStart"/>
      <w:r w:rsidRPr="00741827">
        <w:rPr>
          <w:rFonts w:ascii="Times New Roman" w:hAnsi="Times New Roman" w:cs="Times New Roman"/>
        </w:rPr>
        <w:t>Predieri</w:t>
      </w:r>
      <w:proofErr w:type="spellEnd"/>
      <w:r w:rsidRPr="00741827">
        <w:rPr>
          <w:rFonts w:ascii="Times New Roman" w:hAnsi="Times New Roman" w:cs="Times New Roman"/>
        </w:rPr>
        <w:t xml:space="preserve">, </w:t>
      </w:r>
      <w:r w:rsidR="009C0E9A">
        <w:rPr>
          <w:rFonts w:ascii="Times New Roman" w:hAnsi="Times New Roman" w:cs="Times New Roman"/>
        </w:rPr>
        <w:t>voce ‘</w:t>
      </w:r>
      <w:r w:rsidRPr="00741827">
        <w:rPr>
          <w:rFonts w:ascii="Times New Roman" w:hAnsi="Times New Roman" w:cs="Times New Roman"/>
        </w:rPr>
        <w:t>Collettivizzazione</w:t>
      </w:r>
      <w:r w:rsidR="009C0E9A">
        <w:rPr>
          <w:rFonts w:ascii="Times New Roman" w:hAnsi="Times New Roman" w:cs="Times New Roman"/>
        </w:rPr>
        <w:t>’</w:t>
      </w:r>
      <w:r w:rsidRPr="00741827">
        <w:rPr>
          <w:rFonts w:ascii="Times New Roman" w:hAnsi="Times New Roman" w:cs="Times New Roman"/>
        </w:rPr>
        <w:t>, in Enc</w:t>
      </w:r>
      <w:r w:rsidR="009C0E9A">
        <w:rPr>
          <w:rFonts w:ascii="Times New Roman" w:hAnsi="Times New Roman" w:cs="Times New Roman"/>
        </w:rPr>
        <w:t>iclopedia</w:t>
      </w:r>
      <w:r w:rsidRPr="00741827">
        <w:rPr>
          <w:rFonts w:ascii="Times New Roman" w:hAnsi="Times New Roman" w:cs="Times New Roman"/>
        </w:rPr>
        <w:t xml:space="preserve"> del Dir</w:t>
      </w:r>
      <w:r w:rsidR="009C0E9A">
        <w:rPr>
          <w:rFonts w:ascii="Times New Roman" w:hAnsi="Times New Roman" w:cs="Times New Roman"/>
        </w:rPr>
        <w:t>itto,</w:t>
      </w:r>
      <w:r w:rsidRPr="00741827">
        <w:rPr>
          <w:rFonts w:ascii="Times New Roman" w:hAnsi="Times New Roman" w:cs="Times New Roman"/>
        </w:rPr>
        <w:t xml:space="preserve"> VII, 1960, Par.</w:t>
      </w:r>
      <w:r w:rsidR="009C0E9A">
        <w:rPr>
          <w:rFonts w:ascii="Times New Roman" w:hAnsi="Times New Roman" w:cs="Times New Roman"/>
        </w:rPr>
        <w:t xml:space="preserve"> </w:t>
      </w:r>
      <w:r w:rsidRPr="00741827">
        <w:rPr>
          <w:rFonts w:ascii="Times New Roman" w:hAnsi="Times New Roman" w:cs="Times New Roman"/>
        </w:rPr>
        <w:t>12, p. 418 e ss</w:t>
      </w:r>
      <w:r w:rsidR="009C0E9A">
        <w:rPr>
          <w:rFonts w:ascii="Times New Roman" w:hAnsi="Times New Roman" w:cs="Times New Roman"/>
        </w:rPr>
        <w:t>.</w:t>
      </w:r>
    </w:p>
  </w:footnote>
  <w:footnote w:id="13">
    <w:p w14:paraId="39B3DB86" w14:textId="5063558B"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Sulla vicenda si veda C. </w:t>
      </w:r>
      <w:proofErr w:type="spellStart"/>
      <w:r w:rsidRPr="00741827">
        <w:rPr>
          <w:rFonts w:ascii="Times New Roman" w:hAnsi="Times New Roman" w:cs="Times New Roman"/>
        </w:rPr>
        <w:t>Cost</w:t>
      </w:r>
      <w:proofErr w:type="spellEnd"/>
      <w:r w:rsidR="009C0E9A">
        <w:rPr>
          <w:rFonts w:ascii="Times New Roman" w:hAnsi="Times New Roman" w:cs="Times New Roman"/>
        </w:rPr>
        <w:t>.</w:t>
      </w:r>
      <w:r w:rsidRPr="00741827">
        <w:rPr>
          <w:rFonts w:ascii="Times New Roman" w:hAnsi="Times New Roman" w:cs="Times New Roman"/>
        </w:rPr>
        <w:t>, 7 marzo 1964</w:t>
      </w:r>
      <w:r w:rsidR="009C0E9A">
        <w:rPr>
          <w:rFonts w:ascii="Times New Roman" w:hAnsi="Times New Roman" w:cs="Times New Roman"/>
        </w:rPr>
        <w:t>,</w:t>
      </w:r>
      <w:r w:rsidRPr="00741827">
        <w:rPr>
          <w:rFonts w:ascii="Times New Roman" w:hAnsi="Times New Roman" w:cs="Times New Roman"/>
        </w:rPr>
        <w:t xml:space="preserve"> n. 14, che ha dichiarato legittima l’operazione del legislatore. Si veda anche A. Zito, </w:t>
      </w:r>
      <w:r w:rsidRPr="009C0E9A">
        <w:rPr>
          <w:rFonts w:ascii="Times New Roman" w:hAnsi="Times New Roman" w:cs="Times New Roman"/>
          <w:i/>
          <w:iCs/>
        </w:rPr>
        <w:t>La legge istitutiva dell’Enel nella sentenza della corte costituzionale n. 14 del 1964: considerazioni inattuali sulla sua attualità</w:t>
      </w:r>
      <w:r w:rsidRPr="00741827">
        <w:rPr>
          <w:rFonts w:ascii="Times New Roman" w:hAnsi="Times New Roman" w:cs="Times New Roman"/>
        </w:rPr>
        <w:t>, in</w:t>
      </w:r>
      <w:r w:rsidR="009C0E9A">
        <w:rPr>
          <w:rFonts w:ascii="Times New Roman" w:hAnsi="Times New Roman" w:cs="Times New Roman"/>
        </w:rPr>
        <w:t xml:space="preserve"> </w:t>
      </w:r>
      <w:r w:rsidR="009C0E9A" w:rsidRPr="00741827">
        <w:rPr>
          <w:rFonts w:ascii="Times New Roman" w:hAnsi="Times New Roman" w:cs="Times New Roman"/>
        </w:rPr>
        <w:t>R. Di Raimo e V. Ricciuto</w:t>
      </w:r>
      <w:r w:rsidR="009C0E9A">
        <w:rPr>
          <w:rFonts w:ascii="Times New Roman" w:hAnsi="Times New Roman" w:cs="Times New Roman"/>
        </w:rPr>
        <w:t xml:space="preserve"> (a cura di),</w:t>
      </w:r>
      <w:r w:rsidRPr="00741827">
        <w:rPr>
          <w:rFonts w:ascii="Times New Roman" w:hAnsi="Times New Roman" w:cs="Times New Roman"/>
        </w:rPr>
        <w:t xml:space="preserve"> </w:t>
      </w:r>
      <w:r w:rsidRPr="009C0E9A">
        <w:rPr>
          <w:rFonts w:ascii="Times New Roman" w:hAnsi="Times New Roman" w:cs="Times New Roman"/>
          <w:i/>
          <w:iCs/>
        </w:rPr>
        <w:t>Impresa pubblica e intervento dello Stato sull’economia. Il contributo della giurisprudenza costituzionale</w:t>
      </w:r>
      <w:r w:rsidRPr="00741827">
        <w:rPr>
          <w:rFonts w:ascii="Times New Roman" w:hAnsi="Times New Roman" w:cs="Times New Roman"/>
        </w:rPr>
        <w:t>, ESI,</w:t>
      </w:r>
      <w:r w:rsidR="009C0E9A">
        <w:rPr>
          <w:rFonts w:ascii="Times New Roman" w:hAnsi="Times New Roman" w:cs="Times New Roman"/>
        </w:rPr>
        <w:t xml:space="preserve"> Napoli,</w:t>
      </w:r>
      <w:r w:rsidRPr="00741827">
        <w:rPr>
          <w:rFonts w:ascii="Times New Roman" w:hAnsi="Times New Roman" w:cs="Times New Roman"/>
        </w:rPr>
        <w:t xml:space="preserve"> 2007, </w:t>
      </w:r>
      <w:r w:rsidR="009C0E9A">
        <w:rPr>
          <w:rFonts w:ascii="Times New Roman" w:hAnsi="Times New Roman" w:cs="Times New Roman"/>
        </w:rPr>
        <w:t xml:space="preserve">p. </w:t>
      </w:r>
      <w:r w:rsidRPr="00741827">
        <w:rPr>
          <w:rFonts w:ascii="Times New Roman" w:hAnsi="Times New Roman" w:cs="Times New Roman"/>
        </w:rPr>
        <w:t xml:space="preserve">60 e ss.; G D’Orta, </w:t>
      </w:r>
      <w:r w:rsidRPr="009C0E9A">
        <w:rPr>
          <w:rFonts w:ascii="Times New Roman" w:hAnsi="Times New Roman" w:cs="Times New Roman"/>
          <w:i/>
          <w:iCs/>
        </w:rPr>
        <w:t>La programmazione energetica</w:t>
      </w:r>
      <w:r w:rsidRPr="00741827">
        <w:rPr>
          <w:rFonts w:ascii="Times New Roman" w:hAnsi="Times New Roman" w:cs="Times New Roman"/>
        </w:rPr>
        <w:t>, in</w:t>
      </w:r>
      <w:r w:rsidR="009C0E9A">
        <w:rPr>
          <w:rFonts w:ascii="Times New Roman" w:hAnsi="Times New Roman" w:cs="Times New Roman"/>
        </w:rPr>
        <w:t xml:space="preserve"> S. </w:t>
      </w:r>
      <w:proofErr w:type="spellStart"/>
      <w:r w:rsidR="009C0E9A">
        <w:rPr>
          <w:rFonts w:ascii="Times New Roman" w:hAnsi="Times New Roman" w:cs="Times New Roman"/>
        </w:rPr>
        <w:t>Cassese</w:t>
      </w:r>
      <w:proofErr w:type="spellEnd"/>
      <w:r w:rsidR="009C0E9A">
        <w:rPr>
          <w:rFonts w:ascii="Times New Roman" w:hAnsi="Times New Roman" w:cs="Times New Roman"/>
        </w:rPr>
        <w:t xml:space="preserve"> (a cura di),</w:t>
      </w:r>
      <w:r w:rsidRPr="00741827">
        <w:rPr>
          <w:rFonts w:ascii="Times New Roman" w:hAnsi="Times New Roman" w:cs="Times New Roman"/>
        </w:rPr>
        <w:t xml:space="preserve"> </w:t>
      </w:r>
      <w:r w:rsidRPr="009C0E9A">
        <w:rPr>
          <w:rFonts w:ascii="Times New Roman" w:hAnsi="Times New Roman" w:cs="Times New Roman"/>
          <w:i/>
          <w:iCs/>
        </w:rPr>
        <w:t>Governo dell’energia</w:t>
      </w:r>
      <w:r w:rsidRPr="00741827">
        <w:rPr>
          <w:rFonts w:ascii="Times New Roman" w:hAnsi="Times New Roman" w:cs="Times New Roman"/>
        </w:rPr>
        <w:t>,</w:t>
      </w:r>
      <w:r w:rsidR="00C566C8">
        <w:rPr>
          <w:rFonts w:ascii="Times New Roman" w:hAnsi="Times New Roman" w:cs="Times New Roman"/>
        </w:rPr>
        <w:t xml:space="preserve"> Maggioli, Santarcangelo di Romagna, </w:t>
      </w:r>
      <w:r w:rsidRPr="00741827">
        <w:rPr>
          <w:rFonts w:ascii="Times New Roman" w:hAnsi="Times New Roman" w:cs="Times New Roman"/>
        </w:rPr>
        <w:t>1992,</w:t>
      </w:r>
      <w:r w:rsidR="00C566C8">
        <w:rPr>
          <w:rFonts w:ascii="Times New Roman" w:hAnsi="Times New Roman" w:cs="Times New Roman"/>
        </w:rPr>
        <w:t xml:space="preserve"> p.</w:t>
      </w:r>
      <w:r w:rsidRPr="00741827">
        <w:rPr>
          <w:rFonts w:ascii="Times New Roman" w:hAnsi="Times New Roman" w:cs="Times New Roman"/>
        </w:rPr>
        <w:t xml:space="preserve"> 119 e ss</w:t>
      </w:r>
      <w:r w:rsidR="00C566C8">
        <w:rPr>
          <w:rFonts w:ascii="Times New Roman" w:hAnsi="Times New Roman" w:cs="Times New Roman"/>
        </w:rPr>
        <w:t>.</w:t>
      </w:r>
    </w:p>
  </w:footnote>
  <w:footnote w:id="14">
    <w:p w14:paraId="416B7BEA" w14:textId="3770306E" w:rsidR="0055158D" w:rsidRPr="00EE3670"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EE3670">
        <w:rPr>
          <w:rStyle w:val="Rimandonotaapidipagina"/>
          <w:rFonts w:ascii="Times New Roman" w:hAnsi="Times New Roman" w:cs="Times New Roman"/>
        </w:rPr>
        <w:footnoteRef/>
      </w:r>
      <w:r w:rsidRPr="00EE3670">
        <w:rPr>
          <w:rFonts w:ascii="Times New Roman" w:hAnsi="Times New Roman" w:cs="Times New Roman"/>
        </w:rPr>
        <w:t xml:space="preserve"> Per una completa rassegna sull’influsso del diritto europeo, si veda l’ottima voce di M. Clarich,</w:t>
      </w:r>
      <w:r w:rsidR="00C566C8" w:rsidRPr="00EE3670">
        <w:rPr>
          <w:rFonts w:ascii="Times New Roman" w:hAnsi="Times New Roman" w:cs="Times New Roman"/>
        </w:rPr>
        <w:t xml:space="preserve"> voce</w:t>
      </w:r>
      <w:r w:rsidRPr="00EE3670">
        <w:rPr>
          <w:rFonts w:ascii="Times New Roman" w:hAnsi="Times New Roman" w:cs="Times New Roman"/>
        </w:rPr>
        <w:t xml:space="preserve"> </w:t>
      </w:r>
      <w:r w:rsidR="00C566C8" w:rsidRPr="00EE3670">
        <w:rPr>
          <w:rFonts w:ascii="Times New Roman" w:hAnsi="Times New Roman" w:cs="Times New Roman"/>
        </w:rPr>
        <w:t>‘</w:t>
      </w:r>
      <w:r w:rsidRPr="00EE3670">
        <w:rPr>
          <w:rFonts w:ascii="Times New Roman" w:hAnsi="Times New Roman" w:cs="Times New Roman"/>
        </w:rPr>
        <w:t>Energia</w:t>
      </w:r>
      <w:r w:rsidR="00C566C8" w:rsidRPr="00EE3670">
        <w:rPr>
          <w:rFonts w:ascii="Times New Roman" w:hAnsi="Times New Roman" w:cs="Times New Roman"/>
        </w:rPr>
        <w:t>’</w:t>
      </w:r>
      <w:r w:rsidRPr="00EE3670">
        <w:rPr>
          <w:rFonts w:ascii="Times New Roman" w:hAnsi="Times New Roman" w:cs="Times New Roman"/>
        </w:rPr>
        <w:t xml:space="preserve">, in </w:t>
      </w:r>
      <w:r w:rsidR="00C566C8" w:rsidRPr="00EE3670">
        <w:rPr>
          <w:rFonts w:ascii="Times New Roman" w:hAnsi="Times New Roman" w:cs="Times New Roman"/>
        </w:rPr>
        <w:t>En</w:t>
      </w:r>
      <w:r w:rsidR="00EE3670">
        <w:rPr>
          <w:rFonts w:ascii="Times New Roman" w:hAnsi="Times New Roman" w:cs="Times New Roman"/>
        </w:rPr>
        <w:t>c</w:t>
      </w:r>
      <w:r w:rsidR="00C566C8" w:rsidRPr="00EE3670">
        <w:rPr>
          <w:rFonts w:ascii="Times New Roman" w:hAnsi="Times New Roman" w:cs="Times New Roman"/>
        </w:rPr>
        <w:t xml:space="preserve">iclopedia del Diritto, </w:t>
      </w:r>
      <w:r w:rsidRPr="00EE3670">
        <w:rPr>
          <w:rFonts w:ascii="Times New Roman" w:hAnsi="Times New Roman" w:cs="Times New Roman"/>
        </w:rPr>
        <w:t xml:space="preserve">estratto I Tematici, III-2022, </w:t>
      </w:r>
      <w:r w:rsidR="00C566C8" w:rsidRPr="00EE3670">
        <w:rPr>
          <w:rFonts w:ascii="Times New Roman" w:hAnsi="Times New Roman" w:cs="Times New Roman"/>
        </w:rPr>
        <w:t>‘</w:t>
      </w:r>
      <w:r w:rsidRPr="00EE3670">
        <w:rPr>
          <w:rFonts w:ascii="Times New Roman" w:hAnsi="Times New Roman" w:cs="Times New Roman"/>
        </w:rPr>
        <w:t>Funzioni amministrative</w:t>
      </w:r>
      <w:r w:rsidR="00C566C8" w:rsidRPr="00EE3670">
        <w:rPr>
          <w:rFonts w:ascii="Times New Roman" w:hAnsi="Times New Roman" w:cs="Times New Roman"/>
        </w:rPr>
        <w:t>’</w:t>
      </w:r>
      <w:r w:rsidRPr="00EE3670">
        <w:rPr>
          <w:rFonts w:ascii="Times New Roman" w:hAnsi="Times New Roman" w:cs="Times New Roman"/>
        </w:rPr>
        <w:t xml:space="preserve">, diretto da B. Mattarella e M. Ramajoli, </w:t>
      </w:r>
      <w:proofErr w:type="spellStart"/>
      <w:r w:rsidR="00EE3670">
        <w:rPr>
          <w:rFonts w:ascii="Times New Roman" w:hAnsi="Times New Roman" w:cs="Times New Roman"/>
        </w:rPr>
        <w:t>Giuffrè</w:t>
      </w:r>
      <w:proofErr w:type="spellEnd"/>
      <w:r w:rsidR="00EE3670">
        <w:rPr>
          <w:rFonts w:ascii="Times New Roman" w:hAnsi="Times New Roman" w:cs="Times New Roman"/>
        </w:rPr>
        <w:t xml:space="preserve">, </w:t>
      </w:r>
      <w:r w:rsidRPr="00EE3670">
        <w:rPr>
          <w:rFonts w:ascii="Times New Roman" w:hAnsi="Times New Roman" w:cs="Times New Roman"/>
        </w:rPr>
        <w:t>Milano, 2002</w:t>
      </w:r>
      <w:r w:rsidR="00C566C8" w:rsidRPr="00EE3670">
        <w:rPr>
          <w:rFonts w:ascii="Times New Roman" w:hAnsi="Times New Roman" w:cs="Times New Roman"/>
        </w:rPr>
        <w:t>,</w:t>
      </w:r>
      <w:r w:rsidRPr="00EE3670">
        <w:rPr>
          <w:rFonts w:ascii="Times New Roman" w:hAnsi="Times New Roman" w:cs="Times New Roman"/>
        </w:rPr>
        <w:t xml:space="preserve"> p. 448 e ss., con le note ivi contenute</w:t>
      </w:r>
      <w:r w:rsidR="00C566C8" w:rsidRPr="00EE3670">
        <w:rPr>
          <w:rFonts w:ascii="Times New Roman" w:hAnsi="Times New Roman" w:cs="Times New Roman"/>
        </w:rPr>
        <w:t>.</w:t>
      </w:r>
    </w:p>
  </w:footnote>
  <w:footnote w:id="15">
    <w:p w14:paraId="7BE16390" w14:textId="5DDFE206"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EE3670">
        <w:rPr>
          <w:rStyle w:val="Rimandonotaapidipagina"/>
          <w:rFonts w:ascii="Times New Roman" w:hAnsi="Times New Roman" w:cs="Times New Roman"/>
        </w:rPr>
        <w:footnoteRef/>
      </w:r>
      <w:r w:rsidRPr="00EE3670">
        <w:rPr>
          <w:rFonts w:ascii="Times New Roman" w:hAnsi="Times New Roman" w:cs="Times New Roman"/>
        </w:rPr>
        <w:t xml:space="preserve"> Sull’art. 41 naturalmente la letteratura è molto vasta. Sulla legge di riforma costituzionale, si vedano: T.E. Frosini, </w:t>
      </w:r>
      <w:r w:rsidRPr="00EE3670">
        <w:rPr>
          <w:rFonts w:ascii="Times New Roman" w:hAnsi="Times New Roman" w:cs="Times New Roman"/>
          <w:i/>
          <w:iCs/>
        </w:rPr>
        <w:t xml:space="preserve">La </w:t>
      </w:r>
      <w:r w:rsidR="00EE3670">
        <w:rPr>
          <w:rFonts w:ascii="Times New Roman" w:hAnsi="Times New Roman" w:cs="Times New Roman"/>
          <w:i/>
          <w:iCs/>
        </w:rPr>
        <w:t>C</w:t>
      </w:r>
      <w:r w:rsidRPr="00EE3670">
        <w:rPr>
          <w:rFonts w:ascii="Times New Roman" w:hAnsi="Times New Roman" w:cs="Times New Roman"/>
          <w:i/>
          <w:iCs/>
        </w:rPr>
        <w:t>ostituzione in senso ambientale. Una critica</w:t>
      </w:r>
      <w:r w:rsidRPr="00EE3670">
        <w:rPr>
          <w:rFonts w:ascii="Times New Roman" w:hAnsi="Times New Roman" w:cs="Times New Roman"/>
        </w:rPr>
        <w:t xml:space="preserve">, in </w:t>
      </w:r>
      <w:r w:rsidRPr="00EE3670">
        <w:rPr>
          <w:rFonts w:ascii="Times New Roman" w:hAnsi="Times New Roman" w:cs="Times New Roman"/>
          <w:i/>
          <w:iCs/>
        </w:rPr>
        <w:t>federalismi</w:t>
      </w:r>
      <w:r w:rsidR="00EE3670" w:rsidRPr="00EE3670">
        <w:rPr>
          <w:rFonts w:ascii="Times New Roman" w:hAnsi="Times New Roman" w:cs="Times New Roman"/>
          <w:i/>
          <w:iCs/>
        </w:rPr>
        <w:t>.it</w:t>
      </w:r>
      <w:r w:rsidR="00EE3670">
        <w:rPr>
          <w:rFonts w:ascii="Times New Roman" w:hAnsi="Times New Roman" w:cs="Times New Roman"/>
        </w:rPr>
        <w:t>,</w:t>
      </w:r>
      <w:r w:rsidRPr="00EE3670">
        <w:rPr>
          <w:rFonts w:ascii="Times New Roman" w:hAnsi="Times New Roman" w:cs="Times New Roman"/>
        </w:rPr>
        <w:t xml:space="preserve"> 6</w:t>
      </w:r>
      <w:r w:rsidR="00EE3670">
        <w:rPr>
          <w:rFonts w:ascii="Times New Roman" w:hAnsi="Times New Roman" w:cs="Times New Roman"/>
        </w:rPr>
        <w:t>/</w:t>
      </w:r>
      <w:r w:rsidRPr="00EE3670">
        <w:rPr>
          <w:rFonts w:ascii="Times New Roman" w:hAnsi="Times New Roman" w:cs="Times New Roman"/>
        </w:rPr>
        <w:t xml:space="preserve">2021; G. Santini, </w:t>
      </w:r>
      <w:r w:rsidRPr="00EE3670">
        <w:rPr>
          <w:rFonts w:ascii="Times New Roman" w:hAnsi="Times New Roman" w:cs="Times New Roman"/>
          <w:i/>
          <w:iCs/>
        </w:rPr>
        <w:t xml:space="preserve">Costituzione e ambiente: la riforma degli articoli 9 e 41 </w:t>
      </w:r>
      <w:proofErr w:type="spellStart"/>
      <w:r w:rsidRPr="00EE3670">
        <w:rPr>
          <w:rFonts w:ascii="Times New Roman" w:hAnsi="Times New Roman" w:cs="Times New Roman"/>
          <w:i/>
          <w:iCs/>
        </w:rPr>
        <w:t>Cost</w:t>
      </w:r>
      <w:proofErr w:type="spellEnd"/>
      <w:r w:rsidRPr="00EE3670">
        <w:rPr>
          <w:rFonts w:ascii="Times New Roman" w:hAnsi="Times New Roman" w:cs="Times New Roman"/>
          <w:i/>
          <w:iCs/>
        </w:rPr>
        <w:t>.</w:t>
      </w:r>
      <w:r w:rsidRPr="00EE3670">
        <w:rPr>
          <w:rFonts w:ascii="Times New Roman" w:hAnsi="Times New Roman" w:cs="Times New Roman"/>
        </w:rPr>
        <w:t>,</w:t>
      </w:r>
      <w:r w:rsidR="00EE3670">
        <w:rPr>
          <w:rFonts w:ascii="Times New Roman" w:hAnsi="Times New Roman" w:cs="Times New Roman"/>
        </w:rPr>
        <w:t xml:space="preserve"> in</w:t>
      </w:r>
      <w:r w:rsidRPr="00EE3670">
        <w:rPr>
          <w:rFonts w:ascii="Times New Roman" w:hAnsi="Times New Roman" w:cs="Times New Roman"/>
        </w:rPr>
        <w:t xml:space="preserve"> </w:t>
      </w:r>
      <w:r w:rsidRPr="00EE3670">
        <w:rPr>
          <w:rFonts w:ascii="Times New Roman" w:hAnsi="Times New Roman" w:cs="Times New Roman"/>
          <w:i/>
          <w:iCs/>
        </w:rPr>
        <w:t>Forum di quaderni costituzionali</w:t>
      </w:r>
      <w:r w:rsidRPr="00EE3670">
        <w:rPr>
          <w:rFonts w:ascii="Times New Roman" w:hAnsi="Times New Roman" w:cs="Times New Roman"/>
        </w:rPr>
        <w:t xml:space="preserve">, 2/2021, </w:t>
      </w:r>
      <w:r w:rsidR="00EE3670">
        <w:rPr>
          <w:rFonts w:ascii="Times New Roman" w:hAnsi="Times New Roman" w:cs="Times New Roman"/>
        </w:rPr>
        <w:t xml:space="preserve">p. </w:t>
      </w:r>
      <w:r w:rsidRPr="00EE3670">
        <w:rPr>
          <w:rFonts w:ascii="Times New Roman" w:hAnsi="Times New Roman" w:cs="Times New Roman"/>
        </w:rPr>
        <w:t>480; G. Severini</w:t>
      </w:r>
      <w:r w:rsidR="00EE3670">
        <w:rPr>
          <w:rFonts w:ascii="Times New Roman" w:hAnsi="Times New Roman" w:cs="Times New Roman"/>
        </w:rPr>
        <w:t xml:space="preserve">, </w:t>
      </w:r>
      <w:r w:rsidRPr="00EE3670">
        <w:rPr>
          <w:rFonts w:ascii="Times New Roman" w:hAnsi="Times New Roman" w:cs="Times New Roman"/>
        </w:rPr>
        <w:t xml:space="preserve">P. Carpentieri, </w:t>
      </w:r>
      <w:r w:rsidRPr="00EE3670">
        <w:rPr>
          <w:rFonts w:ascii="Times New Roman" w:hAnsi="Times New Roman" w:cs="Times New Roman"/>
          <w:i/>
          <w:iCs/>
        </w:rPr>
        <w:t>Sull’inutile, anzi dannosa modifica dell’art. 9 della Costituzione</w:t>
      </w:r>
      <w:r w:rsidRPr="00EE3670">
        <w:rPr>
          <w:rFonts w:ascii="Times New Roman" w:hAnsi="Times New Roman" w:cs="Times New Roman"/>
        </w:rPr>
        <w:t>, 22.9.2021</w:t>
      </w:r>
      <w:r w:rsidR="00EE3670">
        <w:rPr>
          <w:rFonts w:ascii="Times New Roman" w:hAnsi="Times New Roman" w:cs="Times New Roman"/>
        </w:rPr>
        <w:t xml:space="preserve">, disponibile al link </w:t>
      </w:r>
      <w:hyperlink r:id="rId1" w:history="1">
        <w:r w:rsidR="00EE3670">
          <w:rPr>
            <w:rStyle w:val="Collegamentoipertestuale"/>
            <w:rFonts w:ascii="Times New Roman" w:hAnsi="Times New Roman" w:cs="Times New Roman"/>
          </w:rPr>
          <w:t>https://www.giustiziainsieme.it/</w:t>
        </w:r>
      </w:hyperlink>
      <w:r w:rsidR="00EE3670">
        <w:rPr>
          <w:rFonts w:ascii="Times New Roman" w:hAnsi="Times New Roman" w:cs="Times New Roman"/>
        </w:rPr>
        <w:t xml:space="preserve">; </w:t>
      </w:r>
      <w:r w:rsidRPr="00EE3670">
        <w:rPr>
          <w:rFonts w:ascii="Times New Roman" w:hAnsi="Times New Roman" w:cs="Times New Roman"/>
        </w:rPr>
        <w:t>R.</w:t>
      </w:r>
      <w:r w:rsidRPr="00741827">
        <w:rPr>
          <w:rFonts w:ascii="Times New Roman" w:hAnsi="Times New Roman" w:cs="Times New Roman"/>
        </w:rPr>
        <w:t xml:space="preserve"> Montaldo, </w:t>
      </w:r>
      <w:r w:rsidRPr="00EE3670">
        <w:rPr>
          <w:rFonts w:ascii="Times New Roman" w:hAnsi="Times New Roman" w:cs="Times New Roman"/>
          <w:i/>
          <w:iCs/>
        </w:rPr>
        <w:t xml:space="preserve">La tutela costituzionale dell’ambiente nella modifica degli articoli 9 e 41 </w:t>
      </w:r>
      <w:proofErr w:type="spellStart"/>
      <w:r w:rsidRPr="00EE3670">
        <w:rPr>
          <w:rFonts w:ascii="Times New Roman" w:hAnsi="Times New Roman" w:cs="Times New Roman"/>
          <w:i/>
          <w:iCs/>
        </w:rPr>
        <w:t>Cost</w:t>
      </w:r>
      <w:proofErr w:type="spellEnd"/>
      <w:r w:rsidRPr="00EE3670">
        <w:rPr>
          <w:rFonts w:ascii="Times New Roman" w:hAnsi="Times New Roman" w:cs="Times New Roman"/>
          <w:i/>
          <w:iCs/>
        </w:rPr>
        <w:t>.: una riforma opportuna e necessaria</w:t>
      </w:r>
      <w:r w:rsidRPr="00741827">
        <w:rPr>
          <w:rFonts w:ascii="Times New Roman" w:hAnsi="Times New Roman" w:cs="Times New Roman"/>
        </w:rPr>
        <w:t xml:space="preserve">, in </w:t>
      </w:r>
      <w:r w:rsidR="00EE3670" w:rsidRPr="00EE3670">
        <w:rPr>
          <w:rFonts w:ascii="Times New Roman" w:hAnsi="Times New Roman" w:cs="Times New Roman"/>
          <w:i/>
          <w:iCs/>
        </w:rPr>
        <w:t>f</w:t>
      </w:r>
      <w:r w:rsidRPr="00EE3670">
        <w:rPr>
          <w:rFonts w:ascii="Times New Roman" w:hAnsi="Times New Roman" w:cs="Times New Roman"/>
          <w:i/>
          <w:iCs/>
        </w:rPr>
        <w:t>ederalismi.it</w:t>
      </w:r>
      <w:r w:rsidRPr="00741827">
        <w:rPr>
          <w:rFonts w:ascii="Times New Roman" w:hAnsi="Times New Roman" w:cs="Times New Roman"/>
        </w:rPr>
        <w:t>,</w:t>
      </w:r>
      <w:r w:rsidR="00EE3670">
        <w:rPr>
          <w:rFonts w:ascii="Times New Roman" w:hAnsi="Times New Roman" w:cs="Times New Roman"/>
        </w:rPr>
        <w:t xml:space="preserve"> </w:t>
      </w:r>
      <w:r w:rsidRPr="00741827">
        <w:rPr>
          <w:rFonts w:ascii="Times New Roman" w:hAnsi="Times New Roman" w:cs="Times New Roman"/>
        </w:rPr>
        <w:t>n. 13</w:t>
      </w:r>
      <w:r w:rsidR="00EE3670">
        <w:rPr>
          <w:rFonts w:ascii="Times New Roman" w:hAnsi="Times New Roman" w:cs="Times New Roman"/>
        </w:rPr>
        <w:t xml:space="preserve">, </w:t>
      </w:r>
      <w:r w:rsidRPr="00741827">
        <w:rPr>
          <w:rFonts w:ascii="Times New Roman" w:hAnsi="Times New Roman" w:cs="Times New Roman"/>
        </w:rPr>
        <w:t xml:space="preserve">2022, </w:t>
      </w:r>
      <w:r w:rsidR="00EE3670">
        <w:rPr>
          <w:rFonts w:ascii="Times New Roman" w:hAnsi="Times New Roman" w:cs="Times New Roman"/>
        </w:rPr>
        <w:t>p.</w:t>
      </w:r>
      <w:r w:rsidRPr="00741827">
        <w:rPr>
          <w:rFonts w:ascii="Times New Roman" w:hAnsi="Times New Roman" w:cs="Times New Roman"/>
        </w:rPr>
        <w:t xml:space="preserve"> 149 e ss</w:t>
      </w:r>
      <w:r w:rsidR="00EE3670">
        <w:rPr>
          <w:rFonts w:ascii="Times New Roman" w:hAnsi="Times New Roman" w:cs="Times New Roman"/>
        </w:rPr>
        <w:t>.</w:t>
      </w:r>
    </w:p>
  </w:footnote>
  <w:footnote w:id="16">
    <w:p w14:paraId="754891F9" w14:textId="0AA8C4C8"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Sentenze n.</w:t>
      </w:r>
      <w:r w:rsidR="00EE3670">
        <w:rPr>
          <w:rFonts w:ascii="Times New Roman" w:hAnsi="Times New Roman" w:cs="Times New Roman"/>
        </w:rPr>
        <w:t xml:space="preserve"> </w:t>
      </w:r>
      <w:r w:rsidRPr="00741827">
        <w:rPr>
          <w:rFonts w:ascii="Times New Roman" w:hAnsi="Times New Roman" w:cs="Times New Roman"/>
        </w:rPr>
        <w:t>308 del 2011</w:t>
      </w:r>
      <w:r w:rsidR="00EE3670">
        <w:rPr>
          <w:rFonts w:ascii="Times New Roman" w:hAnsi="Times New Roman" w:cs="Times New Roman"/>
        </w:rPr>
        <w:t>,</w:t>
      </w:r>
      <w:r w:rsidRPr="00741827">
        <w:rPr>
          <w:rFonts w:ascii="Times New Roman" w:hAnsi="Times New Roman" w:cs="Times New Roman"/>
        </w:rPr>
        <w:t xml:space="preserve"> n. 99 del 2012, n. 2224 del 2012, n. 13 del 2014, n.69 del 2018, n.106 del 2020. Ma si veda anche </w:t>
      </w:r>
      <w:proofErr w:type="spellStart"/>
      <w:r w:rsidRPr="00741827">
        <w:rPr>
          <w:rFonts w:ascii="Times New Roman" w:hAnsi="Times New Roman" w:cs="Times New Roman"/>
        </w:rPr>
        <w:t>Cons</w:t>
      </w:r>
      <w:proofErr w:type="spellEnd"/>
      <w:r w:rsidRPr="00741827">
        <w:rPr>
          <w:rFonts w:ascii="Times New Roman" w:hAnsi="Times New Roman" w:cs="Times New Roman"/>
        </w:rPr>
        <w:t>. St., sez. VI, 8 aprile 2021, n. 2848</w:t>
      </w:r>
      <w:r w:rsidR="00EE3670">
        <w:rPr>
          <w:rFonts w:ascii="Times New Roman" w:hAnsi="Times New Roman" w:cs="Times New Roman"/>
        </w:rPr>
        <w:t>.</w:t>
      </w:r>
    </w:p>
  </w:footnote>
  <w:footnote w:id="17">
    <w:p w14:paraId="5424B93E" w14:textId="6A17BB49"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Per un’approfondita rassegna, si veda ancora: M. Clarich, voce </w:t>
      </w:r>
      <w:r w:rsidR="00EE3670">
        <w:rPr>
          <w:rFonts w:ascii="Times New Roman" w:hAnsi="Times New Roman" w:cs="Times New Roman"/>
        </w:rPr>
        <w:t>‘</w:t>
      </w:r>
      <w:r w:rsidRPr="00741827">
        <w:rPr>
          <w:rFonts w:ascii="Times New Roman" w:hAnsi="Times New Roman" w:cs="Times New Roman"/>
        </w:rPr>
        <w:t>Energia</w:t>
      </w:r>
      <w:r w:rsidR="00EE3670">
        <w:rPr>
          <w:rFonts w:ascii="Times New Roman" w:hAnsi="Times New Roman" w:cs="Times New Roman"/>
        </w:rPr>
        <w:t>’</w:t>
      </w:r>
      <w:r w:rsidRPr="00741827">
        <w:rPr>
          <w:rFonts w:ascii="Times New Roman" w:hAnsi="Times New Roman" w:cs="Times New Roman"/>
        </w:rPr>
        <w:t>,</w:t>
      </w:r>
      <w:r w:rsidR="00EE3670">
        <w:rPr>
          <w:rFonts w:ascii="Times New Roman" w:hAnsi="Times New Roman" w:cs="Times New Roman"/>
        </w:rPr>
        <w:t xml:space="preserve"> cit., </w:t>
      </w:r>
      <w:r w:rsidRPr="00741827">
        <w:rPr>
          <w:rFonts w:ascii="Times New Roman" w:hAnsi="Times New Roman" w:cs="Times New Roman"/>
        </w:rPr>
        <w:t>p</w:t>
      </w:r>
      <w:r w:rsidR="00EE3670">
        <w:rPr>
          <w:rFonts w:ascii="Times New Roman" w:hAnsi="Times New Roman" w:cs="Times New Roman"/>
        </w:rPr>
        <w:t>p</w:t>
      </w:r>
      <w:r w:rsidRPr="00741827">
        <w:rPr>
          <w:rFonts w:ascii="Times New Roman" w:hAnsi="Times New Roman" w:cs="Times New Roman"/>
        </w:rPr>
        <w:t>. 458-465.</w:t>
      </w:r>
    </w:p>
  </w:footnote>
  <w:footnote w:id="18">
    <w:p w14:paraId="6C6CC74B" w14:textId="62F8EA56"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Sul tema si veda. F. </w:t>
      </w:r>
      <w:proofErr w:type="spellStart"/>
      <w:r w:rsidRPr="00741827">
        <w:rPr>
          <w:rFonts w:ascii="Times New Roman" w:hAnsi="Times New Roman" w:cs="Times New Roman"/>
        </w:rPr>
        <w:t>Cintioli</w:t>
      </w:r>
      <w:proofErr w:type="spellEnd"/>
      <w:r w:rsidRPr="00741827">
        <w:rPr>
          <w:rFonts w:ascii="Times New Roman" w:hAnsi="Times New Roman" w:cs="Times New Roman"/>
        </w:rPr>
        <w:t xml:space="preserve">, </w:t>
      </w:r>
      <w:r w:rsidRPr="00957AA7">
        <w:rPr>
          <w:rFonts w:ascii="Times New Roman" w:hAnsi="Times New Roman" w:cs="Times New Roman"/>
          <w:i/>
          <w:iCs/>
        </w:rPr>
        <w:t>I servizi di interesse economico generale e</w:t>
      </w:r>
      <w:r w:rsidR="00957AA7" w:rsidRPr="00957AA7">
        <w:rPr>
          <w:rFonts w:ascii="Times New Roman" w:hAnsi="Times New Roman" w:cs="Times New Roman"/>
          <w:i/>
          <w:iCs/>
        </w:rPr>
        <w:t>d</w:t>
      </w:r>
      <w:r w:rsidRPr="00957AA7">
        <w:rPr>
          <w:rFonts w:ascii="Times New Roman" w:hAnsi="Times New Roman" w:cs="Times New Roman"/>
          <w:i/>
          <w:iCs/>
        </w:rPr>
        <w:t xml:space="preserve"> i rapporti tra antitrust e regolazione</w:t>
      </w:r>
      <w:r w:rsidRPr="00741827">
        <w:rPr>
          <w:rFonts w:ascii="Times New Roman" w:hAnsi="Times New Roman" w:cs="Times New Roman"/>
        </w:rPr>
        <w:t>, in</w:t>
      </w:r>
      <w:r w:rsidR="00957AA7">
        <w:rPr>
          <w:rFonts w:ascii="Times New Roman" w:hAnsi="Times New Roman" w:cs="Times New Roman"/>
        </w:rPr>
        <w:t xml:space="preserve"> </w:t>
      </w:r>
      <w:r w:rsidR="00957AA7" w:rsidRPr="00741827">
        <w:rPr>
          <w:rFonts w:ascii="Times New Roman" w:hAnsi="Times New Roman" w:cs="Times New Roman"/>
        </w:rPr>
        <w:t>C</w:t>
      </w:r>
      <w:r w:rsidR="00957AA7">
        <w:rPr>
          <w:rFonts w:ascii="Times New Roman" w:hAnsi="Times New Roman" w:cs="Times New Roman"/>
        </w:rPr>
        <w:t>.</w:t>
      </w:r>
      <w:r w:rsidR="00957AA7" w:rsidRPr="00741827">
        <w:rPr>
          <w:rFonts w:ascii="Times New Roman" w:hAnsi="Times New Roman" w:cs="Times New Roman"/>
        </w:rPr>
        <w:t xml:space="preserve"> Rabitti </w:t>
      </w:r>
      <w:proofErr w:type="spellStart"/>
      <w:r w:rsidR="00957AA7" w:rsidRPr="00741827">
        <w:rPr>
          <w:rFonts w:ascii="Times New Roman" w:hAnsi="Times New Roman" w:cs="Times New Roman"/>
        </w:rPr>
        <w:t>Bedogni</w:t>
      </w:r>
      <w:proofErr w:type="spellEnd"/>
      <w:r w:rsidR="00957AA7" w:rsidRPr="00741827">
        <w:rPr>
          <w:rFonts w:ascii="Times New Roman" w:hAnsi="Times New Roman" w:cs="Times New Roman"/>
        </w:rPr>
        <w:t xml:space="preserve"> e P. Barucci</w:t>
      </w:r>
      <w:r w:rsidR="00957AA7">
        <w:rPr>
          <w:rFonts w:ascii="Times New Roman" w:hAnsi="Times New Roman" w:cs="Times New Roman"/>
        </w:rPr>
        <w:t xml:space="preserve"> (a cura di),</w:t>
      </w:r>
      <w:r w:rsidRPr="00741827">
        <w:rPr>
          <w:rFonts w:ascii="Times New Roman" w:hAnsi="Times New Roman" w:cs="Times New Roman"/>
        </w:rPr>
        <w:t xml:space="preserve"> </w:t>
      </w:r>
      <w:r w:rsidRPr="00957AA7">
        <w:rPr>
          <w:rFonts w:ascii="Times New Roman" w:hAnsi="Times New Roman" w:cs="Times New Roman"/>
          <w:i/>
          <w:iCs/>
        </w:rPr>
        <w:t>20 anni di antitrust</w:t>
      </w:r>
      <w:r w:rsidR="00957AA7">
        <w:rPr>
          <w:rFonts w:ascii="Times New Roman" w:hAnsi="Times New Roman" w:cs="Times New Roman"/>
        </w:rPr>
        <w:t>, tomo</w:t>
      </w:r>
      <w:r w:rsidRPr="00741827">
        <w:rPr>
          <w:rFonts w:ascii="Times New Roman" w:hAnsi="Times New Roman" w:cs="Times New Roman"/>
        </w:rPr>
        <w:t xml:space="preserve"> II,</w:t>
      </w:r>
      <w:r w:rsidR="00957AA7">
        <w:rPr>
          <w:rFonts w:ascii="Times New Roman" w:hAnsi="Times New Roman" w:cs="Times New Roman"/>
        </w:rPr>
        <w:t xml:space="preserve"> </w:t>
      </w:r>
      <w:proofErr w:type="spellStart"/>
      <w:r w:rsidR="00957AA7">
        <w:rPr>
          <w:rFonts w:ascii="Times New Roman" w:hAnsi="Times New Roman" w:cs="Times New Roman"/>
        </w:rPr>
        <w:t>Giappichelli</w:t>
      </w:r>
      <w:proofErr w:type="spellEnd"/>
      <w:r w:rsidR="00957AA7">
        <w:rPr>
          <w:rFonts w:ascii="Times New Roman" w:hAnsi="Times New Roman" w:cs="Times New Roman"/>
        </w:rPr>
        <w:t>,</w:t>
      </w:r>
      <w:r w:rsidRPr="00741827">
        <w:rPr>
          <w:rFonts w:ascii="Times New Roman" w:hAnsi="Times New Roman" w:cs="Times New Roman"/>
        </w:rPr>
        <w:t xml:space="preserve"> Torino, 2012, p. 781. Più di recente, G.P. Cirillo, </w:t>
      </w:r>
      <w:r w:rsidRPr="00957AA7">
        <w:rPr>
          <w:rFonts w:ascii="Times New Roman" w:hAnsi="Times New Roman" w:cs="Times New Roman"/>
          <w:i/>
          <w:iCs/>
        </w:rPr>
        <w:t xml:space="preserve">I limiti del potere </w:t>
      </w:r>
      <w:proofErr w:type="spellStart"/>
      <w:r w:rsidRPr="00957AA7">
        <w:rPr>
          <w:rFonts w:ascii="Times New Roman" w:hAnsi="Times New Roman" w:cs="Times New Roman"/>
          <w:i/>
          <w:iCs/>
        </w:rPr>
        <w:t>regolatorio</w:t>
      </w:r>
      <w:proofErr w:type="spellEnd"/>
      <w:r w:rsidRPr="00957AA7">
        <w:rPr>
          <w:rFonts w:ascii="Times New Roman" w:hAnsi="Times New Roman" w:cs="Times New Roman"/>
          <w:i/>
          <w:iCs/>
        </w:rPr>
        <w:t xml:space="preserve"> di ARERA</w:t>
      </w:r>
      <w:r w:rsidRPr="00741827">
        <w:rPr>
          <w:rFonts w:ascii="Times New Roman" w:hAnsi="Times New Roman" w:cs="Times New Roman"/>
        </w:rPr>
        <w:t xml:space="preserve">, in </w:t>
      </w:r>
      <w:hyperlink r:id="rId2" w:history="1">
        <w:r w:rsidR="00957AA7" w:rsidRPr="003A2208">
          <w:rPr>
            <w:rStyle w:val="Collegamentoipertestuale"/>
            <w:rFonts w:ascii="Times New Roman" w:hAnsi="Times New Roman" w:cs="Times New Roman"/>
          </w:rPr>
          <w:t>www.giustizia-amministrativa.it</w:t>
        </w:r>
      </w:hyperlink>
      <w:r w:rsidR="00957AA7">
        <w:rPr>
          <w:rFonts w:ascii="Times New Roman" w:hAnsi="Times New Roman" w:cs="Times New Roman"/>
        </w:rPr>
        <w:t>,</w:t>
      </w:r>
      <w:r w:rsidRPr="00741827">
        <w:rPr>
          <w:rFonts w:ascii="Times New Roman" w:hAnsi="Times New Roman" w:cs="Times New Roman"/>
        </w:rPr>
        <w:t xml:space="preserve"> voce Dottrina, 2025</w:t>
      </w:r>
      <w:r w:rsidR="00957AA7">
        <w:rPr>
          <w:rFonts w:ascii="Times New Roman" w:hAnsi="Times New Roman" w:cs="Times New Roman"/>
        </w:rPr>
        <w:t>.</w:t>
      </w:r>
    </w:p>
  </w:footnote>
  <w:footnote w:id="19">
    <w:p w14:paraId="61FD9A1E" w14:textId="4A33434F"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Ancora il più volte citato M. Clarich, voce </w:t>
      </w:r>
      <w:r w:rsidR="00957AA7">
        <w:rPr>
          <w:rFonts w:ascii="Times New Roman" w:hAnsi="Times New Roman" w:cs="Times New Roman"/>
        </w:rPr>
        <w:t>‘</w:t>
      </w:r>
      <w:r w:rsidRPr="00741827">
        <w:rPr>
          <w:rFonts w:ascii="Times New Roman" w:hAnsi="Times New Roman" w:cs="Times New Roman"/>
        </w:rPr>
        <w:t>Energi</w:t>
      </w:r>
      <w:r w:rsidR="00957AA7">
        <w:rPr>
          <w:rFonts w:ascii="Times New Roman" w:hAnsi="Times New Roman" w:cs="Times New Roman"/>
        </w:rPr>
        <w:t>a’</w:t>
      </w:r>
      <w:r w:rsidRPr="00741827">
        <w:rPr>
          <w:rFonts w:ascii="Times New Roman" w:hAnsi="Times New Roman" w:cs="Times New Roman"/>
        </w:rPr>
        <w:t>,</w:t>
      </w:r>
      <w:r w:rsidR="00957AA7">
        <w:rPr>
          <w:rFonts w:ascii="Times New Roman" w:hAnsi="Times New Roman" w:cs="Times New Roman"/>
        </w:rPr>
        <w:t xml:space="preserve"> cit., p</w:t>
      </w:r>
      <w:r w:rsidRPr="00741827">
        <w:rPr>
          <w:rFonts w:ascii="Times New Roman" w:hAnsi="Times New Roman" w:cs="Times New Roman"/>
        </w:rPr>
        <w:t>p. 465-475</w:t>
      </w:r>
      <w:r w:rsidR="00957AA7">
        <w:rPr>
          <w:rFonts w:ascii="Times New Roman" w:hAnsi="Times New Roman" w:cs="Times New Roman"/>
        </w:rPr>
        <w:t>.</w:t>
      </w:r>
    </w:p>
  </w:footnote>
  <w:footnote w:id="20">
    <w:p w14:paraId="05072411" w14:textId="3E61DC84"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Per tutti, M.S. Giannini, </w:t>
      </w:r>
      <w:r w:rsidRPr="00957AA7">
        <w:rPr>
          <w:rFonts w:ascii="Times New Roman" w:hAnsi="Times New Roman" w:cs="Times New Roman"/>
          <w:i/>
          <w:iCs/>
        </w:rPr>
        <w:t>Diritto Amministrativo</w:t>
      </w:r>
      <w:r w:rsidRPr="00741827">
        <w:rPr>
          <w:rFonts w:ascii="Times New Roman" w:hAnsi="Times New Roman" w:cs="Times New Roman"/>
        </w:rPr>
        <w:t xml:space="preserve">, </w:t>
      </w:r>
      <w:proofErr w:type="spellStart"/>
      <w:r w:rsidRPr="00741827">
        <w:rPr>
          <w:rFonts w:ascii="Times New Roman" w:hAnsi="Times New Roman" w:cs="Times New Roman"/>
        </w:rPr>
        <w:t>Giuffrè</w:t>
      </w:r>
      <w:proofErr w:type="spellEnd"/>
      <w:r w:rsidR="00957AA7">
        <w:rPr>
          <w:rFonts w:ascii="Times New Roman" w:hAnsi="Times New Roman" w:cs="Times New Roman"/>
        </w:rPr>
        <w:t>,</w:t>
      </w:r>
      <w:r w:rsidRPr="00741827">
        <w:rPr>
          <w:rFonts w:ascii="Times New Roman" w:hAnsi="Times New Roman" w:cs="Times New Roman"/>
        </w:rPr>
        <w:t xml:space="preserve"> Milano, 1993, p.</w:t>
      </w:r>
      <w:r w:rsidR="00957AA7">
        <w:rPr>
          <w:rFonts w:ascii="Times New Roman" w:hAnsi="Times New Roman" w:cs="Times New Roman"/>
        </w:rPr>
        <w:t xml:space="preserve"> </w:t>
      </w:r>
      <w:r w:rsidRPr="00741827">
        <w:rPr>
          <w:rFonts w:ascii="Times New Roman" w:hAnsi="Times New Roman" w:cs="Times New Roman"/>
        </w:rPr>
        <w:t>171 (</w:t>
      </w:r>
      <w:proofErr w:type="spellStart"/>
      <w:r w:rsidRPr="00741827">
        <w:rPr>
          <w:rFonts w:ascii="Times New Roman" w:hAnsi="Times New Roman" w:cs="Times New Roman"/>
        </w:rPr>
        <w:t>vol</w:t>
      </w:r>
      <w:proofErr w:type="spellEnd"/>
      <w:r w:rsidRPr="00741827">
        <w:rPr>
          <w:rFonts w:ascii="Times New Roman" w:hAnsi="Times New Roman" w:cs="Times New Roman"/>
        </w:rPr>
        <w:t xml:space="preserve"> I) e </w:t>
      </w:r>
      <w:r w:rsidR="00957AA7">
        <w:rPr>
          <w:rFonts w:ascii="Times New Roman" w:hAnsi="Times New Roman" w:cs="Times New Roman"/>
        </w:rPr>
        <w:t xml:space="preserve">p. </w:t>
      </w:r>
      <w:r w:rsidRPr="00741827">
        <w:rPr>
          <w:rFonts w:ascii="Times New Roman" w:hAnsi="Times New Roman" w:cs="Times New Roman"/>
        </w:rPr>
        <w:t>453 (</w:t>
      </w:r>
      <w:proofErr w:type="spellStart"/>
      <w:r w:rsidRPr="00741827">
        <w:rPr>
          <w:rFonts w:ascii="Times New Roman" w:hAnsi="Times New Roman" w:cs="Times New Roman"/>
        </w:rPr>
        <w:t>vol</w:t>
      </w:r>
      <w:proofErr w:type="spellEnd"/>
      <w:r w:rsidRPr="00741827">
        <w:rPr>
          <w:rFonts w:ascii="Times New Roman" w:hAnsi="Times New Roman" w:cs="Times New Roman"/>
        </w:rPr>
        <w:t xml:space="preserve"> II).</w:t>
      </w:r>
    </w:p>
  </w:footnote>
  <w:footnote w:id="21">
    <w:p w14:paraId="5844E6BA" w14:textId="28551334"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Sul punto si rinvia al citato </w:t>
      </w:r>
      <w:r w:rsidR="00957AA7" w:rsidRPr="00741827">
        <w:rPr>
          <w:rFonts w:ascii="Times New Roman" w:hAnsi="Times New Roman" w:cs="Times New Roman"/>
        </w:rPr>
        <w:t xml:space="preserve">G.P. Cirillo, </w:t>
      </w:r>
      <w:r w:rsidR="00957AA7" w:rsidRPr="009C0E9A">
        <w:rPr>
          <w:rFonts w:ascii="Times New Roman" w:hAnsi="Times New Roman" w:cs="Times New Roman"/>
          <w:i/>
          <w:iCs/>
        </w:rPr>
        <w:t>Sistema istituzionale di diritto comune</w:t>
      </w:r>
      <w:r w:rsidRPr="00741827">
        <w:rPr>
          <w:rFonts w:ascii="Times New Roman" w:hAnsi="Times New Roman" w:cs="Times New Roman"/>
        </w:rPr>
        <w:t>, in particolare p</w:t>
      </w:r>
      <w:r w:rsidR="00957AA7">
        <w:rPr>
          <w:rFonts w:ascii="Times New Roman" w:hAnsi="Times New Roman" w:cs="Times New Roman"/>
        </w:rPr>
        <w:t>p</w:t>
      </w:r>
      <w:r w:rsidRPr="00741827">
        <w:rPr>
          <w:rFonts w:ascii="Times New Roman" w:hAnsi="Times New Roman" w:cs="Times New Roman"/>
        </w:rPr>
        <w:t>. 1-25.</w:t>
      </w:r>
    </w:p>
  </w:footnote>
  <w:footnote w:id="22">
    <w:p w14:paraId="515B2D7B" w14:textId="1DEF3131" w:rsidR="0055158D" w:rsidRPr="00741827" w:rsidRDefault="0055158D" w:rsidP="0027603E">
      <w:pPr>
        <w:pStyle w:val="Testonotaapidipagina"/>
        <w:tabs>
          <w:tab w:val="left" w:pos="142"/>
        </w:tabs>
        <w:snapToGrid w:val="0"/>
        <w:spacing w:before="120" w:after="120"/>
        <w:ind w:firstLine="284"/>
        <w:jc w:val="both"/>
        <w:rPr>
          <w:rFonts w:ascii="Times New Roman" w:hAnsi="Times New Roman" w:cs="Times New Roman"/>
        </w:rPr>
      </w:pPr>
      <w:r w:rsidRPr="00741827">
        <w:rPr>
          <w:rStyle w:val="Rimandonotaapidipagina"/>
          <w:rFonts w:ascii="Times New Roman" w:hAnsi="Times New Roman" w:cs="Times New Roman"/>
        </w:rPr>
        <w:footnoteRef/>
      </w:r>
      <w:r w:rsidRPr="00741827">
        <w:rPr>
          <w:rFonts w:ascii="Times New Roman" w:hAnsi="Times New Roman" w:cs="Times New Roman"/>
        </w:rPr>
        <w:t xml:space="preserve"> Tra i primi a ipotizzare una trama di principi: R</w:t>
      </w:r>
      <w:r w:rsidR="00957AA7">
        <w:rPr>
          <w:rFonts w:ascii="Times New Roman" w:hAnsi="Times New Roman" w:cs="Times New Roman"/>
        </w:rPr>
        <w:t>.</w:t>
      </w:r>
      <w:r w:rsidRPr="00741827">
        <w:rPr>
          <w:rFonts w:ascii="Times New Roman" w:hAnsi="Times New Roman" w:cs="Times New Roman"/>
        </w:rPr>
        <w:t>J</w:t>
      </w:r>
      <w:r w:rsidR="00957AA7">
        <w:rPr>
          <w:rFonts w:ascii="Times New Roman" w:hAnsi="Times New Roman" w:cs="Times New Roman"/>
        </w:rPr>
        <w:t>.</w:t>
      </w:r>
      <w:r w:rsidRPr="00741827">
        <w:rPr>
          <w:rFonts w:ascii="Times New Roman" w:hAnsi="Times New Roman" w:cs="Times New Roman"/>
        </w:rPr>
        <w:t xml:space="preserve"> </w:t>
      </w:r>
      <w:proofErr w:type="spellStart"/>
      <w:r w:rsidRPr="00741827">
        <w:rPr>
          <w:rFonts w:ascii="Times New Roman" w:hAnsi="Times New Roman" w:cs="Times New Roman"/>
        </w:rPr>
        <w:t>Heffron</w:t>
      </w:r>
      <w:proofErr w:type="spellEnd"/>
      <w:r w:rsidRPr="00741827">
        <w:rPr>
          <w:rFonts w:ascii="Times New Roman" w:hAnsi="Times New Roman" w:cs="Times New Roman"/>
        </w:rPr>
        <w:t xml:space="preserve">, </w:t>
      </w:r>
      <w:r w:rsidRPr="00957AA7">
        <w:rPr>
          <w:rFonts w:ascii="Times New Roman" w:hAnsi="Times New Roman" w:cs="Times New Roman"/>
          <w:i/>
          <w:iCs/>
        </w:rPr>
        <w:t>L’energia attraverso il diritto</w:t>
      </w:r>
      <w:r w:rsidR="00957AA7">
        <w:rPr>
          <w:rFonts w:ascii="Times New Roman" w:hAnsi="Times New Roman" w:cs="Times New Roman"/>
        </w:rPr>
        <w:t>,</w:t>
      </w:r>
      <w:r w:rsidRPr="00741827">
        <w:rPr>
          <w:rFonts w:ascii="Times New Roman" w:hAnsi="Times New Roman" w:cs="Times New Roman"/>
        </w:rPr>
        <w:t xml:space="preserve"> a cura di L.M. Pepe</w:t>
      </w:r>
      <w:r w:rsidR="00957AA7">
        <w:rPr>
          <w:rFonts w:ascii="Times New Roman" w:hAnsi="Times New Roman" w:cs="Times New Roman"/>
        </w:rPr>
        <w:t>,</w:t>
      </w:r>
      <w:r w:rsidRPr="00741827">
        <w:rPr>
          <w:rFonts w:ascii="Times New Roman" w:hAnsi="Times New Roman" w:cs="Times New Roman"/>
        </w:rPr>
        <w:t xml:space="preserve"> Editoriale scientifica, Napoli, 2021, </w:t>
      </w:r>
      <w:r w:rsidR="00957AA7">
        <w:rPr>
          <w:rFonts w:ascii="Times New Roman" w:hAnsi="Times New Roman" w:cs="Times New Roman"/>
        </w:rPr>
        <w:t xml:space="preserve">p. </w:t>
      </w:r>
      <w:r w:rsidRPr="00741827">
        <w:rPr>
          <w:rFonts w:ascii="Times New Roman" w:hAnsi="Times New Roman" w:cs="Times New Roman"/>
        </w:rPr>
        <w:t xml:space="preserve">224; L.M. Pepe, </w:t>
      </w:r>
      <w:r w:rsidRPr="00957AA7">
        <w:rPr>
          <w:rFonts w:ascii="Times New Roman" w:hAnsi="Times New Roman" w:cs="Times New Roman"/>
          <w:i/>
          <w:iCs/>
        </w:rPr>
        <w:t>Il diritto dell’</w:t>
      </w:r>
      <w:r w:rsidR="00957AA7">
        <w:rPr>
          <w:rFonts w:ascii="Times New Roman" w:hAnsi="Times New Roman" w:cs="Times New Roman"/>
          <w:i/>
          <w:iCs/>
        </w:rPr>
        <w:t>e</w:t>
      </w:r>
      <w:r w:rsidRPr="00957AA7">
        <w:rPr>
          <w:rFonts w:ascii="Times New Roman" w:hAnsi="Times New Roman" w:cs="Times New Roman"/>
          <w:i/>
          <w:iCs/>
        </w:rPr>
        <w:t xml:space="preserve">nergia fondato su </w:t>
      </w:r>
      <w:r w:rsidR="00957AA7">
        <w:rPr>
          <w:rFonts w:ascii="Times New Roman" w:hAnsi="Times New Roman" w:cs="Times New Roman"/>
          <w:i/>
          <w:iCs/>
        </w:rPr>
        <w:t>p</w:t>
      </w:r>
      <w:r w:rsidRPr="00957AA7">
        <w:rPr>
          <w:rFonts w:ascii="Times New Roman" w:hAnsi="Times New Roman" w:cs="Times New Roman"/>
          <w:i/>
          <w:iCs/>
        </w:rPr>
        <w:t xml:space="preserve">rincipi. La transizione </w:t>
      </w:r>
      <w:r w:rsidR="00957AA7">
        <w:rPr>
          <w:rFonts w:ascii="Times New Roman" w:hAnsi="Times New Roman" w:cs="Times New Roman"/>
          <w:i/>
          <w:iCs/>
        </w:rPr>
        <w:t>e</w:t>
      </w:r>
      <w:r w:rsidRPr="00957AA7">
        <w:rPr>
          <w:rFonts w:ascii="Times New Roman" w:hAnsi="Times New Roman" w:cs="Times New Roman"/>
          <w:i/>
          <w:iCs/>
        </w:rPr>
        <w:t xml:space="preserve">cologica come </w:t>
      </w:r>
      <w:r w:rsidR="00957AA7">
        <w:rPr>
          <w:rFonts w:ascii="Times New Roman" w:hAnsi="Times New Roman" w:cs="Times New Roman"/>
          <w:i/>
          <w:iCs/>
        </w:rPr>
        <w:t>g</w:t>
      </w:r>
      <w:r w:rsidRPr="00957AA7">
        <w:rPr>
          <w:rFonts w:ascii="Times New Roman" w:hAnsi="Times New Roman" w:cs="Times New Roman"/>
          <w:i/>
          <w:iCs/>
        </w:rPr>
        <w:t xml:space="preserve">iustizia </w:t>
      </w:r>
      <w:r w:rsidR="00957AA7">
        <w:rPr>
          <w:rFonts w:ascii="Times New Roman" w:hAnsi="Times New Roman" w:cs="Times New Roman"/>
          <w:i/>
          <w:iCs/>
        </w:rPr>
        <w:t>e</w:t>
      </w:r>
      <w:r w:rsidRPr="00957AA7">
        <w:rPr>
          <w:rFonts w:ascii="Times New Roman" w:hAnsi="Times New Roman" w:cs="Times New Roman"/>
          <w:i/>
          <w:iCs/>
        </w:rPr>
        <w:t>nergetica</w:t>
      </w:r>
      <w:r w:rsidRPr="00741827">
        <w:rPr>
          <w:rFonts w:ascii="Times New Roman" w:hAnsi="Times New Roman" w:cs="Times New Roman"/>
        </w:rPr>
        <w:t>, in</w:t>
      </w:r>
      <w:r w:rsidR="00957AA7">
        <w:rPr>
          <w:rFonts w:ascii="Times New Roman" w:hAnsi="Times New Roman" w:cs="Times New Roman"/>
        </w:rPr>
        <w:t xml:space="preserve"> </w:t>
      </w:r>
      <w:hyperlink r:id="rId3" w:history="1">
        <w:r w:rsidR="00957AA7" w:rsidRPr="003A2208">
          <w:rPr>
            <w:rStyle w:val="Collegamentoipertestuale"/>
            <w:rFonts w:ascii="Times New Roman" w:hAnsi="Times New Roman" w:cs="Times New Roman"/>
          </w:rPr>
          <w:t>www.ambientediritto.it</w:t>
        </w:r>
      </w:hyperlink>
      <w:r w:rsidR="00957AA7">
        <w:rPr>
          <w:rFonts w:ascii="Times New Roman" w:hAnsi="Times New Roman" w:cs="Times New Roman"/>
        </w:rPr>
        <w:t xml:space="preserve">, n. </w:t>
      </w:r>
      <w:r w:rsidRPr="00741827">
        <w:rPr>
          <w:rFonts w:ascii="Times New Roman" w:hAnsi="Times New Roman" w:cs="Times New Roman"/>
        </w:rPr>
        <w:t xml:space="preserve">4, 2021, </w:t>
      </w:r>
      <w:r w:rsidR="00957AA7">
        <w:rPr>
          <w:rFonts w:ascii="Times New Roman" w:hAnsi="Times New Roman" w:cs="Times New Roman"/>
        </w:rPr>
        <w:t xml:space="preserve">p. </w:t>
      </w:r>
      <w:r w:rsidRPr="00741827">
        <w:rPr>
          <w:rFonts w:ascii="Times New Roman" w:hAnsi="Times New Roman" w:cs="Times New Roman"/>
        </w:rPr>
        <w:t>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15577"/>
    <w:multiLevelType w:val="hybridMultilevel"/>
    <w:tmpl w:val="EDD21E00"/>
    <w:lvl w:ilvl="0" w:tplc="0778D34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B246013"/>
    <w:multiLevelType w:val="hybridMultilevel"/>
    <w:tmpl w:val="0730F9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C673E19-5353-432E-806B-DB7725E1C8C0}"/>
    <w:docVar w:name="dgnword-eventsink" w:val="416908616"/>
  </w:docVars>
  <w:rsids>
    <w:rsidRoot w:val="004A3345"/>
    <w:rsid w:val="00006D6D"/>
    <w:rsid w:val="000118C6"/>
    <w:rsid w:val="00012407"/>
    <w:rsid w:val="00016758"/>
    <w:rsid w:val="00024C2D"/>
    <w:rsid w:val="0002777A"/>
    <w:rsid w:val="000301E1"/>
    <w:rsid w:val="00045012"/>
    <w:rsid w:val="00051B31"/>
    <w:rsid w:val="0005335C"/>
    <w:rsid w:val="00061C5E"/>
    <w:rsid w:val="00061FAE"/>
    <w:rsid w:val="00070778"/>
    <w:rsid w:val="00073FD9"/>
    <w:rsid w:val="00074FB6"/>
    <w:rsid w:val="000757E7"/>
    <w:rsid w:val="00085A90"/>
    <w:rsid w:val="000B0A7F"/>
    <w:rsid w:val="000D0270"/>
    <w:rsid w:val="000D0BD1"/>
    <w:rsid w:val="000D217B"/>
    <w:rsid w:val="000D34F9"/>
    <w:rsid w:val="000D64B7"/>
    <w:rsid w:val="000E78CC"/>
    <w:rsid w:val="001020E4"/>
    <w:rsid w:val="00106A6D"/>
    <w:rsid w:val="00116813"/>
    <w:rsid w:val="001272CC"/>
    <w:rsid w:val="00135C0E"/>
    <w:rsid w:val="00145913"/>
    <w:rsid w:val="001459A8"/>
    <w:rsid w:val="001575E0"/>
    <w:rsid w:val="00157DE5"/>
    <w:rsid w:val="00173767"/>
    <w:rsid w:val="00176F07"/>
    <w:rsid w:val="00194CA8"/>
    <w:rsid w:val="001B04E9"/>
    <w:rsid w:val="001C247B"/>
    <w:rsid w:val="001C4F2A"/>
    <w:rsid w:val="001C7B22"/>
    <w:rsid w:val="001F104D"/>
    <w:rsid w:val="002027E3"/>
    <w:rsid w:val="00214398"/>
    <w:rsid w:val="002232DA"/>
    <w:rsid w:val="0022549C"/>
    <w:rsid w:val="00227BC6"/>
    <w:rsid w:val="00232061"/>
    <w:rsid w:val="00234188"/>
    <w:rsid w:val="00243548"/>
    <w:rsid w:val="00263453"/>
    <w:rsid w:val="00266F33"/>
    <w:rsid w:val="00270760"/>
    <w:rsid w:val="00273C5D"/>
    <w:rsid w:val="0027603E"/>
    <w:rsid w:val="00287409"/>
    <w:rsid w:val="002A0921"/>
    <w:rsid w:val="002C65B9"/>
    <w:rsid w:val="002C7849"/>
    <w:rsid w:val="002E61BB"/>
    <w:rsid w:val="002F014C"/>
    <w:rsid w:val="003008FD"/>
    <w:rsid w:val="00301520"/>
    <w:rsid w:val="00303E8D"/>
    <w:rsid w:val="00305F0F"/>
    <w:rsid w:val="00307B79"/>
    <w:rsid w:val="00310153"/>
    <w:rsid w:val="00330755"/>
    <w:rsid w:val="00331881"/>
    <w:rsid w:val="00333BD7"/>
    <w:rsid w:val="00334101"/>
    <w:rsid w:val="00351E01"/>
    <w:rsid w:val="00356542"/>
    <w:rsid w:val="00356D71"/>
    <w:rsid w:val="00361005"/>
    <w:rsid w:val="00363D5C"/>
    <w:rsid w:val="0038705C"/>
    <w:rsid w:val="003875EE"/>
    <w:rsid w:val="003A3DF9"/>
    <w:rsid w:val="003B0344"/>
    <w:rsid w:val="003B3710"/>
    <w:rsid w:val="003B3A18"/>
    <w:rsid w:val="003B53F7"/>
    <w:rsid w:val="003B63C7"/>
    <w:rsid w:val="003C68E0"/>
    <w:rsid w:val="003C7B89"/>
    <w:rsid w:val="003D5293"/>
    <w:rsid w:val="003E5166"/>
    <w:rsid w:val="004018E6"/>
    <w:rsid w:val="004026B1"/>
    <w:rsid w:val="0040711E"/>
    <w:rsid w:val="00416665"/>
    <w:rsid w:val="00432AC5"/>
    <w:rsid w:val="00435E5D"/>
    <w:rsid w:val="00440931"/>
    <w:rsid w:val="00441327"/>
    <w:rsid w:val="00450B40"/>
    <w:rsid w:val="00460F59"/>
    <w:rsid w:val="00462914"/>
    <w:rsid w:val="00467DF3"/>
    <w:rsid w:val="00477539"/>
    <w:rsid w:val="004839CD"/>
    <w:rsid w:val="00486F39"/>
    <w:rsid w:val="00494453"/>
    <w:rsid w:val="004A3345"/>
    <w:rsid w:val="004A4892"/>
    <w:rsid w:val="004C69CF"/>
    <w:rsid w:val="004D2D3D"/>
    <w:rsid w:val="004F5D3B"/>
    <w:rsid w:val="0051547F"/>
    <w:rsid w:val="005207C9"/>
    <w:rsid w:val="005249CC"/>
    <w:rsid w:val="00530F20"/>
    <w:rsid w:val="00546834"/>
    <w:rsid w:val="0054724A"/>
    <w:rsid w:val="0055158D"/>
    <w:rsid w:val="00560F9D"/>
    <w:rsid w:val="005A5597"/>
    <w:rsid w:val="005B5320"/>
    <w:rsid w:val="005D00D1"/>
    <w:rsid w:val="005E005D"/>
    <w:rsid w:val="005E4F92"/>
    <w:rsid w:val="005F04B0"/>
    <w:rsid w:val="00603051"/>
    <w:rsid w:val="006073A6"/>
    <w:rsid w:val="00610053"/>
    <w:rsid w:val="00631738"/>
    <w:rsid w:val="0063366A"/>
    <w:rsid w:val="00636C57"/>
    <w:rsid w:val="0066536E"/>
    <w:rsid w:val="00682AB1"/>
    <w:rsid w:val="00682E0F"/>
    <w:rsid w:val="00684E9C"/>
    <w:rsid w:val="006932D0"/>
    <w:rsid w:val="00696F6D"/>
    <w:rsid w:val="006A28D1"/>
    <w:rsid w:val="006B12A6"/>
    <w:rsid w:val="006C5223"/>
    <w:rsid w:val="006E01D2"/>
    <w:rsid w:val="006E7D5A"/>
    <w:rsid w:val="00706772"/>
    <w:rsid w:val="00706C79"/>
    <w:rsid w:val="00707EA3"/>
    <w:rsid w:val="00711946"/>
    <w:rsid w:val="00721F6B"/>
    <w:rsid w:val="00733035"/>
    <w:rsid w:val="00733BE5"/>
    <w:rsid w:val="00740608"/>
    <w:rsid w:val="00741827"/>
    <w:rsid w:val="00742E8D"/>
    <w:rsid w:val="0074302F"/>
    <w:rsid w:val="00754E18"/>
    <w:rsid w:val="00756CBB"/>
    <w:rsid w:val="00757DEF"/>
    <w:rsid w:val="007645E3"/>
    <w:rsid w:val="007674D4"/>
    <w:rsid w:val="00777AA5"/>
    <w:rsid w:val="00782113"/>
    <w:rsid w:val="007839C5"/>
    <w:rsid w:val="007843EA"/>
    <w:rsid w:val="0078656B"/>
    <w:rsid w:val="007A58C8"/>
    <w:rsid w:val="007B4542"/>
    <w:rsid w:val="007C1252"/>
    <w:rsid w:val="007D151B"/>
    <w:rsid w:val="007D39F1"/>
    <w:rsid w:val="007E0D33"/>
    <w:rsid w:val="007E2371"/>
    <w:rsid w:val="007E2CE6"/>
    <w:rsid w:val="007F4E50"/>
    <w:rsid w:val="00811AD4"/>
    <w:rsid w:val="00815891"/>
    <w:rsid w:val="00822AF1"/>
    <w:rsid w:val="008401DE"/>
    <w:rsid w:val="00841A19"/>
    <w:rsid w:val="008621F3"/>
    <w:rsid w:val="00887909"/>
    <w:rsid w:val="0089333E"/>
    <w:rsid w:val="008A6443"/>
    <w:rsid w:val="008B2AAC"/>
    <w:rsid w:val="008B6A1F"/>
    <w:rsid w:val="008C74AB"/>
    <w:rsid w:val="008D02A4"/>
    <w:rsid w:val="008D6455"/>
    <w:rsid w:val="008D70EB"/>
    <w:rsid w:val="008E739D"/>
    <w:rsid w:val="0090011B"/>
    <w:rsid w:val="00900EBA"/>
    <w:rsid w:val="00902255"/>
    <w:rsid w:val="009067E7"/>
    <w:rsid w:val="00916B5C"/>
    <w:rsid w:val="00933686"/>
    <w:rsid w:val="00951740"/>
    <w:rsid w:val="00953D07"/>
    <w:rsid w:val="00957AA7"/>
    <w:rsid w:val="009610E4"/>
    <w:rsid w:val="0098156E"/>
    <w:rsid w:val="0098477E"/>
    <w:rsid w:val="00997360"/>
    <w:rsid w:val="009A2816"/>
    <w:rsid w:val="009B03E5"/>
    <w:rsid w:val="009B33C6"/>
    <w:rsid w:val="009B3787"/>
    <w:rsid w:val="009C0E9A"/>
    <w:rsid w:val="009D26D1"/>
    <w:rsid w:val="009D275E"/>
    <w:rsid w:val="009E0E8E"/>
    <w:rsid w:val="009E60F0"/>
    <w:rsid w:val="00A155A9"/>
    <w:rsid w:val="00A175D9"/>
    <w:rsid w:val="00A8049A"/>
    <w:rsid w:val="00A90A6D"/>
    <w:rsid w:val="00A94A62"/>
    <w:rsid w:val="00AA643A"/>
    <w:rsid w:val="00AB2307"/>
    <w:rsid w:val="00AB36E7"/>
    <w:rsid w:val="00AD02E3"/>
    <w:rsid w:val="00AD6BCB"/>
    <w:rsid w:val="00AD6BF2"/>
    <w:rsid w:val="00AD7C35"/>
    <w:rsid w:val="00AE0ABC"/>
    <w:rsid w:val="00AE1711"/>
    <w:rsid w:val="00AE3559"/>
    <w:rsid w:val="00AE37A7"/>
    <w:rsid w:val="00AE6903"/>
    <w:rsid w:val="00AF082E"/>
    <w:rsid w:val="00AF30C1"/>
    <w:rsid w:val="00AF77BF"/>
    <w:rsid w:val="00B068B8"/>
    <w:rsid w:val="00B11468"/>
    <w:rsid w:val="00B15309"/>
    <w:rsid w:val="00B204CB"/>
    <w:rsid w:val="00B24B7E"/>
    <w:rsid w:val="00B3346A"/>
    <w:rsid w:val="00B340A9"/>
    <w:rsid w:val="00B3446A"/>
    <w:rsid w:val="00B40F75"/>
    <w:rsid w:val="00B42D48"/>
    <w:rsid w:val="00B6395F"/>
    <w:rsid w:val="00B75DAA"/>
    <w:rsid w:val="00B77149"/>
    <w:rsid w:val="00B81100"/>
    <w:rsid w:val="00B870A2"/>
    <w:rsid w:val="00B933C5"/>
    <w:rsid w:val="00B97AA4"/>
    <w:rsid w:val="00BA5B9F"/>
    <w:rsid w:val="00BA7E69"/>
    <w:rsid w:val="00BB2414"/>
    <w:rsid w:val="00BB6954"/>
    <w:rsid w:val="00BB7532"/>
    <w:rsid w:val="00BC43AB"/>
    <w:rsid w:val="00BD5306"/>
    <w:rsid w:val="00BE11F6"/>
    <w:rsid w:val="00BE516C"/>
    <w:rsid w:val="00C06C4D"/>
    <w:rsid w:val="00C1284F"/>
    <w:rsid w:val="00C132A8"/>
    <w:rsid w:val="00C16C66"/>
    <w:rsid w:val="00C277C4"/>
    <w:rsid w:val="00C3787A"/>
    <w:rsid w:val="00C414EC"/>
    <w:rsid w:val="00C41E80"/>
    <w:rsid w:val="00C42C3B"/>
    <w:rsid w:val="00C46657"/>
    <w:rsid w:val="00C50E6F"/>
    <w:rsid w:val="00C5255B"/>
    <w:rsid w:val="00C54470"/>
    <w:rsid w:val="00C566C8"/>
    <w:rsid w:val="00C574BE"/>
    <w:rsid w:val="00C70677"/>
    <w:rsid w:val="00C74185"/>
    <w:rsid w:val="00C750F1"/>
    <w:rsid w:val="00C80E2A"/>
    <w:rsid w:val="00C83403"/>
    <w:rsid w:val="00C876F8"/>
    <w:rsid w:val="00C9725F"/>
    <w:rsid w:val="00CA1533"/>
    <w:rsid w:val="00CA7E45"/>
    <w:rsid w:val="00CB7F1B"/>
    <w:rsid w:val="00CC21DE"/>
    <w:rsid w:val="00CD1115"/>
    <w:rsid w:val="00CD187E"/>
    <w:rsid w:val="00CD1CE8"/>
    <w:rsid w:val="00CD7063"/>
    <w:rsid w:val="00CF12DF"/>
    <w:rsid w:val="00CF45A6"/>
    <w:rsid w:val="00D027B2"/>
    <w:rsid w:val="00D03E35"/>
    <w:rsid w:val="00D05DA4"/>
    <w:rsid w:val="00D2252A"/>
    <w:rsid w:val="00D30678"/>
    <w:rsid w:val="00D32878"/>
    <w:rsid w:val="00D41DBA"/>
    <w:rsid w:val="00D50AA2"/>
    <w:rsid w:val="00D64F54"/>
    <w:rsid w:val="00D6644E"/>
    <w:rsid w:val="00D66FF4"/>
    <w:rsid w:val="00D7182D"/>
    <w:rsid w:val="00D80E85"/>
    <w:rsid w:val="00D80F0F"/>
    <w:rsid w:val="00D83390"/>
    <w:rsid w:val="00D84872"/>
    <w:rsid w:val="00D90534"/>
    <w:rsid w:val="00DA3B88"/>
    <w:rsid w:val="00DA43C4"/>
    <w:rsid w:val="00DB2EAF"/>
    <w:rsid w:val="00DC23DD"/>
    <w:rsid w:val="00DC6F42"/>
    <w:rsid w:val="00DD38D7"/>
    <w:rsid w:val="00DE1113"/>
    <w:rsid w:val="00DE1D50"/>
    <w:rsid w:val="00DE2C43"/>
    <w:rsid w:val="00DF2669"/>
    <w:rsid w:val="00DF7EE7"/>
    <w:rsid w:val="00E01A4A"/>
    <w:rsid w:val="00E02A1D"/>
    <w:rsid w:val="00E046FA"/>
    <w:rsid w:val="00E062C3"/>
    <w:rsid w:val="00E241F2"/>
    <w:rsid w:val="00E37DFC"/>
    <w:rsid w:val="00E42003"/>
    <w:rsid w:val="00E43CFE"/>
    <w:rsid w:val="00E47D14"/>
    <w:rsid w:val="00E84C71"/>
    <w:rsid w:val="00E958A4"/>
    <w:rsid w:val="00E95A8B"/>
    <w:rsid w:val="00EA1902"/>
    <w:rsid w:val="00EA4D22"/>
    <w:rsid w:val="00EB67F0"/>
    <w:rsid w:val="00ED080B"/>
    <w:rsid w:val="00ED1A66"/>
    <w:rsid w:val="00EE3670"/>
    <w:rsid w:val="00EE7B6C"/>
    <w:rsid w:val="00EF08EC"/>
    <w:rsid w:val="00EF14C5"/>
    <w:rsid w:val="00F03A9F"/>
    <w:rsid w:val="00F05687"/>
    <w:rsid w:val="00F1064E"/>
    <w:rsid w:val="00F1503B"/>
    <w:rsid w:val="00F16DC6"/>
    <w:rsid w:val="00F176D3"/>
    <w:rsid w:val="00F21CAC"/>
    <w:rsid w:val="00F30C21"/>
    <w:rsid w:val="00F32767"/>
    <w:rsid w:val="00F44930"/>
    <w:rsid w:val="00F53CEF"/>
    <w:rsid w:val="00F66CF1"/>
    <w:rsid w:val="00F73210"/>
    <w:rsid w:val="00F76A43"/>
    <w:rsid w:val="00F80CC3"/>
    <w:rsid w:val="00F82CCD"/>
    <w:rsid w:val="00F85D58"/>
    <w:rsid w:val="00F85E59"/>
    <w:rsid w:val="00F902D7"/>
    <w:rsid w:val="00F967C0"/>
    <w:rsid w:val="00FA7048"/>
    <w:rsid w:val="00FC25AD"/>
    <w:rsid w:val="00FC4D3A"/>
    <w:rsid w:val="00FC622E"/>
    <w:rsid w:val="00FD51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AF68B"/>
  <w15:chartTrackingRefBased/>
  <w15:docId w15:val="{45630EDD-14C4-49EB-B346-A064D88C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7E4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delicata">
    <w:name w:val="Subtle Emphasis"/>
    <w:basedOn w:val="Carpredefinitoparagrafo"/>
    <w:uiPriority w:val="19"/>
    <w:qFormat/>
    <w:rsid w:val="007B4542"/>
    <w:rPr>
      <w:i/>
      <w:iCs/>
      <w:color w:val="404040" w:themeColor="text1" w:themeTint="BF"/>
    </w:rPr>
  </w:style>
  <w:style w:type="paragraph" w:styleId="Intestazione">
    <w:name w:val="header"/>
    <w:basedOn w:val="Normale"/>
    <w:link w:val="IntestazioneCarattere"/>
    <w:uiPriority w:val="99"/>
    <w:unhideWhenUsed/>
    <w:rsid w:val="00CD1C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1CE8"/>
  </w:style>
  <w:style w:type="paragraph" w:styleId="Pidipagina">
    <w:name w:val="footer"/>
    <w:basedOn w:val="Normale"/>
    <w:link w:val="PidipaginaCarattere"/>
    <w:uiPriority w:val="99"/>
    <w:unhideWhenUsed/>
    <w:rsid w:val="00CD1C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1CE8"/>
  </w:style>
  <w:style w:type="paragraph" w:styleId="Citazione">
    <w:name w:val="Quote"/>
    <w:basedOn w:val="Normale"/>
    <w:next w:val="Normale"/>
    <w:link w:val="CitazioneCarattere"/>
    <w:uiPriority w:val="29"/>
    <w:qFormat/>
    <w:rsid w:val="00486F39"/>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486F39"/>
    <w:rPr>
      <w:i/>
      <w:iCs/>
      <w:color w:val="404040" w:themeColor="text1" w:themeTint="BF"/>
    </w:rPr>
  </w:style>
  <w:style w:type="character" w:styleId="Enfasicorsivo">
    <w:name w:val="Emphasis"/>
    <w:basedOn w:val="Carpredefinitoparagrafo"/>
    <w:uiPriority w:val="20"/>
    <w:qFormat/>
    <w:rsid w:val="00BB2414"/>
    <w:rPr>
      <w:i/>
      <w:iCs/>
    </w:rPr>
  </w:style>
  <w:style w:type="paragraph" w:styleId="Paragrafoelenco">
    <w:name w:val="List Paragraph"/>
    <w:basedOn w:val="Normale"/>
    <w:uiPriority w:val="34"/>
    <w:qFormat/>
    <w:rsid w:val="008D70EB"/>
    <w:pPr>
      <w:ind w:left="720"/>
      <w:contextualSpacing/>
    </w:pPr>
  </w:style>
  <w:style w:type="paragraph" w:styleId="Testonotaapidipagina">
    <w:name w:val="footnote text"/>
    <w:basedOn w:val="Normale"/>
    <w:link w:val="TestonotaapidipaginaCarattere"/>
    <w:uiPriority w:val="99"/>
    <w:semiHidden/>
    <w:unhideWhenUsed/>
    <w:rsid w:val="0055158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5158D"/>
    <w:rPr>
      <w:sz w:val="20"/>
      <w:szCs w:val="20"/>
    </w:rPr>
  </w:style>
  <w:style w:type="character" w:styleId="Rimandonotaapidipagina">
    <w:name w:val="footnote reference"/>
    <w:basedOn w:val="Carpredefinitoparagrafo"/>
    <w:uiPriority w:val="99"/>
    <w:semiHidden/>
    <w:unhideWhenUsed/>
    <w:rsid w:val="0055158D"/>
    <w:rPr>
      <w:vertAlign w:val="superscript"/>
    </w:rPr>
  </w:style>
  <w:style w:type="character" w:styleId="Numeropagina">
    <w:name w:val="page number"/>
    <w:basedOn w:val="Carpredefinitoparagrafo"/>
    <w:uiPriority w:val="99"/>
    <w:semiHidden/>
    <w:unhideWhenUsed/>
    <w:rsid w:val="001575E0"/>
  </w:style>
  <w:style w:type="character" w:styleId="Collegamentoipertestuale">
    <w:name w:val="Hyperlink"/>
    <w:basedOn w:val="Carpredefinitoparagrafo"/>
    <w:uiPriority w:val="99"/>
    <w:unhideWhenUsed/>
    <w:rsid w:val="00EE3670"/>
    <w:rPr>
      <w:color w:val="0563C1" w:themeColor="hyperlink"/>
      <w:u w:val="single"/>
    </w:rPr>
  </w:style>
  <w:style w:type="character" w:customStyle="1" w:styleId="UnresolvedMention">
    <w:name w:val="Unresolved Mention"/>
    <w:basedOn w:val="Carpredefinitoparagrafo"/>
    <w:uiPriority w:val="99"/>
    <w:semiHidden/>
    <w:unhideWhenUsed/>
    <w:rsid w:val="00EE3670"/>
    <w:rPr>
      <w:color w:val="605E5C"/>
      <w:shd w:val="clear" w:color="auto" w:fill="E1DFDD"/>
    </w:rPr>
  </w:style>
  <w:style w:type="character" w:styleId="Collegamentovisitato">
    <w:name w:val="FollowedHyperlink"/>
    <w:basedOn w:val="Carpredefinitoparagrafo"/>
    <w:uiPriority w:val="99"/>
    <w:semiHidden/>
    <w:unhideWhenUsed/>
    <w:rsid w:val="00957A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98656">
      <w:bodyDiv w:val="1"/>
      <w:marLeft w:val="0"/>
      <w:marRight w:val="0"/>
      <w:marTop w:val="0"/>
      <w:marBottom w:val="0"/>
      <w:divBdr>
        <w:top w:val="none" w:sz="0" w:space="0" w:color="auto"/>
        <w:left w:val="none" w:sz="0" w:space="0" w:color="auto"/>
        <w:bottom w:val="none" w:sz="0" w:space="0" w:color="auto"/>
        <w:right w:val="none" w:sz="0" w:space="0" w:color="auto"/>
      </w:divBdr>
    </w:div>
    <w:div w:id="57497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mbientediritto.it" TargetMode="External"/><Relationship Id="rId2" Type="http://schemas.openxmlformats.org/officeDocument/2006/relationships/hyperlink" Target="http://www.giustizia-amministrativa.it" TargetMode="External"/><Relationship Id="rId1" Type="http://schemas.openxmlformats.org/officeDocument/2006/relationships/hyperlink" Target="https://www.giustiziainsiem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C5F1-3F67-4A49-912E-0ACC3DF0C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2802</TotalTime>
  <Pages>1</Pages>
  <Words>8818</Words>
  <Characters>50265</Characters>
  <Application>Microsoft Office Word</Application>
  <DocSecurity>0</DocSecurity>
  <Lines>418</Lines>
  <Paragraphs>117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CIRILLO Giampiero Paolo</cp:lastModifiedBy>
  <cp:revision>97</cp:revision>
  <dcterms:created xsi:type="dcterms:W3CDTF">2025-01-29T17:31:00Z</dcterms:created>
  <dcterms:modified xsi:type="dcterms:W3CDTF">2025-03-17T09:10:00Z</dcterms:modified>
</cp:coreProperties>
</file>