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C8D1B9" w14:textId="1EEDC6FC" w:rsidR="0050047F" w:rsidRDefault="0050047F" w:rsidP="00EE7515">
      <w:pPr>
        <w:pStyle w:val="Titolo1Garamond"/>
        <w:tabs>
          <w:tab w:val="left" w:pos="7523"/>
        </w:tabs>
      </w:pPr>
      <w:bookmarkStart w:id="0" w:name="_Toc196751374"/>
      <w:r>
        <w:t>Il regime delle sanzioni urbanistico-edilizie e principio di proporzionalità alla luce del diritto sovranazionale</w:t>
      </w:r>
      <w:r w:rsidR="0031430B">
        <w:rPr>
          <w:rStyle w:val="Rimandonotaapidipagina"/>
        </w:rPr>
        <w:footnoteReference w:id="1"/>
      </w:r>
      <w:bookmarkEnd w:id="0"/>
    </w:p>
    <w:p w14:paraId="33F5D157" w14:textId="4CD96E1A" w:rsidR="004149D2" w:rsidRDefault="001A45EA" w:rsidP="004149D2">
      <w:pPr>
        <w:pStyle w:val="PersonaleGaramond"/>
        <w:rPr>
          <w:i/>
          <w:iCs/>
        </w:rPr>
      </w:pPr>
      <w:r>
        <w:rPr>
          <w:i/>
          <w:iCs/>
        </w:rPr>
        <w:t xml:space="preserve">di </w:t>
      </w:r>
      <w:r w:rsidR="004149D2" w:rsidRPr="004149D2">
        <w:rPr>
          <w:i/>
          <w:iCs/>
        </w:rPr>
        <w:t>Luca Cestaro</w:t>
      </w:r>
      <w:r>
        <w:rPr>
          <w:rStyle w:val="Rimandonotaapidipagina"/>
          <w:i/>
          <w:iCs/>
        </w:rPr>
        <w:footnoteReference w:id="2"/>
      </w:r>
    </w:p>
    <w:sdt>
      <w:sdtPr>
        <w:id w:val="938722444"/>
        <w:docPartObj>
          <w:docPartGallery w:val="Table of Contents"/>
          <w:docPartUnique/>
        </w:docPartObj>
      </w:sdtPr>
      <w:sdtEndPr>
        <w:rPr>
          <w:rFonts w:ascii="Garamond" w:eastAsia="Times New Roman" w:hAnsi="Garamond" w:cs="Times New Roman"/>
          <w:b/>
          <w:bCs/>
          <w:color w:val="auto"/>
          <w:sz w:val="22"/>
          <w:szCs w:val="24"/>
        </w:rPr>
      </w:sdtEndPr>
      <w:sdtContent>
        <w:p w14:paraId="635B82F9" w14:textId="38DCCBFF" w:rsidR="00A00D4E" w:rsidRDefault="00A00D4E">
          <w:pPr>
            <w:pStyle w:val="Titolosommario"/>
          </w:pPr>
          <w:r>
            <w:t>Sommario</w:t>
          </w:r>
        </w:p>
        <w:p w14:paraId="56527EC2" w14:textId="2002B78B" w:rsidR="00537F26" w:rsidRDefault="00A00D4E">
          <w:pPr>
            <w:pStyle w:val="Sommario1"/>
            <w:tabs>
              <w:tab w:val="right" w:leader="dot" w:pos="9628"/>
            </w:tabs>
            <w:rPr>
              <w:rFonts w:asciiTheme="minorHAnsi" w:eastAsiaTheme="minorEastAsia" w:hAnsiTheme="minorHAnsi" w:cstheme="minorBidi"/>
              <w:noProof/>
              <w:kern w:val="2"/>
              <w:sz w:val="24"/>
              <w14:ligatures w14:val="standardContextual"/>
            </w:rPr>
          </w:pPr>
          <w:r>
            <w:fldChar w:fldCharType="begin"/>
          </w:r>
          <w:r>
            <w:instrText xml:space="preserve"> TOC \o "1-3" \h \z \u </w:instrText>
          </w:r>
          <w:r>
            <w:fldChar w:fldCharType="separate"/>
          </w:r>
          <w:hyperlink w:anchor="_Toc196751374" w:history="1">
            <w:r w:rsidR="00537F26" w:rsidRPr="00207B8A">
              <w:rPr>
                <w:rStyle w:val="Collegamentoipertestuale"/>
                <w:noProof/>
              </w:rPr>
              <w:t>Il regime delle sanzioni urbanistico-edilizie e principio di proporzionalità alla luce del diritto sovranazionale</w:t>
            </w:r>
            <w:r w:rsidR="00537F26">
              <w:rPr>
                <w:noProof/>
                <w:webHidden/>
              </w:rPr>
              <w:tab/>
            </w:r>
            <w:r w:rsidR="00537F26">
              <w:rPr>
                <w:noProof/>
                <w:webHidden/>
              </w:rPr>
              <w:fldChar w:fldCharType="begin"/>
            </w:r>
            <w:r w:rsidR="00537F26">
              <w:rPr>
                <w:noProof/>
                <w:webHidden/>
              </w:rPr>
              <w:instrText xml:space="preserve"> PAGEREF _Toc196751374 \h </w:instrText>
            </w:r>
            <w:r w:rsidR="00537F26">
              <w:rPr>
                <w:noProof/>
                <w:webHidden/>
              </w:rPr>
            </w:r>
            <w:r w:rsidR="00537F26">
              <w:rPr>
                <w:noProof/>
                <w:webHidden/>
              </w:rPr>
              <w:fldChar w:fldCharType="separate"/>
            </w:r>
            <w:r w:rsidR="00537F26">
              <w:rPr>
                <w:noProof/>
                <w:webHidden/>
              </w:rPr>
              <w:t>1</w:t>
            </w:r>
            <w:r w:rsidR="00537F26">
              <w:rPr>
                <w:noProof/>
                <w:webHidden/>
              </w:rPr>
              <w:fldChar w:fldCharType="end"/>
            </w:r>
          </w:hyperlink>
        </w:p>
        <w:p w14:paraId="35D5BF47" w14:textId="0D572BC1" w:rsidR="00537F26" w:rsidRDefault="00537F26">
          <w:pPr>
            <w:pStyle w:val="Sommario1"/>
            <w:tabs>
              <w:tab w:val="right" w:leader="dot" w:pos="9628"/>
            </w:tabs>
            <w:rPr>
              <w:rFonts w:asciiTheme="minorHAnsi" w:eastAsiaTheme="minorEastAsia" w:hAnsiTheme="minorHAnsi" w:cstheme="minorBidi"/>
              <w:noProof/>
              <w:kern w:val="2"/>
              <w:sz w:val="24"/>
              <w14:ligatures w14:val="standardContextual"/>
            </w:rPr>
          </w:pPr>
          <w:hyperlink w:anchor="_Toc196751375" w:history="1">
            <w:r w:rsidRPr="00207B8A">
              <w:rPr>
                <w:rStyle w:val="Collegamentoipertestuale"/>
                <w:noProof/>
              </w:rPr>
              <w:t>Premessa</w:t>
            </w:r>
            <w:r>
              <w:rPr>
                <w:noProof/>
                <w:webHidden/>
              </w:rPr>
              <w:tab/>
            </w:r>
            <w:r>
              <w:rPr>
                <w:noProof/>
                <w:webHidden/>
              </w:rPr>
              <w:fldChar w:fldCharType="begin"/>
            </w:r>
            <w:r>
              <w:rPr>
                <w:noProof/>
                <w:webHidden/>
              </w:rPr>
              <w:instrText xml:space="preserve"> PAGEREF _Toc196751375 \h </w:instrText>
            </w:r>
            <w:r>
              <w:rPr>
                <w:noProof/>
                <w:webHidden/>
              </w:rPr>
            </w:r>
            <w:r>
              <w:rPr>
                <w:noProof/>
                <w:webHidden/>
              </w:rPr>
              <w:fldChar w:fldCharType="separate"/>
            </w:r>
            <w:r>
              <w:rPr>
                <w:noProof/>
                <w:webHidden/>
              </w:rPr>
              <w:t>1</w:t>
            </w:r>
            <w:r>
              <w:rPr>
                <w:noProof/>
                <w:webHidden/>
              </w:rPr>
              <w:fldChar w:fldCharType="end"/>
            </w:r>
          </w:hyperlink>
        </w:p>
        <w:p w14:paraId="6417E8B9" w14:textId="57791D44" w:rsidR="00537F26" w:rsidRDefault="00537F26">
          <w:pPr>
            <w:pStyle w:val="Sommario1"/>
            <w:tabs>
              <w:tab w:val="right" w:leader="dot" w:pos="9628"/>
            </w:tabs>
            <w:rPr>
              <w:rFonts w:asciiTheme="minorHAnsi" w:eastAsiaTheme="minorEastAsia" w:hAnsiTheme="minorHAnsi" w:cstheme="minorBidi"/>
              <w:noProof/>
              <w:kern w:val="2"/>
              <w:sz w:val="24"/>
              <w14:ligatures w14:val="standardContextual"/>
            </w:rPr>
          </w:pPr>
          <w:hyperlink w:anchor="_Toc196751376" w:history="1">
            <w:r w:rsidRPr="00207B8A">
              <w:rPr>
                <w:rStyle w:val="Collegamentoipertestuale"/>
                <w:noProof/>
              </w:rPr>
              <w:t>1. Introduzione: le sanzioni amministrative</w:t>
            </w:r>
            <w:r>
              <w:rPr>
                <w:noProof/>
                <w:webHidden/>
              </w:rPr>
              <w:tab/>
            </w:r>
            <w:r>
              <w:rPr>
                <w:noProof/>
                <w:webHidden/>
              </w:rPr>
              <w:fldChar w:fldCharType="begin"/>
            </w:r>
            <w:r>
              <w:rPr>
                <w:noProof/>
                <w:webHidden/>
              </w:rPr>
              <w:instrText xml:space="preserve"> PAGEREF _Toc196751376 \h </w:instrText>
            </w:r>
            <w:r>
              <w:rPr>
                <w:noProof/>
                <w:webHidden/>
              </w:rPr>
            </w:r>
            <w:r>
              <w:rPr>
                <w:noProof/>
                <w:webHidden/>
              </w:rPr>
              <w:fldChar w:fldCharType="separate"/>
            </w:r>
            <w:r>
              <w:rPr>
                <w:noProof/>
                <w:webHidden/>
              </w:rPr>
              <w:t>2</w:t>
            </w:r>
            <w:r>
              <w:rPr>
                <w:noProof/>
                <w:webHidden/>
              </w:rPr>
              <w:fldChar w:fldCharType="end"/>
            </w:r>
          </w:hyperlink>
        </w:p>
        <w:p w14:paraId="0447EA8F" w14:textId="41E3D31C"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77" w:history="1">
            <w:r w:rsidRPr="00207B8A">
              <w:rPr>
                <w:rStyle w:val="Collegamentoipertestuale"/>
                <w:noProof/>
              </w:rPr>
              <w:t>1.1. Poteri sanzionatori, commisurazione e proporzionalità della sanzione</w:t>
            </w:r>
            <w:r>
              <w:rPr>
                <w:noProof/>
                <w:webHidden/>
              </w:rPr>
              <w:tab/>
            </w:r>
            <w:r>
              <w:rPr>
                <w:noProof/>
                <w:webHidden/>
              </w:rPr>
              <w:fldChar w:fldCharType="begin"/>
            </w:r>
            <w:r>
              <w:rPr>
                <w:noProof/>
                <w:webHidden/>
              </w:rPr>
              <w:instrText xml:space="preserve"> PAGEREF _Toc196751377 \h </w:instrText>
            </w:r>
            <w:r>
              <w:rPr>
                <w:noProof/>
                <w:webHidden/>
              </w:rPr>
            </w:r>
            <w:r>
              <w:rPr>
                <w:noProof/>
                <w:webHidden/>
              </w:rPr>
              <w:fldChar w:fldCharType="separate"/>
            </w:r>
            <w:r>
              <w:rPr>
                <w:noProof/>
                <w:webHidden/>
              </w:rPr>
              <w:t>2</w:t>
            </w:r>
            <w:r>
              <w:rPr>
                <w:noProof/>
                <w:webHidden/>
              </w:rPr>
              <w:fldChar w:fldCharType="end"/>
            </w:r>
          </w:hyperlink>
        </w:p>
        <w:p w14:paraId="55FE3242" w14:textId="356F77A6"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78" w:history="1">
            <w:r w:rsidRPr="00207B8A">
              <w:rPr>
                <w:rStyle w:val="Collegamentoipertestuale"/>
                <w:noProof/>
              </w:rPr>
              <w:t>1.2. La nozione convenzionale di ‘sanzione’</w:t>
            </w:r>
            <w:r>
              <w:rPr>
                <w:noProof/>
                <w:webHidden/>
              </w:rPr>
              <w:tab/>
            </w:r>
            <w:r>
              <w:rPr>
                <w:noProof/>
                <w:webHidden/>
              </w:rPr>
              <w:fldChar w:fldCharType="begin"/>
            </w:r>
            <w:r>
              <w:rPr>
                <w:noProof/>
                <w:webHidden/>
              </w:rPr>
              <w:instrText xml:space="preserve"> PAGEREF _Toc196751378 \h </w:instrText>
            </w:r>
            <w:r>
              <w:rPr>
                <w:noProof/>
                <w:webHidden/>
              </w:rPr>
            </w:r>
            <w:r>
              <w:rPr>
                <w:noProof/>
                <w:webHidden/>
              </w:rPr>
              <w:fldChar w:fldCharType="separate"/>
            </w:r>
            <w:r>
              <w:rPr>
                <w:noProof/>
                <w:webHidden/>
              </w:rPr>
              <w:t>4</w:t>
            </w:r>
            <w:r>
              <w:rPr>
                <w:noProof/>
                <w:webHidden/>
              </w:rPr>
              <w:fldChar w:fldCharType="end"/>
            </w:r>
          </w:hyperlink>
        </w:p>
        <w:p w14:paraId="13DB04AA" w14:textId="40EDC2FC"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79" w:history="1">
            <w:r w:rsidRPr="00207B8A">
              <w:rPr>
                <w:rStyle w:val="Collegamentoipertestuale"/>
                <w:noProof/>
              </w:rPr>
              <w:t>1.3. Il principio di proporzionalità nel sistema sanzionatorio</w:t>
            </w:r>
            <w:r>
              <w:rPr>
                <w:noProof/>
                <w:webHidden/>
              </w:rPr>
              <w:tab/>
            </w:r>
            <w:r>
              <w:rPr>
                <w:noProof/>
                <w:webHidden/>
              </w:rPr>
              <w:fldChar w:fldCharType="begin"/>
            </w:r>
            <w:r>
              <w:rPr>
                <w:noProof/>
                <w:webHidden/>
              </w:rPr>
              <w:instrText xml:space="preserve"> PAGEREF _Toc196751379 \h </w:instrText>
            </w:r>
            <w:r>
              <w:rPr>
                <w:noProof/>
                <w:webHidden/>
              </w:rPr>
            </w:r>
            <w:r>
              <w:rPr>
                <w:noProof/>
                <w:webHidden/>
              </w:rPr>
              <w:fldChar w:fldCharType="separate"/>
            </w:r>
            <w:r>
              <w:rPr>
                <w:noProof/>
                <w:webHidden/>
              </w:rPr>
              <w:t>4</w:t>
            </w:r>
            <w:r>
              <w:rPr>
                <w:noProof/>
                <w:webHidden/>
              </w:rPr>
              <w:fldChar w:fldCharType="end"/>
            </w:r>
          </w:hyperlink>
        </w:p>
        <w:p w14:paraId="544EBCCE" w14:textId="4E85C2F4" w:rsidR="00537F26" w:rsidRDefault="00537F26">
          <w:pPr>
            <w:pStyle w:val="Sommario1"/>
            <w:tabs>
              <w:tab w:val="right" w:leader="dot" w:pos="9628"/>
            </w:tabs>
            <w:rPr>
              <w:rFonts w:asciiTheme="minorHAnsi" w:eastAsiaTheme="minorEastAsia" w:hAnsiTheme="minorHAnsi" w:cstheme="minorBidi"/>
              <w:noProof/>
              <w:kern w:val="2"/>
              <w:sz w:val="24"/>
              <w14:ligatures w14:val="standardContextual"/>
            </w:rPr>
          </w:pPr>
          <w:hyperlink w:anchor="_Toc196751380" w:history="1">
            <w:r w:rsidRPr="00207B8A">
              <w:rPr>
                <w:rStyle w:val="Collegamentoipertestuale"/>
                <w:noProof/>
              </w:rPr>
              <w:t>2. Demolizione e principio di proporzionalità</w:t>
            </w:r>
            <w:r>
              <w:rPr>
                <w:noProof/>
                <w:webHidden/>
              </w:rPr>
              <w:tab/>
            </w:r>
            <w:r>
              <w:rPr>
                <w:noProof/>
                <w:webHidden/>
              </w:rPr>
              <w:fldChar w:fldCharType="begin"/>
            </w:r>
            <w:r>
              <w:rPr>
                <w:noProof/>
                <w:webHidden/>
              </w:rPr>
              <w:instrText xml:space="preserve"> PAGEREF _Toc196751380 \h </w:instrText>
            </w:r>
            <w:r>
              <w:rPr>
                <w:noProof/>
                <w:webHidden/>
              </w:rPr>
            </w:r>
            <w:r>
              <w:rPr>
                <w:noProof/>
                <w:webHidden/>
              </w:rPr>
              <w:fldChar w:fldCharType="separate"/>
            </w:r>
            <w:r>
              <w:rPr>
                <w:noProof/>
                <w:webHidden/>
              </w:rPr>
              <w:t>4</w:t>
            </w:r>
            <w:r>
              <w:rPr>
                <w:noProof/>
                <w:webHidden/>
              </w:rPr>
              <w:fldChar w:fldCharType="end"/>
            </w:r>
          </w:hyperlink>
        </w:p>
        <w:p w14:paraId="6BAE1CE0" w14:textId="03E956A3"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81" w:history="1">
            <w:r w:rsidRPr="00207B8A">
              <w:rPr>
                <w:rStyle w:val="Collegamentoipertestuale"/>
                <w:noProof/>
              </w:rPr>
              <w:t>2.1. La demolizione ai sensi dell’art. 31 del D.P.R. n. 380/2001</w:t>
            </w:r>
            <w:r>
              <w:rPr>
                <w:noProof/>
                <w:webHidden/>
              </w:rPr>
              <w:tab/>
            </w:r>
            <w:r>
              <w:rPr>
                <w:noProof/>
                <w:webHidden/>
              </w:rPr>
              <w:fldChar w:fldCharType="begin"/>
            </w:r>
            <w:r>
              <w:rPr>
                <w:noProof/>
                <w:webHidden/>
              </w:rPr>
              <w:instrText xml:space="preserve"> PAGEREF _Toc196751381 \h </w:instrText>
            </w:r>
            <w:r>
              <w:rPr>
                <w:noProof/>
                <w:webHidden/>
              </w:rPr>
            </w:r>
            <w:r>
              <w:rPr>
                <w:noProof/>
                <w:webHidden/>
              </w:rPr>
              <w:fldChar w:fldCharType="separate"/>
            </w:r>
            <w:r>
              <w:rPr>
                <w:noProof/>
                <w:webHidden/>
              </w:rPr>
              <w:t>5</w:t>
            </w:r>
            <w:r>
              <w:rPr>
                <w:noProof/>
                <w:webHidden/>
              </w:rPr>
              <w:fldChar w:fldCharType="end"/>
            </w:r>
          </w:hyperlink>
        </w:p>
        <w:p w14:paraId="1196A8C0" w14:textId="3AC44610"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82" w:history="1">
            <w:r w:rsidRPr="00207B8A">
              <w:rPr>
                <w:rStyle w:val="Collegamentoipertestuale"/>
                <w:noProof/>
              </w:rPr>
              <w:t>2.2. L’applicazione del principio di proporzionalità</w:t>
            </w:r>
            <w:r>
              <w:rPr>
                <w:noProof/>
                <w:webHidden/>
              </w:rPr>
              <w:tab/>
            </w:r>
            <w:r>
              <w:rPr>
                <w:noProof/>
                <w:webHidden/>
              </w:rPr>
              <w:fldChar w:fldCharType="begin"/>
            </w:r>
            <w:r>
              <w:rPr>
                <w:noProof/>
                <w:webHidden/>
              </w:rPr>
              <w:instrText xml:space="preserve"> PAGEREF _Toc196751382 \h </w:instrText>
            </w:r>
            <w:r>
              <w:rPr>
                <w:noProof/>
                <w:webHidden/>
              </w:rPr>
            </w:r>
            <w:r>
              <w:rPr>
                <w:noProof/>
                <w:webHidden/>
              </w:rPr>
              <w:fldChar w:fldCharType="separate"/>
            </w:r>
            <w:r>
              <w:rPr>
                <w:noProof/>
                <w:webHidden/>
              </w:rPr>
              <w:t>6</w:t>
            </w:r>
            <w:r>
              <w:rPr>
                <w:noProof/>
                <w:webHidden/>
              </w:rPr>
              <w:fldChar w:fldCharType="end"/>
            </w:r>
          </w:hyperlink>
        </w:p>
        <w:p w14:paraId="5BD48C77" w14:textId="559DC4EF" w:rsidR="00537F26" w:rsidRDefault="00537F26">
          <w:pPr>
            <w:pStyle w:val="Sommario1"/>
            <w:tabs>
              <w:tab w:val="right" w:leader="dot" w:pos="9628"/>
            </w:tabs>
            <w:rPr>
              <w:rFonts w:asciiTheme="minorHAnsi" w:eastAsiaTheme="minorEastAsia" w:hAnsiTheme="minorHAnsi" w:cstheme="minorBidi"/>
              <w:noProof/>
              <w:kern w:val="2"/>
              <w:sz w:val="24"/>
              <w14:ligatures w14:val="standardContextual"/>
            </w:rPr>
          </w:pPr>
          <w:hyperlink w:anchor="_Toc196751383" w:history="1">
            <w:r w:rsidRPr="00207B8A">
              <w:rPr>
                <w:rStyle w:val="Collegamentoipertestuale"/>
                <w:noProof/>
              </w:rPr>
              <w:t>3. Demolizione e diritto all’abitazione (art. 8 CEDU)</w:t>
            </w:r>
            <w:r>
              <w:rPr>
                <w:noProof/>
                <w:webHidden/>
              </w:rPr>
              <w:tab/>
            </w:r>
            <w:r>
              <w:rPr>
                <w:noProof/>
                <w:webHidden/>
              </w:rPr>
              <w:fldChar w:fldCharType="begin"/>
            </w:r>
            <w:r>
              <w:rPr>
                <w:noProof/>
                <w:webHidden/>
              </w:rPr>
              <w:instrText xml:space="preserve"> PAGEREF _Toc196751383 \h </w:instrText>
            </w:r>
            <w:r>
              <w:rPr>
                <w:noProof/>
                <w:webHidden/>
              </w:rPr>
            </w:r>
            <w:r>
              <w:rPr>
                <w:noProof/>
                <w:webHidden/>
              </w:rPr>
              <w:fldChar w:fldCharType="separate"/>
            </w:r>
            <w:r>
              <w:rPr>
                <w:noProof/>
                <w:webHidden/>
              </w:rPr>
              <w:t>7</w:t>
            </w:r>
            <w:r>
              <w:rPr>
                <w:noProof/>
                <w:webHidden/>
              </w:rPr>
              <w:fldChar w:fldCharType="end"/>
            </w:r>
          </w:hyperlink>
        </w:p>
        <w:p w14:paraId="041D8C59" w14:textId="353B17E2"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84" w:history="1">
            <w:r w:rsidRPr="00207B8A">
              <w:rPr>
                <w:rStyle w:val="Collegamentoipertestuale"/>
                <w:noProof/>
              </w:rPr>
              <w:t>3.1. Le Sentenze della Corte EDU in tema di diritto all’abitazione</w:t>
            </w:r>
            <w:r>
              <w:rPr>
                <w:noProof/>
                <w:webHidden/>
              </w:rPr>
              <w:tab/>
            </w:r>
            <w:r>
              <w:rPr>
                <w:noProof/>
                <w:webHidden/>
              </w:rPr>
              <w:fldChar w:fldCharType="begin"/>
            </w:r>
            <w:r>
              <w:rPr>
                <w:noProof/>
                <w:webHidden/>
              </w:rPr>
              <w:instrText xml:space="preserve"> PAGEREF _Toc196751384 \h </w:instrText>
            </w:r>
            <w:r>
              <w:rPr>
                <w:noProof/>
                <w:webHidden/>
              </w:rPr>
            </w:r>
            <w:r>
              <w:rPr>
                <w:noProof/>
                <w:webHidden/>
              </w:rPr>
              <w:fldChar w:fldCharType="separate"/>
            </w:r>
            <w:r>
              <w:rPr>
                <w:noProof/>
                <w:webHidden/>
              </w:rPr>
              <w:t>7</w:t>
            </w:r>
            <w:r>
              <w:rPr>
                <w:noProof/>
                <w:webHidden/>
              </w:rPr>
              <w:fldChar w:fldCharType="end"/>
            </w:r>
          </w:hyperlink>
        </w:p>
        <w:p w14:paraId="7C9DE102" w14:textId="5A5B47B2"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85" w:history="1">
            <w:r w:rsidRPr="00207B8A">
              <w:rPr>
                <w:rStyle w:val="Collegamentoipertestuale"/>
                <w:noProof/>
              </w:rPr>
              <w:t>3.2. L’applicazione dei principi CEDU a opera del giudice penale.</w:t>
            </w:r>
            <w:r>
              <w:rPr>
                <w:noProof/>
                <w:webHidden/>
              </w:rPr>
              <w:tab/>
            </w:r>
            <w:r>
              <w:rPr>
                <w:noProof/>
                <w:webHidden/>
              </w:rPr>
              <w:fldChar w:fldCharType="begin"/>
            </w:r>
            <w:r>
              <w:rPr>
                <w:noProof/>
                <w:webHidden/>
              </w:rPr>
              <w:instrText xml:space="preserve"> PAGEREF _Toc196751385 \h </w:instrText>
            </w:r>
            <w:r>
              <w:rPr>
                <w:noProof/>
                <w:webHidden/>
              </w:rPr>
            </w:r>
            <w:r>
              <w:rPr>
                <w:noProof/>
                <w:webHidden/>
              </w:rPr>
              <w:fldChar w:fldCharType="separate"/>
            </w:r>
            <w:r>
              <w:rPr>
                <w:noProof/>
                <w:webHidden/>
              </w:rPr>
              <w:t>8</w:t>
            </w:r>
            <w:r>
              <w:rPr>
                <w:noProof/>
                <w:webHidden/>
              </w:rPr>
              <w:fldChar w:fldCharType="end"/>
            </w:r>
          </w:hyperlink>
        </w:p>
        <w:p w14:paraId="4FCE1026" w14:textId="1413AC52" w:rsidR="00537F26" w:rsidRDefault="00537F26">
          <w:pPr>
            <w:pStyle w:val="Sommario1"/>
            <w:tabs>
              <w:tab w:val="right" w:leader="dot" w:pos="9628"/>
            </w:tabs>
            <w:rPr>
              <w:rFonts w:asciiTheme="minorHAnsi" w:eastAsiaTheme="minorEastAsia" w:hAnsiTheme="minorHAnsi" w:cstheme="minorBidi"/>
              <w:noProof/>
              <w:kern w:val="2"/>
              <w:sz w:val="24"/>
              <w14:ligatures w14:val="standardContextual"/>
            </w:rPr>
          </w:pPr>
          <w:hyperlink w:anchor="_Toc196751386" w:history="1">
            <w:r w:rsidRPr="00207B8A">
              <w:rPr>
                <w:rStyle w:val="Collegamentoipertestuale"/>
                <w:noProof/>
              </w:rPr>
              <w:t>4. Il giudice amministrativo e la verifica della proporzionalità nella fase ‘esecutiva’ della demolizione</w:t>
            </w:r>
            <w:r>
              <w:rPr>
                <w:noProof/>
                <w:webHidden/>
              </w:rPr>
              <w:tab/>
            </w:r>
            <w:r>
              <w:rPr>
                <w:noProof/>
                <w:webHidden/>
              </w:rPr>
              <w:fldChar w:fldCharType="begin"/>
            </w:r>
            <w:r>
              <w:rPr>
                <w:noProof/>
                <w:webHidden/>
              </w:rPr>
              <w:instrText xml:space="preserve"> PAGEREF _Toc196751386 \h </w:instrText>
            </w:r>
            <w:r>
              <w:rPr>
                <w:noProof/>
                <w:webHidden/>
              </w:rPr>
            </w:r>
            <w:r>
              <w:rPr>
                <w:noProof/>
                <w:webHidden/>
              </w:rPr>
              <w:fldChar w:fldCharType="separate"/>
            </w:r>
            <w:r>
              <w:rPr>
                <w:noProof/>
                <w:webHidden/>
              </w:rPr>
              <w:t>9</w:t>
            </w:r>
            <w:r>
              <w:rPr>
                <w:noProof/>
                <w:webHidden/>
              </w:rPr>
              <w:fldChar w:fldCharType="end"/>
            </w:r>
          </w:hyperlink>
        </w:p>
        <w:p w14:paraId="2F4E568D" w14:textId="00DDADE4"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87" w:history="1">
            <w:r w:rsidRPr="00207B8A">
              <w:rPr>
                <w:rStyle w:val="Collegamentoipertestuale"/>
                <w:noProof/>
              </w:rPr>
              <w:t>4.1. Il giudizio avverso i provvedimenti demolitori</w:t>
            </w:r>
            <w:r>
              <w:rPr>
                <w:noProof/>
                <w:webHidden/>
              </w:rPr>
              <w:tab/>
            </w:r>
            <w:r>
              <w:rPr>
                <w:noProof/>
                <w:webHidden/>
              </w:rPr>
              <w:fldChar w:fldCharType="begin"/>
            </w:r>
            <w:r>
              <w:rPr>
                <w:noProof/>
                <w:webHidden/>
              </w:rPr>
              <w:instrText xml:space="preserve"> PAGEREF _Toc196751387 \h </w:instrText>
            </w:r>
            <w:r>
              <w:rPr>
                <w:noProof/>
                <w:webHidden/>
              </w:rPr>
            </w:r>
            <w:r>
              <w:rPr>
                <w:noProof/>
                <w:webHidden/>
              </w:rPr>
              <w:fldChar w:fldCharType="separate"/>
            </w:r>
            <w:r>
              <w:rPr>
                <w:noProof/>
                <w:webHidden/>
              </w:rPr>
              <w:t>9</w:t>
            </w:r>
            <w:r>
              <w:rPr>
                <w:noProof/>
                <w:webHidden/>
              </w:rPr>
              <w:fldChar w:fldCharType="end"/>
            </w:r>
          </w:hyperlink>
        </w:p>
        <w:p w14:paraId="6B5B2368" w14:textId="2E053692"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88" w:history="1">
            <w:r w:rsidRPr="00207B8A">
              <w:rPr>
                <w:rStyle w:val="Collegamentoipertestuale"/>
                <w:noProof/>
              </w:rPr>
              <w:t>4.2. La valorizzazione della fase cautelare</w:t>
            </w:r>
            <w:r>
              <w:rPr>
                <w:noProof/>
                <w:webHidden/>
              </w:rPr>
              <w:tab/>
            </w:r>
            <w:r>
              <w:rPr>
                <w:noProof/>
                <w:webHidden/>
              </w:rPr>
              <w:fldChar w:fldCharType="begin"/>
            </w:r>
            <w:r>
              <w:rPr>
                <w:noProof/>
                <w:webHidden/>
              </w:rPr>
              <w:instrText xml:space="preserve"> PAGEREF _Toc196751388 \h </w:instrText>
            </w:r>
            <w:r>
              <w:rPr>
                <w:noProof/>
                <w:webHidden/>
              </w:rPr>
            </w:r>
            <w:r>
              <w:rPr>
                <w:noProof/>
                <w:webHidden/>
              </w:rPr>
              <w:fldChar w:fldCharType="separate"/>
            </w:r>
            <w:r>
              <w:rPr>
                <w:noProof/>
                <w:webHidden/>
              </w:rPr>
              <w:t>10</w:t>
            </w:r>
            <w:r>
              <w:rPr>
                <w:noProof/>
                <w:webHidden/>
              </w:rPr>
              <w:fldChar w:fldCharType="end"/>
            </w:r>
          </w:hyperlink>
        </w:p>
        <w:p w14:paraId="226A31DD" w14:textId="7F93F730"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89" w:history="1">
            <w:r w:rsidRPr="00207B8A">
              <w:rPr>
                <w:rStyle w:val="Collegamentoipertestuale"/>
                <w:noProof/>
              </w:rPr>
              <w:t>4.3. La (problematica) tutela nella fase esecutiva: la giurisdizione</w:t>
            </w:r>
            <w:r>
              <w:rPr>
                <w:noProof/>
                <w:webHidden/>
              </w:rPr>
              <w:tab/>
            </w:r>
            <w:r>
              <w:rPr>
                <w:noProof/>
                <w:webHidden/>
              </w:rPr>
              <w:fldChar w:fldCharType="begin"/>
            </w:r>
            <w:r>
              <w:rPr>
                <w:noProof/>
                <w:webHidden/>
              </w:rPr>
              <w:instrText xml:space="preserve"> PAGEREF _Toc196751389 \h </w:instrText>
            </w:r>
            <w:r>
              <w:rPr>
                <w:noProof/>
                <w:webHidden/>
              </w:rPr>
            </w:r>
            <w:r>
              <w:rPr>
                <w:noProof/>
                <w:webHidden/>
              </w:rPr>
              <w:fldChar w:fldCharType="separate"/>
            </w:r>
            <w:r>
              <w:rPr>
                <w:noProof/>
                <w:webHidden/>
              </w:rPr>
              <w:t>11</w:t>
            </w:r>
            <w:r>
              <w:rPr>
                <w:noProof/>
                <w:webHidden/>
              </w:rPr>
              <w:fldChar w:fldCharType="end"/>
            </w:r>
          </w:hyperlink>
        </w:p>
        <w:p w14:paraId="5F07A01C" w14:textId="39B0A79C"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90" w:history="1">
            <w:r w:rsidRPr="00207B8A">
              <w:rPr>
                <w:rStyle w:val="Collegamentoipertestuale"/>
                <w:noProof/>
              </w:rPr>
              <w:t>4.4. (segue) L’individuazione dei rimedi esperibili innanzi al G.A.</w:t>
            </w:r>
            <w:r>
              <w:rPr>
                <w:noProof/>
                <w:webHidden/>
              </w:rPr>
              <w:tab/>
            </w:r>
            <w:r>
              <w:rPr>
                <w:noProof/>
                <w:webHidden/>
              </w:rPr>
              <w:fldChar w:fldCharType="begin"/>
            </w:r>
            <w:r>
              <w:rPr>
                <w:noProof/>
                <w:webHidden/>
              </w:rPr>
              <w:instrText xml:space="preserve"> PAGEREF _Toc196751390 \h </w:instrText>
            </w:r>
            <w:r>
              <w:rPr>
                <w:noProof/>
                <w:webHidden/>
              </w:rPr>
            </w:r>
            <w:r>
              <w:rPr>
                <w:noProof/>
                <w:webHidden/>
              </w:rPr>
              <w:fldChar w:fldCharType="separate"/>
            </w:r>
            <w:r>
              <w:rPr>
                <w:noProof/>
                <w:webHidden/>
              </w:rPr>
              <w:t>11</w:t>
            </w:r>
            <w:r>
              <w:rPr>
                <w:noProof/>
                <w:webHidden/>
              </w:rPr>
              <w:fldChar w:fldCharType="end"/>
            </w:r>
          </w:hyperlink>
        </w:p>
        <w:p w14:paraId="42962E2F" w14:textId="6178CDE1"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91" w:history="1">
            <w:r w:rsidRPr="00207B8A">
              <w:rPr>
                <w:rStyle w:val="Collegamentoipertestuale"/>
                <w:noProof/>
              </w:rPr>
              <w:t>4.5. L’atipicità della ‘proporzionalità’ nella fase esecutiva</w:t>
            </w:r>
            <w:r>
              <w:rPr>
                <w:noProof/>
                <w:webHidden/>
              </w:rPr>
              <w:tab/>
            </w:r>
            <w:r>
              <w:rPr>
                <w:noProof/>
                <w:webHidden/>
              </w:rPr>
              <w:fldChar w:fldCharType="begin"/>
            </w:r>
            <w:r>
              <w:rPr>
                <w:noProof/>
                <w:webHidden/>
              </w:rPr>
              <w:instrText xml:space="preserve"> PAGEREF _Toc196751391 \h </w:instrText>
            </w:r>
            <w:r>
              <w:rPr>
                <w:noProof/>
                <w:webHidden/>
              </w:rPr>
            </w:r>
            <w:r>
              <w:rPr>
                <w:noProof/>
                <w:webHidden/>
              </w:rPr>
              <w:fldChar w:fldCharType="separate"/>
            </w:r>
            <w:r>
              <w:rPr>
                <w:noProof/>
                <w:webHidden/>
              </w:rPr>
              <w:t>13</w:t>
            </w:r>
            <w:r>
              <w:rPr>
                <w:noProof/>
                <w:webHidden/>
              </w:rPr>
              <w:fldChar w:fldCharType="end"/>
            </w:r>
          </w:hyperlink>
        </w:p>
        <w:p w14:paraId="16769D04" w14:textId="1B8940E4" w:rsidR="00537F26" w:rsidRDefault="00537F26">
          <w:pPr>
            <w:pStyle w:val="Sommario1"/>
            <w:tabs>
              <w:tab w:val="right" w:leader="dot" w:pos="9628"/>
            </w:tabs>
            <w:rPr>
              <w:rFonts w:asciiTheme="minorHAnsi" w:eastAsiaTheme="minorEastAsia" w:hAnsiTheme="minorHAnsi" w:cstheme="minorBidi"/>
              <w:noProof/>
              <w:kern w:val="2"/>
              <w:sz w:val="24"/>
              <w14:ligatures w14:val="standardContextual"/>
            </w:rPr>
          </w:pPr>
          <w:hyperlink w:anchor="_Toc196751392" w:history="1">
            <w:r w:rsidRPr="00207B8A">
              <w:rPr>
                <w:rStyle w:val="Collegamentoipertestuale"/>
                <w:noProof/>
              </w:rPr>
              <w:t>5. L’acquisizione al patrimonio comunale: natura dell’istituto e applicazione dei principi CEDU (cenni)</w:t>
            </w:r>
            <w:r>
              <w:rPr>
                <w:noProof/>
                <w:webHidden/>
              </w:rPr>
              <w:tab/>
            </w:r>
            <w:r>
              <w:rPr>
                <w:noProof/>
                <w:webHidden/>
              </w:rPr>
              <w:fldChar w:fldCharType="begin"/>
            </w:r>
            <w:r>
              <w:rPr>
                <w:noProof/>
                <w:webHidden/>
              </w:rPr>
              <w:instrText xml:space="preserve"> PAGEREF _Toc196751392 \h </w:instrText>
            </w:r>
            <w:r>
              <w:rPr>
                <w:noProof/>
                <w:webHidden/>
              </w:rPr>
            </w:r>
            <w:r>
              <w:rPr>
                <w:noProof/>
                <w:webHidden/>
              </w:rPr>
              <w:fldChar w:fldCharType="separate"/>
            </w:r>
            <w:r>
              <w:rPr>
                <w:noProof/>
                <w:webHidden/>
              </w:rPr>
              <w:t>14</w:t>
            </w:r>
            <w:r>
              <w:rPr>
                <w:noProof/>
                <w:webHidden/>
              </w:rPr>
              <w:fldChar w:fldCharType="end"/>
            </w:r>
          </w:hyperlink>
        </w:p>
        <w:p w14:paraId="5F72510F" w14:textId="7835F1A5"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93" w:history="1">
            <w:r w:rsidRPr="00207B8A">
              <w:rPr>
                <w:rStyle w:val="Collegamentoipertestuale"/>
                <w:noProof/>
              </w:rPr>
              <w:t>5.1. La natura dell’acquisizione</w:t>
            </w:r>
            <w:r>
              <w:rPr>
                <w:noProof/>
                <w:webHidden/>
              </w:rPr>
              <w:tab/>
            </w:r>
            <w:r>
              <w:rPr>
                <w:noProof/>
                <w:webHidden/>
              </w:rPr>
              <w:fldChar w:fldCharType="begin"/>
            </w:r>
            <w:r>
              <w:rPr>
                <w:noProof/>
                <w:webHidden/>
              </w:rPr>
              <w:instrText xml:space="preserve"> PAGEREF _Toc196751393 \h </w:instrText>
            </w:r>
            <w:r>
              <w:rPr>
                <w:noProof/>
                <w:webHidden/>
              </w:rPr>
            </w:r>
            <w:r>
              <w:rPr>
                <w:noProof/>
                <w:webHidden/>
              </w:rPr>
              <w:fldChar w:fldCharType="separate"/>
            </w:r>
            <w:r>
              <w:rPr>
                <w:noProof/>
                <w:webHidden/>
              </w:rPr>
              <w:t>14</w:t>
            </w:r>
            <w:r>
              <w:rPr>
                <w:noProof/>
                <w:webHidden/>
              </w:rPr>
              <w:fldChar w:fldCharType="end"/>
            </w:r>
          </w:hyperlink>
        </w:p>
        <w:p w14:paraId="3F9C858A" w14:textId="6EDF1DB7"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94" w:history="1">
            <w:r w:rsidRPr="00207B8A">
              <w:rPr>
                <w:rStyle w:val="Collegamentoipertestuale"/>
                <w:noProof/>
              </w:rPr>
              <w:t>5.2. La disciplina dell’acquisizione: sanabilità dell’abuso e principio di proporzionalità</w:t>
            </w:r>
            <w:r>
              <w:rPr>
                <w:noProof/>
                <w:webHidden/>
              </w:rPr>
              <w:tab/>
            </w:r>
            <w:r>
              <w:rPr>
                <w:noProof/>
                <w:webHidden/>
              </w:rPr>
              <w:fldChar w:fldCharType="begin"/>
            </w:r>
            <w:r>
              <w:rPr>
                <w:noProof/>
                <w:webHidden/>
              </w:rPr>
              <w:instrText xml:space="preserve"> PAGEREF _Toc196751394 \h </w:instrText>
            </w:r>
            <w:r>
              <w:rPr>
                <w:noProof/>
                <w:webHidden/>
              </w:rPr>
            </w:r>
            <w:r>
              <w:rPr>
                <w:noProof/>
                <w:webHidden/>
              </w:rPr>
              <w:fldChar w:fldCharType="separate"/>
            </w:r>
            <w:r>
              <w:rPr>
                <w:noProof/>
                <w:webHidden/>
              </w:rPr>
              <w:t>15</w:t>
            </w:r>
            <w:r>
              <w:rPr>
                <w:noProof/>
                <w:webHidden/>
              </w:rPr>
              <w:fldChar w:fldCharType="end"/>
            </w:r>
          </w:hyperlink>
        </w:p>
        <w:p w14:paraId="72BBD7D8" w14:textId="2DD5555B"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95" w:history="1">
            <w:r w:rsidRPr="00207B8A">
              <w:rPr>
                <w:rStyle w:val="Collegamentoipertestuale"/>
                <w:noProof/>
              </w:rPr>
              <w:t>5.3. Acquisizione e diritto all’abitazione</w:t>
            </w:r>
            <w:r>
              <w:rPr>
                <w:noProof/>
                <w:webHidden/>
              </w:rPr>
              <w:tab/>
            </w:r>
            <w:r>
              <w:rPr>
                <w:noProof/>
                <w:webHidden/>
              </w:rPr>
              <w:fldChar w:fldCharType="begin"/>
            </w:r>
            <w:r>
              <w:rPr>
                <w:noProof/>
                <w:webHidden/>
              </w:rPr>
              <w:instrText xml:space="preserve"> PAGEREF _Toc196751395 \h </w:instrText>
            </w:r>
            <w:r>
              <w:rPr>
                <w:noProof/>
                <w:webHidden/>
              </w:rPr>
            </w:r>
            <w:r>
              <w:rPr>
                <w:noProof/>
                <w:webHidden/>
              </w:rPr>
              <w:fldChar w:fldCharType="separate"/>
            </w:r>
            <w:r>
              <w:rPr>
                <w:noProof/>
                <w:webHidden/>
              </w:rPr>
              <w:t>16</w:t>
            </w:r>
            <w:r>
              <w:rPr>
                <w:noProof/>
                <w:webHidden/>
              </w:rPr>
              <w:fldChar w:fldCharType="end"/>
            </w:r>
          </w:hyperlink>
        </w:p>
        <w:p w14:paraId="2B547C12" w14:textId="09FAE4DD" w:rsidR="00537F26" w:rsidRDefault="00537F26">
          <w:pPr>
            <w:pStyle w:val="Sommario1"/>
            <w:tabs>
              <w:tab w:val="right" w:leader="dot" w:pos="9628"/>
            </w:tabs>
            <w:rPr>
              <w:rFonts w:asciiTheme="minorHAnsi" w:eastAsiaTheme="minorEastAsia" w:hAnsiTheme="minorHAnsi" w:cstheme="minorBidi"/>
              <w:noProof/>
              <w:kern w:val="2"/>
              <w:sz w:val="24"/>
              <w14:ligatures w14:val="standardContextual"/>
            </w:rPr>
          </w:pPr>
          <w:hyperlink w:anchor="_Toc196751396" w:history="1">
            <w:r w:rsidRPr="00207B8A">
              <w:rPr>
                <w:rStyle w:val="Collegamentoipertestuale"/>
                <w:noProof/>
              </w:rPr>
              <w:t>6. Conclusioni e ulteriori spunti ricostruttivi.</w:t>
            </w:r>
            <w:r>
              <w:rPr>
                <w:noProof/>
                <w:webHidden/>
              </w:rPr>
              <w:tab/>
            </w:r>
            <w:r>
              <w:rPr>
                <w:noProof/>
                <w:webHidden/>
              </w:rPr>
              <w:fldChar w:fldCharType="begin"/>
            </w:r>
            <w:r>
              <w:rPr>
                <w:noProof/>
                <w:webHidden/>
              </w:rPr>
              <w:instrText xml:space="preserve"> PAGEREF _Toc196751396 \h </w:instrText>
            </w:r>
            <w:r>
              <w:rPr>
                <w:noProof/>
                <w:webHidden/>
              </w:rPr>
            </w:r>
            <w:r>
              <w:rPr>
                <w:noProof/>
                <w:webHidden/>
              </w:rPr>
              <w:fldChar w:fldCharType="separate"/>
            </w:r>
            <w:r>
              <w:rPr>
                <w:noProof/>
                <w:webHidden/>
              </w:rPr>
              <w:t>17</w:t>
            </w:r>
            <w:r>
              <w:rPr>
                <w:noProof/>
                <w:webHidden/>
              </w:rPr>
              <w:fldChar w:fldCharType="end"/>
            </w:r>
          </w:hyperlink>
        </w:p>
        <w:p w14:paraId="63288917" w14:textId="21CBDE78"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97" w:history="1">
            <w:r w:rsidRPr="00207B8A">
              <w:rPr>
                <w:rStyle w:val="Collegamentoipertestuale"/>
                <w:noProof/>
              </w:rPr>
              <w:t>6.1. La proporzionalità del sistema di repressione degli abusi edilizi.</w:t>
            </w:r>
            <w:r>
              <w:rPr>
                <w:noProof/>
                <w:webHidden/>
              </w:rPr>
              <w:tab/>
            </w:r>
            <w:r>
              <w:rPr>
                <w:noProof/>
                <w:webHidden/>
              </w:rPr>
              <w:fldChar w:fldCharType="begin"/>
            </w:r>
            <w:r>
              <w:rPr>
                <w:noProof/>
                <w:webHidden/>
              </w:rPr>
              <w:instrText xml:space="preserve"> PAGEREF _Toc196751397 \h </w:instrText>
            </w:r>
            <w:r>
              <w:rPr>
                <w:noProof/>
                <w:webHidden/>
              </w:rPr>
            </w:r>
            <w:r>
              <w:rPr>
                <w:noProof/>
                <w:webHidden/>
              </w:rPr>
              <w:fldChar w:fldCharType="separate"/>
            </w:r>
            <w:r>
              <w:rPr>
                <w:noProof/>
                <w:webHidden/>
              </w:rPr>
              <w:t>17</w:t>
            </w:r>
            <w:r>
              <w:rPr>
                <w:noProof/>
                <w:webHidden/>
              </w:rPr>
              <w:fldChar w:fldCharType="end"/>
            </w:r>
          </w:hyperlink>
        </w:p>
        <w:p w14:paraId="25202D4B" w14:textId="00CBC4CF" w:rsidR="00537F26" w:rsidRDefault="00537F26">
          <w:pPr>
            <w:pStyle w:val="Sommario2"/>
            <w:tabs>
              <w:tab w:val="right" w:leader="dot" w:pos="9628"/>
            </w:tabs>
            <w:rPr>
              <w:rFonts w:asciiTheme="minorHAnsi" w:eastAsiaTheme="minorEastAsia" w:hAnsiTheme="minorHAnsi" w:cstheme="minorBidi"/>
              <w:noProof/>
              <w:kern w:val="2"/>
              <w:sz w:val="24"/>
              <w14:ligatures w14:val="standardContextual"/>
            </w:rPr>
          </w:pPr>
          <w:hyperlink w:anchor="_Toc196751398" w:history="1">
            <w:r w:rsidRPr="00207B8A">
              <w:rPr>
                <w:rStyle w:val="Collegamentoipertestuale"/>
                <w:noProof/>
              </w:rPr>
              <w:t>6.2. La proporzionalità e  il fattore tempo.</w:t>
            </w:r>
            <w:r>
              <w:rPr>
                <w:noProof/>
                <w:webHidden/>
              </w:rPr>
              <w:tab/>
            </w:r>
            <w:r>
              <w:rPr>
                <w:noProof/>
                <w:webHidden/>
              </w:rPr>
              <w:fldChar w:fldCharType="begin"/>
            </w:r>
            <w:r>
              <w:rPr>
                <w:noProof/>
                <w:webHidden/>
              </w:rPr>
              <w:instrText xml:space="preserve"> PAGEREF _Toc196751398 \h </w:instrText>
            </w:r>
            <w:r>
              <w:rPr>
                <w:noProof/>
                <w:webHidden/>
              </w:rPr>
            </w:r>
            <w:r>
              <w:rPr>
                <w:noProof/>
                <w:webHidden/>
              </w:rPr>
              <w:fldChar w:fldCharType="separate"/>
            </w:r>
            <w:r>
              <w:rPr>
                <w:noProof/>
                <w:webHidden/>
              </w:rPr>
              <w:t>18</w:t>
            </w:r>
            <w:r>
              <w:rPr>
                <w:noProof/>
                <w:webHidden/>
              </w:rPr>
              <w:fldChar w:fldCharType="end"/>
            </w:r>
          </w:hyperlink>
        </w:p>
        <w:p w14:paraId="48BC862A" w14:textId="5E766C56" w:rsidR="00A00D4E" w:rsidRDefault="00A00D4E">
          <w:r>
            <w:rPr>
              <w:b/>
              <w:bCs/>
            </w:rPr>
            <w:fldChar w:fldCharType="end"/>
          </w:r>
        </w:p>
      </w:sdtContent>
    </w:sdt>
    <w:p w14:paraId="43EC46E2" w14:textId="77777777" w:rsidR="00A00D4E" w:rsidRDefault="00A00D4E" w:rsidP="004149D2">
      <w:pPr>
        <w:pStyle w:val="PersonaleGaramond"/>
        <w:rPr>
          <w:i/>
          <w:iCs/>
        </w:rPr>
      </w:pPr>
    </w:p>
    <w:p w14:paraId="2D930550" w14:textId="2270E9DF" w:rsidR="00B0493B" w:rsidRDefault="00B0493B" w:rsidP="00B0493B">
      <w:pPr>
        <w:pStyle w:val="Titolo1Garamond"/>
      </w:pPr>
      <w:bookmarkStart w:id="1" w:name="_Toc196751375"/>
      <w:r>
        <w:t>Premessa</w:t>
      </w:r>
      <w:bookmarkEnd w:id="1"/>
      <w:r>
        <w:t xml:space="preserve"> </w:t>
      </w:r>
    </w:p>
    <w:p w14:paraId="449ADE87" w14:textId="20A6A834" w:rsidR="00B273FD" w:rsidRDefault="00E5069B" w:rsidP="00B0493B">
      <w:pPr>
        <w:pStyle w:val="PersonaleGaramond"/>
      </w:pPr>
      <w:r>
        <w:t>Affronterò i</w:t>
      </w:r>
      <w:r w:rsidR="00B273FD">
        <w:t xml:space="preserve">l tema assegnato, potenzialmente assai vasto, </w:t>
      </w:r>
      <w:r>
        <w:t xml:space="preserve">con riferimento solo ad alcuni istituti, tralasciando altri </w:t>
      </w:r>
      <w:r w:rsidR="00471072">
        <w:t xml:space="preserve">che, pur non privi di interesse, </w:t>
      </w:r>
      <w:r w:rsidR="0088397C">
        <w:t>presentano minori</w:t>
      </w:r>
      <w:r w:rsidR="002876FF">
        <w:t xml:space="preserve"> riferimenti applicativi al principio di proporzionalità.</w:t>
      </w:r>
    </w:p>
    <w:p w14:paraId="4D2DC11B" w14:textId="7C43CC2A" w:rsidR="00BA787D" w:rsidRDefault="002876FF" w:rsidP="00B0493B">
      <w:pPr>
        <w:pStyle w:val="PersonaleGaramond"/>
      </w:pPr>
      <w:r>
        <w:lastRenderedPageBreak/>
        <w:t xml:space="preserve">L’intervento principia </w:t>
      </w:r>
      <w:r w:rsidR="00D50650">
        <w:t>tracciando</w:t>
      </w:r>
      <w:r>
        <w:t xml:space="preserve"> una linea di demarcazione tra ciò che è tecnicamente </w:t>
      </w:r>
      <w:r w:rsidR="00D50650">
        <w:t xml:space="preserve">una </w:t>
      </w:r>
      <w:r>
        <w:t xml:space="preserve">sanzione e ciò che, invece, non lo è. </w:t>
      </w:r>
      <w:r w:rsidR="00D50650">
        <w:t>Nella disciplina urbanistico-edilizia convivono misure tecnicamente sanzionatorie e misure che, pur lesive della sfera giuridica dei destinatari, non sono sanzioni in senso proprio</w:t>
      </w:r>
      <w:r w:rsidR="00256843">
        <w:t>.</w:t>
      </w:r>
    </w:p>
    <w:p w14:paraId="7A97EFB6" w14:textId="38BD3A87" w:rsidR="002B566D" w:rsidRDefault="00256843" w:rsidP="00B0493B">
      <w:pPr>
        <w:pStyle w:val="PersonaleGaramond"/>
      </w:pPr>
      <w:r>
        <w:t>L’archetipo della misura repressiva ma non sanzionatoria è la demolizione</w:t>
      </w:r>
      <w:r w:rsidR="000B7F21">
        <w:t>/rimessione in pristino</w:t>
      </w:r>
      <w:r>
        <w:t xml:space="preserve"> di cui all’art. 31 del D.P.R. n. 380/2001</w:t>
      </w:r>
      <w:r w:rsidR="00D50650">
        <w:t>. Su tale misura</w:t>
      </w:r>
      <w:r w:rsidR="000B7F21">
        <w:t xml:space="preserve"> sarà focalizzata la maggior parte dell’analisi anche in rapporto all’applicazione</w:t>
      </w:r>
      <w:r w:rsidR="00863620">
        <w:t xml:space="preserve"> del principio di proporzionalità</w:t>
      </w:r>
      <w:r w:rsidR="00A360F7">
        <w:t>;</w:t>
      </w:r>
      <w:r w:rsidR="00332DE5">
        <w:t xml:space="preserve"> in questo ambito,</w:t>
      </w:r>
      <w:r w:rsidR="00A360F7">
        <w:t xml:space="preserve"> </w:t>
      </w:r>
      <w:r w:rsidR="005D6C0F">
        <w:t xml:space="preserve">saranno affrontati i risvolti applicativi </w:t>
      </w:r>
      <w:r w:rsidR="00A30A9C">
        <w:t>delle</w:t>
      </w:r>
      <w:r w:rsidR="00863620">
        <w:t xml:space="preserve"> </w:t>
      </w:r>
      <w:r w:rsidR="0069279D">
        <w:t>Sentenze della C</w:t>
      </w:r>
      <w:r w:rsidR="00A30A9C">
        <w:t xml:space="preserve">orte </w:t>
      </w:r>
      <w:r w:rsidR="0069279D">
        <w:t xml:space="preserve">EDU </w:t>
      </w:r>
      <w:r w:rsidR="00DE4CAF">
        <w:t xml:space="preserve">che hanno </w:t>
      </w:r>
      <w:r w:rsidR="00846A79">
        <w:t>imposto</w:t>
      </w:r>
      <w:r w:rsidR="00BA340E">
        <w:t xml:space="preserve"> </w:t>
      </w:r>
      <w:r w:rsidR="00DE4CAF">
        <w:t xml:space="preserve">il </w:t>
      </w:r>
      <w:r w:rsidR="00846A79">
        <w:t xml:space="preserve">rispetto del principio di proporzionalità </w:t>
      </w:r>
      <w:r w:rsidR="008C162A">
        <w:t>nell’esecuzione</w:t>
      </w:r>
      <w:r w:rsidR="00846A79">
        <w:t xml:space="preserve"> degli </w:t>
      </w:r>
      <w:r w:rsidR="00DE4CAF">
        <w:t xml:space="preserve">ordini di demolizione degli immobili abusivi </w:t>
      </w:r>
      <w:r w:rsidR="00E71187">
        <w:t>rispetto a</w:t>
      </w:r>
      <w:r w:rsidR="00DE4CAF">
        <w:t xml:space="preserve">l diritto all’abitazione, garantito </w:t>
      </w:r>
      <w:r w:rsidR="00B36A91">
        <w:t>d</w:t>
      </w:r>
      <w:r w:rsidR="00DE4CAF">
        <w:t xml:space="preserve">all’art. 8 della </w:t>
      </w:r>
      <w:r w:rsidR="00B36A91">
        <w:t>C</w:t>
      </w:r>
      <w:r w:rsidR="00DE4CAF">
        <w:t xml:space="preserve">onvenzione. </w:t>
      </w:r>
      <w:r w:rsidR="00C1575D">
        <w:t xml:space="preserve">In </w:t>
      </w:r>
      <w:r w:rsidR="00332DE5">
        <w:t>merito</w:t>
      </w:r>
      <w:r w:rsidR="00C1575D">
        <w:t xml:space="preserve">, sarà </w:t>
      </w:r>
      <w:r w:rsidR="008C162A">
        <w:t xml:space="preserve">presa in considerazione </w:t>
      </w:r>
      <w:r w:rsidR="00C1575D">
        <w:t>la giurisprudenza del giudice dell’esecuzione penale</w:t>
      </w:r>
      <w:r w:rsidR="00563186">
        <w:t xml:space="preserve"> che ha raccolto le suggestioni provenienti dalla Corte EDU</w:t>
      </w:r>
      <w:r w:rsidR="00311813">
        <w:t xml:space="preserve">. </w:t>
      </w:r>
      <w:r w:rsidR="00D50650">
        <w:t>Si procederà, quindi,</w:t>
      </w:r>
      <w:r w:rsidR="00311813">
        <w:t xml:space="preserve"> a </w:t>
      </w:r>
      <w:r w:rsidR="00B63538">
        <w:t>rappresentare alcune problematiche e a fornire alcune indicazioni operative riguardo alla possibile declinazione dei principi affermati dalla Corte EDU nell’ambito del giudizio amministrativo</w:t>
      </w:r>
      <w:r w:rsidR="002B566D">
        <w:t xml:space="preserve"> con particolare riferimento </w:t>
      </w:r>
      <w:r w:rsidR="0019672B">
        <w:t xml:space="preserve">all’istituto della </w:t>
      </w:r>
      <w:r w:rsidR="00C016CA">
        <w:t xml:space="preserve">demolizione </w:t>
      </w:r>
      <w:r w:rsidR="0019672B">
        <w:t xml:space="preserve">di cui </w:t>
      </w:r>
      <w:r w:rsidR="002B566D">
        <w:t>all’art. 31 del D.P.R. n. 380/2001</w:t>
      </w:r>
      <w:r w:rsidR="0019672B">
        <w:t xml:space="preserve"> (TUE)</w:t>
      </w:r>
      <w:r w:rsidR="002B566D">
        <w:t>.</w:t>
      </w:r>
    </w:p>
    <w:p w14:paraId="3ECE5103" w14:textId="200F87E4" w:rsidR="00832640" w:rsidRDefault="006E29A7" w:rsidP="00B0493B">
      <w:pPr>
        <w:pStyle w:val="PersonaleGaramond"/>
      </w:pPr>
      <w:r>
        <w:t xml:space="preserve">Sarà, poi, esaminato l’istituto dell’acquisizione gratuita al patrimonio comunale </w:t>
      </w:r>
      <w:r w:rsidR="00696839">
        <w:t>a seguito della mancata esecuzione dell’ordine di demolizione</w:t>
      </w:r>
      <w:r w:rsidR="0019672B">
        <w:t xml:space="preserve"> (art. 31 co. 3 TUE)</w:t>
      </w:r>
      <w:r w:rsidR="00696839">
        <w:t xml:space="preserve"> evidenziandone il carattere sanzionatorio</w:t>
      </w:r>
      <w:r w:rsidR="00352251">
        <w:t xml:space="preserve"> e</w:t>
      </w:r>
      <w:r w:rsidR="00866335">
        <w:t>d esaminandone</w:t>
      </w:r>
      <w:r w:rsidR="00696839">
        <w:t xml:space="preserve"> alcuni tratti d</w:t>
      </w:r>
      <w:r w:rsidR="00352251">
        <w:t>ella disciplina, come delineata dagli ultimi interventi giurisprudenziali,</w:t>
      </w:r>
      <w:r w:rsidR="00696839">
        <w:t xml:space="preserve"> </w:t>
      </w:r>
      <w:r w:rsidR="00866335">
        <w:t xml:space="preserve">attraverso il prisma del principio di proporzionalità. </w:t>
      </w:r>
      <w:r w:rsidR="00D50650">
        <w:t xml:space="preserve">Si segnalerà, inoltre, come una recente innovazione legislativa, operata con il c.d. decreto “salva-casa”, si </w:t>
      </w:r>
      <w:r w:rsidR="007B7F28">
        <w:t>collochi</w:t>
      </w:r>
      <w:r w:rsidR="00D50650">
        <w:t xml:space="preserve"> nel solco dei principi sanciti dalle pronunce della Corte EDU</w:t>
      </w:r>
      <w:r w:rsidR="00B07D10">
        <w:t>.</w:t>
      </w:r>
      <w:r w:rsidR="00866335">
        <w:t xml:space="preserve"> </w:t>
      </w:r>
    </w:p>
    <w:p w14:paraId="4A63B5AA" w14:textId="799B405F" w:rsidR="00E71187" w:rsidRDefault="005444ED" w:rsidP="00B0493B">
      <w:pPr>
        <w:pStyle w:val="PersonaleGaramond"/>
      </w:pPr>
      <w:r>
        <w:t>Nelle conclusioni</w:t>
      </w:r>
      <w:r w:rsidR="005F4731">
        <w:t xml:space="preserve">, </w:t>
      </w:r>
      <w:r w:rsidR="00B07D10">
        <w:t xml:space="preserve">saranno forniti </w:t>
      </w:r>
      <w:r>
        <w:t>degli spunti ricostruttivi</w:t>
      </w:r>
      <w:r w:rsidR="00816D2C">
        <w:t xml:space="preserve"> </w:t>
      </w:r>
      <w:r w:rsidR="003A0E90">
        <w:t>tesi, da un lato, a</w:t>
      </w:r>
      <w:r w:rsidR="006B5E50">
        <w:t>d</w:t>
      </w:r>
      <w:r w:rsidR="003A0E90">
        <w:t xml:space="preserve"> </w:t>
      </w:r>
      <w:r w:rsidR="006B5E50">
        <w:t xml:space="preserve">ampliare l’analisi al rapporto tra </w:t>
      </w:r>
      <w:r w:rsidR="00816D2C">
        <w:t xml:space="preserve">principio di proporzionalità </w:t>
      </w:r>
      <w:r w:rsidR="006B5E50">
        <w:t xml:space="preserve">e </w:t>
      </w:r>
      <w:r w:rsidR="00816D2C">
        <w:t xml:space="preserve">intero sistema </w:t>
      </w:r>
      <w:r>
        <w:t>di repressione degli abusi edilizi</w:t>
      </w:r>
      <w:r w:rsidR="003A0E90">
        <w:t xml:space="preserve"> e, dall’altro, a </w:t>
      </w:r>
      <w:r w:rsidR="001723B3">
        <w:t>sottolineare l’importanza del fattore temporale nell’implementazione del giudizio di proporzionalità</w:t>
      </w:r>
      <w:r w:rsidR="00D853DA">
        <w:t xml:space="preserve"> </w:t>
      </w:r>
      <w:r w:rsidR="007B7F28">
        <w:t xml:space="preserve">secondo </w:t>
      </w:r>
      <w:r w:rsidR="00D50650">
        <w:t>gli standard</w:t>
      </w:r>
      <w:r w:rsidR="00D853DA">
        <w:t xml:space="preserve"> d</w:t>
      </w:r>
      <w:r w:rsidR="00D50650">
        <w:t>e</w:t>
      </w:r>
      <w:r w:rsidR="00D853DA">
        <w:t>lla Corte EDU</w:t>
      </w:r>
      <w:r w:rsidR="001723B3">
        <w:t>.</w:t>
      </w:r>
      <w:r w:rsidR="003A0E90">
        <w:t xml:space="preserve"> </w:t>
      </w:r>
      <w:r w:rsidR="002B566D">
        <w:t xml:space="preserve"> </w:t>
      </w:r>
    </w:p>
    <w:p w14:paraId="16215B8A" w14:textId="77777777" w:rsidR="00D853DA" w:rsidRDefault="00D853DA" w:rsidP="00B0493B">
      <w:pPr>
        <w:pStyle w:val="PersonaleGaramond"/>
      </w:pPr>
    </w:p>
    <w:p w14:paraId="53769AE6" w14:textId="77777777" w:rsidR="00D853DA" w:rsidRPr="00B0493B" w:rsidRDefault="00D853DA" w:rsidP="00B0493B">
      <w:pPr>
        <w:pStyle w:val="PersonaleGaramond"/>
      </w:pPr>
    </w:p>
    <w:p w14:paraId="79BCCEAD" w14:textId="78F36C6A" w:rsidR="00B46204" w:rsidRDefault="008A7890" w:rsidP="004266B0">
      <w:pPr>
        <w:pStyle w:val="Titolo1Garamond"/>
        <w:keepNext w:val="0"/>
        <w:widowControl w:val="0"/>
        <w:suppressLineNumbers/>
        <w:suppressAutoHyphens/>
      </w:pPr>
      <w:bookmarkStart w:id="2" w:name="_Toc196751376"/>
      <w:r>
        <w:t xml:space="preserve">1. </w:t>
      </w:r>
      <w:r w:rsidR="004266B0">
        <w:t>Introduzione: le sanzioni amministrative</w:t>
      </w:r>
      <w:bookmarkEnd w:id="2"/>
    </w:p>
    <w:p w14:paraId="0E57EDAD" w14:textId="708F9299" w:rsidR="0024539D" w:rsidRDefault="0024539D" w:rsidP="0024539D">
      <w:pPr>
        <w:pStyle w:val="Titolo2Garamond"/>
      </w:pPr>
      <w:bookmarkStart w:id="3" w:name="_Toc196751377"/>
      <w:r>
        <w:t>1.1. Poteri sanzionatori</w:t>
      </w:r>
      <w:r w:rsidR="00BE7FC7">
        <w:t>, commisurazione e proporzionalità della sanzione</w:t>
      </w:r>
      <w:bookmarkEnd w:id="3"/>
    </w:p>
    <w:p w14:paraId="50DA3605" w14:textId="0103EAEB" w:rsidR="008A7890" w:rsidRDefault="00FA4742" w:rsidP="004021E1">
      <w:pPr>
        <w:pStyle w:val="PersonaleGaramond"/>
        <w:keepLines w:val="0"/>
        <w:widowControl w:val="0"/>
        <w:suppressLineNumbers/>
        <w:suppressAutoHyphens/>
      </w:pPr>
      <w:r>
        <w:t>I poteri sanzionatori costituiscono una specie dei</w:t>
      </w:r>
      <w:r w:rsidR="008A7890">
        <w:t xml:space="preserve"> poteri limitativi della sfera giuridica del destinatario</w:t>
      </w:r>
      <w:r>
        <w:t xml:space="preserve"> attribuiti dalla legge alle Pubbliche amministrazioni.</w:t>
      </w:r>
    </w:p>
    <w:p w14:paraId="0F30CCB8" w14:textId="71DA76CD" w:rsidR="0057509C" w:rsidRDefault="008A7890" w:rsidP="004021E1">
      <w:pPr>
        <w:pStyle w:val="PersonaleGaramond"/>
        <w:keepLines w:val="0"/>
        <w:widowControl w:val="0"/>
        <w:suppressLineNumbers/>
        <w:suppressAutoHyphens/>
      </w:pPr>
      <w:r>
        <w:t>Le sanzioni adottate dalla pubblica amministrazione sono di tipo pecuniario, interdittivo o disciplinare e si caratterizzano per un’assorbente finalità afflittiva. Tale finalità rende i provvedimenti sanzionatori eccentrici rispetto ai provvedimenti amministrativi</w:t>
      </w:r>
      <w:r w:rsidR="00D50650">
        <w:t xml:space="preserve"> ordinari</w:t>
      </w:r>
      <w:r>
        <w:t xml:space="preserve"> che si caratterizzano per la cura in via primaria e diretta dell’interesse pubblico. </w:t>
      </w:r>
    </w:p>
    <w:p w14:paraId="6DC1616D" w14:textId="58B54E74" w:rsidR="008A7890" w:rsidRDefault="008A7890" w:rsidP="004021E1">
      <w:pPr>
        <w:pStyle w:val="PersonaleGaramond"/>
        <w:keepLines w:val="0"/>
        <w:widowControl w:val="0"/>
        <w:suppressLineNumbers/>
        <w:suppressAutoHyphens/>
      </w:pPr>
      <w:r>
        <w:t>Le sanzioni amministrative, second</w:t>
      </w:r>
      <w:r w:rsidR="006524EC">
        <w:t>o l’impostazione tradizionale, si riferivano a illeciti di entità minore che comportavano una reazione consistente, per lo più, in modeste sanzioni pecuniarie</w:t>
      </w:r>
      <w:r w:rsidR="00AF6050">
        <w:t xml:space="preserve"> (</w:t>
      </w:r>
      <w:r w:rsidR="006524EC">
        <w:t>esclu</w:t>
      </w:r>
      <w:r w:rsidR="00557F89">
        <w:t>dendosi</w:t>
      </w:r>
      <w:r w:rsidR="00AF6050">
        <w:t>, quindi,</w:t>
      </w:r>
      <w:r w:rsidR="006524EC">
        <w:t xml:space="preserve"> la possibilità di incidere sulla libertà personale degli individui</w:t>
      </w:r>
      <w:r w:rsidR="00AF6050">
        <w:t>)</w:t>
      </w:r>
      <w:r w:rsidR="006524EC">
        <w:t xml:space="preserve">. La sanzione </w:t>
      </w:r>
      <w:r w:rsidR="006524EC">
        <w:lastRenderedPageBreak/>
        <w:t>amministrativa, diversamente da quella penale, non implica</w:t>
      </w:r>
      <w:r w:rsidR="00AF6050">
        <w:t>va</w:t>
      </w:r>
      <w:r w:rsidR="006524EC">
        <w:t xml:space="preserve"> un particolare stigma sociale né prevede</w:t>
      </w:r>
      <w:r w:rsidR="00D55421">
        <w:t>va</w:t>
      </w:r>
      <w:r w:rsidR="006524EC">
        <w:t xml:space="preserve"> </w:t>
      </w:r>
      <w:r w:rsidR="00D55421">
        <w:t xml:space="preserve">un sistema di registrazione </w:t>
      </w:r>
      <w:r w:rsidR="006524EC">
        <w:t>comparabile all’iscrizione al casellario giudiziale. Conseguentemente, il regime delle sanzioni amministrative prevede</w:t>
      </w:r>
      <w:r w:rsidR="00D55421">
        <w:t>va,</w:t>
      </w:r>
      <w:r w:rsidR="006524EC">
        <w:t xml:space="preserve"> oltre all’accertamento in via solo amministrativa, garanzie di partecipazione ben più limitate rispetto a </w:t>
      </w:r>
      <w:r w:rsidR="00AC42FE">
        <w:t>quelle previste</w:t>
      </w:r>
      <w:r w:rsidR="006524EC">
        <w:t xml:space="preserve"> in ambito penale.</w:t>
      </w:r>
    </w:p>
    <w:p w14:paraId="14BAFA0C" w14:textId="0D05FF2C" w:rsidR="006524EC" w:rsidRDefault="006524EC" w:rsidP="004021E1">
      <w:pPr>
        <w:pStyle w:val="PersonaleGaramond"/>
        <w:keepLines w:val="0"/>
        <w:widowControl w:val="0"/>
        <w:suppressLineNumbers/>
        <w:suppressAutoHyphens/>
      </w:pPr>
      <w:r>
        <w:t xml:space="preserve">L’evoluzione dell’ordinamento, peraltro, ha visto sorgere illeciti amministrativi </w:t>
      </w:r>
      <w:r w:rsidR="00D50650">
        <w:t>con</w:t>
      </w:r>
      <w:r w:rsidR="009609C1">
        <w:t xml:space="preserve"> caratteri </w:t>
      </w:r>
      <w:r>
        <w:t xml:space="preserve">di elevata gravità </w:t>
      </w:r>
      <w:r w:rsidR="00D50650">
        <w:t xml:space="preserve">e </w:t>
      </w:r>
      <w:r>
        <w:t>inciden</w:t>
      </w:r>
      <w:r w:rsidR="00D50650">
        <w:t>ti</w:t>
      </w:r>
      <w:r>
        <w:t xml:space="preserve"> su interessi di cruciale rilevanza co</w:t>
      </w:r>
      <w:r w:rsidR="009609C1">
        <w:t>ll</w:t>
      </w:r>
      <w:r>
        <w:t>ettiva (disciplina antitrust, disciplina dell’attività bancaria o creditizia)</w:t>
      </w:r>
      <w:r w:rsidR="000C2ACA">
        <w:t>. Sovente, anzi,</w:t>
      </w:r>
      <w:r>
        <w:t xml:space="preserve"> l’area dell’illecito amministrativo</w:t>
      </w:r>
      <w:r w:rsidR="000C2ACA">
        <w:t xml:space="preserve"> </w:t>
      </w:r>
      <w:r>
        <w:t xml:space="preserve">è </w:t>
      </w:r>
      <w:r w:rsidR="00281B90">
        <w:t>andata a sovrapporsi</w:t>
      </w:r>
      <w:r>
        <w:t xml:space="preserve"> interamente o in parte </w:t>
      </w:r>
      <w:r w:rsidR="00B37D5F">
        <w:t xml:space="preserve">con quella di </w:t>
      </w:r>
      <w:r>
        <w:t>un illecito penale</w:t>
      </w:r>
      <w:r w:rsidR="00CF7DCF">
        <w:t>. Inoltre,</w:t>
      </w:r>
      <w:r>
        <w:t xml:space="preserve"> le autorità amministrative competenti per l’accertamento dell’illecito sono</w:t>
      </w:r>
      <w:r w:rsidR="00A559F4">
        <w:t xml:space="preserve"> state</w:t>
      </w:r>
      <w:r>
        <w:t xml:space="preserve"> dotat</w:t>
      </w:r>
      <w:r w:rsidR="007B0AE7">
        <w:t>e</w:t>
      </w:r>
      <w:r>
        <w:t xml:space="preserve"> di pregnanti poteri </w:t>
      </w:r>
      <w:r w:rsidRPr="00D00FF5">
        <w:t>istruttori</w:t>
      </w:r>
      <w:r w:rsidR="00CF7DCF" w:rsidRPr="00D00FF5">
        <w:t xml:space="preserve"> e</w:t>
      </w:r>
      <w:r w:rsidRPr="00D00FF5">
        <w:t xml:space="preserve"> le sanzioni presentano un elevato grado di afflittività</w:t>
      </w:r>
      <w:r w:rsidR="00D00FF5" w:rsidRPr="00D00FF5">
        <w:t>,</w:t>
      </w:r>
      <w:r w:rsidRPr="00D00FF5">
        <w:t xml:space="preserve"> </w:t>
      </w:r>
      <w:r w:rsidR="00FD4A56" w:rsidRPr="00D00FF5">
        <w:rPr>
          <w:i/>
          <w:iCs/>
        </w:rPr>
        <w:t>sia per la loro entità sia per l'incidenza su diritti costituzionalmente tutelati</w:t>
      </w:r>
      <w:r w:rsidR="00FD4A56" w:rsidRPr="00D00FF5">
        <w:t xml:space="preserve"> (quali, ad esempio, il diritto al lavoro)</w:t>
      </w:r>
      <w:r w:rsidR="00C177C8" w:rsidRPr="00D00FF5">
        <w:t>. La</w:t>
      </w:r>
      <w:r w:rsidR="00C177C8">
        <w:t xml:space="preserve"> pubblicazione o la registrazione pubblica della sanzione, inoltre, aumentano in modo consistente anche lo stigma derivante dalla sanzione</w:t>
      </w:r>
      <w:r w:rsidR="007B423B">
        <w:rPr>
          <w:rStyle w:val="Rimandonotaapidipagina"/>
        </w:rPr>
        <w:footnoteReference w:id="3"/>
      </w:r>
      <w:r w:rsidR="001F0C86">
        <w:t xml:space="preserve"> (</w:t>
      </w:r>
      <w:r w:rsidR="007B423B">
        <w:t xml:space="preserve">si pensi al </w:t>
      </w:r>
      <w:r w:rsidR="003A056E">
        <w:t xml:space="preserve">notissimo </w:t>
      </w:r>
      <w:r w:rsidR="007B423B">
        <w:t>caso della sanzion</w:t>
      </w:r>
      <w:r w:rsidR="007B5B44">
        <w:t>e</w:t>
      </w:r>
      <w:r w:rsidR="007B423B">
        <w:t xml:space="preserve"> comminata dall’A</w:t>
      </w:r>
      <w:r w:rsidR="003A056E">
        <w:t xml:space="preserve">G.C.M. </w:t>
      </w:r>
      <w:r w:rsidR="007B423B">
        <w:t xml:space="preserve">a una </w:t>
      </w:r>
      <w:r w:rsidR="001F0C86">
        <w:t xml:space="preserve">nota </w:t>
      </w:r>
      <w:r w:rsidR="001F0C86" w:rsidRPr="00D50650">
        <w:rPr>
          <w:i/>
        </w:rPr>
        <w:t>influencer</w:t>
      </w:r>
      <w:r w:rsidR="001F0C86">
        <w:t>)</w:t>
      </w:r>
      <w:r w:rsidR="00784B4C">
        <w:rPr>
          <w:rStyle w:val="Rimandonotaapidipagina"/>
        </w:rPr>
        <w:footnoteReference w:id="4"/>
      </w:r>
      <w:r w:rsidR="00C177C8">
        <w:t>.</w:t>
      </w:r>
    </w:p>
    <w:p w14:paraId="5EE1FCB1" w14:textId="4FFB98C1" w:rsidR="00CF1F98" w:rsidRDefault="00702C7D" w:rsidP="004021E1">
      <w:pPr>
        <w:pStyle w:val="PersonaleGaramond"/>
        <w:keepLines w:val="0"/>
        <w:widowControl w:val="0"/>
        <w:suppressLineNumbers/>
        <w:suppressAutoHyphens/>
      </w:pPr>
      <w:r>
        <w:t xml:space="preserve">L’aumento della </w:t>
      </w:r>
      <w:r w:rsidR="007B0AE7">
        <w:t>gravità</w:t>
      </w:r>
      <w:r>
        <w:t xml:space="preserve"> delle sanzioni amministrative ha comportato l’estensione a esse di talune garanzie proprie </w:t>
      </w:r>
      <w:r w:rsidR="00CF1F98">
        <w:t xml:space="preserve">delle sanzioni penali. </w:t>
      </w:r>
      <w:r w:rsidR="007B5B44">
        <w:t>Già l</w:t>
      </w:r>
      <w:r w:rsidR="00CF1F98">
        <w:t>a legge</w:t>
      </w:r>
      <w:r>
        <w:t>, c.d. di depenalizzazione,</w:t>
      </w:r>
      <w:r w:rsidR="00CF1F98">
        <w:t xml:space="preserve"> n. 689/1981 </w:t>
      </w:r>
      <w:r w:rsidR="007B5B44">
        <w:t>ha previsto</w:t>
      </w:r>
      <w:r w:rsidR="00CF1F98">
        <w:t>, com’è noto, un criterio di specialità per regolare i casi in cui l’ambito della sanzione amministrativa si sovrappone a quello della sanzione penale</w:t>
      </w:r>
      <w:r w:rsidR="00E51AF8">
        <w:t xml:space="preserve"> </w:t>
      </w:r>
      <w:r w:rsidR="00784B4C">
        <w:t>nonché</w:t>
      </w:r>
      <w:r w:rsidR="00CF1F98">
        <w:t xml:space="preserve"> l’applicazione dei principi di legalità, personalità e colpevolezza. </w:t>
      </w:r>
      <w:r w:rsidR="00B54DBB">
        <w:t xml:space="preserve">Si è, altresì, </w:t>
      </w:r>
      <w:r w:rsidR="00E51AF8">
        <w:t>introdotta</w:t>
      </w:r>
      <w:r w:rsidR="00CF1F98">
        <w:t xml:space="preserve"> una </w:t>
      </w:r>
      <w:r w:rsidR="00B54DBB">
        <w:t xml:space="preserve">più attenta </w:t>
      </w:r>
      <w:r w:rsidR="00CF1F98">
        <w:t>applicazione del principio del contraddittorio</w:t>
      </w:r>
      <w:r w:rsidR="00D54CD8">
        <w:t xml:space="preserve"> e</w:t>
      </w:r>
      <w:r w:rsidR="00CF1F98">
        <w:t xml:space="preserve"> </w:t>
      </w:r>
      <w:r w:rsidR="00B54DBB">
        <w:t xml:space="preserve">gli atti di irrogazione della sanzione </w:t>
      </w:r>
      <w:r w:rsidR="00CF1F98">
        <w:t xml:space="preserve">sono </w:t>
      </w:r>
      <w:r w:rsidR="000D7689">
        <w:t xml:space="preserve">resi </w:t>
      </w:r>
      <w:r w:rsidR="00CF1F98">
        <w:t>pienamente sindacabili dal giudice</w:t>
      </w:r>
      <w:r w:rsidR="00E51AF8">
        <w:t xml:space="preserve"> (ordinario</w:t>
      </w:r>
      <w:r w:rsidR="00E52CE6">
        <w:t>)</w:t>
      </w:r>
      <w:r w:rsidR="00D00FF5">
        <w:t xml:space="preserve">, senza che trovi applicazione </w:t>
      </w:r>
      <w:r w:rsidR="00CF1F98">
        <w:t>il limite del merito amministrativo.</w:t>
      </w:r>
    </w:p>
    <w:p w14:paraId="662AB86B" w14:textId="2C272797" w:rsidR="00511E98" w:rsidRDefault="00511E98" w:rsidP="00511E98">
      <w:pPr>
        <w:pStyle w:val="PersonaleGaramond"/>
        <w:keepLines w:val="0"/>
        <w:widowControl w:val="0"/>
        <w:suppressLineNumbers/>
        <w:suppressAutoHyphens/>
      </w:pPr>
      <w:r>
        <w:t>D</w:t>
      </w:r>
      <w:r w:rsidRPr="005B01AB">
        <w:t>i fronte all’atto di irrogazione della sanzione,</w:t>
      </w:r>
      <w:r>
        <w:t xml:space="preserve"> si ritiene che</w:t>
      </w:r>
      <w:r w:rsidRPr="005B01AB">
        <w:t xml:space="preserve"> la posizione del privato sia diritto soggettivo e non di interesse legittimo; </w:t>
      </w:r>
      <w:r w:rsidR="00ED0BA4" w:rsidRPr="00ED0BA4">
        <w:t>l’amministrazione applica presupposti di legge senza discrezionalità, sicché non sussiste soggezione, né si configura una posizione di interesse legittimo in capo al soggetto inciso</w:t>
      </w:r>
      <w:r>
        <w:t xml:space="preserve">. </w:t>
      </w:r>
    </w:p>
    <w:p w14:paraId="33C01BDD" w14:textId="31B6F51E" w:rsidR="00FF442F" w:rsidRDefault="001E6B49" w:rsidP="004021E1">
      <w:pPr>
        <w:pStyle w:val="PersonaleGaramond"/>
        <w:keepLines w:val="0"/>
        <w:widowControl w:val="0"/>
        <w:suppressLineNumbers/>
        <w:suppressAutoHyphens/>
      </w:pPr>
      <w:r>
        <w:t>In tale ottica, g</w:t>
      </w:r>
      <w:r w:rsidR="006F7F61">
        <w:t>li atti di irrogazione delle sanzioni amministrative</w:t>
      </w:r>
      <w:r w:rsidR="00B74639">
        <w:t xml:space="preserve"> non sembrano tecnicamente ascrivibili al</w:t>
      </w:r>
      <w:r w:rsidR="00CF43DB">
        <w:t>la categoria del</w:t>
      </w:r>
      <w:r w:rsidR="00B74639">
        <w:t xml:space="preserve"> </w:t>
      </w:r>
      <w:r w:rsidR="006F7F61">
        <w:t>provvedimento amministrativo; si è proposto di parlare, invece, di atti di accertamento mediante i quali la pena è ‘commisurata’</w:t>
      </w:r>
      <w:r w:rsidR="00FF442F">
        <w:t xml:space="preserve"> in modo adeguato alla gravità dell’illecito.</w:t>
      </w:r>
      <w:r>
        <w:t xml:space="preserve"> Tale operazione di commisurazione comporta che </w:t>
      </w:r>
      <w:r w:rsidR="00E11F81">
        <w:t xml:space="preserve">la ‘sanzione’ </w:t>
      </w:r>
      <w:r>
        <w:t>sia</w:t>
      </w:r>
      <w:r w:rsidR="00E11F81">
        <w:t xml:space="preserve"> proporzionata all’illecito, ma</w:t>
      </w:r>
      <w:r w:rsidR="0024539D">
        <w:t>, va detto sin d’ora,</w:t>
      </w:r>
      <w:r w:rsidR="00E11F81">
        <w:t xml:space="preserve"> </w:t>
      </w:r>
      <w:r>
        <w:t>si tratta di un concetto di</w:t>
      </w:r>
      <w:r w:rsidR="00E11F81">
        <w:t xml:space="preserve"> ‘proporzionalità’ non sovrapponibile al principio di proporzionalità</w:t>
      </w:r>
      <w:r>
        <w:t xml:space="preserve"> </w:t>
      </w:r>
      <w:r w:rsidR="00246BC9">
        <w:t xml:space="preserve">in base al quale vengono scrutinati i provvedimenti amministrativi. Quest’ultimo, infatti, </w:t>
      </w:r>
      <w:r w:rsidR="00E11F81">
        <w:t>riguarda il rapporto e il contemperamento di interessi diversi</w:t>
      </w:r>
      <w:r w:rsidR="00B323E7">
        <w:t>, aspetti</w:t>
      </w:r>
      <w:r w:rsidR="00E11F81">
        <w:t xml:space="preserve"> tipicamente ascrivibil</w:t>
      </w:r>
      <w:r w:rsidR="00B323E7">
        <w:t>i</w:t>
      </w:r>
      <w:r w:rsidR="00E11F81">
        <w:t xml:space="preserve"> </w:t>
      </w:r>
      <w:r w:rsidR="00C317F4">
        <w:t>all’attività provvedimentale</w:t>
      </w:r>
      <w:r w:rsidR="00E11F81">
        <w:t xml:space="preserve"> discrezionale</w:t>
      </w:r>
      <w:r w:rsidR="00E11F81">
        <w:rPr>
          <w:rStyle w:val="Rimandonotaapidipagina"/>
        </w:rPr>
        <w:footnoteReference w:id="5"/>
      </w:r>
      <w:r w:rsidR="00E11F81">
        <w:t>.</w:t>
      </w:r>
    </w:p>
    <w:p w14:paraId="36E372BA" w14:textId="51E6EB85" w:rsidR="00BE7FC7" w:rsidRDefault="00BE7FC7" w:rsidP="00BE7FC7">
      <w:pPr>
        <w:pStyle w:val="Titolo2Garamond"/>
      </w:pPr>
      <w:bookmarkStart w:id="5" w:name="_Toc196751378"/>
      <w:r>
        <w:lastRenderedPageBreak/>
        <w:t xml:space="preserve">1.2. La </w:t>
      </w:r>
      <w:r w:rsidR="00E60523">
        <w:t>nozione</w:t>
      </w:r>
      <w:r>
        <w:t xml:space="preserve"> convenzionale di ‘sanzione’</w:t>
      </w:r>
      <w:bookmarkEnd w:id="5"/>
    </w:p>
    <w:p w14:paraId="3CA5A82F" w14:textId="61B597A3" w:rsidR="00F92BF9" w:rsidRDefault="00CA77BD" w:rsidP="004021E1">
      <w:pPr>
        <w:pStyle w:val="PersonaleGaramond"/>
        <w:keepLines w:val="0"/>
        <w:widowControl w:val="0"/>
        <w:suppressLineNumbers/>
        <w:suppressAutoHyphens/>
      </w:pPr>
      <w:r>
        <w:t>Alla definizione di ‘sanzione’ poc’anzi tratteggiata si sovrappone quella proveniente dalle Corti sovranazionali e, in particolare, dalla C</w:t>
      </w:r>
      <w:r w:rsidR="00BD553C">
        <w:t xml:space="preserve">orte </w:t>
      </w:r>
      <w:r>
        <w:t xml:space="preserve">EDU che ha inteso estendere le garanzie convenzionali </w:t>
      </w:r>
      <w:r w:rsidR="00581D0F">
        <w:t>alle sanzioni di tipo penale</w:t>
      </w:r>
      <w:r w:rsidR="00194FFB">
        <w:t>, intendendosi</w:t>
      </w:r>
      <w:r w:rsidR="00BD553C">
        <w:t>,</w:t>
      </w:r>
      <w:r w:rsidR="00194FFB">
        <w:t xml:space="preserve"> per sanzioni ascrivibili a tale tipologia, quelle</w:t>
      </w:r>
      <w:r w:rsidR="00447970">
        <w:t xml:space="preserve"> </w:t>
      </w:r>
      <w:r w:rsidR="002A5816">
        <w:t xml:space="preserve">contraddistinte da determinati indici sostanziali che prescindono, com’è tipico delle qualificazioni derivanti dal diritto sovranazionale, </w:t>
      </w:r>
      <w:r w:rsidR="00A51CF4">
        <w:t xml:space="preserve">dalle qualificazioni di diritto interno. </w:t>
      </w:r>
    </w:p>
    <w:p w14:paraId="3A40B35B" w14:textId="119A0B5A" w:rsidR="00CA77BD" w:rsidRDefault="00F92BF9" w:rsidP="004021E1">
      <w:pPr>
        <w:pStyle w:val="PersonaleGaramond"/>
        <w:keepLines w:val="0"/>
        <w:widowControl w:val="0"/>
        <w:suppressLineNumbers/>
        <w:suppressAutoHyphens/>
      </w:pPr>
      <w:r>
        <w:t xml:space="preserve">La qualificazione della sanzione come ‘penale’ nel diritto interno </w:t>
      </w:r>
      <w:r w:rsidR="00A51CF4">
        <w:t xml:space="preserve">è, infatti, </w:t>
      </w:r>
      <w:r w:rsidR="00A51CF4" w:rsidRPr="00A51CF4">
        <w:t>solo uno dei ben noti criteri Engel</w:t>
      </w:r>
      <w:r w:rsidR="007B0AE7">
        <w:t>,</w:t>
      </w:r>
      <w:r w:rsidR="00570032">
        <w:t xml:space="preserve"> che consentono di individuare le sanzioni </w:t>
      </w:r>
      <w:r w:rsidR="00F928CA">
        <w:t>‘</w:t>
      </w:r>
      <w:r w:rsidR="00570032">
        <w:t>penali</w:t>
      </w:r>
      <w:r w:rsidR="00F928CA">
        <w:t>’</w:t>
      </w:r>
      <w:r w:rsidR="00570032">
        <w:t xml:space="preserve"> </w:t>
      </w:r>
      <w:r w:rsidR="00F928CA">
        <w:t xml:space="preserve">in ambito </w:t>
      </w:r>
      <w:r w:rsidR="00A32706">
        <w:t>convenzionale</w:t>
      </w:r>
      <w:r w:rsidR="008F387F">
        <w:t>.</w:t>
      </w:r>
      <w:r w:rsidR="00A51CF4" w:rsidRPr="00A51CF4">
        <w:t xml:space="preserve"> </w:t>
      </w:r>
      <w:r w:rsidR="008F387F">
        <w:t>G</w:t>
      </w:r>
      <w:r w:rsidR="00A51CF4" w:rsidRPr="00A51CF4">
        <w:t xml:space="preserve">li altri </w:t>
      </w:r>
      <w:r w:rsidR="008F387F">
        <w:t xml:space="preserve">criteri </w:t>
      </w:r>
      <w:r w:rsidR="00A51CF4" w:rsidRPr="00A51CF4">
        <w:t>riguardano la natura della sanzione</w:t>
      </w:r>
      <w:r w:rsidR="002770C9">
        <w:t xml:space="preserve"> -</w:t>
      </w:r>
      <w:r w:rsidR="00A51CF4" w:rsidRPr="00A51CF4">
        <w:t xml:space="preserve"> caratterizzata da un’applicazione generale e da uno scopo preventivo e repressivo</w:t>
      </w:r>
      <w:r w:rsidR="002770C9">
        <w:t xml:space="preserve"> -</w:t>
      </w:r>
      <w:r w:rsidR="00A51CF4" w:rsidRPr="00A51CF4">
        <w:t xml:space="preserve"> e, soprattutto, la gravità della sanzione in </w:t>
      </w:r>
      <w:r w:rsidR="00F928CA">
        <w:t>relazione</w:t>
      </w:r>
      <w:r w:rsidR="00A51CF4" w:rsidRPr="00A51CF4">
        <w:t xml:space="preserve"> alla sua afflittività</w:t>
      </w:r>
      <w:r w:rsidR="004601F1">
        <w:t>.</w:t>
      </w:r>
    </w:p>
    <w:p w14:paraId="69EEF713" w14:textId="0ECBD601" w:rsidR="00D54CD8" w:rsidRDefault="007B0AE7" w:rsidP="004021E1">
      <w:pPr>
        <w:pStyle w:val="PersonaleGaramond"/>
        <w:keepLines w:val="0"/>
        <w:widowControl w:val="0"/>
        <w:suppressLineNumbers/>
        <w:suppressAutoHyphens/>
      </w:pPr>
      <w:r>
        <w:t>La qualificazione penale</w:t>
      </w:r>
      <w:r w:rsidR="00D54CD8">
        <w:t xml:space="preserve"> in senso convenzionale comporta, com’è noto, l’applicazione di </w:t>
      </w:r>
      <w:r w:rsidR="00D0573A">
        <w:t>principi</w:t>
      </w:r>
      <w:r w:rsidR="005907A2">
        <w:t xml:space="preserve"> e garanzie che il diritto interno riserva, appunto, </w:t>
      </w:r>
      <w:r w:rsidR="00C87192">
        <w:t>alle pene</w:t>
      </w:r>
      <w:r w:rsidR="000B137D">
        <w:t>.</w:t>
      </w:r>
      <w:r w:rsidR="00515FEB">
        <w:t xml:space="preserve"> </w:t>
      </w:r>
      <w:r w:rsidR="000B137D">
        <w:t>T</w:t>
      </w:r>
      <w:r w:rsidR="00515FEB">
        <w:t>ra essi, si segnalano</w:t>
      </w:r>
      <w:r w:rsidR="000B137D">
        <w:t>:</w:t>
      </w:r>
      <w:r w:rsidR="00C87192">
        <w:t xml:space="preserve"> </w:t>
      </w:r>
      <w:r w:rsidR="00D0573A">
        <w:t xml:space="preserve">il principio di ‘stretta legalità’; il principio di ‘tassatività’ intesa quale sufficiente determinazione del precetto sanzionatorio a opera della legge; il principio delle responsabilità personale; il principio del divieto del </w:t>
      </w:r>
      <w:r w:rsidR="00D0573A" w:rsidRPr="00FC3854">
        <w:rPr>
          <w:i/>
          <w:iCs/>
        </w:rPr>
        <w:t>ne bis in idem</w:t>
      </w:r>
      <w:r w:rsidR="00D0573A">
        <w:t xml:space="preserve"> (comunque, applicato in modo peculiare dalla C</w:t>
      </w:r>
      <w:r w:rsidR="00FC3854">
        <w:t xml:space="preserve">orte </w:t>
      </w:r>
      <w:r w:rsidR="00D0573A">
        <w:t>EDU).</w:t>
      </w:r>
      <w:r w:rsidR="00B37EFA">
        <w:t xml:space="preserve"> </w:t>
      </w:r>
      <w:r w:rsidR="00601B2C">
        <w:t xml:space="preserve">Tanto determina un ulteriore avvicinamento del regime </w:t>
      </w:r>
      <w:r w:rsidR="00E42552">
        <w:t xml:space="preserve">delle </w:t>
      </w:r>
      <w:r w:rsidR="00601B2C">
        <w:t xml:space="preserve">sanzioni amministrative </w:t>
      </w:r>
      <w:r w:rsidR="003C2B6A">
        <w:t xml:space="preserve">dotate </w:t>
      </w:r>
      <w:r>
        <w:t>di</w:t>
      </w:r>
      <w:r w:rsidR="00E42552">
        <w:t xml:space="preserve"> maggiore afflittività a quelle penali.</w:t>
      </w:r>
    </w:p>
    <w:p w14:paraId="68BF355D" w14:textId="411E7371" w:rsidR="006041E1" w:rsidRDefault="006041E1" w:rsidP="006041E1">
      <w:pPr>
        <w:pStyle w:val="Titolo2Garamond"/>
      </w:pPr>
      <w:bookmarkStart w:id="6" w:name="_Toc196751379"/>
      <w:r>
        <w:t>1.3.</w:t>
      </w:r>
      <w:r w:rsidR="00011A8C">
        <w:t xml:space="preserve"> Il principio di proporzionalità </w:t>
      </w:r>
      <w:r w:rsidR="00CA57C1">
        <w:t>nel sistema sanzionatorio</w:t>
      </w:r>
      <w:bookmarkEnd w:id="6"/>
    </w:p>
    <w:p w14:paraId="5CFC93F8" w14:textId="61838E87" w:rsidR="00E52A64" w:rsidRDefault="00D0573A" w:rsidP="004021E1">
      <w:pPr>
        <w:pStyle w:val="PersonaleGaramond"/>
        <w:keepLines w:val="0"/>
        <w:widowControl w:val="0"/>
        <w:suppressLineNumbers/>
        <w:suppressAutoHyphens/>
      </w:pPr>
      <w:r>
        <w:t xml:space="preserve">Tra </w:t>
      </w:r>
      <w:r w:rsidR="00DF25C5">
        <w:t>i principi convenzionali applicabili alle sanzioni (penali</w:t>
      </w:r>
      <w:r w:rsidR="008E0F3E">
        <w:t>, nel senso indicato</w:t>
      </w:r>
      <w:r w:rsidR="00DF25C5">
        <w:t>)</w:t>
      </w:r>
      <w:r w:rsidR="00FC3854">
        <w:t xml:space="preserve">, </w:t>
      </w:r>
      <w:r w:rsidR="00AE1159">
        <w:t>spicca</w:t>
      </w:r>
      <w:r>
        <w:t xml:space="preserve"> il principio di</w:t>
      </w:r>
      <w:r w:rsidR="007B0AE7">
        <w:t xml:space="preserve"> proporzionalità, inteso quale </w:t>
      </w:r>
      <w:r>
        <w:t>adeguatezza della sanzione al caso concreto</w:t>
      </w:r>
      <w:r w:rsidR="00B17CD4">
        <w:t xml:space="preserve">, criterio che si impone </w:t>
      </w:r>
      <w:r w:rsidR="006041E1">
        <w:t>anche al legislatore che voglia strutturare un sistema sanzionatorio</w:t>
      </w:r>
      <w:r w:rsidR="001222C2">
        <w:t>.</w:t>
      </w:r>
      <w:r w:rsidR="006B32A7">
        <w:t xml:space="preserve"> </w:t>
      </w:r>
    </w:p>
    <w:p w14:paraId="3D7FFE76" w14:textId="7C8A3412" w:rsidR="006041E1" w:rsidRDefault="006B32A7" w:rsidP="004021E1">
      <w:pPr>
        <w:pStyle w:val="PersonaleGaramond"/>
        <w:keepLines w:val="0"/>
        <w:widowControl w:val="0"/>
        <w:suppressLineNumbers/>
        <w:suppressAutoHyphens/>
      </w:pPr>
      <w:r>
        <w:t xml:space="preserve">Una sanzione stabilita dalla legge in termini eccessivamente afflittivi in rapporto agli interessi tutelati </w:t>
      </w:r>
      <w:r w:rsidR="004C4066">
        <w:t xml:space="preserve">colliderebbe con il principio di proporzionalità con conseguente illegittimità </w:t>
      </w:r>
      <w:r w:rsidR="00BB54C0">
        <w:t>(in senso convenzionale e costituzionale) della norma</w:t>
      </w:r>
      <w:r w:rsidR="008E0F3E">
        <w:t>.</w:t>
      </w:r>
    </w:p>
    <w:p w14:paraId="6C35FB40" w14:textId="4B5E2295" w:rsidR="00001CB8" w:rsidRDefault="002261F8" w:rsidP="004021E1">
      <w:pPr>
        <w:pStyle w:val="PersonaleGaramond"/>
        <w:keepLines w:val="0"/>
        <w:widowControl w:val="0"/>
        <w:suppressLineNumbers/>
        <w:suppressAutoHyphens/>
      </w:pPr>
      <w:r>
        <w:t>L</w:t>
      </w:r>
      <w:r w:rsidR="002454FF">
        <w:t>a Corte costituzionale</w:t>
      </w:r>
      <w:r w:rsidR="009E57B5">
        <w:t xml:space="preserve"> ha</w:t>
      </w:r>
      <w:r w:rsidR="008E0F3E">
        <w:t>, in merito,</w:t>
      </w:r>
      <w:r w:rsidR="009E57B5">
        <w:t xml:space="preserve"> ritenuto </w:t>
      </w:r>
      <w:r w:rsidR="004C5760">
        <w:t xml:space="preserve">che </w:t>
      </w:r>
      <w:r w:rsidR="009E57B5">
        <w:t>il principio di proporzionalità</w:t>
      </w:r>
      <w:r w:rsidR="004C5760">
        <w:t xml:space="preserve"> </w:t>
      </w:r>
      <w:r w:rsidR="007D4148">
        <w:t xml:space="preserve">delle sanzioni </w:t>
      </w:r>
      <w:r w:rsidR="004C5760">
        <w:t>si imponga</w:t>
      </w:r>
      <w:r w:rsidR="009E57B5">
        <w:t xml:space="preserve"> al legislatore </w:t>
      </w:r>
      <w:r w:rsidR="00913BDB">
        <w:t xml:space="preserve">anche prescindendo dal richiamo alle fonti sovranazionali. </w:t>
      </w:r>
      <w:r w:rsidR="009E60C5">
        <w:t>E tanto per l’applicazione dell’art. 3 in combinato disposto con le norme costituzionali che tutelano i diritti di volta in volta incisi dalla sanzione</w:t>
      </w:r>
      <w:r w:rsidR="002F6F21">
        <w:rPr>
          <w:rStyle w:val="Rimandonotaapidipagina"/>
        </w:rPr>
        <w:footnoteReference w:id="6"/>
      </w:r>
      <w:r w:rsidR="00DC118C">
        <w:t xml:space="preserve">; </w:t>
      </w:r>
      <w:r w:rsidR="002A5C9C">
        <w:t xml:space="preserve">in uno dei casi più noti di applicazione di </w:t>
      </w:r>
      <w:r w:rsidR="005F39A9">
        <w:t xml:space="preserve">tale orientamento, </w:t>
      </w:r>
      <w:r w:rsidR="00DC118C">
        <w:t xml:space="preserve">il meccanismo sanzionatorio </w:t>
      </w:r>
      <w:r w:rsidR="00096655">
        <w:t>di cui all’art. 187 sexies del d.lgs. 58/1998</w:t>
      </w:r>
      <w:r w:rsidR="005F39A9">
        <w:rPr>
          <w:rStyle w:val="Rimandonotaapidipagina"/>
        </w:rPr>
        <w:footnoteReference w:id="7"/>
      </w:r>
      <w:r w:rsidR="00096655">
        <w:t xml:space="preserve"> </w:t>
      </w:r>
      <w:r w:rsidR="00F50B49">
        <w:t xml:space="preserve">è stato </w:t>
      </w:r>
      <w:r w:rsidR="00C86F59">
        <w:t>dichiarato</w:t>
      </w:r>
      <w:r w:rsidR="00F50B49">
        <w:t xml:space="preserve"> contrastante, prima, con le norme interne (3-42</w:t>
      </w:r>
      <w:r w:rsidR="006005B2">
        <w:t xml:space="preserve"> Cost.</w:t>
      </w:r>
      <w:r w:rsidR="00F50B49">
        <w:t xml:space="preserve">) e poi </w:t>
      </w:r>
      <w:r w:rsidR="00F50B49" w:rsidRPr="005F39A9">
        <w:rPr>
          <w:i/>
          <w:iCs/>
        </w:rPr>
        <w:t>anche</w:t>
      </w:r>
      <w:r w:rsidR="00F50B49">
        <w:t xml:space="preserve"> con </w:t>
      </w:r>
      <w:r w:rsidR="00F50B49" w:rsidRPr="00F50B49">
        <w:t>l'art. 1 Prot. addiz. CEDU, nonché degli artt. 11 e 117, comma 1, Cost. in relazione agli artt. 17 e 49, par. 3, CDFUE</w:t>
      </w:r>
      <w:r w:rsidR="00F50B49">
        <w:t>.</w:t>
      </w:r>
    </w:p>
    <w:p w14:paraId="301EB0E7" w14:textId="06AE7E7B" w:rsidR="001222C2" w:rsidRDefault="001222C2" w:rsidP="004021E1">
      <w:pPr>
        <w:pStyle w:val="Titolo1Garamond"/>
        <w:keepNext w:val="0"/>
        <w:widowControl w:val="0"/>
        <w:suppressLineNumbers/>
        <w:suppressAutoHyphens/>
      </w:pPr>
      <w:bookmarkStart w:id="7" w:name="_Toc196751380"/>
      <w:r>
        <w:t xml:space="preserve">2. </w:t>
      </w:r>
      <w:r w:rsidR="008F0D7F">
        <w:t>Demolizione e</w:t>
      </w:r>
      <w:r w:rsidR="007A51BD">
        <w:t xml:space="preserve"> principio di proporzionalità</w:t>
      </w:r>
      <w:bookmarkEnd w:id="7"/>
    </w:p>
    <w:p w14:paraId="1EA5665E" w14:textId="5FBB4BCC" w:rsidR="00C26BD7" w:rsidRPr="00C26BD7" w:rsidRDefault="00C26BD7" w:rsidP="00C26BD7">
      <w:pPr>
        <w:pStyle w:val="Titolo2Garamond"/>
      </w:pPr>
      <w:bookmarkStart w:id="8" w:name="_Toc196751381"/>
      <w:r>
        <w:lastRenderedPageBreak/>
        <w:t xml:space="preserve">2.1. </w:t>
      </w:r>
      <w:r w:rsidR="007A51BD">
        <w:t>La demolizione ai sensi dell</w:t>
      </w:r>
      <w:r w:rsidR="009968F7">
        <w:t>’art. 31 del D.P.R. n. 380/2001</w:t>
      </w:r>
      <w:bookmarkEnd w:id="8"/>
    </w:p>
    <w:p w14:paraId="780E743A" w14:textId="4994AB38" w:rsidR="00A80FF7" w:rsidRDefault="006505C4" w:rsidP="004021E1">
      <w:pPr>
        <w:pStyle w:val="PersonaleGaramond"/>
        <w:keepLines w:val="0"/>
        <w:widowControl w:val="0"/>
        <w:suppressLineNumbers/>
        <w:suppressAutoHyphens/>
      </w:pPr>
      <w:r>
        <w:t xml:space="preserve">Quanto alle ‘sanzioni’ </w:t>
      </w:r>
      <w:r w:rsidR="00FF04F0">
        <w:t xml:space="preserve">previste per </w:t>
      </w:r>
      <w:r>
        <w:t>gli abusi edilizi</w:t>
      </w:r>
      <w:r w:rsidR="00FF04F0">
        <w:t>,</w:t>
      </w:r>
      <w:r>
        <w:t xml:space="preserve"> è opportuno focalizzare l’attenzione sul</w:t>
      </w:r>
      <w:r w:rsidR="00D57F27">
        <w:t>l</w:t>
      </w:r>
      <w:r w:rsidR="00C81A93">
        <w:t xml:space="preserve">a </w:t>
      </w:r>
      <w:r w:rsidR="0082085F">
        <w:t>misura</w:t>
      </w:r>
      <w:r w:rsidR="00450AD2">
        <w:t xml:space="preserve"> di più vasta applicazione ossia quella prevista dall’art.</w:t>
      </w:r>
      <w:r w:rsidR="00D57F27">
        <w:t xml:space="preserve"> 31</w:t>
      </w:r>
      <w:r w:rsidR="00F97AC7">
        <w:t xml:space="preserve"> del</w:t>
      </w:r>
      <w:r w:rsidR="00606252">
        <w:t xml:space="preserve"> D.P.R. n. 380/2001</w:t>
      </w:r>
      <w:r w:rsidR="00C61472">
        <w:t>, la</w:t>
      </w:r>
      <w:r w:rsidR="00450AD2">
        <w:t xml:space="preserve"> “</w:t>
      </w:r>
      <w:r w:rsidR="00450AD2" w:rsidRPr="00C61472">
        <w:rPr>
          <w:i/>
          <w:iCs/>
        </w:rPr>
        <w:t xml:space="preserve">rimozione o </w:t>
      </w:r>
      <w:r w:rsidR="00C61472" w:rsidRPr="00C61472">
        <w:rPr>
          <w:i/>
          <w:iCs/>
        </w:rPr>
        <w:t xml:space="preserve">la </w:t>
      </w:r>
      <w:r w:rsidR="00450AD2" w:rsidRPr="00C61472">
        <w:rPr>
          <w:i/>
          <w:iCs/>
        </w:rPr>
        <w:t>demolizione</w:t>
      </w:r>
      <w:r w:rsidR="00450AD2">
        <w:t>” dell’opera edificata in assenza del permesso di costruire o in totale difformità da esso (o con variazioni essenziali)</w:t>
      </w:r>
      <w:r w:rsidR="001D4FFE">
        <w:rPr>
          <w:rStyle w:val="Rimandonotaapidipagina"/>
        </w:rPr>
        <w:footnoteReference w:id="8"/>
      </w:r>
      <w:r w:rsidR="00450AD2">
        <w:t>.</w:t>
      </w:r>
      <w:r w:rsidR="00D57F27">
        <w:t xml:space="preserve"> </w:t>
      </w:r>
      <w:r w:rsidR="00FF04F0">
        <w:t xml:space="preserve">In questa sede, basti </w:t>
      </w:r>
      <w:r w:rsidR="00D57F27">
        <w:t xml:space="preserve">rammentare che la </w:t>
      </w:r>
      <w:r w:rsidR="003E1192">
        <w:t>demolizione</w:t>
      </w:r>
      <w:r w:rsidR="00D57F27">
        <w:t xml:space="preserve">, per gli immobili abusivamente </w:t>
      </w:r>
      <w:r w:rsidR="00EA4123">
        <w:t>edificat</w:t>
      </w:r>
      <w:r w:rsidR="00110CC9">
        <w:t>i</w:t>
      </w:r>
      <w:r w:rsidR="00EA4123">
        <w:t xml:space="preserve"> in zone variamente vincolate, </w:t>
      </w:r>
      <w:r w:rsidR="00EC5103">
        <w:t>può essere</w:t>
      </w:r>
      <w:r w:rsidR="00EA4123">
        <w:t xml:space="preserve"> disposta </w:t>
      </w:r>
      <w:r w:rsidR="00BF7F0D">
        <w:t xml:space="preserve">anche </w:t>
      </w:r>
      <w:r w:rsidR="00EA4123">
        <w:t>ai sensi dell’art. 27</w:t>
      </w:r>
      <w:r w:rsidR="00E702AC">
        <w:t xml:space="preserve"> del </w:t>
      </w:r>
      <w:r w:rsidR="00EF3FB2">
        <w:t>medesimo TUE</w:t>
      </w:r>
      <w:r w:rsidR="00EC5103">
        <w:t xml:space="preserve">, norma che ha presupposti </w:t>
      </w:r>
      <w:r w:rsidR="00874F87">
        <w:t>in larga parte, ma non del tutto,</w:t>
      </w:r>
      <w:r w:rsidR="00EC5103">
        <w:t xml:space="preserve"> coincidenti con</w:t>
      </w:r>
      <w:r w:rsidR="002A490C">
        <w:t xml:space="preserve"> quelli dell’</w:t>
      </w:r>
      <w:r w:rsidR="00EC5103">
        <w:t>art. 31 e che non prevede, comunque, l’ulteriore sanzione dell’acquisizione</w:t>
      </w:r>
      <w:r w:rsidR="00EC5103">
        <w:rPr>
          <w:rStyle w:val="Rimandonotaapidipagina"/>
        </w:rPr>
        <w:footnoteReference w:id="9"/>
      </w:r>
      <w:r w:rsidR="00874F87">
        <w:t>.</w:t>
      </w:r>
    </w:p>
    <w:p w14:paraId="22FF9C92" w14:textId="77777777" w:rsidR="007B0AE7" w:rsidRDefault="00AE1658" w:rsidP="004021E1">
      <w:pPr>
        <w:pStyle w:val="PersonaleGaramond"/>
        <w:keepLines w:val="0"/>
        <w:widowControl w:val="0"/>
        <w:suppressLineNumbers/>
        <w:suppressAutoHyphens/>
      </w:pPr>
      <w:r>
        <w:t>Tornando</w:t>
      </w:r>
      <w:r w:rsidR="00874F87">
        <w:t xml:space="preserve">, quindi, all’art. 31 </w:t>
      </w:r>
      <w:r>
        <w:t>TUE</w:t>
      </w:r>
      <w:r w:rsidR="00B15000">
        <w:t>,</w:t>
      </w:r>
      <w:r w:rsidR="00B63343">
        <w:t xml:space="preserve"> </w:t>
      </w:r>
      <w:r w:rsidR="00B15000">
        <w:t>l</w:t>
      </w:r>
      <w:r w:rsidR="00B63343">
        <w:t>e ‘sanzioni’</w:t>
      </w:r>
      <w:r w:rsidR="00625DD8">
        <w:t xml:space="preserve"> </w:t>
      </w:r>
      <w:r w:rsidR="00B63343">
        <w:t xml:space="preserve">sono: </w:t>
      </w:r>
      <w:r w:rsidR="00893361">
        <w:t>la rimessione in pristino</w:t>
      </w:r>
      <w:r w:rsidR="00940EE6">
        <w:t xml:space="preserve"> (</w:t>
      </w:r>
      <w:r w:rsidR="004E29F8">
        <w:t>c</w:t>
      </w:r>
      <w:r w:rsidR="00940EE6">
        <w:t>o.2); l’acquisizione al patrimonio comunale (co. 3)</w:t>
      </w:r>
      <w:r w:rsidR="00BC7EB8">
        <w:t xml:space="preserve">; la sanzione amministrativa pecuniaria compresa tra 2.000 e 20.000 euro (co. </w:t>
      </w:r>
      <w:proofErr w:type="gramStart"/>
      <w:r w:rsidR="00BC7EB8">
        <w:t>4</w:t>
      </w:r>
      <w:proofErr w:type="gramEnd"/>
      <w:r w:rsidR="00BC7EB8">
        <w:t xml:space="preserve"> bis)</w:t>
      </w:r>
      <w:r w:rsidR="0073452A">
        <w:t>.</w:t>
      </w:r>
      <w:r w:rsidR="00CA57C1">
        <w:t xml:space="preserve"> </w:t>
      </w:r>
    </w:p>
    <w:p w14:paraId="4DA9561F" w14:textId="6044BA9A" w:rsidR="00874F87" w:rsidRDefault="007B0AE7" w:rsidP="004021E1">
      <w:pPr>
        <w:pStyle w:val="PersonaleGaramond"/>
        <w:keepLines w:val="0"/>
        <w:widowControl w:val="0"/>
        <w:suppressLineNumbers/>
        <w:suppressAutoHyphens/>
      </w:pPr>
      <w:r>
        <w:t>In questa analisi, c</w:t>
      </w:r>
      <w:r w:rsidR="00CA57C1">
        <w:t>i si occuperà delle prime due.</w:t>
      </w:r>
    </w:p>
    <w:p w14:paraId="2C2D6C64" w14:textId="05BAF999" w:rsidR="0073452A" w:rsidRDefault="003C1FD3" w:rsidP="004021E1">
      <w:pPr>
        <w:pStyle w:val="PersonaleGaramond"/>
        <w:keepLines w:val="0"/>
        <w:widowControl w:val="0"/>
        <w:suppressLineNumbers/>
        <w:suppressAutoHyphens/>
      </w:pPr>
      <w:r>
        <w:t xml:space="preserve">In primo luogo, va osservato </w:t>
      </w:r>
      <w:r w:rsidR="0073452A">
        <w:t xml:space="preserve">che la rimessione in pristino </w:t>
      </w:r>
      <w:r w:rsidR="007B0AE7">
        <w:t>non integra una</w:t>
      </w:r>
      <w:r w:rsidR="0073452A">
        <w:t xml:space="preserve"> sanzione</w:t>
      </w:r>
      <w:r w:rsidR="006E182C">
        <w:t xml:space="preserve"> in senso tecnico</w:t>
      </w:r>
      <w:r w:rsidR="0073452A">
        <w:t xml:space="preserve"> secondo quanto </w:t>
      </w:r>
      <w:r>
        <w:t>poc’anzi</w:t>
      </w:r>
      <w:r w:rsidR="0073452A">
        <w:t xml:space="preserve"> </w:t>
      </w:r>
      <w:r>
        <w:t>precisato</w:t>
      </w:r>
      <w:r w:rsidR="0073452A">
        <w:t xml:space="preserve">: si tratta di un provvedimento che cura in via diretta l’interesse pubblico determinando la rimozione </w:t>
      </w:r>
      <w:r w:rsidR="007840A3">
        <w:t xml:space="preserve">dell’abuso edilizio. </w:t>
      </w:r>
    </w:p>
    <w:p w14:paraId="3E70039D" w14:textId="2B3E6724" w:rsidR="007B0AE7" w:rsidRPr="007B0AE7" w:rsidRDefault="00294675" w:rsidP="007B0AE7">
      <w:pPr>
        <w:pStyle w:val="PersonaleGaramond"/>
        <w:widowControl w:val="0"/>
        <w:suppressLineNumbers/>
        <w:suppressAutoHyphens/>
      </w:pPr>
      <w:r w:rsidRPr="007B0AE7">
        <w:t>Invero</w:t>
      </w:r>
      <w:r w:rsidR="003533F1" w:rsidRPr="007B0AE7">
        <w:t xml:space="preserve">, </w:t>
      </w:r>
      <w:r w:rsidR="007B0AE7" w:rsidRPr="007B0AE7">
        <w:t>i</w:t>
      </w:r>
      <w:r w:rsidR="007B0AE7" w:rsidRPr="007B0AE7">
        <w:rPr>
          <w:bCs/>
        </w:rPr>
        <w:t xml:space="preserve"> provvedimenti aventi una finalità ripristinatoria, interdittiva o cautelare, ai fini del diritto interno, non sono considerati sanzioni</w:t>
      </w:r>
      <w:r w:rsidR="007B0AE7" w:rsidRPr="007B0AE7">
        <w:t>, trattandosi di misure finalizzate alla cura dell’interesse pubblico mediante limitazione della sfera giuridica del destinatario.</w:t>
      </w:r>
      <w:r w:rsidR="004A3121">
        <w:t xml:space="preserve"> </w:t>
      </w:r>
      <w:r w:rsidR="007B0AE7" w:rsidRPr="007B0AE7">
        <w:t xml:space="preserve">Si parla talvolta di "sanzioni in senso lato", ma </w:t>
      </w:r>
      <w:r w:rsidR="007B0AE7" w:rsidRPr="007B0AE7">
        <w:rPr>
          <w:bCs/>
        </w:rPr>
        <w:t>sarebbe più corretto evitare tale espressione</w:t>
      </w:r>
      <w:r w:rsidR="007B0AE7" w:rsidRPr="007B0AE7">
        <w:t xml:space="preserve"> al fine di non ingenerare confusione terminologica.</w:t>
      </w:r>
    </w:p>
    <w:p w14:paraId="6720BD3D" w14:textId="2A1530B5" w:rsidR="0033666D" w:rsidRDefault="00A164C2" w:rsidP="0033666D">
      <w:pPr>
        <w:pStyle w:val="PersonaleGaramond"/>
        <w:keepLines w:val="0"/>
        <w:widowControl w:val="0"/>
        <w:suppressLineNumbers/>
        <w:suppressAutoHyphens/>
      </w:pPr>
      <w:r>
        <w:t xml:space="preserve">Molti dei caratteri delle </w:t>
      </w:r>
      <w:r w:rsidR="009A79AE">
        <w:t>misure di contrasto agli abusi edilizi</w:t>
      </w:r>
      <w:r w:rsidR="002F2CD9">
        <w:t>, del resto,</w:t>
      </w:r>
      <w:r>
        <w:t xml:space="preserve"> sono </w:t>
      </w:r>
      <w:r w:rsidR="002F2CD9">
        <w:t xml:space="preserve">eccentrici rispetto al diritto delle sanzioni in senso stretto. </w:t>
      </w:r>
      <w:r w:rsidR="004A3121">
        <w:t>N</w:t>
      </w:r>
      <w:r w:rsidR="004A3121" w:rsidRPr="004A3121">
        <w:t xml:space="preserve">on vi è reazione a un illecito intesa come punizione, bensì ripristino dello </w:t>
      </w:r>
      <w:r w:rsidR="004A3121" w:rsidRPr="004A3121">
        <w:rPr>
          <w:i/>
        </w:rPr>
        <w:t>status quo ante</w:t>
      </w:r>
      <w:r w:rsidR="004A3121" w:rsidRPr="004A3121">
        <w:t xml:space="preserve"> nell’interesse collettivo</w:t>
      </w:r>
      <w:r w:rsidR="0033666D">
        <w:t xml:space="preserve">; </w:t>
      </w:r>
      <w:r w:rsidR="007E738A">
        <w:t xml:space="preserve">di conseguenza, </w:t>
      </w:r>
      <w:r w:rsidR="0033666D">
        <w:t>prescindono dall’elemento psicologico e sono strettamente connesse alla ‘</w:t>
      </w:r>
      <w:r w:rsidR="0033666D" w:rsidRPr="009A79AE">
        <w:rPr>
          <w:i/>
          <w:iCs/>
        </w:rPr>
        <w:t>res</w:t>
      </w:r>
      <w:r w:rsidR="0033666D">
        <w:t xml:space="preserve">’ essendo quindi </w:t>
      </w:r>
      <w:r w:rsidR="00760420">
        <w:t xml:space="preserve">finanche </w:t>
      </w:r>
      <w:r w:rsidR="0033666D">
        <w:t xml:space="preserve">trasmissibili ai successivi possessori del bene. </w:t>
      </w:r>
    </w:p>
    <w:p w14:paraId="3F4C3C2D" w14:textId="0F3AC0F2" w:rsidR="0033666D" w:rsidRDefault="0033666D" w:rsidP="0033666D">
      <w:pPr>
        <w:pStyle w:val="PersonaleGaramond"/>
        <w:keepLines w:val="0"/>
        <w:widowControl w:val="0"/>
        <w:suppressLineNumbers/>
        <w:suppressAutoHyphens/>
      </w:pPr>
      <w:r>
        <w:t>G</w:t>
      </w:r>
      <w:r w:rsidRPr="000B607E">
        <w:t>li ordini di demolizione d</w:t>
      </w:r>
      <w:r w:rsidR="00691491">
        <w:t>elle</w:t>
      </w:r>
      <w:r w:rsidRPr="000B607E">
        <w:t xml:space="preserve"> costruzioni abusive</w:t>
      </w:r>
      <w:r w:rsidR="00691491">
        <w:t>, in particolare</w:t>
      </w:r>
      <w:r w:rsidRPr="000B607E">
        <w:t xml:space="preserve">, avendo carattere reale, prescindono dalla responsabilità del proprietario o dell’occupante l’immobile (l’estraneità agli abusi </w:t>
      </w:r>
      <w:r w:rsidR="00691491">
        <w:t xml:space="preserve">può rilevare </w:t>
      </w:r>
      <w:r w:rsidRPr="000B607E">
        <w:t>sotto altri profili)</w:t>
      </w:r>
      <w:r w:rsidR="004C7579">
        <w:t xml:space="preserve"> e trovano, quindi, applicazione </w:t>
      </w:r>
      <w:r w:rsidRPr="000B607E">
        <w:t xml:space="preserve">anche a carico di chi non abbia commesso la violazione, ma si trovi al momento dell’irrogazione in un rapporto con la </w:t>
      </w:r>
      <w:r w:rsidRPr="004C7579">
        <w:rPr>
          <w:i/>
          <w:iCs/>
        </w:rPr>
        <w:t>res</w:t>
      </w:r>
      <w:r w:rsidRPr="000B607E">
        <w:t xml:space="preserve"> </w:t>
      </w:r>
      <w:r w:rsidRPr="000B607E">
        <w:lastRenderedPageBreak/>
        <w:t xml:space="preserve">tale da </w:t>
      </w:r>
      <w:r w:rsidR="004C7579">
        <w:t xml:space="preserve">poter </w:t>
      </w:r>
      <w:r w:rsidRPr="000B607E">
        <w:t>assicurare la restaurazione dell’ordine giuridico violato</w:t>
      </w:r>
      <w:r>
        <w:rPr>
          <w:rStyle w:val="Rimandonotaapidipagina"/>
        </w:rPr>
        <w:footnoteReference w:id="10"/>
      </w:r>
      <w:r w:rsidR="00EA1CD3">
        <w:t>.</w:t>
      </w:r>
    </w:p>
    <w:p w14:paraId="2E674C62" w14:textId="55484C1E" w:rsidR="007840A3" w:rsidRDefault="00185336" w:rsidP="004021E1">
      <w:pPr>
        <w:pStyle w:val="PersonaleGaramond"/>
        <w:keepLines w:val="0"/>
        <w:widowControl w:val="0"/>
        <w:suppressLineNumbers/>
        <w:suppressAutoHyphens/>
      </w:pPr>
      <w:r>
        <w:t>Sul piano teorico</w:t>
      </w:r>
      <w:r w:rsidR="00EA1CD3">
        <w:t>, la rimessione in pristino</w:t>
      </w:r>
      <w:r>
        <w:t xml:space="preserve"> potrebbe</w:t>
      </w:r>
      <w:r w:rsidR="007840A3">
        <w:t>, invece, rientrare nel novero delle sanzioni secondo i criteri Engel</w:t>
      </w:r>
      <w:r w:rsidR="00504780">
        <w:rPr>
          <w:rStyle w:val="Rimandonotaapidipagina"/>
        </w:rPr>
        <w:footnoteReference w:id="11"/>
      </w:r>
      <w:r w:rsidR="00E5791D">
        <w:t>; la definizione</w:t>
      </w:r>
      <w:r w:rsidR="005510ED">
        <w:t xml:space="preserve"> di sanzione (penale)</w:t>
      </w:r>
      <w:r w:rsidR="00E5791D">
        <w:t xml:space="preserve"> fornita dalla CEDU, specie nella parte che </w:t>
      </w:r>
      <w:r w:rsidR="005510ED">
        <w:t>si appunta sull’afflittività</w:t>
      </w:r>
      <w:r w:rsidR="00080E3A">
        <w:t xml:space="preserve"> è astrattamente suscettibile di ri</w:t>
      </w:r>
      <w:r w:rsidR="00D27FAC">
        <w:t>comprendere anche l’ordine di demolizione il che comporterebbe l’</w:t>
      </w:r>
      <w:r w:rsidR="00E5791D">
        <w:t>applicazione di tutt</w:t>
      </w:r>
      <w:r w:rsidR="00AD0D74">
        <w:t>i i principi e le garanzie poc’anzi menzionati</w:t>
      </w:r>
      <w:r w:rsidR="00E5791D">
        <w:t>.</w:t>
      </w:r>
      <w:r w:rsidR="009D49FD">
        <w:t xml:space="preserve"> </w:t>
      </w:r>
      <w:r w:rsidR="00FA5B55">
        <w:t xml:space="preserve">Tale esito interpretativo, peraltro, è stato </w:t>
      </w:r>
      <w:r w:rsidR="00221578">
        <w:t>r</w:t>
      </w:r>
      <w:r w:rsidR="005E60C4">
        <w:t>ifiutato</w:t>
      </w:r>
      <w:r w:rsidR="00221578">
        <w:t xml:space="preserve"> dalla stessa Corte EDU, come meglio si dirà in seguito.</w:t>
      </w:r>
    </w:p>
    <w:p w14:paraId="056B01F8" w14:textId="7605320B" w:rsidR="00142455" w:rsidRDefault="00142455" w:rsidP="00142455">
      <w:pPr>
        <w:pStyle w:val="Titolo2Garamond"/>
      </w:pPr>
      <w:bookmarkStart w:id="9" w:name="_Toc196751382"/>
      <w:r>
        <w:t xml:space="preserve">2.2. </w:t>
      </w:r>
      <w:r w:rsidR="007A51BD">
        <w:t>L’applicazione del</w:t>
      </w:r>
      <w:r>
        <w:t xml:space="preserve"> principio di proporzionalità</w:t>
      </w:r>
      <w:bookmarkEnd w:id="9"/>
    </w:p>
    <w:p w14:paraId="3F5C9860" w14:textId="1CEB20E2" w:rsidR="00AD6F11" w:rsidRDefault="00AD6F11" w:rsidP="004021E1">
      <w:pPr>
        <w:pStyle w:val="PersonaleGaramond"/>
        <w:keepLines w:val="0"/>
        <w:widowControl w:val="0"/>
        <w:suppressLineNumbers/>
        <w:suppressAutoHyphens/>
      </w:pPr>
      <w:r>
        <w:t xml:space="preserve">Alla luce delle argomentazioni svolte sino a ora, è possibile valutare </w:t>
      </w:r>
      <w:r w:rsidR="0023580B">
        <w:t>i margini di applicazion</w:t>
      </w:r>
      <w:r w:rsidR="00B67D43">
        <w:t>e</w:t>
      </w:r>
      <w:r w:rsidR="0023580B">
        <w:t xml:space="preserve"> della proporzionalità alle ‘sanzioni edilizie’ di cui si discute</w:t>
      </w:r>
      <w:r w:rsidR="005E60C4">
        <w:t xml:space="preserve"> e, in particolare, all’ordine di demolizione.</w:t>
      </w:r>
    </w:p>
    <w:p w14:paraId="70992145" w14:textId="570ED317" w:rsidR="000B0F6C" w:rsidRDefault="00B67D43" w:rsidP="004021E1">
      <w:pPr>
        <w:pStyle w:val="PersonaleGaramond"/>
        <w:keepLines w:val="0"/>
        <w:widowControl w:val="0"/>
        <w:suppressLineNumbers/>
        <w:suppressAutoHyphens/>
      </w:pPr>
      <w:r>
        <w:t xml:space="preserve">Evidentemente, non trova applicazione la ‘proporzionalità’ nel senso di adeguata commisurazione della </w:t>
      </w:r>
      <w:r w:rsidR="000B0F6C">
        <w:t>‘</w:t>
      </w:r>
      <w:r>
        <w:t>pena</w:t>
      </w:r>
      <w:r w:rsidR="000B0F6C">
        <w:t>’ in rapporto</w:t>
      </w:r>
      <w:r>
        <w:t xml:space="preserve"> alla violazione concretamente posta in essere. </w:t>
      </w:r>
      <w:r w:rsidR="000B0F6C">
        <w:t>Ciò sia a livello teorico</w:t>
      </w:r>
      <w:r w:rsidR="00047D3B">
        <w:t xml:space="preserve"> -</w:t>
      </w:r>
      <w:r w:rsidR="000B0F6C">
        <w:t xml:space="preserve"> in quanto </w:t>
      </w:r>
      <w:r w:rsidR="00103D32">
        <w:t xml:space="preserve">non si tratta di </w:t>
      </w:r>
      <w:r w:rsidR="00047D3B">
        <w:t xml:space="preserve">un atto di accertamento e irrogazione della </w:t>
      </w:r>
      <w:r w:rsidR="00103D32">
        <w:t>sanzione</w:t>
      </w:r>
      <w:r w:rsidR="00FA5B55">
        <w:t xml:space="preserve"> in senso stretto</w:t>
      </w:r>
      <w:r w:rsidR="00103D32">
        <w:t xml:space="preserve">, ma di </w:t>
      </w:r>
      <w:r w:rsidR="00267D88">
        <w:t xml:space="preserve">un </w:t>
      </w:r>
      <w:r w:rsidR="00103D32">
        <w:t>provvedimento</w:t>
      </w:r>
      <w:r w:rsidR="00047D3B">
        <w:t xml:space="preserve"> -</w:t>
      </w:r>
      <w:r w:rsidR="00103D32">
        <w:t xml:space="preserve"> sia a livello pratico</w:t>
      </w:r>
      <w:r w:rsidR="00047D3B">
        <w:t xml:space="preserve"> -</w:t>
      </w:r>
      <w:r w:rsidR="00103D32">
        <w:t xml:space="preserve"> in quanto la misura non prevede graduazioni di sorta come avviene nel caso in cui si debba commisurare una pena prevista dalla legge in misura minima e massima (</w:t>
      </w:r>
      <w:r w:rsidR="005941D5">
        <w:t>tipicamente,</w:t>
      </w:r>
      <w:r w:rsidR="00FB283F">
        <w:t xml:space="preserve"> ciò avviene</w:t>
      </w:r>
      <w:r w:rsidR="005941D5">
        <w:t xml:space="preserve"> nelle </w:t>
      </w:r>
      <w:r w:rsidR="00103D32">
        <w:t>sanzioni pecuniarie).</w:t>
      </w:r>
    </w:p>
    <w:p w14:paraId="02312E57" w14:textId="0F9ED645" w:rsidR="0088173F" w:rsidRDefault="00015992" w:rsidP="00F534B0">
      <w:pPr>
        <w:pStyle w:val="PersonaleGaramond"/>
        <w:keepLines w:val="0"/>
        <w:widowControl w:val="0"/>
        <w:suppressLineNumbers/>
        <w:suppressAutoHyphens/>
      </w:pPr>
      <w:r>
        <w:t>Parimenti, non trova applicazione</w:t>
      </w:r>
      <w:r w:rsidR="00E97899">
        <w:t xml:space="preserve"> </w:t>
      </w:r>
      <w:r>
        <w:t>i</w:t>
      </w:r>
      <w:r w:rsidR="00E97899">
        <w:t xml:space="preserve">l principio di proporzionalità </w:t>
      </w:r>
      <w:r>
        <w:t>quale canone generale dell’attività provvedimentale</w:t>
      </w:r>
      <w:r w:rsidR="00E97899">
        <w:t xml:space="preserve">. </w:t>
      </w:r>
      <w:r w:rsidR="00F534B0">
        <w:t xml:space="preserve">Difatti, esso </w:t>
      </w:r>
      <w:r w:rsidR="0088173F" w:rsidRPr="0088173F">
        <w:t xml:space="preserve">è applicabile all’attività discrezionale e si </w:t>
      </w:r>
      <w:r w:rsidR="00F534B0">
        <w:t>sostanzia</w:t>
      </w:r>
      <w:r w:rsidR="0088173F" w:rsidRPr="0088173F">
        <w:t>, com’è noto, nella</w:t>
      </w:r>
      <w:r w:rsidR="00FB283F">
        <w:t xml:space="preserve"> valutazione circa l’i</w:t>
      </w:r>
      <w:r w:rsidR="0088173F" w:rsidRPr="0088173F">
        <w:t>doneità</w:t>
      </w:r>
      <w:r w:rsidR="00DF70B2">
        <w:rPr>
          <w:rStyle w:val="Rimandonotaapidipagina"/>
        </w:rPr>
        <w:footnoteReference w:id="12"/>
      </w:r>
      <w:r w:rsidR="0088173F" w:rsidRPr="0088173F">
        <w:t>, la necessarietà</w:t>
      </w:r>
      <w:r w:rsidR="00840F34">
        <w:rPr>
          <w:rStyle w:val="Rimandonotaapidipagina"/>
        </w:rPr>
        <w:footnoteReference w:id="13"/>
      </w:r>
      <w:r w:rsidR="008611EB">
        <w:t xml:space="preserve"> e</w:t>
      </w:r>
      <w:r w:rsidR="0088173F" w:rsidRPr="0088173F">
        <w:t xml:space="preserve"> l’adeguatezza</w:t>
      </w:r>
      <w:r w:rsidR="006D5A63">
        <w:rPr>
          <w:rStyle w:val="Rimandonotaapidipagina"/>
        </w:rPr>
        <w:footnoteReference w:id="14"/>
      </w:r>
      <w:r w:rsidR="008611EB">
        <w:t xml:space="preserve"> della misura limitativa di volta in volta adottata.</w:t>
      </w:r>
    </w:p>
    <w:p w14:paraId="2E6FA84C" w14:textId="26399420" w:rsidR="009940E4" w:rsidRDefault="009940E4" w:rsidP="004021E1">
      <w:pPr>
        <w:pStyle w:val="PersonaleGaramond"/>
        <w:keepLines w:val="0"/>
        <w:widowControl w:val="0"/>
        <w:suppressLineNumbers/>
        <w:suppressAutoHyphens/>
      </w:pPr>
      <w:r>
        <w:t>In pratica</w:t>
      </w:r>
      <w:r w:rsidR="008611EB">
        <w:t>,</w:t>
      </w:r>
      <w:r>
        <w:t xml:space="preserve"> è un principio che consente di sindacare il provvedimento amministrativo</w:t>
      </w:r>
      <w:r w:rsidR="0019241C">
        <w:t xml:space="preserve"> in rapporto allo scopo perseguito</w:t>
      </w:r>
      <w:r w:rsidR="00F07CA2">
        <w:t xml:space="preserve"> e che, quindi, si riferisce al bilanciamento de</w:t>
      </w:r>
      <w:r w:rsidR="00F87D05">
        <w:t>gli interessi primari e secondari sottesi all’attività amministrativa</w:t>
      </w:r>
      <w:r w:rsidR="008611EB">
        <w:t>, operazione</w:t>
      </w:r>
      <w:r w:rsidR="009E6488">
        <w:t>, appunto,</w:t>
      </w:r>
      <w:r w:rsidR="00F87D05">
        <w:t xml:space="preserve"> tipica</w:t>
      </w:r>
      <w:r w:rsidR="00C44062">
        <w:t xml:space="preserve"> dell’attività discrezionale.</w:t>
      </w:r>
    </w:p>
    <w:p w14:paraId="474AC2DE" w14:textId="4320499A" w:rsidR="00C44062" w:rsidRDefault="00C44062" w:rsidP="004021E1">
      <w:pPr>
        <w:pStyle w:val="PersonaleGaramond"/>
        <w:keepLines w:val="0"/>
        <w:widowControl w:val="0"/>
        <w:suppressLineNumbers/>
        <w:suppressAutoHyphens/>
      </w:pPr>
      <w:r>
        <w:t xml:space="preserve">Sennonché, il provvedimento di demolizione è assolutamente </w:t>
      </w:r>
      <w:r w:rsidR="00227CBE">
        <w:t xml:space="preserve">vincolato </w:t>
      </w:r>
      <w:r w:rsidR="006E2BFE">
        <w:t>tanto che</w:t>
      </w:r>
      <w:r w:rsidR="00AC488B">
        <w:t xml:space="preserve">, come affermato da </w:t>
      </w:r>
      <w:r w:rsidR="005E355A">
        <w:t>una fluviale giurisprudenza del giudice amministrativo</w:t>
      </w:r>
      <w:r w:rsidR="00D815BE">
        <w:t>,</w:t>
      </w:r>
      <w:r w:rsidR="006E2BFE">
        <w:t xml:space="preserve"> la motivazione può di norma limitarsi alla giustificazione (</w:t>
      </w:r>
      <w:r w:rsidR="005E355A">
        <w:t>ossia all’</w:t>
      </w:r>
      <w:r w:rsidR="006E2BFE">
        <w:t>indicazione dei presupposti di fatto e di diritto)</w:t>
      </w:r>
      <w:r w:rsidR="009F00B0">
        <w:t xml:space="preserve"> e</w:t>
      </w:r>
      <w:r w:rsidR="006E2BFE">
        <w:t xml:space="preserve"> resta applicabile l’art. 21</w:t>
      </w:r>
      <w:r w:rsidR="007A6C49">
        <w:t>-</w:t>
      </w:r>
      <w:r w:rsidR="006E2BFE" w:rsidRPr="005E355A">
        <w:rPr>
          <w:i/>
          <w:iCs/>
        </w:rPr>
        <w:t>octies</w:t>
      </w:r>
      <w:r w:rsidR="003435BC">
        <w:t xml:space="preserve"> co. 2</w:t>
      </w:r>
      <w:r w:rsidR="006E2BFE">
        <w:t xml:space="preserve"> L. 241/1990</w:t>
      </w:r>
      <w:r w:rsidR="003435BC">
        <w:t xml:space="preserve"> con recessività dei vizi formali</w:t>
      </w:r>
      <w:r w:rsidR="00D815BE">
        <w:t xml:space="preserve"> del procedimento</w:t>
      </w:r>
      <w:r w:rsidR="00847C95">
        <w:t>.</w:t>
      </w:r>
      <w:r w:rsidR="00C05508">
        <w:t xml:space="preserve"> </w:t>
      </w:r>
      <w:r w:rsidR="00847C95">
        <w:t>N</w:t>
      </w:r>
      <w:r w:rsidR="00C05508">
        <w:t xml:space="preserve">eppure il tempo trascorso </w:t>
      </w:r>
      <w:r w:rsidR="00847C95">
        <w:t xml:space="preserve">dall’abuso </w:t>
      </w:r>
      <w:r w:rsidR="00C05508">
        <w:t>– talvolta lunghissimo – incide sulla motivazione e sulla vincolatezza del provvedimento poiché:</w:t>
      </w:r>
      <w:r w:rsidR="00002A77">
        <w:t xml:space="preserve"> non siamo nel campo dell’autotutela;</w:t>
      </w:r>
      <w:r w:rsidR="00C05508">
        <w:t xml:space="preserve"> manca un affidamento incolpevole</w:t>
      </w:r>
      <w:r w:rsidR="00002A77">
        <w:t xml:space="preserve"> (si è realizzato l’abuso o si utilizza il bene abusivo);</w:t>
      </w:r>
      <w:r w:rsidR="00DB45BE">
        <w:t xml:space="preserve"> </w:t>
      </w:r>
      <w:r w:rsidR="00E92510">
        <w:t xml:space="preserve">il decorso del tempo, anzi, aggrava il </w:t>
      </w:r>
      <w:r w:rsidR="00E92510" w:rsidRPr="00195747">
        <w:rPr>
          <w:i/>
          <w:iCs/>
        </w:rPr>
        <w:t>vulnus</w:t>
      </w:r>
      <w:r w:rsidR="00E92510">
        <w:t xml:space="preserve"> agli interessi tutelati</w:t>
      </w:r>
      <w:r w:rsidR="009E12EB">
        <w:rPr>
          <w:rStyle w:val="Rimandonotaapidipagina"/>
        </w:rPr>
        <w:footnoteReference w:id="15"/>
      </w:r>
      <w:r w:rsidR="009E12EB">
        <w:t>.</w:t>
      </w:r>
    </w:p>
    <w:p w14:paraId="6AB95AC9" w14:textId="09FBEE84" w:rsidR="009E12EB" w:rsidRDefault="00745950" w:rsidP="00953C6B">
      <w:pPr>
        <w:pStyle w:val="PersonaleGaramond"/>
        <w:keepLines w:val="0"/>
        <w:widowControl w:val="0"/>
        <w:suppressLineNumbers/>
        <w:tabs>
          <w:tab w:val="left" w:pos="8064"/>
        </w:tabs>
        <w:suppressAutoHyphens/>
      </w:pPr>
      <w:r>
        <w:t xml:space="preserve">Non </w:t>
      </w:r>
      <w:r w:rsidR="00953C6B">
        <w:t>sembra esserci</w:t>
      </w:r>
      <w:r>
        <w:t xml:space="preserve"> spazio, quindi, per un</w:t>
      </w:r>
      <w:r w:rsidR="00075382">
        <w:t>a verifica d</w:t>
      </w:r>
      <w:r w:rsidR="000D4345">
        <w:t xml:space="preserve">ella </w:t>
      </w:r>
      <w:r w:rsidR="00075382">
        <w:t xml:space="preserve">proporzionalità </w:t>
      </w:r>
      <w:r w:rsidR="000D4345">
        <w:t xml:space="preserve">del provvedimento </w:t>
      </w:r>
      <w:r w:rsidR="00075382">
        <w:t xml:space="preserve">in </w:t>
      </w:r>
      <w:r w:rsidR="00AC0765">
        <w:lastRenderedPageBreak/>
        <w:t>quanto esso è rigidamente vincolato.</w:t>
      </w:r>
    </w:p>
    <w:p w14:paraId="5834B0BB" w14:textId="5D021585" w:rsidR="00441A0F" w:rsidRDefault="00441A0F" w:rsidP="00953C6B">
      <w:pPr>
        <w:pStyle w:val="PersonaleGaramond"/>
        <w:keepLines w:val="0"/>
        <w:widowControl w:val="0"/>
        <w:suppressLineNumbers/>
        <w:tabs>
          <w:tab w:val="left" w:pos="8064"/>
        </w:tabs>
        <w:suppressAutoHyphens/>
      </w:pPr>
      <w:r w:rsidRPr="00441A0F">
        <w:t xml:space="preserve">L’accoglimento </w:t>
      </w:r>
      <w:r>
        <w:t>della</w:t>
      </w:r>
      <w:r w:rsidRPr="00441A0F">
        <w:t xml:space="preserve"> tesi</w:t>
      </w:r>
      <w:r>
        <w:t xml:space="preserve"> secondo cui la rimessione in pristino rientrerebbe </w:t>
      </w:r>
      <w:r w:rsidR="00993BA9">
        <w:t xml:space="preserve">tra le sanzioni di tipo penale ai sensi della </w:t>
      </w:r>
      <w:r w:rsidR="00051072">
        <w:t>C</w:t>
      </w:r>
      <w:r w:rsidR="00993BA9">
        <w:t xml:space="preserve">onvenzione in applicazione dei criteri Engel potrebbe, al più, comportare che si debba valutare la proporzionalità </w:t>
      </w:r>
      <w:r w:rsidR="00021161">
        <w:t xml:space="preserve">(e, quindi, la costituzionalità) della misura così come prevista dal legislatore, ma, </w:t>
      </w:r>
      <w:r w:rsidR="00864302">
        <w:t>la stes</w:t>
      </w:r>
      <w:r w:rsidR="00461BC1">
        <w:t>s</w:t>
      </w:r>
      <w:r w:rsidR="00864302">
        <w:t>a Corte EDU ha escluso</w:t>
      </w:r>
      <w:r w:rsidR="001F7E50">
        <w:t xml:space="preserve"> che la </w:t>
      </w:r>
      <w:r w:rsidR="00917604">
        <w:t>misura</w:t>
      </w:r>
      <w:r w:rsidR="001F7E50">
        <w:t xml:space="preserve"> in argomento rientri tra</w:t>
      </w:r>
      <w:r w:rsidR="00BD2354">
        <w:t xml:space="preserve"> </w:t>
      </w:r>
      <w:r w:rsidR="001F7E50">
        <w:t xml:space="preserve">le sanzioni penali </w:t>
      </w:r>
      <w:r w:rsidR="00BD2354">
        <w:t>in senso convenzionale</w:t>
      </w:r>
      <w:r w:rsidR="00917604">
        <w:t xml:space="preserve"> proprio per la sua natura ripristinatoria</w:t>
      </w:r>
      <w:r w:rsidR="00461BC1">
        <w:rPr>
          <w:rStyle w:val="Rimandonotaapidipagina"/>
        </w:rPr>
        <w:footnoteReference w:id="16"/>
      </w:r>
      <w:r w:rsidR="00BD2354">
        <w:t>.</w:t>
      </w:r>
    </w:p>
    <w:p w14:paraId="4F9F2BF3" w14:textId="48666158" w:rsidR="007F28BA" w:rsidRDefault="00BE6DB6" w:rsidP="00953C6B">
      <w:pPr>
        <w:pStyle w:val="PersonaleGaramond"/>
        <w:keepLines w:val="0"/>
        <w:widowControl w:val="0"/>
        <w:suppressLineNumbers/>
        <w:tabs>
          <w:tab w:val="left" w:pos="8064"/>
        </w:tabs>
        <w:suppressAutoHyphens/>
      </w:pPr>
      <w:r>
        <w:t>Potrebbe, al più</w:t>
      </w:r>
      <w:r w:rsidR="00C37DC6">
        <w:t>,</w:t>
      </w:r>
      <w:r>
        <w:t xml:space="preserve"> residuare, un tema di indagine quanto al rispetto </w:t>
      </w:r>
      <w:r w:rsidR="004C1F03">
        <w:t xml:space="preserve">del canone costituzionale </w:t>
      </w:r>
      <w:r>
        <w:t>de</w:t>
      </w:r>
      <w:r w:rsidR="007F28BA">
        <w:t xml:space="preserve">lla </w:t>
      </w:r>
      <w:r>
        <w:t xml:space="preserve">proporzionalità </w:t>
      </w:r>
      <w:r w:rsidR="007F28BA">
        <w:t xml:space="preserve">della demolizione in rapporto a talune ipotesi </w:t>
      </w:r>
      <w:r w:rsidR="004C1F03">
        <w:t xml:space="preserve">in cui appare prevalente il carattere afflittivo della misura </w:t>
      </w:r>
      <w:r w:rsidR="006C79C4">
        <w:t>(ad es</w:t>
      </w:r>
      <w:r w:rsidR="00D63650">
        <w:t>empio,</w:t>
      </w:r>
      <w:r w:rsidR="006C79C4">
        <w:t xml:space="preserve"> nel caso in cui l’immobile sia conforme alla normativa urbanistica</w:t>
      </w:r>
      <w:r w:rsidR="009D2039">
        <w:t xml:space="preserve"> vigente e cionondimeno non sia sanabile ai sensi dell’art. 36 TUE per la mancanza della conformità al momento </w:t>
      </w:r>
      <w:r w:rsidR="004C1F03">
        <w:t>della realizzazione dell’opera)</w:t>
      </w:r>
      <w:r w:rsidR="00E06F27">
        <w:rPr>
          <w:rStyle w:val="Rimandonotaapidipagina"/>
        </w:rPr>
        <w:footnoteReference w:id="17"/>
      </w:r>
      <w:r w:rsidR="003E447E">
        <w:t>, ma</w:t>
      </w:r>
      <w:r w:rsidR="00C50A4E">
        <w:t xml:space="preserve">, a parte l’assenza di </w:t>
      </w:r>
      <w:r w:rsidR="00E06F27">
        <w:t xml:space="preserve">univoci </w:t>
      </w:r>
      <w:r w:rsidR="00C50A4E">
        <w:t xml:space="preserve">elementi in tal senso nella giurisprudenza della Corte, </w:t>
      </w:r>
      <w:r w:rsidR="00E06F27">
        <w:t xml:space="preserve">appare preferibile </w:t>
      </w:r>
      <w:r w:rsidR="00DB3F12">
        <w:t xml:space="preserve">esaminare la complessiva proporzionalità del </w:t>
      </w:r>
      <w:r w:rsidR="0010044E">
        <w:t xml:space="preserve">sistema </w:t>
      </w:r>
      <w:r w:rsidR="001A3C92">
        <w:t>di repressione degli abusi edilizi</w:t>
      </w:r>
      <w:r w:rsidR="004B01EE">
        <w:t xml:space="preserve">, essendo la demolizione riservata alle violazioni più gravi (sul punto v. </w:t>
      </w:r>
      <w:r w:rsidR="004B01EE" w:rsidRPr="009B6960">
        <w:rPr>
          <w:i/>
          <w:iCs/>
        </w:rPr>
        <w:t>infra</w:t>
      </w:r>
      <w:r w:rsidR="004B01EE">
        <w:t>, par. 6</w:t>
      </w:r>
      <w:r w:rsidR="007771C4">
        <w:t>.1</w:t>
      </w:r>
      <w:r w:rsidR="004B01EE">
        <w:t>)</w:t>
      </w:r>
      <w:r w:rsidR="009B6960">
        <w:t>.</w:t>
      </w:r>
    </w:p>
    <w:p w14:paraId="284C09B1" w14:textId="3F28BC42" w:rsidR="00082219" w:rsidRDefault="00082219" w:rsidP="0086206D">
      <w:pPr>
        <w:pStyle w:val="Titolo1Garamond"/>
      </w:pPr>
      <w:bookmarkStart w:id="10" w:name="_Toc196751383"/>
      <w:r>
        <w:t xml:space="preserve">3. </w:t>
      </w:r>
      <w:r w:rsidR="00C93C27">
        <w:t xml:space="preserve">Demolizione e diritto all’abitazione </w:t>
      </w:r>
      <w:r w:rsidR="007A51BD">
        <w:t>(</w:t>
      </w:r>
      <w:r w:rsidR="007A51BD">
        <w:t>art. 8 CEDU)</w:t>
      </w:r>
      <w:bookmarkEnd w:id="10"/>
    </w:p>
    <w:p w14:paraId="76611268" w14:textId="25F5B8DB" w:rsidR="00564060" w:rsidRDefault="00564060" w:rsidP="00564060">
      <w:pPr>
        <w:pStyle w:val="Titolo2Garamond"/>
      </w:pPr>
      <w:bookmarkStart w:id="11" w:name="_Toc196751384"/>
      <w:r>
        <w:t xml:space="preserve">3.1. </w:t>
      </w:r>
      <w:r w:rsidR="00417F09">
        <w:t>Le Sentenze della C</w:t>
      </w:r>
      <w:r w:rsidR="00761F25">
        <w:t xml:space="preserve">orte </w:t>
      </w:r>
      <w:r w:rsidR="00417F09">
        <w:t xml:space="preserve">EDU in tema </w:t>
      </w:r>
      <w:r w:rsidR="003F1A20">
        <w:t>di diritto all’abitazione</w:t>
      </w:r>
      <w:bookmarkEnd w:id="11"/>
    </w:p>
    <w:p w14:paraId="1FB293A7" w14:textId="2BAF8530" w:rsidR="00461BC1" w:rsidRDefault="00461BC1" w:rsidP="004021E1">
      <w:pPr>
        <w:pStyle w:val="PersonaleGaramond"/>
        <w:keepLines w:val="0"/>
        <w:widowControl w:val="0"/>
        <w:suppressLineNumbers/>
        <w:suppressAutoHyphens/>
      </w:pPr>
      <w:r>
        <w:t xml:space="preserve">Alla luce delle argomentazioni che precedono, </w:t>
      </w:r>
      <w:r w:rsidR="002C0B0C">
        <w:t>va</w:t>
      </w:r>
      <w:r w:rsidR="006B5E8C">
        <w:t xml:space="preserve"> esclusa l’applicazione del principio di proporzionalità </w:t>
      </w:r>
      <w:r w:rsidR="002C0B0C">
        <w:t xml:space="preserve">al momento della emanazione del provvedimento di </w:t>
      </w:r>
      <w:r w:rsidR="00D52763">
        <w:t>demolizione</w:t>
      </w:r>
      <w:r w:rsidR="007E1AF6">
        <w:t>.</w:t>
      </w:r>
      <w:r w:rsidR="009E4739">
        <w:t xml:space="preserve"> </w:t>
      </w:r>
    </w:p>
    <w:p w14:paraId="34B84533" w14:textId="527A0413" w:rsidR="00075382" w:rsidRDefault="003C6185" w:rsidP="004021E1">
      <w:pPr>
        <w:pStyle w:val="PersonaleGaramond"/>
        <w:keepLines w:val="0"/>
        <w:widowControl w:val="0"/>
        <w:suppressLineNumbers/>
        <w:suppressAutoHyphens/>
      </w:pPr>
      <w:r>
        <w:t>Cionondimeno, i</w:t>
      </w:r>
      <w:r w:rsidR="00C93C27">
        <w:t>n epoca recente</w:t>
      </w:r>
      <w:r w:rsidR="00075382">
        <w:t xml:space="preserve">, </w:t>
      </w:r>
      <w:r w:rsidR="00CC1B52">
        <w:t xml:space="preserve">il dibattito si è arricchito </w:t>
      </w:r>
      <w:r w:rsidR="00075382">
        <w:t>in ragione di alcuni orientamenti della C</w:t>
      </w:r>
      <w:r w:rsidR="004E492C">
        <w:t xml:space="preserve">orte </w:t>
      </w:r>
      <w:r w:rsidR="00075382">
        <w:t>EDU e, poi,</w:t>
      </w:r>
      <w:r w:rsidR="00C75DCF">
        <w:t xml:space="preserve"> a valle</w:t>
      </w:r>
      <w:r w:rsidR="00CC1B52">
        <w:t>,</w:t>
      </w:r>
      <w:r w:rsidR="00075382">
        <w:t xml:space="preserve"> del giudice </w:t>
      </w:r>
      <w:r w:rsidR="00736014">
        <w:t>interno (</w:t>
      </w:r>
      <w:r w:rsidR="00075382">
        <w:t>penale</w:t>
      </w:r>
      <w:r w:rsidR="00736014">
        <w:t>)</w:t>
      </w:r>
      <w:r w:rsidR="00DD3FF3">
        <w:t xml:space="preserve"> che hanno fatto applicazione del criterio della proporzionalità</w:t>
      </w:r>
      <w:r w:rsidR="007116FD">
        <w:t xml:space="preserve"> nella fase non della emanazione, </w:t>
      </w:r>
      <w:r w:rsidR="009B6960">
        <w:t>bensì</w:t>
      </w:r>
      <w:r w:rsidR="007116FD">
        <w:t xml:space="preserve"> della esecuzione del provvedimento</w:t>
      </w:r>
      <w:r w:rsidR="00075382">
        <w:t>.</w:t>
      </w:r>
    </w:p>
    <w:p w14:paraId="1FFBD63D" w14:textId="267E229A" w:rsidR="00A51A09" w:rsidRDefault="00793F05" w:rsidP="004021E1">
      <w:pPr>
        <w:pStyle w:val="PersonaleGaramond"/>
        <w:keepLines w:val="0"/>
        <w:widowControl w:val="0"/>
        <w:suppressLineNumbers/>
        <w:suppressAutoHyphens/>
      </w:pPr>
      <w:r>
        <w:t>In alcune Sentenze della Corte EDU, in particolare, è venut</w:t>
      </w:r>
      <w:r w:rsidR="00000141">
        <w:t>a</w:t>
      </w:r>
      <w:r>
        <w:t xml:space="preserve"> in rilievo </w:t>
      </w:r>
      <w:r w:rsidR="005A78C3">
        <w:t xml:space="preserve">la perdita dell’abitazione </w:t>
      </w:r>
      <w:r w:rsidR="00AF16E2">
        <w:t xml:space="preserve">e, quindi, </w:t>
      </w:r>
      <w:r w:rsidR="00000141">
        <w:t xml:space="preserve">la violazione del diritto riconosciuto </w:t>
      </w:r>
      <w:r w:rsidR="00AF16E2">
        <w:t>d</w:t>
      </w:r>
      <w:r w:rsidR="00000141">
        <w:t>a</w:t>
      </w:r>
      <w:r w:rsidR="00AF16E2">
        <w:t xml:space="preserve">ll’art. 8 della </w:t>
      </w:r>
      <w:r w:rsidR="004F4DAE">
        <w:t>C</w:t>
      </w:r>
      <w:r w:rsidR="00AF16E2">
        <w:t>EDU (</w:t>
      </w:r>
      <w:r w:rsidR="00A326CC" w:rsidRPr="00AF16E2">
        <w:rPr>
          <w:i/>
          <w:iCs/>
        </w:rPr>
        <w:t>1. Ogni persona ha diritto al rispetto della propria vita privata e familiare, del proprio domicilio e della</w:t>
      </w:r>
      <w:r w:rsidR="00AF16E2" w:rsidRPr="00AF16E2">
        <w:rPr>
          <w:i/>
          <w:iCs/>
        </w:rPr>
        <w:t xml:space="preserve"> </w:t>
      </w:r>
      <w:r w:rsidR="00A326CC" w:rsidRPr="00AF16E2">
        <w:rPr>
          <w:i/>
          <w:iCs/>
        </w:rPr>
        <w:t>propria corrispondenza.</w:t>
      </w:r>
      <w:r w:rsidR="00AF16E2" w:rsidRPr="00AF16E2">
        <w:rPr>
          <w:i/>
          <w:iCs/>
        </w:rPr>
        <w:t xml:space="preserve"> </w:t>
      </w:r>
      <w:r w:rsidR="00A326CC" w:rsidRPr="00AF16E2">
        <w:rPr>
          <w:i/>
          <w:iCs/>
        </w:rPr>
        <w:t>2. Non può esservi ingerenza di una autorità pubblica nell’esercizio di tale diritto a meno che tale ingerenza sia prevista dalla legge e costituisca una misura che, in una società democratica, è necessaria alla</w:t>
      </w:r>
      <w:r w:rsidR="00AF16E2" w:rsidRPr="00AF16E2">
        <w:rPr>
          <w:i/>
          <w:iCs/>
        </w:rPr>
        <w:t xml:space="preserve"> </w:t>
      </w:r>
      <w:r w:rsidR="00A326CC" w:rsidRPr="00AF16E2">
        <w:rPr>
          <w:i/>
          <w:iCs/>
        </w:rPr>
        <w:t>sicurezza nazionale, alla pubblica sicurezza, al benessere economico del paese, alla difesa dell’ordine e</w:t>
      </w:r>
      <w:r w:rsidR="00AF16E2" w:rsidRPr="00AF16E2">
        <w:rPr>
          <w:i/>
          <w:iCs/>
        </w:rPr>
        <w:t xml:space="preserve"> </w:t>
      </w:r>
      <w:r w:rsidR="00A326CC" w:rsidRPr="00AF16E2">
        <w:rPr>
          <w:i/>
          <w:iCs/>
        </w:rPr>
        <w:t>alla prevenzione dei reati, alla protezione della salute o della morale, o alla protezione dei diritti e delle</w:t>
      </w:r>
      <w:r w:rsidR="00AF16E2" w:rsidRPr="00AF16E2">
        <w:rPr>
          <w:i/>
          <w:iCs/>
        </w:rPr>
        <w:t xml:space="preserve"> </w:t>
      </w:r>
      <w:r w:rsidR="00A326CC" w:rsidRPr="00AF16E2">
        <w:rPr>
          <w:i/>
          <w:iCs/>
        </w:rPr>
        <w:t>libertà altrui</w:t>
      </w:r>
      <w:r w:rsidR="00AF16E2">
        <w:t>)</w:t>
      </w:r>
      <w:r w:rsidR="00A326CC">
        <w:t>.</w:t>
      </w:r>
    </w:p>
    <w:p w14:paraId="266959E7" w14:textId="56B3A13C" w:rsidR="00CD52ED" w:rsidRDefault="00A51A09" w:rsidP="004021E1">
      <w:pPr>
        <w:pStyle w:val="PersonaleGaramond"/>
        <w:keepLines w:val="0"/>
        <w:widowControl w:val="0"/>
        <w:suppressLineNumbers/>
        <w:suppressAutoHyphens/>
      </w:pPr>
      <w:r>
        <w:t xml:space="preserve">Una prima pronuncia rilevante è </w:t>
      </w:r>
      <w:r w:rsidR="00000141" w:rsidRPr="00000141">
        <w:rPr>
          <w:i/>
          <w:iCs/>
        </w:rPr>
        <w:t>Ivanova and Cherkezov c. Bulgaria</w:t>
      </w:r>
      <w:r w:rsidR="00000141">
        <w:rPr>
          <w:rStyle w:val="Rimandonotaapidipagina"/>
          <w:i/>
          <w:iCs/>
        </w:rPr>
        <w:footnoteReference w:id="18"/>
      </w:r>
      <w:r w:rsidR="00E5430C">
        <w:t>.</w:t>
      </w:r>
      <w:r w:rsidR="00C73E84">
        <w:t xml:space="preserve"> </w:t>
      </w:r>
      <w:r w:rsidR="005C2C0C">
        <w:t xml:space="preserve">In tale occasione, </w:t>
      </w:r>
      <w:r w:rsidR="001F21EE">
        <w:t xml:space="preserve">per un verso, </w:t>
      </w:r>
      <w:r w:rsidR="005C2C0C">
        <w:t>s</w:t>
      </w:r>
      <w:r w:rsidR="00C73E84">
        <w:t>i è affermato</w:t>
      </w:r>
      <w:r w:rsidR="001F21EE">
        <w:t xml:space="preserve"> </w:t>
      </w:r>
      <w:r w:rsidR="00C73E84">
        <w:t>che, i</w:t>
      </w:r>
      <w:r w:rsidR="00E5430C">
        <w:t>n Bulgaria, dove il fenomeno dell’abusivismo edilizio è molto diffuso, la demolizione</w:t>
      </w:r>
      <w:r w:rsidR="001F21EE">
        <w:t xml:space="preserve"> dell’opera edificata illegittimamente</w:t>
      </w:r>
      <w:r w:rsidR="00875E58">
        <w:t xml:space="preserve"> – </w:t>
      </w:r>
      <w:r w:rsidR="00FC6C04">
        <w:t xml:space="preserve"> </w:t>
      </w:r>
      <w:r w:rsidR="00875E58">
        <w:t>che pure comporta la perdita del domicilio</w:t>
      </w:r>
      <w:r w:rsidR="00FC6C04">
        <w:t xml:space="preserve"> </w:t>
      </w:r>
      <w:r w:rsidR="00875E58">
        <w:t>-</w:t>
      </w:r>
      <w:r w:rsidR="00E5430C">
        <w:t xml:space="preserve"> risponde </w:t>
      </w:r>
      <w:r w:rsidR="00795E6D">
        <w:t xml:space="preserve">a uno scopo legittimo ascrivibile al </w:t>
      </w:r>
      <w:r w:rsidR="00172CEA">
        <w:t>«</w:t>
      </w:r>
      <w:r w:rsidR="00172CEA" w:rsidRPr="00D47BD4">
        <w:t xml:space="preserve">al ripristino dello stato di diritto (vedi, </w:t>
      </w:r>
      <w:r w:rsidR="00172CEA" w:rsidRPr="00B3734A">
        <w:rPr>
          <w:i/>
          <w:iCs/>
        </w:rPr>
        <w:t>mutatis mutandis</w:t>
      </w:r>
      <w:r w:rsidR="00172CEA" w:rsidRPr="00D47BD4">
        <w:t>, Saliba c. Malta, n. 4251/02, § 44, 8 novembre 2005), e rientrerebbe quindi nella “prevenzione dei disordini” e nella promozione del “benessere economico del Paese”</w:t>
      </w:r>
      <w:r w:rsidR="00172CEA">
        <w:t>»</w:t>
      </w:r>
      <w:r w:rsidR="00E035CF">
        <w:t>.</w:t>
      </w:r>
      <w:r w:rsidR="002C2D6A">
        <w:t xml:space="preserve"> </w:t>
      </w:r>
      <w:r w:rsidR="0068326F">
        <w:t xml:space="preserve">Per altro </w:t>
      </w:r>
      <w:r w:rsidR="0068326F">
        <w:lastRenderedPageBreak/>
        <w:t xml:space="preserve">verso, </w:t>
      </w:r>
      <w:r w:rsidR="00EA0883">
        <w:t>nello scrutinare</w:t>
      </w:r>
      <w:r w:rsidR="00CF1548">
        <w:t xml:space="preserve"> l’altro presupposto richiesto per limitare i diritti di cui all’art. 8 CEDU, ossia</w:t>
      </w:r>
      <w:r w:rsidR="00EA0883">
        <w:t xml:space="preserve"> la </w:t>
      </w:r>
      <w:r w:rsidR="00CF1548">
        <w:t>«</w:t>
      </w:r>
      <w:r w:rsidR="007A39B3" w:rsidRPr="00D47BD4">
        <w:t>necessità</w:t>
      </w:r>
      <w:r w:rsidR="00EA0883" w:rsidRPr="00D47BD4">
        <w:t xml:space="preserve"> della misura</w:t>
      </w:r>
      <w:r w:rsidR="007A39B3" w:rsidRPr="00D47BD4">
        <w:t xml:space="preserve"> in una società democratica</w:t>
      </w:r>
      <w:r w:rsidR="00CF1548" w:rsidRPr="006E7B36">
        <w:t>»</w:t>
      </w:r>
      <w:r w:rsidR="00E439B7" w:rsidRPr="006E7B36">
        <w:t xml:space="preserve">, </w:t>
      </w:r>
      <w:r w:rsidR="006F35FC" w:rsidRPr="006E7B36">
        <w:t>la Corte ha sostenuto che</w:t>
      </w:r>
      <w:r w:rsidR="006F35FC">
        <w:rPr>
          <w:b/>
          <w:bCs/>
        </w:rPr>
        <w:t xml:space="preserve"> </w:t>
      </w:r>
      <w:r w:rsidR="006774D5">
        <w:t>il ricorrente de</w:t>
      </w:r>
      <w:r w:rsidR="006F35FC">
        <w:t>bba</w:t>
      </w:r>
      <w:r w:rsidR="006774D5">
        <w:t xml:space="preserve"> poter contestare la </w:t>
      </w:r>
      <w:r w:rsidR="00875BB5">
        <w:t>sproporzione</w:t>
      </w:r>
      <w:r w:rsidR="006F35FC">
        <w:t xml:space="preserve"> della demolizione</w:t>
      </w:r>
      <w:r w:rsidR="006774D5">
        <w:t xml:space="preserve"> rispet</w:t>
      </w:r>
      <w:r w:rsidR="00875BB5">
        <w:t>t</w:t>
      </w:r>
      <w:r w:rsidR="006774D5">
        <w:t>o alle circostanze personali</w:t>
      </w:r>
      <w:r w:rsidR="00875BB5">
        <w:t xml:space="preserve"> e </w:t>
      </w:r>
      <w:r w:rsidR="002C2D6A">
        <w:t xml:space="preserve">che </w:t>
      </w:r>
      <w:r w:rsidR="00875BB5">
        <w:t>il giudice de</w:t>
      </w:r>
      <w:r w:rsidR="002C2D6A">
        <w:t>bba</w:t>
      </w:r>
      <w:r w:rsidR="00875BB5">
        <w:t xml:space="preserve"> poter esaminare </w:t>
      </w:r>
      <w:r w:rsidR="00DF5870">
        <w:t xml:space="preserve">tali elementi </w:t>
      </w:r>
      <w:r w:rsidR="006E7B36">
        <w:t>“</w:t>
      </w:r>
      <w:r w:rsidR="00DF5870" w:rsidRPr="00D47BD4">
        <w:t>con attenzione</w:t>
      </w:r>
      <w:r w:rsidR="006E7B36">
        <w:rPr>
          <w:i/>
          <w:iCs/>
        </w:rPr>
        <w:t>”</w:t>
      </w:r>
      <w:r w:rsidR="00DF5870">
        <w:t xml:space="preserve"> (</w:t>
      </w:r>
      <w:r w:rsidR="005B5156">
        <w:t xml:space="preserve">la Corte ha menzionato i seguenti elementi: </w:t>
      </w:r>
      <w:r w:rsidR="00DF5870" w:rsidRPr="00DF5870">
        <w:t>se la casa sia stata costruita illegalmente</w:t>
      </w:r>
      <w:r w:rsidR="00A71ED6">
        <w:t>;</w:t>
      </w:r>
      <w:r w:rsidR="00DF5870" w:rsidRPr="00DF5870">
        <w:t xml:space="preserve"> se l’occupante ne fosse consapevole</w:t>
      </w:r>
      <w:r w:rsidR="00A71ED6">
        <w:t>;</w:t>
      </w:r>
      <w:r w:rsidR="00DF5870" w:rsidRPr="00DF5870">
        <w:t xml:space="preserve"> il grado dell’illegalità</w:t>
      </w:r>
      <w:r w:rsidR="00A71ED6">
        <w:t>;</w:t>
      </w:r>
      <w:r w:rsidR="00DF5870" w:rsidRPr="00DF5870">
        <w:t xml:space="preserve"> l’interesse pubblico perseguito con la demolizione</w:t>
      </w:r>
      <w:r w:rsidR="00A71ED6">
        <w:t>;</w:t>
      </w:r>
      <w:r w:rsidR="00DF5870" w:rsidRPr="00DF5870">
        <w:t xml:space="preserve"> la disponibilità di un alloggio alternativo</w:t>
      </w:r>
      <w:r w:rsidR="00DF5870">
        <w:t>)</w:t>
      </w:r>
      <w:r w:rsidR="00DF5870" w:rsidRPr="00DF5870">
        <w:t>.</w:t>
      </w:r>
      <w:r w:rsidR="00A71ED6">
        <w:t xml:space="preserve"> </w:t>
      </w:r>
      <w:r w:rsidR="006D0F3B">
        <w:t>La Corte ha stabilito che u</w:t>
      </w:r>
      <w:r w:rsidR="00875E58">
        <w:t>na regola assoluta</w:t>
      </w:r>
      <w:r w:rsidR="006D0F3B">
        <w:t xml:space="preserve"> sia</w:t>
      </w:r>
      <w:r w:rsidR="00875E58">
        <w:t xml:space="preserve"> illegittima </w:t>
      </w:r>
      <w:r w:rsidR="006D0F3B">
        <w:t>in quanto</w:t>
      </w:r>
      <w:r w:rsidR="00875E58">
        <w:t xml:space="preserve"> occorre consentire ai ricorrenti l’accesso </w:t>
      </w:r>
      <w:r w:rsidR="00CD52ED">
        <w:t>«</w:t>
      </w:r>
      <w:r w:rsidR="00C24A11" w:rsidRPr="00B3734A">
        <w:t>a una procedura che permett</w:t>
      </w:r>
      <w:r w:rsidR="00CD52ED" w:rsidRPr="00B3734A">
        <w:t>a</w:t>
      </w:r>
      <w:r w:rsidR="00C24A11" w:rsidRPr="00B3734A">
        <w:t xml:space="preserve"> di valutare adeguatamente la proporzionalità della demolizione rispetto alle loro condizioni personali</w:t>
      </w:r>
      <w:r w:rsidR="00CD52ED">
        <w:t>»</w:t>
      </w:r>
      <w:r w:rsidR="005E5DA0">
        <w:t xml:space="preserve">. </w:t>
      </w:r>
    </w:p>
    <w:p w14:paraId="6216B089" w14:textId="310EC47E" w:rsidR="00875E58" w:rsidRDefault="005B5156" w:rsidP="004021E1">
      <w:pPr>
        <w:pStyle w:val="PersonaleGaramond"/>
        <w:keepLines w:val="0"/>
        <w:widowControl w:val="0"/>
        <w:suppressLineNumbers/>
        <w:suppressAutoHyphens/>
      </w:pPr>
      <w:r>
        <w:t>Nella stessa pronuncia,</w:t>
      </w:r>
      <w:r w:rsidR="00CD52ED">
        <w:t xml:space="preserve"> v</w:t>
      </w:r>
      <w:r w:rsidR="00A640AD">
        <w:t>iene</w:t>
      </w:r>
      <w:r w:rsidR="002731A5">
        <w:t xml:space="preserve"> </w:t>
      </w:r>
      <w:r w:rsidR="00A640AD">
        <w:t xml:space="preserve">esclusa la violazione dell’art. 1 </w:t>
      </w:r>
      <w:r w:rsidR="003F0FD9">
        <w:t xml:space="preserve">del </w:t>
      </w:r>
      <w:r w:rsidR="00A640AD">
        <w:t>prot.</w:t>
      </w:r>
      <w:r w:rsidR="00C64C7A">
        <w:t xml:space="preserve"> add</w:t>
      </w:r>
      <w:r w:rsidR="00E85355">
        <w:t>iz</w:t>
      </w:r>
      <w:r w:rsidR="00C64C7A">
        <w:t>.</w:t>
      </w:r>
      <w:r w:rsidR="003F0FD9">
        <w:t xml:space="preserve"> n.</w:t>
      </w:r>
      <w:r w:rsidR="00A640AD">
        <w:t>1</w:t>
      </w:r>
      <w:r w:rsidR="00A87E18">
        <w:t xml:space="preserve"> della CEDU</w:t>
      </w:r>
      <w:r w:rsidR="00A640AD">
        <w:t xml:space="preserve"> (</w:t>
      </w:r>
      <w:r w:rsidR="003F0FD9">
        <w:t xml:space="preserve">che </w:t>
      </w:r>
      <w:r w:rsidR="00A640AD">
        <w:t xml:space="preserve">tutela della proprietà) </w:t>
      </w:r>
      <w:r w:rsidR="00AF572E">
        <w:t xml:space="preserve">poiché </w:t>
      </w:r>
      <w:r w:rsidR="00A87E18">
        <w:t xml:space="preserve">la misura ripristinatoria </w:t>
      </w:r>
      <w:r w:rsidR="00AF572E">
        <w:t>raggiunge un giusto equilibrio tra le oppost</w:t>
      </w:r>
      <w:r w:rsidR="00673696">
        <w:t>e</w:t>
      </w:r>
      <w:r w:rsidR="00AF572E">
        <w:t xml:space="preserve"> esigenze</w:t>
      </w:r>
      <w:r w:rsidR="000440C7">
        <w:t xml:space="preserve"> rientrando nella discrezionalità (“</w:t>
      </w:r>
      <w:r w:rsidR="000440C7" w:rsidRPr="00B3734A">
        <w:t>ampio apprezzamento</w:t>
      </w:r>
      <w:r w:rsidR="000440C7">
        <w:t xml:space="preserve">”) degli stati la possibilità di </w:t>
      </w:r>
      <w:r w:rsidR="003066FC">
        <w:t xml:space="preserve">imporre </w:t>
      </w:r>
      <w:r w:rsidR="000440C7">
        <w:t xml:space="preserve">la perdita della proprietà dell’immobile </w:t>
      </w:r>
      <w:r w:rsidR="00A87E18">
        <w:t xml:space="preserve">edificato </w:t>
      </w:r>
      <w:r w:rsidR="000440C7">
        <w:t>abusiv</w:t>
      </w:r>
      <w:r w:rsidR="00A87E18">
        <w:t>amente</w:t>
      </w:r>
      <w:r w:rsidR="000440C7">
        <w:t>.</w:t>
      </w:r>
    </w:p>
    <w:p w14:paraId="00D3FDA3" w14:textId="5BAD76DE" w:rsidR="00BD3F83" w:rsidRDefault="00BD3F83" w:rsidP="004021E1">
      <w:pPr>
        <w:pStyle w:val="PersonaleGaramond"/>
        <w:keepLines w:val="0"/>
        <w:widowControl w:val="0"/>
        <w:suppressLineNumbers/>
        <w:suppressAutoHyphens/>
      </w:pPr>
      <w:r>
        <w:t xml:space="preserve">Altra pronuncia </w:t>
      </w:r>
      <w:r w:rsidR="00462832">
        <w:t xml:space="preserve">significativa </w:t>
      </w:r>
      <w:r>
        <w:t xml:space="preserve">è </w:t>
      </w:r>
      <w:r w:rsidR="00242813">
        <w:t xml:space="preserve">la Sentenza </w:t>
      </w:r>
      <w:r w:rsidR="003066FC" w:rsidRPr="003066FC">
        <w:rPr>
          <w:i/>
          <w:iCs/>
        </w:rPr>
        <w:t>Kaminskas c. Lithuania</w:t>
      </w:r>
      <w:r w:rsidR="003066FC">
        <w:rPr>
          <w:rStyle w:val="Rimandonotaapidipagina"/>
          <w:i/>
          <w:iCs/>
        </w:rPr>
        <w:footnoteReference w:id="19"/>
      </w:r>
      <w:r w:rsidR="005D5D2D">
        <w:t xml:space="preserve">. </w:t>
      </w:r>
      <w:r w:rsidR="00E570A4">
        <w:t>Con tale pronuncia, l</w:t>
      </w:r>
      <w:r w:rsidR="00334BC1">
        <w:t xml:space="preserve">a Corte </w:t>
      </w:r>
      <w:r w:rsidR="00D84E46">
        <w:t xml:space="preserve">conferma che lo scopo di tutela dell’ambiente e di garantire l’attuazione delle regole edilizie è legittimo in quanto legato </w:t>
      </w:r>
      <w:r w:rsidR="00080E45">
        <w:t>a</w:t>
      </w:r>
      <w:r w:rsidR="00080E45" w:rsidRPr="00080E45">
        <w:t>lla “</w:t>
      </w:r>
      <w:r w:rsidR="00080E45" w:rsidRPr="00B3734A">
        <w:t>prevenzione dei disordini</w:t>
      </w:r>
      <w:r w:rsidR="00080E45" w:rsidRPr="00080E45">
        <w:t xml:space="preserve">” e </w:t>
      </w:r>
      <w:r w:rsidR="00080E45">
        <w:t>a</w:t>
      </w:r>
      <w:r w:rsidR="00080E45" w:rsidRPr="00080E45">
        <w:t>lla promozione del “</w:t>
      </w:r>
      <w:r w:rsidR="00080E45" w:rsidRPr="00B3734A">
        <w:t>benessere economico del Paese</w:t>
      </w:r>
      <w:r w:rsidR="00080E45" w:rsidRPr="00080E45">
        <w:t>”</w:t>
      </w:r>
      <w:r w:rsidR="00080E45">
        <w:t>.</w:t>
      </w:r>
      <w:r w:rsidR="00334BC1">
        <w:t xml:space="preserve"> Tuttavia, </w:t>
      </w:r>
      <w:r w:rsidR="007A3BB4">
        <w:t xml:space="preserve">viene confermato </w:t>
      </w:r>
      <w:r w:rsidR="00334BC1" w:rsidRPr="00334BC1">
        <w:t>che il concetto di domicilio si estende agli immobili edificati illegalmente</w:t>
      </w:r>
      <w:r w:rsidR="0058572D">
        <w:t xml:space="preserve"> e che,</w:t>
      </w:r>
      <w:r w:rsidR="00080E45">
        <w:t xml:space="preserve"> quanto</w:t>
      </w:r>
      <w:r w:rsidR="00B060BC">
        <w:t xml:space="preserve"> alla necessità </w:t>
      </w:r>
      <w:r w:rsidR="002A02EB">
        <w:t>dell’ingerenza in una società democratica</w:t>
      </w:r>
      <w:r w:rsidR="004173BD">
        <w:t>,</w:t>
      </w:r>
      <w:r w:rsidR="0058572D">
        <w:t xml:space="preserve"> si debba tener conto de</w:t>
      </w:r>
      <w:r w:rsidR="00297A31">
        <w:t>l diritto riconosciuto all’art. 8 della CEDU.</w:t>
      </w:r>
      <w:r w:rsidR="002A02EB">
        <w:t xml:space="preserve"> </w:t>
      </w:r>
      <w:r w:rsidR="00297A31">
        <w:t>Si afferma, in particolare:</w:t>
      </w:r>
      <w:r w:rsidR="002A02EB">
        <w:t xml:space="preserve"> </w:t>
      </w:r>
      <w:r w:rsidR="00DF457D">
        <w:t>«</w:t>
      </w:r>
      <w:r w:rsidR="00B060BC" w:rsidRPr="00D83AF3">
        <w:t>poiché la perdita del proprio domicilio è una delle più gravi forme di ingerenza, ogni persona che rischia tale perdita – anche se non vulnerabile – deve in linea di principio poter far valutare la proporzionalità della misura da un tribunale indipendente, alla luce dei principi dell’articolo 8. Deve potersi contestare l’atto amministrativo che provoca la perdita della casa per la sua eventuale sproporzione rispetto alle condizioni personali</w:t>
      </w:r>
      <w:r w:rsidR="00DF457D">
        <w:t>»</w:t>
      </w:r>
      <w:r w:rsidR="002B12CA">
        <w:t xml:space="preserve">. </w:t>
      </w:r>
      <w:r w:rsidR="00751F96">
        <w:t xml:space="preserve">Va detto che, </w:t>
      </w:r>
      <w:r w:rsidR="00CC7C0D">
        <w:t>nel caso di specie</w:t>
      </w:r>
      <w:r w:rsidR="00751F96">
        <w:t>, le condizioni personali sono</w:t>
      </w:r>
      <w:r w:rsidR="006329CC">
        <w:t xml:space="preserve"> state</w:t>
      </w:r>
      <w:r w:rsidR="00751F96">
        <w:t xml:space="preserve"> ritenute recessive</w:t>
      </w:r>
      <w:r w:rsidR="006329CC">
        <w:t xml:space="preserve"> in rapporto alle finalità di interesse pubblico sottese alla demolizione</w:t>
      </w:r>
      <w:r w:rsidR="00183D89">
        <w:t xml:space="preserve">; </w:t>
      </w:r>
      <w:r w:rsidR="00F31A18">
        <w:t>la Corte ha considerato che</w:t>
      </w:r>
      <w:r w:rsidR="00183D89">
        <w:t>,</w:t>
      </w:r>
      <w:r w:rsidR="003B2907">
        <w:t xml:space="preserve"> pur</w:t>
      </w:r>
      <w:r w:rsidR="00183D89">
        <w:t xml:space="preserve"> </w:t>
      </w:r>
      <w:r w:rsidR="00DF457D">
        <w:t>rispetto alla «</w:t>
      </w:r>
      <w:r w:rsidR="00DF457D" w:rsidRPr="00D83AF3">
        <w:t>difficile situazione del ricorrente (età avanzata, salute cagionevole, basso reddito…)</w:t>
      </w:r>
      <w:r w:rsidR="00115609">
        <w:t>»</w:t>
      </w:r>
      <w:r w:rsidR="00183D89">
        <w:t>,</w:t>
      </w:r>
      <w:r w:rsidR="00DF457D">
        <w:t xml:space="preserve"> i giudici nazionali </w:t>
      </w:r>
      <w:r w:rsidR="003B2907">
        <w:t xml:space="preserve">avessero </w:t>
      </w:r>
      <w:r w:rsidR="00DF457D">
        <w:t>«</w:t>
      </w:r>
      <w:r w:rsidR="00DF457D" w:rsidRPr="00D83AF3">
        <w:t>ponderato i suoi interessi con quelli della collettività, ritenendo che le sue condizioni non potessero prevalere, vista la consapevolezza dell’abuso e la tutela dell’ambiente</w:t>
      </w:r>
      <w:r w:rsidR="00DF457D">
        <w:t>».</w:t>
      </w:r>
    </w:p>
    <w:p w14:paraId="1480C913" w14:textId="4D0D43A6" w:rsidR="00E42B35" w:rsidRDefault="00E42B35" w:rsidP="00E42B35">
      <w:pPr>
        <w:pStyle w:val="Titolo2Garamond"/>
      </w:pPr>
      <w:bookmarkStart w:id="12" w:name="_Toc196751385"/>
      <w:r>
        <w:t>3.2. L’applicazione de</w:t>
      </w:r>
      <w:r w:rsidR="00DF1305">
        <w:t>i principi CEDU a opera del giudice penale.</w:t>
      </w:r>
      <w:bookmarkEnd w:id="12"/>
    </w:p>
    <w:p w14:paraId="0D7F5E48" w14:textId="2E5272A7" w:rsidR="00DF457D" w:rsidRDefault="00AB6DE7" w:rsidP="004021E1">
      <w:pPr>
        <w:pStyle w:val="PersonaleGaramond"/>
        <w:keepLines w:val="0"/>
        <w:widowControl w:val="0"/>
        <w:suppressLineNumbers/>
        <w:suppressAutoHyphens/>
      </w:pPr>
      <w:r>
        <w:t>Il giudice</w:t>
      </w:r>
      <w:r w:rsidR="0002790D">
        <w:t xml:space="preserve"> (dell’esecuzione)</w:t>
      </w:r>
      <w:r>
        <w:t xml:space="preserve"> penale si è adeguato pienamente </w:t>
      </w:r>
      <w:r w:rsidR="008E402D">
        <w:t xml:space="preserve">ai </w:t>
      </w:r>
      <w:r w:rsidR="008E402D" w:rsidRPr="00082219">
        <w:rPr>
          <w:i/>
          <w:iCs/>
        </w:rPr>
        <w:t>dicta</w:t>
      </w:r>
      <w:r w:rsidR="008E402D">
        <w:t xml:space="preserve"> della C</w:t>
      </w:r>
      <w:r w:rsidR="003C1425">
        <w:t xml:space="preserve">orte </w:t>
      </w:r>
      <w:r w:rsidR="008E402D">
        <w:t>EDU richiedendo, in fase di esecuzione penal</w:t>
      </w:r>
      <w:r w:rsidR="007F28DE">
        <w:t>e, il rispetto del principio di proporzionalità</w:t>
      </w:r>
      <w:r w:rsidR="006B7A3A">
        <w:t xml:space="preserve"> nel senso indicato</w:t>
      </w:r>
      <w:r w:rsidR="007F28DE">
        <w:t>.</w:t>
      </w:r>
      <w:r w:rsidR="00696DA8">
        <w:t xml:space="preserve"> La giurisprudenza in tal senso </w:t>
      </w:r>
      <w:r w:rsidR="0002790D">
        <w:t xml:space="preserve">appare adeguatamente </w:t>
      </w:r>
      <w:r w:rsidR="00696DA8">
        <w:t>consolidata</w:t>
      </w:r>
      <w:r w:rsidR="006227E3">
        <w:rPr>
          <w:rStyle w:val="Rimandonotaapidipagina"/>
        </w:rPr>
        <w:footnoteReference w:id="20"/>
      </w:r>
      <w:r w:rsidR="00696DA8">
        <w:t>.</w:t>
      </w:r>
    </w:p>
    <w:p w14:paraId="0B9AB16F" w14:textId="70E6E8A6" w:rsidR="00CB2EC5" w:rsidRDefault="00765D34" w:rsidP="004021E1">
      <w:pPr>
        <w:pStyle w:val="PersonaleGaramond"/>
        <w:keepLines w:val="0"/>
        <w:widowControl w:val="0"/>
        <w:suppressLineNumbers/>
        <w:suppressAutoHyphens/>
      </w:pPr>
      <w:r>
        <w:t>Giova premettere che l</w:t>
      </w:r>
      <w:r w:rsidR="007652A5">
        <w:t>’esecuzione della demolizione di</w:t>
      </w:r>
      <w:r w:rsidR="00A26BDF">
        <w:t>s</w:t>
      </w:r>
      <w:r w:rsidR="007652A5">
        <w:t xml:space="preserve">posta dal giudice penale </w:t>
      </w:r>
      <w:r w:rsidR="00CE3FB9">
        <w:t>è</w:t>
      </w:r>
      <w:r w:rsidR="00CE3FB9" w:rsidRPr="00CE3FB9">
        <w:t xml:space="preserve"> un atto dovuto, espressione di un potere autonomo del giudice penale, non alternativo a quello amministrativo ma</w:t>
      </w:r>
      <w:r w:rsidR="00AC42B9">
        <w:t xml:space="preserve"> con esso</w:t>
      </w:r>
      <w:r w:rsidR="00CE3FB9" w:rsidRPr="00CE3FB9">
        <w:t xml:space="preserve"> coordinabile in fase esecutiva</w:t>
      </w:r>
      <w:r w:rsidR="00B17357">
        <w:t xml:space="preserve"> </w:t>
      </w:r>
      <w:r w:rsidR="00B17357" w:rsidRPr="00B17357">
        <w:t>(</w:t>
      </w:r>
      <w:r w:rsidR="001A707A">
        <w:t xml:space="preserve">tanto in applicazione degli </w:t>
      </w:r>
      <w:r w:rsidR="00B17357" w:rsidRPr="00B17357">
        <w:t>art. 44</w:t>
      </w:r>
      <w:r w:rsidR="001A707A">
        <w:t xml:space="preserve"> e</w:t>
      </w:r>
      <w:r w:rsidR="00B17357" w:rsidRPr="00B17357">
        <w:t xml:space="preserve"> 31 co. 9</w:t>
      </w:r>
      <w:r w:rsidR="001A707A">
        <w:t xml:space="preserve"> del </w:t>
      </w:r>
      <w:r w:rsidR="001A707A">
        <w:lastRenderedPageBreak/>
        <w:t>TUED</w:t>
      </w:r>
      <w:r w:rsidR="00B17357" w:rsidRPr="00B17357">
        <w:t>: «</w:t>
      </w:r>
      <w:r w:rsidR="00B17357" w:rsidRPr="001A707A">
        <w:rPr>
          <w:i/>
          <w:iCs/>
        </w:rPr>
        <w:t>per le opere abusive di cui al presente articolo, il giudice, con la sentenza di condanna per il reato di cui all'articolo 44, ordina la demolizione delle opere stesse se ancora non sia stata altrimenti eseguita</w:t>
      </w:r>
      <w:r w:rsidR="00B17357" w:rsidRPr="00B17357">
        <w:t>»)</w:t>
      </w:r>
      <w:r w:rsidR="00CE3FB9">
        <w:t>.</w:t>
      </w:r>
      <w:r w:rsidR="00AC42B9">
        <w:t xml:space="preserve"> S</w:t>
      </w:r>
      <w:r w:rsidR="00CB2EC5">
        <w:t xml:space="preserve">i tratta di un ordine che, pur reso </w:t>
      </w:r>
      <w:r w:rsidR="00AC42B9">
        <w:t>da un’Autorità giudiziaria</w:t>
      </w:r>
      <w:r w:rsidR="00CB2EC5">
        <w:t xml:space="preserve">, </w:t>
      </w:r>
      <w:r w:rsidR="007246F0">
        <w:t>ha natura amministrativ</w:t>
      </w:r>
      <w:r w:rsidR="00673696">
        <w:t>a</w:t>
      </w:r>
      <w:r w:rsidR="007246F0">
        <w:t xml:space="preserve"> tanto che</w:t>
      </w:r>
      <w:r w:rsidR="00392D6B">
        <w:t>:</w:t>
      </w:r>
      <w:r w:rsidR="007246F0">
        <w:t xml:space="preserve"> non è suscettibile di passare in giudicato</w:t>
      </w:r>
      <w:r w:rsidR="00392D6B">
        <w:t>;</w:t>
      </w:r>
      <w:r w:rsidR="00847641">
        <w:t xml:space="preserve"> non si prescrive</w:t>
      </w:r>
      <w:r w:rsidR="00392D6B">
        <w:t>;</w:t>
      </w:r>
      <w:r w:rsidR="007246F0">
        <w:t xml:space="preserve"> è </w:t>
      </w:r>
      <w:r w:rsidR="00427111">
        <w:t>revocabile</w:t>
      </w:r>
      <w:r w:rsidR="00D6255A">
        <w:t xml:space="preserve"> qualora sia incompatibil</w:t>
      </w:r>
      <w:r w:rsidR="00392D6B">
        <w:t>e</w:t>
      </w:r>
      <w:r w:rsidR="00D6255A">
        <w:t xml:space="preserve"> con atti amministrativi che abbiano provveduto a dare all’immobile altra </w:t>
      </w:r>
      <w:r w:rsidR="00247655">
        <w:t>destinazione o alla sua sanatoria</w:t>
      </w:r>
      <w:r w:rsidR="00854156">
        <w:t>,</w:t>
      </w:r>
      <w:r w:rsidR="00247655">
        <w:t xml:space="preserve"> fermo il potere dovere del giudice penale di verificare la legittimità degli atti che ciò abbiano disposto</w:t>
      </w:r>
      <w:r w:rsidR="00851520">
        <w:rPr>
          <w:rStyle w:val="Rimandonotaapidipagina"/>
        </w:rPr>
        <w:footnoteReference w:id="21"/>
      </w:r>
      <w:r w:rsidR="00851520">
        <w:t>.</w:t>
      </w:r>
      <w:r w:rsidR="00847641">
        <w:t xml:space="preserve"> </w:t>
      </w:r>
      <w:r w:rsidR="00FE5D0C">
        <w:t>Tale asserzione</w:t>
      </w:r>
      <w:r w:rsidR="007F3EBB">
        <w:t>, come si è detto,</w:t>
      </w:r>
      <w:r w:rsidR="00FE5D0C">
        <w:t xml:space="preserve"> è stata, di recente, confortata anche dalla stessa Corte EDU che </w:t>
      </w:r>
      <w:r w:rsidR="007D0773">
        <w:t xml:space="preserve">ha espressamente escluso </w:t>
      </w:r>
      <w:r w:rsidR="00B32262">
        <w:t xml:space="preserve">la natura di ‘pena’ ai sensi della </w:t>
      </w:r>
      <w:r w:rsidR="00510C36">
        <w:t>Convenzione</w:t>
      </w:r>
      <w:r w:rsidR="00B32262">
        <w:t xml:space="preserve"> (art. 7) della misura della demolizione quand’anche disposta dal giudice penale.</w:t>
      </w:r>
      <w:r w:rsidR="008360F3">
        <w:t xml:space="preserve"> </w:t>
      </w:r>
      <w:r w:rsidR="00847641">
        <w:t>Inoltre,</w:t>
      </w:r>
      <w:r w:rsidR="00A662AE">
        <w:t xml:space="preserve"> l’ordine demolitorio del giudice penale</w:t>
      </w:r>
      <w:r w:rsidR="00847641">
        <w:t xml:space="preserve"> ha</w:t>
      </w:r>
      <w:r w:rsidR="008360F3">
        <w:t>, non diversamente da</w:t>
      </w:r>
      <w:r w:rsidR="00305CEE">
        <w:t>gli analoghi provvedimenti adottati dalla pubblica amministrazione,</w:t>
      </w:r>
      <w:r w:rsidR="00847641">
        <w:t xml:space="preserve"> effetti reali incidendo sul bene a prescindere da chi ne sia il proprietario.</w:t>
      </w:r>
    </w:p>
    <w:p w14:paraId="794E33B6" w14:textId="289D3216" w:rsidR="00851520" w:rsidRDefault="00404517" w:rsidP="004021E1">
      <w:pPr>
        <w:pStyle w:val="PersonaleGaramond"/>
        <w:keepLines w:val="0"/>
        <w:widowControl w:val="0"/>
        <w:suppressLineNumbers/>
        <w:suppressAutoHyphens/>
      </w:pPr>
      <w:r>
        <w:t>Ebbene, il giudice penale</w:t>
      </w:r>
      <w:r w:rsidR="00B93C97">
        <w:t>, nell’adeguarsi ai principi espressi dalla Corte EDU nelle Sentenze richiamate ne</w:t>
      </w:r>
      <w:r w:rsidR="00B17357">
        <w:t xml:space="preserve">l paragrafo precedente, </w:t>
      </w:r>
      <w:r>
        <w:t>chiarisce che la proporzionalità</w:t>
      </w:r>
      <w:r w:rsidR="002424F6">
        <w:t xml:space="preserve"> (rispetto al diritto al domicilio)</w:t>
      </w:r>
      <w:r>
        <w:t xml:space="preserve"> opera nella sola fase esecutiva e non, quindi, </w:t>
      </w:r>
      <w:r w:rsidR="002424F6">
        <w:t xml:space="preserve">in quella </w:t>
      </w:r>
      <w:r>
        <w:t>di irrogazione della condanna</w:t>
      </w:r>
      <w:r w:rsidR="00C32292">
        <w:t>.</w:t>
      </w:r>
      <w:r w:rsidR="00895826">
        <w:t xml:space="preserve"> </w:t>
      </w:r>
    </w:p>
    <w:p w14:paraId="1DF7A74A" w14:textId="3D8C7F31" w:rsidR="00331B38" w:rsidRDefault="00372355" w:rsidP="00E12E3F">
      <w:pPr>
        <w:pStyle w:val="PersonaleGaramond"/>
        <w:keepLines w:val="0"/>
        <w:widowControl w:val="0"/>
        <w:suppressLineNumbers/>
        <w:suppressAutoHyphens/>
      </w:pPr>
      <w:r>
        <w:t>Si afferma che l</w:t>
      </w:r>
      <w:r w:rsidR="00822AD0" w:rsidRPr="00822AD0">
        <w:t>a circostanza che l’immobile costituisca “</w:t>
      </w:r>
      <w:r w:rsidR="00822AD0" w:rsidRPr="00556DE2">
        <w:rPr>
          <w:i/>
          <w:iCs/>
        </w:rPr>
        <w:t>l’unica casa</w:t>
      </w:r>
      <w:r w:rsidR="00822AD0" w:rsidRPr="00822AD0">
        <w:t>” non è di per sé sufficiente a impedire la demolizione</w:t>
      </w:r>
      <w:r w:rsidR="00822AD0">
        <w:t xml:space="preserve"> </w:t>
      </w:r>
      <w:r w:rsidR="00F95E41">
        <w:t xml:space="preserve">e che debbano </w:t>
      </w:r>
      <w:r w:rsidR="00C32292">
        <w:t>essere valutati</w:t>
      </w:r>
      <w:r w:rsidR="00822AD0">
        <w:t xml:space="preserve"> altri aspetti quali</w:t>
      </w:r>
      <w:r w:rsidR="00C32292">
        <w:t xml:space="preserve">: </w:t>
      </w:r>
      <w:r w:rsidR="00E12E3F">
        <w:t xml:space="preserve">a) </w:t>
      </w:r>
      <w:r w:rsidR="00C32292">
        <w:t>la consapevolezza dell’abusività da parte del soggetto;</w:t>
      </w:r>
      <w:r w:rsidR="00E12E3F">
        <w:t xml:space="preserve"> b) </w:t>
      </w:r>
      <w:r w:rsidR="00C32292">
        <w:t>il tempo concesso per trovare soluzioni abitative alternative o tentare la sanatoria;</w:t>
      </w:r>
      <w:r w:rsidR="00E12E3F">
        <w:t xml:space="preserve"> </w:t>
      </w:r>
      <w:r w:rsidR="00652EC2">
        <w:t>c</w:t>
      </w:r>
      <w:r w:rsidR="00E12E3F">
        <w:t xml:space="preserve">) </w:t>
      </w:r>
      <w:r w:rsidR="00C32292">
        <w:t>l’effettiva possibilità di far valere le proprie ragioni dinanzi a un giudice indipendente;</w:t>
      </w:r>
      <w:r w:rsidR="00E12E3F">
        <w:t xml:space="preserve"> </w:t>
      </w:r>
      <w:r w:rsidR="00652EC2">
        <w:t>d</w:t>
      </w:r>
      <w:r w:rsidR="00E12E3F">
        <w:t xml:space="preserve">) </w:t>
      </w:r>
      <w:r w:rsidR="00C32292">
        <w:t>la necessità di evitare l’esecuzione in periodi sensibili, ad esempio se rischia di ledere diritti fondamentali come la scolarizzazione dei minori.</w:t>
      </w:r>
    </w:p>
    <w:p w14:paraId="6EDAB2CA" w14:textId="77777777" w:rsidR="005A43D9" w:rsidRDefault="005C121D" w:rsidP="004021E1">
      <w:pPr>
        <w:pStyle w:val="PersonaleGaramond"/>
        <w:keepLines w:val="0"/>
        <w:widowControl w:val="0"/>
        <w:suppressLineNumbers/>
        <w:suppressAutoHyphens/>
      </w:pPr>
      <w:r>
        <w:t>Simili circostanze</w:t>
      </w:r>
      <w:r w:rsidR="007E0818">
        <w:t>, in rapporto all’uso abitativo, d</w:t>
      </w:r>
      <w:r w:rsidR="00593945">
        <w:t>ev</w:t>
      </w:r>
      <w:r>
        <w:t>ono</w:t>
      </w:r>
      <w:r w:rsidR="00593945">
        <w:t xml:space="preserve"> essere specificamente dedott</w:t>
      </w:r>
      <w:r w:rsidR="005A43D9">
        <w:t>e</w:t>
      </w:r>
      <w:r w:rsidR="00593945">
        <w:t xml:space="preserve"> da chi l</w:t>
      </w:r>
      <w:r w:rsidR="005A43D9">
        <w:t>e</w:t>
      </w:r>
      <w:r w:rsidR="00593945">
        <w:t xml:space="preserve"> invoca, con onere di allegazione rigoroso.</w:t>
      </w:r>
      <w:r w:rsidR="007E0818">
        <w:t xml:space="preserve"> </w:t>
      </w:r>
    </w:p>
    <w:p w14:paraId="1ACC35B1" w14:textId="3747F86E" w:rsidR="00593945" w:rsidRDefault="005A43D9" w:rsidP="004021E1">
      <w:pPr>
        <w:pStyle w:val="PersonaleGaramond"/>
        <w:keepLines w:val="0"/>
        <w:widowControl w:val="0"/>
        <w:suppressLineNumbers/>
        <w:suppressAutoHyphens/>
      </w:pPr>
      <w:r>
        <w:t>Il ritardo dell’esecuzione della demolizione, peraltro, n</w:t>
      </w:r>
      <w:r w:rsidR="00593945">
        <w:t xml:space="preserve">on può fondarsi su inerzie, </w:t>
      </w:r>
      <w:r w:rsidR="00652EC2">
        <w:t xml:space="preserve">su </w:t>
      </w:r>
      <w:r w:rsidR="00593945">
        <w:t>condotte elusive o</w:t>
      </w:r>
      <w:r w:rsidR="00652EC2">
        <w:t xml:space="preserve"> su</w:t>
      </w:r>
      <w:r w:rsidR="00593945">
        <w:t xml:space="preserve"> scelte consapevoli dell’autore dell’abuso.</w:t>
      </w:r>
      <w:r w:rsidR="007E0818">
        <w:t xml:space="preserve"> </w:t>
      </w:r>
      <w:r w:rsidR="008E7ACB">
        <w:t xml:space="preserve">Neppure </w:t>
      </w:r>
      <w:r w:rsidR="00593945">
        <w:t>si può “</w:t>
      </w:r>
      <w:r w:rsidR="00593945" w:rsidRPr="00556DE2">
        <w:rPr>
          <w:i/>
          <w:iCs/>
        </w:rPr>
        <w:t>lucrare</w:t>
      </w:r>
      <w:r w:rsidR="00593945">
        <w:t xml:space="preserve">” sull’inerzia dell’amministrazione o sulla lentezza dell’esecuzione: la consapevolezza dell’abusività e la mancata diligenza escludono </w:t>
      </w:r>
      <w:r w:rsidR="000173DA">
        <w:t>che la violazione del diritto all’abitazione sia sproporzionata</w:t>
      </w:r>
      <w:r w:rsidR="00960516">
        <w:t xml:space="preserve"> nei sensi indicati dalla Corte EDU</w:t>
      </w:r>
      <w:r w:rsidR="00593945">
        <w:t>.</w:t>
      </w:r>
    </w:p>
    <w:p w14:paraId="24A9D45B" w14:textId="1FDE4880" w:rsidR="00745950" w:rsidRDefault="00B95414" w:rsidP="004021E1">
      <w:pPr>
        <w:pStyle w:val="Titolo1Garamond"/>
        <w:keepNext w:val="0"/>
        <w:widowControl w:val="0"/>
        <w:suppressLineNumbers/>
        <w:suppressAutoHyphens/>
      </w:pPr>
      <w:bookmarkStart w:id="13" w:name="_Toc196751386"/>
      <w:r>
        <w:t>4</w:t>
      </w:r>
      <w:r w:rsidR="00E12408">
        <w:t xml:space="preserve">. </w:t>
      </w:r>
      <w:r w:rsidR="0000252C">
        <w:t>Il giudice amministrativo e la verifica della proporzionalità nella fase ‘esecutiva’ della demolizione</w:t>
      </w:r>
      <w:bookmarkEnd w:id="13"/>
    </w:p>
    <w:p w14:paraId="32A8E148" w14:textId="14BEFC31" w:rsidR="006E783A" w:rsidRDefault="00B95414" w:rsidP="004021E1">
      <w:pPr>
        <w:pStyle w:val="Titolo2Garamond"/>
        <w:keepNext w:val="0"/>
        <w:widowControl w:val="0"/>
        <w:suppressLineNumbers/>
        <w:suppressAutoHyphens/>
      </w:pPr>
      <w:bookmarkStart w:id="14" w:name="_Toc196751387"/>
      <w:r>
        <w:t>4</w:t>
      </w:r>
      <w:r w:rsidR="006E783A">
        <w:t xml:space="preserve">.1. </w:t>
      </w:r>
      <w:r w:rsidR="00BA6D27">
        <w:t>Il giudizio avverso i provvedimenti demolitori</w:t>
      </w:r>
      <w:bookmarkEnd w:id="14"/>
      <w:r w:rsidR="006E783A">
        <w:t xml:space="preserve"> </w:t>
      </w:r>
    </w:p>
    <w:p w14:paraId="20CA391B" w14:textId="77777777" w:rsidR="00D752ED" w:rsidRDefault="00CA1203" w:rsidP="004021E1">
      <w:pPr>
        <w:pStyle w:val="PersonaleGaramond"/>
        <w:keepLines w:val="0"/>
        <w:widowControl w:val="0"/>
        <w:suppressLineNumbers/>
        <w:suppressAutoHyphens/>
      </w:pPr>
      <w:r>
        <w:t>Sul piano sostanziale, la giurisprudenza amministrativa aderisce all’impostazione del giudice penale</w:t>
      </w:r>
      <w:r w:rsidR="00E148E3">
        <w:t xml:space="preserve"> quanto alle modalità di esecuzione del test di proporzionalità </w:t>
      </w:r>
      <w:r w:rsidR="00D752ED">
        <w:t>e alla fase (quella esecutiva) in cui esso deve essere effettuato.</w:t>
      </w:r>
    </w:p>
    <w:p w14:paraId="5D31C97C" w14:textId="04EA2152" w:rsidR="00933D41" w:rsidRDefault="00855544" w:rsidP="004021E1">
      <w:pPr>
        <w:pStyle w:val="PersonaleGaramond"/>
        <w:keepLines w:val="0"/>
        <w:widowControl w:val="0"/>
        <w:suppressLineNumbers/>
        <w:suppressAutoHyphens/>
      </w:pPr>
      <w:r>
        <w:t>Si esprime adesione, in particolare, al principio secondo cui</w:t>
      </w:r>
      <w:r w:rsidR="00960516">
        <w:t xml:space="preserve"> </w:t>
      </w:r>
      <w:r w:rsidR="0038010A">
        <w:t>«</w:t>
      </w:r>
      <w:r w:rsidR="00005615" w:rsidRPr="00E24871">
        <w:t xml:space="preserve">il diritto all'abitazione, riconducibile </w:t>
      </w:r>
      <w:r w:rsidR="00005615" w:rsidRPr="00E24871">
        <w:lastRenderedPageBreak/>
        <w:t xml:space="preserve">agli artt. 2 e 3 Cost. e all'art. 8 CEDU, non è tutelato in termini assoluti, ma è contemperato con altri valori di pari rango costituzionale, come l'ordinato sviluppo del territorio e la salvaguardia dell'ambiente, che giustificano, secondo i criteri della necessità, sufficienza e proporzionalità, l'esecuzione dell'ordine di demolizione di un immobile abusivo, sempre che tale provvedimento si riveli proporzionato rispetto allo scopo che la normativa edilizia intende perseguire, rappresentato dal ripristino dello </w:t>
      </w:r>
      <w:r w:rsidR="00005615" w:rsidRPr="001F703F">
        <w:rPr>
          <w:i/>
          <w:iCs/>
        </w:rPr>
        <w:t>status</w:t>
      </w:r>
      <w:r w:rsidR="00005615" w:rsidRPr="00E24871">
        <w:t xml:space="preserve"> preesistente del territorio</w:t>
      </w:r>
      <w:r w:rsidR="00A2712F">
        <w:t>»</w:t>
      </w:r>
      <w:r>
        <w:rPr>
          <w:rStyle w:val="Rimandonotaapidipagina"/>
        </w:rPr>
        <w:footnoteReference w:id="22"/>
      </w:r>
      <w:r w:rsidR="00DB3C1C">
        <w:t>.</w:t>
      </w:r>
    </w:p>
    <w:p w14:paraId="07E9969B" w14:textId="77777777" w:rsidR="00020156" w:rsidRDefault="00DB3C1C" w:rsidP="004021E1">
      <w:pPr>
        <w:pStyle w:val="PersonaleGaramond"/>
        <w:keepLines w:val="0"/>
        <w:widowControl w:val="0"/>
        <w:suppressLineNumbers/>
        <w:suppressAutoHyphens/>
      </w:pPr>
      <w:r>
        <w:t xml:space="preserve">Ma soprattutto, il giudice amministrativo, per ora, mostra di condividere la soluzione del giudice penale nel senso che </w:t>
      </w:r>
      <w:r w:rsidR="00D52017">
        <w:t xml:space="preserve">tali aspetti rilevino nella fase esecutiva e non in quella dell’emanazione del provvedimento. Il provvedimento resta </w:t>
      </w:r>
      <w:r w:rsidR="003D1832">
        <w:t>«</w:t>
      </w:r>
      <w:r w:rsidR="003D1832" w:rsidRPr="001F703F">
        <w:t>strumento del potere vincolato che l’amministrazione deve esercitare in materia</w:t>
      </w:r>
      <w:r w:rsidR="003D1832">
        <w:t>»</w:t>
      </w:r>
      <w:r w:rsidR="003D1832">
        <w:rPr>
          <w:rStyle w:val="Rimandonotaapidipagina"/>
        </w:rPr>
        <w:footnoteReference w:id="23"/>
      </w:r>
      <w:r w:rsidR="004F1FE7">
        <w:t xml:space="preserve">. </w:t>
      </w:r>
    </w:p>
    <w:p w14:paraId="37F5B717" w14:textId="6DE20B63" w:rsidR="0078372C" w:rsidRDefault="0079444B" w:rsidP="004021E1">
      <w:pPr>
        <w:pStyle w:val="PersonaleGaramond"/>
        <w:keepLines w:val="0"/>
        <w:widowControl w:val="0"/>
        <w:suppressLineNumbers/>
        <w:suppressAutoHyphens/>
      </w:pPr>
      <w:r>
        <w:t>In un caso specifico</w:t>
      </w:r>
      <w:r w:rsidR="00020156">
        <w:t>, il giudice amministrativo</w:t>
      </w:r>
      <w:r w:rsidR="00041247">
        <w:t>,</w:t>
      </w:r>
      <w:r w:rsidR="002D5266">
        <w:t xml:space="preserve"> pur aderendo a</w:t>
      </w:r>
      <w:r w:rsidR="00020156">
        <w:t>lla</w:t>
      </w:r>
      <w:r w:rsidR="002D5266">
        <w:t xml:space="preserve"> ricostruzione</w:t>
      </w:r>
      <w:r w:rsidR="00D832E8">
        <w:t xml:space="preserve"> secondo cui il test di proporzionalità debba essere effettuato nella fase esecutiva</w:t>
      </w:r>
      <w:r w:rsidR="006E783A">
        <w:t>,</w:t>
      </w:r>
      <w:r w:rsidR="002D5266">
        <w:t xml:space="preserve"> </w:t>
      </w:r>
      <w:r w:rsidR="00690122">
        <w:t>ha tuttavia provveduto a eseguirlo</w:t>
      </w:r>
      <w:r w:rsidR="00D832E8">
        <w:t xml:space="preserve"> </w:t>
      </w:r>
      <w:r w:rsidR="003D597E">
        <w:t>anche in rapporto al provvedimento escludendo</w:t>
      </w:r>
      <w:r w:rsidR="00D832E8">
        <w:t>, nel caso concreto,</w:t>
      </w:r>
      <w:r w:rsidR="00453DBE">
        <w:t xml:space="preserve"> la sussistenza de</w:t>
      </w:r>
      <w:r w:rsidR="003D597E">
        <w:t xml:space="preserve">gli elementi </w:t>
      </w:r>
      <w:r w:rsidR="00690122">
        <w:t>in base ai</w:t>
      </w:r>
      <w:r w:rsidR="00EB1EC4">
        <w:t xml:space="preserve"> quali</w:t>
      </w:r>
      <w:r w:rsidR="003D597E">
        <w:t xml:space="preserve"> avrebbe potuto prevalere il diritto all’abitazione di cui all’art. 8 </w:t>
      </w:r>
      <w:r w:rsidR="00E675A3">
        <w:t>della C</w:t>
      </w:r>
      <w:r w:rsidR="003D597E">
        <w:t>EDU</w:t>
      </w:r>
      <w:r w:rsidR="003C4C45">
        <w:rPr>
          <w:rStyle w:val="Rimandonotaapidipagina"/>
        </w:rPr>
        <w:footnoteReference w:id="24"/>
      </w:r>
      <w:r w:rsidR="00C55F24">
        <w:t>.</w:t>
      </w:r>
    </w:p>
    <w:p w14:paraId="31AECD74" w14:textId="79315422" w:rsidR="00BA6D27" w:rsidRDefault="007365D3" w:rsidP="004021E1">
      <w:pPr>
        <w:pStyle w:val="PersonaleGaramond"/>
        <w:keepLines w:val="0"/>
        <w:widowControl w:val="0"/>
        <w:suppressLineNumbers/>
        <w:suppressAutoHyphens/>
      </w:pPr>
      <w:r>
        <w:t>Seguendo le indicate coordinate ermeneutiche</w:t>
      </w:r>
      <w:r w:rsidR="006E783A">
        <w:t>,</w:t>
      </w:r>
      <w:r w:rsidR="009357CF">
        <w:t xml:space="preserve"> </w:t>
      </w:r>
      <w:r w:rsidR="00C55F24">
        <w:t xml:space="preserve">il giudizio sui provvedimenti demolitori non conosce alterazioni in ragione dell’applicazione del </w:t>
      </w:r>
      <w:r w:rsidR="00B03451">
        <w:t>criterio della proporzionalità: il provvedimento resta vincolato con tutt</w:t>
      </w:r>
      <w:r w:rsidR="00B929AE">
        <w:t>e le conseguenze che ne derivano</w:t>
      </w:r>
      <w:r w:rsidR="00FE028B">
        <w:t>, mentre ne è condizionata la fase esecutiva.</w:t>
      </w:r>
    </w:p>
    <w:p w14:paraId="7EF936E4" w14:textId="56E20D31" w:rsidR="00FA25A0" w:rsidRDefault="00FA25A0" w:rsidP="00FA25A0">
      <w:pPr>
        <w:pStyle w:val="Titolo2Garamond"/>
      </w:pPr>
      <w:bookmarkStart w:id="15" w:name="_Toc196751388"/>
      <w:r>
        <w:t xml:space="preserve">4.2. </w:t>
      </w:r>
      <w:r w:rsidR="00AF4A88">
        <w:t>La valorizzazione della fase cautelare</w:t>
      </w:r>
      <w:bookmarkEnd w:id="15"/>
    </w:p>
    <w:p w14:paraId="0E302D09" w14:textId="6EFAA5B3" w:rsidR="00D14BBF" w:rsidRDefault="00AF4A88" w:rsidP="004021E1">
      <w:pPr>
        <w:pStyle w:val="PersonaleGaramond"/>
        <w:keepLines w:val="0"/>
        <w:widowControl w:val="0"/>
        <w:suppressLineNumbers/>
        <w:suppressAutoHyphens/>
      </w:pPr>
      <w:r>
        <w:t xml:space="preserve">A ben vedere, </w:t>
      </w:r>
      <w:r w:rsidR="00D14BBF">
        <w:t xml:space="preserve">è ipotizzabile </w:t>
      </w:r>
      <w:r w:rsidR="0067797B">
        <w:t xml:space="preserve">che i principi di derivazione convenzionale di cui si discute (tutela del diritto </w:t>
      </w:r>
      <w:r w:rsidR="00093C76">
        <w:t>a</w:t>
      </w:r>
      <w:r w:rsidR="0067797B">
        <w:t>ll’abitazione in rapporto a un provvedimento demolitorio)</w:t>
      </w:r>
      <w:r w:rsidR="00E012CE">
        <w:t xml:space="preserve"> incidano sulla fase cautelare dell’ordinario giudizio di annullamento del provvedimento demolitorio.</w:t>
      </w:r>
    </w:p>
    <w:p w14:paraId="3C25FB91" w14:textId="22395618" w:rsidR="002A1E6C" w:rsidRDefault="00CC3CFB" w:rsidP="004021E1">
      <w:pPr>
        <w:pStyle w:val="PersonaleGaramond"/>
        <w:keepLines w:val="0"/>
        <w:widowControl w:val="0"/>
        <w:suppressLineNumbers/>
        <w:suppressAutoHyphens/>
      </w:pPr>
      <w:r>
        <w:t>Esiste</w:t>
      </w:r>
      <w:r w:rsidR="00E012CE">
        <w:t xml:space="preserve">, infatti, </w:t>
      </w:r>
      <w:r w:rsidR="007D5E6D">
        <w:t xml:space="preserve">la possibilità </w:t>
      </w:r>
      <w:r w:rsidR="00A42296">
        <w:t>di valorizzare la tutela cautelare</w:t>
      </w:r>
      <w:r w:rsidR="002A1E6C">
        <w:t xml:space="preserve"> </w:t>
      </w:r>
      <w:r w:rsidR="00AA26CD">
        <w:t>al fine</w:t>
      </w:r>
      <w:r w:rsidR="00E92CC4" w:rsidRPr="00E92CC4">
        <w:t xml:space="preserve"> di</w:t>
      </w:r>
      <w:r w:rsidR="00EC0F9D">
        <w:t xml:space="preserve"> sospendere l’efficacia del provvedimento demolitorio</w:t>
      </w:r>
      <w:r w:rsidR="00B41972">
        <w:t xml:space="preserve"> </w:t>
      </w:r>
      <w:r w:rsidR="00AA26CD">
        <w:t xml:space="preserve">in modo che trascorra </w:t>
      </w:r>
      <w:r w:rsidR="00E92CC4" w:rsidRPr="00E92CC4">
        <w:t xml:space="preserve">un tempo adeguato a consentire </w:t>
      </w:r>
      <w:r w:rsidR="00CF1383">
        <w:t>il reperimento di una nuova abitazione</w:t>
      </w:r>
      <w:r w:rsidR="00B41972">
        <w:t>.</w:t>
      </w:r>
      <w:r w:rsidR="002A1E6C">
        <w:t xml:space="preserve"> </w:t>
      </w:r>
      <w:r w:rsidR="00B24A42">
        <w:t xml:space="preserve">La soluzione da ultimo segnalata è già positivamente </w:t>
      </w:r>
      <w:r w:rsidR="00E37086">
        <w:t xml:space="preserve">esperita </w:t>
      </w:r>
      <w:r w:rsidR="00B24A42">
        <w:t>dal giudice amministrativo e proprio con riferimento a</w:t>
      </w:r>
      <w:r w:rsidR="00864769">
        <w:t xml:space="preserve">lla tutela del diritto all’abitazione nei giudizi in tema di sgombero </w:t>
      </w:r>
      <w:r w:rsidR="004412F0">
        <w:t>coatto amministrativo degli immobili illegittimamente occupati</w:t>
      </w:r>
      <w:r w:rsidR="008B5243">
        <w:t xml:space="preserve">. </w:t>
      </w:r>
      <w:r w:rsidR="00050D86">
        <w:t>In tali casi, il Giudice ha</w:t>
      </w:r>
      <w:r w:rsidR="009A4D69">
        <w:t>, per lo più,</w:t>
      </w:r>
      <w:r w:rsidR="00050D86">
        <w:t xml:space="preserve"> dato atto della mancanza di </w:t>
      </w:r>
      <w:r w:rsidR="00050D86" w:rsidRPr="009A4D69">
        <w:rPr>
          <w:i/>
          <w:iCs/>
        </w:rPr>
        <w:t>fumus</w:t>
      </w:r>
      <w:r w:rsidR="009A4D69">
        <w:t xml:space="preserve"> </w:t>
      </w:r>
      <w:r w:rsidR="009A4D69" w:rsidRPr="009A4D69">
        <w:rPr>
          <w:i/>
          <w:iCs/>
        </w:rPr>
        <w:t>boni iuris</w:t>
      </w:r>
      <w:r w:rsidR="009A4D69">
        <w:t xml:space="preserve"> </w:t>
      </w:r>
      <w:r w:rsidR="00050D86">
        <w:t xml:space="preserve">del ricorso e, cionondimeno, </w:t>
      </w:r>
      <w:r w:rsidR="009A4D69">
        <w:t>ha</w:t>
      </w:r>
      <w:r w:rsidR="00BF091B">
        <w:t xml:space="preserve"> ritenuto «</w:t>
      </w:r>
      <w:r w:rsidR="00665EFD" w:rsidRPr="00903E93">
        <w:t>giusto ed equo</w:t>
      </w:r>
      <w:r w:rsidR="00BF091B">
        <w:t>»</w:t>
      </w:r>
      <w:r w:rsidR="00665EFD" w:rsidRPr="00665EFD">
        <w:t xml:space="preserve"> accordare </w:t>
      </w:r>
      <w:r w:rsidR="00BF091B">
        <w:t>ai destinatari del provvedimento «</w:t>
      </w:r>
      <w:r w:rsidR="00665EFD" w:rsidRPr="00903E93">
        <w:t>un termine di grazia, onde</w:t>
      </w:r>
      <w:r w:rsidR="00DD5120" w:rsidRPr="00903E93">
        <w:t>»</w:t>
      </w:r>
      <w:r w:rsidR="00665EFD" w:rsidRPr="00903E93">
        <w:t xml:space="preserve"> consentir</w:t>
      </w:r>
      <w:r w:rsidR="00CF1383" w:rsidRPr="00903E93">
        <w:t>e</w:t>
      </w:r>
      <w:r w:rsidR="00DD5120" w:rsidRPr="00903E93">
        <w:t xml:space="preserve"> loro</w:t>
      </w:r>
      <w:r w:rsidR="00665EFD" w:rsidRPr="00903E93">
        <w:t xml:space="preserve"> </w:t>
      </w:r>
      <w:r w:rsidR="00DD5120" w:rsidRPr="00903E93">
        <w:t>«</w:t>
      </w:r>
      <w:r w:rsidR="00665EFD" w:rsidRPr="00903E93">
        <w:t>di procurarsi una alternativa sistemazione abitativa entro un congruo lasso temporale</w:t>
      </w:r>
      <w:r w:rsidR="00BF091B">
        <w:t>»</w:t>
      </w:r>
      <w:r w:rsidR="00265FD9">
        <w:rPr>
          <w:rStyle w:val="Rimandonotaapidipagina"/>
        </w:rPr>
        <w:footnoteReference w:id="25"/>
      </w:r>
      <w:r w:rsidR="00265FD9">
        <w:t xml:space="preserve"> e ciò anche in relazione a situazioni personali quali </w:t>
      </w:r>
      <w:r w:rsidR="00686078">
        <w:t xml:space="preserve">la </w:t>
      </w:r>
      <w:r w:rsidR="001872A6">
        <w:t>“</w:t>
      </w:r>
      <w:r w:rsidR="00F47DA6" w:rsidRPr="00903E93">
        <w:t>grav</w:t>
      </w:r>
      <w:r w:rsidR="00686078" w:rsidRPr="00903E93">
        <w:t>e</w:t>
      </w:r>
      <w:r w:rsidR="00F47DA6" w:rsidRPr="00903E93">
        <w:t xml:space="preserve"> invalidità</w:t>
      </w:r>
      <w:r w:rsidR="001872A6">
        <w:t>”</w:t>
      </w:r>
      <w:r w:rsidR="00F47DA6">
        <w:rPr>
          <w:rStyle w:val="Rimandonotaapidipagina"/>
        </w:rPr>
        <w:footnoteReference w:id="26"/>
      </w:r>
      <w:r w:rsidR="00854B30">
        <w:t xml:space="preserve"> o</w:t>
      </w:r>
      <w:r w:rsidR="00750140">
        <w:t xml:space="preserve"> la </w:t>
      </w:r>
      <w:r w:rsidR="00750140">
        <w:lastRenderedPageBreak/>
        <w:t xml:space="preserve">risalenza nel tempo dell’occupazione (valorizzata </w:t>
      </w:r>
      <w:r w:rsidR="0042101B">
        <w:t>unicamente</w:t>
      </w:r>
      <w:r w:rsidR="00ED73B6">
        <w:t xml:space="preserve"> al fine</w:t>
      </w:r>
      <w:r w:rsidR="00750140">
        <w:t xml:space="preserve"> della sospensione</w:t>
      </w:r>
      <w:r w:rsidR="00ED73B6">
        <w:t>,</w:t>
      </w:r>
      <w:r w:rsidR="00750140">
        <w:t xml:space="preserve"> essendosi escluso qualsivoglia affidamento tutelabile)</w:t>
      </w:r>
      <w:r w:rsidR="00750140">
        <w:rPr>
          <w:rStyle w:val="Rimandonotaapidipagina"/>
        </w:rPr>
        <w:footnoteReference w:id="27"/>
      </w:r>
      <w:r w:rsidR="000A2BD3">
        <w:t xml:space="preserve">. In alcuni casi, è stata respinta l’istanza cautelare proprio in ragione dell’avvenuta concessione del termine </w:t>
      </w:r>
      <w:r w:rsidR="00E37086">
        <w:t>“</w:t>
      </w:r>
      <w:r w:rsidR="000A2BD3" w:rsidRPr="00903E93">
        <w:t>di grazia</w:t>
      </w:r>
      <w:r w:rsidR="00E37086">
        <w:t>”</w:t>
      </w:r>
      <w:r w:rsidR="000A2BD3">
        <w:t xml:space="preserve"> da parte della Pubblica amministrazione che aveva ordinato lo sgombero</w:t>
      </w:r>
      <w:r w:rsidR="00CF2CFA">
        <w:rPr>
          <w:rStyle w:val="Rimandonotaapidipagina"/>
        </w:rPr>
        <w:footnoteReference w:id="28"/>
      </w:r>
      <w:r w:rsidR="00A11E2B">
        <w:t>.</w:t>
      </w:r>
    </w:p>
    <w:p w14:paraId="03B72BDE" w14:textId="6E4EF416" w:rsidR="00A11E2B" w:rsidRDefault="00A11E2B" w:rsidP="004021E1">
      <w:pPr>
        <w:pStyle w:val="PersonaleGaramond"/>
        <w:keepLines w:val="0"/>
        <w:widowControl w:val="0"/>
        <w:suppressLineNumbers/>
        <w:suppressAutoHyphens/>
      </w:pPr>
      <w:r>
        <w:t xml:space="preserve">È evidente che </w:t>
      </w:r>
      <w:r w:rsidR="00DC7EF0">
        <w:t>il descritto orientamento giurisprudenziale possa trovare applicazione anche ne</w:t>
      </w:r>
      <w:r w:rsidR="00753AAF">
        <w:t>ll’analogo caso in cui l’</w:t>
      </w:r>
      <w:r w:rsidR="008843C4">
        <w:t>abitazione</w:t>
      </w:r>
      <w:r w:rsidR="00753AAF">
        <w:t xml:space="preserve"> debba essere </w:t>
      </w:r>
      <w:r w:rsidR="008843C4">
        <w:t>lasciata</w:t>
      </w:r>
      <w:r w:rsidR="00B00EE4">
        <w:t>, non in virtù di un provvedimento di sgombero coatto, ma</w:t>
      </w:r>
      <w:r w:rsidR="00753AAF">
        <w:t xml:space="preserve"> per consentire la demolizione. </w:t>
      </w:r>
      <w:r w:rsidR="00DC7EF0">
        <w:t xml:space="preserve"> </w:t>
      </w:r>
    </w:p>
    <w:p w14:paraId="72D2E683" w14:textId="00F45D9D" w:rsidR="00BA6D27" w:rsidRDefault="00B95414" w:rsidP="004021E1">
      <w:pPr>
        <w:pStyle w:val="Titolo2Garamond"/>
        <w:keepNext w:val="0"/>
        <w:widowControl w:val="0"/>
        <w:suppressLineNumbers/>
        <w:suppressAutoHyphens/>
      </w:pPr>
      <w:bookmarkStart w:id="16" w:name="_Toc196751389"/>
      <w:r>
        <w:t>4</w:t>
      </w:r>
      <w:r w:rsidR="00BA6D27">
        <w:t>.</w:t>
      </w:r>
      <w:r w:rsidR="00B00EE4">
        <w:t>3</w:t>
      </w:r>
      <w:r w:rsidR="00BA6D27">
        <w:t>. La (problematica) tutela nella fase esecutiva</w:t>
      </w:r>
      <w:r w:rsidR="00DB3DAE">
        <w:t xml:space="preserve">: </w:t>
      </w:r>
      <w:r w:rsidR="00FF5AEA">
        <w:t>la giurisdizione</w:t>
      </w:r>
      <w:bookmarkEnd w:id="16"/>
    </w:p>
    <w:p w14:paraId="149099E0" w14:textId="11E85757" w:rsidR="009357CF" w:rsidRDefault="00B00EE4" w:rsidP="004021E1">
      <w:pPr>
        <w:pStyle w:val="PersonaleGaramond"/>
        <w:keepLines w:val="0"/>
        <w:widowControl w:val="0"/>
        <w:suppressLineNumbers/>
        <w:suppressAutoHyphens/>
      </w:pPr>
      <w:r>
        <w:t>In disparte quanto si è detto sulla tutela cautelare nell’ambito di un ordinario giudizio di annullamento, l</w:t>
      </w:r>
      <w:r w:rsidR="00287EB0">
        <w:t xml:space="preserve">a </w:t>
      </w:r>
      <w:r w:rsidR="005D2B82">
        <w:t>possibilità che il giudice amministrativo accord</w:t>
      </w:r>
      <w:r w:rsidR="00423D1A">
        <w:t>i</w:t>
      </w:r>
      <w:r w:rsidR="005D2B82">
        <w:t xml:space="preserve"> tutela </w:t>
      </w:r>
      <w:r w:rsidR="00423D1A">
        <w:t xml:space="preserve">al diritto </w:t>
      </w:r>
      <w:r w:rsidR="005F7A64">
        <w:t>all’</w:t>
      </w:r>
      <w:r w:rsidR="00423D1A">
        <w:t>abitazione in sede esecutiva</w:t>
      </w:r>
      <w:r w:rsidR="005D2B82">
        <w:t xml:space="preserve"> </w:t>
      </w:r>
      <w:r w:rsidR="00423D1A">
        <w:t>presenta numerosi aspetti problematici.</w:t>
      </w:r>
    </w:p>
    <w:p w14:paraId="49D811E3" w14:textId="4FD9D424" w:rsidR="001848E4" w:rsidRDefault="001848E4" w:rsidP="004021E1">
      <w:pPr>
        <w:pStyle w:val="PersonaleGaramond"/>
        <w:keepLines w:val="0"/>
        <w:widowControl w:val="0"/>
        <w:suppressLineNumbers/>
        <w:suppressAutoHyphens/>
      </w:pPr>
      <w:r>
        <w:t xml:space="preserve">In primo luogo, occorre definire se il giudice amministrativo abbia o meno giurisdizione sulla fase esecutiva della demolizione. </w:t>
      </w:r>
    </w:p>
    <w:p w14:paraId="1E78F516" w14:textId="369B6C2C" w:rsidR="00486E43" w:rsidRDefault="00FB672B" w:rsidP="004021E1">
      <w:pPr>
        <w:pStyle w:val="PersonaleGaramond"/>
        <w:keepLines w:val="0"/>
        <w:widowControl w:val="0"/>
        <w:suppressLineNumbers/>
        <w:suppressAutoHyphens/>
      </w:pPr>
      <w:r>
        <w:t>Va rammentato che</w:t>
      </w:r>
      <w:r w:rsidR="0054486E">
        <w:t>, in una nota pronuncia</w:t>
      </w:r>
      <w:r w:rsidR="0056448B">
        <w:rPr>
          <w:rStyle w:val="Rimandonotaapidipagina"/>
        </w:rPr>
        <w:footnoteReference w:id="29"/>
      </w:r>
      <w:r w:rsidR="0054486E">
        <w:t>,</w:t>
      </w:r>
      <w:r>
        <w:t xml:space="preserve"> le </w:t>
      </w:r>
      <w:r w:rsidR="00BA6D27">
        <w:t>S</w:t>
      </w:r>
      <w:r w:rsidR="001848E4">
        <w:t xml:space="preserve">ezioni </w:t>
      </w:r>
      <w:r w:rsidR="00BA6D27">
        <w:t>U</w:t>
      </w:r>
      <w:r w:rsidR="001848E4">
        <w:t xml:space="preserve">nite </w:t>
      </w:r>
      <w:r w:rsidR="0054486E">
        <w:t xml:space="preserve">hanno ritenuto che </w:t>
      </w:r>
      <w:r w:rsidR="001848E4">
        <w:t>nella fase esecutiva</w:t>
      </w:r>
      <w:r w:rsidR="0054486E">
        <w:t xml:space="preserve"> della demolizione</w:t>
      </w:r>
      <w:r w:rsidR="001848E4">
        <w:t xml:space="preserve"> non vi </w:t>
      </w:r>
      <w:r w:rsidR="005C522B">
        <w:t>sia</w:t>
      </w:r>
      <w:r w:rsidR="001848E4">
        <w:t xml:space="preserve"> altro che un comportamento materiale e vincolato di </w:t>
      </w:r>
      <w:r w:rsidR="0059322F">
        <w:t>talché</w:t>
      </w:r>
      <w:r w:rsidR="001848E4">
        <w:t xml:space="preserve"> la giurisdizione </w:t>
      </w:r>
      <w:r w:rsidR="004D0854">
        <w:t>spetterebbe in ogni caso al Giudice ordinario (fattispecie in tema di risarcimento del danno da omessa demolizione</w:t>
      </w:r>
      <w:r w:rsidR="00486E43">
        <w:t xml:space="preserve">). </w:t>
      </w:r>
    </w:p>
    <w:p w14:paraId="72AC5426" w14:textId="295DE12B" w:rsidR="001848E4" w:rsidRDefault="00486E43" w:rsidP="004021E1">
      <w:pPr>
        <w:pStyle w:val="PersonaleGaramond"/>
        <w:keepLines w:val="0"/>
        <w:widowControl w:val="0"/>
        <w:suppressLineNumbers/>
        <w:suppressAutoHyphens/>
      </w:pPr>
      <w:r>
        <w:t>In senso</w:t>
      </w:r>
      <w:r w:rsidR="00B41BB5">
        <w:t xml:space="preserve"> opposto e, quindi, favorevole alla giurisdizione del Giudice amministrativo</w:t>
      </w:r>
      <w:r w:rsidR="00145501">
        <w:t xml:space="preserve">, </w:t>
      </w:r>
      <w:r w:rsidR="004D6ACA">
        <w:t xml:space="preserve">si segnalano alcune pronunce che valorizzano </w:t>
      </w:r>
      <w:r w:rsidR="00676050" w:rsidRPr="00676050">
        <w:t>la</w:t>
      </w:r>
      <w:r w:rsidR="00C40BF2">
        <w:t xml:space="preserve"> ricomprensione anche della fase esecutiva nell’ambito della</w:t>
      </w:r>
      <w:r w:rsidR="00676050" w:rsidRPr="00676050">
        <w:t xml:space="preserve"> giurisdizione esclusiva in tema </w:t>
      </w:r>
      <w:r w:rsidR="005C522B">
        <w:t xml:space="preserve">di </w:t>
      </w:r>
      <w:r w:rsidR="00676050" w:rsidRPr="00676050">
        <w:t>urbanistica e edilizia (art. 133 co. 1 lett. f)</w:t>
      </w:r>
      <w:r w:rsidR="004D6ACA">
        <w:rPr>
          <w:rStyle w:val="Rimandonotaapidipagina"/>
        </w:rPr>
        <w:footnoteReference w:id="30"/>
      </w:r>
      <w:r w:rsidR="00676050" w:rsidRPr="00676050">
        <w:t>,</w:t>
      </w:r>
      <w:r w:rsidR="008D22DC">
        <w:t xml:space="preserve"> essendosi, altresì, rilevato che </w:t>
      </w:r>
      <w:r>
        <w:t>l’amministrazione conserv</w:t>
      </w:r>
      <w:r w:rsidR="008D22DC">
        <w:t>a</w:t>
      </w:r>
      <w:r w:rsidR="00420B54">
        <w:t xml:space="preserve"> </w:t>
      </w:r>
      <w:r w:rsidR="008D22DC" w:rsidRPr="008D22DC">
        <w:t xml:space="preserve">degli </w:t>
      </w:r>
      <w:r w:rsidR="00E749A0">
        <w:t>«</w:t>
      </w:r>
      <w:r w:rsidR="008D22DC" w:rsidRPr="004C63F0">
        <w:t xml:space="preserve">spazi di valutazione, quanto meno rispetto al </w:t>
      </w:r>
      <w:r w:rsidR="00F633DC" w:rsidRPr="004C63F0">
        <w:t>“</w:t>
      </w:r>
      <w:r w:rsidR="008D22DC" w:rsidRPr="004C63F0">
        <w:t>quando</w:t>
      </w:r>
      <w:r w:rsidR="00F633DC" w:rsidRPr="004C63F0">
        <w:t>”</w:t>
      </w:r>
      <w:r w:rsidR="008D22DC" w:rsidRPr="004C63F0">
        <w:t xml:space="preserve"> e al </w:t>
      </w:r>
      <w:r w:rsidR="00F633DC" w:rsidRPr="004C63F0">
        <w:t>“</w:t>
      </w:r>
      <w:r w:rsidR="008D22DC" w:rsidRPr="004C63F0">
        <w:t>quomodo</w:t>
      </w:r>
      <w:r w:rsidR="00F633DC" w:rsidRPr="004C63F0">
        <w:t>”</w:t>
      </w:r>
      <w:r w:rsidR="008D22DC">
        <w:t xml:space="preserve">» </w:t>
      </w:r>
      <w:r>
        <w:t xml:space="preserve">nell’esecuzione di un provvedimento </w:t>
      </w:r>
      <w:r w:rsidR="00E749A0">
        <w:t xml:space="preserve">che, sebbene, </w:t>
      </w:r>
      <w:r>
        <w:t xml:space="preserve">vincolato, </w:t>
      </w:r>
      <w:r w:rsidR="00E749A0">
        <w:t xml:space="preserve">si connota </w:t>
      </w:r>
      <w:r>
        <w:t xml:space="preserve">in senso decisamente autoritativo in ragione </w:t>
      </w:r>
      <w:r w:rsidR="00E749A0">
        <w:t>dell’«</w:t>
      </w:r>
      <w:r w:rsidR="00E749A0" w:rsidRPr="004C63F0">
        <w:t xml:space="preserve">assoluta </w:t>
      </w:r>
      <w:r w:rsidRPr="004C63F0">
        <w:t>prevalenza degli interessi pubblici, tutelati in via diretta e immediata, sugli interessi privati coinvolti, tutelati solo in via del tutto mediata (v. Consiglio di Stato ad. plen., 24/05/2007, n. 8)</w:t>
      </w:r>
      <w:r w:rsidR="00E749A0">
        <w:t>»</w:t>
      </w:r>
      <w:r w:rsidR="004835AD">
        <w:rPr>
          <w:rStyle w:val="Rimandonotaapidipagina"/>
        </w:rPr>
        <w:footnoteReference w:id="31"/>
      </w:r>
      <w:r>
        <w:t>.</w:t>
      </w:r>
    </w:p>
    <w:p w14:paraId="7236A0AC" w14:textId="268AABB3" w:rsidR="00486E43" w:rsidRDefault="00486E43" w:rsidP="004021E1">
      <w:pPr>
        <w:pStyle w:val="PersonaleGaramond"/>
        <w:keepLines w:val="0"/>
        <w:widowControl w:val="0"/>
        <w:suppressLineNumbers/>
        <w:suppressAutoHyphens/>
      </w:pPr>
      <w:r>
        <w:t>In effetti,</w:t>
      </w:r>
      <w:r w:rsidR="00903C0A">
        <w:t xml:space="preserve"> declinando i ben noti principi scanditi dalla Corte costituzionale</w:t>
      </w:r>
      <w:r w:rsidR="00957091">
        <w:t xml:space="preserve"> in tema di riparto di giurisdizione</w:t>
      </w:r>
      <w:r w:rsidR="00917DC8">
        <w:rPr>
          <w:rStyle w:val="Rimandonotaapidipagina"/>
        </w:rPr>
        <w:footnoteReference w:id="32"/>
      </w:r>
      <w:r w:rsidR="00903C0A">
        <w:t>,</w:t>
      </w:r>
      <w:r>
        <w:t xml:space="preserve"> è difficile negare che l’attività esecutiva di un provvedimento autoritativo non sia quanto meno mediatamente ricollegabile all’esercizio del pubblico potere.</w:t>
      </w:r>
    </w:p>
    <w:p w14:paraId="7AB9778F" w14:textId="2C55114D" w:rsidR="00F14A97" w:rsidRDefault="00B95414" w:rsidP="004021E1">
      <w:pPr>
        <w:pStyle w:val="Titolo2Garamond"/>
        <w:keepNext w:val="0"/>
        <w:widowControl w:val="0"/>
        <w:suppressLineNumbers/>
        <w:suppressAutoHyphens/>
      </w:pPr>
      <w:bookmarkStart w:id="17" w:name="_Toc196751390"/>
      <w:r>
        <w:t>4</w:t>
      </w:r>
      <w:r w:rsidR="00F14A97">
        <w:t>.</w:t>
      </w:r>
      <w:r w:rsidR="00FF5AEA">
        <w:t>4</w:t>
      </w:r>
      <w:r w:rsidR="00F14A97">
        <w:t>.</w:t>
      </w:r>
      <w:r w:rsidR="00FF5AEA">
        <w:t xml:space="preserve"> (segue)</w:t>
      </w:r>
      <w:r w:rsidR="00F14A97">
        <w:t xml:space="preserve"> </w:t>
      </w:r>
      <w:r w:rsidR="00FF5AEA">
        <w:t>L’individuazione dei</w:t>
      </w:r>
      <w:r w:rsidR="00F14A97">
        <w:t xml:space="preserve"> rimedi esperibili </w:t>
      </w:r>
      <w:r w:rsidR="006610DB">
        <w:t>innanzi al G.A.</w:t>
      </w:r>
      <w:bookmarkEnd w:id="17"/>
    </w:p>
    <w:p w14:paraId="7D494432" w14:textId="6F71D273" w:rsidR="00B856A5" w:rsidRDefault="00B856A5" w:rsidP="004021E1">
      <w:pPr>
        <w:pStyle w:val="PersonaleGaramond"/>
        <w:keepLines w:val="0"/>
        <w:widowControl w:val="0"/>
        <w:suppressLineNumbers/>
        <w:suppressAutoHyphens/>
      </w:pPr>
      <w:r>
        <w:t>Altr</w:t>
      </w:r>
      <w:r w:rsidR="00844FFB">
        <w:t>e</w:t>
      </w:r>
      <w:r>
        <w:t xml:space="preserve"> difficoltà </w:t>
      </w:r>
      <w:r w:rsidR="00A74FC1">
        <w:t>sorgono nell’individuare il mezzo più corretto</w:t>
      </w:r>
      <w:r>
        <w:t xml:space="preserve"> </w:t>
      </w:r>
      <w:r w:rsidR="00A74FC1">
        <w:t>per veicolare nel processo amministrativo siffatta tutela</w:t>
      </w:r>
      <w:r>
        <w:t xml:space="preserve">. </w:t>
      </w:r>
    </w:p>
    <w:p w14:paraId="14B88DEF" w14:textId="4A5C45F3" w:rsidR="00B856A5" w:rsidRDefault="00B856A5" w:rsidP="004021E1">
      <w:pPr>
        <w:pStyle w:val="PersonaleGaramond"/>
        <w:keepLines w:val="0"/>
        <w:widowControl w:val="0"/>
        <w:suppressLineNumbers/>
        <w:suppressAutoHyphens/>
      </w:pPr>
      <w:r>
        <w:t>Nel</w:t>
      </w:r>
      <w:r w:rsidR="00D76DB7">
        <w:t xml:space="preserve"> frequente</w:t>
      </w:r>
      <w:r>
        <w:t xml:space="preserve"> caso di omessa demolizione</w:t>
      </w:r>
      <w:r w:rsidR="00BD1195">
        <w:t xml:space="preserve"> da parte dell’ente locale</w:t>
      </w:r>
      <w:r w:rsidR="00D76DB7">
        <w:t xml:space="preserve"> (</w:t>
      </w:r>
      <w:r w:rsidR="001F66D9">
        <w:t xml:space="preserve">quando </w:t>
      </w:r>
      <w:r w:rsidR="00D76DB7">
        <w:t xml:space="preserve">è stato emanato il </w:t>
      </w:r>
      <w:r w:rsidR="00D76DB7">
        <w:lastRenderedPageBreak/>
        <w:t>provvedimento di demolizione, ma la pubblica amministrazione non vi dà esecuzione)</w:t>
      </w:r>
      <w:r>
        <w:t>, è</w:t>
      </w:r>
      <w:r w:rsidR="00F14A97">
        <w:t xml:space="preserve"> </w:t>
      </w:r>
      <w:r w:rsidR="00C778CA">
        <w:t>nella pratica riscontrabile il ricorso a</w:t>
      </w:r>
      <w:r>
        <w:t xml:space="preserve">l rito </w:t>
      </w:r>
      <w:r w:rsidR="00921C34">
        <w:t xml:space="preserve">avverso il </w:t>
      </w:r>
      <w:r>
        <w:t>silenzio</w:t>
      </w:r>
      <w:r w:rsidR="004C7CFD">
        <w:t xml:space="preserve"> (art</w:t>
      </w:r>
      <w:r w:rsidR="001D3BAD">
        <w:t>t</w:t>
      </w:r>
      <w:r w:rsidR="004C7CFD">
        <w:t>.</w:t>
      </w:r>
      <w:r w:rsidR="001D3BAD">
        <w:t xml:space="preserve"> 31 e</w:t>
      </w:r>
      <w:r w:rsidR="004C7CFD">
        <w:t xml:space="preserve"> 11</w:t>
      </w:r>
      <w:r w:rsidR="001D3BAD">
        <w:t xml:space="preserve">7 </w:t>
      </w:r>
      <w:r w:rsidR="004C7CFD">
        <w:t>c.p.a.)</w:t>
      </w:r>
      <w:r>
        <w:t xml:space="preserve">. </w:t>
      </w:r>
      <w:r w:rsidR="008009A6">
        <w:t>Tuttavia,</w:t>
      </w:r>
      <w:r>
        <w:t xml:space="preserve"> </w:t>
      </w:r>
      <w:r w:rsidR="00B36350">
        <w:t xml:space="preserve">è controverso </w:t>
      </w:r>
      <w:r>
        <w:t xml:space="preserve">che </w:t>
      </w:r>
      <w:r w:rsidR="00B36350">
        <w:t>tale</w:t>
      </w:r>
      <w:r>
        <w:t xml:space="preserve"> rito possa essere utilizzato per </w:t>
      </w:r>
      <w:r w:rsidR="00B36350">
        <w:t xml:space="preserve">l’esecuzione di </w:t>
      </w:r>
      <w:r>
        <w:t>attività materiali</w:t>
      </w:r>
      <w:r w:rsidR="0043075D">
        <w:t>. Nella giurisprudenza amministrativa, sono rappresentanti tanto l’orientamento favorevole</w:t>
      </w:r>
      <w:r w:rsidR="0043075D">
        <w:rPr>
          <w:rStyle w:val="Rimandonotaapidipagina"/>
        </w:rPr>
        <w:footnoteReference w:id="33"/>
      </w:r>
      <w:r w:rsidR="0043075D">
        <w:t xml:space="preserve"> quanto quello sfavorevole</w:t>
      </w:r>
      <w:r w:rsidR="0043075D">
        <w:rPr>
          <w:rStyle w:val="Rimandonotaapidipagina"/>
        </w:rPr>
        <w:footnoteReference w:id="34"/>
      </w:r>
      <w:r w:rsidR="00DF2C1C">
        <w:t xml:space="preserve">. </w:t>
      </w:r>
    </w:p>
    <w:p w14:paraId="0B54B43D" w14:textId="7E54E132" w:rsidR="00DF2C1C" w:rsidRDefault="00DF2C1C" w:rsidP="004021E1">
      <w:pPr>
        <w:pStyle w:val="PersonaleGaramond"/>
        <w:keepLines w:val="0"/>
        <w:widowControl w:val="0"/>
        <w:suppressLineNumbers/>
        <w:suppressAutoHyphens/>
      </w:pPr>
      <w:r>
        <w:t xml:space="preserve">Aderendo all’orientamento favorevole, il </w:t>
      </w:r>
      <w:r w:rsidR="00167E58">
        <w:t>G</w:t>
      </w:r>
      <w:r>
        <w:t>iudice amministrativo, trovandosi in una situazione non dissimile da quella del giudice penale</w:t>
      </w:r>
      <w:r w:rsidR="00B36350">
        <w:t>,</w:t>
      </w:r>
      <w:r>
        <w:t xml:space="preserve"> dovrà tener conto della proporzionalità nel senso </w:t>
      </w:r>
      <w:r w:rsidR="005A5B8D">
        <w:t>sopra descritto</w:t>
      </w:r>
      <w:r w:rsidR="002D51B6">
        <w:t>.</w:t>
      </w:r>
      <w:r w:rsidR="00846E9C">
        <w:t xml:space="preserve"> </w:t>
      </w:r>
      <w:r w:rsidR="002D51B6">
        <w:t>C</w:t>
      </w:r>
      <w:r w:rsidR="00846E9C">
        <w:t>onseguentemente</w:t>
      </w:r>
      <w:r w:rsidR="008D4285">
        <w:t>,</w:t>
      </w:r>
      <w:r w:rsidR="00846E9C">
        <w:t xml:space="preserve"> il </w:t>
      </w:r>
      <w:r w:rsidR="00167E58">
        <w:t>G.A.</w:t>
      </w:r>
      <w:r w:rsidR="00846E9C">
        <w:t xml:space="preserve"> dovrà</w:t>
      </w:r>
      <w:r w:rsidR="005000F5">
        <w:t>:</w:t>
      </w:r>
      <w:r w:rsidR="00846E9C">
        <w:t xml:space="preserve"> ordinare</w:t>
      </w:r>
      <w:r>
        <w:t xml:space="preserve"> al Comune di procedere tenendo conto degli elementi eventualmente allegati</w:t>
      </w:r>
      <w:r w:rsidR="00846E9C">
        <w:t xml:space="preserve"> dalla parte in ordine alla propria situazione abitativa e personale</w:t>
      </w:r>
      <w:r w:rsidR="005000F5">
        <w:t>;</w:t>
      </w:r>
      <w:r>
        <w:t xml:space="preserve"> </w:t>
      </w:r>
      <w:r w:rsidR="008D4285">
        <w:t xml:space="preserve">fornire </w:t>
      </w:r>
      <w:r>
        <w:t xml:space="preserve">al commissario </w:t>
      </w:r>
      <w:r w:rsidRPr="00547B4B">
        <w:rPr>
          <w:i/>
          <w:iCs/>
        </w:rPr>
        <w:t>ad acta</w:t>
      </w:r>
      <w:r w:rsidR="008D4285">
        <w:t xml:space="preserve">, </w:t>
      </w:r>
      <w:r w:rsidR="00547B4B">
        <w:t xml:space="preserve">se </w:t>
      </w:r>
      <w:r w:rsidR="008D4285">
        <w:t>nominat</w:t>
      </w:r>
      <w:r w:rsidR="001D3BAD">
        <w:t>o</w:t>
      </w:r>
      <w:r w:rsidR="008D4285">
        <w:t>,</w:t>
      </w:r>
      <w:r>
        <w:t xml:space="preserve"> istruzioni in tal senso</w:t>
      </w:r>
      <w:r w:rsidR="00C1677D">
        <w:t xml:space="preserve"> nel caso di esecuzione ai sensi dell’art. 117 co. 3</w:t>
      </w:r>
      <w:r w:rsidR="008D4285">
        <w:t xml:space="preserve"> c.p.a.</w:t>
      </w:r>
    </w:p>
    <w:p w14:paraId="0B805557" w14:textId="56BBFB0D" w:rsidR="00C1677D" w:rsidRDefault="00C1677D" w:rsidP="004021E1">
      <w:pPr>
        <w:pStyle w:val="PersonaleGaramond"/>
        <w:keepLines w:val="0"/>
        <w:widowControl w:val="0"/>
        <w:suppressLineNumbers/>
        <w:suppressAutoHyphens/>
      </w:pPr>
      <w:r>
        <w:t>Meno</w:t>
      </w:r>
      <w:r w:rsidR="00B402CE">
        <w:t xml:space="preserve"> (o per nulla)</w:t>
      </w:r>
      <w:r>
        <w:t xml:space="preserve"> sperimentati sono</w:t>
      </w:r>
      <w:r w:rsidR="008D4285">
        <w:t xml:space="preserve"> i</w:t>
      </w:r>
      <w:r>
        <w:t xml:space="preserve"> </w:t>
      </w:r>
      <w:r w:rsidR="00B402CE">
        <w:t>processi</w:t>
      </w:r>
      <w:r>
        <w:t xml:space="preserve"> in cui ci si </w:t>
      </w:r>
      <w:r w:rsidR="00103BAD">
        <w:t>trova innanzi all’</w:t>
      </w:r>
      <w:r>
        <w:t>oppo</w:t>
      </w:r>
      <w:r w:rsidR="00103BAD">
        <w:t>sizione</w:t>
      </w:r>
      <w:r>
        <w:t xml:space="preserve"> all</w:t>
      </w:r>
      <w:r w:rsidR="0056298D">
        <w:t>’</w:t>
      </w:r>
      <w:r w:rsidR="00027A50">
        <w:t>esecuzione</w:t>
      </w:r>
      <w:r>
        <w:t xml:space="preserve"> materiale </w:t>
      </w:r>
      <w:r w:rsidR="00027A50">
        <w:t xml:space="preserve">del provvedimento di </w:t>
      </w:r>
      <w:r>
        <w:t xml:space="preserve">demolizione. </w:t>
      </w:r>
    </w:p>
    <w:p w14:paraId="67D1BC16" w14:textId="1FAFF262" w:rsidR="00C1677D" w:rsidRDefault="00C1677D" w:rsidP="004021E1">
      <w:pPr>
        <w:pStyle w:val="PersonaleGaramond"/>
        <w:keepLines w:val="0"/>
        <w:widowControl w:val="0"/>
        <w:suppressLineNumbers/>
        <w:suppressAutoHyphens/>
      </w:pPr>
      <w:r>
        <w:t xml:space="preserve">Sono </w:t>
      </w:r>
      <w:r w:rsidR="006610DB">
        <w:t>prospettabili diverse ipotesi</w:t>
      </w:r>
      <w:r w:rsidR="004A2318">
        <w:t>.</w:t>
      </w:r>
    </w:p>
    <w:p w14:paraId="4397BAC3" w14:textId="1D3B99F2" w:rsidR="00C1677D" w:rsidRDefault="004A2318" w:rsidP="004021E1">
      <w:pPr>
        <w:pStyle w:val="PersonaleGaramond"/>
        <w:keepLines w:val="0"/>
        <w:widowControl w:val="0"/>
        <w:suppressLineNumbers/>
        <w:suppressAutoHyphens/>
      </w:pPr>
      <w:r>
        <w:t xml:space="preserve">In primo luogo, </w:t>
      </w:r>
      <w:r w:rsidR="00B402CE">
        <w:t xml:space="preserve">allorché il privato richieda </w:t>
      </w:r>
      <w:r w:rsidR="00C1677D">
        <w:t>all’amministrazione di sospendere la materiale demolizione in ragione delle proprie esigenze abitative</w:t>
      </w:r>
      <w:r w:rsidR="00D441AD">
        <w:t>,</w:t>
      </w:r>
      <w:r w:rsidR="00C1677D">
        <w:t xml:space="preserve"> l’amministrazione </w:t>
      </w:r>
      <w:r w:rsidR="00D441AD">
        <w:t xml:space="preserve">potrebbe emanare </w:t>
      </w:r>
      <w:r w:rsidR="00C1677D">
        <w:t>un atto con cui respinge l’istanza; in tal caso, è ipotizzabile</w:t>
      </w:r>
      <w:r w:rsidR="00FE4ED7">
        <w:t xml:space="preserve"> che il privato sia legittimato a proporre</w:t>
      </w:r>
      <w:r w:rsidR="00C1677D">
        <w:t xml:space="preserve"> un ricorso per l’annullamento di tale atto</w:t>
      </w:r>
      <w:r w:rsidR="00FE4ED7">
        <w:t>, sempre che, e la conclusione non può ritenersi scontata,</w:t>
      </w:r>
      <w:r w:rsidR="00C1677D">
        <w:t xml:space="preserve"> gli si riconosc</w:t>
      </w:r>
      <w:r w:rsidR="00FC4E92">
        <w:t>a</w:t>
      </w:r>
      <w:r w:rsidR="00C1677D">
        <w:t xml:space="preserve"> un valore, appunto, provvedimentale.</w:t>
      </w:r>
    </w:p>
    <w:p w14:paraId="6C77125F" w14:textId="5CA947E3" w:rsidR="00C1677D" w:rsidRDefault="00BF2BC3" w:rsidP="004021E1">
      <w:pPr>
        <w:pStyle w:val="PersonaleGaramond"/>
        <w:keepLines w:val="0"/>
        <w:widowControl w:val="0"/>
        <w:suppressLineNumbers/>
        <w:suppressAutoHyphens/>
      </w:pPr>
      <w:r>
        <w:t>In secondo luogo, i</w:t>
      </w:r>
      <w:r w:rsidR="00C1677D">
        <w:t>n mancanza di un atto</w:t>
      </w:r>
      <w:r>
        <w:t xml:space="preserve"> che neghi la rilevanza delle esigenze abitative</w:t>
      </w:r>
      <w:r w:rsidR="00C1677D">
        <w:t>, è ipotizzabile</w:t>
      </w:r>
      <w:r w:rsidR="00C748DC">
        <w:t xml:space="preserve"> che il privato proponga</w:t>
      </w:r>
      <w:r w:rsidR="00C1677D">
        <w:t xml:space="preserve"> un’azione di accertamento delle circostanze ostative alla demolizione. È noto che l’azione di accertamento, al di là delle ipotesi codificate (nullità, obbligo di provvedere, accertamento a fini risarcitori, cessata materia</w:t>
      </w:r>
      <w:r w:rsidR="00A31822">
        <w:t xml:space="preserve"> del contendere</w:t>
      </w:r>
      <w:r w:rsidR="00C1677D">
        <w:t xml:space="preserve"> ecc.) è comunemente ammessa dalla giurisprudenza amministrativa.</w:t>
      </w:r>
    </w:p>
    <w:p w14:paraId="19413F34" w14:textId="1582858D" w:rsidR="00C1677D" w:rsidRDefault="00C748DC" w:rsidP="004021E1">
      <w:pPr>
        <w:pStyle w:val="PersonaleGaramond"/>
        <w:keepLines w:val="0"/>
        <w:widowControl w:val="0"/>
        <w:suppressLineNumbers/>
        <w:suppressAutoHyphens/>
      </w:pPr>
      <w:r>
        <w:t>In terzo luogo, i</w:t>
      </w:r>
      <w:r w:rsidR="00C1677D">
        <w:t>n modo</w:t>
      </w:r>
      <w:r>
        <w:t xml:space="preserve"> forse</w:t>
      </w:r>
      <w:r w:rsidR="00C1677D">
        <w:t xml:space="preserve"> più </w:t>
      </w:r>
      <w:r w:rsidR="00991E91">
        <w:t>proprio</w:t>
      </w:r>
      <w:r w:rsidR="00C1677D">
        <w:t xml:space="preserve">, è </w:t>
      </w:r>
      <w:r w:rsidR="007646A1">
        <w:t>ipotizzabile l’esperimento di un’azione inibitoria</w:t>
      </w:r>
      <w:r w:rsidR="00991E91">
        <w:t xml:space="preserve">, rimedio di elezione per </w:t>
      </w:r>
      <w:r w:rsidR="0013482C">
        <w:t>impedire la realizzazione di</w:t>
      </w:r>
      <w:r w:rsidR="00991E91">
        <w:t xml:space="preserve"> un’attività</w:t>
      </w:r>
      <w:r w:rsidR="00941332">
        <w:t>. Si tratta di un rimedio</w:t>
      </w:r>
      <w:r w:rsidR="00202307">
        <w:t xml:space="preserve"> che, sebbene poco sperimentato, è</w:t>
      </w:r>
      <w:r w:rsidR="00941332">
        <w:t xml:space="preserve"> teoricamente ammissibile nel processo amministrativo</w:t>
      </w:r>
      <w:r w:rsidR="00202307">
        <w:t xml:space="preserve"> in </w:t>
      </w:r>
      <w:r w:rsidR="00E8515A">
        <w:t>virtù</w:t>
      </w:r>
      <w:r w:rsidR="00202307">
        <w:t xml:space="preserve"> del principio dell’atipicità delle azioni</w:t>
      </w:r>
      <w:r w:rsidR="007646A1">
        <w:rPr>
          <w:rStyle w:val="Rimandonotaapidipagina"/>
        </w:rPr>
        <w:footnoteReference w:id="35"/>
      </w:r>
      <w:r w:rsidR="007646A1">
        <w:t>.</w:t>
      </w:r>
    </w:p>
    <w:p w14:paraId="015529F5" w14:textId="2CB5813A" w:rsidR="003A129E" w:rsidRDefault="003A129E" w:rsidP="004021E1">
      <w:pPr>
        <w:pStyle w:val="PersonaleGaramond"/>
        <w:keepLines w:val="0"/>
        <w:widowControl w:val="0"/>
        <w:suppressLineNumbers/>
        <w:suppressAutoHyphens/>
      </w:pPr>
      <w:r>
        <w:lastRenderedPageBreak/>
        <w:t>Evidentemente, per tutte queste ipotesi, sarebbe praticabile la tutela cautelare.</w:t>
      </w:r>
    </w:p>
    <w:p w14:paraId="799B8985" w14:textId="29486837" w:rsidR="007646A1" w:rsidRDefault="007646A1" w:rsidP="004021E1">
      <w:pPr>
        <w:pStyle w:val="PersonaleGaramond"/>
        <w:keepLines w:val="0"/>
        <w:widowControl w:val="0"/>
        <w:suppressLineNumbers/>
        <w:suppressAutoHyphens/>
      </w:pPr>
      <w:r>
        <w:t>Entrambe le azioni</w:t>
      </w:r>
      <w:r w:rsidR="00726265">
        <w:t xml:space="preserve"> da ultimo prospettate (di accertamento e inibitoria)</w:t>
      </w:r>
      <w:r>
        <w:t xml:space="preserve">, peraltro, potrebbero collidere con l’art. 34 co. 2 del c.p.a. che limita grandemente lo spazio applicativo delle azioni </w:t>
      </w:r>
      <w:r w:rsidR="009D020D">
        <w:t>diverse da quella di annullamento</w:t>
      </w:r>
      <w:r>
        <w:t xml:space="preserve"> nel processo amministrativo stabilendo che </w:t>
      </w:r>
      <w:r w:rsidR="00726265">
        <w:t>«</w:t>
      </w:r>
      <w:r w:rsidRPr="00726265">
        <w:rPr>
          <w:i/>
          <w:iCs/>
        </w:rPr>
        <w:t>in nessun caso il giudice può pronunciare con riferimento a poteri amministrativi non ancora esercitati. Salvo quanto previsto dal comma 3 e dall’articolo 30, comma 3, il giudice non può conoscere della legittimità degli atti che il ricorrente avrebbe dovuto impugnare con l’azione di annullamento di cui all’articolo 29</w:t>
      </w:r>
      <w:r w:rsidR="00726265">
        <w:t>»</w:t>
      </w:r>
      <w:r w:rsidRPr="007646A1">
        <w:t>.</w:t>
      </w:r>
    </w:p>
    <w:p w14:paraId="5BDFE540" w14:textId="220472F9" w:rsidR="00435391" w:rsidRDefault="00B95414" w:rsidP="004021E1">
      <w:pPr>
        <w:pStyle w:val="Titolo2Garamond"/>
        <w:keepNext w:val="0"/>
        <w:widowControl w:val="0"/>
        <w:suppressLineNumbers/>
        <w:suppressAutoHyphens/>
      </w:pPr>
      <w:bookmarkStart w:id="18" w:name="_Toc196751391"/>
      <w:r>
        <w:t>4</w:t>
      </w:r>
      <w:r w:rsidR="00435391">
        <w:t>.</w:t>
      </w:r>
      <w:r w:rsidR="00202307">
        <w:t>5</w:t>
      </w:r>
      <w:r w:rsidR="00435391">
        <w:t xml:space="preserve">. </w:t>
      </w:r>
      <w:r w:rsidR="00963D13">
        <w:t>L’atipicità</w:t>
      </w:r>
      <w:r w:rsidR="009E4BAF">
        <w:t xml:space="preserve"> della ‘proporzionalità’ nella fase esecutiva</w:t>
      </w:r>
      <w:bookmarkEnd w:id="18"/>
    </w:p>
    <w:p w14:paraId="17988F70" w14:textId="39B742C6" w:rsidR="00F64830" w:rsidRDefault="00FC5B83" w:rsidP="004021E1">
      <w:pPr>
        <w:pStyle w:val="PersonaleGaramond"/>
        <w:keepLines w:val="0"/>
        <w:widowControl w:val="0"/>
        <w:suppressLineNumbers/>
        <w:suppressAutoHyphens/>
      </w:pPr>
      <w:r>
        <w:t xml:space="preserve">La soluzione della rilevanza ‘esecutiva’ della proporzionalità in materia di sanzioni edilizie </w:t>
      </w:r>
      <w:r w:rsidR="008C3F46">
        <w:t xml:space="preserve">sembra più utile </w:t>
      </w:r>
      <w:r>
        <w:t>nell’ambito della giurisdizione penale</w:t>
      </w:r>
      <w:r w:rsidR="008C3F46">
        <w:t xml:space="preserve"> </w:t>
      </w:r>
      <w:r w:rsidR="00636E88">
        <w:t>che</w:t>
      </w:r>
      <w:r w:rsidR="008C3F46">
        <w:t xml:space="preserve"> </w:t>
      </w:r>
      <w:r w:rsidR="003C6803">
        <w:t>in quella amministrativa.</w:t>
      </w:r>
      <w:r>
        <w:t xml:space="preserve"> </w:t>
      </w:r>
    </w:p>
    <w:p w14:paraId="6499FE58" w14:textId="626AE8CA" w:rsidR="00FC5B83" w:rsidRDefault="007D216E" w:rsidP="004021E1">
      <w:pPr>
        <w:pStyle w:val="PersonaleGaramond"/>
        <w:keepLines w:val="0"/>
        <w:widowControl w:val="0"/>
        <w:suppressLineNumbers/>
        <w:suppressAutoHyphens/>
      </w:pPr>
      <w:r>
        <w:t xml:space="preserve">Invero, </w:t>
      </w:r>
      <w:r w:rsidR="000A087B">
        <w:t xml:space="preserve">il giudice penale esegue un ‘proprio’ provvedimento amministrativo mentre </w:t>
      </w:r>
      <w:r>
        <w:t>i</w:t>
      </w:r>
      <w:r w:rsidR="00FC5B83">
        <w:t xml:space="preserve">l </w:t>
      </w:r>
      <w:r w:rsidR="000A087B">
        <w:t>g</w:t>
      </w:r>
      <w:r w:rsidR="00FC5B83">
        <w:t>iudice amministrativo</w:t>
      </w:r>
      <w:r w:rsidR="00C41215">
        <w:t xml:space="preserve">, a parte ciò che avviene nel giudizio </w:t>
      </w:r>
      <w:r w:rsidR="00557E32">
        <w:t>avverso l’inerzia della pubblica amministrazione</w:t>
      </w:r>
      <w:r w:rsidR="00C41215">
        <w:t xml:space="preserve">, non esegue </w:t>
      </w:r>
      <w:r w:rsidR="00AF61F4">
        <w:t xml:space="preserve">direttamente </w:t>
      </w:r>
      <w:r w:rsidR="00C41215">
        <w:t xml:space="preserve">il provvedimento </w:t>
      </w:r>
      <w:r w:rsidR="00B54040">
        <w:t>di demolizione</w:t>
      </w:r>
      <w:r w:rsidR="000A087B">
        <w:t xml:space="preserve"> che è adottato</w:t>
      </w:r>
      <w:r w:rsidR="00A93E57">
        <w:t xml:space="preserve"> (ed eseguito)</w:t>
      </w:r>
      <w:r w:rsidR="000A087B">
        <w:t xml:space="preserve"> dalla pubblica amministrazione. </w:t>
      </w:r>
      <w:r w:rsidR="008C79B5">
        <w:t>Anzi</w:t>
      </w:r>
      <w:r w:rsidR="00886820">
        <w:t xml:space="preserve">, </w:t>
      </w:r>
      <w:r w:rsidR="008C79B5">
        <w:t>nell’incertezza del</w:t>
      </w:r>
      <w:r w:rsidR="00886820">
        <w:t>le ipotesi</w:t>
      </w:r>
      <w:r w:rsidR="008C79B5">
        <w:t xml:space="preserve"> ricostruttive</w:t>
      </w:r>
      <w:r w:rsidR="00886820">
        <w:t xml:space="preserve"> enunciate al paragrafo precedente, </w:t>
      </w:r>
      <w:r w:rsidR="00B54040">
        <w:t>è lecito dubitare che</w:t>
      </w:r>
      <w:r w:rsidR="00886820">
        <w:t xml:space="preserve"> </w:t>
      </w:r>
      <w:r w:rsidR="00A646D5">
        <w:t xml:space="preserve">vi siano strade tecnicamente percorribili per introdurre contestazioni </w:t>
      </w:r>
      <w:r w:rsidR="00613A3D">
        <w:t xml:space="preserve">innanzi al giudice amministrativo che riguardino </w:t>
      </w:r>
      <w:r w:rsidR="00AF61F4">
        <w:t>unicamente la</w:t>
      </w:r>
      <w:r w:rsidR="00613A3D">
        <w:t xml:space="preserve"> fase esecutiva.</w:t>
      </w:r>
    </w:p>
    <w:p w14:paraId="2B8BD39D" w14:textId="146403BE" w:rsidR="00FC5B83" w:rsidRDefault="00FC5B83" w:rsidP="004021E1">
      <w:pPr>
        <w:pStyle w:val="PersonaleGaramond"/>
        <w:keepLines w:val="0"/>
        <w:widowControl w:val="0"/>
        <w:suppressLineNumbers/>
        <w:suppressAutoHyphens/>
      </w:pPr>
      <w:r>
        <w:t xml:space="preserve">È evidente che </w:t>
      </w:r>
      <w:r w:rsidR="00A26015">
        <w:t>la soluzione della rilevanza solo esecutiva del principio di proporzionalità</w:t>
      </w:r>
      <w:r>
        <w:t xml:space="preserve"> rispond</w:t>
      </w:r>
      <w:r w:rsidR="00A26015">
        <w:t>a</w:t>
      </w:r>
      <w:r>
        <w:t xml:space="preserve"> a una finalità, a suo modo commendevole</w:t>
      </w:r>
      <w:r w:rsidR="007F36B1">
        <w:t>,</w:t>
      </w:r>
      <w:r>
        <w:t xml:space="preserve"> di non impedire la risposta provvedimentale ‘sanzionatoria’ (meglio ripristinatoria) rispetto agli illeciti edilizi</w:t>
      </w:r>
      <w:r w:rsidR="00D343D8">
        <w:t>; tali provvedimenti</w:t>
      </w:r>
      <w:r>
        <w:t>, al più,</w:t>
      </w:r>
      <w:r w:rsidR="00E92CC4">
        <w:t xml:space="preserve"> </w:t>
      </w:r>
      <w:r w:rsidR="00832AAA">
        <w:t xml:space="preserve">come si è detto </w:t>
      </w:r>
      <w:r w:rsidR="00E92CC4">
        <w:t xml:space="preserve">poc’anzi (v. </w:t>
      </w:r>
      <w:r w:rsidR="00E92CC4" w:rsidRPr="00D87EDD">
        <w:rPr>
          <w:i/>
          <w:iCs/>
        </w:rPr>
        <w:t>supra</w:t>
      </w:r>
      <w:r w:rsidR="00E92CC4">
        <w:t xml:space="preserve"> par. </w:t>
      </w:r>
      <w:r w:rsidR="00D343D8">
        <w:t>4.2</w:t>
      </w:r>
      <w:r w:rsidR="00E92CC4">
        <w:t>),</w:t>
      </w:r>
      <w:r>
        <w:t xml:space="preserve"> potranno essere sospesi nella </w:t>
      </w:r>
      <w:r w:rsidR="00B865F4">
        <w:t>loro</w:t>
      </w:r>
      <w:r>
        <w:t xml:space="preserve"> efficacia fino </w:t>
      </w:r>
      <w:r w:rsidR="003B1C5B">
        <w:t>a quando non</w:t>
      </w:r>
      <w:r>
        <w:t xml:space="preserve"> si realizzano le condizioni che </w:t>
      </w:r>
      <w:r w:rsidR="00652A24">
        <w:t>assicur</w:t>
      </w:r>
      <w:r w:rsidR="00357B28">
        <w:t>i</w:t>
      </w:r>
      <w:r w:rsidR="00652A24">
        <w:t>no</w:t>
      </w:r>
      <w:r>
        <w:t xml:space="preserve"> il rispetto della proporzionalità </w:t>
      </w:r>
      <w:r w:rsidR="00652A24">
        <w:t xml:space="preserve">secondo i parametri indicati </w:t>
      </w:r>
      <w:r w:rsidR="007F36B1">
        <w:t>dalla C</w:t>
      </w:r>
      <w:r w:rsidR="00652A24">
        <w:t xml:space="preserve">orte </w:t>
      </w:r>
      <w:r w:rsidR="007F36B1">
        <w:t>EDU</w:t>
      </w:r>
      <w:r w:rsidR="00AD60F7">
        <w:t xml:space="preserve"> (</w:t>
      </w:r>
      <w:r w:rsidR="00F1733A">
        <w:t>ad esempio</w:t>
      </w:r>
      <w:r w:rsidR="00AD60F7">
        <w:t>, fino a che non trascorra un tempo congruo al fine di reperire un altro alloggio)</w:t>
      </w:r>
      <w:r w:rsidR="007F36B1">
        <w:t>.</w:t>
      </w:r>
    </w:p>
    <w:p w14:paraId="35009911" w14:textId="77777777" w:rsidR="003755A4" w:rsidRDefault="00E93340" w:rsidP="004021E1">
      <w:pPr>
        <w:pStyle w:val="PersonaleGaramond"/>
        <w:keepLines w:val="0"/>
        <w:widowControl w:val="0"/>
        <w:suppressLineNumbers/>
        <w:suppressAutoHyphens/>
      </w:pPr>
      <w:r w:rsidRPr="00E93340">
        <w:t>A livello teorico, peraltro, il principio di proporzionalità, nel diritto amministrativo, presiede al bilanciamento tra interessi primari e secondari, afferendo alla discrezionalità amministrativa</w:t>
      </w:r>
      <w:r w:rsidR="006F161B">
        <w:t xml:space="preserve">. </w:t>
      </w:r>
      <w:r w:rsidR="0038399A">
        <w:t xml:space="preserve">Sarebbe, quindi, preferibile </w:t>
      </w:r>
      <w:r w:rsidR="00FC5B83">
        <w:t xml:space="preserve">che </w:t>
      </w:r>
      <w:r w:rsidR="0027140E">
        <w:t>l’applicazione del principio</w:t>
      </w:r>
      <w:r w:rsidR="0034671F">
        <w:t xml:space="preserve">, </w:t>
      </w:r>
      <w:r w:rsidR="0038399A">
        <w:t xml:space="preserve">declinato </w:t>
      </w:r>
      <w:r w:rsidR="0034671F">
        <w:t xml:space="preserve">alla luce della descritta giurisprudenza della CEDU, </w:t>
      </w:r>
      <w:r w:rsidR="0038399A">
        <w:t>trovasse</w:t>
      </w:r>
      <w:r w:rsidR="00FC5B83">
        <w:t xml:space="preserve"> spazio già nella fase di emanazione del provvedimento</w:t>
      </w:r>
      <w:r w:rsidR="003755A4">
        <w:t>.</w:t>
      </w:r>
    </w:p>
    <w:p w14:paraId="0076C001" w14:textId="4098719E" w:rsidR="00FC5B83" w:rsidRDefault="00FC5B83" w:rsidP="004021E1">
      <w:pPr>
        <w:pStyle w:val="PersonaleGaramond"/>
        <w:keepLines w:val="0"/>
        <w:widowControl w:val="0"/>
        <w:suppressLineNumbers/>
        <w:suppressAutoHyphens/>
      </w:pPr>
      <w:r>
        <w:t>Il provvedimento, in tal senso, dovrebbe prevedere uno spazio di discrezionalità nel senso indicato dalla C</w:t>
      </w:r>
      <w:r w:rsidR="00783AAF">
        <w:t xml:space="preserve">orte </w:t>
      </w:r>
      <w:r>
        <w:t>EDU</w:t>
      </w:r>
      <w:r w:rsidR="00110EA0">
        <w:t>:</w:t>
      </w:r>
      <w:r>
        <w:t xml:space="preserve"> già </w:t>
      </w:r>
      <w:r w:rsidR="00D61A05">
        <w:t xml:space="preserve">nel valutare i presupposti </w:t>
      </w:r>
      <w:r>
        <w:t xml:space="preserve">della sua emanazione </w:t>
      </w:r>
      <w:r w:rsidR="002D0E60">
        <w:t>andrebbe</w:t>
      </w:r>
      <w:r>
        <w:t xml:space="preserve"> considerato il diritto </w:t>
      </w:r>
      <w:r w:rsidR="003E610D">
        <w:t>al domicilio</w:t>
      </w:r>
      <w:r>
        <w:t xml:space="preserve"> di cui all’art. 8 CEDU</w:t>
      </w:r>
      <w:r w:rsidR="00E46CDD">
        <w:t xml:space="preserve"> </w:t>
      </w:r>
      <w:r w:rsidR="00D61A05">
        <w:t xml:space="preserve">di </w:t>
      </w:r>
      <w:r w:rsidR="00552EDF">
        <w:t>talché</w:t>
      </w:r>
      <w:r w:rsidR="00D61A05">
        <w:t xml:space="preserve"> </w:t>
      </w:r>
      <w:r w:rsidR="006D195B">
        <w:t xml:space="preserve">il provvedimento </w:t>
      </w:r>
      <w:r w:rsidR="00D61A05">
        <w:t xml:space="preserve">potrebbe essere emanato </w:t>
      </w:r>
      <w:r w:rsidR="002D0E60">
        <w:t>solo dopo che si siano realizzate condizioni tali da rispettare il principio di proporzionalità</w:t>
      </w:r>
      <w:r>
        <w:t xml:space="preserve">. </w:t>
      </w:r>
    </w:p>
    <w:p w14:paraId="79D2B720" w14:textId="75E08D3B" w:rsidR="00CD7BF6" w:rsidRDefault="00821CD8" w:rsidP="004021E1">
      <w:pPr>
        <w:pStyle w:val="PersonaleGaramond"/>
        <w:keepLines w:val="0"/>
        <w:widowControl w:val="0"/>
        <w:suppressLineNumbers/>
        <w:suppressAutoHyphens/>
      </w:pPr>
      <w:r w:rsidRPr="00821CD8">
        <w:t>Tuttavia, tale operazione non è consentita alla luce della normativa vigente, che impone provvedimenti demolitori rigidamente vincolati.</w:t>
      </w:r>
      <w:r w:rsidR="00FC5B83">
        <w:t xml:space="preserve"> </w:t>
      </w:r>
    </w:p>
    <w:p w14:paraId="31C12A00" w14:textId="7490B5D8" w:rsidR="0079336E" w:rsidRDefault="002513A9" w:rsidP="004021E1">
      <w:pPr>
        <w:pStyle w:val="PersonaleGaramond"/>
        <w:keepLines w:val="0"/>
        <w:widowControl w:val="0"/>
        <w:suppressLineNumbers/>
        <w:suppressAutoHyphens/>
      </w:pPr>
      <w:r>
        <w:t>In mancanza di modifiche legislative</w:t>
      </w:r>
      <w:r w:rsidR="00AB63A4">
        <w:t xml:space="preserve"> che implementino il principio nel modo descritto</w:t>
      </w:r>
      <w:r w:rsidR="000F0A0C">
        <w:t>, l</w:t>
      </w:r>
      <w:r w:rsidR="002D0E60">
        <w:t>a strada</w:t>
      </w:r>
      <w:r w:rsidR="00B343A6">
        <w:t xml:space="preserve"> </w:t>
      </w:r>
      <w:r w:rsidR="00B343A6" w:rsidRPr="00B343A6">
        <w:rPr>
          <w:i/>
        </w:rPr>
        <w:lastRenderedPageBreak/>
        <w:t>de iure condito</w:t>
      </w:r>
      <w:r w:rsidR="002D0E60">
        <w:t xml:space="preserve"> potrebbe, quindi, essere quella del rinvio alla Corte costituzionale che, com’è noto, può utilizzare la </w:t>
      </w:r>
      <w:r w:rsidR="004F4DAE">
        <w:t>C</w:t>
      </w:r>
      <w:r w:rsidR="002D0E60">
        <w:t xml:space="preserve">EDU come norma interposta per giudicare della costituzionalità della norma interna ai sensi dell’art. 117 Cost. </w:t>
      </w:r>
    </w:p>
    <w:p w14:paraId="769CE83A" w14:textId="73457090" w:rsidR="00EE0236" w:rsidRDefault="00B7750D" w:rsidP="004021E1">
      <w:pPr>
        <w:pStyle w:val="PersonaleGaramond"/>
        <w:keepLines w:val="0"/>
        <w:widowControl w:val="0"/>
        <w:suppressLineNumbers/>
        <w:suppressAutoHyphens/>
      </w:pPr>
      <w:r>
        <w:t>Peraltro, l’incostituzionalità – dell</w:t>
      </w:r>
      <w:r w:rsidR="00E53195">
        <w:t>e</w:t>
      </w:r>
      <w:r>
        <w:t xml:space="preserve"> norm</w:t>
      </w:r>
      <w:r w:rsidR="00E53195">
        <w:t>e</w:t>
      </w:r>
      <w:r>
        <w:t xml:space="preserve"> che impon</w:t>
      </w:r>
      <w:r w:rsidR="00E53195">
        <w:t>gono</w:t>
      </w:r>
      <w:r>
        <w:t xml:space="preserve"> la demolizione per taluni abusi edilizi senza poter considerare in alcun modo il diritto all’abitazione degli </w:t>
      </w:r>
      <w:r w:rsidR="00E53195">
        <w:t>occupanti dell’immobile medesimo -</w:t>
      </w:r>
      <w:r>
        <w:t xml:space="preserve"> potrebbe essere pronunciata</w:t>
      </w:r>
      <w:r w:rsidR="007E0A67">
        <w:t xml:space="preserve"> </w:t>
      </w:r>
      <w:r w:rsidR="00E53195">
        <w:t xml:space="preserve">a condizione che </w:t>
      </w:r>
      <w:r w:rsidR="00EE0236">
        <w:t>«</w:t>
      </w:r>
      <w:r w:rsidR="00EE0236" w:rsidRPr="005D031E">
        <w:t>nelle pronunce di quella Corte sia identificabile un “approdo giurisprudenziale stabile” (sentenza n. 120 del 2018) o un “diritto consolidato” (sentenze n. 49 del 2015 e, nello stesso senso, n. 80 del 2011)</w:t>
      </w:r>
      <w:r w:rsidR="00EE0236">
        <w:t>»</w:t>
      </w:r>
      <w:r w:rsidR="002A6A71">
        <w:t xml:space="preserve"> e sempre che,</w:t>
      </w:r>
      <w:r w:rsidR="00EE0236">
        <w:t xml:space="preserve"> alla luce della valutazione “</w:t>
      </w:r>
      <w:r w:rsidR="00EE0236" w:rsidRPr="00F26705">
        <w:t>sistemica</w:t>
      </w:r>
      <w:r w:rsidR="00EE0236">
        <w:t>” operata dalla Corte costituzionale la pretesa violazione del diritto fondamentale tutelato dalla Convenzione risulti giustificata nel bilanciamento con altri principi costituzionali, «</w:t>
      </w:r>
      <w:r w:rsidR="00EE0236" w:rsidRPr="00F26705">
        <w:t>bilanciamento in cui si sostanzia tra l'altro il «margine di apprezzamento» che compete allo Stato membro (sentenze n. 193 del 2016, n. 15 del 2012 e n. 317 del 2009)</w:t>
      </w:r>
      <w:r w:rsidR="00EE0236">
        <w:t>»</w:t>
      </w:r>
      <w:r w:rsidR="00EE0236">
        <w:rPr>
          <w:rStyle w:val="Rimandonotaapidipagina"/>
        </w:rPr>
        <w:footnoteReference w:id="36"/>
      </w:r>
      <w:r w:rsidR="00A0469E">
        <w:t xml:space="preserve">. </w:t>
      </w:r>
      <w:r w:rsidR="007E2CF1">
        <w:t>L’esito</w:t>
      </w:r>
      <w:r w:rsidR="00850D3D">
        <w:t xml:space="preserve"> della rimessione</w:t>
      </w:r>
      <w:r w:rsidR="007E2CF1">
        <w:t xml:space="preserve"> sarebbe tutt’altro che scontato.</w:t>
      </w:r>
    </w:p>
    <w:p w14:paraId="37A539C7" w14:textId="4A87615F" w:rsidR="00545E11" w:rsidRDefault="00B95414" w:rsidP="004021E1">
      <w:pPr>
        <w:pStyle w:val="Titolo1Garamond"/>
        <w:keepNext w:val="0"/>
        <w:widowControl w:val="0"/>
        <w:suppressLineNumbers/>
        <w:suppressAutoHyphens/>
      </w:pPr>
      <w:bookmarkStart w:id="19" w:name="_Toc196751392"/>
      <w:r>
        <w:t>5</w:t>
      </w:r>
      <w:r w:rsidR="00BE0D83">
        <w:t>. L’acquisizione al patrimonio comunale</w:t>
      </w:r>
      <w:r w:rsidR="00931FF8">
        <w:t>: natura</w:t>
      </w:r>
      <w:r w:rsidR="00850D3D">
        <w:t xml:space="preserve"> </w:t>
      </w:r>
      <w:r w:rsidR="00222D76">
        <w:t>dell’istituto</w:t>
      </w:r>
      <w:r w:rsidR="004021E1">
        <w:t xml:space="preserve"> e</w:t>
      </w:r>
      <w:r w:rsidR="00931FF8">
        <w:t xml:space="preserve"> applicazione dei principi CEDU</w:t>
      </w:r>
      <w:r w:rsidR="004021E1">
        <w:t xml:space="preserve"> (cenni)</w:t>
      </w:r>
      <w:bookmarkEnd w:id="19"/>
    </w:p>
    <w:p w14:paraId="78625A5F" w14:textId="5C644ED9" w:rsidR="00790677" w:rsidRPr="00790677" w:rsidRDefault="00B95414" w:rsidP="00790677">
      <w:pPr>
        <w:pStyle w:val="Titolo2Garamond"/>
      </w:pPr>
      <w:bookmarkStart w:id="20" w:name="_Toc196751393"/>
      <w:r>
        <w:t>5</w:t>
      </w:r>
      <w:r w:rsidR="00790677" w:rsidRPr="00790677">
        <w:t xml:space="preserve">.1. La natura </w:t>
      </w:r>
      <w:r w:rsidR="00790677">
        <w:t>dell’acquisizione</w:t>
      </w:r>
      <w:bookmarkEnd w:id="20"/>
    </w:p>
    <w:p w14:paraId="7E571025" w14:textId="677BAC32" w:rsidR="00545E11" w:rsidRDefault="00B24A96" w:rsidP="004021E1">
      <w:pPr>
        <w:pStyle w:val="PersonaleGaramond"/>
        <w:keepLines w:val="0"/>
        <w:widowControl w:val="0"/>
        <w:suppressLineNumbers/>
        <w:suppressAutoHyphens/>
      </w:pPr>
      <w:r>
        <w:t>Alcuni spunti relativi all’argomento trattato derivano dall’esame dell’</w:t>
      </w:r>
      <w:r w:rsidR="0027707C" w:rsidRPr="00811BAD">
        <w:t>art. 31</w:t>
      </w:r>
      <w:r w:rsidR="00FE52A2">
        <w:t>,</w:t>
      </w:r>
      <w:r w:rsidR="0027707C" w:rsidRPr="00811BAD">
        <w:t xml:space="preserve"> co. 3</w:t>
      </w:r>
      <w:r w:rsidR="00FE52A2">
        <w:t>,</w:t>
      </w:r>
      <w:r w:rsidR="00811BAD" w:rsidRPr="00811BAD">
        <w:t xml:space="preserve"> del D.P.R. n. 38</w:t>
      </w:r>
      <w:r w:rsidR="00811BAD">
        <w:t>0/2001</w:t>
      </w:r>
      <w:r>
        <w:t xml:space="preserve"> che</w:t>
      </w:r>
      <w:r w:rsidR="0027707C" w:rsidRPr="00811BAD">
        <w:t xml:space="preserve"> </w:t>
      </w:r>
      <w:r w:rsidR="0027707C" w:rsidRPr="0027707C">
        <w:t>prevede</w:t>
      </w:r>
      <w:r>
        <w:t xml:space="preserve"> </w:t>
      </w:r>
      <w:r w:rsidR="0027707C" w:rsidRPr="0027707C">
        <w:t>l</w:t>
      </w:r>
      <w:r w:rsidR="0027707C">
        <w:t xml:space="preserve">’acquisizione al patrimonio comunale </w:t>
      </w:r>
      <w:r w:rsidR="00EA213B">
        <w:t xml:space="preserve">del bene e dell’area di sedime in caso di </w:t>
      </w:r>
      <w:r w:rsidR="003571D5">
        <w:t>in</w:t>
      </w:r>
      <w:r w:rsidR="00EA213B">
        <w:t>ottemperanza</w:t>
      </w:r>
      <w:r w:rsidR="003571D5">
        <w:t xml:space="preserve"> (i.e. mancata rimessione in pristino)</w:t>
      </w:r>
      <w:r w:rsidR="00EA213B">
        <w:t xml:space="preserve"> </w:t>
      </w:r>
      <w:r w:rsidR="003571D5">
        <w:t xml:space="preserve">protratta oltre i </w:t>
      </w:r>
      <w:r w:rsidR="00EA213B">
        <w:t xml:space="preserve">novanta giorni dalla notifica dell’ordinanza di demolizione. </w:t>
      </w:r>
    </w:p>
    <w:p w14:paraId="2C56F8D0" w14:textId="6F770769" w:rsidR="00F24E9B" w:rsidRDefault="00783705" w:rsidP="004021E1">
      <w:pPr>
        <w:pStyle w:val="PersonaleGaramond"/>
        <w:keepLines w:val="0"/>
        <w:widowControl w:val="0"/>
        <w:suppressLineNumbers/>
        <w:tabs>
          <w:tab w:val="right" w:pos="9638"/>
        </w:tabs>
        <w:suppressAutoHyphens/>
      </w:pPr>
      <w:r>
        <w:t xml:space="preserve">Sulla natura della misura, </w:t>
      </w:r>
      <w:r w:rsidR="00631F2F">
        <w:t xml:space="preserve">va registrato l’orientamento secondo cui si tratterebbe </w:t>
      </w:r>
      <w:r w:rsidR="00C3232D">
        <w:t>di una misura ripristinatoria in quanto</w:t>
      </w:r>
      <w:r w:rsidR="00F16E69">
        <w:t xml:space="preserve"> mero</w:t>
      </w:r>
      <w:r w:rsidR="00456EC2">
        <w:t xml:space="preserve"> «</w:t>
      </w:r>
      <w:r w:rsidR="00456EC2" w:rsidRPr="00F26705">
        <w:t>strumento di riconduzione delle opere abusive a legalità</w:t>
      </w:r>
      <w:r w:rsidR="00456EC2" w:rsidRPr="00456EC2">
        <w:t>» che, comunque, «</w:t>
      </w:r>
      <w:r w:rsidR="00456EC2" w:rsidRPr="00F26705">
        <w:t>risponde ai criteri dell'idoneità, necessarietà e proporzionalità in senso stretto, legittimanti l'incidenza sul diritto di proprietà dell'autore delle opere abusive, il quale non ottemperi all'ordine ripristinatorio</w:t>
      </w:r>
      <w:r w:rsidR="00456EC2" w:rsidRPr="00456EC2">
        <w:t>»</w:t>
      </w:r>
      <w:r w:rsidR="00F16E69">
        <w:rPr>
          <w:rStyle w:val="Rimandonotaapidipagina"/>
        </w:rPr>
        <w:footnoteReference w:id="37"/>
      </w:r>
      <w:r w:rsidR="00F24E9B">
        <w:t xml:space="preserve">. </w:t>
      </w:r>
      <w:r w:rsidR="00B26074">
        <w:t>Tale orientamento esclude</w:t>
      </w:r>
      <w:r w:rsidR="00F24E9B">
        <w:t xml:space="preserve"> che</w:t>
      </w:r>
      <w:r w:rsidR="00F24E9B" w:rsidRPr="00F24E9B">
        <w:t xml:space="preserve"> l’acquisizione soggiaccia ai principi espressi</w:t>
      </w:r>
      <w:r w:rsidR="00B6611B">
        <w:t xml:space="preserve"> dalla CEDU</w:t>
      </w:r>
      <w:r w:rsidR="00F24E9B" w:rsidRPr="00F24E9B">
        <w:t xml:space="preserve"> con riferiment</w:t>
      </w:r>
      <w:r w:rsidR="00B6611B">
        <w:t>o</w:t>
      </w:r>
      <w:r w:rsidR="00F24E9B" w:rsidRPr="00F24E9B">
        <w:t xml:space="preserve"> alla confisca disposta ai sensi dell’art. 44 del </w:t>
      </w:r>
      <w:r w:rsidR="001909A8">
        <w:t xml:space="preserve">TUE </w:t>
      </w:r>
      <w:r w:rsidR="00F24E9B" w:rsidRPr="00F24E9B">
        <w:t>dal giudice penale</w:t>
      </w:r>
      <w:r w:rsidR="00C10813">
        <w:rPr>
          <w:rStyle w:val="Rimandonotaapidipagina"/>
        </w:rPr>
        <w:footnoteReference w:id="38"/>
      </w:r>
      <w:r w:rsidR="002029D9">
        <w:t>.</w:t>
      </w:r>
    </w:p>
    <w:p w14:paraId="2D39FCCC" w14:textId="2E638BA9" w:rsidR="007066E1" w:rsidRDefault="00231C55" w:rsidP="004021E1">
      <w:pPr>
        <w:pStyle w:val="PersonaleGaramond"/>
        <w:keepLines w:val="0"/>
        <w:widowControl w:val="0"/>
        <w:suppressLineNumbers/>
        <w:tabs>
          <w:tab w:val="right" w:pos="9638"/>
        </w:tabs>
        <w:suppressAutoHyphens/>
      </w:pPr>
      <w:r>
        <w:t>L’orientamento descritto appare, peraltro, recessivo essendosi consolidat</w:t>
      </w:r>
      <w:r w:rsidR="005F398C">
        <w:t>a</w:t>
      </w:r>
      <w:r>
        <w:t xml:space="preserve"> l’oppost</w:t>
      </w:r>
      <w:r w:rsidR="00632D1F">
        <w:t xml:space="preserve">a opinione secondo cui </w:t>
      </w:r>
      <w:r w:rsidR="00632D1F" w:rsidRPr="00632D1F">
        <w:t>l</w:t>
      </w:r>
      <w:r w:rsidR="00B92066">
        <w:t xml:space="preserve">’acquisizione costituisce </w:t>
      </w:r>
      <w:r w:rsidR="00A11167">
        <w:t>una vera e propria</w:t>
      </w:r>
      <w:r w:rsidR="00B92066">
        <w:t xml:space="preserve"> sanzione per la</w:t>
      </w:r>
      <w:r w:rsidR="00632D1F" w:rsidRPr="00632D1F">
        <w:t xml:space="preserve"> mancata demolizione</w:t>
      </w:r>
      <w:r w:rsidR="00983504">
        <w:t xml:space="preserve">. Si tratta di </w:t>
      </w:r>
      <w:r w:rsidR="00632D1F">
        <w:t xml:space="preserve">un </w:t>
      </w:r>
      <w:r w:rsidR="00632D1F" w:rsidRPr="00632D1F">
        <w:t>illecito omissivo</w:t>
      </w:r>
      <w:r w:rsidR="00632D1F">
        <w:t>,</w:t>
      </w:r>
      <w:r w:rsidR="00632D1F" w:rsidRPr="00632D1F">
        <w:t xml:space="preserve"> ulteriore rispetto all’originario illecito edilizio costituito dall’abusiva edificazione</w:t>
      </w:r>
      <w:r w:rsidR="00A13A5E">
        <w:t>,</w:t>
      </w:r>
      <w:r w:rsidR="00983504">
        <w:t xml:space="preserve"> che</w:t>
      </w:r>
      <w:r w:rsidR="00632D1F">
        <w:t xml:space="preserve"> </w:t>
      </w:r>
      <w:r w:rsidR="00632D1F" w:rsidRPr="00632D1F">
        <w:t>deve essere imputabile al soggetto che subisce la sanzione</w:t>
      </w:r>
      <w:r w:rsidR="009A2830">
        <w:rPr>
          <w:rStyle w:val="Rimandonotaapidipagina"/>
        </w:rPr>
        <w:footnoteReference w:id="39"/>
      </w:r>
      <w:r w:rsidR="00275F4A">
        <w:t xml:space="preserve">. </w:t>
      </w:r>
      <w:r w:rsidR="00124E58">
        <w:t>La</w:t>
      </w:r>
      <w:r w:rsidR="00435216">
        <w:t xml:space="preserve"> Corte </w:t>
      </w:r>
      <w:r w:rsidR="00435216">
        <w:lastRenderedPageBreak/>
        <w:t xml:space="preserve">costituzionale </w:t>
      </w:r>
      <w:r w:rsidR="007066E1">
        <w:t>ha qualificato la misura come una “</w:t>
      </w:r>
      <w:r w:rsidR="007066E1" w:rsidRPr="00F26705">
        <w:t>confisca edilizia</w:t>
      </w:r>
      <w:r w:rsidR="007066E1">
        <w:t>”</w:t>
      </w:r>
      <w:r w:rsidR="00982419">
        <w:t xml:space="preserve"> confermandone la natura sanzionat</w:t>
      </w:r>
      <w:r w:rsidR="007333FD">
        <w:t>oria</w:t>
      </w:r>
      <w:r w:rsidR="00982419">
        <w:rPr>
          <w:rStyle w:val="Rimandonotaapidipagina"/>
        </w:rPr>
        <w:footnoteReference w:id="40"/>
      </w:r>
      <w:r w:rsidR="007333FD">
        <w:t xml:space="preserve"> in coerenza</w:t>
      </w:r>
      <w:r w:rsidR="00F84998">
        <w:t xml:space="preserve"> con</w:t>
      </w:r>
      <w:r w:rsidR="007333FD">
        <w:t xml:space="preserve"> </w:t>
      </w:r>
      <w:r w:rsidR="007066E1" w:rsidRPr="007066E1">
        <w:t xml:space="preserve">la propria </w:t>
      </w:r>
      <w:r w:rsidR="007333FD">
        <w:t xml:space="preserve">pregressa </w:t>
      </w:r>
      <w:r w:rsidR="007066E1" w:rsidRPr="007066E1">
        <w:t>giurisprudenza</w:t>
      </w:r>
      <w:r w:rsidR="00DF6A29">
        <w:rPr>
          <w:rStyle w:val="Rimandonotaapidipagina"/>
        </w:rPr>
        <w:footnoteReference w:id="41"/>
      </w:r>
      <w:r w:rsidR="007333FD">
        <w:t xml:space="preserve"> che aveva, fra l’altro, sancito l’</w:t>
      </w:r>
      <w:r w:rsidR="00371DB1">
        <w:t>i</w:t>
      </w:r>
      <w:r w:rsidR="007066E1" w:rsidRPr="007066E1">
        <w:t>napplicabilità dell’acquisizione in danno del proprietario rimasto del tutto estraneo all’abuso</w:t>
      </w:r>
      <w:r w:rsidR="00281447">
        <w:t xml:space="preserve">. </w:t>
      </w:r>
      <w:r w:rsidR="007A0E69">
        <w:t xml:space="preserve">La Corte </w:t>
      </w:r>
      <w:r w:rsidR="00AF05FF">
        <w:t xml:space="preserve">ha, altresì, escluso </w:t>
      </w:r>
      <w:r w:rsidR="00E65AFD">
        <w:t>che la misura abbia una</w:t>
      </w:r>
      <w:r w:rsidR="00281447">
        <w:t xml:space="preserve"> funzione ripristinatoria </w:t>
      </w:r>
      <w:r w:rsidR="00E65AFD" w:rsidRPr="00DB00B8">
        <w:t>dell'interesse pubblico violato dall'abuso</w:t>
      </w:r>
      <w:r w:rsidR="00E65AFD">
        <w:t xml:space="preserve"> in quanto </w:t>
      </w:r>
      <w:r w:rsidR="00CB51CD">
        <w:t xml:space="preserve">il ripristino </w:t>
      </w:r>
      <w:r w:rsidR="00E65AFD" w:rsidRPr="00DB00B8">
        <w:t>rimane affidat</w:t>
      </w:r>
      <w:r w:rsidR="00CB51CD">
        <w:t>o</w:t>
      </w:r>
      <w:r w:rsidR="00E65AFD" w:rsidRPr="00DB00B8">
        <w:t xml:space="preserve"> al potere-dovere degli organi comunali di dar</w:t>
      </w:r>
      <w:r w:rsidR="002758BD">
        <w:t>e</w:t>
      </w:r>
      <w:r w:rsidR="00E65AFD" w:rsidRPr="00DB00B8">
        <w:t xml:space="preserve"> esecuzione </w:t>
      </w:r>
      <w:r w:rsidR="002758BD">
        <w:t>alla demolizione in prima persona (senza tuttavia, pregiudicare il proprietario</w:t>
      </w:r>
      <w:r w:rsidR="00DF6A29">
        <w:t xml:space="preserve"> incolpevole mediante l’acquisizione del bene)</w:t>
      </w:r>
      <w:r w:rsidR="006F76CF">
        <w:rPr>
          <w:rStyle w:val="Rimandonotaapidipagina"/>
        </w:rPr>
        <w:footnoteReference w:id="42"/>
      </w:r>
      <w:r w:rsidR="00DF6A29">
        <w:t>.</w:t>
      </w:r>
    </w:p>
    <w:p w14:paraId="2CA616A6" w14:textId="150F88F1" w:rsidR="00790677" w:rsidRPr="007066E1" w:rsidRDefault="00B95414" w:rsidP="00790677">
      <w:pPr>
        <w:pStyle w:val="Titolo2Garamond"/>
      </w:pPr>
      <w:bookmarkStart w:id="21" w:name="_Toc196751394"/>
      <w:r>
        <w:t>5</w:t>
      </w:r>
      <w:r w:rsidR="00790677">
        <w:t xml:space="preserve">.2. </w:t>
      </w:r>
      <w:r w:rsidR="00544AAF">
        <w:t>La d</w:t>
      </w:r>
      <w:r w:rsidR="00274C99">
        <w:t>isciplina</w:t>
      </w:r>
      <w:r w:rsidR="00563C4A">
        <w:t xml:space="preserve"> dell’acquisizione</w:t>
      </w:r>
      <w:r w:rsidR="00544AAF">
        <w:t>:</w:t>
      </w:r>
      <w:r w:rsidR="00C0208D">
        <w:t xml:space="preserve"> sanabilità dell’abuso</w:t>
      </w:r>
      <w:r w:rsidR="00563C4A">
        <w:t xml:space="preserve"> </w:t>
      </w:r>
      <w:r w:rsidR="000707E8">
        <w:t>e principio di proporzionalità</w:t>
      </w:r>
      <w:bookmarkEnd w:id="21"/>
    </w:p>
    <w:p w14:paraId="17A8A688" w14:textId="183082F0" w:rsidR="00C3232D" w:rsidRDefault="004043E9" w:rsidP="004021E1">
      <w:pPr>
        <w:pStyle w:val="PersonaleGaramond"/>
        <w:keepLines w:val="0"/>
        <w:widowControl w:val="0"/>
        <w:suppressLineNumbers/>
        <w:tabs>
          <w:tab w:val="right" w:pos="9638"/>
        </w:tabs>
        <w:suppressAutoHyphens/>
      </w:pPr>
      <w:r>
        <w:t xml:space="preserve">In punto di disciplina, </w:t>
      </w:r>
      <w:r w:rsidR="00275F4A">
        <w:t>l’Adunanza plenaria</w:t>
      </w:r>
      <w:r w:rsidR="006F76CF">
        <w:rPr>
          <w:rStyle w:val="Rimandonotaapidipagina"/>
        </w:rPr>
        <w:footnoteReference w:id="43"/>
      </w:r>
      <w:r>
        <w:t xml:space="preserve"> ha chiarito che </w:t>
      </w:r>
      <w:r w:rsidR="008B163F">
        <w:t>il p</w:t>
      </w:r>
      <w:r w:rsidR="008B163F" w:rsidRPr="008B163F">
        <w:t>rovvedimento di acquisizione</w:t>
      </w:r>
      <w:r w:rsidR="008B163F">
        <w:t xml:space="preserve"> ha una</w:t>
      </w:r>
      <w:r w:rsidR="008B163F" w:rsidRPr="008B163F">
        <w:t xml:space="preserve"> portata meramente dichiarativa di un effetto prodottosi </w:t>
      </w:r>
      <w:r w:rsidR="008B163F" w:rsidRPr="008F1AE1">
        <w:rPr>
          <w:i/>
          <w:iCs/>
        </w:rPr>
        <w:t>ex lege</w:t>
      </w:r>
      <w:r w:rsidR="008B163F" w:rsidRPr="008B163F">
        <w:t xml:space="preserve"> al decorso del termine di novanta giorni dalla notifica dell’ordine di demolizione</w:t>
      </w:r>
      <w:r w:rsidR="00024D44">
        <w:t xml:space="preserve">. Pertanto, da un lato, </w:t>
      </w:r>
      <w:r w:rsidR="008B163F" w:rsidRPr="008B163F">
        <w:t xml:space="preserve">a seguito della perdita </w:t>
      </w:r>
      <w:r w:rsidR="008B163F" w:rsidRPr="008B163F">
        <w:rPr>
          <w:i/>
          <w:iCs/>
        </w:rPr>
        <w:t xml:space="preserve">ipso iure </w:t>
      </w:r>
      <w:r w:rsidR="008B163F" w:rsidRPr="008B163F">
        <w:t xml:space="preserve">del bene, pur se accertata successivamente, chi lo possiede ormai senza idoneo titolo giuridico non può né demolirlo, né modificarlo, ed è tenuto a corrispondere un importo all’Amministrazione proprietaria per la sua disponibilità che avviene </w:t>
      </w:r>
      <w:r w:rsidR="008B163F" w:rsidRPr="008B163F">
        <w:rPr>
          <w:i/>
          <w:iCs/>
        </w:rPr>
        <w:t>sine titulo</w:t>
      </w:r>
      <w:r w:rsidR="00F526FA">
        <w:t>;</w:t>
      </w:r>
      <w:r w:rsidR="00024D44">
        <w:t xml:space="preserve"> dall’altro, </w:t>
      </w:r>
      <w:r w:rsidR="008B163F" w:rsidRPr="008B163F">
        <w:t xml:space="preserve">viene meno la possibilità di presentare la domanda di </w:t>
      </w:r>
      <w:r w:rsidR="000C39AA">
        <w:t>accertamento di conformità ai sensi dell’art. 36 del D.P.R. n. 380/2001</w:t>
      </w:r>
      <w:r w:rsidR="00B31CE9">
        <w:t xml:space="preserve">. </w:t>
      </w:r>
      <w:r w:rsidR="008F33FF">
        <w:t xml:space="preserve">Prima del citato arresto della Plenaria, </w:t>
      </w:r>
      <w:r w:rsidR="005F2563">
        <w:t>t</w:t>
      </w:r>
      <w:r w:rsidR="00B31CE9">
        <w:t xml:space="preserve">ale </w:t>
      </w:r>
      <w:r w:rsidR="0014086F">
        <w:t xml:space="preserve">ultima </w:t>
      </w:r>
      <w:r w:rsidR="00B31CE9">
        <w:t>possibilità era</w:t>
      </w:r>
      <w:r w:rsidR="006454FF">
        <w:t xml:space="preserve"> riconosciuta dalla giurisprudenza</w:t>
      </w:r>
      <w:r w:rsidR="005F2563">
        <w:t xml:space="preserve"> amministrativa</w:t>
      </w:r>
      <w:r w:rsidR="006454FF">
        <w:t xml:space="preserve"> </w:t>
      </w:r>
      <w:r w:rsidR="008B163F" w:rsidRPr="008B163F">
        <w:t>sino al momento in cui non ven</w:t>
      </w:r>
      <w:r w:rsidR="007E5E25">
        <w:t>iva</w:t>
      </w:r>
      <w:r w:rsidR="008B163F" w:rsidRPr="008B163F">
        <w:t xml:space="preserve"> formalmente accertata l’inottemperanza alla sanzione demolitoria</w:t>
      </w:r>
      <w:r w:rsidR="006454FF">
        <w:rPr>
          <w:rStyle w:val="Rimandonotaapidipagina"/>
        </w:rPr>
        <w:footnoteReference w:id="44"/>
      </w:r>
      <w:r w:rsidR="008B163F" w:rsidRPr="008B163F">
        <w:t xml:space="preserve"> o addirittura fino a che l’opera </w:t>
      </w:r>
      <w:r w:rsidR="006454FF">
        <w:t>persist</w:t>
      </w:r>
      <w:r w:rsidR="007E5E25">
        <w:t>eva</w:t>
      </w:r>
      <w:r w:rsidR="008B163F" w:rsidRPr="008B163F">
        <w:t xml:space="preserve"> nella sua integrità e il soggetto ne conserv</w:t>
      </w:r>
      <w:r w:rsidR="007E5E25">
        <w:t>a</w:t>
      </w:r>
      <w:r w:rsidR="005F2563">
        <w:t>va</w:t>
      </w:r>
      <w:r w:rsidR="008B163F" w:rsidRPr="008B163F">
        <w:t xml:space="preserve"> la </w:t>
      </w:r>
      <w:r w:rsidR="006454FF">
        <w:t>disponibilità</w:t>
      </w:r>
      <w:r w:rsidR="006454FF">
        <w:rPr>
          <w:rStyle w:val="Rimandonotaapidipagina"/>
        </w:rPr>
        <w:footnoteReference w:id="45"/>
      </w:r>
      <w:r w:rsidR="006454FF">
        <w:t>.</w:t>
      </w:r>
    </w:p>
    <w:p w14:paraId="3B786346" w14:textId="593AE5E0" w:rsidR="007E5E25" w:rsidRDefault="00274C99" w:rsidP="004021E1">
      <w:pPr>
        <w:pStyle w:val="PersonaleGaramond"/>
        <w:keepLines w:val="0"/>
        <w:widowControl w:val="0"/>
        <w:suppressLineNumbers/>
        <w:tabs>
          <w:tab w:val="right" w:pos="9638"/>
        </w:tabs>
        <w:suppressAutoHyphens/>
      </w:pPr>
      <w:r>
        <w:t>La natura sanzionatoria</w:t>
      </w:r>
      <w:r w:rsidR="00BE4EC1">
        <w:t xml:space="preserve"> </w:t>
      </w:r>
      <w:r w:rsidR="00E53C53">
        <w:t>e l</w:t>
      </w:r>
      <w:r w:rsidR="00BE4EC1">
        <w:t>’elevato grado di afflittività della misura in argomento</w:t>
      </w:r>
      <w:r>
        <w:t xml:space="preserve"> sembra</w:t>
      </w:r>
      <w:r w:rsidR="00BE4EC1">
        <w:t>no</w:t>
      </w:r>
      <w:r>
        <w:t xml:space="preserve"> imporre l’applicazione della disciplina convenzionale in tema di ‘sanzioni (penali)’ di tal che non può dubitarsi che all’istituto di cui si discute </w:t>
      </w:r>
      <w:r w:rsidR="005F2563">
        <w:t xml:space="preserve">si applichi </w:t>
      </w:r>
      <w:r>
        <w:t>il principio di proporzionalità. Ebbene, è lecito chiedersi se</w:t>
      </w:r>
      <w:r w:rsidR="008C6354">
        <w:t xml:space="preserve"> la sottrazione al proprietario di</w:t>
      </w:r>
      <w:r>
        <w:t xml:space="preserve"> </w:t>
      </w:r>
      <w:r w:rsidR="00F75C36">
        <w:t>un immobile</w:t>
      </w:r>
      <w:r w:rsidR="008C6354">
        <w:t>, edificato abusivamente, ma</w:t>
      </w:r>
      <w:r w:rsidR="00F75C36">
        <w:t xml:space="preserve"> astrattamente sanabile</w:t>
      </w:r>
      <w:r w:rsidR="00E44759">
        <w:t xml:space="preserve"> </w:t>
      </w:r>
      <w:r w:rsidR="008C6354">
        <w:t>(</w:t>
      </w:r>
      <w:r w:rsidR="00E44759">
        <w:t>ossia</w:t>
      </w:r>
      <w:r w:rsidR="00CD3DF9">
        <w:t xml:space="preserve"> conforme alla normativa urbanistico-edilizia</w:t>
      </w:r>
      <w:r w:rsidR="00F75C36">
        <w:t xml:space="preserve"> secondo il criterio della cd. doppia conformità di cui all’art. 36 del D.P.R. n. 380/2001</w:t>
      </w:r>
      <w:r w:rsidR="008C6354">
        <w:t>)</w:t>
      </w:r>
      <w:r w:rsidR="00CD3DF9">
        <w:t xml:space="preserve">, </w:t>
      </w:r>
      <w:r w:rsidR="005254B6">
        <w:t>sia conforme al principio di proporzionalità.</w:t>
      </w:r>
    </w:p>
    <w:p w14:paraId="3D1BC323" w14:textId="467A21B5" w:rsidR="005254B6" w:rsidRDefault="005254B6" w:rsidP="004021E1">
      <w:pPr>
        <w:pStyle w:val="PersonaleGaramond"/>
        <w:keepLines w:val="0"/>
        <w:widowControl w:val="0"/>
        <w:suppressLineNumbers/>
        <w:tabs>
          <w:tab w:val="right" w:pos="9638"/>
        </w:tabs>
        <w:suppressAutoHyphens/>
      </w:pPr>
      <w:r>
        <w:t xml:space="preserve">In altri termini, sebbene più aderente alla lettera della legge, il recente orientamento espresso dall’Adunanza plenaria </w:t>
      </w:r>
      <w:r w:rsidR="00726D11">
        <w:t>conduce a una disciplina di estremo rigore, essendo</w:t>
      </w:r>
      <w:r w:rsidR="00650EC2">
        <w:t>, senz’altro,</w:t>
      </w:r>
      <w:r w:rsidR="00726D11">
        <w:t xml:space="preserve"> precluso al proprietario di richiedere l’accertamento di conformità una volta trascorsi </w:t>
      </w:r>
      <w:r w:rsidR="00650EC2">
        <w:t xml:space="preserve">novanta giorni dalla </w:t>
      </w:r>
      <w:r w:rsidR="00650EC2">
        <w:lastRenderedPageBreak/>
        <w:t xml:space="preserve">notifica dell’ordine demolitorio. </w:t>
      </w:r>
      <w:r w:rsidR="00BB500D">
        <w:t>All’opposto, i</w:t>
      </w:r>
      <w:r w:rsidR="00650EC2">
        <w:t>l pregresso orientamento giurisprudenziale che</w:t>
      </w:r>
      <w:r w:rsidR="000F0D7F">
        <w:t xml:space="preserve">, </w:t>
      </w:r>
      <w:r w:rsidR="008A1A9B">
        <w:t xml:space="preserve">pur </w:t>
      </w:r>
      <w:r w:rsidR="000F0D7F">
        <w:t xml:space="preserve">con qualche </w:t>
      </w:r>
      <w:r w:rsidR="006D7F10">
        <w:t xml:space="preserve">originalità </w:t>
      </w:r>
      <w:r w:rsidR="008A1A9B">
        <w:t>interpretativa,</w:t>
      </w:r>
      <w:r w:rsidR="000F0D7F">
        <w:t xml:space="preserve"> </w:t>
      </w:r>
      <w:r w:rsidR="00650EC2">
        <w:t xml:space="preserve">consentiva </w:t>
      </w:r>
      <w:r w:rsidR="004B71CD">
        <w:t xml:space="preserve">tale possibilità fino </w:t>
      </w:r>
      <w:r w:rsidR="002C2E71">
        <w:t xml:space="preserve">(quanto meno) </w:t>
      </w:r>
      <w:r w:rsidR="004B71CD">
        <w:t>al momento del formale accertamento dell’inottemperanza</w:t>
      </w:r>
      <w:r w:rsidR="00706889">
        <w:t>, rappresentava</w:t>
      </w:r>
      <w:r w:rsidR="002C2E71">
        <w:t xml:space="preserve"> </w:t>
      </w:r>
      <w:r w:rsidR="001D2D5D">
        <w:t xml:space="preserve">un elemento di </w:t>
      </w:r>
      <w:r w:rsidR="003F700F">
        <w:t>elasticità valorizzabile quale applicazione del principio di proporzionalità.</w:t>
      </w:r>
    </w:p>
    <w:p w14:paraId="14FF63E2" w14:textId="4CB6A185" w:rsidR="006A4DD4" w:rsidRDefault="00547A30" w:rsidP="00554CE4">
      <w:pPr>
        <w:pStyle w:val="PersonaleGaramond"/>
        <w:keepLines w:val="0"/>
        <w:widowControl w:val="0"/>
        <w:suppressLineNumbers/>
        <w:tabs>
          <w:tab w:val="right" w:pos="9638"/>
        </w:tabs>
        <w:suppressAutoHyphens/>
      </w:pPr>
      <w:r>
        <w:t>Giova notare che</w:t>
      </w:r>
      <w:r w:rsidR="00054B2E">
        <w:t xml:space="preserve"> il rigoroso orientamento appena descritto non è applicabile</w:t>
      </w:r>
      <w:r w:rsidR="00554CE4">
        <w:t xml:space="preserve"> qualora</w:t>
      </w:r>
      <w:r w:rsidR="006A4947">
        <w:t xml:space="preserve"> ci si trovi innanzi a un</w:t>
      </w:r>
      <w:r w:rsidR="007C59AF">
        <w:t>a sanatoria</w:t>
      </w:r>
      <w:r w:rsidR="00973346">
        <w:t xml:space="preserve"> straordinaria</w:t>
      </w:r>
      <w:r w:rsidR="007C59AF">
        <w:t xml:space="preserve"> di tipo condonistico</w:t>
      </w:r>
      <w:r w:rsidR="00054B2E">
        <w:t>. In tali ipotesi,</w:t>
      </w:r>
      <w:r>
        <w:t xml:space="preserve"> </w:t>
      </w:r>
      <w:r w:rsidR="00543613">
        <w:t>«</w:t>
      </w:r>
      <w:r w:rsidR="00554CE4" w:rsidRPr="00130FB2">
        <w:t xml:space="preserve">l'intera fattispecie traslativa conseguente all'inottemperanza dell'ordine di rimessione in pristino (accertamento dell'inottemperanza, descrizione dell'area interessata, trascrizione del provvedimento, materiale apprensione del bene) è recessiva rispetto alla sanatoria, </w:t>
      </w:r>
      <w:r w:rsidR="00126581" w:rsidRPr="00130FB2">
        <w:t xml:space="preserve">e ciò </w:t>
      </w:r>
      <w:r w:rsidR="00554CE4" w:rsidRPr="00130FB2">
        <w:t>anche qualora</w:t>
      </w:r>
      <w:r w:rsidR="001573A4" w:rsidRPr="00130FB2">
        <w:t xml:space="preserve"> l’acquisizione</w:t>
      </w:r>
      <w:r w:rsidR="00554CE4" w:rsidRPr="00130FB2">
        <w:t xml:space="preserve"> si sia esaurita prima dell'entrata in vigore della disciplina sul condono. L'art. 39 comma 19, l. 23 dicembre 1994</w:t>
      </w:r>
      <w:r w:rsidR="000944F6">
        <w:t>,</w:t>
      </w:r>
      <w:r w:rsidR="00554CE4" w:rsidRPr="00130FB2">
        <w:t xml:space="preserve"> n. 724 (richiamato dall'art. 32 comma 25, d.l. n. 269 del 2003) prevede infatti che, per le opere abusive divenute sanabili, il proprietario (dopo aver presentato la domanda di sanatoria e adempiuto agli oneri con-nessi) ha il diritto di ottenere l'annullamento delle acquisizioni al patrimonio comunale e la cancellazione delle relative trascrizioni, salvo che il bene sia già stato destinato a scopi di pubblica utilità</w:t>
      </w:r>
      <w:r w:rsidR="00543613">
        <w:t>»</w:t>
      </w:r>
      <w:r w:rsidR="00543613">
        <w:rPr>
          <w:rStyle w:val="Rimandonotaapidipagina"/>
        </w:rPr>
        <w:footnoteReference w:id="46"/>
      </w:r>
      <w:r w:rsidR="00554CE4" w:rsidRPr="00554CE4">
        <w:t>.</w:t>
      </w:r>
      <w:r w:rsidR="00FF7257">
        <w:t xml:space="preserve"> Nel caso di condono, quindi, </w:t>
      </w:r>
      <w:r w:rsidR="00247D03">
        <w:t>sembra rivivere la proprietà in capo a chi l’abbia perduta a seguito del descritto meccanismo acquisitivo</w:t>
      </w:r>
      <w:r w:rsidR="000F0D7F">
        <w:t xml:space="preserve"> con conseguente possibilità (mediante la legittima adesione al condono) di ottenere l’annullamento dell’acquisizione.</w:t>
      </w:r>
    </w:p>
    <w:p w14:paraId="4114E455" w14:textId="652EC648" w:rsidR="00251FD5" w:rsidRDefault="00B95414" w:rsidP="009364A0">
      <w:pPr>
        <w:pStyle w:val="Titolo2Garamond"/>
      </w:pPr>
      <w:bookmarkStart w:id="22" w:name="_Toc196751395"/>
      <w:r>
        <w:t>5</w:t>
      </w:r>
      <w:r w:rsidR="009364A0">
        <w:t xml:space="preserve">.3. Acquisizione </w:t>
      </w:r>
      <w:r w:rsidR="00134869">
        <w:t>e</w:t>
      </w:r>
      <w:r w:rsidR="00251FD5">
        <w:t xml:space="preserve"> diritto all’abitazione</w:t>
      </w:r>
      <w:bookmarkEnd w:id="22"/>
      <w:r w:rsidR="00251FD5">
        <w:t xml:space="preserve"> </w:t>
      </w:r>
    </w:p>
    <w:p w14:paraId="1518DBA9" w14:textId="6A46F76B" w:rsidR="00554CE4" w:rsidRDefault="001573A4" w:rsidP="00251FD5">
      <w:pPr>
        <w:pStyle w:val="PersonaleGaramond"/>
      </w:pPr>
      <w:r>
        <w:t>U</w:t>
      </w:r>
      <w:r w:rsidR="00557C26">
        <w:t xml:space="preserve">na recente modifica </w:t>
      </w:r>
      <w:r w:rsidR="009547BA">
        <w:t>della disciplina de</w:t>
      </w:r>
      <w:r w:rsidR="00557C26">
        <w:t xml:space="preserve">ll’istituto dell’acquisizione si è posta nel solco </w:t>
      </w:r>
      <w:r w:rsidR="00DE2C4F">
        <w:t>della giurisprudenza della C</w:t>
      </w:r>
      <w:r w:rsidR="00F953A8">
        <w:t xml:space="preserve">orte </w:t>
      </w:r>
      <w:r w:rsidR="00DE2C4F">
        <w:t>EDU in tema di contemperamento tra</w:t>
      </w:r>
      <w:r w:rsidR="00A046B8">
        <w:t xml:space="preserve"> la necessità di sanzionare gli abusi edilizi e quella di </w:t>
      </w:r>
      <w:r w:rsidR="00D60971">
        <w:t>non incidere in modo sproporzionato</w:t>
      </w:r>
      <w:r w:rsidR="00A046B8">
        <w:t xml:space="preserve"> </w:t>
      </w:r>
      <w:r w:rsidR="00D60971">
        <w:t>su</w:t>
      </w:r>
      <w:r w:rsidR="00A046B8">
        <w:t>l diritto all’abitazione nel senso</w:t>
      </w:r>
      <w:r w:rsidR="009547BA">
        <w:t xml:space="preserve"> </w:t>
      </w:r>
      <w:r w:rsidR="00E55E4E">
        <w:t>già</w:t>
      </w:r>
      <w:r w:rsidR="00A046B8">
        <w:t xml:space="preserve"> indicato</w:t>
      </w:r>
      <w:r w:rsidR="009547BA">
        <w:t>.</w:t>
      </w:r>
    </w:p>
    <w:p w14:paraId="203C5CD2" w14:textId="07C9B99D" w:rsidR="008A1A9B" w:rsidRDefault="00050735" w:rsidP="00E27D70">
      <w:pPr>
        <w:pStyle w:val="PersonaleGaramond"/>
        <w:keepLines w:val="0"/>
        <w:widowControl w:val="0"/>
        <w:suppressLineNumbers/>
        <w:tabs>
          <w:tab w:val="right" w:pos="9638"/>
        </w:tabs>
        <w:suppressAutoHyphens/>
      </w:pPr>
      <w:r>
        <w:t xml:space="preserve">È stato, infatti, aggiunto un ultimo periodo al comma terzo dell’art. 31 </w:t>
      </w:r>
      <w:r w:rsidR="00E74A80">
        <w:t xml:space="preserve">del D.P.R. n. </w:t>
      </w:r>
      <w:r w:rsidR="0043528B">
        <w:t>3</w:t>
      </w:r>
      <w:r w:rsidR="00E74A80">
        <w:t xml:space="preserve">80/2001 </w:t>
      </w:r>
      <w:r w:rsidR="00F7237B">
        <w:t>con cui si è prevista la possibilità di</w:t>
      </w:r>
      <w:r w:rsidR="00E74A80">
        <w:t xml:space="preserve"> proroga</w:t>
      </w:r>
      <w:r w:rsidR="00F7237B">
        <w:t>re</w:t>
      </w:r>
      <w:r w:rsidR="00E74A80">
        <w:t xml:space="preserve"> </w:t>
      </w:r>
      <w:r w:rsidR="00F7237B">
        <w:t>i</w:t>
      </w:r>
      <w:r w:rsidR="00E74A80">
        <w:t xml:space="preserve">l termine di novanta giorni </w:t>
      </w:r>
      <w:r w:rsidR="00E27D70">
        <w:t xml:space="preserve">dalla notificazione dell’ordine di demolizione oltre il quale, come si è detto, opera </w:t>
      </w:r>
      <w:r w:rsidR="00E27D70" w:rsidRPr="00F7237B">
        <w:rPr>
          <w:i/>
          <w:iCs/>
        </w:rPr>
        <w:t>ipso iure</w:t>
      </w:r>
      <w:r w:rsidR="00E27D70">
        <w:t xml:space="preserve"> l’acquisizione. Si </w:t>
      </w:r>
      <w:r w:rsidR="00776E09">
        <w:t>è stabilito</w:t>
      </w:r>
      <w:r w:rsidR="00E27D70">
        <w:t xml:space="preserve">, infatti, che </w:t>
      </w:r>
      <w:r w:rsidR="00776E09">
        <w:t xml:space="preserve">il termine </w:t>
      </w:r>
      <w:r w:rsidR="00E27D70">
        <w:t>«</w:t>
      </w:r>
      <w:r w:rsidR="00E74A80" w:rsidRPr="00F7237B">
        <w:rPr>
          <w:i/>
          <w:iCs/>
        </w:rPr>
        <w:t>può essere prorogato con atto motivato del comune fino a un massimo di duecentoquaranta giorni nei casi di serie e comprovate esigenze di salute dei soggetti residenti nell'immobile all'epoca di adozione dell'ingiunzione o di assoluto bisogno o di gravi situazioni di disagio socio-economico, che rendano inesigibile il rispetto di tale termine</w:t>
      </w:r>
      <w:r w:rsidR="00E27D70">
        <w:t>»</w:t>
      </w:r>
      <w:r w:rsidR="00F7237B">
        <w:t>.</w:t>
      </w:r>
    </w:p>
    <w:p w14:paraId="69380305" w14:textId="7586D699" w:rsidR="00231969" w:rsidRDefault="003F3E30" w:rsidP="00E27D70">
      <w:pPr>
        <w:pStyle w:val="PersonaleGaramond"/>
        <w:keepLines w:val="0"/>
        <w:widowControl w:val="0"/>
        <w:suppressLineNumbers/>
        <w:tabs>
          <w:tab w:val="right" w:pos="9638"/>
        </w:tabs>
        <w:suppressAutoHyphens/>
      </w:pPr>
      <w:r>
        <w:t>L’inequivoco riferimento alle esigenze abitative degli occupanti</w:t>
      </w:r>
      <w:r w:rsidR="00942DDF">
        <w:t xml:space="preserve"> </w:t>
      </w:r>
      <w:r>
        <w:t xml:space="preserve">rivela l’intento del legislatore di adeguarsi </w:t>
      </w:r>
      <w:r w:rsidR="001F3B26">
        <w:t xml:space="preserve">al principio convenzionale di </w:t>
      </w:r>
      <w:r w:rsidR="00D60971">
        <w:t xml:space="preserve">evitare “sproporzionate” compressioni </w:t>
      </w:r>
      <w:r w:rsidR="001F3B26">
        <w:t xml:space="preserve">del diritto di abitazione </w:t>
      </w:r>
      <w:r w:rsidR="003272F9">
        <w:t>senza, tuttavia, negare</w:t>
      </w:r>
      <w:r w:rsidR="00066B38">
        <w:t xml:space="preserve"> l’impianto del sistema sanzionatorio degli abusi edilizi e tanto secondo un approccio che valorizza l’elemento temporale</w:t>
      </w:r>
      <w:r w:rsidR="00231969">
        <w:t xml:space="preserve"> nell’esecuzione delle sanzioni</w:t>
      </w:r>
      <w:r w:rsidR="003314EA">
        <w:t xml:space="preserve"> su cui si tornerà nel paragrafo conclusivo</w:t>
      </w:r>
      <w:r w:rsidR="00231969">
        <w:t>.</w:t>
      </w:r>
    </w:p>
    <w:p w14:paraId="75BC1CB8" w14:textId="6E340E84" w:rsidR="00151EE7" w:rsidRDefault="00231969" w:rsidP="00231969">
      <w:pPr>
        <w:pStyle w:val="Titolo1Garamond"/>
      </w:pPr>
      <w:bookmarkStart w:id="23" w:name="_Toc196751396"/>
      <w:r>
        <w:lastRenderedPageBreak/>
        <w:t xml:space="preserve">6. </w:t>
      </w:r>
      <w:r w:rsidR="00A80735">
        <w:t>Conclusioni e u</w:t>
      </w:r>
      <w:r w:rsidR="00F77466">
        <w:t>lteriori spunti ricostruttivi</w:t>
      </w:r>
      <w:r w:rsidR="00151EE7">
        <w:t>.</w:t>
      </w:r>
      <w:bookmarkEnd w:id="23"/>
    </w:p>
    <w:p w14:paraId="6BC6038D" w14:textId="3D9151FB" w:rsidR="00151EE7" w:rsidRDefault="00151EE7" w:rsidP="00151EE7">
      <w:pPr>
        <w:pStyle w:val="Titolo2Garamond"/>
      </w:pPr>
      <w:bookmarkStart w:id="24" w:name="_Toc196751397"/>
      <w:r>
        <w:t>6.1. L</w:t>
      </w:r>
      <w:r w:rsidR="00F77466">
        <w:t>a proporzionalità del sistema</w:t>
      </w:r>
      <w:r>
        <w:t xml:space="preserve"> </w:t>
      </w:r>
      <w:r w:rsidR="00E76DF9">
        <w:t>di repressione degli abusi edilizi</w:t>
      </w:r>
      <w:r>
        <w:t>.</w:t>
      </w:r>
      <w:bookmarkEnd w:id="24"/>
    </w:p>
    <w:p w14:paraId="441BBBE4" w14:textId="77777777" w:rsidR="0058433E" w:rsidRDefault="004C7C8B" w:rsidP="004B43FA">
      <w:pPr>
        <w:pStyle w:val="PersonaleGaramond"/>
        <w:keepLines w:val="0"/>
        <w:widowControl w:val="0"/>
        <w:suppressLineNumbers/>
        <w:tabs>
          <w:tab w:val="left" w:pos="2442"/>
        </w:tabs>
        <w:suppressAutoHyphens/>
      </w:pPr>
      <w:r>
        <w:t xml:space="preserve">Volendo tirare le fila del discorso, una prima conclusione è nel senso </w:t>
      </w:r>
      <w:r w:rsidR="005113F4">
        <w:t xml:space="preserve">che </w:t>
      </w:r>
      <w:r w:rsidR="005C133A">
        <w:t>il principio di</w:t>
      </w:r>
      <w:r w:rsidR="005113F4">
        <w:t xml:space="preserve"> proporzionalità non </w:t>
      </w:r>
      <w:r w:rsidR="005C269A">
        <w:t>sia</w:t>
      </w:r>
      <w:r w:rsidR="00F81190">
        <w:t xml:space="preserve"> </w:t>
      </w:r>
      <w:r w:rsidR="005113F4">
        <w:t xml:space="preserve">applicabile </w:t>
      </w:r>
      <w:r w:rsidR="004C425B">
        <w:t>allorché</w:t>
      </w:r>
      <w:r w:rsidR="005C269A">
        <w:t xml:space="preserve"> vengono emanat</w:t>
      </w:r>
      <w:r w:rsidR="002B5276">
        <w:t>i gli atti di</w:t>
      </w:r>
      <w:r w:rsidR="00C74CBB">
        <w:t xml:space="preserve"> repressione degli abusi edilizi</w:t>
      </w:r>
      <w:r w:rsidR="00F81190">
        <w:t xml:space="preserve"> che si compendiano di provvedimenti vincolati e, inoltre, </w:t>
      </w:r>
      <w:r w:rsidR="004431FA">
        <w:t xml:space="preserve">caratterizzati da una funzione </w:t>
      </w:r>
      <w:r w:rsidR="00F81190">
        <w:t xml:space="preserve">ripristinatoria </w:t>
      </w:r>
      <w:r w:rsidR="004431FA">
        <w:t>piuttosto che</w:t>
      </w:r>
      <w:r w:rsidR="00F81190">
        <w:t xml:space="preserve"> sanzionatoria</w:t>
      </w:r>
      <w:r w:rsidR="004E71BB">
        <w:t xml:space="preserve"> (tipicamente, l’ordinanza di demolizione)</w:t>
      </w:r>
      <w:r w:rsidR="00F81190">
        <w:t>.</w:t>
      </w:r>
      <w:r w:rsidR="006B5318">
        <w:t xml:space="preserve"> </w:t>
      </w:r>
    </w:p>
    <w:p w14:paraId="309DF278" w14:textId="4CC1D813" w:rsidR="00F7237B" w:rsidRDefault="006B5318" w:rsidP="004B43FA">
      <w:pPr>
        <w:pStyle w:val="PersonaleGaramond"/>
        <w:keepLines w:val="0"/>
        <w:widowControl w:val="0"/>
        <w:suppressLineNumbers/>
        <w:tabs>
          <w:tab w:val="left" w:pos="2442"/>
        </w:tabs>
        <w:suppressAutoHyphens/>
      </w:pPr>
      <w:r>
        <w:t>Secondo l’orientamento prevalente, resta</w:t>
      </w:r>
      <w:r w:rsidR="0058433E">
        <w:t xml:space="preserve"> altresì</w:t>
      </w:r>
      <w:r>
        <w:t xml:space="preserve"> esclusa, per </w:t>
      </w:r>
      <w:r w:rsidR="000C27ED">
        <w:t>la normativa che tali provvedimenti regola</w:t>
      </w:r>
      <w:r>
        <w:t xml:space="preserve">, l’applicazione dei principi convenzionali in tema </w:t>
      </w:r>
      <w:r w:rsidR="00F20216">
        <w:t>di sanzioni (penali)</w:t>
      </w:r>
      <w:r w:rsidR="008D7092">
        <w:t xml:space="preserve">, mentre è </w:t>
      </w:r>
      <w:r w:rsidR="000C27ED">
        <w:t xml:space="preserve">sostenibile </w:t>
      </w:r>
      <w:r w:rsidR="00AB1276">
        <w:t xml:space="preserve">l’applicazione del principio di proporzionalità quale canone </w:t>
      </w:r>
      <w:r w:rsidR="00151EE7">
        <w:t xml:space="preserve">costituzionale. </w:t>
      </w:r>
    </w:p>
    <w:p w14:paraId="08BD16D8" w14:textId="438B28F1" w:rsidR="00151EE7" w:rsidRDefault="000C27ED" w:rsidP="00151EE7">
      <w:pPr>
        <w:pStyle w:val="PersonaleGaramond"/>
        <w:keepLines w:val="0"/>
        <w:widowControl w:val="0"/>
        <w:suppressLineNumbers/>
        <w:tabs>
          <w:tab w:val="left" w:pos="2442"/>
        </w:tabs>
        <w:suppressAutoHyphens/>
      </w:pPr>
      <w:r>
        <w:t>In relazione a tale ultima possibilità, peraltro</w:t>
      </w:r>
      <w:r w:rsidR="00151EE7">
        <w:t>, sembra utile affrontare l’argomento spostando lo sguardo</w:t>
      </w:r>
      <w:r w:rsidR="0058433E">
        <w:t>,</w:t>
      </w:r>
      <w:r w:rsidR="00151EE7">
        <w:t xml:space="preserve"> dai singoli istituti, al complessivo sistema di repressione degli abusi edilizi; tanto consente di verificare che esso </w:t>
      </w:r>
      <w:r w:rsidR="001B1E60">
        <w:t>è</w:t>
      </w:r>
      <w:r w:rsidR="00151EE7">
        <w:t xml:space="preserve"> improntato a una gradualità</w:t>
      </w:r>
      <w:r w:rsidR="00BB2A18">
        <w:t xml:space="preserve"> degli strumenti repressivi, dosati</w:t>
      </w:r>
      <w:r w:rsidR="001B1E60">
        <w:t xml:space="preserve"> </w:t>
      </w:r>
      <w:r w:rsidR="00151EE7">
        <w:t xml:space="preserve">in rapporto ai diversi tipi, più e meno gravi, di abusi edilizi. </w:t>
      </w:r>
    </w:p>
    <w:p w14:paraId="592222FA" w14:textId="16256917" w:rsidR="00151EE7" w:rsidRDefault="00151EE7" w:rsidP="00151EE7">
      <w:pPr>
        <w:pStyle w:val="PersonaleGaramond"/>
        <w:keepLines w:val="0"/>
        <w:widowControl w:val="0"/>
        <w:suppressLineNumbers/>
        <w:tabs>
          <w:tab w:val="left" w:pos="2442"/>
        </w:tabs>
        <w:suppressAutoHyphens/>
      </w:pPr>
      <w:r>
        <w:t xml:space="preserve">La distinzione operata, a livello definitorio, tra i diversi tipi di interventi edilizi che, sul piano della disciplina applicabile, richiedono un diverso titolo </w:t>
      </w:r>
      <w:r w:rsidR="00FC47FC">
        <w:t>abilitativo</w:t>
      </w:r>
      <w:r w:rsidR="0035778B">
        <w:t xml:space="preserve"> </w:t>
      </w:r>
      <w:r>
        <w:t>(</w:t>
      </w:r>
      <w:r w:rsidR="005A1286">
        <w:t>o una mera segnalazione</w:t>
      </w:r>
      <w:r w:rsidR="003B526D">
        <w:t>/comunicazione dell’attività edilizia –</w:t>
      </w:r>
      <w:r w:rsidR="00C2145F">
        <w:t xml:space="preserve"> es.</w:t>
      </w:r>
      <w:r w:rsidR="003B526D">
        <w:t xml:space="preserve"> S.C.I.A. e C.I.L.A</w:t>
      </w:r>
      <w:r w:rsidR="00C2145F">
        <w:t>.</w:t>
      </w:r>
      <w:r w:rsidR="003B526D">
        <w:t xml:space="preserve"> - </w:t>
      </w:r>
      <w:r>
        <w:t>o nessun titolo edilizio nel caso di attività libera; v. artt. 3, 3 bis, 6, 6 bis, 10, 22, 23 del D.P.R. n. 380/2001) comporta che il regime sanzionatorio applicabile differisca significativamente a seconda che l’abuso sia più o meno grave.</w:t>
      </w:r>
    </w:p>
    <w:p w14:paraId="0DA4A7BE" w14:textId="77777777" w:rsidR="00151EE7" w:rsidRDefault="00151EE7" w:rsidP="00151EE7">
      <w:pPr>
        <w:pStyle w:val="PersonaleGaramond"/>
        <w:keepLines w:val="0"/>
        <w:widowControl w:val="0"/>
        <w:suppressLineNumbers/>
        <w:tabs>
          <w:tab w:val="left" w:pos="2442"/>
        </w:tabs>
        <w:suppressAutoHyphens/>
      </w:pPr>
      <w:r>
        <w:t>In tal senso, basti un cenno alle norme del TUE che non impongono la demolizione, pur in rapporto a edificazioni illegittime: l’art. 33 co. 2 consente di conservare l’opera (pagando una sanzione pecuniaria) che derivi da un intervento di “</w:t>
      </w:r>
      <w:r w:rsidRPr="0085474D">
        <w:rPr>
          <w:i/>
          <w:iCs/>
        </w:rPr>
        <w:t>ristrutturazione edilizia</w:t>
      </w:r>
      <w:r>
        <w:t>” in assenza o in totale difformità dal permesso di costruire qualora il ripristino non sia tecnicamente possibile; l’art. 34 parimenti consente (pagando una sanzione pecuniaria) di preservare gli interventi solo parzialmente difformi dal permesso di costruire nel caso in cui la demolizione comporti senz’altro un pregiudizio per la parte legittima dell’opera; l’art. 37 prevede l’applicazione della sola sanzione pecuniaria per gli interventi difformi dalla S.C.I.A. (purché ovviamente assentibili secondo tale modalità). Ancora, nello stesso senso, si pensi alla disciplina delle tolleranze costruttive di cui all’art. 34 bis come ampliata, da ultimo, dal D.L. 69/2024 (c.d. “</w:t>
      </w:r>
      <w:r w:rsidRPr="0085474D">
        <w:rPr>
          <w:i/>
          <w:iCs/>
        </w:rPr>
        <w:t>salva casa</w:t>
      </w:r>
      <w:r>
        <w:t>”, conv. con L. 105/2024) e alle stesse ipotesi di sanatoria a regime (l’accertamento di conformità ora declinato non solo nell’art. 36, ma anche nell’ art. 36 bis introdotto con il già menzionato decreto “</w:t>
      </w:r>
      <w:r w:rsidRPr="0085474D">
        <w:rPr>
          <w:i/>
          <w:iCs/>
        </w:rPr>
        <w:t>salva casa</w:t>
      </w:r>
      <w:r>
        <w:t xml:space="preserve">”) o straordinarie per gli abusi di risalente realizzazione (cd. condoni). </w:t>
      </w:r>
    </w:p>
    <w:p w14:paraId="00C3CC1D" w14:textId="22CE9B22" w:rsidR="00151EE7" w:rsidRDefault="00151EE7" w:rsidP="00151EE7">
      <w:pPr>
        <w:pStyle w:val="PersonaleGaramond"/>
        <w:keepLines w:val="0"/>
        <w:widowControl w:val="0"/>
        <w:suppressLineNumbers/>
        <w:tabs>
          <w:tab w:val="left" w:pos="2442"/>
        </w:tabs>
        <w:suppressAutoHyphens/>
      </w:pPr>
      <w:r>
        <w:t xml:space="preserve">Per gli abusi meno gravi, quindi, la demolizione è tendenzialmente esclusa e finanche la mancanza di permesso di costruire (titolo necessario per le opere di nuova costruzione e, comunque, caratterizzate dal maggiore carico urbanistico; v. l’art. 10 del </w:t>
      </w:r>
      <w:r w:rsidR="00324313">
        <w:t>TUE</w:t>
      </w:r>
      <w:r>
        <w:t xml:space="preserve">) può comportare il solo pagamento di una sanzione se l’immobile risulta comunque conforme alla disciplina urbanistico-edilizia secondo il sistema declinato dagli artt. 36 e 36 bis del </w:t>
      </w:r>
      <w:r w:rsidR="00324313">
        <w:t>TUE</w:t>
      </w:r>
      <w:r>
        <w:t xml:space="preserve">. </w:t>
      </w:r>
    </w:p>
    <w:p w14:paraId="727A2ED4" w14:textId="3BD8AF46" w:rsidR="00151EE7" w:rsidRDefault="00151EE7" w:rsidP="00151EE7">
      <w:pPr>
        <w:pStyle w:val="PersonaleGaramond"/>
        <w:keepLines w:val="0"/>
        <w:widowControl w:val="0"/>
        <w:suppressLineNumbers/>
        <w:tabs>
          <w:tab w:val="left" w:pos="2442"/>
        </w:tabs>
        <w:suppressAutoHyphens/>
      </w:pPr>
      <w:r>
        <w:t xml:space="preserve">In altri termini, sebbene le singole misure sfuggano alla diretta applicazione del principio di </w:t>
      </w:r>
      <w:r>
        <w:lastRenderedPageBreak/>
        <w:t xml:space="preserve">proporzionalità, </w:t>
      </w:r>
      <w:r w:rsidR="0026414D">
        <w:t>è sostenibile la tesi secondo cui</w:t>
      </w:r>
      <w:r>
        <w:t xml:space="preserve"> il sistema repressivo, nel suo complesso, rispetti tale principio.</w:t>
      </w:r>
    </w:p>
    <w:p w14:paraId="44C64D98" w14:textId="461A4DBD" w:rsidR="00151EE7" w:rsidRDefault="0026414D" w:rsidP="00E24DFA">
      <w:pPr>
        <w:pStyle w:val="Titolo2Garamond"/>
      </w:pPr>
      <w:bookmarkStart w:id="25" w:name="_Toc196751398"/>
      <w:r>
        <w:t xml:space="preserve">6.2. </w:t>
      </w:r>
      <w:r w:rsidR="00544AAF">
        <w:t>La p</w:t>
      </w:r>
      <w:r w:rsidR="00A00D4E">
        <w:t>roporzionalità e</w:t>
      </w:r>
      <w:r w:rsidR="00544AAF">
        <w:t xml:space="preserve"> il </w:t>
      </w:r>
      <w:r w:rsidR="00151EE7">
        <w:t>fattore tempo</w:t>
      </w:r>
      <w:r>
        <w:t>.</w:t>
      </w:r>
      <w:bookmarkEnd w:id="25"/>
    </w:p>
    <w:p w14:paraId="649C4E68" w14:textId="460E73AE" w:rsidR="005C133A" w:rsidRDefault="002B5276" w:rsidP="004B43FA">
      <w:pPr>
        <w:pStyle w:val="PersonaleGaramond"/>
        <w:keepLines w:val="0"/>
        <w:widowControl w:val="0"/>
        <w:suppressLineNumbers/>
        <w:tabs>
          <w:tab w:val="left" w:pos="2442"/>
        </w:tabs>
        <w:suppressAutoHyphens/>
      </w:pPr>
      <w:r>
        <w:t>Una seconda conclusione è che,</w:t>
      </w:r>
      <w:r w:rsidR="005C133A">
        <w:t xml:space="preserve"> nella fase esecutiva </w:t>
      </w:r>
      <w:r w:rsidR="0023636D">
        <w:t xml:space="preserve">dei </w:t>
      </w:r>
      <w:r w:rsidR="005C133A">
        <w:t xml:space="preserve">provvedimenti </w:t>
      </w:r>
      <w:r w:rsidR="00763A74">
        <w:t>volti alla repressione degli abusi edilizi</w:t>
      </w:r>
      <w:r w:rsidR="00AD176D">
        <w:t>, il principio di proporzionalità</w:t>
      </w:r>
      <w:r w:rsidR="0071560F">
        <w:t>,</w:t>
      </w:r>
      <w:r w:rsidR="00AD176D">
        <w:t xml:space="preserve"> </w:t>
      </w:r>
      <w:r w:rsidR="0071560F">
        <w:t xml:space="preserve">nel senso declinato dalla Corte EDU, </w:t>
      </w:r>
      <w:r w:rsidR="00263E32">
        <w:t>trovi applicazione</w:t>
      </w:r>
      <w:r w:rsidR="007968BB">
        <w:t>,</w:t>
      </w:r>
      <w:r w:rsidR="0034689E">
        <w:t xml:space="preserve"> così da imporre di</w:t>
      </w:r>
      <w:r w:rsidR="00763A74">
        <w:t xml:space="preserve"> tener conto delle esigenze abitative dei soggetti incisi</w:t>
      </w:r>
      <w:r w:rsidR="00F06BDE">
        <w:t xml:space="preserve"> </w:t>
      </w:r>
      <w:r w:rsidR="0034689E">
        <w:t>(analogamente a quanto</w:t>
      </w:r>
      <w:r w:rsidR="00F06BDE">
        <w:t xml:space="preserve"> avviene </w:t>
      </w:r>
      <w:r w:rsidR="00865CE4">
        <w:t xml:space="preserve">in sede di esecuzione </w:t>
      </w:r>
      <w:r w:rsidR="0034689E">
        <w:t xml:space="preserve">dell’ordine di demolizione disposto dal giudice </w:t>
      </w:r>
      <w:r w:rsidR="00865CE4">
        <w:t>penale</w:t>
      </w:r>
      <w:r w:rsidR="0034689E">
        <w:t>)</w:t>
      </w:r>
      <w:r w:rsidR="00865CE4">
        <w:t>.</w:t>
      </w:r>
    </w:p>
    <w:p w14:paraId="2C840FFF" w14:textId="39348400" w:rsidR="00BC0C72" w:rsidRDefault="00BC0C72" w:rsidP="004B43FA">
      <w:pPr>
        <w:pStyle w:val="PersonaleGaramond"/>
        <w:keepLines w:val="0"/>
        <w:widowControl w:val="0"/>
        <w:suppressLineNumbers/>
        <w:tabs>
          <w:tab w:val="left" w:pos="2442"/>
        </w:tabs>
        <w:suppressAutoHyphens/>
      </w:pPr>
      <w:r>
        <w:t>S</w:t>
      </w:r>
      <w:r w:rsidR="00CE600B">
        <w:t>i è visto</w:t>
      </w:r>
      <w:r>
        <w:t>, tuttavia,</w:t>
      </w:r>
      <w:r w:rsidR="00CE600B">
        <w:t xml:space="preserve"> come</w:t>
      </w:r>
      <w:r w:rsidR="00DA659D">
        <w:t xml:space="preserve"> sia operazione non semplice, nel giudizio amministrativo, dare corpo ai principi espressi dalla Corte EDU </w:t>
      </w:r>
      <w:r w:rsidR="00085EC8">
        <w:t>nella fase esecutiva degli ordini demolitori</w:t>
      </w:r>
      <w:r w:rsidR="00DA659D">
        <w:t xml:space="preserve">. </w:t>
      </w:r>
    </w:p>
    <w:p w14:paraId="31E9125C" w14:textId="503575B9" w:rsidR="00BC0C72" w:rsidRDefault="00BC0C72" w:rsidP="004B43FA">
      <w:pPr>
        <w:pStyle w:val="PersonaleGaramond"/>
        <w:keepLines w:val="0"/>
        <w:widowControl w:val="0"/>
        <w:suppressLineNumbers/>
        <w:tabs>
          <w:tab w:val="left" w:pos="2442"/>
        </w:tabs>
        <w:suppressAutoHyphens/>
      </w:pPr>
      <w:r>
        <w:t xml:space="preserve">Del resto, come pure si è detto, </w:t>
      </w:r>
      <w:r w:rsidR="00427866">
        <w:t xml:space="preserve">nel processo amministrativo, </w:t>
      </w:r>
      <w:r>
        <w:t>il principio di proporzionalità è</w:t>
      </w:r>
      <w:r w:rsidR="00427866">
        <w:t>, di norma,</w:t>
      </w:r>
      <w:r>
        <w:t xml:space="preserve"> </w:t>
      </w:r>
      <w:r w:rsidR="00FB7A39">
        <w:t>valorizzato quale canone per scrutinare la legittimità del provvedimento</w:t>
      </w:r>
      <w:r w:rsidR="00374301">
        <w:t xml:space="preserve"> discrezionale piuttosto che la correttezza della sua esecuzione.</w:t>
      </w:r>
    </w:p>
    <w:p w14:paraId="5D573A13" w14:textId="0E7A89AA" w:rsidR="00162505" w:rsidRDefault="005A7213" w:rsidP="004B43FA">
      <w:pPr>
        <w:pStyle w:val="PersonaleGaramond"/>
        <w:keepLines w:val="0"/>
        <w:widowControl w:val="0"/>
        <w:suppressLineNumbers/>
        <w:tabs>
          <w:tab w:val="left" w:pos="2442"/>
        </w:tabs>
        <w:suppressAutoHyphens/>
      </w:pPr>
      <w:r>
        <w:t>S</w:t>
      </w:r>
      <w:r w:rsidR="009F6D03">
        <w:t>ul piano pratico,</w:t>
      </w:r>
      <w:r>
        <w:t xml:space="preserve"> peraltro,</w:t>
      </w:r>
      <w:r w:rsidR="009F6D03">
        <w:t xml:space="preserve"> la valorizzazione del fattore-tempo potrebbe rivelarsi </w:t>
      </w:r>
      <w:r w:rsidR="00C942F5">
        <w:t>la soluzione</w:t>
      </w:r>
      <w:r w:rsidR="008E07FE">
        <w:t xml:space="preserve"> utile</w:t>
      </w:r>
      <w:r w:rsidR="00C942F5">
        <w:t xml:space="preserve"> </w:t>
      </w:r>
      <w:r w:rsidR="008E07FE">
        <w:t xml:space="preserve">a </w:t>
      </w:r>
      <w:r w:rsidR="00C942F5">
        <w:t>fugare qualunque dubbio teorico sul rispetto del diritto all’abitazione</w:t>
      </w:r>
      <w:r w:rsidR="00B15B0E">
        <w:t xml:space="preserve"> nel caso sia disposta la demolizione. Difatti, </w:t>
      </w:r>
      <w:r w:rsidR="004A1672">
        <w:t>il rapporto tra compressione del diritto all’abitazione</w:t>
      </w:r>
      <w:r w:rsidR="00F16B9A">
        <w:t xml:space="preserve"> e l’applicazione della sanzione risulterà, per lo più, proporzionato nella misura in cui si consenta a chi occupa l’immobile abusivo di </w:t>
      </w:r>
      <w:r w:rsidR="005146C0">
        <w:t xml:space="preserve">trovare una diversa (e legittima) soluzione abitativa. Come chiarito anche dal giudice penale, infatti, </w:t>
      </w:r>
      <w:r w:rsidR="00312742">
        <w:t>l’invocazione del proprio diritto all’abitazione non può mascherare comportamenti negligenti o lassisti</w:t>
      </w:r>
      <w:r w:rsidR="00AD3DA0">
        <w:t xml:space="preserve"> di coloro che occupino gli immobili abusivi</w:t>
      </w:r>
      <w:r w:rsidR="00411438">
        <w:t>: q</w:t>
      </w:r>
      <w:r w:rsidR="001A2B4D">
        <w:t>uesti</w:t>
      </w:r>
      <w:r w:rsidR="00AD3DA0">
        <w:t xml:space="preserve"> andranno </w:t>
      </w:r>
      <w:r w:rsidR="00867D27">
        <w:t>pur sempre</w:t>
      </w:r>
      <w:r w:rsidR="00EC506F">
        <w:t xml:space="preserve"> demolit</w:t>
      </w:r>
      <w:r w:rsidR="00AD3DA0">
        <w:t>i</w:t>
      </w:r>
      <w:r w:rsidR="00EC506F">
        <w:t xml:space="preserve"> </w:t>
      </w:r>
      <w:r w:rsidR="00293C5B">
        <w:t>in ossequio ai molteplici interessi pubblici tutelati dalla disciplina urbanistica e edilizia</w:t>
      </w:r>
      <w:r w:rsidR="00162505">
        <w:t>.</w:t>
      </w:r>
    </w:p>
    <w:p w14:paraId="51D9EB12" w14:textId="6F2DC0E3" w:rsidR="00EB328F" w:rsidRDefault="00ED30E0" w:rsidP="004B43FA">
      <w:pPr>
        <w:pStyle w:val="PersonaleGaramond"/>
        <w:keepLines w:val="0"/>
        <w:widowControl w:val="0"/>
        <w:suppressLineNumbers/>
        <w:tabs>
          <w:tab w:val="left" w:pos="2442"/>
        </w:tabs>
        <w:suppressAutoHyphens/>
      </w:pPr>
      <w:r>
        <w:t>Giova osservare che, i</w:t>
      </w:r>
      <w:r w:rsidR="0019669F">
        <w:t xml:space="preserve">n tal senso, </w:t>
      </w:r>
      <w:r>
        <w:t>depone</w:t>
      </w:r>
      <w:r w:rsidR="0019669F">
        <w:t xml:space="preserve"> l</w:t>
      </w:r>
      <w:r w:rsidR="00EB328F">
        <w:t xml:space="preserve">a recente innovazione legislativa illustrata al </w:t>
      </w:r>
      <w:r w:rsidR="00722A3F">
        <w:t>paragrafo 5.3 riguardo al termine oltre il quale opera l</w:t>
      </w:r>
      <w:r w:rsidR="00624ADC">
        <w:t xml:space="preserve">a sanzione dell’acquisizione al patrimonio comunale </w:t>
      </w:r>
      <w:r w:rsidR="0019669F">
        <w:t xml:space="preserve">per l’omessa demolizione. </w:t>
      </w:r>
    </w:p>
    <w:p w14:paraId="68382409" w14:textId="274B3FA8" w:rsidR="0065516D" w:rsidRDefault="00EF4100" w:rsidP="004B43FA">
      <w:pPr>
        <w:pStyle w:val="PersonaleGaramond"/>
        <w:keepLines w:val="0"/>
        <w:widowControl w:val="0"/>
        <w:suppressLineNumbers/>
        <w:tabs>
          <w:tab w:val="left" w:pos="2442"/>
        </w:tabs>
        <w:suppressAutoHyphens/>
      </w:pPr>
      <w:r>
        <w:t>Ebbene</w:t>
      </w:r>
      <w:r w:rsidR="00162505">
        <w:t xml:space="preserve">, nella fase esecutiva della demolizione, la pretesa </w:t>
      </w:r>
      <w:r w:rsidR="00861978">
        <w:t xml:space="preserve">dell’occupante a preservare la costruzione </w:t>
      </w:r>
      <w:r w:rsidR="004713E5">
        <w:t>al fine di tutelare i</w:t>
      </w:r>
      <w:r w:rsidR="00861978">
        <w:t xml:space="preserve">l proprio diritto all’abitazione sarà, per lo più, recessiva </w:t>
      </w:r>
      <w:r w:rsidR="00884337">
        <w:t xml:space="preserve">qualora gli si sia concesso </w:t>
      </w:r>
      <w:r w:rsidR="00375FAD">
        <w:t xml:space="preserve">un tempo congruo per </w:t>
      </w:r>
      <w:r w:rsidR="00352B13">
        <w:t>trasferirsi senza che</w:t>
      </w:r>
      <w:r w:rsidR="008E02EA">
        <w:t xml:space="preserve"> possa risultare dirimente la mera “difficoltà” di reperire una sistemazione alternativa</w:t>
      </w:r>
      <w:r w:rsidR="00375FAD">
        <w:t xml:space="preserve">. </w:t>
      </w:r>
    </w:p>
    <w:p w14:paraId="2ABE7F46" w14:textId="34067CCC" w:rsidR="00B15B0E" w:rsidRDefault="0065516D" w:rsidP="004B43FA">
      <w:pPr>
        <w:pStyle w:val="PersonaleGaramond"/>
        <w:keepLines w:val="0"/>
        <w:widowControl w:val="0"/>
        <w:suppressLineNumbers/>
        <w:tabs>
          <w:tab w:val="left" w:pos="2442"/>
        </w:tabs>
        <w:suppressAutoHyphens/>
      </w:pPr>
      <w:r>
        <w:t>Per un verso, quindi, c</w:t>
      </w:r>
      <w:r w:rsidR="00B32EC7">
        <w:t>onsiderati i tempi</w:t>
      </w:r>
      <w:r w:rsidR="00884337">
        <w:t xml:space="preserve"> -</w:t>
      </w:r>
      <w:r w:rsidR="005C229C">
        <w:t xml:space="preserve"> in genere non brevi anche per la cronica mancanza di riso</w:t>
      </w:r>
      <w:r w:rsidR="00317D50">
        <w:t>rse</w:t>
      </w:r>
      <w:r w:rsidR="00884337">
        <w:t xml:space="preserve"> -</w:t>
      </w:r>
      <w:r w:rsidR="005C229C">
        <w:t xml:space="preserve"> con cui le pubbliche amministrazioni procedono alle demolizioni</w:t>
      </w:r>
      <w:r w:rsidR="00884337">
        <w:t>,</w:t>
      </w:r>
      <w:r w:rsidR="004A1672">
        <w:t xml:space="preserve"> </w:t>
      </w:r>
      <w:r w:rsidR="00317D50">
        <w:t>è facile prevedere che, all’atto di eseguire la demolizione, sarà quasi sempre decorso un tempo sufficiente</w:t>
      </w:r>
      <w:r w:rsidR="00B0493B">
        <w:t>.</w:t>
      </w:r>
      <w:r w:rsidR="004A1672">
        <w:t xml:space="preserve"> </w:t>
      </w:r>
    </w:p>
    <w:p w14:paraId="63F3A426" w14:textId="0955B0CB" w:rsidR="00D54CD8" w:rsidRDefault="009B1968" w:rsidP="00E24DFA">
      <w:pPr>
        <w:pStyle w:val="PersonaleGaramond"/>
        <w:keepLines w:val="0"/>
        <w:widowControl w:val="0"/>
        <w:suppressLineNumbers/>
        <w:tabs>
          <w:tab w:val="left" w:pos="2442"/>
        </w:tabs>
        <w:suppressAutoHyphens/>
      </w:pPr>
      <w:r>
        <w:t>Per altro verso, qualora l’argomento della proporzionalità del rimedio rispetto al diritto all’abitazione</w:t>
      </w:r>
      <w:r w:rsidR="00E151B7">
        <w:t xml:space="preserve"> sia speso nell’ambito del giudizio impugnatorio avverso l’ordine di demolizione</w:t>
      </w:r>
      <w:r w:rsidR="005F52A4">
        <w:t>, il giudice che</w:t>
      </w:r>
      <w:r w:rsidR="00421E3D">
        <w:t xml:space="preserve"> (discostandosi dall’orientamento ora dominante)</w:t>
      </w:r>
      <w:r w:rsidR="005F52A4">
        <w:t xml:space="preserve"> </w:t>
      </w:r>
      <w:r w:rsidR="00421E3D">
        <w:t>ritenga il principio operante anche nella fase di emanazione del provvedimento (e quindi non solo nella fase esecutiva)</w:t>
      </w:r>
      <w:r w:rsidR="00E151B7">
        <w:t xml:space="preserve"> </w:t>
      </w:r>
      <w:r w:rsidR="00A80735">
        <w:t>potrà dare il giusto peso al tempo trascorso anche valorizzando la fase cautelare mediante la concessione di un termine “di grazia” come illustrato al superiore par. 4.2.</w:t>
      </w:r>
    </w:p>
    <w:sectPr w:rsidR="00D54C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AA86CE" w14:textId="77777777" w:rsidR="003C5322" w:rsidRDefault="003C5322" w:rsidP="00E11F81">
      <w:r>
        <w:separator/>
      </w:r>
    </w:p>
  </w:endnote>
  <w:endnote w:type="continuationSeparator" w:id="0">
    <w:p w14:paraId="73DBAD8E" w14:textId="77777777" w:rsidR="003C5322" w:rsidRDefault="003C5322" w:rsidP="00E11F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84F849" w14:textId="77777777" w:rsidR="003C5322" w:rsidRDefault="003C5322" w:rsidP="00E11F81">
      <w:r>
        <w:separator/>
      </w:r>
    </w:p>
  </w:footnote>
  <w:footnote w:type="continuationSeparator" w:id="0">
    <w:p w14:paraId="5B8AB400" w14:textId="77777777" w:rsidR="003C5322" w:rsidRDefault="003C5322" w:rsidP="00E11F81">
      <w:r>
        <w:continuationSeparator/>
      </w:r>
    </w:p>
  </w:footnote>
  <w:footnote w:id="1">
    <w:p w14:paraId="1A8F8292" w14:textId="63D6518B" w:rsidR="0031430B" w:rsidRDefault="0031430B">
      <w:pPr>
        <w:pStyle w:val="Testonotaapidipagina"/>
      </w:pPr>
      <w:r>
        <w:rPr>
          <w:rStyle w:val="Rimandonotaapidipagina"/>
        </w:rPr>
        <w:footnoteRef/>
      </w:r>
      <w:r>
        <w:t xml:space="preserve"> </w:t>
      </w:r>
      <w:r w:rsidRPr="0031430B">
        <w:t>Il presente scritto deriva dall’intervento svolto nell’ambito del corso di formazione</w:t>
      </w:r>
      <w:r w:rsidR="00A043E5">
        <w:t xml:space="preserve"> “</w:t>
      </w:r>
      <w:r w:rsidR="00A043E5" w:rsidRPr="004E12A1">
        <w:rPr>
          <w:i/>
          <w:iCs/>
        </w:rPr>
        <w:t>Il diritto della città e le novità in materia edilizia</w:t>
      </w:r>
      <w:r w:rsidR="004E12A1">
        <w:t>”</w:t>
      </w:r>
      <w:r w:rsidRPr="0031430B">
        <w:t>, organizzato dall’Ufficio studi</w:t>
      </w:r>
      <w:r w:rsidR="004E12A1">
        <w:t xml:space="preserve"> e formazione</w:t>
      </w:r>
      <w:r w:rsidRPr="0031430B">
        <w:t xml:space="preserve"> della Giustizia amministrativa, svoltosi in data 27 e 28 marzo presso il T.A.R. Campania, sede di Napoli</w:t>
      </w:r>
    </w:p>
  </w:footnote>
  <w:footnote w:id="2">
    <w:p w14:paraId="4C61BA74" w14:textId="138BCFA1" w:rsidR="001A45EA" w:rsidRDefault="001A45EA">
      <w:pPr>
        <w:pStyle w:val="Testonotaapidipagina"/>
      </w:pPr>
      <w:r>
        <w:rPr>
          <w:rStyle w:val="Rimandonotaapidipagina"/>
        </w:rPr>
        <w:footnoteRef/>
      </w:r>
      <w:r>
        <w:t xml:space="preserve"> Consigliere del T.A.R. Campania, Napoli.</w:t>
      </w:r>
    </w:p>
  </w:footnote>
  <w:footnote w:id="3">
    <w:p w14:paraId="140E0260" w14:textId="5539EDCA" w:rsidR="007B423B" w:rsidRDefault="007B423B" w:rsidP="007B423B">
      <w:pPr>
        <w:pStyle w:val="Testonotaapidipagina"/>
      </w:pPr>
      <w:r>
        <w:rPr>
          <w:rStyle w:val="Rimandonotaapidipagina"/>
        </w:rPr>
        <w:footnoteRef/>
      </w:r>
      <w:r>
        <w:t xml:space="preserve"> </w:t>
      </w:r>
      <w:r w:rsidR="00D90201">
        <w:t xml:space="preserve">Viganò F., </w:t>
      </w:r>
      <w:r w:rsidR="00D90201" w:rsidRPr="00D90201">
        <w:rPr>
          <w:i/>
          <w:iCs/>
        </w:rPr>
        <w:t>La proporzionalità della pena tra diritto costituzionale italiano e diritto dell’Unione europea: sull’effetto diretto dell’art. 49, paragrafo 3, della Carta alla luce di una recentissima sentenza della Corte di giustizia</w:t>
      </w:r>
      <w:r w:rsidR="00D90201">
        <w:t>,</w:t>
      </w:r>
      <w:r w:rsidR="008108F7" w:rsidRPr="008108F7">
        <w:t xml:space="preserve"> Nota a C. giust. UE, Grande Sezione, </w:t>
      </w:r>
      <w:r w:rsidR="005F2893">
        <w:t>S</w:t>
      </w:r>
      <w:r w:rsidR="008108F7" w:rsidRPr="008108F7">
        <w:t>ent. 8 marzo 2022, C-205/20, NE</w:t>
      </w:r>
      <w:r w:rsidR="008108F7">
        <w:t>, 26 aprile 2022,</w:t>
      </w:r>
      <w:r w:rsidR="00D90201">
        <w:t xml:space="preserve"> in </w:t>
      </w:r>
      <w:hyperlink r:id="rId1" w:history="1">
        <w:r w:rsidR="00D90201" w:rsidRPr="005236CE">
          <w:rPr>
            <w:rStyle w:val="Collegamentoipertestuale"/>
          </w:rPr>
          <w:t>www.sistemapenale.it</w:t>
        </w:r>
      </w:hyperlink>
      <w:r w:rsidR="009F5EC8">
        <w:t>.</w:t>
      </w:r>
      <w:r w:rsidR="00D90201">
        <w:t xml:space="preserve"> </w:t>
      </w:r>
    </w:p>
  </w:footnote>
  <w:footnote w:id="4">
    <w:p w14:paraId="4A64A05B" w14:textId="77777777" w:rsidR="00784B4C" w:rsidRDefault="00784B4C" w:rsidP="00784B4C">
      <w:pPr>
        <w:pStyle w:val="Testonotaapidipagina"/>
      </w:pPr>
      <w:r>
        <w:rPr>
          <w:rStyle w:val="Rimandonotaapidipagina"/>
        </w:rPr>
        <w:footnoteRef/>
      </w:r>
      <w:r>
        <w:t xml:space="preserve"> Il provvedimento dell’AGCM è reperibile al link </w:t>
      </w:r>
      <w:r w:rsidRPr="001C5FEE">
        <w:t>https://www.agcm.it/dotcmsdoc/allegati-news/PS12506%20chiusura.pdf</w:t>
      </w:r>
    </w:p>
  </w:footnote>
  <w:footnote w:id="5">
    <w:p w14:paraId="7EA04E34" w14:textId="6254CE4C" w:rsidR="00E11F81" w:rsidRPr="003A5C25" w:rsidRDefault="00E11F81" w:rsidP="00771067">
      <w:pPr>
        <w:pStyle w:val="Testonotaapidipagina"/>
      </w:pPr>
      <w:r>
        <w:rPr>
          <w:rStyle w:val="Rimandonotaapidipagina"/>
        </w:rPr>
        <w:footnoteRef/>
      </w:r>
      <w:r>
        <w:t xml:space="preserve"> </w:t>
      </w:r>
      <w:r w:rsidR="00771067">
        <w:t xml:space="preserve">Simeoli D., </w:t>
      </w:r>
      <w:bookmarkStart w:id="4" w:name="_Hlk196419266"/>
      <w:r w:rsidR="00771067" w:rsidRPr="00771067">
        <w:rPr>
          <w:i/>
          <w:iCs/>
        </w:rPr>
        <w:t>Le sanzioni amministrative ‘punitive’ tra diritto costituzionale ed europeo</w:t>
      </w:r>
      <w:bookmarkEnd w:id="4"/>
      <w:r w:rsidR="003A5C25">
        <w:rPr>
          <w:i/>
          <w:iCs/>
        </w:rPr>
        <w:t>,</w:t>
      </w:r>
      <w:r w:rsidR="003A5C25" w:rsidRPr="003A5C25">
        <w:t xml:space="preserve"> scritto destinato alla Rivista della Regolazione dei Mercati, fascicolo n. 1 del 2022</w:t>
      </w:r>
      <w:r w:rsidR="003A5C25">
        <w:t xml:space="preserve">, </w:t>
      </w:r>
      <w:r w:rsidR="008F162E">
        <w:t>pubblicato sul sito istituzionale della giustizia amministrativa</w:t>
      </w:r>
      <w:r w:rsidR="008A7D84">
        <w:t xml:space="preserve"> (www.giustizia-amministrativa.it), </w:t>
      </w:r>
      <w:r w:rsidR="005F2893">
        <w:t>S</w:t>
      </w:r>
      <w:r w:rsidR="008A7D84">
        <w:t>ez. dottrina</w:t>
      </w:r>
      <w:r w:rsidR="008F162E">
        <w:t>.</w:t>
      </w:r>
    </w:p>
  </w:footnote>
  <w:footnote w:id="6">
    <w:p w14:paraId="7F38629E" w14:textId="525AD21C" w:rsidR="002F6F21" w:rsidRDefault="002F6F21">
      <w:pPr>
        <w:pStyle w:val="Testonotaapidipagina"/>
      </w:pPr>
      <w:r>
        <w:rPr>
          <w:rStyle w:val="Rimandonotaapidipagina"/>
        </w:rPr>
        <w:footnoteRef/>
      </w:r>
      <w:r>
        <w:t xml:space="preserve"> </w:t>
      </w:r>
      <w:r w:rsidR="00285263" w:rsidRPr="001E6BE5">
        <w:t>Corte costituzionale</w:t>
      </w:r>
      <w:r w:rsidR="001E6BE5" w:rsidRPr="001E6BE5">
        <w:t xml:space="preserve"> n.112</w:t>
      </w:r>
      <w:r w:rsidR="00285263">
        <w:t xml:space="preserve"> del 10 maggio 2019</w:t>
      </w:r>
      <w:r w:rsidR="008C5BD8">
        <w:t>. Nella medesima Sentenza, peraltro, s</w:t>
      </w:r>
      <w:r w:rsidR="004C5760">
        <w:t>i è</w:t>
      </w:r>
      <w:r w:rsidR="008C5BD8">
        <w:t xml:space="preserve"> </w:t>
      </w:r>
      <w:r w:rsidR="004C5760">
        <w:t>esclus</w:t>
      </w:r>
      <w:r w:rsidR="008C5BD8">
        <w:t>a l’utilità del</w:t>
      </w:r>
      <w:r w:rsidR="004C5760">
        <w:t xml:space="preserve"> richiamo all’art. 27 Cost. in quanto riferibile alle</w:t>
      </w:r>
      <w:r w:rsidR="008C5BD8">
        <w:t xml:space="preserve"> sole</w:t>
      </w:r>
      <w:r w:rsidR="004C5760">
        <w:t xml:space="preserve"> ‘pene’</w:t>
      </w:r>
      <w:r w:rsidR="008C5BD8">
        <w:t xml:space="preserve"> nel senso inteso dal diritto interno.</w:t>
      </w:r>
      <w:r w:rsidR="00DC118C">
        <w:t xml:space="preserve"> </w:t>
      </w:r>
    </w:p>
  </w:footnote>
  <w:footnote w:id="7">
    <w:p w14:paraId="60FC8DB4" w14:textId="61DD2D6F" w:rsidR="005F39A9" w:rsidRDefault="005F39A9">
      <w:pPr>
        <w:pStyle w:val="Testonotaapidipagina"/>
      </w:pPr>
      <w:r>
        <w:rPr>
          <w:rStyle w:val="Rimandonotaapidipagina"/>
        </w:rPr>
        <w:footnoteRef/>
      </w:r>
      <w:r>
        <w:t xml:space="preserve"> </w:t>
      </w:r>
      <w:r w:rsidR="00012C78">
        <w:t>Si</w:t>
      </w:r>
      <w:r w:rsidRPr="005F39A9">
        <w:t xml:space="preserve"> prevedeva, quale sanzione amministrativa, la confisca obbligatoria, diretta o per equivalente, del prodotto dell'illecito di insider trading e dei beni utilizzati per commetterlo, e non del solo profitto</w:t>
      </w:r>
      <w:r w:rsidR="00012C78">
        <w:t xml:space="preserve"> da esso derivante.</w:t>
      </w:r>
    </w:p>
  </w:footnote>
  <w:footnote w:id="8">
    <w:p w14:paraId="2A75E638" w14:textId="47C27A14" w:rsidR="001D4FFE" w:rsidRDefault="001D4FFE" w:rsidP="001D4FFE">
      <w:pPr>
        <w:pStyle w:val="Testonotaapidipagina"/>
      </w:pPr>
      <w:r>
        <w:rPr>
          <w:rStyle w:val="Rimandonotaapidipagina"/>
        </w:rPr>
        <w:footnoteRef/>
      </w:r>
      <w:r>
        <w:t xml:space="preserve"> </w:t>
      </w:r>
      <w:r w:rsidR="00285263">
        <w:t>v. l’art. 31 co. 1 TUE: «</w:t>
      </w:r>
      <w:r w:rsidR="00285263" w:rsidRPr="00285263">
        <w:rPr>
          <w:i/>
          <w:iCs/>
        </w:rPr>
        <w:t>s</w:t>
      </w:r>
      <w:r w:rsidRPr="00285263">
        <w:rPr>
          <w:i/>
          <w:iCs/>
        </w:rPr>
        <w:t>ono interventi eseguiti in totale difformità dal permesso di costruire quelli che comportano la realizzazione di un organismo edilizio integralmente diverso per caratteristiche tipologiche, plano-volumetriche o di utilizzazione da quello oggetto del permesso stesso, ovvero l'esecuzione di volumi edilizi oltre i limiti indicati nel progetto e tali da costituire un organismo edilizio o parte di esso con specifica rilevanza ed autonomamente utilizzabile</w:t>
      </w:r>
      <w:r w:rsidR="00285263">
        <w:t>»</w:t>
      </w:r>
      <w:r w:rsidRPr="00C17759">
        <w:t>.</w:t>
      </w:r>
    </w:p>
  </w:footnote>
  <w:footnote w:id="9">
    <w:p w14:paraId="5D065592" w14:textId="140C963F" w:rsidR="00EC5103" w:rsidRDefault="00EC5103">
      <w:pPr>
        <w:pStyle w:val="Testonotaapidipagina"/>
      </w:pPr>
      <w:r>
        <w:rPr>
          <w:rStyle w:val="Rimandonotaapidipagina"/>
        </w:rPr>
        <w:footnoteRef/>
      </w:r>
      <w:r>
        <w:t xml:space="preserve"> </w:t>
      </w:r>
      <w:r w:rsidR="00874F87" w:rsidRPr="00874F87">
        <w:t xml:space="preserve">T.A.R. </w:t>
      </w:r>
      <w:r w:rsidR="007A0DFD">
        <w:t xml:space="preserve">Campania, </w:t>
      </w:r>
      <w:r w:rsidR="00874F87" w:rsidRPr="00874F87">
        <w:t xml:space="preserve">Napoli, </w:t>
      </w:r>
      <w:r w:rsidR="005F2893">
        <w:t>S</w:t>
      </w:r>
      <w:r w:rsidR="00874F87" w:rsidRPr="00874F87">
        <w:t>ez. VI, n.3584</w:t>
      </w:r>
      <w:r w:rsidR="007A0DFD">
        <w:t xml:space="preserve"> del </w:t>
      </w:r>
      <w:r w:rsidR="007A0DFD" w:rsidRPr="00874F87">
        <w:t>01</w:t>
      </w:r>
      <w:r w:rsidR="007A0DFD">
        <w:t xml:space="preserve"> luglio </w:t>
      </w:r>
      <w:r w:rsidR="007A0DFD" w:rsidRPr="00874F87">
        <w:t>2019,</w:t>
      </w:r>
      <w:r w:rsidR="002A490C">
        <w:t>: «l</w:t>
      </w:r>
      <w:r w:rsidR="00874F87" w:rsidRPr="00874F87">
        <w:t>'articolo 27, d.P.R. n. 380/2001 ha sul piano dei presupposti di fatto un ambito solo parzialmente coincidente con l'articolo 31, nel senso che esso si applica anche a interventi che non ricadono nell'area dell'articolo 31 (cioè opere abusive non soggette a permesso di costruire) e, allorché vengano in rilievo interventi di nuova costruzione, si applica solo a quelli che sono realizzati in aree soggette a particolare tutela (secondo l'interpretazione della novella del 2003 dell'art. 27, comma 2, che appare preferibile). Da quanto precede discende che le ordinanze ex art. 27, comma 2, e art. 31 sono soggette a regimi giuridici diversi, sicché non è possibile applicare alle prime le disposizioni previste per le seconde e, in particolare, non è possibile applicare al caso di inosservanza delle ordinanze ex art. 27 le sanzioni che l'art. 31 prevede per l'inosservanza dell'ordinanza di demolizione da esso regolate</w:t>
      </w:r>
      <w:r w:rsidR="002A490C">
        <w:t>»</w:t>
      </w:r>
      <w:r w:rsidR="00874F87" w:rsidRPr="00874F87">
        <w:t>.</w:t>
      </w:r>
    </w:p>
  </w:footnote>
  <w:footnote w:id="10">
    <w:p w14:paraId="60A77261" w14:textId="49E31E77" w:rsidR="0033666D" w:rsidRPr="00FD6789" w:rsidRDefault="0033666D" w:rsidP="0033666D">
      <w:pPr>
        <w:pStyle w:val="Testonotaapidipagina"/>
      </w:pPr>
      <w:r>
        <w:rPr>
          <w:rStyle w:val="Rimandonotaapidipagina"/>
        </w:rPr>
        <w:footnoteRef/>
      </w:r>
      <w:r w:rsidRPr="00FD6789">
        <w:t xml:space="preserve"> </w:t>
      </w:r>
      <w:r w:rsidR="00FD6789">
        <w:t xml:space="preserve">v. </w:t>
      </w:r>
      <w:r w:rsidR="00304B32" w:rsidRPr="00FD6789">
        <w:t xml:space="preserve">C.d.S., </w:t>
      </w:r>
      <w:r w:rsidRPr="00FD6789">
        <w:t>Ad</w:t>
      </w:r>
      <w:r w:rsidR="00B55638">
        <w:t>.</w:t>
      </w:r>
      <w:r w:rsidRPr="00FD6789">
        <w:t xml:space="preserve"> plen.</w:t>
      </w:r>
      <w:r w:rsidR="00FD6789" w:rsidRPr="00FD6789">
        <w:t>, Sentenza n.</w:t>
      </w:r>
      <w:r w:rsidRPr="00FD6789">
        <w:t xml:space="preserve"> 9</w:t>
      </w:r>
      <w:r w:rsidR="00FD6789" w:rsidRPr="00FD6789">
        <w:t xml:space="preserve"> del 17 ottobre </w:t>
      </w:r>
      <w:r w:rsidRPr="00FD6789">
        <w:t>2017</w:t>
      </w:r>
      <w:r w:rsidR="00FD6789" w:rsidRPr="00FD6789">
        <w:t>.</w:t>
      </w:r>
    </w:p>
  </w:footnote>
  <w:footnote w:id="11">
    <w:p w14:paraId="111B0828" w14:textId="401E01E6" w:rsidR="00504780" w:rsidRDefault="00504780">
      <w:pPr>
        <w:pStyle w:val="Testonotaapidipagina"/>
      </w:pPr>
      <w:r>
        <w:rPr>
          <w:rStyle w:val="Rimandonotaapidipagina"/>
        </w:rPr>
        <w:footnoteRef/>
      </w:r>
      <w:r>
        <w:t xml:space="preserve"> Simeoli</w:t>
      </w:r>
      <w:r w:rsidR="00290123">
        <w:t xml:space="preserve"> D., </w:t>
      </w:r>
      <w:r w:rsidR="00290123" w:rsidRPr="00290123">
        <w:rPr>
          <w:i/>
          <w:iCs/>
        </w:rPr>
        <w:t>Le sanzioni amministrative ‘punitive’ tra diritto costituzionale ed europeo</w:t>
      </w:r>
      <w:r w:rsidR="00290123" w:rsidRPr="00290123">
        <w:t>, cit.</w:t>
      </w:r>
      <w:r w:rsidR="00290123">
        <w:t xml:space="preserve">; </w:t>
      </w:r>
      <w:r w:rsidR="00B4723F">
        <w:t>Lunardelli M.</w:t>
      </w:r>
      <w:r w:rsidR="00346538">
        <w:t xml:space="preserve">, </w:t>
      </w:r>
      <w:r w:rsidR="00346538" w:rsidRPr="00346538">
        <w:rPr>
          <w:i/>
          <w:iCs/>
        </w:rPr>
        <w:t xml:space="preserve">Sanzioni e misure ripristinatorie: una rivalutazione del pensiero di </w:t>
      </w:r>
      <w:r w:rsidR="00346538">
        <w:rPr>
          <w:i/>
          <w:iCs/>
        </w:rPr>
        <w:t>F</w:t>
      </w:r>
      <w:r w:rsidR="00346538" w:rsidRPr="00346538">
        <w:rPr>
          <w:i/>
          <w:iCs/>
        </w:rPr>
        <w:t xml:space="preserve">eliciano </w:t>
      </w:r>
      <w:r w:rsidR="00346538">
        <w:rPr>
          <w:i/>
          <w:iCs/>
        </w:rPr>
        <w:t>B</w:t>
      </w:r>
      <w:r w:rsidR="00346538" w:rsidRPr="00346538">
        <w:rPr>
          <w:i/>
          <w:iCs/>
        </w:rPr>
        <w:t>envenuti</w:t>
      </w:r>
      <w:r w:rsidR="00346538">
        <w:t xml:space="preserve">, </w:t>
      </w:r>
      <w:r w:rsidR="000B4E1E">
        <w:t xml:space="preserve">in </w:t>
      </w:r>
      <w:r w:rsidR="000B4E1E" w:rsidRPr="000B4E1E">
        <w:rPr>
          <w:i/>
          <w:iCs/>
        </w:rPr>
        <w:t>Rivista Giuridica dell'Edilizia</w:t>
      </w:r>
      <w:r w:rsidR="000B4E1E" w:rsidRPr="006931F6">
        <w:t xml:space="preserve">, </w:t>
      </w:r>
      <w:r w:rsidR="00A71401">
        <w:t xml:space="preserve">ed. Giuffrè Lefebvre, </w:t>
      </w:r>
      <w:r w:rsidR="000B4E1E" w:rsidRPr="006931F6">
        <w:t xml:space="preserve">fasc.4, </w:t>
      </w:r>
      <w:proofErr w:type="gramStart"/>
      <w:r w:rsidR="00693D15">
        <w:t>1 agosto</w:t>
      </w:r>
      <w:proofErr w:type="gramEnd"/>
      <w:r w:rsidR="000B4E1E" w:rsidRPr="006931F6">
        <w:t xml:space="preserve"> 2021, pag. 173</w:t>
      </w:r>
      <w:r w:rsidR="000B4E1E">
        <w:t>.</w:t>
      </w:r>
    </w:p>
  </w:footnote>
  <w:footnote w:id="12">
    <w:p w14:paraId="2FD66C42" w14:textId="60910B73" w:rsidR="00DF70B2" w:rsidRDefault="00DF70B2">
      <w:pPr>
        <w:pStyle w:val="Testonotaapidipagina"/>
      </w:pPr>
      <w:r>
        <w:rPr>
          <w:rStyle w:val="Rimandonotaapidipagina"/>
        </w:rPr>
        <w:footnoteRef/>
      </w:r>
      <w:r>
        <w:t xml:space="preserve"> Intesa quale </w:t>
      </w:r>
      <w:r w:rsidRPr="00DF70B2">
        <w:t>rapporto tra mezzo adoperato e fine perseguito</w:t>
      </w:r>
      <w:r w:rsidR="00840F34">
        <w:t>.</w:t>
      </w:r>
    </w:p>
  </w:footnote>
  <w:footnote w:id="13">
    <w:p w14:paraId="47C73ECE" w14:textId="0979010A" w:rsidR="00840F34" w:rsidRDefault="00840F34">
      <w:pPr>
        <w:pStyle w:val="Testonotaapidipagina"/>
      </w:pPr>
      <w:r>
        <w:rPr>
          <w:rStyle w:val="Rimandonotaapidipagina"/>
        </w:rPr>
        <w:footnoteRef/>
      </w:r>
      <w:r>
        <w:t xml:space="preserve"> Intesa quale </w:t>
      </w:r>
      <w:r w:rsidRPr="00840F34">
        <w:t xml:space="preserve">assenza di mezzi </w:t>
      </w:r>
      <w:r w:rsidR="006D5A63">
        <w:t xml:space="preserve">parimenti </w:t>
      </w:r>
      <w:r w:rsidRPr="00840F34">
        <w:t>idonei</w:t>
      </w:r>
      <w:r w:rsidR="006D5A63">
        <w:t xml:space="preserve"> allo scopo ma</w:t>
      </w:r>
      <w:r w:rsidRPr="00840F34">
        <w:t xml:space="preserve"> che incidano </w:t>
      </w:r>
      <w:r w:rsidR="006D5A63">
        <w:t>in misura minore</w:t>
      </w:r>
      <w:r w:rsidRPr="00840F34">
        <w:t xml:space="preserve"> sulla sfera del </w:t>
      </w:r>
      <w:r w:rsidR="006D5A63">
        <w:t>destinatario del provvedimento</w:t>
      </w:r>
      <w:r>
        <w:t>.</w:t>
      </w:r>
    </w:p>
  </w:footnote>
  <w:footnote w:id="14">
    <w:p w14:paraId="40D84F42" w14:textId="66151171" w:rsidR="006D5A63" w:rsidRDefault="006D5A63">
      <w:pPr>
        <w:pStyle w:val="Testonotaapidipagina"/>
      </w:pPr>
      <w:r>
        <w:rPr>
          <w:rStyle w:val="Rimandonotaapidipagina"/>
        </w:rPr>
        <w:footnoteRef/>
      </w:r>
      <w:r>
        <w:t xml:space="preserve"> Intesa quale </w:t>
      </w:r>
      <w:r w:rsidRPr="006D5A63">
        <w:t>tollerabilità della restrizione</w:t>
      </w:r>
      <w:r>
        <w:t>.</w:t>
      </w:r>
    </w:p>
  </w:footnote>
  <w:footnote w:id="15">
    <w:p w14:paraId="2B7AD478" w14:textId="6AC9DC35" w:rsidR="009E12EB" w:rsidRDefault="009E12EB">
      <w:pPr>
        <w:pStyle w:val="Testonotaapidipagina"/>
      </w:pPr>
      <w:r>
        <w:rPr>
          <w:rStyle w:val="Rimandonotaapidipagina"/>
        </w:rPr>
        <w:footnoteRef/>
      </w:r>
      <w:r>
        <w:t xml:space="preserve"> </w:t>
      </w:r>
      <w:r w:rsidR="00992EE4" w:rsidRPr="00992EE4">
        <w:t>v. C.d.S., Ad plen., Sentenza n. 9 del 17 ottobre 2017</w:t>
      </w:r>
      <w:r w:rsidR="00992EE4">
        <w:t>, cit.</w:t>
      </w:r>
    </w:p>
  </w:footnote>
  <w:footnote w:id="16">
    <w:p w14:paraId="553DAEE2" w14:textId="1A536BEA" w:rsidR="00461BC1" w:rsidRDefault="00461BC1">
      <w:pPr>
        <w:pStyle w:val="Testonotaapidipagina"/>
      </w:pPr>
      <w:r>
        <w:rPr>
          <w:rStyle w:val="Rimandonotaapidipagina"/>
        </w:rPr>
        <w:footnoteRef/>
      </w:r>
      <w:r>
        <w:t xml:space="preserve"> v., da ultimo, </w:t>
      </w:r>
      <w:r w:rsidRPr="00461BC1">
        <w:t>CEDU</w:t>
      </w:r>
      <w:r w:rsidR="00D72E71">
        <w:t>, Sent.</w:t>
      </w:r>
      <w:r w:rsidRPr="00461BC1">
        <w:t xml:space="preserve"> n. 35780/18 del 12 settembre 2024, L</w:t>
      </w:r>
      <w:r>
        <w:t>ongo</w:t>
      </w:r>
      <w:r w:rsidRPr="00461BC1">
        <w:t xml:space="preserve"> c. Italia</w:t>
      </w:r>
    </w:p>
  </w:footnote>
  <w:footnote w:id="17">
    <w:p w14:paraId="3AAA4960" w14:textId="291DABC2" w:rsidR="00E06F27" w:rsidRDefault="00E06F27" w:rsidP="00A72AC8">
      <w:pPr>
        <w:pStyle w:val="Testonotaapidipagina"/>
      </w:pPr>
      <w:r>
        <w:rPr>
          <w:rStyle w:val="Rimandonotaapidipagina"/>
        </w:rPr>
        <w:footnoteRef/>
      </w:r>
      <w:r>
        <w:t xml:space="preserve"> Di Mario A.</w:t>
      </w:r>
      <w:r w:rsidR="00A72AC8">
        <w:t>,</w:t>
      </w:r>
      <w:r>
        <w:t xml:space="preserve"> </w:t>
      </w:r>
      <w:r w:rsidR="00A72AC8" w:rsidRPr="00D72E71">
        <w:rPr>
          <w:i/>
          <w:iCs/>
        </w:rPr>
        <w:t>Sanzioni urbanistico-edilizie e canone di proporzionalità, alla luce dei principi sovranazionali</w:t>
      </w:r>
      <w:r w:rsidR="00A72AC8">
        <w:t xml:space="preserve">, 16 febbraio 2023, </w:t>
      </w:r>
      <w:r w:rsidR="003D0E2E">
        <w:t xml:space="preserve">reperibile </w:t>
      </w:r>
      <w:r w:rsidR="00606575">
        <w:t>sul sito istituzionale della giustizia amministrativa</w:t>
      </w:r>
      <w:r w:rsidR="00D72E71">
        <w:t>, www.giustizia-amministrativa.it.</w:t>
      </w:r>
    </w:p>
  </w:footnote>
  <w:footnote w:id="18">
    <w:p w14:paraId="3FCB6F07" w14:textId="4C6C6687" w:rsidR="00000141" w:rsidRDefault="00000141">
      <w:pPr>
        <w:pStyle w:val="Testonotaapidipagina"/>
      </w:pPr>
      <w:r>
        <w:rPr>
          <w:rStyle w:val="Rimandonotaapidipagina"/>
        </w:rPr>
        <w:footnoteRef/>
      </w:r>
      <w:r>
        <w:t xml:space="preserve"> </w:t>
      </w:r>
      <w:r w:rsidR="00FA231B">
        <w:t>v. CEDU</w:t>
      </w:r>
      <w:r w:rsidR="00FA231B" w:rsidRPr="00FA231B">
        <w:t xml:space="preserve">, Sez. V, </w:t>
      </w:r>
      <w:r>
        <w:t>Sent. n. 46577/15 del 21 aprile 2016</w:t>
      </w:r>
      <w:r w:rsidR="00D25CFB">
        <w:t>.</w:t>
      </w:r>
    </w:p>
  </w:footnote>
  <w:footnote w:id="19">
    <w:p w14:paraId="22BFA3E7" w14:textId="04A2D42E" w:rsidR="003066FC" w:rsidRDefault="003066FC">
      <w:pPr>
        <w:pStyle w:val="Testonotaapidipagina"/>
      </w:pPr>
      <w:r>
        <w:rPr>
          <w:rStyle w:val="Rimandonotaapidipagina"/>
        </w:rPr>
        <w:footnoteRef/>
      </w:r>
      <w:r>
        <w:t xml:space="preserve"> </w:t>
      </w:r>
      <w:r w:rsidR="00CC7C0D">
        <w:t>v</w:t>
      </w:r>
      <w:r w:rsidR="00D25CFB">
        <w:t xml:space="preserve">. CEDU, Sez. II, </w:t>
      </w:r>
      <w:r>
        <w:t>Sent. n. 44817/18 del 4 agosto 2020</w:t>
      </w:r>
      <w:r w:rsidR="006E7B36">
        <w:t>.</w:t>
      </w:r>
    </w:p>
  </w:footnote>
  <w:footnote w:id="20">
    <w:p w14:paraId="15CAD7C3" w14:textId="46E32078" w:rsidR="006227E3" w:rsidRDefault="006227E3">
      <w:pPr>
        <w:pStyle w:val="Testonotaapidipagina"/>
      </w:pPr>
      <w:r>
        <w:rPr>
          <w:rStyle w:val="Rimandonotaapidipagina"/>
        </w:rPr>
        <w:footnoteRef/>
      </w:r>
      <w:r>
        <w:t xml:space="preserve"> </w:t>
      </w:r>
      <w:r w:rsidR="00E53EAE">
        <w:t xml:space="preserve">Tra le altre, utile anche per gli ampi richiami giurisprudenziali, si veda </w:t>
      </w:r>
      <w:r w:rsidRPr="006227E3">
        <w:t>Cass. Penale</w:t>
      </w:r>
      <w:r w:rsidR="005F2893">
        <w:t>,</w:t>
      </w:r>
      <w:r w:rsidRPr="006227E3">
        <w:t xml:space="preserve"> </w:t>
      </w:r>
      <w:r w:rsidR="005F2893">
        <w:t>S</w:t>
      </w:r>
      <w:r w:rsidRPr="006227E3">
        <w:t>ez</w:t>
      </w:r>
      <w:r w:rsidR="007106AF">
        <w:t>.</w:t>
      </w:r>
      <w:r w:rsidRPr="006227E3">
        <w:t xml:space="preserve"> III</w:t>
      </w:r>
      <w:r w:rsidR="005F2893">
        <w:t>,</w:t>
      </w:r>
      <w:r w:rsidRPr="006227E3">
        <w:t xml:space="preserve"> n. 35008 del 18</w:t>
      </w:r>
      <w:r w:rsidR="00AE2DB7">
        <w:t xml:space="preserve"> settembre </w:t>
      </w:r>
      <w:r w:rsidRPr="006227E3">
        <w:t>2024</w:t>
      </w:r>
      <w:r w:rsidR="00AE2DB7">
        <w:t>.</w:t>
      </w:r>
    </w:p>
  </w:footnote>
  <w:footnote w:id="21">
    <w:p w14:paraId="0AEC7412" w14:textId="3E000AB9" w:rsidR="00851520" w:rsidRPr="00553840" w:rsidRDefault="00851520">
      <w:pPr>
        <w:pStyle w:val="Testonotaapidipagina"/>
      </w:pPr>
      <w:r>
        <w:rPr>
          <w:rStyle w:val="Rimandonotaapidipagina"/>
        </w:rPr>
        <w:footnoteRef/>
      </w:r>
      <w:r>
        <w:t xml:space="preserve"> </w:t>
      </w:r>
      <w:r w:rsidR="00C629CD">
        <w:t>V. e</w:t>
      </w:r>
      <w:r>
        <w:t xml:space="preserve">x multis, </w:t>
      </w:r>
      <w:r w:rsidR="00C629CD">
        <w:t xml:space="preserve">Cass. Pen., </w:t>
      </w:r>
      <w:r w:rsidR="005F2893">
        <w:t>S</w:t>
      </w:r>
      <w:r w:rsidRPr="00851520">
        <w:t xml:space="preserve">ez. III, </w:t>
      </w:r>
      <w:r w:rsidR="00C629CD">
        <w:t xml:space="preserve">Sent. </w:t>
      </w:r>
      <w:r w:rsidRPr="00851520">
        <w:t>n.43823</w:t>
      </w:r>
      <w:r w:rsidR="00C629CD">
        <w:t xml:space="preserve"> del 4 ottobre 2023</w:t>
      </w:r>
      <w:r w:rsidR="00553840">
        <w:t xml:space="preserve"> </w:t>
      </w:r>
      <w:r w:rsidR="00AE2DB7">
        <w:t>nonché</w:t>
      </w:r>
      <w:r w:rsidR="00FE5D0C">
        <w:t xml:space="preserve"> </w:t>
      </w:r>
      <w:r w:rsidR="00DF1305" w:rsidRPr="00FE5D0C">
        <w:t>Corte costituzionale</w:t>
      </w:r>
      <w:r w:rsidR="00FE5D0C" w:rsidRPr="00FE5D0C">
        <w:t>, n.56</w:t>
      </w:r>
      <w:r w:rsidR="00A90727">
        <w:t xml:space="preserve"> del 12 marzo 1998</w:t>
      </w:r>
      <w:r w:rsidR="003C2729">
        <w:t>. Per un’ampia ricostruzione dei precedenti giurisprudenziali in merito, v. Andronio</w:t>
      </w:r>
      <w:r w:rsidR="00684445">
        <w:t xml:space="preserve"> A</w:t>
      </w:r>
      <w:r w:rsidR="00703C67">
        <w:t xml:space="preserve">., </w:t>
      </w:r>
      <w:r w:rsidR="00703C67" w:rsidRPr="00703C67">
        <w:rPr>
          <w:i/>
          <w:iCs/>
        </w:rPr>
        <w:t>La funzione riparativa e non punitiva dell'ordine di demolizione delle opere edilizie abusive</w:t>
      </w:r>
      <w:r w:rsidR="00703C67">
        <w:rPr>
          <w:i/>
          <w:iCs/>
        </w:rPr>
        <w:t xml:space="preserve">, </w:t>
      </w:r>
      <w:r w:rsidR="00553840">
        <w:t xml:space="preserve">in </w:t>
      </w:r>
      <w:r w:rsidR="00553840" w:rsidRPr="00553840">
        <w:rPr>
          <w:i/>
          <w:iCs/>
        </w:rPr>
        <w:t>Cassazione Penale,</w:t>
      </w:r>
      <w:r w:rsidR="00155539">
        <w:rPr>
          <w:i/>
          <w:iCs/>
        </w:rPr>
        <w:t xml:space="preserve"> </w:t>
      </w:r>
      <w:r w:rsidR="00155539" w:rsidRPr="00155539">
        <w:t>ed. Giuffrè Lefebv</w:t>
      </w:r>
      <w:r w:rsidR="00155539">
        <w:t>r</w:t>
      </w:r>
      <w:r w:rsidR="00155539" w:rsidRPr="00155539">
        <w:t>e</w:t>
      </w:r>
      <w:r w:rsidR="00553840" w:rsidRPr="00155539">
        <w:t xml:space="preserve"> fasc.1, 2025, pag. 305</w:t>
      </w:r>
      <w:r w:rsidR="00553840">
        <w:rPr>
          <w:i/>
          <w:iCs/>
        </w:rPr>
        <w:t>.</w:t>
      </w:r>
    </w:p>
  </w:footnote>
  <w:footnote w:id="22">
    <w:p w14:paraId="250D0655" w14:textId="2A3B9CB4" w:rsidR="00855544" w:rsidRPr="005F2893" w:rsidRDefault="00855544">
      <w:pPr>
        <w:pStyle w:val="Testonotaapidipagina"/>
        <w:rPr>
          <w:lang w:val="fr-FR"/>
        </w:rPr>
      </w:pPr>
      <w:r>
        <w:rPr>
          <w:rStyle w:val="Rimandonotaapidipagina"/>
        </w:rPr>
        <w:footnoteRef/>
      </w:r>
      <w:r w:rsidRPr="005F2893">
        <w:rPr>
          <w:lang w:val="fr-FR"/>
        </w:rPr>
        <w:t xml:space="preserve"> </w:t>
      </w:r>
      <w:r w:rsidR="009D57D1" w:rsidRPr="005F2893">
        <w:rPr>
          <w:lang w:val="fr-FR"/>
        </w:rPr>
        <w:t xml:space="preserve">v. </w:t>
      </w:r>
      <w:r w:rsidR="00D66D5C" w:rsidRPr="005F2893">
        <w:rPr>
          <w:lang w:val="fr-FR"/>
        </w:rPr>
        <w:t xml:space="preserve">C.d.S., </w:t>
      </w:r>
      <w:proofErr w:type="spellStart"/>
      <w:r w:rsidR="005F2893" w:rsidRPr="005F2893">
        <w:rPr>
          <w:lang w:val="fr-FR"/>
        </w:rPr>
        <w:t>S</w:t>
      </w:r>
      <w:r w:rsidR="00D66D5C" w:rsidRPr="005F2893">
        <w:rPr>
          <w:lang w:val="fr-FR"/>
        </w:rPr>
        <w:t>ez</w:t>
      </w:r>
      <w:proofErr w:type="spellEnd"/>
      <w:r w:rsidR="00D66D5C" w:rsidRPr="005F2893">
        <w:rPr>
          <w:lang w:val="fr-FR"/>
        </w:rPr>
        <w:t>. VI.</w:t>
      </w:r>
      <w:r w:rsidR="001F38CD" w:rsidRPr="005F2893">
        <w:rPr>
          <w:lang w:val="fr-FR"/>
        </w:rPr>
        <w:t>,</w:t>
      </w:r>
      <w:r w:rsidR="00D66D5C" w:rsidRPr="005F2893">
        <w:rPr>
          <w:lang w:val="fr-FR"/>
        </w:rPr>
        <w:t xml:space="preserve"> Sent. n. 1254/2023</w:t>
      </w:r>
      <w:r w:rsidR="009D57D1" w:rsidRPr="005F2893">
        <w:rPr>
          <w:lang w:val="fr-FR"/>
        </w:rPr>
        <w:t>.</w:t>
      </w:r>
    </w:p>
  </w:footnote>
  <w:footnote w:id="23">
    <w:p w14:paraId="2AA2F314" w14:textId="3CB82085" w:rsidR="003D1832" w:rsidRDefault="003D1832">
      <w:pPr>
        <w:pStyle w:val="Testonotaapidipagina"/>
      </w:pPr>
      <w:r>
        <w:rPr>
          <w:rStyle w:val="Rimandonotaapidipagina"/>
        </w:rPr>
        <w:footnoteRef/>
      </w:r>
      <w:r>
        <w:t xml:space="preserve"> </w:t>
      </w:r>
      <w:r w:rsidR="00D66D5C" w:rsidRPr="00A3756E">
        <w:rPr>
          <w:i/>
          <w:iCs/>
        </w:rPr>
        <w:t>Ibidem.</w:t>
      </w:r>
    </w:p>
  </w:footnote>
  <w:footnote w:id="24">
    <w:p w14:paraId="2F4BF598" w14:textId="47F1311D" w:rsidR="003C4C45" w:rsidRDefault="003C4C45" w:rsidP="00C55F24">
      <w:pPr>
        <w:pStyle w:val="Testonotaapidipagina"/>
      </w:pPr>
      <w:r>
        <w:rPr>
          <w:rStyle w:val="Rimandonotaapidipagina"/>
        </w:rPr>
        <w:footnoteRef/>
      </w:r>
      <w:r>
        <w:t xml:space="preserve"> </w:t>
      </w:r>
      <w:r w:rsidR="009D57D1">
        <w:t xml:space="preserve">v. </w:t>
      </w:r>
      <w:r w:rsidR="00C7397C" w:rsidRPr="00C7397C">
        <w:t>T</w:t>
      </w:r>
      <w:r w:rsidR="009D57D1">
        <w:t>.</w:t>
      </w:r>
      <w:r w:rsidR="00C7397C" w:rsidRPr="00C7397C">
        <w:t>A</w:t>
      </w:r>
      <w:r w:rsidR="009D57D1">
        <w:t>.</w:t>
      </w:r>
      <w:r w:rsidR="00C7397C" w:rsidRPr="00C7397C">
        <w:t>R</w:t>
      </w:r>
      <w:r w:rsidR="009D57D1">
        <w:t>.</w:t>
      </w:r>
      <w:r w:rsidR="00C7397C" w:rsidRPr="00C7397C">
        <w:t xml:space="preserve"> Lazio</w:t>
      </w:r>
      <w:r w:rsidR="009D57D1">
        <w:t>, Roma,</w:t>
      </w:r>
      <w:r w:rsidR="00C7397C" w:rsidRPr="00C7397C">
        <w:t xml:space="preserve"> Sez. II</w:t>
      </w:r>
      <w:r w:rsidR="00A3756E">
        <w:t xml:space="preserve"> </w:t>
      </w:r>
      <w:r w:rsidR="00A0514F">
        <w:t>bi</w:t>
      </w:r>
      <w:r w:rsidR="00C7397C" w:rsidRPr="00C7397C">
        <w:t>s</w:t>
      </w:r>
      <w:r w:rsidR="009D57D1">
        <w:t>,</w:t>
      </w:r>
      <w:r w:rsidR="00C7397C" w:rsidRPr="00C7397C">
        <w:t xml:space="preserve"> </w:t>
      </w:r>
      <w:r w:rsidR="009D57D1">
        <w:t xml:space="preserve">Sent. </w:t>
      </w:r>
      <w:r w:rsidR="00C7397C" w:rsidRPr="00C7397C">
        <w:t>n. 2465 del 13 febbraio 2023</w:t>
      </w:r>
      <w:r w:rsidR="00C55F24">
        <w:t xml:space="preserve">: «anche a voler ammettere, per mera ipotesi, che il caso de quo rientri nel campo di applicazione del test di proporzionalità, il Collegio rileva che detto test non potrebbe che sfociare in un giudizio di prevalenza dell’interesse pubblico alla tutela del territorio. Ciò in quanto: (i) è assolutamente pacifico e incontestato il fatto che parte ricorrente </w:t>
      </w:r>
      <w:proofErr w:type="gramStart"/>
      <w:r w:rsidR="00C55F24">
        <w:t>abbia</w:t>
      </w:r>
      <w:proofErr w:type="gramEnd"/>
      <w:r w:rsidR="00C55F24">
        <w:t xml:space="preserve"> sempre avuto la piena consapevolezza - sin dal momento dell’edificazione - dell’abusività del manufatto de quo; (ii) parte ricorrente ha goduto di un amplissimo margine temporale per rimediare all’abuso edilizio</w:t>
      </w:r>
      <w:r w:rsidR="009D57D1">
        <w:t>»</w:t>
      </w:r>
      <w:r w:rsidR="00C55F24">
        <w:t>.</w:t>
      </w:r>
    </w:p>
  </w:footnote>
  <w:footnote w:id="25">
    <w:p w14:paraId="46499CD7" w14:textId="7129487B" w:rsidR="00265FD9" w:rsidRPr="00265FD9" w:rsidRDefault="00265FD9">
      <w:pPr>
        <w:pStyle w:val="Testonotaapidipagina"/>
      </w:pPr>
      <w:r>
        <w:rPr>
          <w:rStyle w:val="Rimandonotaapidipagina"/>
        </w:rPr>
        <w:footnoteRef/>
      </w:r>
      <w:r w:rsidRPr="00265FD9">
        <w:t xml:space="preserve"> T.A.R. Campania, N</w:t>
      </w:r>
      <w:r>
        <w:t xml:space="preserve">apoli, </w:t>
      </w:r>
      <w:r w:rsidR="005F2893">
        <w:t>S</w:t>
      </w:r>
      <w:r>
        <w:t>ez. VII, ord. n. 2261 del’8 novembre 2024</w:t>
      </w:r>
    </w:p>
  </w:footnote>
  <w:footnote w:id="26">
    <w:p w14:paraId="74FEA57D" w14:textId="2B629582" w:rsidR="00F47DA6" w:rsidRDefault="00F47DA6">
      <w:pPr>
        <w:pStyle w:val="Testonotaapidipagina"/>
      </w:pPr>
      <w:r>
        <w:rPr>
          <w:rStyle w:val="Rimandonotaapidipagina"/>
        </w:rPr>
        <w:footnoteRef/>
      </w:r>
      <w:r>
        <w:t xml:space="preserve"> </w:t>
      </w:r>
      <w:r w:rsidR="008C5A9F" w:rsidRPr="008C5A9F">
        <w:t xml:space="preserve">T.A.R. Campania, Napoli, </w:t>
      </w:r>
      <w:r w:rsidR="005F2893">
        <w:t>S</w:t>
      </w:r>
      <w:r w:rsidR="008C5A9F" w:rsidRPr="008C5A9F">
        <w:t xml:space="preserve">ez. VII, ord. n. </w:t>
      </w:r>
      <w:r w:rsidR="00C92F29">
        <w:t>1941</w:t>
      </w:r>
      <w:r w:rsidR="008C5A9F" w:rsidRPr="008C5A9F">
        <w:t xml:space="preserve"> del</w:t>
      </w:r>
      <w:r w:rsidR="00C92F29">
        <w:t xml:space="preserve"> 10 ottobre 2024.</w:t>
      </w:r>
      <w:r w:rsidR="008C5A9F" w:rsidRPr="008C5A9F">
        <w:t xml:space="preserve"> </w:t>
      </w:r>
    </w:p>
  </w:footnote>
  <w:footnote w:id="27">
    <w:p w14:paraId="486EE4A7" w14:textId="417BCDE6" w:rsidR="00750140" w:rsidRDefault="00750140">
      <w:pPr>
        <w:pStyle w:val="Testonotaapidipagina"/>
      </w:pPr>
      <w:r>
        <w:rPr>
          <w:rStyle w:val="Rimandonotaapidipagina"/>
        </w:rPr>
        <w:footnoteRef/>
      </w:r>
      <w:r>
        <w:t xml:space="preserve"> </w:t>
      </w:r>
      <w:r w:rsidR="009579D7">
        <w:t>T.A.R. Campania,</w:t>
      </w:r>
      <w:r w:rsidR="009579D7" w:rsidRPr="009579D7">
        <w:t xml:space="preserve"> Napoli, </w:t>
      </w:r>
      <w:r w:rsidR="005F2893">
        <w:t>S</w:t>
      </w:r>
      <w:r w:rsidR="009579D7" w:rsidRPr="009579D7">
        <w:t xml:space="preserve">ez. VII, ord. n. </w:t>
      </w:r>
      <w:r w:rsidR="009579D7">
        <w:t>739</w:t>
      </w:r>
      <w:r w:rsidR="009579D7" w:rsidRPr="009579D7">
        <w:t xml:space="preserve"> del </w:t>
      </w:r>
      <w:r w:rsidR="009579D7">
        <w:t>15 aprile</w:t>
      </w:r>
      <w:r w:rsidR="009579D7" w:rsidRPr="009579D7">
        <w:t xml:space="preserve"> 2024.</w:t>
      </w:r>
    </w:p>
  </w:footnote>
  <w:footnote w:id="28">
    <w:p w14:paraId="2345A085" w14:textId="5D291E3D" w:rsidR="00CF2CFA" w:rsidRPr="00CF2CFA" w:rsidRDefault="00CF2CFA">
      <w:pPr>
        <w:pStyle w:val="Testonotaapidipagina"/>
      </w:pPr>
      <w:r>
        <w:rPr>
          <w:rStyle w:val="Rimandonotaapidipagina"/>
        </w:rPr>
        <w:footnoteRef/>
      </w:r>
      <w:r w:rsidRPr="00CF2CFA">
        <w:t xml:space="preserve"> C.d.S., </w:t>
      </w:r>
      <w:r w:rsidR="005F2893">
        <w:t>S</w:t>
      </w:r>
      <w:r w:rsidRPr="00CF2CFA">
        <w:t>ez.</w:t>
      </w:r>
      <w:r w:rsidR="005F2893">
        <w:t xml:space="preserve"> </w:t>
      </w:r>
      <w:r w:rsidRPr="00CF2CFA">
        <w:t xml:space="preserve">IV, </w:t>
      </w:r>
      <w:r w:rsidR="004C63F0">
        <w:t>o</w:t>
      </w:r>
      <w:r w:rsidRPr="00CF2CFA">
        <w:t>rd. n. 2658 dell’</w:t>
      </w:r>
      <w:r>
        <w:t>8 luglio 2016.</w:t>
      </w:r>
    </w:p>
  </w:footnote>
  <w:footnote w:id="29">
    <w:p w14:paraId="4DE6DD6A" w14:textId="64EF3A54" w:rsidR="0056448B" w:rsidRDefault="0056448B" w:rsidP="0056448B">
      <w:pPr>
        <w:pStyle w:val="Testonotaapidipagina"/>
      </w:pPr>
      <w:r>
        <w:rPr>
          <w:rStyle w:val="Rimandonotaapidipagina"/>
        </w:rPr>
        <w:footnoteRef/>
      </w:r>
      <w:r>
        <w:t xml:space="preserve"> </w:t>
      </w:r>
      <w:r w:rsidRPr="00486E43">
        <w:t>Cassazione civile</w:t>
      </w:r>
      <w:r>
        <w:t>, S</w:t>
      </w:r>
      <w:r w:rsidRPr="00486E43">
        <w:t xml:space="preserve">ez. </w:t>
      </w:r>
      <w:r>
        <w:t>U</w:t>
      </w:r>
      <w:r w:rsidRPr="00486E43">
        <w:t>n., n.25978</w:t>
      </w:r>
      <w:r>
        <w:t xml:space="preserve"> del 16 dicembre 2016; nello stesso senso, v. T.A.R. Piemonte, Torino, Sez. II, Sent. n. 732 del 14</w:t>
      </w:r>
      <w:r w:rsidR="00F729DB">
        <w:t xml:space="preserve"> luglio </w:t>
      </w:r>
      <w:r>
        <w:t>2021</w:t>
      </w:r>
      <w:r w:rsidR="00F729DB">
        <w:t>.</w:t>
      </w:r>
    </w:p>
  </w:footnote>
  <w:footnote w:id="30">
    <w:p w14:paraId="571A5EF6" w14:textId="17E1E909" w:rsidR="004D6ACA" w:rsidRDefault="004D6ACA">
      <w:pPr>
        <w:pStyle w:val="Testonotaapidipagina"/>
      </w:pPr>
      <w:r>
        <w:rPr>
          <w:rStyle w:val="Rimandonotaapidipagina"/>
        </w:rPr>
        <w:footnoteRef/>
      </w:r>
      <w:r>
        <w:t xml:space="preserve"> </w:t>
      </w:r>
      <w:r w:rsidRPr="004D6ACA">
        <w:t>T.A.R. Lazio</w:t>
      </w:r>
      <w:r>
        <w:t>, Roma</w:t>
      </w:r>
      <w:r w:rsidRPr="004D6ACA">
        <w:t xml:space="preserve">, </w:t>
      </w:r>
      <w:r w:rsidR="005F2893">
        <w:t>S</w:t>
      </w:r>
      <w:r w:rsidRPr="004D6ACA">
        <w:t>ez II bis,</w:t>
      </w:r>
      <w:r w:rsidR="007B6E31">
        <w:t xml:space="preserve"> Sent.</w:t>
      </w:r>
      <w:r w:rsidRPr="004D6ACA">
        <w:t xml:space="preserve"> n. 13205 del</w:t>
      </w:r>
      <w:r w:rsidR="007B6E31">
        <w:t>l’</w:t>
      </w:r>
      <w:r w:rsidRPr="004D6ACA">
        <w:t>8</w:t>
      </w:r>
      <w:r w:rsidR="007B6E31">
        <w:t xml:space="preserve"> agosto </w:t>
      </w:r>
      <w:r w:rsidRPr="004D6ACA">
        <w:t>2023</w:t>
      </w:r>
      <w:r>
        <w:t>.</w:t>
      </w:r>
      <w:r w:rsidRPr="004D6ACA">
        <w:t xml:space="preserve"> </w:t>
      </w:r>
    </w:p>
  </w:footnote>
  <w:footnote w:id="31">
    <w:p w14:paraId="267BF5CD" w14:textId="69EE8A53" w:rsidR="004835AD" w:rsidRDefault="004835AD">
      <w:pPr>
        <w:pStyle w:val="Testonotaapidipagina"/>
      </w:pPr>
      <w:r>
        <w:rPr>
          <w:rStyle w:val="Rimandonotaapidipagina"/>
        </w:rPr>
        <w:footnoteRef/>
      </w:r>
      <w:r>
        <w:t xml:space="preserve"> </w:t>
      </w:r>
      <w:r w:rsidR="00CB61DB">
        <w:t xml:space="preserve">v. </w:t>
      </w:r>
      <w:r w:rsidRPr="004835AD">
        <w:t xml:space="preserve">T.A.R. Campania, Napoli, </w:t>
      </w:r>
      <w:r w:rsidR="005F2893">
        <w:t>S</w:t>
      </w:r>
      <w:r w:rsidRPr="004835AD">
        <w:t>ez. IV, n. 2764/2017</w:t>
      </w:r>
      <w:r>
        <w:t>.</w:t>
      </w:r>
    </w:p>
  </w:footnote>
  <w:footnote w:id="32">
    <w:p w14:paraId="0B088FBC" w14:textId="313CDA9B" w:rsidR="00917DC8" w:rsidRDefault="00917DC8">
      <w:pPr>
        <w:pStyle w:val="Testonotaapidipagina"/>
      </w:pPr>
      <w:r>
        <w:rPr>
          <w:rStyle w:val="Rimandonotaapidipagina"/>
        </w:rPr>
        <w:footnoteRef/>
      </w:r>
      <w:r>
        <w:t xml:space="preserve"> </w:t>
      </w:r>
      <w:r w:rsidR="008B51E5">
        <w:t>A partire dall</w:t>
      </w:r>
      <w:r w:rsidR="00DE0303">
        <w:t>e</w:t>
      </w:r>
      <w:r w:rsidR="008B51E5">
        <w:t xml:space="preserve"> notissime </w:t>
      </w:r>
      <w:r w:rsidR="00F14A97">
        <w:t>C. Cost.</w:t>
      </w:r>
      <w:r w:rsidR="00990083">
        <w:t>,</w:t>
      </w:r>
      <w:r w:rsidR="00F14A97">
        <w:t xml:space="preserve"> </w:t>
      </w:r>
      <w:r w:rsidR="008B51E5">
        <w:t xml:space="preserve">Sent. </w:t>
      </w:r>
      <w:r w:rsidR="00DE0303">
        <w:t xml:space="preserve">n. 204 </w:t>
      </w:r>
      <w:r w:rsidR="00CE6E1C">
        <w:t xml:space="preserve">del 6 luglio 2004 e Sent. </w:t>
      </w:r>
      <w:r w:rsidR="008B51E5">
        <w:t>n. 191 dell’11 maggio 2006</w:t>
      </w:r>
      <w:r w:rsidR="0095023B">
        <w:t>.</w:t>
      </w:r>
    </w:p>
  </w:footnote>
  <w:footnote w:id="33">
    <w:p w14:paraId="2E81D4E5" w14:textId="6D2D8B9F" w:rsidR="0043075D" w:rsidRDefault="0043075D" w:rsidP="0043075D">
      <w:pPr>
        <w:pStyle w:val="Testonotaapidipagina"/>
      </w:pPr>
      <w:r>
        <w:rPr>
          <w:rStyle w:val="Rimandonotaapidipagina"/>
        </w:rPr>
        <w:footnoteRef/>
      </w:r>
      <w:r>
        <w:t xml:space="preserve"> </w:t>
      </w:r>
      <w:r w:rsidR="005E6F32">
        <w:t xml:space="preserve">v. </w:t>
      </w:r>
      <w:r w:rsidRPr="00B856A5">
        <w:t xml:space="preserve">T.A.R. Campania, Napoli, </w:t>
      </w:r>
      <w:r w:rsidR="006F31AF">
        <w:t>Sez.</w:t>
      </w:r>
      <w:r w:rsidRPr="00B856A5">
        <w:t xml:space="preserve"> IV,</w:t>
      </w:r>
      <w:r w:rsidR="005E6F32">
        <w:t xml:space="preserve"> Sent.</w:t>
      </w:r>
      <w:r w:rsidRPr="00B856A5">
        <w:t xml:space="preserve"> n. 2764/2017</w:t>
      </w:r>
      <w:r w:rsidR="005E6F32">
        <w:t>, cit.</w:t>
      </w:r>
      <w:r>
        <w:t xml:space="preserve">: </w:t>
      </w:r>
      <w:r w:rsidR="005E6F32">
        <w:t>«</w:t>
      </w:r>
      <w:r w:rsidRPr="00B856A5">
        <w:t xml:space="preserve">pur in presenza di giurisprudenza contraria all’esperibilità del rito del silenzio contro qualsiasi tipologia di omissione amministrativa, restando esclusi dalla sua sfera applicativa gli obblighi di eseguire che richiedono, per il loro assolvimento, un'attività materiale e non provvedimentale, ovvero “mista” (cfr. T.A.R. Campania, </w:t>
      </w:r>
      <w:r w:rsidR="006F31AF">
        <w:t>Sez.</w:t>
      </w:r>
      <w:r w:rsidRPr="00B856A5">
        <w:t xml:space="preserve"> VI, 8 marzo 2011 n. 1337), va ribadita l’adesione della Sezione al diverso orientamento che ne ammette, invece, l’esperibilità (v., in un caso del tutto analogo al presente, Sent. T.A.R. Campania, Napoli, IV </w:t>
      </w:r>
      <w:r w:rsidR="00F172CC">
        <w:t>S</w:t>
      </w:r>
      <w:r w:rsidRPr="00B856A5">
        <w:t xml:space="preserve">ezione n. 4194/2014 e n. 2488/2017). A mente dell'art. 21 quater della l. 241/90, interpretato in connessione con le disposizioni del d.P.R. n. 380 del 2001 sull'obbligo di eseguire l'ordinanza di demolizione entro il termine di novanta giorni successivi alla sua notifica, deve ritenersi consentito al G.A. di sanzionare l’inerzia del Comune in ordine alla doverosa emanazione degli atti conseguenti all’ordinata demolizione e di porre in essere — a spese dell'inadempiente — l'attività materiale di adeguamento dello stato di fatto a quello di diritto (in questo senso ex multis, Cons. St., </w:t>
      </w:r>
      <w:r w:rsidR="006F31AF">
        <w:t>Sez.</w:t>
      </w:r>
      <w:r w:rsidRPr="00B856A5">
        <w:t xml:space="preserve"> VI, 10 maggio 2013, n. 2565; T.A.R. Catanzaro, </w:t>
      </w:r>
      <w:r w:rsidR="006F31AF">
        <w:t>Sez.</w:t>
      </w:r>
      <w:r w:rsidRPr="00B856A5">
        <w:t xml:space="preserve"> I, 21 ottobre 2013 n.984)</w:t>
      </w:r>
      <w:r w:rsidR="00784231">
        <w:t>»</w:t>
      </w:r>
      <w:r w:rsidRPr="00B856A5">
        <w:t>.</w:t>
      </w:r>
      <w:r>
        <w:t xml:space="preserve"> Nello stesso senso, </w:t>
      </w:r>
      <w:r w:rsidR="00784231">
        <w:t>si vedano:</w:t>
      </w:r>
      <w:r>
        <w:t xml:space="preserve"> </w:t>
      </w:r>
      <w:r w:rsidRPr="00B856A5">
        <w:t>T.A.R.</w:t>
      </w:r>
      <w:r w:rsidR="00784231">
        <w:t xml:space="preserve"> Campania,</w:t>
      </w:r>
      <w:r w:rsidRPr="00B856A5">
        <w:t xml:space="preserve"> Napoli, </w:t>
      </w:r>
      <w:r w:rsidR="006F31AF">
        <w:t>Sez.</w:t>
      </w:r>
      <w:r w:rsidRPr="00B856A5">
        <w:t xml:space="preserve"> VII, n.6246</w:t>
      </w:r>
      <w:r w:rsidR="00784231">
        <w:t xml:space="preserve"> dell’11 ottobre 2022</w:t>
      </w:r>
      <w:r>
        <w:t xml:space="preserve">; </w:t>
      </w:r>
      <w:r w:rsidRPr="00B856A5">
        <w:t>T.A.R.</w:t>
      </w:r>
      <w:r w:rsidR="00784231">
        <w:t xml:space="preserve"> Sardegna,</w:t>
      </w:r>
      <w:r w:rsidRPr="00B856A5">
        <w:t xml:space="preserve"> </w:t>
      </w:r>
      <w:r w:rsidR="006F31AF">
        <w:t>Sez.</w:t>
      </w:r>
      <w:r w:rsidRPr="00B856A5">
        <w:t xml:space="preserve"> II, n.25</w:t>
      </w:r>
      <w:r w:rsidR="00784231">
        <w:t xml:space="preserve"> del 17 gennaio 2022</w:t>
      </w:r>
      <w:r>
        <w:t xml:space="preserve">; Consiglio di Stato, </w:t>
      </w:r>
      <w:r w:rsidR="006F31AF">
        <w:t>Sez.</w:t>
      </w:r>
      <w:r>
        <w:t xml:space="preserve"> II, Sent. </w:t>
      </w:r>
      <w:r w:rsidR="00784231">
        <w:t>n</w:t>
      </w:r>
      <w:r>
        <w:t>. 738 del 23</w:t>
      </w:r>
      <w:r w:rsidR="00784231">
        <w:t xml:space="preserve"> gennaio </w:t>
      </w:r>
      <w:r>
        <w:t>2023</w:t>
      </w:r>
      <w:r w:rsidR="00784231">
        <w:t>.</w:t>
      </w:r>
    </w:p>
  </w:footnote>
  <w:footnote w:id="34">
    <w:p w14:paraId="379C4438" w14:textId="39E3E364" w:rsidR="0043075D" w:rsidRDefault="0043075D">
      <w:pPr>
        <w:pStyle w:val="Testonotaapidipagina"/>
      </w:pPr>
      <w:r>
        <w:rPr>
          <w:rStyle w:val="Rimandonotaapidipagina"/>
        </w:rPr>
        <w:footnoteRef/>
      </w:r>
      <w:r>
        <w:t xml:space="preserve"> </w:t>
      </w:r>
      <w:r w:rsidR="00784231">
        <w:t xml:space="preserve">v. </w:t>
      </w:r>
      <w:r w:rsidRPr="0043075D">
        <w:t xml:space="preserve">Consiglio di Stato </w:t>
      </w:r>
      <w:r w:rsidR="006F31AF">
        <w:t>Sez.</w:t>
      </w:r>
      <w:r w:rsidRPr="0043075D">
        <w:t xml:space="preserve"> VI, </w:t>
      </w:r>
      <w:r w:rsidR="00784231">
        <w:t>Sent</w:t>
      </w:r>
      <w:r w:rsidRPr="0043075D">
        <w:t xml:space="preserve"> n.7296</w:t>
      </w:r>
      <w:r w:rsidR="00784231">
        <w:t xml:space="preserve"> del 2 novembre 2021</w:t>
      </w:r>
      <w:r>
        <w:t xml:space="preserve"> e </w:t>
      </w:r>
      <w:r w:rsidR="006F31AF">
        <w:t>Sez.</w:t>
      </w:r>
      <w:r>
        <w:t xml:space="preserve"> II, Sent. </w:t>
      </w:r>
      <w:r w:rsidR="00784231">
        <w:t>n</w:t>
      </w:r>
      <w:r>
        <w:t>. 7535 del 30</w:t>
      </w:r>
      <w:r w:rsidR="00784231">
        <w:t xml:space="preserve"> agosto </w:t>
      </w:r>
      <w:r>
        <w:t xml:space="preserve">2022; </w:t>
      </w:r>
      <w:r w:rsidRPr="0043075D">
        <w:t xml:space="preserve">T.A.R. </w:t>
      </w:r>
      <w:r w:rsidR="000D18C3">
        <w:t xml:space="preserve">Piemonte, </w:t>
      </w:r>
      <w:r w:rsidR="006F31AF">
        <w:t>Sez.</w:t>
      </w:r>
      <w:r w:rsidRPr="0043075D">
        <w:t xml:space="preserve"> I, 11/11/2019, n.1120</w:t>
      </w:r>
      <w:r w:rsidR="0095023B">
        <w:t>.</w:t>
      </w:r>
    </w:p>
  </w:footnote>
  <w:footnote w:id="35">
    <w:p w14:paraId="09F8C729" w14:textId="22F73922" w:rsidR="007646A1" w:rsidRDefault="007646A1" w:rsidP="002D23FF">
      <w:pPr>
        <w:pStyle w:val="Testonotaapidipagina"/>
      </w:pPr>
      <w:r>
        <w:rPr>
          <w:rStyle w:val="Rimandonotaapidipagina"/>
        </w:rPr>
        <w:footnoteRef/>
      </w:r>
      <w:r>
        <w:t xml:space="preserve"> Sull’ammissibilità dell’azione inibitoria v. </w:t>
      </w:r>
      <w:r w:rsidR="00BB5EC8">
        <w:t>Maruotti L.,</w:t>
      </w:r>
      <w:r w:rsidR="002D23FF" w:rsidRPr="002D23FF">
        <w:t xml:space="preserve"> </w:t>
      </w:r>
      <w:r w:rsidR="002D23FF" w:rsidRPr="00616E94">
        <w:rPr>
          <w:i/>
          <w:iCs/>
        </w:rPr>
        <w:t>La giurisdizione amministrativa: effettività e pienezza della tutela</w:t>
      </w:r>
      <w:r w:rsidR="002D23FF">
        <w:t>, testo della relazione svolta a Lecce il 12 novembre 2010, in occasione del Convegno su “</w:t>
      </w:r>
      <w:r w:rsidR="002D23FF" w:rsidRPr="00616E94">
        <w:rPr>
          <w:i/>
          <w:iCs/>
        </w:rPr>
        <w:t>Il codice del processo amministrativo</w:t>
      </w:r>
      <w:r w:rsidR="002D23FF">
        <w:t>”</w:t>
      </w:r>
      <w:r w:rsidR="00616E94">
        <w:t xml:space="preserve">, reperibile sul sito istituzionale della giustizia amministrativa. In giurisprudenza, v., con particolare dovizia di argomentazioni, </w:t>
      </w:r>
      <w:r>
        <w:t xml:space="preserve">T.A.R. Campania, Napoli, </w:t>
      </w:r>
      <w:r w:rsidR="006F31AF">
        <w:t>Sez.</w:t>
      </w:r>
      <w:r>
        <w:t xml:space="preserve"> V, Sent. </w:t>
      </w:r>
      <w:r w:rsidR="00616E94">
        <w:t>n</w:t>
      </w:r>
      <w:r>
        <w:t>. 5465 del 21</w:t>
      </w:r>
      <w:r w:rsidR="00616E94">
        <w:t xml:space="preserve"> novembre </w:t>
      </w:r>
      <w:r>
        <w:t xml:space="preserve">2019 confermata in sede di Appello da Consiglio di Stato, </w:t>
      </w:r>
      <w:r w:rsidR="00616E94">
        <w:t>S</w:t>
      </w:r>
      <w:r>
        <w:t>ez. IV, Sent. n. 10708/2023 che dà atto della mancata impugnazione del capo sull’ammissibilità di siffatta azione e che, tuttavia, sembra far propria la statuizione del primo giudice.</w:t>
      </w:r>
    </w:p>
  </w:footnote>
  <w:footnote w:id="36">
    <w:p w14:paraId="3879DE0B" w14:textId="48F70394" w:rsidR="00EE0236" w:rsidRDefault="00EE0236" w:rsidP="00EE0236">
      <w:pPr>
        <w:pStyle w:val="Testonotaapidipagina"/>
      </w:pPr>
      <w:r>
        <w:rPr>
          <w:rStyle w:val="Rimandonotaapidipagina"/>
        </w:rPr>
        <w:footnoteRef/>
      </w:r>
      <w:r>
        <w:t xml:space="preserve"> </w:t>
      </w:r>
      <w:r w:rsidR="003A117A" w:rsidRPr="00582E16">
        <w:t>Corte costituzionale</w:t>
      </w:r>
      <w:r w:rsidRPr="00582E16">
        <w:t xml:space="preserve">, </w:t>
      </w:r>
      <w:r w:rsidR="006C42E1">
        <w:t xml:space="preserve">Sent. </w:t>
      </w:r>
      <w:r w:rsidRPr="00582E16">
        <w:t>n.25</w:t>
      </w:r>
      <w:r w:rsidR="00E12759">
        <w:t xml:space="preserve"> del </w:t>
      </w:r>
      <w:r w:rsidR="00E12759" w:rsidRPr="00582E16">
        <w:t>27</w:t>
      </w:r>
      <w:r w:rsidR="00E12759">
        <w:t xml:space="preserve"> febbraio </w:t>
      </w:r>
      <w:r w:rsidR="00E12759" w:rsidRPr="00582E16">
        <w:t>2019</w:t>
      </w:r>
      <w:r w:rsidR="00E12759">
        <w:t>.</w:t>
      </w:r>
    </w:p>
  </w:footnote>
  <w:footnote w:id="37">
    <w:p w14:paraId="1D2C9A84" w14:textId="1A655819" w:rsidR="00F16E69" w:rsidRDefault="00F16E69" w:rsidP="00F16E69">
      <w:pPr>
        <w:pStyle w:val="Testonotaapidipagina"/>
      </w:pPr>
      <w:r>
        <w:rPr>
          <w:rStyle w:val="Rimandonotaapidipagina"/>
        </w:rPr>
        <w:footnoteRef/>
      </w:r>
      <w:r>
        <w:t xml:space="preserve"> </w:t>
      </w:r>
      <w:r w:rsidRPr="008B4172">
        <w:t>Consiglio di Stato</w:t>
      </w:r>
      <w:r w:rsidR="006C42E1">
        <w:t>,</w:t>
      </w:r>
      <w:r w:rsidRPr="008B4172">
        <w:t xml:space="preserve"> </w:t>
      </w:r>
      <w:r w:rsidR="006F31AF">
        <w:t>Sez.</w:t>
      </w:r>
      <w:r w:rsidRPr="008B4172">
        <w:t xml:space="preserve"> VI,</w:t>
      </w:r>
      <w:r w:rsidR="006C42E1">
        <w:t xml:space="preserve"> Sent.</w:t>
      </w:r>
      <w:r w:rsidRPr="008B4172">
        <w:t xml:space="preserve"> n.864</w:t>
      </w:r>
      <w:r w:rsidR="00E12759">
        <w:t xml:space="preserve"> del </w:t>
      </w:r>
      <w:r w:rsidR="00E12759" w:rsidRPr="008B4172">
        <w:t>03</w:t>
      </w:r>
      <w:r w:rsidR="00E12759">
        <w:t xml:space="preserve"> febbraio </w:t>
      </w:r>
      <w:r w:rsidR="00E12759" w:rsidRPr="008B4172">
        <w:t>2020</w:t>
      </w:r>
      <w:r>
        <w:t>.</w:t>
      </w:r>
    </w:p>
  </w:footnote>
  <w:footnote w:id="38">
    <w:p w14:paraId="4FB1CDE1" w14:textId="7DDEB212" w:rsidR="00C10813" w:rsidRDefault="00C10813">
      <w:pPr>
        <w:pStyle w:val="Testonotaapidipagina"/>
      </w:pPr>
      <w:r>
        <w:rPr>
          <w:rStyle w:val="Rimandonotaapidipagina"/>
        </w:rPr>
        <w:footnoteRef/>
      </w:r>
      <w:r>
        <w:t xml:space="preserve"> </w:t>
      </w:r>
      <w:r w:rsidR="002029D9">
        <w:t>L</w:t>
      </w:r>
      <w:r w:rsidR="002029D9" w:rsidRPr="002029D9">
        <w:t>a CEDU ha qualificato la confisca come «sanzione penale» così da rendere applicabili le garanzie convenzionali, tra cui quella della necessaria esistenza di un legame psicologico con l’illecito da parte del sanzionato</w:t>
      </w:r>
      <w:r w:rsidR="002029D9">
        <w:t>. Si veda</w:t>
      </w:r>
      <w:r w:rsidR="008001C5">
        <w:t xml:space="preserve"> </w:t>
      </w:r>
      <w:r w:rsidR="00D60EB8" w:rsidRPr="00D60EB8">
        <w:t>Corte europea diritti dell'uomo</w:t>
      </w:r>
      <w:r w:rsidR="008001C5">
        <w:t>, S</w:t>
      </w:r>
      <w:r w:rsidR="00D60EB8" w:rsidRPr="00D60EB8">
        <w:t>ez. II, n.75909</w:t>
      </w:r>
      <w:r w:rsidR="00D60EB8">
        <w:t xml:space="preserve"> </w:t>
      </w:r>
      <w:r w:rsidR="008001C5">
        <w:t xml:space="preserve">del 20 gennaio 2009 </w:t>
      </w:r>
      <w:r w:rsidR="00D60EB8">
        <w:t>(Sud Fondi c. Italia).</w:t>
      </w:r>
    </w:p>
  </w:footnote>
  <w:footnote w:id="39">
    <w:p w14:paraId="6A1D4EDC" w14:textId="6068D024" w:rsidR="009A2830" w:rsidRDefault="009A2830">
      <w:pPr>
        <w:pStyle w:val="Testonotaapidipagina"/>
      </w:pPr>
      <w:r>
        <w:rPr>
          <w:rStyle w:val="Rimandonotaapidipagina"/>
        </w:rPr>
        <w:footnoteRef/>
      </w:r>
      <w:r>
        <w:t xml:space="preserve"> </w:t>
      </w:r>
      <w:r w:rsidR="006177A4">
        <w:t>C.d.S., Ad. Plen.</w:t>
      </w:r>
      <w:r w:rsidR="00424D24">
        <w:t>, Sent.</w:t>
      </w:r>
      <w:r w:rsidR="006177A4">
        <w:t xml:space="preserve"> n. 16 dell’11 ottobre 2023 che, in merito, afferma altresì che «p</w:t>
      </w:r>
      <w:r w:rsidR="00DD44F5" w:rsidRPr="00DD44F5">
        <w:t>er il principio della vicinanza alla fonte della prova, è specifico onere per il destinatario dell’ordine di demolizione – o, in ipotesi, del suo rappresentante legale - dedurre e comprovare la sussistenza di tale non imputabilità: l’Amministrazione, in assenza di comprovate deduzioni, deve emanare l’atto di acquisizione</w:t>
      </w:r>
      <w:r w:rsidR="006177A4">
        <w:t>».</w:t>
      </w:r>
    </w:p>
  </w:footnote>
  <w:footnote w:id="40">
    <w:p w14:paraId="192BA19A" w14:textId="77777777" w:rsidR="00424D24" w:rsidRDefault="00982419">
      <w:pPr>
        <w:pStyle w:val="Testonotaapidipagina"/>
      </w:pPr>
      <w:r>
        <w:rPr>
          <w:rStyle w:val="Rimandonotaapidipagina"/>
        </w:rPr>
        <w:footnoteRef/>
      </w:r>
      <w:r w:rsidR="0046181C">
        <w:t xml:space="preserve"> </w:t>
      </w:r>
      <w:r w:rsidR="0046181C" w:rsidRPr="0046181C">
        <w:t>Corte costituzionale</w:t>
      </w:r>
      <w:r w:rsidR="00424D24">
        <w:t>, Sent.</w:t>
      </w:r>
      <w:r w:rsidR="0046181C" w:rsidRPr="0046181C">
        <w:t xml:space="preserve"> n. 160 del 3 ottobre 2024</w:t>
      </w:r>
      <w:r w:rsidR="0046181C">
        <w:t xml:space="preserve"> che ha</w:t>
      </w:r>
      <w:r w:rsidR="009E051D">
        <w:t xml:space="preserve"> dichiarato</w:t>
      </w:r>
      <w:r w:rsidR="0046181C">
        <w:t xml:space="preserve"> </w:t>
      </w:r>
      <w:r w:rsidR="009E051D" w:rsidRPr="009E051D">
        <w:t>l'illegittimità costituzionale dell'art. 7, terzo comma, della L. 28 febbraio 1985, n. 47 (</w:t>
      </w:r>
      <w:r w:rsidR="009E051D">
        <w:t>oggi trasfuso nell’art. 31 del D.P.R. n. 380/2001</w:t>
      </w:r>
      <w:r w:rsidR="009E051D" w:rsidRPr="009E051D">
        <w:t>), nella parte in cui non fa salvo il diritto di ipoteca iscritto a favore del creditore, non responsabile dell'abuso edilizio, in data anteriore alla trascrizione nei registri immobiliari dell'atto di accertamento dell'inottemperanza alla ingiunzione a demolire</w:t>
      </w:r>
      <w:r w:rsidR="00151D5A">
        <w:t>.</w:t>
      </w:r>
    </w:p>
    <w:p w14:paraId="09A6EFF1" w14:textId="021C77C6" w:rsidR="00982419" w:rsidRDefault="00AC08B7">
      <w:pPr>
        <w:pStyle w:val="Testonotaapidipagina"/>
      </w:pPr>
      <w:r>
        <w:t xml:space="preserve">Si è affermato, in particolare, che la norma </w:t>
      </w:r>
      <w:r w:rsidRPr="00AC08B7">
        <w:t xml:space="preserve">vìola gli artt. 3, 24 e 42 Cost. anche sotto il profilo della sproporzione </w:t>
      </w:r>
      <w:r>
        <w:t>del sacrificio imposto all’incolpevole creditore ipotecario</w:t>
      </w:r>
      <w:r w:rsidR="0046181C" w:rsidRPr="0046181C">
        <w:t>. Questi, infatti, si vedrebbe privato ingiustamente del proprio diritto nel caso in cui si ritenesse che l’acquisizione, intesa quale modalità di acquisto a titolo originario, estinguesse il suo diritto di garanzia</w:t>
      </w:r>
    </w:p>
  </w:footnote>
  <w:footnote w:id="41">
    <w:p w14:paraId="349B4DFA" w14:textId="086A352E" w:rsidR="00DF6A29" w:rsidRDefault="00DF6A29">
      <w:pPr>
        <w:pStyle w:val="Testonotaapidipagina"/>
      </w:pPr>
      <w:r>
        <w:rPr>
          <w:rStyle w:val="Rimandonotaapidipagina"/>
        </w:rPr>
        <w:footnoteRef/>
      </w:r>
      <w:r>
        <w:t xml:space="preserve"> </w:t>
      </w:r>
      <w:r w:rsidR="005F398C">
        <w:t>Corte costituzionale</w:t>
      </w:r>
      <w:r w:rsidR="00EB4EA3">
        <w:t>, Sent</w:t>
      </w:r>
      <w:r w:rsidR="00DC6ED1">
        <w:t>.</w:t>
      </w:r>
      <w:r>
        <w:t xml:space="preserve"> n. 345</w:t>
      </w:r>
      <w:r w:rsidR="005707D9">
        <w:t xml:space="preserve"> del </w:t>
      </w:r>
      <w:r w:rsidR="005707D9" w:rsidRPr="00D07A24">
        <w:rPr>
          <w:rStyle w:val="Enfasigrassetto"/>
          <w:b w:val="0"/>
          <w:bCs w:val="0"/>
        </w:rPr>
        <w:t>15</w:t>
      </w:r>
      <w:r w:rsidR="006F76CF">
        <w:rPr>
          <w:rStyle w:val="Enfasigrassetto"/>
          <w:b w:val="0"/>
          <w:bCs w:val="0"/>
        </w:rPr>
        <w:t xml:space="preserve"> luglio </w:t>
      </w:r>
      <w:r w:rsidR="005707D9" w:rsidRPr="00D07A24">
        <w:rPr>
          <w:rStyle w:val="Enfasigrassetto"/>
          <w:b w:val="0"/>
          <w:bCs w:val="0"/>
        </w:rPr>
        <w:t>1991</w:t>
      </w:r>
      <w:r>
        <w:t xml:space="preserve"> e n. 140</w:t>
      </w:r>
      <w:r w:rsidR="00EB4EA3">
        <w:t xml:space="preserve"> del</w:t>
      </w:r>
      <w:r w:rsidR="005707D9">
        <w:t xml:space="preserve"> </w:t>
      </w:r>
      <w:r w:rsidR="006F76CF">
        <w:t xml:space="preserve">5 luglio </w:t>
      </w:r>
      <w:r w:rsidR="00EB4EA3" w:rsidRPr="00EB4EA3">
        <w:t>2018</w:t>
      </w:r>
      <w:r w:rsidR="00EB4EA3">
        <w:t>.</w:t>
      </w:r>
    </w:p>
  </w:footnote>
  <w:footnote w:id="42">
    <w:p w14:paraId="36F4B623" w14:textId="721B4A06" w:rsidR="006F76CF" w:rsidRDefault="006F76CF">
      <w:pPr>
        <w:pStyle w:val="Testonotaapidipagina"/>
      </w:pPr>
      <w:r>
        <w:rPr>
          <w:rStyle w:val="Rimandonotaapidipagina"/>
        </w:rPr>
        <w:footnoteRef/>
      </w:r>
      <w:r>
        <w:t xml:space="preserve"> </w:t>
      </w:r>
      <w:r w:rsidRPr="006F76CF">
        <w:t>Corte costituzionale</w:t>
      </w:r>
      <w:r w:rsidR="00DC6ED1">
        <w:t>, Sent.</w:t>
      </w:r>
      <w:r>
        <w:t xml:space="preserve"> n. 160 del </w:t>
      </w:r>
      <w:r w:rsidRPr="006F76CF">
        <w:t>3 ottobre 2024</w:t>
      </w:r>
      <w:r w:rsidR="007A0E69">
        <w:t>, cit.</w:t>
      </w:r>
    </w:p>
  </w:footnote>
  <w:footnote w:id="43">
    <w:p w14:paraId="77BD25EF" w14:textId="1BC8EF71" w:rsidR="006F76CF" w:rsidRDefault="006F76CF">
      <w:pPr>
        <w:pStyle w:val="Testonotaapidipagina"/>
      </w:pPr>
      <w:r>
        <w:rPr>
          <w:rStyle w:val="Rimandonotaapidipagina"/>
        </w:rPr>
        <w:footnoteRef/>
      </w:r>
      <w:r>
        <w:t xml:space="preserve"> C.d.S., Ad. Plen.</w:t>
      </w:r>
      <w:r w:rsidR="00DC6ED1">
        <w:t>, Sent.</w:t>
      </w:r>
      <w:r>
        <w:t xml:space="preserve"> n. 16 dell’11 ottobre 2023, cit.</w:t>
      </w:r>
    </w:p>
  </w:footnote>
  <w:footnote w:id="44">
    <w:p w14:paraId="641F4EFD" w14:textId="3EC4DF7D" w:rsidR="006454FF" w:rsidRPr="00AD31ED" w:rsidRDefault="006454FF">
      <w:pPr>
        <w:pStyle w:val="Testonotaapidipagina"/>
      </w:pPr>
      <w:r>
        <w:rPr>
          <w:rStyle w:val="Rimandonotaapidipagina"/>
        </w:rPr>
        <w:footnoteRef/>
      </w:r>
      <w:r w:rsidRPr="00AD31ED">
        <w:t xml:space="preserve"> v., ex multis, CGA n. 876/2022</w:t>
      </w:r>
    </w:p>
  </w:footnote>
  <w:footnote w:id="45">
    <w:p w14:paraId="121E518D" w14:textId="148C0D62" w:rsidR="006454FF" w:rsidRDefault="006454FF">
      <w:pPr>
        <w:pStyle w:val="Testonotaapidipagina"/>
      </w:pPr>
      <w:r>
        <w:rPr>
          <w:rStyle w:val="Rimandonotaapidipagina"/>
        </w:rPr>
        <w:footnoteRef/>
      </w:r>
      <w:r>
        <w:t xml:space="preserve"> </w:t>
      </w:r>
      <w:r w:rsidRPr="006454FF">
        <w:t xml:space="preserve">T.A.R. Campania, Napoli, </w:t>
      </w:r>
      <w:r w:rsidR="006F31AF">
        <w:t>Sez.</w:t>
      </w:r>
      <w:r w:rsidRPr="006454FF">
        <w:t xml:space="preserve"> VIII, n. 449/2020</w:t>
      </w:r>
      <w:r w:rsidR="00D145B6">
        <w:t>.</w:t>
      </w:r>
    </w:p>
  </w:footnote>
  <w:footnote w:id="46">
    <w:p w14:paraId="756427F5" w14:textId="1AC1A87F" w:rsidR="00543613" w:rsidRDefault="00543613">
      <w:pPr>
        <w:pStyle w:val="Testonotaapidipagina"/>
      </w:pPr>
      <w:r>
        <w:rPr>
          <w:rStyle w:val="Rimandonotaapidipagina"/>
        </w:rPr>
        <w:footnoteRef/>
      </w:r>
      <w:r>
        <w:t xml:space="preserve"> </w:t>
      </w:r>
      <w:r w:rsidRPr="00543613">
        <w:t xml:space="preserve">T.A.R. Napoli, Campania, </w:t>
      </w:r>
      <w:r w:rsidR="006F31AF">
        <w:t>Sez.</w:t>
      </w:r>
      <w:r w:rsidRPr="00543613">
        <w:t xml:space="preserve"> III, n.2499</w:t>
      </w:r>
      <w:r w:rsidR="00E41C3F">
        <w:t xml:space="preserve"> del </w:t>
      </w:r>
      <w:r w:rsidR="00E41C3F" w:rsidRPr="00E41C3F">
        <w:t>14</w:t>
      </w:r>
      <w:r w:rsidR="00E41C3F">
        <w:t xml:space="preserve"> maggio </w:t>
      </w:r>
      <w:r w:rsidR="00E41C3F" w:rsidRPr="00E41C3F">
        <w:t>2013</w:t>
      </w:r>
      <w:r w:rsidRPr="00543613">
        <w:t xml:space="preserve">; nello stesso senso, Consiglio di Stato </w:t>
      </w:r>
      <w:r w:rsidR="006F31AF">
        <w:t>Sez.</w:t>
      </w:r>
      <w:r w:rsidRPr="00543613">
        <w:t xml:space="preserve"> IV, n.4377</w:t>
      </w:r>
      <w:r w:rsidR="00E41C3F">
        <w:t xml:space="preserve"> del 26 giugno 2019</w:t>
      </w:r>
      <w:r w:rsidRPr="00543613">
        <w:t xml:space="preserve"> e Consiglio di Stato </w:t>
      </w:r>
      <w:r w:rsidR="006F31AF">
        <w:t>Sez.</w:t>
      </w:r>
      <w:r w:rsidRPr="00543613">
        <w:t xml:space="preserve"> VI, n.882</w:t>
      </w:r>
      <w:r w:rsidR="00E41C3F">
        <w:t xml:space="preserve"> dell’8 febbraio 2022.</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B0461F"/>
    <w:multiLevelType w:val="multilevel"/>
    <w:tmpl w:val="5CC0BEA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 w15:restartNumberingAfterBreak="0">
    <w:nsid w:val="350E282B"/>
    <w:multiLevelType w:val="hybridMultilevel"/>
    <w:tmpl w:val="191A78C0"/>
    <w:lvl w:ilvl="0" w:tplc="0274805A">
      <w:start w:val="1"/>
      <w:numFmt w:val="decimal"/>
      <w:pStyle w:val="titologiuffr"/>
      <w:lvlText w:val="%1."/>
      <w:lvlJc w:val="left"/>
      <w:pPr>
        <w:tabs>
          <w:tab w:val="num" w:pos="1068"/>
        </w:tabs>
        <w:ind w:left="1068" w:hanging="360"/>
      </w:pPr>
      <w:rPr>
        <w:rFonts w:hint="default"/>
        <w:b/>
      </w:rPr>
    </w:lvl>
    <w:lvl w:ilvl="1" w:tplc="04100019" w:tentative="1">
      <w:start w:val="1"/>
      <w:numFmt w:val="lowerLetter"/>
      <w:lvlText w:val="%2."/>
      <w:lvlJc w:val="left"/>
      <w:pPr>
        <w:tabs>
          <w:tab w:val="num" w:pos="1788"/>
        </w:tabs>
        <w:ind w:left="1788" w:hanging="360"/>
      </w:pPr>
    </w:lvl>
    <w:lvl w:ilvl="2" w:tplc="0410001B" w:tentative="1">
      <w:start w:val="1"/>
      <w:numFmt w:val="lowerRoman"/>
      <w:lvlText w:val="%3."/>
      <w:lvlJc w:val="right"/>
      <w:pPr>
        <w:tabs>
          <w:tab w:val="num" w:pos="2508"/>
        </w:tabs>
        <w:ind w:left="2508" w:hanging="180"/>
      </w:pPr>
    </w:lvl>
    <w:lvl w:ilvl="3" w:tplc="0410000F" w:tentative="1">
      <w:start w:val="1"/>
      <w:numFmt w:val="decimal"/>
      <w:lvlText w:val="%4."/>
      <w:lvlJc w:val="left"/>
      <w:pPr>
        <w:tabs>
          <w:tab w:val="num" w:pos="3228"/>
        </w:tabs>
        <w:ind w:left="3228" w:hanging="360"/>
      </w:pPr>
    </w:lvl>
    <w:lvl w:ilvl="4" w:tplc="04100019" w:tentative="1">
      <w:start w:val="1"/>
      <w:numFmt w:val="lowerLetter"/>
      <w:lvlText w:val="%5."/>
      <w:lvlJc w:val="left"/>
      <w:pPr>
        <w:tabs>
          <w:tab w:val="num" w:pos="3948"/>
        </w:tabs>
        <w:ind w:left="3948" w:hanging="360"/>
      </w:pPr>
    </w:lvl>
    <w:lvl w:ilvl="5" w:tplc="0410001B" w:tentative="1">
      <w:start w:val="1"/>
      <w:numFmt w:val="lowerRoman"/>
      <w:lvlText w:val="%6."/>
      <w:lvlJc w:val="right"/>
      <w:pPr>
        <w:tabs>
          <w:tab w:val="num" w:pos="4668"/>
        </w:tabs>
        <w:ind w:left="4668" w:hanging="180"/>
      </w:pPr>
    </w:lvl>
    <w:lvl w:ilvl="6" w:tplc="0410000F" w:tentative="1">
      <w:start w:val="1"/>
      <w:numFmt w:val="decimal"/>
      <w:lvlText w:val="%7."/>
      <w:lvlJc w:val="left"/>
      <w:pPr>
        <w:tabs>
          <w:tab w:val="num" w:pos="5388"/>
        </w:tabs>
        <w:ind w:left="5388" w:hanging="360"/>
      </w:pPr>
    </w:lvl>
    <w:lvl w:ilvl="7" w:tplc="04100019" w:tentative="1">
      <w:start w:val="1"/>
      <w:numFmt w:val="lowerLetter"/>
      <w:lvlText w:val="%8."/>
      <w:lvlJc w:val="left"/>
      <w:pPr>
        <w:tabs>
          <w:tab w:val="num" w:pos="6108"/>
        </w:tabs>
        <w:ind w:left="6108" w:hanging="360"/>
      </w:pPr>
    </w:lvl>
    <w:lvl w:ilvl="8" w:tplc="0410001B" w:tentative="1">
      <w:start w:val="1"/>
      <w:numFmt w:val="lowerRoman"/>
      <w:lvlText w:val="%9."/>
      <w:lvlJc w:val="right"/>
      <w:pPr>
        <w:tabs>
          <w:tab w:val="num" w:pos="6828"/>
        </w:tabs>
        <w:ind w:left="6828" w:hanging="180"/>
      </w:pPr>
    </w:lvl>
  </w:abstractNum>
  <w:abstractNum w:abstractNumId="2" w15:restartNumberingAfterBreak="0">
    <w:nsid w:val="4DCC4C93"/>
    <w:multiLevelType w:val="hybridMultilevel"/>
    <w:tmpl w:val="7F52F04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4AE514A"/>
    <w:multiLevelType w:val="hybridMultilevel"/>
    <w:tmpl w:val="A2DA2DC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55C81CF2"/>
    <w:multiLevelType w:val="hybridMultilevel"/>
    <w:tmpl w:val="1958A176"/>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294022814">
    <w:abstractNumId w:val="1"/>
  </w:num>
  <w:num w:numId="2" w16cid:durableId="154538709">
    <w:abstractNumId w:val="1"/>
  </w:num>
  <w:num w:numId="3" w16cid:durableId="1477067825">
    <w:abstractNumId w:val="1"/>
  </w:num>
  <w:num w:numId="4" w16cid:durableId="1600406886">
    <w:abstractNumId w:val="3"/>
  </w:num>
  <w:num w:numId="5" w16cid:durableId="1044871166">
    <w:abstractNumId w:val="0"/>
  </w:num>
  <w:num w:numId="6" w16cid:durableId="1038050035">
    <w:abstractNumId w:val="4"/>
  </w:num>
  <w:num w:numId="7" w16cid:durableId="1386637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7890"/>
    <w:rsid w:val="00000141"/>
    <w:rsid w:val="00001CB8"/>
    <w:rsid w:val="0000252C"/>
    <w:rsid w:val="00002A77"/>
    <w:rsid w:val="00002D77"/>
    <w:rsid w:val="00005615"/>
    <w:rsid w:val="00011A8C"/>
    <w:rsid w:val="00012C78"/>
    <w:rsid w:val="00012DC5"/>
    <w:rsid w:val="00014640"/>
    <w:rsid w:val="00015992"/>
    <w:rsid w:val="000173DA"/>
    <w:rsid w:val="00020156"/>
    <w:rsid w:val="00021161"/>
    <w:rsid w:val="00024D44"/>
    <w:rsid w:val="0002790D"/>
    <w:rsid w:val="00027A50"/>
    <w:rsid w:val="00033B7A"/>
    <w:rsid w:val="00041247"/>
    <w:rsid w:val="000438FD"/>
    <w:rsid w:val="00043BA7"/>
    <w:rsid w:val="000440C7"/>
    <w:rsid w:val="0004525E"/>
    <w:rsid w:val="00047D3B"/>
    <w:rsid w:val="00050735"/>
    <w:rsid w:val="00050D86"/>
    <w:rsid w:val="00051072"/>
    <w:rsid w:val="000520CE"/>
    <w:rsid w:val="00053B87"/>
    <w:rsid w:val="00054B2E"/>
    <w:rsid w:val="000651B4"/>
    <w:rsid w:val="00066B38"/>
    <w:rsid w:val="000677A4"/>
    <w:rsid w:val="000707E8"/>
    <w:rsid w:val="00075382"/>
    <w:rsid w:val="00080E3A"/>
    <w:rsid w:val="00080E45"/>
    <w:rsid w:val="00080E49"/>
    <w:rsid w:val="00082219"/>
    <w:rsid w:val="00085EC8"/>
    <w:rsid w:val="00087442"/>
    <w:rsid w:val="00093C76"/>
    <w:rsid w:val="000944F6"/>
    <w:rsid w:val="00094FAB"/>
    <w:rsid w:val="00096061"/>
    <w:rsid w:val="00096176"/>
    <w:rsid w:val="00096655"/>
    <w:rsid w:val="0009684C"/>
    <w:rsid w:val="000A087B"/>
    <w:rsid w:val="000A29CD"/>
    <w:rsid w:val="000A2BD3"/>
    <w:rsid w:val="000B0F6C"/>
    <w:rsid w:val="000B137D"/>
    <w:rsid w:val="000B4D7E"/>
    <w:rsid w:val="000B4E1E"/>
    <w:rsid w:val="000B607E"/>
    <w:rsid w:val="000B69F3"/>
    <w:rsid w:val="000B7F21"/>
    <w:rsid w:val="000C27ED"/>
    <w:rsid w:val="000C2ACA"/>
    <w:rsid w:val="000C2B87"/>
    <w:rsid w:val="000C39AA"/>
    <w:rsid w:val="000D18C3"/>
    <w:rsid w:val="000D4345"/>
    <w:rsid w:val="000D7689"/>
    <w:rsid w:val="000F0A0C"/>
    <w:rsid w:val="000F0D7F"/>
    <w:rsid w:val="000F0EE9"/>
    <w:rsid w:val="000F14FA"/>
    <w:rsid w:val="000F22B8"/>
    <w:rsid w:val="0010044E"/>
    <w:rsid w:val="001018F0"/>
    <w:rsid w:val="001024C2"/>
    <w:rsid w:val="00103BAD"/>
    <w:rsid w:val="00103D32"/>
    <w:rsid w:val="00106FFE"/>
    <w:rsid w:val="00110CC9"/>
    <w:rsid w:val="00110EA0"/>
    <w:rsid w:val="00115609"/>
    <w:rsid w:val="001222C2"/>
    <w:rsid w:val="00124E58"/>
    <w:rsid w:val="00126581"/>
    <w:rsid w:val="00130FB2"/>
    <w:rsid w:val="001335F8"/>
    <w:rsid w:val="0013482C"/>
    <w:rsid w:val="00134869"/>
    <w:rsid w:val="0014086F"/>
    <w:rsid w:val="00142455"/>
    <w:rsid w:val="00142CD2"/>
    <w:rsid w:val="00144874"/>
    <w:rsid w:val="00145501"/>
    <w:rsid w:val="00151BAA"/>
    <w:rsid w:val="00151D5A"/>
    <w:rsid w:val="00151EE7"/>
    <w:rsid w:val="00155539"/>
    <w:rsid w:val="001573A4"/>
    <w:rsid w:val="00162505"/>
    <w:rsid w:val="00167E58"/>
    <w:rsid w:val="00171554"/>
    <w:rsid w:val="001723B3"/>
    <w:rsid w:val="00172CEA"/>
    <w:rsid w:val="00183A40"/>
    <w:rsid w:val="00183D89"/>
    <w:rsid w:val="00183E8B"/>
    <w:rsid w:val="001848E4"/>
    <w:rsid w:val="00185336"/>
    <w:rsid w:val="001872A6"/>
    <w:rsid w:val="001909A8"/>
    <w:rsid w:val="0019241C"/>
    <w:rsid w:val="00194FFB"/>
    <w:rsid w:val="00195747"/>
    <w:rsid w:val="0019669F"/>
    <w:rsid w:val="0019672B"/>
    <w:rsid w:val="001973A7"/>
    <w:rsid w:val="001A2B4D"/>
    <w:rsid w:val="001A3C92"/>
    <w:rsid w:val="001A45EA"/>
    <w:rsid w:val="001A707A"/>
    <w:rsid w:val="001A762B"/>
    <w:rsid w:val="001A765D"/>
    <w:rsid w:val="001A7959"/>
    <w:rsid w:val="001B1E60"/>
    <w:rsid w:val="001B6BBD"/>
    <w:rsid w:val="001C3FED"/>
    <w:rsid w:val="001C5FEE"/>
    <w:rsid w:val="001D0EE9"/>
    <w:rsid w:val="001D2D5D"/>
    <w:rsid w:val="001D3BAD"/>
    <w:rsid w:val="001D4FFE"/>
    <w:rsid w:val="001E1637"/>
    <w:rsid w:val="001E68F6"/>
    <w:rsid w:val="001E6B49"/>
    <w:rsid w:val="001E6BE5"/>
    <w:rsid w:val="001F0C86"/>
    <w:rsid w:val="001F21EE"/>
    <w:rsid w:val="001F38CD"/>
    <w:rsid w:val="001F3B26"/>
    <w:rsid w:val="001F4CCB"/>
    <w:rsid w:val="001F66D9"/>
    <w:rsid w:val="001F703F"/>
    <w:rsid w:val="001F7E50"/>
    <w:rsid w:val="002015F4"/>
    <w:rsid w:val="00202307"/>
    <w:rsid w:val="002029D9"/>
    <w:rsid w:val="002043E1"/>
    <w:rsid w:val="00213E12"/>
    <w:rsid w:val="00214E11"/>
    <w:rsid w:val="00217E25"/>
    <w:rsid w:val="00221578"/>
    <w:rsid w:val="00222D76"/>
    <w:rsid w:val="002261F8"/>
    <w:rsid w:val="00226438"/>
    <w:rsid w:val="00227CBE"/>
    <w:rsid w:val="00231969"/>
    <w:rsid w:val="00231C55"/>
    <w:rsid w:val="0023502A"/>
    <w:rsid w:val="0023580B"/>
    <w:rsid w:val="0023636D"/>
    <w:rsid w:val="002424F6"/>
    <w:rsid w:val="00242813"/>
    <w:rsid w:val="0024539D"/>
    <w:rsid w:val="002454FF"/>
    <w:rsid w:val="00246BC9"/>
    <w:rsid w:val="00247655"/>
    <w:rsid w:val="00247D03"/>
    <w:rsid w:val="002513A9"/>
    <w:rsid w:val="00251FD5"/>
    <w:rsid w:val="00252867"/>
    <w:rsid w:val="00253240"/>
    <w:rsid w:val="00256843"/>
    <w:rsid w:val="00262029"/>
    <w:rsid w:val="00263E32"/>
    <w:rsid w:val="0026414D"/>
    <w:rsid w:val="00265FD9"/>
    <w:rsid w:val="00267573"/>
    <w:rsid w:val="00267D88"/>
    <w:rsid w:val="0027140E"/>
    <w:rsid w:val="002731A5"/>
    <w:rsid w:val="00274C99"/>
    <w:rsid w:val="00274F23"/>
    <w:rsid w:val="002758BD"/>
    <w:rsid w:val="00275C83"/>
    <w:rsid w:val="00275F4A"/>
    <w:rsid w:val="0027707C"/>
    <w:rsid w:val="002770C9"/>
    <w:rsid w:val="00281447"/>
    <w:rsid w:val="00281B90"/>
    <w:rsid w:val="00282BA0"/>
    <w:rsid w:val="00284EB9"/>
    <w:rsid w:val="00285263"/>
    <w:rsid w:val="002876FF"/>
    <w:rsid w:val="00287EB0"/>
    <w:rsid w:val="00290123"/>
    <w:rsid w:val="002935B9"/>
    <w:rsid w:val="00293C5B"/>
    <w:rsid w:val="00294675"/>
    <w:rsid w:val="00297A31"/>
    <w:rsid w:val="002A02EB"/>
    <w:rsid w:val="002A1E6C"/>
    <w:rsid w:val="002A490C"/>
    <w:rsid w:val="002A5816"/>
    <w:rsid w:val="002A5C9C"/>
    <w:rsid w:val="002A6A71"/>
    <w:rsid w:val="002B12CA"/>
    <w:rsid w:val="002B5276"/>
    <w:rsid w:val="002B566D"/>
    <w:rsid w:val="002C0B0C"/>
    <w:rsid w:val="002C2932"/>
    <w:rsid w:val="002C2D6A"/>
    <w:rsid w:val="002C2E71"/>
    <w:rsid w:val="002C3AF7"/>
    <w:rsid w:val="002D0E60"/>
    <w:rsid w:val="002D23FF"/>
    <w:rsid w:val="002D4D00"/>
    <w:rsid w:val="002D4EAD"/>
    <w:rsid w:val="002D51B6"/>
    <w:rsid w:val="002D5266"/>
    <w:rsid w:val="002D74A9"/>
    <w:rsid w:val="002D77CF"/>
    <w:rsid w:val="002E0622"/>
    <w:rsid w:val="002E0A00"/>
    <w:rsid w:val="002E5ECC"/>
    <w:rsid w:val="002F0917"/>
    <w:rsid w:val="002F2CD9"/>
    <w:rsid w:val="002F5F5F"/>
    <w:rsid w:val="002F6F21"/>
    <w:rsid w:val="00302615"/>
    <w:rsid w:val="00302D92"/>
    <w:rsid w:val="003047AE"/>
    <w:rsid w:val="00304B32"/>
    <w:rsid w:val="00305CEE"/>
    <w:rsid w:val="003066FC"/>
    <w:rsid w:val="00311813"/>
    <w:rsid w:val="00312742"/>
    <w:rsid w:val="003131FB"/>
    <w:rsid w:val="00313D13"/>
    <w:rsid w:val="0031430B"/>
    <w:rsid w:val="003148F3"/>
    <w:rsid w:val="00314FFF"/>
    <w:rsid w:val="00317D4F"/>
    <w:rsid w:val="00317D50"/>
    <w:rsid w:val="003201AF"/>
    <w:rsid w:val="00324313"/>
    <w:rsid w:val="003272F9"/>
    <w:rsid w:val="003314EA"/>
    <w:rsid w:val="00331B38"/>
    <w:rsid w:val="003321C4"/>
    <w:rsid w:val="00332DE5"/>
    <w:rsid w:val="00334BC1"/>
    <w:rsid w:val="0033666D"/>
    <w:rsid w:val="00342B7E"/>
    <w:rsid w:val="003435BC"/>
    <w:rsid w:val="00346538"/>
    <w:rsid w:val="0034671F"/>
    <w:rsid w:val="0034689E"/>
    <w:rsid w:val="00352251"/>
    <w:rsid w:val="00352B13"/>
    <w:rsid w:val="003533F1"/>
    <w:rsid w:val="003571D5"/>
    <w:rsid w:val="0035778B"/>
    <w:rsid w:val="00357B28"/>
    <w:rsid w:val="00371DB1"/>
    <w:rsid w:val="00372355"/>
    <w:rsid w:val="00374301"/>
    <w:rsid w:val="003755A4"/>
    <w:rsid w:val="00375FAD"/>
    <w:rsid w:val="0038010A"/>
    <w:rsid w:val="00380978"/>
    <w:rsid w:val="0038399A"/>
    <w:rsid w:val="0038539F"/>
    <w:rsid w:val="00390286"/>
    <w:rsid w:val="003903AA"/>
    <w:rsid w:val="00392D6B"/>
    <w:rsid w:val="00397126"/>
    <w:rsid w:val="003A056E"/>
    <w:rsid w:val="003A0E90"/>
    <w:rsid w:val="003A117A"/>
    <w:rsid w:val="003A129E"/>
    <w:rsid w:val="003A3AC1"/>
    <w:rsid w:val="003A5C25"/>
    <w:rsid w:val="003A794A"/>
    <w:rsid w:val="003B1C5B"/>
    <w:rsid w:val="003B2907"/>
    <w:rsid w:val="003B526D"/>
    <w:rsid w:val="003C1425"/>
    <w:rsid w:val="003C1FD3"/>
    <w:rsid w:val="003C2729"/>
    <w:rsid w:val="003C2B6A"/>
    <w:rsid w:val="003C4C45"/>
    <w:rsid w:val="003C5322"/>
    <w:rsid w:val="003C5416"/>
    <w:rsid w:val="003C6185"/>
    <w:rsid w:val="003C6803"/>
    <w:rsid w:val="003D0E2E"/>
    <w:rsid w:val="003D1832"/>
    <w:rsid w:val="003D3E95"/>
    <w:rsid w:val="003D597E"/>
    <w:rsid w:val="003D6BD1"/>
    <w:rsid w:val="003E1192"/>
    <w:rsid w:val="003E447E"/>
    <w:rsid w:val="003E610D"/>
    <w:rsid w:val="003F0FD9"/>
    <w:rsid w:val="003F1184"/>
    <w:rsid w:val="003F1A20"/>
    <w:rsid w:val="003F2AD3"/>
    <w:rsid w:val="003F3B22"/>
    <w:rsid w:val="003F3E30"/>
    <w:rsid w:val="003F5596"/>
    <w:rsid w:val="003F700F"/>
    <w:rsid w:val="004021E1"/>
    <w:rsid w:val="004043E9"/>
    <w:rsid w:val="00404517"/>
    <w:rsid w:val="00411438"/>
    <w:rsid w:val="004118B7"/>
    <w:rsid w:val="00414357"/>
    <w:rsid w:val="004149D2"/>
    <w:rsid w:val="004173BD"/>
    <w:rsid w:val="00417F09"/>
    <w:rsid w:val="00420B54"/>
    <w:rsid w:val="0042101B"/>
    <w:rsid w:val="00421E3D"/>
    <w:rsid w:val="00423D1A"/>
    <w:rsid w:val="00424D24"/>
    <w:rsid w:val="004266B0"/>
    <w:rsid w:val="00427111"/>
    <w:rsid w:val="00427866"/>
    <w:rsid w:val="0043075D"/>
    <w:rsid w:val="00435216"/>
    <w:rsid w:val="0043528B"/>
    <w:rsid w:val="00435391"/>
    <w:rsid w:val="004412F0"/>
    <w:rsid w:val="00441A0F"/>
    <w:rsid w:val="004431FA"/>
    <w:rsid w:val="0044589A"/>
    <w:rsid w:val="00447970"/>
    <w:rsid w:val="00450AD2"/>
    <w:rsid w:val="00453DBE"/>
    <w:rsid w:val="00456EC2"/>
    <w:rsid w:val="004601F1"/>
    <w:rsid w:val="00460316"/>
    <w:rsid w:val="0046181C"/>
    <w:rsid w:val="00461BC1"/>
    <w:rsid w:val="00462832"/>
    <w:rsid w:val="00471072"/>
    <w:rsid w:val="004713E5"/>
    <w:rsid w:val="00480650"/>
    <w:rsid w:val="004835AD"/>
    <w:rsid w:val="004840C8"/>
    <w:rsid w:val="00486E43"/>
    <w:rsid w:val="0048768A"/>
    <w:rsid w:val="00492142"/>
    <w:rsid w:val="0049647F"/>
    <w:rsid w:val="00496924"/>
    <w:rsid w:val="004A1672"/>
    <w:rsid w:val="004A2318"/>
    <w:rsid w:val="004A3121"/>
    <w:rsid w:val="004B01EE"/>
    <w:rsid w:val="004B43FA"/>
    <w:rsid w:val="004B64EA"/>
    <w:rsid w:val="004B706F"/>
    <w:rsid w:val="004B71CD"/>
    <w:rsid w:val="004C1F03"/>
    <w:rsid w:val="004C4066"/>
    <w:rsid w:val="004C425B"/>
    <w:rsid w:val="004C5760"/>
    <w:rsid w:val="004C63F0"/>
    <w:rsid w:val="004C7498"/>
    <w:rsid w:val="004C7579"/>
    <w:rsid w:val="004C7C8B"/>
    <w:rsid w:val="004C7CFD"/>
    <w:rsid w:val="004D0854"/>
    <w:rsid w:val="004D6ACA"/>
    <w:rsid w:val="004E0E53"/>
    <w:rsid w:val="004E12A1"/>
    <w:rsid w:val="004E17F4"/>
    <w:rsid w:val="004E1969"/>
    <w:rsid w:val="004E29F8"/>
    <w:rsid w:val="004E3F24"/>
    <w:rsid w:val="004E492C"/>
    <w:rsid w:val="004E71BB"/>
    <w:rsid w:val="004F059E"/>
    <w:rsid w:val="004F1FE7"/>
    <w:rsid w:val="004F48C5"/>
    <w:rsid w:val="004F4DAE"/>
    <w:rsid w:val="005000F5"/>
    <w:rsid w:val="0050047F"/>
    <w:rsid w:val="00504780"/>
    <w:rsid w:val="00510C36"/>
    <w:rsid w:val="005113F4"/>
    <w:rsid w:val="00511E98"/>
    <w:rsid w:val="005146C0"/>
    <w:rsid w:val="00515B82"/>
    <w:rsid w:val="00515FEB"/>
    <w:rsid w:val="005254B6"/>
    <w:rsid w:val="00537F26"/>
    <w:rsid w:val="00543613"/>
    <w:rsid w:val="005444ED"/>
    <w:rsid w:val="0054486E"/>
    <w:rsid w:val="00544AAF"/>
    <w:rsid w:val="00545E11"/>
    <w:rsid w:val="00547A30"/>
    <w:rsid w:val="00547B4B"/>
    <w:rsid w:val="005510ED"/>
    <w:rsid w:val="00552EDF"/>
    <w:rsid w:val="00553840"/>
    <w:rsid w:val="00554CE4"/>
    <w:rsid w:val="00556DE2"/>
    <w:rsid w:val="00557C26"/>
    <w:rsid w:val="00557E32"/>
    <w:rsid w:val="00557F89"/>
    <w:rsid w:val="00560A8D"/>
    <w:rsid w:val="0056298D"/>
    <w:rsid w:val="00563186"/>
    <w:rsid w:val="00563C4A"/>
    <w:rsid w:val="00564060"/>
    <w:rsid w:val="0056448B"/>
    <w:rsid w:val="00565AF0"/>
    <w:rsid w:val="00570032"/>
    <w:rsid w:val="005707D9"/>
    <w:rsid w:val="00571A3A"/>
    <w:rsid w:val="0057509C"/>
    <w:rsid w:val="00581D0F"/>
    <w:rsid w:val="00582E16"/>
    <w:rsid w:val="0058433E"/>
    <w:rsid w:val="0058572D"/>
    <w:rsid w:val="005902B6"/>
    <w:rsid w:val="005907A2"/>
    <w:rsid w:val="0059265C"/>
    <w:rsid w:val="0059322F"/>
    <w:rsid w:val="00593945"/>
    <w:rsid w:val="005941D5"/>
    <w:rsid w:val="005A1286"/>
    <w:rsid w:val="005A43D9"/>
    <w:rsid w:val="005A5B8D"/>
    <w:rsid w:val="005A7213"/>
    <w:rsid w:val="005A78C3"/>
    <w:rsid w:val="005B01AB"/>
    <w:rsid w:val="005B054E"/>
    <w:rsid w:val="005B150D"/>
    <w:rsid w:val="005B476E"/>
    <w:rsid w:val="005B5156"/>
    <w:rsid w:val="005B559F"/>
    <w:rsid w:val="005B589E"/>
    <w:rsid w:val="005C121D"/>
    <w:rsid w:val="005C133A"/>
    <w:rsid w:val="005C229C"/>
    <w:rsid w:val="005C269A"/>
    <w:rsid w:val="005C2C0C"/>
    <w:rsid w:val="005C522B"/>
    <w:rsid w:val="005D031E"/>
    <w:rsid w:val="005D2B82"/>
    <w:rsid w:val="005D5D2D"/>
    <w:rsid w:val="005D6C0F"/>
    <w:rsid w:val="005E355A"/>
    <w:rsid w:val="005E5DA0"/>
    <w:rsid w:val="005E60C4"/>
    <w:rsid w:val="005E6F32"/>
    <w:rsid w:val="005E7EA6"/>
    <w:rsid w:val="005F1A1A"/>
    <w:rsid w:val="005F21C4"/>
    <w:rsid w:val="005F2563"/>
    <w:rsid w:val="005F2893"/>
    <w:rsid w:val="005F398C"/>
    <w:rsid w:val="005F39A9"/>
    <w:rsid w:val="005F4731"/>
    <w:rsid w:val="005F52A4"/>
    <w:rsid w:val="005F7A64"/>
    <w:rsid w:val="006005B2"/>
    <w:rsid w:val="00601B2C"/>
    <w:rsid w:val="006031D0"/>
    <w:rsid w:val="006041E1"/>
    <w:rsid w:val="00606252"/>
    <w:rsid w:val="00606575"/>
    <w:rsid w:val="00613A3D"/>
    <w:rsid w:val="00614AA0"/>
    <w:rsid w:val="0061523A"/>
    <w:rsid w:val="00616E94"/>
    <w:rsid w:val="006177A4"/>
    <w:rsid w:val="00620B0A"/>
    <w:rsid w:val="006227E3"/>
    <w:rsid w:val="00624ADC"/>
    <w:rsid w:val="00625DD8"/>
    <w:rsid w:val="00631F2F"/>
    <w:rsid w:val="006329CC"/>
    <w:rsid w:val="00632D1F"/>
    <w:rsid w:val="00636E88"/>
    <w:rsid w:val="0064377F"/>
    <w:rsid w:val="006454FF"/>
    <w:rsid w:val="006467EC"/>
    <w:rsid w:val="00646BFA"/>
    <w:rsid w:val="00646F4B"/>
    <w:rsid w:val="006505C4"/>
    <w:rsid w:val="00650EC2"/>
    <w:rsid w:val="006524EC"/>
    <w:rsid w:val="00652A24"/>
    <w:rsid w:val="00652EC2"/>
    <w:rsid w:val="00654A03"/>
    <w:rsid w:val="0065516D"/>
    <w:rsid w:val="006610DB"/>
    <w:rsid w:val="0066159F"/>
    <w:rsid w:val="00665EFD"/>
    <w:rsid w:val="00673696"/>
    <w:rsid w:val="00676050"/>
    <w:rsid w:val="006774D5"/>
    <w:rsid w:val="0067797B"/>
    <w:rsid w:val="0068326F"/>
    <w:rsid w:val="00683830"/>
    <w:rsid w:val="00684445"/>
    <w:rsid w:val="00686078"/>
    <w:rsid w:val="00687177"/>
    <w:rsid w:val="00690122"/>
    <w:rsid w:val="00691491"/>
    <w:rsid w:val="006926DF"/>
    <w:rsid w:val="0069279D"/>
    <w:rsid w:val="00693286"/>
    <w:rsid w:val="00693D15"/>
    <w:rsid w:val="00696839"/>
    <w:rsid w:val="00696DA8"/>
    <w:rsid w:val="006A4947"/>
    <w:rsid w:val="006A4DD4"/>
    <w:rsid w:val="006B256D"/>
    <w:rsid w:val="006B32A7"/>
    <w:rsid w:val="006B50A2"/>
    <w:rsid w:val="006B5318"/>
    <w:rsid w:val="006B5E50"/>
    <w:rsid w:val="006B5E8C"/>
    <w:rsid w:val="006B7A3A"/>
    <w:rsid w:val="006C42E1"/>
    <w:rsid w:val="006C69A4"/>
    <w:rsid w:val="006C79C4"/>
    <w:rsid w:val="006D0F3B"/>
    <w:rsid w:val="006D195B"/>
    <w:rsid w:val="006D278F"/>
    <w:rsid w:val="006D5A63"/>
    <w:rsid w:val="006D7F10"/>
    <w:rsid w:val="006E182C"/>
    <w:rsid w:val="006E29A7"/>
    <w:rsid w:val="006E2BFE"/>
    <w:rsid w:val="006E3013"/>
    <w:rsid w:val="006E3A99"/>
    <w:rsid w:val="006E4A16"/>
    <w:rsid w:val="006E6A9A"/>
    <w:rsid w:val="006E6E48"/>
    <w:rsid w:val="006E783A"/>
    <w:rsid w:val="006E7B36"/>
    <w:rsid w:val="006F0425"/>
    <w:rsid w:val="006F161B"/>
    <w:rsid w:val="006F20C2"/>
    <w:rsid w:val="006F31AF"/>
    <w:rsid w:val="006F35FC"/>
    <w:rsid w:val="006F76CF"/>
    <w:rsid w:val="006F7F61"/>
    <w:rsid w:val="00702C7D"/>
    <w:rsid w:val="00703C67"/>
    <w:rsid w:val="007066E1"/>
    <w:rsid w:val="00706889"/>
    <w:rsid w:val="00706D88"/>
    <w:rsid w:val="00706F2C"/>
    <w:rsid w:val="007106AF"/>
    <w:rsid w:val="00710FAC"/>
    <w:rsid w:val="007116FD"/>
    <w:rsid w:val="00711E94"/>
    <w:rsid w:val="00712E2E"/>
    <w:rsid w:val="0071560F"/>
    <w:rsid w:val="00722129"/>
    <w:rsid w:val="00722A3F"/>
    <w:rsid w:val="007246F0"/>
    <w:rsid w:val="00726265"/>
    <w:rsid w:val="00726D11"/>
    <w:rsid w:val="00727C89"/>
    <w:rsid w:val="007333FD"/>
    <w:rsid w:val="0073452A"/>
    <w:rsid w:val="00736014"/>
    <w:rsid w:val="007365D3"/>
    <w:rsid w:val="00744B9B"/>
    <w:rsid w:val="00745950"/>
    <w:rsid w:val="00750140"/>
    <w:rsid w:val="00751199"/>
    <w:rsid w:val="00751F96"/>
    <w:rsid w:val="00753AAF"/>
    <w:rsid w:val="00760420"/>
    <w:rsid w:val="00760B92"/>
    <w:rsid w:val="00761F25"/>
    <w:rsid w:val="00763A74"/>
    <w:rsid w:val="007646A1"/>
    <w:rsid w:val="007652A5"/>
    <w:rsid w:val="00765D34"/>
    <w:rsid w:val="00771067"/>
    <w:rsid w:val="00774F14"/>
    <w:rsid w:val="00776E09"/>
    <w:rsid w:val="007771C4"/>
    <w:rsid w:val="00777C23"/>
    <w:rsid w:val="00782EE6"/>
    <w:rsid w:val="00783705"/>
    <w:rsid w:val="0078372C"/>
    <w:rsid w:val="00783AAF"/>
    <w:rsid w:val="007840A3"/>
    <w:rsid w:val="00784231"/>
    <w:rsid w:val="00784B4C"/>
    <w:rsid w:val="00790677"/>
    <w:rsid w:val="0079200F"/>
    <w:rsid w:val="0079336E"/>
    <w:rsid w:val="00793F05"/>
    <w:rsid w:val="00794372"/>
    <w:rsid w:val="0079444B"/>
    <w:rsid w:val="00795E6D"/>
    <w:rsid w:val="007967BC"/>
    <w:rsid w:val="007968BB"/>
    <w:rsid w:val="007A0DFD"/>
    <w:rsid w:val="007A0E69"/>
    <w:rsid w:val="007A39B3"/>
    <w:rsid w:val="007A3BB4"/>
    <w:rsid w:val="007A51BD"/>
    <w:rsid w:val="007A6C49"/>
    <w:rsid w:val="007B0AE7"/>
    <w:rsid w:val="007B423B"/>
    <w:rsid w:val="007B5B44"/>
    <w:rsid w:val="007B6E31"/>
    <w:rsid w:val="007B7F28"/>
    <w:rsid w:val="007C08EE"/>
    <w:rsid w:val="007C59AF"/>
    <w:rsid w:val="007D0773"/>
    <w:rsid w:val="007D112B"/>
    <w:rsid w:val="007D216E"/>
    <w:rsid w:val="007D4148"/>
    <w:rsid w:val="007D5E6D"/>
    <w:rsid w:val="007D63A0"/>
    <w:rsid w:val="007D757F"/>
    <w:rsid w:val="007E0818"/>
    <w:rsid w:val="007E0A67"/>
    <w:rsid w:val="007E1AF6"/>
    <w:rsid w:val="007E2CF1"/>
    <w:rsid w:val="007E5E25"/>
    <w:rsid w:val="007E738A"/>
    <w:rsid w:val="007E7979"/>
    <w:rsid w:val="007F256E"/>
    <w:rsid w:val="007F28BA"/>
    <w:rsid w:val="007F28DE"/>
    <w:rsid w:val="007F36B1"/>
    <w:rsid w:val="007F3EBB"/>
    <w:rsid w:val="007F7A0C"/>
    <w:rsid w:val="008001C5"/>
    <w:rsid w:val="008009A6"/>
    <w:rsid w:val="00801A2D"/>
    <w:rsid w:val="00806948"/>
    <w:rsid w:val="008108F7"/>
    <w:rsid w:val="00811BAD"/>
    <w:rsid w:val="00816D2C"/>
    <w:rsid w:val="0082085F"/>
    <w:rsid w:val="00821CD8"/>
    <w:rsid w:val="00822AD0"/>
    <w:rsid w:val="00832131"/>
    <w:rsid w:val="008324DB"/>
    <w:rsid w:val="00832640"/>
    <w:rsid w:val="00832AAA"/>
    <w:rsid w:val="00835E2E"/>
    <w:rsid w:val="008360F3"/>
    <w:rsid w:val="00837963"/>
    <w:rsid w:val="00840F34"/>
    <w:rsid w:val="00842B3B"/>
    <w:rsid w:val="00844FFB"/>
    <w:rsid w:val="00846A79"/>
    <w:rsid w:val="00846E9C"/>
    <w:rsid w:val="00847641"/>
    <w:rsid w:val="00847C95"/>
    <w:rsid w:val="00850D3D"/>
    <w:rsid w:val="00851520"/>
    <w:rsid w:val="00854156"/>
    <w:rsid w:val="0085474D"/>
    <w:rsid w:val="00854B30"/>
    <w:rsid w:val="00855544"/>
    <w:rsid w:val="008611EB"/>
    <w:rsid w:val="00861978"/>
    <w:rsid w:val="0086206D"/>
    <w:rsid w:val="00863620"/>
    <w:rsid w:val="00864302"/>
    <w:rsid w:val="00864769"/>
    <w:rsid w:val="00865CE4"/>
    <w:rsid w:val="00866335"/>
    <w:rsid w:val="00867D27"/>
    <w:rsid w:val="00874F87"/>
    <w:rsid w:val="00875BB5"/>
    <w:rsid w:val="00875E58"/>
    <w:rsid w:val="0088173F"/>
    <w:rsid w:val="0088397C"/>
    <w:rsid w:val="00884337"/>
    <w:rsid w:val="008843C4"/>
    <w:rsid w:val="00886820"/>
    <w:rsid w:val="00886F4E"/>
    <w:rsid w:val="00893361"/>
    <w:rsid w:val="00895826"/>
    <w:rsid w:val="00895EAA"/>
    <w:rsid w:val="008A1A9B"/>
    <w:rsid w:val="008A1F4D"/>
    <w:rsid w:val="008A5A6A"/>
    <w:rsid w:val="008A7890"/>
    <w:rsid w:val="008A7D84"/>
    <w:rsid w:val="008B163F"/>
    <w:rsid w:val="008B2164"/>
    <w:rsid w:val="008B4172"/>
    <w:rsid w:val="008B51E5"/>
    <w:rsid w:val="008B5243"/>
    <w:rsid w:val="008B62EE"/>
    <w:rsid w:val="008C0E58"/>
    <w:rsid w:val="008C162A"/>
    <w:rsid w:val="008C1A10"/>
    <w:rsid w:val="008C3F46"/>
    <w:rsid w:val="008C42A1"/>
    <w:rsid w:val="008C5A9F"/>
    <w:rsid w:val="008C5BD8"/>
    <w:rsid w:val="008C6354"/>
    <w:rsid w:val="008C79B5"/>
    <w:rsid w:val="008D22DC"/>
    <w:rsid w:val="008D30C7"/>
    <w:rsid w:val="008D4285"/>
    <w:rsid w:val="008D5E67"/>
    <w:rsid w:val="008D7092"/>
    <w:rsid w:val="008E02EA"/>
    <w:rsid w:val="008E07FE"/>
    <w:rsid w:val="008E0F3E"/>
    <w:rsid w:val="008E2392"/>
    <w:rsid w:val="008E402D"/>
    <w:rsid w:val="008E6B42"/>
    <w:rsid w:val="008E6EF2"/>
    <w:rsid w:val="008E7ACB"/>
    <w:rsid w:val="008E7F64"/>
    <w:rsid w:val="008F0D7F"/>
    <w:rsid w:val="008F162E"/>
    <w:rsid w:val="008F1AE1"/>
    <w:rsid w:val="008F2502"/>
    <w:rsid w:val="008F33FF"/>
    <w:rsid w:val="008F387F"/>
    <w:rsid w:val="008F7F0D"/>
    <w:rsid w:val="00901A55"/>
    <w:rsid w:val="009021F6"/>
    <w:rsid w:val="00903C0A"/>
    <w:rsid w:val="00903E93"/>
    <w:rsid w:val="00911473"/>
    <w:rsid w:val="00913BDB"/>
    <w:rsid w:val="00917604"/>
    <w:rsid w:val="00917DC8"/>
    <w:rsid w:val="00921C34"/>
    <w:rsid w:val="00923973"/>
    <w:rsid w:val="0092700B"/>
    <w:rsid w:val="00930A3B"/>
    <w:rsid w:val="00931FF8"/>
    <w:rsid w:val="00933D41"/>
    <w:rsid w:val="009357CF"/>
    <w:rsid w:val="009364A0"/>
    <w:rsid w:val="009374EA"/>
    <w:rsid w:val="00940EE6"/>
    <w:rsid w:val="00941332"/>
    <w:rsid w:val="00942DDF"/>
    <w:rsid w:val="0095023B"/>
    <w:rsid w:val="009505C7"/>
    <w:rsid w:val="00953C6B"/>
    <w:rsid w:val="009547BA"/>
    <w:rsid w:val="00957091"/>
    <w:rsid w:val="009579D7"/>
    <w:rsid w:val="00960516"/>
    <w:rsid w:val="009609C1"/>
    <w:rsid w:val="00960E4B"/>
    <w:rsid w:val="00962B14"/>
    <w:rsid w:val="00963D13"/>
    <w:rsid w:val="0096666F"/>
    <w:rsid w:val="00973346"/>
    <w:rsid w:val="0097737B"/>
    <w:rsid w:val="00982419"/>
    <w:rsid w:val="00983504"/>
    <w:rsid w:val="00990083"/>
    <w:rsid w:val="00990729"/>
    <w:rsid w:val="00991E91"/>
    <w:rsid w:val="00992EE4"/>
    <w:rsid w:val="00993BA9"/>
    <w:rsid w:val="009940E4"/>
    <w:rsid w:val="0099435C"/>
    <w:rsid w:val="00995A3B"/>
    <w:rsid w:val="009968F7"/>
    <w:rsid w:val="00997E8A"/>
    <w:rsid w:val="009A2830"/>
    <w:rsid w:val="009A4D69"/>
    <w:rsid w:val="009A79AE"/>
    <w:rsid w:val="009A7E29"/>
    <w:rsid w:val="009B1968"/>
    <w:rsid w:val="009B60C5"/>
    <w:rsid w:val="009B6960"/>
    <w:rsid w:val="009C0271"/>
    <w:rsid w:val="009C481C"/>
    <w:rsid w:val="009C789D"/>
    <w:rsid w:val="009D020D"/>
    <w:rsid w:val="009D2039"/>
    <w:rsid w:val="009D49FD"/>
    <w:rsid w:val="009D5500"/>
    <w:rsid w:val="009D550E"/>
    <w:rsid w:val="009D57D1"/>
    <w:rsid w:val="009E051D"/>
    <w:rsid w:val="009E12EB"/>
    <w:rsid w:val="009E440C"/>
    <w:rsid w:val="009E4739"/>
    <w:rsid w:val="009E4BAF"/>
    <w:rsid w:val="009E57B5"/>
    <w:rsid w:val="009E58FB"/>
    <w:rsid w:val="009E5CB1"/>
    <w:rsid w:val="009E60C5"/>
    <w:rsid w:val="009E6488"/>
    <w:rsid w:val="009E6810"/>
    <w:rsid w:val="009F00B0"/>
    <w:rsid w:val="009F3958"/>
    <w:rsid w:val="009F5EC8"/>
    <w:rsid w:val="009F6D03"/>
    <w:rsid w:val="00A00D4E"/>
    <w:rsid w:val="00A043E5"/>
    <w:rsid w:val="00A0469E"/>
    <w:rsid w:val="00A046B8"/>
    <w:rsid w:val="00A0514F"/>
    <w:rsid w:val="00A11167"/>
    <w:rsid w:val="00A11E2B"/>
    <w:rsid w:val="00A13A5E"/>
    <w:rsid w:val="00A164C2"/>
    <w:rsid w:val="00A1737B"/>
    <w:rsid w:val="00A26015"/>
    <w:rsid w:val="00A26161"/>
    <w:rsid w:val="00A26BDF"/>
    <w:rsid w:val="00A2712F"/>
    <w:rsid w:val="00A30A9C"/>
    <w:rsid w:val="00A31822"/>
    <w:rsid w:val="00A326CC"/>
    <w:rsid w:val="00A32706"/>
    <w:rsid w:val="00A360F7"/>
    <w:rsid w:val="00A3756E"/>
    <w:rsid w:val="00A42296"/>
    <w:rsid w:val="00A47784"/>
    <w:rsid w:val="00A51A09"/>
    <w:rsid w:val="00A51CF4"/>
    <w:rsid w:val="00A559F4"/>
    <w:rsid w:val="00A55DC8"/>
    <w:rsid w:val="00A5604D"/>
    <w:rsid w:val="00A62066"/>
    <w:rsid w:val="00A640AD"/>
    <w:rsid w:val="00A646D5"/>
    <w:rsid w:val="00A662AE"/>
    <w:rsid w:val="00A66B4B"/>
    <w:rsid w:val="00A71401"/>
    <w:rsid w:val="00A71ED6"/>
    <w:rsid w:val="00A72AC8"/>
    <w:rsid w:val="00A74FC1"/>
    <w:rsid w:val="00A77F87"/>
    <w:rsid w:val="00A80735"/>
    <w:rsid w:val="00A80FF7"/>
    <w:rsid w:val="00A8266B"/>
    <w:rsid w:val="00A8503B"/>
    <w:rsid w:val="00A863C9"/>
    <w:rsid w:val="00A87AAA"/>
    <w:rsid w:val="00A87E18"/>
    <w:rsid w:val="00A90727"/>
    <w:rsid w:val="00A93E57"/>
    <w:rsid w:val="00AA08D2"/>
    <w:rsid w:val="00AA26CD"/>
    <w:rsid w:val="00AA603D"/>
    <w:rsid w:val="00AA6674"/>
    <w:rsid w:val="00AB00B0"/>
    <w:rsid w:val="00AB1276"/>
    <w:rsid w:val="00AB413C"/>
    <w:rsid w:val="00AB5604"/>
    <w:rsid w:val="00AB63A4"/>
    <w:rsid w:val="00AB6DE7"/>
    <w:rsid w:val="00AC0765"/>
    <w:rsid w:val="00AC08B7"/>
    <w:rsid w:val="00AC42B9"/>
    <w:rsid w:val="00AC42FE"/>
    <w:rsid w:val="00AC488B"/>
    <w:rsid w:val="00AD0D74"/>
    <w:rsid w:val="00AD176D"/>
    <w:rsid w:val="00AD31ED"/>
    <w:rsid w:val="00AD3DA0"/>
    <w:rsid w:val="00AD60F7"/>
    <w:rsid w:val="00AD6F11"/>
    <w:rsid w:val="00AE0570"/>
    <w:rsid w:val="00AE1159"/>
    <w:rsid w:val="00AE1658"/>
    <w:rsid w:val="00AE286F"/>
    <w:rsid w:val="00AE2DB7"/>
    <w:rsid w:val="00AF05FF"/>
    <w:rsid w:val="00AF0AA4"/>
    <w:rsid w:val="00AF1200"/>
    <w:rsid w:val="00AF161D"/>
    <w:rsid w:val="00AF16E2"/>
    <w:rsid w:val="00AF1D91"/>
    <w:rsid w:val="00AF29B1"/>
    <w:rsid w:val="00AF3C0F"/>
    <w:rsid w:val="00AF3F8B"/>
    <w:rsid w:val="00AF4A88"/>
    <w:rsid w:val="00AF572E"/>
    <w:rsid w:val="00AF6050"/>
    <w:rsid w:val="00AF61F4"/>
    <w:rsid w:val="00B00EE4"/>
    <w:rsid w:val="00B03451"/>
    <w:rsid w:val="00B0493B"/>
    <w:rsid w:val="00B060BC"/>
    <w:rsid w:val="00B07A22"/>
    <w:rsid w:val="00B07D10"/>
    <w:rsid w:val="00B1272D"/>
    <w:rsid w:val="00B15000"/>
    <w:rsid w:val="00B15B0E"/>
    <w:rsid w:val="00B17357"/>
    <w:rsid w:val="00B17CD4"/>
    <w:rsid w:val="00B247C2"/>
    <w:rsid w:val="00B24A42"/>
    <w:rsid w:val="00B24A96"/>
    <w:rsid w:val="00B24CC2"/>
    <w:rsid w:val="00B26074"/>
    <w:rsid w:val="00B273FD"/>
    <w:rsid w:val="00B3065B"/>
    <w:rsid w:val="00B31CE9"/>
    <w:rsid w:val="00B32262"/>
    <w:rsid w:val="00B323E7"/>
    <w:rsid w:val="00B32EC7"/>
    <w:rsid w:val="00B3436B"/>
    <w:rsid w:val="00B343A6"/>
    <w:rsid w:val="00B36350"/>
    <w:rsid w:val="00B36A91"/>
    <w:rsid w:val="00B3734A"/>
    <w:rsid w:val="00B37D38"/>
    <w:rsid w:val="00B37D5F"/>
    <w:rsid w:val="00B37EFA"/>
    <w:rsid w:val="00B402CE"/>
    <w:rsid w:val="00B41972"/>
    <w:rsid w:val="00B41BB5"/>
    <w:rsid w:val="00B46204"/>
    <w:rsid w:val="00B4723F"/>
    <w:rsid w:val="00B54040"/>
    <w:rsid w:val="00B54473"/>
    <w:rsid w:val="00B54DBB"/>
    <w:rsid w:val="00B55638"/>
    <w:rsid w:val="00B55F1E"/>
    <w:rsid w:val="00B5720B"/>
    <w:rsid w:val="00B6000A"/>
    <w:rsid w:val="00B63343"/>
    <w:rsid w:val="00B63538"/>
    <w:rsid w:val="00B6611B"/>
    <w:rsid w:val="00B67D43"/>
    <w:rsid w:val="00B728A0"/>
    <w:rsid w:val="00B74639"/>
    <w:rsid w:val="00B7750D"/>
    <w:rsid w:val="00B80E2A"/>
    <w:rsid w:val="00B83094"/>
    <w:rsid w:val="00B856A5"/>
    <w:rsid w:val="00B865F4"/>
    <w:rsid w:val="00B92066"/>
    <w:rsid w:val="00B929AE"/>
    <w:rsid w:val="00B93C97"/>
    <w:rsid w:val="00B95414"/>
    <w:rsid w:val="00BA340E"/>
    <w:rsid w:val="00BA6D27"/>
    <w:rsid w:val="00BA787D"/>
    <w:rsid w:val="00BB089E"/>
    <w:rsid w:val="00BB2A18"/>
    <w:rsid w:val="00BB40A6"/>
    <w:rsid w:val="00BB500D"/>
    <w:rsid w:val="00BB54C0"/>
    <w:rsid w:val="00BB5EC8"/>
    <w:rsid w:val="00BC05CA"/>
    <w:rsid w:val="00BC0C72"/>
    <w:rsid w:val="00BC7EB8"/>
    <w:rsid w:val="00BD1195"/>
    <w:rsid w:val="00BD11A9"/>
    <w:rsid w:val="00BD2354"/>
    <w:rsid w:val="00BD3F83"/>
    <w:rsid w:val="00BD4299"/>
    <w:rsid w:val="00BD553C"/>
    <w:rsid w:val="00BD60BB"/>
    <w:rsid w:val="00BD7232"/>
    <w:rsid w:val="00BE0D83"/>
    <w:rsid w:val="00BE4EC1"/>
    <w:rsid w:val="00BE63A3"/>
    <w:rsid w:val="00BE6DB6"/>
    <w:rsid w:val="00BE7FC7"/>
    <w:rsid w:val="00BF091B"/>
    <w:rsid w:val="00BF28CA"/>
    <w:rsid w:val="00BF2BC3"/>
    <w:rsid w:val="00BF7F0D"/>
    <w:rsid w:val="00C016CA"/>
    <w:rsid w:val="00C0208D"/>
    <w:rsid w:val="00C02ECC"/>
    <w:rsid w:val="00C05508"/>
    <w:rsid w:val="00C10813"/>
    <w:rsid w:val="00C1575D"/>
    <w:rsid w:val="00C1677D"/>
    <w:rsid w:val="00C17759"/>
    <w:rsid w:val="00C177C8"/>
    <w:rsid w:val="00C2145F"/>
    <w:rsid w:val="00C24374"/>
    <w:rsid w:val="00C24A11"/>
    <w:rsid w:val="00C26BD7"/>
    <w:rsid w:val="00C317F4"/>
    <w:rsid w:val="00C32292"/>
    <w:rsid w:val="00C3232D"/>
    <w:rsid w:val="00C3521A"/>
    <w:rsid w:val="00C35B24"/>
    <w:rsid w:val="00C35D28"/>
    <w:rsid w:val="00C37DC6"/>
    <w:rsid w:val="00C40BF2"/>
    <w:rsid w:val="00C41215"/>
    <w:rsid w:val="00C44062"/>
    <w:rsid w:val="00C50A4E"/>
    <w:rsid w:val="00C55F24"/>
    <w:rsid w:val="00C61472"/>
    <w:rsid w:val="00C629CD"/>
    <w:rsid w:val="00C64C7A"/>
    <w:rsid w:val="00C6518A"/>
    <w:rsid w:val="00C665FB"/>
    <w:rsid w:val="00C72CAE"/>
    <w:rsid w:val="00C7397C"/>
    <w:rsid w:val="00C73E84"/>
    <w:rsid w:val="00C748DC"/>
    <w:rsid w:val="00C74CBB"/>
    <w:rsid w:val="00C75DCF"/>
    <w:rsid w:val="00C778CA"/>
    <w:rsid w:val="00C80274"/>
    <w:rsid w:val="00C81A93"/>
    <w:rsid w:val="00C827EA"/>
    <w:rsid w:val="00C86F59"/>
    <w:rsid w:val="00C87192"/>
    <w:rsid w:val="00C87260"/>
    <w:rsid w:val="00C92F29"/>
    <w:rsid w:val="00C93C27"/>
    <w:rsid w:val="00C942F5"/>
    <w:rsid w:val="00CA1203"/>
    <w:rsid w:val="00CA3713"/>
    <w:rsid w:val="00CA57C1"/>
    <w:rsid w:val="00CA77BD"/>
    <w:rsid w:val="00CB2EC5"/>
    <w:rsid w:val="00CB4148"/>
    <w:rsid w:val="00CB51CD"/>
    <w:rsid w:val="00CB61DB"/>
    <w:rsid w:val="00CB6EEA"/>
    <w:rsid w:val="00CC1B52"/>
    <w:rsid w:val="00CC3CFB"/>
    <w:rsid w:val="00CC43E1"/>
    <w:rsid w:val="00CC6177"/>
    <w:rsid w:val="00CC7C0D"/>
    <w:rsid w:val="00CD3DF9"/>
    <w:rsid w:val="00CD52ED"/>
    <w:rsid w:val="00CD7BF6"/>
    <w:rsid w:val="00CE11C5"/>
    <w:rsid w:val="00CE3FB9"/>
    <w:rsid w:val="00CE52D9"/>
    <w:rsid w:val="00CE600B"/>
    <w:rsid w:val="00CE6E1C"/>
    <w:rsid w:val="00CF1383"/>
    <w:rsid w:val="00CF1548"/>
    <w:rsid w:val="00CF1F98"/>
    <w:rsid w:val="00CF2CFA"/>
    <w:rsid w:val="00CF3F64"/>
    <w:rsid w:val="00CF43DB"/>
    <w:rsid w:val="00CF7253"/>
    <w:rsid w:val="00CF7DCF"/>
    <w:rsid w:val="00D00FF5"/>
    <w:rsid w:val="00D0573A"/>
    <w:rsid w:val="00D07A24"/>
    <w:rsid w:val="00D104E2"/>
    <w:rsid w:val="00D11827"/>
    <w:rsid w:val="00D14452"/>
    <w:rsid w:val="00D145B6"/>
    <w:rsid w:val="00D14BBF"/>
    <w:rsid w:val="00D17C53"/>
    <w:rsid w:val="00D22770"/>
    <w:rsid w:val="00D25CFB"/>
    <w:rsid w:val="00D27FAC"/>
    <w:rsid w:val="00D32668"/>
    <w:rsid w:val="00D343D8"/>
    <w:rsid w:val="00D441AD"/>
    <w:rsid w:val="00D47BD4"/>
    <w:rsid w:val="00D50650"/>
    <w:rsid w:val="00D5164E"/>
    <w:rsid w:val="00D52017"/>
    <w:rsid w:val="00D52763"/>
    <w:rsid w:val="00D54CD8"/>
    <w:rsid w:val="00D55421"/>
    <w:rsid w:val="00D57F27"/>
    <w:rsid w:val="00D60971"/>
    <w:rsid w:val="00D60EB8"/>
    <w:rsid w:val="00D61A05"/>
    <w:rsid w:val="00D6255A"/>
    <w:rsid w:val="00D63650"/>
    <w:rsid w:val="00D6388F"/>
    <w:rsid w:val="00D66D5C"/>
    <w:rsid w:val="00D67E21"/>
    <w:rsid w:val="00D67F1E"/>
    <w:rsid w:val="00D71F60"/>
    <w:rsid w:val="00D72E71"/>
    <w:rsid w:val="00D752ED"/>
    <w:rsid w:val="00D76658"/>
    <w:rsid w:val="00D76DB7"/>
    <w:rsid w:val="00D815BE"/>
    <w:rsid w:val="00D832E8"/>
    <w:rsid w:val="00D83AF3"/>
    <w:rsid w:val="00D84E46"/>
    <w:rsid w:val="00D853DA"/>
    <w:rsid w:val="00D87EDD"/>
    <w:rsid w:val="00D90201"/>
    <w:rsid w:val="00DA20FB"/>
    <w:rsid w:val="00DA659D"/>
    <w:rsid w:val="00DB0E3E"/>
    <w:rsid w:val="00DB3C1C"/>
    <w:rsid w:val="00DB3DAE"/>
    <w:rsid w:val="00DB3F12"/>
    <w:rsid w:val="00DB45BE"/>
    <w:rsid w:val="00DB5503"/>
    <w:rsid w:val="00DC118C"/>
    <w:rsid w:val="00DC11F0"/>
    <w:rsid w:val="00DC1566"/>
    <w:rsid w:val="00DC669D"/>
    <w:rsid w:val="00DC6ED1"/>
    <w:rsid w:val="00DC7EF0"/>
    <w:rsid w:val="00DD3FF3"/>
    <w:rsid w:val="00DD44F5"/>
    <w:rsid w:val="00DD4F88"/>
    <w:rsid w:val="00DD5120"/>
    <w:rsid w:val="00DD5EFC"/>
    <w:rsid w:val="00DE0303"/>
    <w:rsid w:val="00DE097E"/>
    <w:rsid w:val="00DE2C4F"/>
    <w:rsid w:val="00DE4CAF"/>
    <w:rsid w:val="00DF1305"/>
    <w:rsid w:val="00DF25C5"/>
    <w:rsid w:val="00DF2C1C"/>
    <w:rsid w:val="00DF457D"/>
    <w:rsid w:val="00DF5870"/>
    <w:rsid w:val="00DF6A29"/>
    <w:rsid w:val="00DF70B2"/>
    <w:rsid w:val="00E012CE"/>
    <w:rsid w:val="00E035CF"/>
    <w:rsid w:val="00E0672B"/>
    <w:rsid w:val="00E06F27"/>
    <w:rsid w:val="00E10440"/>
    <w:rsid w:val="00E11F81"/>
    <w:rsid w:val="00E12408"/>
    <w:rsid w:val="00E12759"/>
    <w:rsid w:val="00E12D0F"/>
    <w:rsid w:val="00E12E3F"/>
    <w:rsid w:val="00E148E3"/>
    <w:rsid w:val="00E151B7"/>
    <w:rsid w:val="00E24871"/>
    <w:rsid w:val="00E24DFA"/>
    <w:rsid w:val="00E27889"/>
    <w:rsid w:val="00E27D70"/>
    <w:rsid w:val="00E37086"/>
    <w:rsid w:val="00E4013D"/>
    <w:rsid w:val="00E41C3F"/>
    <w:rsid w:val="00E42552"/>
    <w:rsid w:val="00E42B35"/>
    <w:rsid w:val="00E439B7"/>
    <w:rsid w:val="00E44759"/>
    <w:rsid w:val="00E45432"/>
    <w:rsid w:val="00E46CDD"/>
    <w:rsid w:val="00E5069B"/>
    <w:rsid w:val="00E51AF8"/>
    <w:rsid w:val="00E52A64"/>
    <w:rsid w:val="00E52CE6"/>
    <w:rsid w:val="00E53195"/>
    <w:rsid w:val="00E53C53"/>
    <w:rsid w:val="00E53EAE"/>
    <w:rsid w:val="00E5430C"/>
    <w:rsid w:val="00E55E4E"/>
    <w:rsid w:val="00E56560"/>
    <w:rsid w:val="00E570A4"/>
    <w:rsid w:val="00E5791D"/>
    <w:rsid w:val="00E60523"/>
    <w:rsid w:val="00E618EF"/>
    <w:rsid w:val="00E64CFF"/>
    <w:rsid w:val="00E65AFD"/>
    <w:rsid w:val="00E675A3"/>
    <w:rsid w:val="00E702AC"/>
    <w:rsid w:val="00E71187"/>
    <w:rsid w:val="00E735BE"/>
    <w:rsid w:val="00E749A0"/>
    <w:rsid w:val="00E74A80"/>
    <w:rsid w:val="00E7511F"/>
    <w:rsid w:val="00E76DF9"/>
    <w:rsid w:val="00E8515A"/>
    <w:rsid w:val="00E85355"/>
    <w:rsid w:val="00E87999"/>
    <w:rsid w:val="00E92510"/>
    <w:rsid w:val="00E92CC4"/>
    <w:rsid w:val="00E93340"/>
    <w:rsid w:val="00E97899"/>
    <w:rsid w:val="00EA0883"/>
    <w:rsid w:val="00EA1CD3"/>
    <w:rsid w:val="00EA213B"/>
    <w:rsid w:val="00EA2226"/>
    <w:rsid w:val="00EA4123"/>
    <w:rsid w:val="00EA7609"/>
    <w:rsid w:val="00EB0497"/>
    <w:rsid w:val="00EB1308"/>
    <w:rsid w:val="00EB1EC4"/>
    <w:rsid w:val="00EB328F"/>
    <w:rsid w:val="00EB3541"/>
    <w:rsid w:val="00EB4EA3"/>
    <w:rsid w:val="00EC0F9D"/>
    <w:rsid w:val="00EC506F"/>
    <w:rsid w:val="00EC5103"/>
    <w:rsid w:val="00ED0BA4"/>
    <w:rsid w:val="00ED30E0"/>
    <w:rsid w:val="00ED3C63"/>
    <w:rsid w:val="00ED4999"/>
    <w:rsid w:val="00ED73B6"/>
    <w:rsid w:val="00ED7CC3"/>
    <w:rsid w:val="00EE0236"/>
    <w:rsid w:val="00EE7515"/>
    <w:rsid w:val="00EF3FB2"/>
    <w:rsid w:val="00EF4100"/>
    <w:rsid w:val="00EF605D"/>
    <w:rsid w:val="00F036B5"/>
    <w:rsid w:val="00F043DC"/>
    <w:rsid w:val="00F06BDE"/>
    <w:rsid w:val="00F07CA2"/>
    <w:rsid w:val="00F10684"/>
    <w:rsid w:val="00F14A97"/>
    <w:rsid w:val="00F15BD7"/>
    <w:rsid w:val="00F16B9A"/>
    <w:rsid w:val="00F16E69"/>
    <w:rsid w:val="00F172CC"/>
    <w:rsid w:val="00F1733A"/>
    <w:rsid w:val="00F20216"/>
    <w:rsid w:val="00F2100F"/>
    <w:rsid w:val="00F24E9B"/>
    <w:rsid w:val="00F252D7"/>
    <w:rsid w:val="00F26705"/>
    <w:rsid w:val="00F31A18"/>
    <w:rsid w:val="00F34306"/>
    <w:rsid w:val="00F37327"/>
    <w:rsid w:val="00F40014"/>
    <w:rsid w:val="00F448AA"/>
    <w:rsid w:val="00F47DA6"/>
    <w:rsid w:val="00F50B49"/>
    <w:rsid w:val="00F526FA"/>
    <w:rsid w:val="00F534B0"/>
    <w:rsid w:val="00F55D0B"/>
    <w:rsid w:val="00F57A34"/>
    <w:rsid w:val="00F633DC"/>
    <w:rsid w:val="00F63501"/>
    <w:rsid w:val="00F64830"/>
    <w:rsid w:val="00F64906"/>
    <w:rsid w:val="00F66634"/>
    <w:rsid w:val="00F7237B"/>
    <w:rsid w:val="00F729DB"/>
    <w:rsid w:val="00F74B69"/>
    <w:rsid w:val="00F75C36"/>
    <w:rsid w:val="00F77466"/>
    <w:rsid w:val="00F81190"/>
    <w:rsid w:val="00F81C2F"/>
    <w:rsid w:val="00F842A3"/>
    <w:rsid w:val="00F84998"/>
    <w:rsid w:val="00F8738B"/>
    <w:rsid w:val="00F87D05"/>
    <w:rsid w:val="00F928CA"/>
    <w:rsid w:val="00F92BF9"/>
    <w:rsid w:val="00F953A8"/>
    <w:rsid w:val="00F95E41"/>
    <w:rsid w:val="00F962CB"/>
    <w:rsid w:val="00F96A9B"/>
    <w:rsid w:val="00F97AC7"/>
    <w:rsid w:val="00FA231B"/>
    <w:rsid w:val="00FA25A0"/>
    <w:rsid w:val="00FA4742"/>
    <w:rsid w:val="00FA5B55"/>
    <w:rsid w:val="00FB283F"/>
    <w:rsid w:val="00FB44BC"/>
    <w:rsid w:val="00FB672B"/>
    <w:rsid w:val="00FB7A39"/>
    <w:rsid w:val="00FC0ECD"/>
    <w:rsid w:val="00FC292E"/>
    <w:rsid w:val="00FC3854"/>
    <w:rsid w:val="00FC47FC"/>
    <w:rsid w:val="00FC4E92"/>
    <w:rsid w:val="00FC5B83"/>
    <w:rsid w:val="00FC6C04"/>
    <w:rsid w:val="00FD35B1"/>
    <w:rsid w:val="00FD4A56"/>
    <w:rsid w:val="00FD5B2B"/>
    <w:rsid w:val="00FD6789"/>
    <w:rsid w:val="00FE028B"/>
    <w:rsid w:val="00FE1470"/>
    <w:rsid w:val="00FE4ED7"/>
    <w:rsid w:val="00FE52A2"/>
    <w:rsid w:val="00FE5AC6"/>
    <w:rsid w:val="00FE5D0C"/>
    <w:rsid w:val="00FE5FFF"/>
    <w:rsid w:val="00FF04F0"/>
    <w:rsid w:val="00FF442F"/>
    <w:rsid w:val="00FF4FA5"/>
    <w:rsid w:val="00FF5AEA"/>
    <w:rsid w:val="00FF725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0D7742"/>
  <w15:chartTrackingRefBased/>
  <w15:docId w15:val="{346060EE-A1FF-4E9A-A8BB-9543A2803C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aliases w:val="Personale piccolo"/>
    <w:qFormat/>
    <w:rsid w:val="00D67E21"/>
    <w:pPr>
      <w:jc w:val="both"/>
    </w:pPr>
    <w:rPr>
      <w:rFonts w:ascii="Garamond" w:hAnsi="Garamond"/>
      <w:sz w:val="22"/>
      <w:szCs w:val="24"/>
    </w:rPr>
  </w:style>
  <w:style w:type="paragraph" w:styleId="Titolo1">
    <w:name w:val="heading 1"/>
    <w:basedOn w:val="Normale"/>
    <w:next w:val="Normale"/>
    <w:qFormat/>
    <w:rsid w:val="00D67E21"/>
    <w:pPr>
      <w:keepNext/>
      <w:spacing w:before="240" w:after="60"/>
      <w:outlineLvl w:val="0"/>
    </w:pPr>
    <w:rPr>
      <w:rFonts w:ascii="Arial" w:hAnsi="Arial" w:cs="Arial"/>
      <w:b/>
      <w:bCs/>
      <w:kern w:val="32"/>
      <w:sz w:val="32"/>
      <w:szCs w:val="32"/>
    </w:rPr>
  </w:style>
  <w:style w:type="paragraph" w:styleId="Titolo2">
    <w:name w:val="heading 2"/>
    <w:basedOn w:val="Normale"/>
    <w:next w:val="Normale"/>
    <w:qFormat/>
    <w:rsid w:val="00D67E21"/>
    <w:pPr>
      <w:keepNext/>
      <w:spacing w:before="240" w:after="60"/>
      <w:outlineLvl w:val="1"/>
    </w:pPr>
    <w:rPr>
      <w:rFonts w:ascii="Arial" w:hAnsi="Arial" w:cs="Arial"/>
      <w:b/>
      <w:bCs/>
      <w:i/>
      <w:iCs/>
      <w:sz w:val="28"/>
      <w:szCs w:val="28"/>
    </w:rPr>
  </w:style>
  <w:style w:type="paragraph" w:styleId="Titolo3">
    <w:name w:val="heading 3"/>
    <w:basedOn w:val="Normale"/>
    <w:next w:val="Normale"/>
    <w:qFormat/>
    <w:rsid w:val="00D67E21"/>
    <w:pPr>
      <w:keepNext/>
      <w:spacing w:before="240" w:after="60"/>
      <w:outlineLvl w:val="2"/>
    </w:pPr>
    <w:rPr>
      <w:rFonts w:ascii="Arial" w:hAnsi="Arial" w:cs="Arial"/>
      <w:b/>
      <w:bCs/>
      <w:sz w:val="26"/>
      <w:szCs w:val="26"/>
    </w:rPr>
  </w:style>
  <w:style w:type="paragraph" w:styleId="Titolo4">
    <w:name w:val="heading 4"/>
    <w:basedOn w:val="Normale"/>
    <w:next w:val="Normale"/>
    <w:qFormat/>
    <w:rsid w:val="00033B7A"/>
    <w:pPr>
      <w:keepNext/>
      <w:spacing w:before="240" w:after="60"/>
      <w:outlineLvl w:val="3"/>
    </w:pPr>
    <w:rPr>
      <w:rFonts w:ascii="Times New Roman" w:hAnsi="Times New Roman"/>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itologiuffr">
    <w:name w:val="titolo giuffrè"/>
    <w:basedOn w:val="Titolo1"/>
    <w:autoRedefine/>
    <w:semiHidden/>
    <w:rsid w:val="00D67E21"/>
    <w:pPr>
      <w:numPr>
        <w:numId w:val="3"/>
      </w:numPr>
    </w:pPr>
    <w:rPr>
      <w:rFonts w:ascii="Times New Roman" w:hAnsi="Times New Roman"/>
      <w:sz w:val="24"/>
    </w:rPr>
  </w:style>
  <w:style w:type="paragraph" w:customStyle="1" w:styleId="Giurisprudenza">
    <w:name w:val="Giurisprudenza"/>
    <w:basedOn w:val="Normale"/>
    <w:semiHidden/>
    <w:rsid w:val="00D67E21"/>
    <w:rPr>
      <w:sz w:val="20"/>
    </w:rPr>
  </w:style>
  <w:style w:type="paragraph" w:customStyle="1" w:styleId="giurisprudenza0">
    <w:name w:val="giurisprudenza"/>
    <w:aliases w:val="legislazione"/>
    <w:basedOn w:val="Normale"/>
    <w:semiHidden/>
    <w:rsid w:val="00D67E21"/>
    <w:pPr>
      <w:keepLines/>
      <w:ind w:left="709"/>
    </w:pPr>
    <w:rPr>
      <w:rFonts w:cs="Arial"/>
      <w:i/>
      <w:sz w:val="20"/>
      <w:szCs w:val="20"/>
    </w:rPr>
  </w:style>
  <w:style w:type="paragraph" w:customStyle="1" w:styleId="Titolo1Garamond">
    <w:name w:val="Titolo 1 Garamond"/>
    <w:basedOn w:val="Titolo1"/>
    <w:next w:val="PersonaleGaramond"/>
    <w:rsid w:val="00D67E21"/>
    <w:pPr>
      <w:spacing w:line="360" w:lineRule="exact"/>
    </w:pPr>
    <w:rPr>
      <w:rFonts w:ascii="Garamond" w:hAnsi="Garamond"/>
      <w:sz w:val="28"/>
      <w:u w:val="single"/>
    </w:rPr>
  </w:style>
  <w:style w:type="paragraph" w:customStyle="1" w:styleId="Titolo2Garamond">
    <w:name w:val="Titolo 2 Garamond"/>
    <w:basedOn w:val="Titolo2"/>
    <w:next w:val="PersonaleGaramond"/>
    <w:rsid w:val="00D67E21"/>
    <w:pPr>
      <w:spacing w:line="360" w:lineRule="exact"/>
    </w:pPr>
    <w:rPr>
      <w:rFonts w:ascii="Garamond" w:hAnsi="Garamond"/>
    </w:rPr>
  </w:style>
  <w:style w:type="paragraph" w:customStyle="1" w:styleId="Titolo3Garamond">
    <w:name w:val="Titolo 3 Garamond"/>
    <w:basedOn w:val="Titolo3"/>
    <w:next w:val="PersonaleGaramond"/>
    <w:rsid w:val="00D67E21"/>
    <w:pPr>
      <w:spacing w:line="360" w:lineRule="auto"/>
    </w:pPr>
    <w:rPr>
      <w:rFonts w:ascii="Garamond" w:hAnsi="Garamond"/>
      <w:b w:val="0"/>
      <w:i/>
      <w:sz w:val="28"/>
    </w:rPr>
  </w:style>
  <w:style w:type="paragraph" w:customStyle="1" w:styleId="PersonaleGaramond">
    <w:name w:val="Personale Garamond"/>
    <w:basedOn w:val="Normale"/>
    <w:rsid w:val="00D67E21"/>
    <w:pPr>
      <w:keepLines/>
      <w:spacing w:line="360" w:lineRule="exact"/>
    </w:pPr>
    <w:rPr>
      <w:rFonts w:cs="Arial"/>
      <w:sz w:val="26"/>
    </w:rPr>
  </w:style>
  <w:style w:type="paragraph" w:customStyle="1" w:styleId="NormaleTesisonia">
    <w:name w:val="Normale Tesi sonia"/>
    <w:basedOn w:val="Normale"/>
    <w:semiHidden/>
    <w:rsid w:val="00D67E21"/>
    <w:pPr>
      <w:ind w:left="1080" w:right="998" w:firstLine="324"/>
    </w:pPr>
  </w:style>
  <w:style w:type="character" w:customStyle="1" w:styleId="apple-converted-space">
    <w:name w:val="apple-converted-space"/>
    <w:basedOn w:val="Carpredefinitoparagrafo"/>
    <w:semiHidden/>
    <w:rsid w:val="00D67E21"/>
  </w:style>
  <w:style w:type="character" w:styleId="Collegamentoipertestuale">
    <w:name w:val="Hyperlink"/>
    <w:basedOn w:val="Carpredefinitoparagrafo"/>
    <w:uiPriority w:val="99"/>
    <w:rsid w:val="00D67E21"/>
    <w:rPr>
      <w:color w:val="0000FF"/>
      <w:u w:val="single"/>
    </w:rPr>
  </w:style>
  <w:style w:type="character" w:styleId="Enfasicorsivo">
    <w:name w:val="Emphasis"/>
    <w:basedOn w:val="Carpredefinitoparagrafo"/>
    <w:qFormat/>
    <w:rsid w:val="00D67E21"/>
    <w:rPr>
      <w:i/>
      <w:iCs/>
    </w:rPr>
  </w:style>
  <w:style w:type="paragraph" w:styleId="NormaleWeb">
    <w:name w:val="Normal (Web)"/>
    <w:basedOn w:val="Normale"/>
    <w:semiHidden/>
    <w:rsid w:val="00D67E21"/>
    <w:pPr>
      <w:spacing w:before="100" w:beforeAutospacing="1" w:after="100" w:afterAutospacing="1"/>
      <w:jc w:val="left"/>
    </w:pPr>
    <w:rPr>
      <w:rFonts w:ascii="Times New Roman" w:hAnsi="Times New Roman"/>
    </w:rPr>
  </w:style>
  <w:style w:type="paragraph" w:customStyle="1" w:styleId="Giurispmoduli">
    <w:name w:val="Giurisp. moduli"/>
    <w:basedOn w:val="PersonaleGaramond"/>
    <w:rsid w:val="005B559F"/>
    <w:pPr>
      <w:keepLines w:val="0"/>
      <w:widowControl w:val="0"/>
      <w:suppressLineNumbers/>
      <w:suppressAutoHyphens/>
      <w:spacing w:line="240" w:lineRule="auto"/>
    </w:pPr>
    <w:rPr>
      <w:sz w:val="22"/>
      <w:szCs w:val="22"/>
    </w:rPr>
  </w:style>
  <w:style w:type="paragraph" w:customStyle="1" w:styleId="Titolo4Garamond">
    <w:name w:val="Titolo 4 Garamond"/>
    <w:basedOn w:val="Titolo4"/>
    <w:next w:val="PersonaleGaramond"/>
    <w:rsid w:val="00033B7A"/>
    <w:rPr>
      <w:rFonts w:ascii="Garamond" w:hAnsi="Garamond"/>
      <w:b w:val="0"/>
      <w:u w:val="single"/>
    </w:rPr>
  </w:style>
  <w:style w:type="paragraph" w:styleId="Testonotaapidipagina">
    <w:name w:val="footnote text"/>
    <w:basedOn w:val="Normale"/>
    <w:link w:val="TestonotaapidipaginaCarattere"/>
    <w:rsid w:val="00E11F81"/>
    <w:rPr>
      <w:sz w:val="20"/>
      <w:szCs w:val="20"/>
    </w:rPr>
  </w:style>
  <w:style w:type="character" w:customStyle="1" w:styleId="TestonotaapidipaginaCarattere">
    <w:name w:val="Testo nota a piè di pagina Carattere"/>
    <w:basedOn w:val="Carpredefinitoparagrafo"/>
    <w:link w:val="Testonotaapidipagina"/>
    <w:rsid w:val="00E11F81"/>
    <w:rPr>
      <w:rFonts w:ascii="Garamond" w:hAnsi="Garamond"/>
    </w:rPr>
  </w:style>
  <w:style w:type="character" w:styleId="Rimandonotaapidipagina">
    <w:name w:val="footnote reference"/>
    <w:basedOn w:val="Carpredefinitoparagrafo"/>
    <w:rsid w:val="00E11F81"/>
    <w:rPr>
      <w:vertAlign w:val="superscript"/>
    </w:rPr>
  </w:style>
  <w:style w:type="character" w:styleId="Enfasigrassetto">
    <w:name w:val="Strong"/>
    <w:basedOn w:val="Carpredefinitoparagrafo"/>
    <w:uiPriority w:val="22"/>
    <w:qFormat/>
    <w:rsid w:val="005707D9"/>
    <w:rPr>
      <w:b/>
      <w:bCs/>
    </w:rPr>
  </w:style>
  <w:style w:type="paragraph" w:styleId="Intestazione">
    <w:name w:val="header"/>
    <w:basedOn w:val="Normale"/>
    <w:link w:val="IntestazioneCarattere"/>
    <w:rsid w:val="006454FF"/>
    <w:pPr>
      <w:tabs>
        <w:tab w:val="center" w:pos="4819"/>
        <w:tab w:val="right" w:pos="9638"/>
      </w:tabs>
    </w:pPr>
  </w:style>
  <w:style w:type="character" w:customStyle="1" w:styleId="IntestazioneCarattere">
    <w:name w:val="Intestazione Carattere"/>
    <w:basedOn w:val="Carpredefinitoparagrafo"/>
    <w:link w:val="Intestazione"/>
    <w:rsid w:val="006454FF"/>
    <w:rPr>
      <w:rFonts w:ascii="Garamond" w:hAnsi="Garamond"/>
      <w:sz w:val="22"/>
      <w:szCs w:val="24"/>
    </w:rPr>
  </w:style>
  <w:style w:type="paragraph" w:styleId="Pidipagina">
    <w:name w:val="footer"/>
    <w:basedOn w:val="Normale"/>
    <w:link w:val="PidipaginaCarattere"/>
    <w:rsid w:val="006454FF"/>
    <w:pPr>
      <w:tabs>
        <w:tab w:val="center" w:pos="4819"/>
        <w:tab w:val="right" w:pos="9638"/>
      </w:tabs>
    </w:pPr>
  </w:style>
  <w:style w:type="character" w:customStyle="1" w:styleId="PidipaginaCarattere">
    <w:name w:val="Piè di pagina Carattere"/>
    <w:basedOn w:val="Carpredefinitoparagrafo"/>
    <w:link w:val="Pidipagina"/>
    <w:rsid w:val="006454FF"/>
    <w:rPr>
      <w:rFonts w:ascii="Garamond" w:hAnsi="Garamond"/>
      <w:sz w:val="22"/>
      <w:szCs w:val="24"/>
    </w:rPr>
  </w:style>
  <w:style w:type="character" w:customStyle="1" w:styleId="Menzionenonrisolta1">
    <w:name w:val="Menzione non risolta1"/>
    <w:basedOn w:val="Carpredefinitoparagrafo"/>
    <w:uiPriority w:val="99"/>
    <w:semiHidden/>
    <w:unhideWhenUsed/>
    <w:rsid w:val="00D90201"/>
    <w:rPr>
      <w:color w:val="605E5C"/>
      <w:shd w:val="clear" w:color="auto" w:fill="E1DFDD"/>
    </w:rPr>
  </w:style>
  <w:style w:type="paragraph" w:styleId="Titolosommario">
    <w:name w:val="TOC Heading"/>
    <w:basedOn w:val="Titolo1"/>
    <w:next w:val="Normale"/>
    <w:uiPriority w:val="39"/>
    <w:unhideWhenUsed/>
    <w:qFormat/>
    <w:rsid w:val="00A00D4E"/>
    <w:pPr>
      <w:keepLines/>
      <w:spacing w:after="0" w:line="259" w:lineRule="auto"/>
      <w:jc w:val="left"/>
      <w:outlineLvl w:val="9"/>
    </w:pPr>
    <w:rPr>
      <w:rFonts w:asciiTheme="majorHAnsi" w:eastAsiaTheme="majorEastAsia" w:hAnsiTheme="majorHAnsi" w:cstheme="majorBidi"/>
      <w:b w:val="0"/>
      <w:bCs w:val="0"/>
      <w:color w:val="2E74B5" w:themeColor="accent1" w:themeShade="BF"/>
      <w:kern w:val="0"/>
    </w:rPr>
  </w:style>
  <w:style w:type="paragraph" w:styleId="Sommario1">
    <w:name w:val="toc 1"/>
    <w:basedOn w:val="Normale"/>
    <w:next w:val="Normale"/>
    <w:autoRedefine/>
    <w:uiPriority w:val="39"/>
    <w:rsid w:val="00A00D4E"/>
    <w:pPr>
      <w:spacing w:after="100"/>
    </w:pPr>
  </w:style>
  <w:style w:type="paragraph" w:styleId="Sommario2">
    <w:name w:val="toc 2"/>
    <w:basedOn w:val="Normale"/>
    <w:next w:val="Normale"/>
    <w:autoRedefine/>
    <w:uiPriority w:val="39"/>
    <w:rsid w:val="00A00D4E"/>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9235383">
      <w:bodyDiv w:val="1"/>
      <w:marLeft w:val="0"/>
      <w:marRight w:val="0"/>
      <w:marTop w:val="0"/>
      <w:marBottom w:val="0"/>
      <w:divBdr>
        <w:top w:val="none" w:sz="0" w:space="0" w:color="auto"/>
        <w:left w:val="none" w:sz="0" w:space="0" w:color="auto"/>
        <w:bottom w:val="none" w:sz="0" w:space="0" w:color="auto"/>
        <w:right w:val="none" w:sz="0" w:space="0" w:color="auto"/>
      </w:divBdr>
    </w:div>
    <w:div w:id="571624835">
      <w:bodyDiv w:val="1"/>
      <w:marLeft w:val="0"/>
      <w:marRight w:val="0"/>
      <w:marTop w:val="0"/>
      <w:marBottom w:val="0"/>
      <w:divBdr>
        <w:top w:val="none" w:sz="0" w:space="0" w:color="auto"/>
        <w:left w:val="none" w:sz="0" w:space="0" w:color="auto"/>
        <w:bottom w:val="none" w:sz="0" w:space="0" w:color="auto"/>
        <w:right w:val="none" w:sz="0" w:space="0" w:color="auto"/>
      </w:divBdr>
    </w:div>
    <w:div w:id="735661164">
      <w:bodyDiv w:val="1"/>
      <w:marLeft w:val="0"/>
      <w:marRight w:val="0"/>
      <w:marTop w:val="0"/>
      <w:marBottom w:val="0"/>
      <w:divBdr>
        <w:top w:val="none" w:sz="0" w:space="0" w:color="auto"/>
        <w:left w:val="none" w:sz="0" w:space="0" w:color="auto"/>
        <w:bottom w:val="none" w:sz="0" w:space="0" w:color="auto"/>
        <w:right w:val="none" w:sz="0" w:space="0" w:color="auto"/>
      </w:divBdr>
    </w:div>
    <w:div w:id="1124890712">
      <w:bodyDiv w:val="1"/>
      <w:marLeft w:val="0"/>
      <w:marRight w:val="0"/>
      <w:marTop w:val="0"/>
      <w:marBottom w:val="0"/>
      <w:divBdr>
        <w:top w:val="none" w:sz="0" w:space="0" w:color="auto"/>
        <w:left w:val="none" w:sz="0" w:space="0" w:color="auto"/>
        <w:bottom w:val="none" w:sz="0" w:space="0" w:color="auto"/>
        <w:right w:val="none" w:sz="0" w:space="0" w:color="auto"/>
      </w:divBdr>
    </w:div>
    <w:div w:id="1712147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sistemapenale.i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ca\OneDrive\SINCRO\Documenti\Modelli\Office\Normal.30.07.2011.agg.dot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0133FA-09EF-4E5D-9B0B-5E17C5808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Normal.30.07.2011.agg.dotm</Template>
  <TotalTime>6</TotalTime>
  <Pages>18</Pages>
  <Words>7229</Words>
  <Characters>46261</Characters>
  <Application>Microsoft Office Word</Application>
  <DocSecurity>0</DocSecurity>
  <Lines>385</Lines>
  <Paragraphs>106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53384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Luca</dc:creator>
  <cp:keywords/>
  <dc:description/>
  <cp:lastModifiedBy>Luca Cestaro</cp:lastModifiedBy>
  <cp:revision>8</cp:revision>
  <dcterms:created xsi:type="dcterms:W3CDTF">2025-04-28T14:50:00Z</dcterms:created>
  <dcterms:modified xsi:type="dcterms:W3CDTF">2025-04-28T14:55:00Z</dcterms:modified>
</cp:coreProperties>
</file>