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6313" w14:textId="0C530453" w:rsidR="00917550" w:rsidRPr="000D68A8" w:rsidRDefault="00A21FB3" w:rsidP="00A21FB3">
      <w:pPr>
        <w:spacing w:after="0"/>
        <w:jc w:val="center"/>
        <w:rPr>
          <w:rFonts w:ascii="Times New Roman" w:hAnsi="Times New Roman" w:cs="Times New Roman"/>
          <w:b/>
          <w:sz w:val="28"/>
          <w:szCs w:val="28"/>
        </w:rPr>
      </w:pPr>
      <w:r>
        <w:rPr>
          <w:rFonts w:ascii="Times New Roman" w:hAnsi="Times New Roman" w:cs="Times New Roman"/>
          <w:b/>
          <w:sz w:val="28"/>
          <w:szCs w:val="28"/>
        </w:rPr>
        <w:t>Divagazioni sull’abusivismo edilizio tra potere pubblico e ius aedificandi</w:t>
      </w:r>
      <w:r w:rsidR="003B09E5" w:rsidRPr="003B09E5">
        <w:rPr>
          <w:rStyle w:val="Rimandonotaapidipagina"/>
          <w:rFonts w:ascii="Times New Roman" w:hAnsi="Times New Roman" w:cs="Times New Roman"/>
          <w:b/>
          <w:sz w:val="28"/>
          <w:szCs w:val="28"/>
        </w:rPr>
        <w:footnoteReference w:customMarkFollows="1" w:id="1"/>
        <w:sym w:font="Symbol" w:char="F02A"/>
      </w:r>
    </w:p>
    <w:p w14:paraId="7465B534" w14:textId="77777777" w:rsidR="00FE5DB4" w:rsidRPr="000D68A8" w:rsidRDefault="00FE5DB4" w:rsidP="00D44656">
      <w:pPr>
        <w:spacing w:after="0"/>
        <w:rPr>
          <w:rFonts w:cstheme="minorHAnsi"/>
        </w:rPr>
      </w:pPr>
    </w:p>
    <w:p w14:paraId="7CE57BE8" w14:textId="73C1773D" w:rsidR="00FE5DB4" w:rsidRPr="000D68A8" w:rsidRDefault="00FE5DB4" w:rsidP="00E71F96">
      <w:pPr>
        <w:spacing w:after="0"/>
        <w:jc w:val="both"/>
        <w:rPr>
          <w:rFonts w:cstheme="minorHAnsi"/>
        </w:rPr>
      </w:pPr>
      <w:r w:rsidRPr="000D68A8">
        <w:rPr>
          <w:rFonts w:cstheme="minorHAnsi"/>
        </w:rPr>
        <w:t xml:space="preserve">Sommario: </w:t>
      </w:r>
      <w:r w:rsidR="00A21FB3" w:rsidRPr="00A21FB3">
        <w:rPr>
          <w:rFonts w:cstheme="minorHAnsi"/>
        </w:rPr>
        <w:t>1. Premessa. – 2. L’abnorme ineffettività dell’ordinamento. – 3. L’eccesso di vincoli. – 4. Tentativi di temperamento.  – 5. Che fare? Liberalizzare e sanare il più possibile. – 6. Conclusioni.</w:t>
      </w:r>
    </w:p>
    <w:p w14:paraId="0ACF6267" w14:textId="77777777" w:rsidR="00AE337B" w:rsidRPr="000D68A8" w:rsidRDefault="00AE337B" w:rsidP="00D44656">
      <w:pPr>
        <w:spacing w:after="0"/>
        <w:rPr>
          <w:rFonts w:cstheme="minorHAnsi"/>
        </w:rPr>
      </w:pPr>
    </w:p>
    <w:p w14:paraId="7CB6A843" w14:textId="7DBA6CD6" w:rsidR="00AE337B" w:rsidRDefault="00AE337B" w:rsidP="00A21FB3">
      <w:pPr>
        <w:spacing w:after="0"/>
        <w:jc w:val="both"/>
        <w:rPr>
          <w:rFonts w:cstheme="minorHAnsi"/>
        </w:rPr>
      </w:pPr>
      <w:r w:rsidRPr="000D68A8">
        <w:rPr>
          <w:rFonts w:cstheme="minorHAnsi"/>
        </w:rPr>
        <w:t>1.</w:t>
      </w:r>
      <w:r w:rsidR="00A21FB3" w:rsidRPr="00A21FB3">
        <w:t xml:space="preserve"> </w:t>
      </w:r>
      <w:r w:rsidR="00A21FB3" w:rsidRPr="00A21FB3">
        <w:rPr>
          <w:rFonts w:cstheme="minorHAnsi"/>
        </w:rPr>
        <w:t xml:space="preserve">Quello del rapporto tra potere pubblico e </w:t>
      </w:r>
      <w:r w:rsidR="00A21FB3" w:rsidRPr="00A21FB3">
        <w:rPr>
          <w:rFonts w:cstheme="minorHAnsi"/>
          <w:i/>
          <w:iCs/>
        </w:rPr>
        <w:t xml:space="preserve">ius aedificandi </w:t>
      </w:r>
      <w:r w:rsidR="00A21FB3" w:rsidRPr="00A21FB3">
        <w:rPr>
          <w:rFonts w:cstheme="minorHAnsi"/>
        </w:rPr>
        <w:t>potrebbe per i gi</w:t>
      </w:r>
      <w:r w:rsidR="00A21FB3">
        <w:rPr>
          <w:rFonts w:cstheme="minorHAnsi"/>
        </w:rPr>
        <w:t>u</w:t>
      </w:r>
      <w:r w:rsidR="00A21FB3" w:rsidRPr="00A21FB3">
        <w:rPr>
          <w:rFonts w:cstheme="minorHAnsi"/>
        </w:rPr>
        <w:t>risti essere oggetto di una nobile e classica trattazione, da aggiornare alle problematiche dell’attualità, ma, nel caso dell’Italia, si è costretti a volare ben più in basso, in ragione di un profondo squilibrio del sistema, imputabile ad almeno due fenomeni in parte tra loro collegati: l’abnorme ineffettività dell’ordinamento e l’eccesso di pretese dello stesso ordinamento.</w:t>
      </w:r>
    </w:p>
    <w:p w14:paraId="1A1F786B" w14:textId="77777777" w:rsidR="00A21FB3" w:rsidRPr="000D68A8" w:rsidRDefault="00A21FB3" w:rsidP="00A21FB3">
      <w:pPr>
        <w:spacing w:after="0"/>
        <w:jc w:val="both"/>
        <w:rPr>
          <w:rFonts w:cstheme="minorHAnsi"/>
        </w:rPr>
      </w:pPr>
    </w:p>
    <w:p w14:paraId="3D9D14E3" w14:textId="2D8DCB96" w:rsidR="00A21FB3" w:rsidRPr="00A21FB3" w:rsidRDefault="00AE337B" w:rsidP="00A21FB3">
      <w:pPr>
        <w:spacing w:after="0"/>
        <w:jc w:val="both"/>
        <w:rPr>
          <w:rFonts w:cstheme="minorHAnsi"/>
        </w:rPr>
      </w:pPr>
      <w:r w:rsidRPr="000D68A8">
        <w:rPr>
          <w:rFonts w:cstheme="minorHAnsi"/>
        </w:rPr>
        <w:t xml:space="preserve">2. </w:t>
      </w:r>
      <w:r w:rsidR="00A21FB3" w:rsidRPr="00A21FB3">
        <w:rPr>
          <w:rFonts w:cstheme="minorHAnsi"/>
        </w:rPr>
        <w:t>L’abnorme ineffettività dell’ordinamento, sia in sede di prevenzione, sia in sede sanzionatoria, trova espressione nell’abusivismo edilizio che affligge da decenni il territorio nazionale, specie nelle regioni del centro-sud: se volessimo parlare di metafisica giuridica, cioè di un puro dover essere che rimane tale, il nostro sarebbe un esempio emblematico. E’ questo il risultato di un connubio tra, da un lato, quella che, senza volerci fare antropologi culturali, sembrerebbe essere una sorta di ancestrale riottosità degli italiani a rinunciare alle facoltà tradizionali del diritto di proprietà, ivi compresa la facoltà di edificare, quasi che si trattasse di un insopprimibile diritto naturale, e, d’altro lato, l’immobilismo, se non la complicità o la generale ipocrisia, delle istituzioni.</w:t>
      </w:r>
    </w:p>
    <w:p w14:paraId="4E3725AD" w14:textId="1D825F46" w:rsidR="00A21FB3" w:rsidRPr="00A21FB3" w:rsidRDefault="00A21FB3" w:rsidP="00A21FB3">
      <w:pPr>
        <w:spacing w:after="0"/>
        <w:jc w:val="both"/>
        <w:rPr>
          <w:rFonts w:cstheme="minorHAnsi"/>
        </w:rPr>
      </w:pPr>
      <w:r w:rsidRPr="00A21FB3">
        <w:rPr>
          <w:rFonts w:cstheme="minorHAnsi"/>
        </w:rPr>
        <w:t>Lo stato delle cose è ormai da lungo tempo un fatto notorio. L’abusivismo non è circoscritto ad anfratti delimitati, ma è diffuso in tutta la società, sia, oggettivamente, nell’entità quantitativa del fenomeno e del suo reiterarsi, sia, soggettivamente, nella provenienza sociale di coloro che commettono l’abuso, dal delinquente al più comune cittadino. Non sorprende così l’attitudine dei comuni, specie quelli più piccoli, con un alto grado di promiscuità sociale con le comunità di riferimento e dove si rifugge dall’applicare la legge per non mettersi contro le famiglie nel godimento di un bene primario, quale è quello della casa, finendo così per far salvi tutti, ivi compresi gli approfittatori, ben più meritevoli di reprimenda.</w:t>
      </w:r>
    </w:p>
    <w:p w14:paraId="34AD3630" w14:textId="65506BCA" w:rsidR="00A21FB3" w:rsidRPr="00A21FB3" w:rsidRDefault="00A21FB3" w:rsidP="00A21FB3">
      <w:pPr>
        <w:spacing w:after="0"/>
        <w:jc w:val="both"/>
        <w:rPr>
          <w:rFonts w:cstheme="minorHAnsi"/>
        </w:rPr>
      </w:pPr>
      <w:r w:rsidRPr="00A21FB3">
        <w:rPr>
          <w:rFonts w:cstheme="minorHAnsi"/>
        </w:rPr>
        <w:t>Segni esemplificativi di tale inerzia sono facilmente e variamente individuabili.</w:t>
      </w:r>
    </w:p>
    <w:p w14:paraId="7404AF31" w14:textId="3DC5EE26" w:rsidR="00A21FB3" w:rsidRPr="00A21FB3" w:rsidRDefault="00A21FB3" w:rsidP="00A21FB3">
      <w:pPr>
        <w:spacing w:after="0"/>
        <w:jc w:val="both"/>
        <w:rPr>
          <w:rFonts w:cstheme="minorHAnsi"/>
        </w:rPr>
      </w:pPr>
      <w:r w:rsidRPr="00A21FB3">
        <w:rPr>
          <w:rFonts w:cstheme="minorHAnsi"/>
        </w:rPr>
        <w:t>La vigilanza sugli abusi stratificatisi nei decenni e sugli abusi nuovi -che, non</w:t>
      </w:r>
      <w:r w:rsidR="003D4504">
        <w:rPr>
          <w:rFonts w:cstheme="minorHAnsi"/>
        </w:rPr>
        <w:t>o</w:t>
      </w:r>
      <w:r w:rsidRPr="00A21FB3">
        <w:rPr>
          <w:rFonts w:cstheme="minorHAnsi"/>
        </w:rPr>
        <w:t xml:space="preserve">stante sia al momento fuori dall’orizzonte un ennesimo condono, continuano a consumarsi- è a dir poco affetta da cecità. </w:t>
      </w:r>
    </w:p>
    <w:p w14:paraId="72C1F03F" w14:textId="77777777" w:rsidR="00A21FB3" w:rsidRPr="00A21FB3" w:rsidRDefault="00A21FB3" w:rsidP="00A21FB3">
      <w:pPr>
        <w:spacing w:after="0"/>
        <w:jc w:val="both"/>
        <w:rPr>
          <w:rFonts w:cstheme="minorHAnsi"/>
        </w:rPr>
      </w:pPr>
      <w:r w:rsidRPr="00A21FB3">
        <w:rPr>
          <w:rFonts w:cstheme="minorHAnsi"/>
        </w:rPr>
        <w:t xml:space="preserve">Migliaia di pratiche di condono edilizio, risalenti addirittura al primo condono degli anni ottanta, sono ferme da decenni. I comuni non provvedono perché evidentemente non vi sono i presupposti per un esito positivo, né occorre far altro, perché la domanda di condono è </w:t>
      </w:r>
      <w:r w:rsidRPr="00C32763">
        <w:rPr>
          <w:rFonts w:cstheme="minorHAnsi"/>
          <w:i/>
          <w:iCs/>
        </w:rPr>
        <w:t>ex lege</w:t>
      </w:r>
      <w:r w:rsidRPr="00A21FB3">
        <w:rPr>
          <w:rFonts w:cstheme="minorHAnsi"/>
        </w:rPr>
        <w:t xml:space="preserve"> sospensiva di ogni provvedimento sanzionatorio o demolitorio. </w:t>
      </w:r>
    </w:p>
    <w:p w14:paraId="152A8E0F" w14:textId="17A834B5" w:rsidR="00A21FB3" w:rsidRPr="00A21FB3" w:rsidRDefault="00A21FB3" w:rsidP="00A21FB3">
      <w:pPr>
        <w:spacing w:after="0"/>
        <w:jc w:val="both"/>
        <w:rPr>
          <w:rFonts w:cstheme="minorHAnsi"/>
        </w:rPr>
      </w:pPr>
      <w:r w:rsidRPr="00A21FB3">
        <w:rPr>
          <w:rFonts w:cstheme="minorHAnsi"/>
        </w:rPr>
        <w:t xml:space="preserve">Anche qualora i comuni -come, ad es., è più facile che avvenga in caso di diniego (specie </w:t>
      </w:r>
      <w:r w:rsidRPr="00A21FB3">
        <w:rPr>
          <w:rFonts w:cstheme="minorHAnsi"/>
          <w:i/>
          <w:iCs/>
        </w:rPr>
        <w:t>per silentium</w:t>
      </w:r>
      <w:r w:rsidRPr="00A21FB3">
        <w:rPr>
          <w:rFonts w:cstheme="minorHAnsi"/>
        </w:rPr>
        <w:t xml:space="preserve">) di domanda di sanatoria ordinaria per doppia conformità o quando si accerti </w:t>
      </w:r>
      <w:r w:rsidRPr="00EC23A1">
        <w:rPr>
          <w:rFonts w:cstheme="minorHAnsi"/>
          <w:i/>
          <w:iCs/>
        </w:rPr>
        <w:t>ex abrupto</w:t>
      </w:r>
      <w:r w:rsidRPr="00A21FB3">
        <w:rPr>
          <w:rFonts w:cstheme="minorHAnsi"/>
        </w:rPr>
        <w:t xml:space="preserve"> un abuso- adottino un’ordinanza di demolizione, difficilmente si procede innanzi, secondo l’iter previsto dalla legge: atto di accertamento dell’inottemperanza; trasferimento della proprietà al comune; di recente, applicazione di una sanzione pecuniaria; esecuzione in danno della demolizione. A fermare l’esperimento di questi ulteriori passaggi, oltre alla, per così dire, controindicazione sociale, concorre altresì la mancanza di risorse finanziar</w:t>
      </w:r>
      <w:r w:rsidR="00964A0D">
        <w:rPr>
          <w:rFonts w:cstheme="minorHAnsi"/>
        </w:rPr>
        <w:t>i</w:t>
      </w:r>
      <w:r w:rsidRPr="00A21FB3">
        <w:rPr>
          <w:rFonts w:cstheme="minorHAnsi"/>
        </w:rPr>
        <w:t xml:space="preserve">e sia per fronteggiare la responsabilità di divenire proprietari di un immobile (sicurezza degli edifici, manutenzione etc.), sia, </w:t>
      </w:r>
      <w:r w:rsidR="00964A0D">
        <w:rPr>
          <w:rFonts w:cstheme="minorHAnsi"/>
        </w:rPr>
        <w:t>ancor più</w:t>
      </w:r>
      <w:r w:rsidRPr="00A21FB3">
        <w:rPr>
          <w:rFonts w:cstheme="minorHAnsi"/>
        </w:rPr>
        <w:t xml:space="preserve">, per procedere d’ufficio all’onerosa demolizione. Né il Fondo per le demolizioni delle opere abusive e la sopravvenuta competenza prefettizia, che peraltro, secondo la giurisprudenza, presuppone pur sempre l’adozione da parte dei comuni degli atti amministrativi </w:t>
      </w:r>
      <w:r w:rsidRPr="00A21FB3">
        <w:rPr>
          <w:rFonts w:cstheme="minorHAnsi"/>
        </w:rPr>
        <w:lastRenderedPageBreak/>
        <w:t>propedeutici, sono idonei a risolvere strutturalmente il problema. Né ancora hanno molto da fare i giudici penali, anch’essi privi di adeguate risorse a tal fine, in esecuzione delle proprie pronunce.</w:t>
      </w:r>
    </w:p>
    <w:p w14:paraId="1C98A1F4" w14:textId="77777777" w:rsidR="00A21FB3" w:rsidRPr="00A21FB3" w:rsidRDefault="00A21FB3" w:rsidP="00A21FB3">
      <w:pPr>
        <w:spacing w:after="0"/>
        <w:jc w:val="both"/>
        <w:rPr>
          <w:rFonts w:cstheme="minorHAnsi"/>
        </w:rPr>
      </w:pPr>
      <w:r w:rsidRPr="00A21FB3">
        <w:rPr>
          <w:rFonts w:cstheme="minorHAnsi"/>
        </w:rPr>
        <w:t>Si determina così il perpetuarsi di una situazione di fatto, dove le istituzioni rimangono sostanzialmente alla finestra e il privato si accontenta dell’uso del bene abusivo, sperando che prima o dopo verrà un modo per regolarizzare la propria situazione.</w:t>
      </w:r>
    </w:p>
    <w:p w14:paraId="2689D294" w14:textId="24431CE5" w:rsidR="00A21FB3" w:rsidRPr="00A21FB3" w:rsidRDefault="00A21FB3" w:rsidP="00A21FB3">
      <w:pPr>
        <w:spacing w:after="0"/>
        <w:jc w:val="both"/>
        <w:rPr>
          <w:rFonts w:cstheme="minorHAnsi"/>
        </w:rPr>
      </w:pPr>
      <w:r w:rsidRPr="00A21FB3">
        <w:rPr>
          <w:rFonts w:cstheme="minorHAnsi"/>
        </w:rPr>
        <w:t>L’esito finale è disastroso. L’autorevolezza dell’ordinamento giuridico finisce alle ortiche. Si diffonde altresì un senso di ingiustizia e non solo rispetto ai cittadini rispettosi delle leggi. Non può certo predicarsi un’eguaglianza nell’impunità, ma quando pochi sono sanzionati e molti non lo sono, nel pubblico consolidarsi e reiterarsi degli illeciti, grazie ad una sfacciata e persistente inerzia dei poteri pubblici, un problema di credibilità delle istituzioni si pone: si colpiscono frammentariamente cento abusivi, mentre rimangono salvi in migliaia sotto gli occhi di tutti.</w:t>
      </w:r>
    </w:p>
    <w:p w14:paraId="5FDEBF19" w14:textId="6FADCEC8" w:rsidR="008743A6" w:rsidRDefault="00A21FB3" w:rsidP="00A21FB3">
      <w:pPr>
        <w:spacing w:after="0"/>
        <w:jc w:val="both"/>
        <w:rPr>
          <w:rFonts w:cstheme="minorHAnsi"/>
        </w:rPr>
      </w:pPr>
      <w:r w:rsidRPr="00A21FB3">
        <w:rPr>
          <w:rFonts w:cstheme="minorHAnsi"/>
        </w:rPr>
        <w:t>Vi è persino da discettare sul rispetto dei doveri di solidarietà intergenerazionale. Non c’è solo l’ovvia responsabilità dei padri per il degrado dell’ambiente causato dagli abusi, ma vi è anche un’altra eredità avvelenata: lasciare alle nuove generazioni un caos giuridico senza pari. Si pensi ad un figlio che eredita un immobile sul quale contava per il suo futuro e che, ignaro, si ritrova di fronte all’abisso di un abuso o di una domanda di condono che non ha mai avuto esito: più che un’eredità, il danno e la beffa di un bene che non potrà vendere e che lo lascerà esposto alla possibilità di sanzioni e di soverchianti oneri economici.</w:t>
      </w:r>
    </w:p>
    <w:p w14:paraId="3D979CFA" w14:textId="77777777" w:rsidR="00A21FB3" w:rsidRPr="000D68A8" w:rsidRDefault="00A21FB3" w:rsidP="00A21FB3">
      <w:pPr>
        <w:spacing w:after="0"/>
        <w:jc w:val="both"/>
        <w:rPr>
          <w:rFonts w:cstheme="minorHAnsi"/>
        </w:rPr>
      </w:pPr>
    </w:p>
    <w:p w14:paraId="7AF491CC" w14:textId="56AA15F2" w:rsidR="00A21FB3" w:rsidRPr="00A21FB3" w:rsidRDefault="00A530C4" w:rsidP="00A21FB3">
      <w:pPr>
        <w:spacing w:after="0"/>
        <w:jc w:val="both"/>
        <w:rPr>
          <w:rFonts w:cstheme="minorHAnsi"/>
        </w:rPr>
      </w:pPr>
      <w:r w:rsidRPr="000D68A8">
        <w:rPr>
          <w:rFonts w:cstheme="minorHAnsi"/>
        </w:rPr>
        <w:t>3</w:t>
      </w:r>
      <w:r w:rsidR="00446397">
        <w:rPr>
          <w:rFonts w:cstheme="minorHAnsi"/>
        </w:rPr>
        <w:t>.</w:t>
      </w:r>
      <w:r w:rsidR="00A21FB3" w:rsidRPr="00A21FB3">
        <w:t xml:space="preserve"> </w:t>
      </w:r>
      <w:r w:rsidR="00A21FB3" w:rsidRPr="00A21FB3">
        <w:rPr>
          <w:rFonts w:cstheme="minorHAnsi"/>
        </w:rPr>
        <w:t>L’abnormità del distacco tra il diritto e realtà è accentuato dall’eccesso di pretese dell’ordinamento.</w:t>
      </w:r>
    </w:p>
    <w:p w14:paraId="138A490E" w14:textId="2EDB9F21" w:rsidR="00A21FB3" w:rsidRPr="00A21FB3" w:rsidRDefault="00A21FB3" w:rsidP="00A21FB3">
      <w:pPr>
        <w:spacing w:after="0"/>
        <w:jc w:val="both"/>
        <w:rPr>
          <w:rFonts w:cstheme="minorHAnsi"/>
        </w:rPr>
      </w:pPr>
      <w:r w:rsidRPr="00A21FB3">
        <w:rPr>
          <w:rFonts w:cstheme="minorHAnsi"/>
        </w:rPr>
        <w:t>Può in primo luogo registrarsi il rigore giurisprudenziale e legislativo di questi ultimi decenni, espressione di un indirizzo generale, per così dire, compensativo della concessione di ben tre condoni edilizi. Passi il terzo condono, ma, dopo di questo, nessuna tolleranza.</w:t>
      </w:r>
    </w:p>
    <w:p w14:paraId="3B2160FF" w14:textId="20A17A57" w:rsidR="00A21FB3" w:rsidRPr="00A21FB3" w:rsidRDefault="00A21FB3" w:rsidP="00A21FB3">
      <w:pPr>
        <w:spacing w:after="0"/>
        <w:jc w:val="both"/>
        <w:rPr>
          <w:rFonts w:cstheme="minorHAnsi"/>
        </w:rPr>
      </w:pPr>
      <w:r w:rsidRPr="00A21FB3">
        <w:rPr>
          <w:rFonts w:cstheme="minorHAnsi"/>
        </w:rPr>
        <w:t>Significativo è che persino la giustizia amministrativa, in luogo di portare avanti col consueto realismo il suo ruolo tradizionale di bilanciamento equitativo tra interesse pubblico e interesse privato, sfruttando gli spazi interpretativi o. all’occorrenza, l’attitudine pretoria, sembra qui essersi allineata al dettato di una rigida intransigenza.</w:t>
      </w:r>
    </w:p>
    <w:p w14:paraId="0A92F859" w14:textId="6BD0F4A0" w:rsidR="00A21FB3" w:rsidRPr="00A21FB3" w:rsidRDefault="00A21FB3" w:rsidP="00A21FB3">
      <w:pPr>
        <w:spacing w:after="0"/>
        <w:jc w:val="both"/>
        <w:rPr>
          <w:rFonts w:cstheme="minorHAnsi"/>
        </w:rPr>
      </w:pPr>
      <w:r w:rsidRPr="00A21FB3">
        <w:rPr>
          <w:rFonts w:cstheme="minorHAnsi"/>
        </w:rPr>
        <w:t xml:space="preserve">Vi è poi un cambiamento più strutturale, cioè la moltiplicazione delle limitazioni dell’uso della proprietà derivante dal rango crescente degli interessi paesaggistici e ambientali, che sta sostanzialmente fagocitando la disciplina del territorio, sia attraverso propri strumenti sovraordinati, da vincoli puntuali a vere e proprie pianificazioni, sia penetrando all’interno della pianificazione tradizionale, anche condizionandone contenuti tipici (si pensi alla tendenza giurisprudenziale a considerare il verde pubblico come vincolo conformativo e non espropriativo). </w:t>
      </w:r>
    </w:p>
    <w:p w14:paraId="434E1C6A" w14:textId="7DB03D58" w:rsidR="00A21FB3" w:rsidRPr="00A21FB3" w:rsidRDefault="00A21FB3" w:rsidP="00A21FB3">
      <w:pPr>
        <w:spacing w:after="0"/>
        <w:jc w:val="both"/>
        <w:rPr>
          <w:rFonts w:cstheme="minorHAnsi"/>
        </w:rPr>
      </w:pPr>
      <w:r w:rsidRPr="00A21FB3">
        <w:rPr>
          <w:rFonts w:cstheme="minorHAnsi"/>
        </w:rPr>
        <w:t>Uno iato di tali proporzioni non poteva non avere qualche contraccolpo, non fosse altro che l’ampiezza soggettiva di coloro che hanno commesso abusi finisce per tradursi in una continua pressione nei confronti della classe politica.</w:t>
      </w:r>
    </w:p>
    <w:p w14:paraId="26A4DD2F" w14:textId="77777777" w:rsidR="00A21FB3" w:rsidRPr="00A21FB3" w:rsidRDefault="00A21FB3" w:rsidP="00A21FB3">
      <w:pPr>
        <w:spacing w:after="0"/>
        <w:jc w:val="both"/>
        <w:rPr>
          <w:rFonts w:cstheme="minorHAnsi"/>
        </w:rPr>
      </w:pPr>
      <w:r w:rsidRPr="00A21FB3">
        <w:rPr>
          <w:rFonts w:cstheme="minorHAnsi"/>
        </w:rPr>
        <w:t>Ma si tratta, almeno sin qui, di temperamenti o di tentativi di temperamenti che stanno al margine e non si atteggiano a soluzioni di sistema.</w:t>
      </w:r>
    </w:p>
    <w:p w14:paraId="31DDEC04" w14:textId="1DC62347" w:rsidR="00297E6C" w:rsidRPr="000D68A8" w:rsidRDefault="00297E6C" w:rsidP="00A21FB3">
      <w:pPr>
        <w:spacing w:after="0"/>
        <w:jc w:val="both"/>
        <w:rPr>
          <w:rFonts w:cstheme="minorHAnsi"/>
        </w:rPr>
      </w:pPr>
    </w:p>
    <w:p w14:paraId="35E207D3" w14:textId="3CF272ED" w:rsidR="00A21FB3" w:rsidRPr="00A21FB3" w:rsidRDefault="008D1530" w:rsidP="00A21FB3">
      <w:pPr>
        <w:spacing w:after="0"/>
        <w:jc w:val="both"/>
        <w:rPr>
          <w:rFonts w:cstheme="minorHAnsi"/>
        </w:rPr>
      </w:pPr>
      <w:r w:rsidRPr="000D68A8">
        <w:rPr>
          <w:rFonts w:cstheme="minorHAnsi"/>
        </w:rPr>
        <w:t xml:space="preserve">4. </w:t>
      </w:r>
      <w:r w:rsidR="00A21FB3" w:rsidRPr="00A21FB3">
        <w:rPr>
          <w:rFonts w:cstheme="minorHAnsi"/>
        </w:rPr>
        <w:t xml:space="preserve">Vanno anzitutto menzionati i ricorrenti tentativi dei legislatori regionali di rosicchiare degli spazi di liberalizzazione o di sanatoria: un viatico tuttavia destinato a scontrarsi puntualmente con le chiusure a tenaglia del giudice delle leggi, tra la competenza esclusiva statale in materia penale e l’imperatività che si tende ad attribuire al dettaglio della legislazione statale non solo in materia di interessi sensibili, ma più in generale riguardo al testo unico in materia edilizia. Le competenze legislative delle regioni vengono facilmente schiacciate con larghe qualificazioni di principi fondamentali o </w:t>
      </w:r>
      <w:r w:rsidR="00A21FB3" w:rsidRPr="00A21FB3">
        <w:rPr>
          <w:rFonts w:cstheme="minorHAnsi"/>
          <w:i/>
          <w:iCs/>
        </w:rPr>
        <w:t>mutatis mutandis</w:t>
      </w:r>
      <w:r w:rsidR="00A21FB3" w:rsidRPr="00A21FB3">
        <w:rPr>
          <w:rFonts w:cstheme="minorHAnsi"/>
        </w:rPr>
        <w:t>, di fronte alle regioni a statuto speciale, di principi di grande riforma.</w:t>
      </w:r>
    </w:p>
    <w:p w14:paraId="3B53036B" w14:textId="77777777" w:rsidR="00A21FB3" w:rsidRPr="00A21FB3" w:rsidRDefault="00A21FB3" w:rsidP="00A21FB3">
      <w:pPr>
        <w:spacing w:after="0"/>
        <w:jc w:val="both"/>
        <w:rPr>
          <w:rFonts w:cstheme="minorHAnsi"/>
        </w:rPr>
      </w:pPr>
      <w:r w:rsidRPr="00A21FB3">
        <w:rPr>
          <w:rFonts w:cstheme="minorHAnsi"/>
        </w:rPr>
        <w:t>La stessa legislazione statale appare come ormai delegittimata ad introdurre incisivi mutamenti che possano intaccare l’indirizzo rigoroso.</w:t>
      </w:r>
    </w:p>
    <w:p w14:paraId="7AB6EA92" w14:textId="2A5CB082" w:rsidR="00A21FB3" w:rsidRPr="00A21FB3" w:rsidRDefault="00A21FB3" w:rsidP="00A21FB3">
      <w:pPr>
        <w:spacing w:after="0"/>
        <w:jc w:val="both"/>
        <w:rPr>
          <w:rFonts w:cstheme="minorHAnsi"/>
        </w:rPr>
      </w:pPr>
      <w:r w:rsidRPr="00A21FB3">
        <w:rPr>
          <w:rFonts w:cstheme="minorHAnsi"/>
        </w:rPr>
        <w:lastRenderedPageBreak/>
        <w:t>La liberalizzazione, quella sostanziale di riduzione dei vincoli, presenta saltuariamente sussulti marginali e non privi di ambiguità. Si pensi, ad es., di recente alle cd. VEPA</w:t>
      </w:r>
      <w:r w:rsidR="00FD4F3F">
        <w:rPr>
          <w:rFonts w:cstheme="minorHAnsi"/>
        </w:rPr>
        <w:t xml:space="preserve"> </w:t>
      </w:r>
      <w:r w:rsidR="00FD4F3F" w:rsidRPr="00FD4F3F">
        <w:rPr>
          <w:rFonts w:cstheme="minorHAnsi"/>
        </w:rPr>
        <w:t>(vetrate panoramiche amovibili)</w:t>
      </w:r>
      <w:r w:rsidRPr="00A21FB3">
        <w:rPr>
          <w:rFonts w:cstheme="minorHAnsi"/>
        </w:rPr>
        <w:t xml:space="preserve"> di cui si fa fatica a individuare quando si traducano o meno in “spazi stabilmente chiusi con conseguente variazione di volumi e di superfici”. L’ambiguità di questo tipo di previsioni porta peraltro paradossalmente ad un aumento dell’abusivismo. Fatta la norma le vetrate si diffondono a macchia d’olio, salvo poi a prendere atto di pronunce giurisprudenziali che ne danno una interpretazione stretta. Il risultato è che migliaia di vetrate già realizzate o realizzande entrano nel novero degli abusi che rimangono di fatto in piedi. Dietro vi sta un’autentica ipocrisia, poiché è del tutto ovvio che l’intento pratico cui di regola mira chi fa la vetrata è esattamente quello di realizzare </w:t>
      </w:r>
      <w:r w:rsidR="003120C5">
        <w:rPr>
          <w:rFonts w:cstheme="minorHAnsi"/>
        </w:rPr>
        <w:t>delle verande</w:t>
      </w:r>
      <w:r w:rsidRPr="00A21FB3">
        <w:rPr>
          <w:rFonts w:cstheme="minorHAnsi"/>
        </w:rPr>
        <w:t xml:space="preserve"> stabilmente chius</w:t>
      </w:r>
      <w:r w:rsidR="003120C5">
        <w:rPr>
          <w:rFonts w:cstheme="minorHAnsi"/>
        </w:rPr>
        <w:t>e</w:t>
      </w:r>
      <w:r w:rsidRPr="00A21FB3">
        <w:rPr>
          <w:rFonts w:cstheme="minorHAnsi"/>
        </w:rPr>
        <w:t>. Una vera liberalizzazione idonea a determinare una coincidenza tra fatto e diritto avrebbe dovuto consentire anche questo e invece si è scelto il gioco delle ambiguità.</w:t>
      </w:r>
    </w:p>
    <w:p w14:paraId="5651E6E9" w14:textId="77777777" w:rsidR="00A21FB3" w:rsidRPr="00A21FB3" w:rsidRDefault="00A21FB3" w:rsidP="00A21FB3">
      <w:pPr>
        <w:spacing w:after="0"/>
        <w:jc w:val="both"/>
        <w:rPr>
          <w:rFonts w:cstheme="minorHAnsi"/>
        </w:rPr>
      </w:pPr>
      <w:r w:rsidRPr="00A21FB3">
        <w:rPr>
          <w:rFonts w:cstheme="minorHAnsi"/>
        </w:rPr>
        <w:t>Le punte di lancia cui continua invece ad affidarsi il legislatore sono piuttosto le semplificazioni procedimentali che, ormai da decenni, torturano l’ordinamento in modo inconcludente e dannoso.</w:t>
      </w:r>
    </w:p>
    <w:p w14:paraId="1F146CDC" w14:textId="3244E647" w:rsidR="00A21FB3" w:rsidRPr="00A21FB3" w:rsidRDefault="00A21FB3" w:rsidP="00A21FB3">
      <w:pPr>
        <w:spacing w:after="0"/>
        <w:jc w:val="both"/>
        <w:rPr>
          <w:rFonts w:cstheme="minorHAnsi"/>
        </w:rPr>
      </w:pPr>
      <w:r w:rsidRPr="00A21FB3">
        <w:rPr>
          <w:rFonts w:cstheme="minorHAnsi"/>
        </w:rPr>
        <w:t>Un serio impaccio deriva anzitutto dal moltiplicarsi dei titoli edilizi, rendendo ardua l’identificazione dei rispettivi ambiti di applicazione, tanto che il legislatore ha finito per dare facoltà all’interessato di chiedere il permesso di costruire in luogo della SCIA. Ciò ha già comportato che, in una siffatta incertezza, anche il probo cittadino è restìo ad avvalersi dele procedure semplificate.</w:t>
      </w:r>
    </w:p>
    <w:p w14:paraId="6DA10332" w14:textId="1842EE30" w:rsidR="00A21FB3" w:rsidRPr="00A21FB3" w:rsidRDefault="00A21FB3" w:rsidP="00A21FB3">
      <w:pPr>
        <w:spacing w:after="0"/>
        <w:jc w:val="both"/>
        <w:rPr>
          <w:rFonts w:cstheme="minorHAnsi"/>
        </w:rPr>
      </w:pPr>
      <w:r w:rsidRPr="00A21FB3">
        <w:rPr>
          <w:rFonts w:cstheme="minorHAnsi"/>
        </w:rPr>
        <w:t>Ma vi è un problema ben più profondo. Le tecniche di semplificazione costituiscono, come è comprensibile, un rischio per l’interesse pubblico. Ed è un rischio accettabile rispetto ai vantaggi che ne possono derivare, quando in generale prevale un’attitudine sociale di rispetto delle leggi, sicché il rischio potrà concretizzarsi in un danno di proporzioni limitate. In assenza di questa condizione, come avviene nel nostro paese, è inevitabile che l’uso delle semplificazioni subisca un contraccolpo.</w:t>
      </w:r>
    </w:p>
    <w:p w14:paraId="550475BF" w14:textId="440B7DA4" w:rsidR="00A21FB3" w:rsidRPr="00A21FB3" w:rsidRDefault="00A21FB3" w:rsidP="00A21FB3">
      <w:pPr>
        <w:spacing w:after="0"/>
        <w:jc w:val="both"/>
        <w:rPr>
          <w:rFonts w:cstheme="minorHAnsi"/>
        </w:rPr>
      </w:pPr>
      <w:r w:rsidRPr="00A21FB3">
        <w:rPr>
          <w:rFonts w:cstheme="minorHAnsi"/>
        </w:rPr>
        <w:t>E’ così il caso del silenzio-assenso. Non da ora la giurisprudenza amministrativa ha affermato che, per la sua formazione, non è sufficiente il mero decorso dei termini, ma occorre che sussistano tutti i requisiti sostanziali per l’accoglimento dell’istanza: come a dire che abbiamo scherzato. Anche una parte della giurisprudenza più recente che sembra voler allentare l’orientamento rigoroso rimane invero ancorata alla necessità che l’intervento sia aderente al modello normativo astratto: la cautela esce dalla porta e rientra dalla finestra.</w:t>
      </w:r>
    </w:p>
    <w:p w14:paraId="2725FF79" w14:textId="4EF1E614" w:rsidR="00A21FB3" w:rsidRPr="00A21FB3" w:rsidRDefault="00A21FB3" w:rsidP="00A21FB3">
      <w:pPr>
        <w:spacing w:after="0"/>
        <w:jc w:val="both"/>
        <w:rPr>
          <w:rFonts w:cstheme="minorHAnsi"/>
        </w:rPr>
      </w:pPr>
      <w:r w:rsidRPr="00A21FB3">
        <w:rPr>
          <w:rFonts w:cstheme="minorHAnsi"/>
        </w:rPr>
        <w:t>Lo stesso ordine di valutazioni potrebbe farsi per la SCIA (e la CILA cui, secondo la giurisprudenza, in difetto di previsioni, si applica il regime giuridico della prima), dove la scadenza del termine perentorio per l’interdizione svolge per il cittadino la stessa funzione pratica del silenzio-assenso. Immaginate semplicemente che taluno costruisca una intera palazzina e per essa presenti la SCIA: quale giudice ammetterebbe mai che si siano prodotti gli effetti salvifici della semplificazione? Ancora una volta si direbbe che non sussistevano i presupposti sostanziali per avvalersi della segnalazione.</w:t>
      </w:r>
    </w:p>
    <w:p w14:paraId="77C68BB0" w14:textId="6FC8B565" w:rsidR="00A21FB3" w:rsidRPr="00A21FB3" w:rsidRDefault="00A21FB3" w:rsidP="00A21FB3">
      <w:pPr>
        <w:spacing w:after="0"/>
        <w:jc w:val="both"/>
        <w:rPr>
          <w:rFonts w:cstheme="minorHAnsi"/>
        </w:rPr>
      </w:pPr>
      <w:r w:rsidRPr="00A21FB3">
        <w:rPr>
          <w:rFonts w:cstheme="minorHAnsi"/>
        </w:rPr>
        <w:t>Sotto questo profilo anche le recenti modifiche del cd. Decreto salva-casa, proprio nella misura in cui puntano ulteriormente alle tecniche di semplificazione, allargando l’ambito del silenzio-assenso, servono a ben poco, se non ad alimentare apparenze. Né giova, anzi aumenta il grado di apparenza, la valorizzazione di un istituto non nuovo, quello dell’attestazione di un tecnico, come se una siffatta attestazione possa essere risolutiva rispetto all’effettiva sussistenza dei requisiti sostanziali. Lascia poi sconcertati, riguardo all’epoca di realizzazione dell’intervento, che, quando non si riesca a provarne la data con le fonti normalmente utili a tal fine, possa subentrare la dichiarazione del tecnico: quasi un invito a fornire dichiarazione false. Merita invece una considerazione positiva, introducendo un elemento di elasticità nel sistema, la possibilità di una sanatoria sottoposta a condizioni.</w:t>
      </w:r>
    </w:p>
    <w:p w14:paraId="16E9CAC3" w14:textId="751ADB9E" w:rsidR="00A21FB3" w:rsidRPr="00A21FB3" w:rsidRDefault="00A21FB3" w:rsidP="00A21FB3">
      <w:pPr>
        <w:spacing w:after="0"/>
        <w:jc w:val="both"/>
        <w:rPr>
          <w:rFonts w:cstheme="minorHAnsi"/>
        </w:rPr>
      </w:pPr>
      <w:r w:rsidRPr="00A21FB3">
        <w:rPr>
          <w:rFonts w:cstheme="minorHAnsi"/>
        </w:rPr>
        <w:t>Se si passa alla giurisprudenza a scarseggiare sono gli stessi tentativi di temperamento.</w:t>
      </w:r>
    </w:p>
    <w:p w14:paraId="72FD2478" w14:textId="038F2BAA" w:rsidR="00E71F96" w:rsidRDefault="00A21FB3" w:rsidP="00CC3F61">
      <w:pPr>
        <w:spacing w:after="0"/>
        <w:jc w:val="both"/>
        <w:rPr>
          <w:rFonts w:cstheme="minorHAnsi"/>
        </w:rPr>
      </w:pPr>
      <w:r w:rsidRPr="00A21FB3">
        <w:rPr>
          <w:rFonts w:cstheme="minorHAnsi"/>
        </w:rPr>
        <w:t xml:space="preserve">Né appare significativa la recente pronuncia dell’Adunanza plenaria sulla </w:t>
      </w:r>
      <w:r w:rsidRPr="00A21FB3">
        <w:rPr>
          <w:rFonts w:cstheme="minorHAnsi"/>
          <w:i/>
          <w:iCs/>
        </w:rPr>
        <w:t>vicinitas</w:t>
      </w:r>
      <w:r w:rsidRPr="00A21FB3">
        <w:rPr>
          <w:rFonts w:cstheme="minorHAnsi"/>
        </w:rPr>
        <w:t xml:space="preserve">, che, riducendo la platea di coloro che hanno un interesse ad impugnare una licenza illegittima, potrebbe lasciar pensare che si sia voluto indirettamente ridurre il controllo sugli interventi edilizi. Tra l’altro, ciò potrebbe altresì rimettere in discussione la consolidata giurisprudenza che configura il silenzio-inadempimento di fronte all’istanza di demolizione del terzo. Ci sembra tuttavia che la vera </w:t>
      </w:r>
      <w:r w:rsidRPr="009B0FCD">
        <w:rPr>
          <w:rFonts w:cstheme="minorHAnsi"/>
          <w:i/>
          <w:iCs/>
        </w:rPr>
        <w:t xml:space="preserve">ratio </w:t>
      </w:r>
      <w:r w:rsidRPr="00A21FB3">
        <w:rPr>
          <w:rFonts w:cstheme="minorHAnsi"/>
        </w:rPr>
        <w:t xml:space="preserve">di tale pronuncia non sia da riportare alle </w:t>
      </w:r>
      <w:r w:rsidRPr="00A21FB3">
        <w:rPr>
          <w:rFonts w:cstheme="minorHAnsi"/>
        </w:rPr>
        <w:lastRenderedPageBreak/>
        <w:t xml:space="preserve">problematiche della materia edilizia, ma alla più generale e discutibile tendenza che, tradendo la tradizionale ampiezza del </w:t>
      </w:r>
      <w:r w:rsidRPr="00A21FB3">
        <w:rPr>
          <w:rFonts w:cstheme="minorHAnsi"/>
          <w:i/>
          <w:iCs/>
        </w:rPr>
        <w:t>locus standi</w:t>
      </w:r>
      <w:r w:rsidRPr="00A21FB3">
        <w:rPr>
          <w:rFonts w:cstheme="minorHAnsi"/>
        </w:rPr>
        <w:t xml:space="preserve"> della tradizione graziosa della giustizia amministrativa (rimando ad un mio scritto negli </w:t>
      </w:r>
      <w:r w:rsidRPr="00DD6BA4">
        <w:rPr>
          <w:rFonts w:cstheme="minorHAnsi"/>
          <w:i/>
          <w:iCs/>
        </w:rPr>
        <w:t>Studi in onore di Filippo Salvia</w:t>
      </w:r>
      <w:r w:rsidRPr="00A21FB3">
        <w:rPr>
          <w:rFonts w:cstheme="minorHAnsi"/>
        </w:rPr>
        <w:t>, Napoli, 2022)</w:t>
      </w:r>
      <w:r w:rsidR="009B0FCD">
        <w:rPr>
          <w:rFonts w:cstheme="minorHAnsi"/>
        </w:rPr>
        <w:t xml:space="preserve">, mira ad </w:t>
      </w:r>
      <w:r w:rsidRPr="00A21FB3">
        <w:rPr>
          <w:rFonts w:cstheme="minorHAnsi"/>
        </w:rPr>
        <w:t>una progressiva contrazione dell’accesso alla tutela, come potrebbe sembrare, in nome della ragioneria giurisdizionale o del fatturato delle sentenze. E’ ben curioso che oggi i giudici amministrativi, di fronte ai loro detrattori, sappiano mettere in campo il solo argomento dell’efficienza giurisdizionale, in luogo di avvalersi di un glorioso passato, quello della giustizia amministrativa di derivazione francese che ha costruito un sistema di tutela dei cittadini che non ha pari nell’intera storia della nostra civiltà giuridica: un glorioso passato che forse essi stessi, dopo decenni di influente, quanto disastroso, filoprivatismo, hanno finito per dimenticare</w:t>
      </w:r>
      <w:r w:rsidR="00CC3F61">
        <w:rPr>
          <w:rFonts w:cstheme="minorHAnsi"/>
        </w:rPr>
        <w:t xml:space="preserve"> </w:t>
      </w:r>
      <w:bookmarkStart w:id="0" w:name="_Hlk193024287"/>
      <w:r w:rsidR="00CC3F61">
        <w:rPr>
          <w:rFonts w:cstheme="minorHAnsi"/>
        </w:rPr>
        <w:t xml:space="preserve">(da ult. si rinvia al nostro </w:t>
      </w:r>
      <w:r w:rsidR="00CC3F61" w:rsidRPr="00CC3F61">
        <w:rPr>
          <w:rFonts w:cstheme="minorHAnsi"/>
          <w:i/>
          <w:iCs/>
        </w:rPr>
        <w:t>Pour une défense du droit administratif issu de la tradition française</w:t>
      </w:r>
      <w:r w:rsidR="00CC3F61">
        <w:rPr>
          <w:rFonts w:cstheme="minorHAnsi"/>
        </w:rPr>
        <w:t xml:space="preserve">, in </w:t>
      </w:r>
      <w:r w:rsidR="00CC3F61" w:rsidRPr="00CC3F61">
        <w:rPr>
          <w:rFonts w:cstheme="minorHAnsi"/>
          <w:i/>
          <w:iCs/>
        </w:rPr>
        <w:t>Il diritto dell’economia</w:t>
      </w:r>
      <w:r w:rsidR="00CC3F61">
        <w:rPr>
          <w:rFonts w:cstheme="minorHAnsi"/>
        </w:rPr>
        <w:t>, 2025, on line, open access).</w:t>
      </w:r>
      <w:bookmarkEnd w:id="0"/>
    </w:p>
    <w:p w14:paraId="1B228137" w14:textId="77777777" w:rsidR="00DD6BA4" w:rsidRPr="000D68A8" w:rsidRDefault="00DD6BA4" w:rsidP="00A21FB3">
      <w:pPr>
        <w:spacing w:after="0"/>
        <w:jc w:val="both"/>
        <w:rPr>
          <w:rFonts w:cstheme="minorHAnsi"/>
        </w:rPr>
      </w:pPr>
    </w:p>
    <w:p w14:paraId="478FEA2D" w14:textId="77777777" w:rsidR="00DD6BA4" w:rsidRPr="00DD6BA4" w:rsidRDefault="00E71F96" w:rsidP="00DD6BA4">
      <w:pPr>
        <w:spacing w:after="0"/>
        <w:jc w:val="both"/>
        <w:rPr>
          <w:rFonts w:cstheme="minorHAnsi"/>
        </w:rPr>
      </w:pPr>
      <w:r w:rsidRPr="000D68A8">
        <w:rPr>
          <w:rFonts w:cstheme="minorHAnsi"/>
        </w:rPr>
        <w:t xml:space="preserve">5. </w:t>
      </w:r>
      <w:r w:rsidR="00DD6BA4" w:rsidRPr="00DD6BA4">
        <w:rPr>
          <w:rFonts w:cstheme="minorHAnsi"/>
        </w:rPr>
        <w:t>Come ritornare ad un grado accettabile di consonanza tra dover essere e realtà, ridando all’ordinamento giuridico un minimo di dignità agli occhi dei cittadini?</w:t>
      </w:r>
    </w:p>
    <w:p w14:paraId="7717A439" w14:textId="32510B9D" w:rsidR="00DD6BA4" w:rsidRPr="00DD6BA4" w:rsidRDefault="00DD6BA4" w:rsidP="00DD6BA4">
      <w:pPr>
        <w:spacing w:after="0"/>
        <w:jc w:val="both"/>
        <w:rPr>
          <w:rFonts w:cstheme="minorHAnsi"/>
        </w:rPr>
      </w:pPr>
      <w:r w:rsidRPr="00DD6BA4">
        <w:rPr>
          <w:rFonts w:cstheme="minorHAnsi"/>
        </w:rPr>
        <w:t xml:space="preserve">E’ facile immaginare il migliore dei mondi possibili, ma spesso, l’ottimo è nemico del bene. L’entità raggiunta, nella quantità e nella qualità, dagli attuali vincoli appare già astrattamente troppo pretenziosa, sicché a qualcosa bisognerà rinunciare. Persino tra gli stessi interessi sensibili può esservi un dissidio che non può non condurre dall’una o dall’altra parte ad un qualche sacrificio, come nel caso della frizione tra tutela del paesaggio e transizione energetica. E tale eccesso di pretese appare poi tanto più lontano dalla realtà, quanto più si consideri che ci troviamo in un paese già riottoso ai vincoli meno stringenti del passato. </w:t>
      </w:r>
    </w:p>
    <w:p w14:paraId="610423C7" w14:textId="1E146B57" w:rsidR="00DD6BA4" w:rsidRPr="00DD6BA4" w:rsidRDefault="00DD6BA4" w:rsidP="00DD6BA4">
      <w:pPr>
        <w:spacing w:after="0"/>
        <w:jc w:val="both"/>
        <w:rPr>
          <w:rFonts w:cstheme="minorHAnsi"/>
        </w:rPr>
      </w:pPr>
      <w:r w:rsidRPr="00DD6BA4">
        <w:rPr>
          <w:rFonts w:cstheme="minorHAnsi"/>
        </w:rPr>
        <w:t xml:space="preserve">Il legislatore nazionale dovrebbe uscire dallo stato di minorità in cui si trova e mostrare più coraggio, abbandonando lo sterile ramo delle semplificazioni, in direzione di una apprezzabile riduzione dei vincoli, cioè di una liberalizzazione sostanziale, il che per il futuro potrebbe diminuire l’interesse a commettere abusi e magari educare al rispetto di un </w:t>
      </w:r>
      <w:r w:rsidRPr="00AC47D4">
        <w:rPr>
          <w:rFonts w:cstheme="minorHAnsi"/>
          <w:i/>
          <w:iCs/>
        </w:rPr>
        <w:t>core</w:t>
      </w:r>
      <w:r w:rsidRPr="00DD6BA4">
        <w:rPr>
          <w:rFonts w:cstheme="minorHAnsi"/>
        </w:rPr>
        <w:t xml:space="preserve"> intangibile di limiti allo </w:t>
      </w:r>
      <w:r w:rsidRPr="00DD6BA4">
        <w:rPr>
          <w:rFonts w:cstheme="minorHAnsi"/>
          <w:i/>
          <w:iCs/>
        </w:rPr>
        <w:t>ius aedificandi</w:t>
      </w:r>
      <w:r w:rsidRPr="00DD6BA4">
        <w:rPr>
          <w:rFonts w:cstheme="minorHAnsi"/>
        </w:rPr>
        <w:t>.</w:t>
      </w:r>
    </w:p>
    <w:p w14:paraId="76DD79E8" w14:textId="77777777" w:rsidR="00DD6BA4" w:rsidRPr="00DD6BA4" w:rsidRDefault="00DD6BA4" w:rsidP="00DD6BA4">
      <w:pPr>
        <w:spacing w:after="0"/>
        <w:jc w:val="both"/>
        <w:rPr>
          <w:rFonts w:cstheme="minorHAnsi"/>
        </w:rPr>
      </w:pPr>
      <w:r w:rsidRPr="00DD6BA4">
        <w:rPr>
          <w:rFonts w:cstheme="minorHAnsi"/>
        </w:rPr>
        <w:t>Certamente gli interessi sensibili non potranno essere facilmente tralasciati, anche perché frutto di normative sovranazionali, ma vi sono altri versanti, come, ad es., i tanti vincoli della tradizione pianificatoria novecentesca, che potrebbero cedere il passo. In definitiva, meglio un nucleo più ristretto e primario di vincoli dotati di effettività che un eccesso di vincoli destinati a rimanere sulla carta: chi troppo vuole nulla stringe.</w:t>
      </w:r>
    </w:p>
    <w:p w14:paraId="299AB9B6" w14:textId="295A4739" w:rsidR="00DD6BA4" w:rsidRPr="00DD6BA4" w:rsidRDefault="00DD6BA4" w:rsidP="00DD6BA4">
      <w:pPr>
        <w:spacing w:after="0"/>
        <w:jc w:val="both"/>
        <w:rPr>
          <w:rFonts w:cstheme="minorHAnsi"/>
        </w:rPr>
      </w:pPr>
      <w:r w:rsidRPr="00DD6BA4">
        <w:rPr>
          <w:rFonts w:cstheme="minorHAnsi"/>
        </w:rPr>
        <w:t xml:space="preserve">Riguardo poi agli abusi edilizi già stratificatisi nei decenni, sorprende che spesso si affronti il problema limitandosi a lamentare la mancata esecuzione delle demolizioni, quasi che fosse una mera questione di inefficienza amministrativa, mentre per un tale proposito, se preso sul serio, non basterebbe certo il ricorso </w:t>
      </w:r>
      <w:r w:rsidR="003B09E5">
        <w:rPr>
          <w:rFonts w:cstheme="minorHAnsi"/>
        </w:rPr>
        <w:t>ai</w:t>
      </w:r>
      <w:r w:rsidRPr="00DD6BA4">
        <w:rPr>
          <w:rFonts w:cstheme="minorHAnsi"/>
        </w:rPr>
        <w:t xml:space="preserve"> prefetti, loro malgrado, solite vittime sacrificali di missioni impossibili spettanti ad altre amministrazioni, ma </w:t>
      </w:r>
      <w:r w:rsidR="00D0187E">
        <w:rPr>
          <w:rFonts w:cstheme="minorHAnsi"/>
        </w:rPr>
        <w:t xml:space="preserve">occorrerebbe </w:t>
      </w:r>
      <w:r w:rsidRPr="00DD6BA4">
        <w:rPr>
          <w:rFonts w:cstheme="minorHAnsi"/>
        </w:rPr>
        <w:t>una legge speciale con tanto di supercommissario dotato di esercito. Niente di cui la classe politica si assumerebbe mai la paternità. Insomma, siamo ad un altro rivolo del</w:t>
      </w:r>
      <w:r w:rsidR="00366C30">
        <w:rPr>
          <w:rFonts w:cstheme="minorHAnsi"/>
        </w:rPr>
        <w:t>l</w:t>
      </w:r>
      <w:r w:rsidRPr="00DD6BA4">
        <w:rPr>
          <w:rFonts w:cstheme="minorHAnsi"/>
        </w:rPr>
        <w:t>a metafisica.</w:t>
      </w:r>
    </w:p>
    <w:p w14:paraId="2FD33B7B" w14:textId="77777777" w:rsidR="00DD6BA4" w:rsidRPr="00DD6BA4" w:rsidRDefault="00DD6BA4" w:rsidP="00DD6BA4">
      <w:pPr>
        <w:spacing w:after="0"/>
        <w:jc w:val="both"/>
        <w:rPr>
          <w:rFonts w:cstheme="minorHAnsi"/>
        </w:rPr>
      </w:pPr>
      <w:r w:rsidRPr="00DD6BA4">
        <w:rPr>
          <w:rFonts w:cstheme="minorHAnsi"/>
        </w:rPr>
        <w:t>Si dovrà allora cercare di accomodare il più possibile gli abusi edilizi.</w:t>
      </w:r>
    </w:p>
    <w:p w14:paraId="559DB8A5" w14:textId="75231F11" w:rsidR="00DD6BA4" w:rsidRPr="00DD6BA4" w:rsidRDefault="00DD6BA4" w:rsidP="00DD6BA4">
      <w:pPr>
        <w:spacing w:after="0"/>
        <w:jc w:val="both"/>
        <w:rPr>
          <w:rFonts w:cstheme="minorHAnsi"/>
        </w:rPr>
      </w:pPr>
      <w:r w:rsidRPr="00DD6BA4">
        <w:rPr>
          <w:rFonts w:cstheme="minorHAnsi"/>
        </w:rPr>
        <w:t xml:space="preserve">Uno dei più gravi errori compiuti nella stagione del rigore è stata la rimozione della cd. sanatoria giurisprudenziale, ove, come è noto, non occorreva la doppia conformità, essendo sufficiente che l’opera fosse conforme al momento in cui si chiedeva la sanatoria. La </w:t>
      </w:r>
      <w:r w:rsidRPr="00AC47D4">
        <w:rPr>
          <w:rFonts w:cstheme="minorHAnsi"/>
          <w:i/>
          <w:iCs/>
        </w:rPr>
        <w:t>ratio</w:t>
      </w:r>
      <w:r w:rsidRPr="00DD6BA4">
        <w:rPr>
          <w:rFonts w:cstheme="minorHAnsi"/>
        </w:rPr>
        <w:t xml:space="preserve"> è sempre stata del tutto chiara, apparendo illogico demolire un edificio suscettibile di essere legittimamente ricostruito. Se si è contrari -non lo è chi scrive- alla tradizionale funzione pretoria del giudice amministrativo, nulla impedisce che a ciò possa comunque giungere il legislatore, abrogando la doppia conformità.</w:t>
      </w:r>
    </w:p>
    <w:p w14:paraId="1EC17F6A" w14:textId="63B44B27" w:rsidR="00DD6BA4" w:rsidRPr="00DD6BA4" w:rsidRDefault="00DD6BA4" w:rsidP="00DD6BA4">
      <w:pPr>
        <w:spacing w:after="0"/>
        <w:jc w:val="both"/>
        <w:rPr>
          <w:rFonts w:cstheme="minorHAnsi"/>
        </w:rPr>
      </w:pPr>
      <w:r w:rsidRPr="00DD6BA4">
        <w:rPr>
          <w:rFonts w:cstheme="minorHAnsi"/>
        </w:rPr>
        <w:t>Né ci pare decisiva l’obiezione che, con il modello giurisprudenziale, si possano indurre i pianificatori a scelte volutamente indirizzate a regolarizzare gli abusi. Sarebbe pur sempre un minor male. A cosa serve continuare a mantenere previsioni urbanistiche violate da decenni, cioè a stabilizzare metafisica giuridica e giungla fattuale? E’ invece preferibile assorbire gli abusi proprio nel contesto di tali previsioni, potendo ciò costituire un occasione per trovare una qualche possibile razionalizzazione.</w:t>
      </w:r>
    </w:p>
    <w:p w14:paraId="0041C773" w14:textId="4005713D" w:rsidR="00DD6BA4" w:rsidRPr="00DD6BA4" w:rsidRDefault="00DD6BA4" w:rsidP="00DD6BA4">
      <w:pPr>
        <w:spacing w:after="0"/>
        <w:jc w:val="both"/>
        <w:rPr>
          <w:rFonts w:cstheme="minorHAnsi"/>
        </w:rPr>
      </w:pPr>
      <w:r w:rsidRPr="00DD6BA4">
        <w:rPr>
          <w:rFonts w:cstheme="minorHAnsi"/>
        </w:rPr>
        <w:t xml:space="preserve">La suddetta obiezione non potrebbe comunque valere se la reintroduzione del modello giurisprudenziale si incrociasse non con misure pianificatorie, bensì con l’apertura di spazi di liberalizzazione da parte dello stesso </w:t>
      </w:r>
      <w:r w:rsidRPr="00DD6BA4">
        <w:rPr>
          <w:rFonts w:cstheme="minorHAnsi"/>
        </w:rPr>
        <w:lastRenderedPageBreak/>
        <w:t>legislatore. Liberalizzare per il futuro, ma anche profittare della liberalizzazione per gli abusi del passato: una fruttuosa combinazione cui un legislatore più coraggioso potrebbe certamente pervenire.</w:t>
      </w:r>
    </w:p>
    <w:p w14:paraId="768D3441" w14:textId="4C64B11C" w:rsidR="00DD6BA4" w:rsidRPr="00DD6BA4" w:rsidRDefault="00DD6BA4" w:rsidP="00DD6BA4">
      <w:pPr>
        <w:spacing w:after="0"/>
        <w:jc w:val="both"/>
        <w:rPr>
          <w:rFonts w:cstheme="minorHAnsi"/>
        </w:rPr>
      </w:pPr>
      <w:r w:rsidRPr="00DD6BA4">
        <w:rPr>
          <w:rFonts w:cstheme="minorHAnsi"/>
        </w:rPr>
        <w:t>Un contributo importante potrebbe derivare anche dalla giurisprudenza amministrativa, se, in questa materia, si tornasse ad una maggiore elasticità, quella della tradizionale attitudine al bilanciamento equitativo tra interesse pubblico e interesse privato, e, in questa chiave, anche ad una maggiore attenzione alle fattispecie concrete, in luogo di pregiudiziali soluzioni trancianti.</w:t>
      </w:r>
    </w:p>
    <w:p w14:paraId="221AABA3" w14:textId="77777777" w:rsidR="00DD6BA4" w:rsidRPr="00DD6BA4" w:rsidRDefault="00DD6BA4" w:rsidP="00DD6BA4">
      <w:pPr>
        <w:spacing w:after="0"/>
        <w:jc w:val="both"/>
        <w:rPr>
          <w:rFonts w:cstheme="minorHAnsi"/>
        </w:rPr>
      </w:pPr>
      <w:r w:rsidRPr="00DD6BA4">
        <w:rPr>
          <w:rFonts w:cstheme="minorHAnsi"/>
        </w:rPr>
        <w:t>Molteplici sono gli spazi sui i quali è possibile intervenire.</w:t>
      </w:r>
    </w:p>
    <w:p w14:paraId="74373E0A" w14:textId="77777777" w:rsidR="00DD6BA4" w:rsidRPr="00DD6BA4" w:rsidRDefault="00DD6BA4" w:rsidP="00DD6BA4">
      <w:pPr>
        <w:spacing w:after="0"/>
        <w:jc w:val="both"/>
        <w:rPr>
          <w:rFonts w:cstheme="minorHAnsi"/>
        </w:rPr>
      </w:pPr>
      <w:r w:rsidRPr="00DD6BA4">
        <w:rPr>
          <w:rFonts w:cstheme="minorHAnsi"/>
        </w:rPr>
        <w:t>Limitiamoci a qualche esempio.</w:t>
      </w:r>
    </w:p>
    <w:p w14:paraId="0653FDD2" w14:textId="091E4CE4" w:rsidR="00DD6BA4" w:rsidRPr="00DD6BA4" w:rsidRDefault="00DD6BA4" w:rsidP="00DD6BA4">
      <w:pPr>
        <w:spacing w:after="0"/>
        <w:jc w:val="both"/>
        <w:rPr>
          <w:rFonts w:cstheme="minorHAnsi"/>
        </w:rPr>
      </w:pPr>
      <w:r w:rsidRPr="00DD6BA4">
        <w:rPr>
          <w:rFonts w:cstheme="minorHAnsi"/>
        </w:rPr>
        <w:t xml:space="preserve">L’assunto dell’unitarietà dell’abuso viene normalmente usato dalla giurisprudenza per affermare, senza distinguo, l’insanabilità dell’intero, mentre si dovrebbe maggiormente ricorrere al principio di proporzionalità, cioè </w:t>
      </w:r>
      <w:r w:rsidR="00EA063F">
        <w:rPr>
          <w:rFonts w:cstheme="minorHAnsi"/>
        </w:rPr>
        <w:t>di un</w:t>
      </w:r>
      <w:r w:rsidRPr="00DD6BA4">
        <w:rPr>
          <w:rFonts w:cstheme="minorHAnsi"/>
        </w:rPr>
        <w:t xml:space="preserve"> salvare il salvabile. E un tale diverso e generale approccio potrebbe anche oggi far leva sul nuovo indice normativo della sanatoria condizionata. </w:t>
      </w:r>
    </w:p>
    <w:p w14:paraId="5F3D2240" w14:textId="415EFB91" w:rsidR="00DD6BA4" w:rsidRPr="00DD6BA4" w:rsidRDefault="00DD6BA4" w:rsidP="00DD6BA4">
      <w:pPr>
        <w:spacing w:after="0"/>
        <w:jc w:val="both"/>
        <w:rPr>
          <w:rFonts w:cstheme="minorHAnsi"/>
        </w:rPr>
      </w:pPr>
      <w:r w:rsidRPr="00DD6BA4">
        <w:rPr>
          <w:rFonts w:cstheme="minorHAnsi"/>
        </w:rPr>
        <w:t>In luogo di una visione statica dell’abuso, soltanto suscettibile di repressione, occorre accedere ad una visione dinamica, che possa ricondurre l’abuso ad un assetto accettabile, utilizzando tutto l’armamentario possibile, dalle sanatorie o demolizioni parziali alla modifica dell’edificio come condizione della sua regolarizzazione.</w:t>
      </w:r>
    </w:p>
    <w:p w14:paraId="4757DD99" w14:textId="314C4D69" w:rsidR="00DD6BA4" w:rsidRPr="00DD6BA4" w:rsidRDefault="00DD6BA4" w:rsidP="00DD6BA4">
      <w:pPr>
        <w:spacing w:after="0"/>
        <w:jc w:val="both"/>
        <w:rPr>
          <w:rFonts w:cstheme="minorHAnsi"/>
        </w:rPr>
      </w:pPr>
      <w:r w:rsidRPr="00DD6BA4">
        <w:rPr>
          <w:rFonts w:cstheme="minorHAnsi"/>
        </w:rPr>
        <w:t>Di non minor rilievo è il tempo procedimentale, che va allargato e non ri</w:t>
      </w:r>
      <w:r w:rsidR="00EA063F">
        <w:rPr>
          <w:rFonts w:cstheme="minorHAnsi"/>
        </w:rPr>
        <w:t>s</w:t>
      </w:r>
      <w:r w:rsidRPr="00DD6BA4">
        <w:rPr>
          <w:rFonts w:cstheme="minorHAnsi"/>
        </w:rPr>
        <w:t xml:space="preserve">tretto, al fine di dare un intervallo congruo alla ricerca di soluzioni. E’ così discutibile che nella giurisprudenza dominante, innovando quella (preferibile) precedente, si sia affermato il principio che la domanda di doppia conformità ha soltanto un effetto sospensivo dell’ordinanza di demolizione, con la conseguenza che con la formazione del silenzio-diniego si determina una troppo rapida strozzatura. Né convince l’argomento che potrebbe esservi una elusiva reiterazione della domanda, poiché nulla impedisce che, ad es., questo assunto pretorio possa invece ragionevolmente modularsi nel senso di consentire quantomeno un </w:t>
      </w:r>
      <w:r w:rsidRPr="00DD6BA4">
        <w:rPr>
          <w:rFonts w:cstheme="minorHAnsi"/>
          <w:i/>
          <w:iCs/>
        </w:rPr>
        <w:t>two shot</w:t>
      </w:r>
      <w:r w:rsidRPr="00DD6BA4">
        <w:rPr>
          <w:rFonts w:cstheme="minorHAnsi"/>
        </w:rPr>
        <w:t xml:space="preserve">, cioè una seconda domanda, per recuperare una maggior margine temporale. E’ così altrettanto discutibile l’orientamento dell’Adunanza plenaria sul trasferimento </w:t>
      </w:r>
      <w:r w:rsidRPr="00AC47D4">
        <w:rPr>
          <w:rFonts w:cstheme="minorHAnsi"/>
          <w:i/>
          <w:iCs/>
        </w:rPr>
        <w:t>ex lege</w:t>
      </w:r>
      <w:r w:rsidRPr="00DD6BA4">
        <w:rPr>
          <w:rFonts w:cstheme="minorHAnsi"/>
        </w:rPr>
        <w:t xml:space="preserve"> della proprietà al Comune in caso di inottemperanza all’ordinanza di demolizione, che, ancora una volta, opta per una soluzione che toglie tempo procedimentale, nonostante non mancassero spazi, anche alla luce dei principi europei, per una soluzione diversa, pure espressa da pronunce rimaste isolate. </w:t>
      </w:r>
    </w:p>
    <w:p w14:paraId="10DD0316" w14:textId="77777777" w:rsidR="00DD6BA4" w:rsidRDefault="00DD6BA4" w:rsidP="00DD6BA4">
      <w:pPr>
        <w:spacing w:after="0"/>
        <w:jc w:val="both"/>
        <w:rPr>
          <w:rFonts w:cstheme="minorHAnsi"/>
        </w:rPr>
      </w:pPr>
      <w:r w:rsidRPr="00DD6BA4">
        <w:rPr>
          <w:rFonts w:cstheme="minorHAnsi"/>
        </w:rPr>
        <w:t xml:space="preserve">E ancora potrebbe evocarsi quante volte si risolvono in modo tranciante questioni di sanatoria rimettendo </w:t>
      </w:r>
      <w:r w:rsidRPr="004D0E1F">
        <w:rPr>
          <w:rFonts w:cstheme="minorHAnsi"/>
          <w:i/>
          <w:iCs/>
        </w:rPr>
        <w:t>in toto</w:t>
      </w:r>
      <w:r w:rsidRPr="00DD6BA4">
        <w:rPr>
          <w:rFonts w:cstheme="minorHAnsi"/>
        </w:rPr>
        <w:t xml:space="preserve"> l’onore probatorio al privato, in luogo di soluzioni più elastiche e più fedeli alla tradizione che, a partire dalla presenza di un principio di prova, possano indurre a vincolare l’amministrazione ad un maggior impegno istruttorio.</w:t>
      </w:r>
    </w:p>
    <w:p w14:paraId="32050DFF" w14:textId="717CFEC4" w:rsidR="0049512E" w:rsidRPr="0049512E" w:rsidRDefault="004C54D9" w:rsidP="0049512E">
      <w:pPr>
        <w:spacing w:after="0"/>
        <w:jc w:val="both"/>
        <w:rPr>
          <w:rFonts w:cstheme="minorHAnsi"/>
        </w:rPr>
      </w:pPr>
      <w:r w:rsidRPr="004C54D9">
        <w:rPr>
          <w:rFonts w:cstheme="minorHAnsi"/>
        </w:rPr>
        <w:t>Più in generale, in questa come in altre materie, e senza che ciò abbia nulla a che fare col dibattitto sulla giurisprudenza creativa nella giurisdizione ordinaria in ragione della diversità dei rispettivi percorsi storico-sistematici, occorre che il giudice amministrativo non si atteggi a giudice civile, come se il rapporto con la legge fosse il medesimo</w:t>
      </w:r>
      <w:r w:rsidR="009A67D4">
        <w:rPr>
          <w:rFonts w:cstheme="minorHAnsi"/>
        </w:rPr>
        <w:t xml:space="preserve"> e unico fosse il modello di giurisdizione</w:t>
      </w:r>
      <w:r w:rsidR="00D85EC4">
        <w:rPr>
          <w:rFonts w:cstheme="minorHAnsi"/>
        </w:rPr>
        <w:t>, né evocare l’art. 101 cost.</w:t>
      </w:r>
      <w:r w:rsidR="000F57F2">
        <w:rPr>
          <w:rFonts w:cstheme="minorHAnsi"/>
        </w:rPr>
        <w:t>,</w:t>
      </w:r>
      <w:r w:rsidR="000F57F2" w:rsidRPr="000F57F2">
        <w:t xml:space="preserve"> </w:t>
      </w:r>
      <w:r w:rsidR="000F57F2" w:rsidRPr="000F57F2">
        <w:rPr>
          <w:rFonts w:cstheme="minorHAnsi"/>
        </w:rPr>
        <w:t>se la carta fondamentale ha confermato il pluralismo giurisdizionale</w:t>
      </w:r>
      <w:r w:rsidR="000F57F2">
        <w:rPr>
          <w:rFonts w:cstheme="minorHAnsi"/>
        </w:rPr>
        <w:t>,</w:t>
      </w:r>
      <w:r w:rsidR="00D85EC4">
        <w:rPr>
          <w:rFonts w:cstheme="minorHAnsi"/>
        </w:rPr>
        <w:t xml:space="preserve"> significa che la sottoposizione alla legge non possa avere diverse modulazioni a seconda della particolarità delle varie giurisdizioni</w:t>
      </w:r>
      <w:bookmarkStart w:id="1" w:name="_Hlk193024913"/>
      <w:r w:rsidR="000F57F2">
        <w:rPr>
          <w:rFonts w:cstheme="minorHAnsi"/>
        </w:rPr>
        <w:t xml:space="preserve">: ben poco può così condividersi l’approccio, ad es., di </w:t>
      </w:r>
      <w:r w:rsidR="007A0D34">
        <w:rPr>
          <w:rFonts w:cstheme="minorHAnsi"/>
        </w:rPr>
        <w:t>Ad. pl. 1/2025</w:t>
      </w:r>
      <w:bookmarkEnd w:id="1"/>
      <w:r w:rsidR="00D85EC4">
        <w:rPr>
          <w:rFonts w:cstheme="minorHAnsi"/>
        </w:rPr>
        <w:t>. Occorre cioè che il giudice amministrativo</w:t>
      </w:r>
      <w:r w:rsidRPr="004C54D9">
        <w:rPr>
          <w:rFonts w:cstheme="minorHAnsi"/>
        </w:rPr>
        <w:t xml:space="preserve"> recuperi</w:t>
      </w:r>
      <w:bookmarkStart w:id="2" w:name="_Hlk193021063"/>
      <w:r>
        <w:rPr>
          <w:rFonts w:cstheme="minorHAnsi"/>
        </w:rPr>
        <w:t>, secondo la propria tradizione</w:t>
      </w:r>
      <w:bookmarkEnd w:id="2"/>
      <w:r>
        <w:rPr>
          <w:rFonts w:cstheme="minorHAnsi"/>
        </w:rPr>
        <w:t>,</w:t>
      </w:r>
      <w:r w:rsidRPr="004C54D9">
        <w:rPr>
          <w:rFonts w:cstheme="minorHAnsi"/>
        </w:rPr>
        <w:t xml:space="preserve"> importanti margini di elasticità anche nell’interpretazione delle norme, ricordando le sempre valide indicazioni dei nostri </w:t>
      </w:r>
      <w:r w:rsidRPr="004C54D9">
        <w:rPr>
          <w:rFonts w:cstheme="minorHAnsi"/>
          <w:i/>
          <w:iCs/>
        </w:rPr>
        <w:t>patres</w:t>
      </w:r>
      <w:r w:rsidRPr="004C54D9">
        <w:rPr>
          <w:rFonts w:cstheme="minorHAnsi"/>
        </w:rPr>
        <w:t>: “la più profonda differenza fra il diritto pubblico e il diritto privato: differenza che comincia con essere di metodo e finisce con essere di contenuto”, sta nel fatto che se “la trattazione di diritto privato non potrà mai separarsi dall’esame di quella determinata formula che è il testo di legge … Per il diritto pubblico invece, il famoso sillogismo … si presenta con un’importanza del tutto rovesciata” (</w:t>
      </w:r>
      <w:r w:rsidR="009A67D4">
        <w:rPr>
          <w:rFonts w:cstheme="minorHAnsi"/>
        </w:rPr>
        <w:t xml:space="preserve">V. E. </w:t>
      </w:r>
      <w:r w:rsidRPr="004C54D9">
        <w:rPr>
          <w:rFonts w:cstheme="minorHAnsi"/>
        </w:rPr>
        <w:t xml:space="preserve">Orlando, </w:t>
      </w:r>
      <w:r w:rsidRPr="004C54D9">
        <w:rPr>
          <w:rFonts w:cstheme="minorHAnsi"/>
          <w:i/>
          <w:iCs/>
        </w:rPr>
        <w:t>Note del 1925</w:t>
      </w:r>
      <w:r w:rsidR="009A67D4">
        <w:rPr>
          <w:rFonts w:cstheme="minorHAnsi"/>
        </w:rPr>
        <w:t xml:space="preserve">, </w:t>
      </w:r>
      <w:r w:rsidR="009A67D4" w:rsidRPr="009A67D4">
        <w:rPr>
          <w:rFonts w:cstheme="minorHAnsi"/>
        </w:rPr>
        <w:t xml:space="preserve">ma v. già </w:t>
      </w:r>
      <w:r w:rsidR="009A67D4" w:rsidRPr="009A67D4">
        <w:rPr>
          <w:rFonts w:cstheme="minorHAnsi"/>
          <w:i/>
          <w:iCs/>
        </w:rPr>
        <w:t>Trattato</w:t>
      </w:r>
      <w:r w:rsidR="009A67D4" w:rsidRPr="009A67D4">
        <w:rPr>
          <w:rFonts w:cstheme="minorHAnsi"/>
        </w:rPr>
        <w:t>, I, 1052</w:t>
      </w:r>
      <w:r w:rsidRPr="004C54D9">
        <w:rPr>
          <w:rFonts w:cstheme="minorHAnsi"/>
        </w:rPr>
        <w:t xml:space="preserve">); “non è un mistero per alcuno che la teorica relativa all’interpretazione delle leggi in generale sia stata sempre svolta da privatisti” e se i risultati “pur sono sufficienti pel diritto privato, non bastano senza dubbio pei bisogni del diritto pubblico”; così “allo spirito delle leggi … si deve molte volte accordare una considerazione maggiore di quella che occorrerebbe nel diritto privato”, tanto che il criterio dell’interpretazione letterale “deve intendersi, per dir come si dice, </w:t>
      </w:r>
      <w:r w:rsidRPr="004C54D9">
        <w:rPr>
          <w:rFonts w:cstheme="minorHAnsi"/>
          <w:i/>
          <w:iCs/>
        </w:rPr>
        <w:lastRenderedPageBreak/>
        <w:t>cum grano salis</w:t>
      </w:r>
      <w:r w:rsidRPr="004C54D9">
        <w:rPr>
          <w:rFonts w:cstheme="minorHAnsi"/>
        </w:rPr>
        <w:t xml:space="preserve">” (S. Romano, </w:t>
      </w:r>
      <w:r w:rsidRPr="004C54D9">
        <w:rPr>
          <w:rFonts w:cstheme="minorHAnsi"/>
          <w:i/>
          <w:iCs/>
        </w:rPr>
        <w:t>L’interpretazione delle leggi di diritto pubblico</w:t>
      </w:r>
      <w:r w:rsidRPr="004C54D9">
        <w:rPr>
          <w:rFonts w:cstheme="minorHAnsi"/>
        </w:rPr>
        <w:t xml:space="preserve">, 1899). </w:t>
      </w:r>
      <w:r w:rsidR="00DB6638">
        <w:rPr>
          <w:rFonts w:cstheme="minorHAnsi"/>
        </w:rPr>
        <w:t>Anche</w:t>
      </w:r>
      <w:r w:rsidRPr="004C54D9">
        <w:rPr>
          <w:rFonts w:cstheme="minorHAnsi"/>
        </w:rPr>
        <w:t xml:space="preserve"> i </w:t>
      </w:r>
      <w:r w:rsidRPr="004C54D9">
        <w:rPr>
          <w:rFonts w:cstheme="minorHAnsi"/>
          <w:i/>
          <w:iCs/>
        </w:rPr>
        <w:t>patres</w:t>
      </w:r>
      <w:r w:rsidRPr="004C54D9">
        <w:rPr>
          <w:rFonts w:cstheme="minorHAnsi"/>
        </w:rPr>
        <w:t xml:space="preserve"> della procedura civile non la vedevano diversamente: “l’efficacia e l’interpretazione delle norme di diritto pubblico e di diritto privato sono regolate da principii diversi” (Chiovenda, </w:t>
      </w:r>
      <w:r w:rsidRPr="004C54D9">
        <w:rPr>
          <w:rFonts w:cstheme="minorHAnsi"/>
          <w:i/>
          <w:iCs/>
        </w:rPr>
        <w:t>Principi di diritto processuale civile</w:t>
      </w:r>
      <w:r w:rsidRPr="004C54D9">
        <w:rPr>
          <w:rFonts w:cstheme="minorHAnsi"/>
        </w:rPr>
        <w:t>, 1923, 32).</w:t>
      </w:r>
      <w:r w:rsidR="0049512E">
        <w:rPr>
          <w:rFonts w:cstheme="minorHAnsi"/>
        </w:rPr>
        <w:t xml:space="preserve"> </w:t>
      </w:r>
      <w:bookmarkStart w:id="3" w:name="_Hlk193026170"/>
      <w:r w:rsidR="0049512E">
        <w:rPr>
          <w:rFonts w:cstheme="minorHAnsi"/>
        </w:rPr>
        <w:t xml:space="preserve">Ancora negli anni settanta del secolo scorso, riguardo all’attitudine pretoria del </w:t>
      </w:r>
      <w:r w:rsidR="0049512E" w:rsidRPr="0049512E">
        <w:rPr>
          <w:rFonts w:cstheme="minorHAnsi"/>
          <w:i/>
          <w:iCs/>
        </w:rPr>
        <w:t>Conseil d'État</w:t>
      </w:r>
      <w:r w:rsidR="0049512E" w:rsidRPr="0049512E">
        <w:rPr>
          <w:rFonts w:cstheme="minorHAnsi"/>
        </w:rPr>
        <w:t xml:space="preserve"> </w:t>
      </w:r>
      <w:r w:rsidR="0049512E">
        <w:rPr>
          <w:rFonts w:cstheme="minorHAnsi"/>
        </w:rPr>
        <w:t xml:space="preserve">e del nostro Consiglio di Stato, si osservava che </w:t>
      </w:r>
      <w:r w:rsidR="0049512E" w:rsidRPr="0049512E">
        <w:rPr>
          <w:rFonts w:cstheme="minorHAnsi"/>
        </w:rPr>
        <w:t>“l’opera di creazione è sollecitata e agevolata dalla maggior indipendenza</w:t>
      </w:r>
      <w:r w:rsidR="0049512E">
        <w:rPr>
          <w:rFonts w:cstheme="minorHAnsi"/>
        </w:rPr>
        <w:t xml:space="preserve"> </w:t>
      </w:r>
      <w:r w:rsidR="0049512E" w:rsidRPr="0049512E">
        <w:rPr>
          <w:rFonts w:cstheme="minorHAnsi"/>
        </w:rPr>
        <w:t>che, rispetto al giudice ordinario, il giudice amministrativo</w:t>
      </w:r>
      <w:r w:rsidR="0049512E">
        <w:rPr>
          <w:rFonts w:cstheme="minorHAnsi"/>
        </w:rPr>
        <w:t xml:space="preserve"> </w:t>
      </w:r>
      <w:r w:rsidR="0049512E" w:rsidRPr="0049512E">
        <w:rPr>
          <w:rFonts w:cstheme="minorHAnsi"/>
        </w:rPr>
        <w:t>ha rispetto alla norma scritta”, tanto che, grazie alla “conoscenza della</w:t>
      </w:r>
      <w:r w:rsidR="0049512E">
        <w:rPr>
          <w:rFonts w:cstheme="minorHAnsi"/>
        </w:rPr>
        <w:t xml:space="preserve"> </w:t>
      </w:r>
      <w:r w:rsidR="0049512E" w:rsidRPr="0049512E">
        <w:rPr>
          <w:rFonts w:cstheme="minorHAnsi"/>
        </w:rPr>
        <w:t>vita amministrativa”, “spesso il Conseil d’État – come il Consiglio</w:t>
      </w:r>
      <w:r w:rsidR="0049512E" w:rsidRPr="0049512E">
        <w:t xml:space="preserve"> </w:t>
      </w:r>
      <w:r w:rsidR="0049512E" w:rsidRPr="0049512E">
        <w:rPr>
          <w:rFonts w:cstheme="minorHAnsi"/>
        </w:rPr>
        <w:t>di Stato- sente di saperne di più del legislatore circa la materia regolata</w:t>
      </w:r>
      <w:r w:rsidR="0049512E">
        <w:rPr>
          <w:rFonts w:cstheme="minorHAnsi"/>
        </w:rPr>
        <w:t xml:space="preserve"> </w:t>
      </w:r>
      <w:r w:rsidR="0049512E" w:rsidRPr="0049512E">
        <w:rPr>
          <w:rFonts w:cstheme="minorHAnsi"/>
        </w:rPr>
        <w:t>e non ha quindi alcun timore riverenziale di fronte alla norma scritta”,</w:t>
      </w:r>
      <w:r w:rsidR="0049512E">
        <w:rPr>
          <w:rFonts w:cstheme="minorHAnsi"/>
        </w:rPr>
        <w:t xml:space="preserve"> </w:t>
      </w:r>
      <w:r w:rsidR="0049512E" w:rsidRPr="0049512E">
        <w:rPr>
          <w:rFonts w:cstheme="minorHAnsi"/>
        </w:rPr>
        <w:t>sino a potersi parlare di una “funzione quasi legislativa” o di un</w:t>
      </w:r>
      <w:r w:rsidR="0049512E">
        <w:rPr>
          <w:rFonts w:cstheme="minorHAnsi"/>
        </w:rPr>
        <w:t xml:space="preserve"> </w:t>
      </w:r>
      <w:r w:rsidR="0049512E" w:rsidRPr="0049512E">
        <w:rPr>
          <w:rFonts w:cstheme="minorHAnsi"/>
        </w:rPr>
        <w:t>“compito paralegislativo”</w:t>
      </w:r>
      <w:r w:rsidR="0049512E">
        <w:rPr>
          <w:rFonts w:cstheme="minorHAnsi"/>
        </w:rPr>
        <w:t xml:space="preserve"> (M. Nigro,</w:t>
      </w:r>
      <w:r w:rsidR="0049512E" w:rsidRPr="0049512E">
        <w:t xml:space="preserve"> </w:t>
      </w:r>
      <w:r w:rsidR="0049512E" w:rsidRPr="0049512E">
        <w:rPr>
          <w:i/>
          <w:iCs/>
        </w:rPr>
        <w:t>I</w:t>
      </w:r>
      <w:r w:rsidR="0049512E" w:rsidRPr="0049512E">
        <w:rPr>
          <w:rFonts w:cstheme="minorHAnsi"/>
          <w:i/>
          <w:iCs/>
        </w:rPr>
        <w:t>l Consiglio di Stato giudice e amministratore (aspetti di effettività dell’organo)</w:t>
      </w:r>
      <w:r w:rsidR="0049512E" w:rsidRPr="0049512E">
        <w:rPr>
          <w:rFonts w:cstheme="minorHAnsi"/>
        </w:rPr>
        <w:t xml:space="preserve">, in </w:t>
      </w:r>
      <w:r w:rsidR="0049512E" w:rsidRPr="0049512E">
        <w:rPr>
          <w:rFonts w:cstheme="minorHAnsi"/>
          <w:i/>
          <w:iCs/>
        </w:rPr>
        <w:t>Riv. trim. dir. e proc. civ</w:t>
      </w:r>
      <w:r w:rsidR="0049512E" w:rsidRPr="0049512E">
        <w:rPr>
          <w:rFonts w:cstheme="minorHAnsi"/>
        </w:rPr>
        <w:t xml:space="preserve">., 1974, 1371 ss., </w:t>
      </w:r>
      <w:r w:rsidR="0049512E" w:rsidRPr="0049512E">
        <w:rPr>
          <w:rFonts w:cstheme="minorHAnsi"/>
          <w:i/>
          <w:iCs/>
        </w:rPr>
        <w:t>passim</w:t>
      </w:r>
      <w:r w:rsidR="0049512E">
        <w:rPr>
          <w:rFonts w:cstheme="minorHAnsi"/>
        </w:rPr>
        <w:t xml:space="preserve">). </w:t>
      </w:r>
      <w:bookmarkEnd w:id="3"/>
      <w:r w:rsidR="00B27A5B" w:rsidRPr="00B27A5B">
        <w:rPr>
          <w:rFonts w:cstheme="minorHAnsi"/>
        </w:rPr>
        <w:t>E non ci pare che le profonde e forse dimenticate ragioni di questa attitudine</w:t>
      </w:r>
      <w:r w:rsidR="00020181">
        <w:rPr>
          <w:rFonts w:cstheme="minorHAnsi"/>
        </w:rPr>
        <w:t xml:space="preserve"> della giustizia amministrativa</w:t>
      </w:r>
      <w:r w:rsidR="00B27A5B" w:rsidRPr="00B27A5B">
        <w:rPr>
          <w:rFonts w:cstheme="minorHAnsi"/>
        </w:rPr>
        <w:t xml:space="preserve"> di fronte alla norma scritta possano essere venute meno per il sol fa</w:t>
      </w:r>
      <w:r w:rsidR="00B27A5B">
        <w:rPr>
          <w:rFonts w:cstheme="minorHAnsi"/>
        </w:rPr>
        <w:t>t</w:t>
      </w:r>
      <w:r w:rsidR="00B27A5B" w:rsidRPr="00B27A5B">
        <w:rPr>
          <w:rFonts w:cstheme="minorHAnsi"/>
        </w:rPr>
        <w:t>to che in questi ultimi decenni il legislatore si è (e, a nostro avviso, inopportunamente) ingerito nella parte generale, sostanziale e processuale</w:t>
      </w:r>
      <w:r w:rsidR="00DB6638">
        <w:rPr>
          <w:rFonts w:cstheme="minorHAnsi"/>
        </w:rPr>
        <w:t xml:space="preserve"> (</w:t>
      </w:r>
      <w:r w:rsidR="00DB6638" w:rsidRPr="00DB6638">
        <w:rPr>
          <w:rFonts w:cstheme="minorHAnsi"/>
        </w:rPr>
        <w:t xml:space="preserve">da ult. si rinvia al nostro </w:t>
      </w:r>
      <w:r w:rsidR="00DB6638" w:rsidRPr="00DB6638">
        <w:rPr>
          <w:rFonts w:cstheme="minorHAnsi"/>
          <w:i/>
          <w:iCs/>
        </w:rPr>
        <w:t>Il confronto con la dottrina classica</w:t>
      </w:r>
      <w:r w:rsidR="00DB6638" w:rsidRPr="00DB6638">
        <w:rPr>
          <w:rFonts w:cstheme="minorHAnsi"/>
        </w:rPr>
        <w:t xml:space="preserve">, in </w:t>
      </w:r>
      <w:r w:rsidR="00DB6638" w:rsidRPr="00DB6638">
        <w:rPr>
          <w:rFonts w:cstheme="minorHAnsi"/>
          <w:i/>
          <w:iCs/>
        </w:rPr>
        <w:t>Il confronto nel metodo giuridico</w:t>
      </w:r>
      <w:r w:rsidR="00DB6638" w:rsidRPr="00DB6638">
        <w:rPr>
          <w:rFonts w:cstheme="minorHAnsi"/>
        </w:rPr>
        <w:t>, Napoli, 2023, 21 ss.)</w:t>
      </w:r>
      <w:r w:rsidR="00DB6638">
        <w:rPr>
          <w:rFonts w:cstheme="minorHAnsi"/>
        </w:rPr>
        <w:t>.</w:t>
      </w:r>
    </w:p>
    <w:p w14:paraId="12DDBA0D" w14:textId="77777777" w:rsidR="00FB68A6" w:rsidRDefault="00DD6BA4" w:rsidP="00DD6BA4">
      <w:pPr>
        <w:spacing w:after="0"/>
        <w:jc w:val="both"/>
        <w:rPr>
          <w:rFonts w:cstheme="minorHAnsi"/>
        </w:rPr>
      </w:pPr>
      <w:r w:rsidRPr="00DD6BA4">
        <w:rPr>
          <w:rFonts w:cstheme="minorHAnsi"/>
        </w:rPr>
        <w:t xml:space="preserve">Già questo insieme di indicazioni potrebbe far guadagnare </w:t>
      </w:r>
      <w:r w:rsidR="007C1A36">
        <w:rPr>
          <w:rFonts w:cstheme="minorHAnsi"/>
        </w:rPr>
        <w:t>spazi</w:t>
      </w:r>
      <w:r w:rsidRPr="00DD6BA4">
        <w:rPr>
          <w:rFonts w:cstheme="minorHAnsi"/>
        </w:rPr>
        <w:t xml:space="preserve"> significativi di progressivo riequilibrio del sistema.</w:t>
      </w:r>
      <w:r w:rsidR="00FB68A6">
        <w:rPr>
          <w:rFonts w:cstheme="minorHAnsi"/>
        </w:rPr>
        <w:t xml:space="preserve"> </w:t>
      </w:r>
    </w:p>
    <w:p w14:paraId="7829F66D" w14:textId="69C3AD56" w:rsidR="000D68A8" w:rsidRDefault="00DD6BA4" w:rsidP="00DD6BA4">
      <w:pPr>
        <w:spacing w:after="0"/>
        <w:jc w:val="both"/>
        <w:rPr>
          <w:rFonts w:cstheme="minorHAnsi"/>
        </w:rPr>
      </w:pPr>
      <w:r w:rsidRPr="00DD6BA4">
        <w:rPr>
          <w:rFonts w:cstheme="minorHAnsi"/>
        </w:rPr>
        <w:t>Ma non è infine neanche da escludere che possano esservi oggi i presupposti per un nuovo condono straordinario. Gli orientamenti della giurisprudenza costituzionale non sono invero così preclusivi. I moniti sulla reitera</w:t>
      </w:r>
      <w:r>
        <w:rPr>
          <w:rFonts w:cstheme="minorHAnsi"/>
        </w:rPr>
        <w:t>z</w:t>
      </w:r>
      <w:r w:rsidRPr="00DD6BA4">
        <w:rPr>
          <w:rFonts w:cstheme="minorHAnsi"/>
        </w:rPr>
        <w:t>ione dei condon</w:t>
      </w:r>
      <w:r>
        <w:rPr>
          <w:rFonts w:cstheme="minorHAnsi"/>
        </w:rPr>
        <w:t>i</w:t>
      </w:r>
      <w:r w:rsidRPr="00DD6BA4">
        <w:rPr>
          <w:rFonts w:cstheme="minorHAnsi"/>
        </w:rPr>
        <w:t xml:space="preserve"> “non implicano l'illegittimità costi</w:t>
      </w:r>
      <w:r>
        <w:rPr>
          <w:rFonts w:cstheme="minorHAnsi"/>
        </w:rPr>
        <w:t>t</w:t>
      </w:r>
      <w:r w:rsidRPr="00DD6BA4">
        <w:rPr>
          <w:rFonts w:cstheme="minorHAnsi"/>
        </w:rPr>
        <w:t xml:space="preserve">uzionale di ogni tipo di condono edilizio straordinario, mai affermata da questa Corte. Piuttosto, occorre uno stretto esame di costituzionalità del testo legislativo che preveda un nuovo condono edilizio, al fine di individuare un ragionevole fondamento, nonché elementi di discontinuità rispetto ai precedenti condoni edilizi, in modo da evitare l'obiezione secondo cui si sarebbe in realtà prodotto un vero e proprio ordinamento legislativo stabile, diverso e contrapposto a quello ordinario” (C. cost. n. 196/2003). Il punto più ostico e di incerta stringenza è quello della discontinuità nella reiterazione. Intanto, se nel terzo condono si è dato luogo ad un restringimento della sanatoria rispetto al precedente, non sembra interdirsi che la discontinuità possa invece tradursi in un allargamento. A ragionare diversamente, </w:t>
      </w:r>
      <w:r w:rsidR="004D0E1F">
        <w:rPr>
          <w:rFonts w:cstheme="minorHAnsi"/>
        </w:rPr>
        <w:t>ossìa</w:t>
      </w:r>
      <w:r w:rsidRPr="00DD6BA4">
        <w:rPr>
          <w:rFonts w:cstheme="minorHAnsi"/>
        </w:rPr>
        <w:t xml:space="preserve"> che la discontinuità possa essere solo restringente, si finirebbe via via per togliere ogni spazio alla possibilità di un condono, al suo stesso </w:t>
      </w:r>
      <w:r w:rsidRPr="004D0E1F">
        <w:rPr>
          <w:rFonts w:cstheme="minorHAnsi"/>
          <w:i/>
          <w:iCs/>
        </w:rPr>
        <w:t>an</w:t>
      </w:r>
      <w:r w:rsidRPr="00DD6BA4">
        <w:rPr>
          <w:rFonts w:cstheme="minorHAnsi"/>
        </w:rPr>
        <w:t xml:space="preserve">, contraddicendo il primo assunto del giudice costituzionale. Ma più in generale deve osservarsi che il tema della discontinuità non possa assolutizzarsi, nel senso, quantomeno, che trascorso un apprezzabile lasso di tempo, le valutazioni debbano necessariamente rieffettuarsi </w:t>
      </w:r>
      <w:r w:rsidRPr="00DD6BA4">
        <w:rPr>
          <w:rFonts w:cstheme="minorHAnsi"/>
          <w:i/>
          <w:iCs/>
        </w:rPr>
        <w:t>ex novo</w:t>
      </w:r>
      <w:r w:rsidRPr="00DD6BA4">
        <w:rPr>
          <w:rFonts w:cstheme="minorHAnsi"/>
        </w:rPr>
        <w:t xml:space="preserve"> alla luce dell’evolversi del fatto e dell’esistenza o meno di un “ragionevole fondamento”</w:t>
      </w:r>
      <w:bookmarkStart w:id="4" w:name="_Hlk192944316"/>
      <w:r w:rsidR="00857BBF">
        <w:rPr>
          <w:rFonts w:cstheme="minorHAnsi"/>
        </w:rPr>
        <w:t>, mentre un eccessivo cristalizzarsi del parametro della discontinuità potrebbe infine risolversi nella irragionevolezza.</w:t>
      </w:r>
    </w:p>
    <w:p w14:paraId="702F30BD" w14:textId="77777777" w:rsidR="00595201" w:rsidRDefault="00595201" w:rsidP="00DD6BA4">
      <w:pPr>
        <w:spacing w:after="0"/>
        <w:jc w:val="both"/>
        <w:rPr>
          <w:rFonts w:cstheme="minorHAnsi"/>
        </w:rPr>
      </w:pPr>
    </w:p>
    <w:p w14:paraId="651864F6" w14:textId="219AF4E8" w:rsidR="00595201" w:rsidRPr="00595201" w:rsidRDefault="00595201" w:rsidP="00595201">
      <w:pPr>
        <w:spacing w:after="0"/>
        <w:jc w:val="both"/>
        <w:rPr>
          <w:rFonts w:cstheme="minorHAnsi"/>
        </w:rPr>
      </w:pPr>
      <w:r w:rsidRPr="00595201">
        <w:rPr>
          <w:rFonts w:cstheme="minorHAnsi"/>
        </w:rPr>
        <w:t>6. Quanto si è andato dicendo non è certamente volto a depotenziare il vincolo giuridico, ben al contrario, ciò cui si mira è rendere questo vincolo effettivo, il che ci pare possib</w:t>
      </w:r>
      <w:r>
        <w:rPr>
          <w:rFonts w:cstheme="minorHAnsi"/>
        </w:rPr>
        <w:t>i</w:t>
      </w:r>
      <w:r w:rsidRPr="00595201">
        <w:rPr>
          <w:rFonts w:cstheme="minorHAnsi"/>
        </w:rPr>
        <w:t xml:space="preserve">le soltanto iniettando una dose significativa di realismo. Certo il diritto deve anche governare la realtà e reprimere </w:t>
      </w:r>
      <w:r w:rsidR="00510448">
        <w:rPr>
          <w:rFonts w:cstheme="minorHAnsi"/>
        </w:rPr>
        <w:t>i</w:t>
      </w:r>
      <w:r w:rsidRPr="00595201">
        <w:rPr>
          <w:rFonts w:cstheme="minorHAnsi"/>
        </w:rPr>
        <w:t xml:space="preserve"> comportamenti illeciti, ma un ordinamento, ove di determini un eccessivo e duraturo distacco tra il dover essere e il fatto, è destinato a divenire un fantasma inconcludente e foriero di esiti imprevedibili.</w:t>
      </w:r>
    </w:p>
    <w:p w14:paraId="73E62D98" w14:textId="082BD902" w:rsidR="00595201" w:rsidRPr="00595201" w:rsidRDefault="00595201" w:rsidP="00595201">
      <w:pPr>
        <w:spacing w:after="0"/>
        <w:jc w:val="both"/>
        <w:rPr>
          <w:rFonts w:cstheme="minorHAnsi"/>
        </w:rPr>
      </w:pPr>
      <w:r w:rsidRPr="00595201">
        <w:rPr>
          <w:rFonts w:cstheme="minorHAnsi"/>
        </w:rPr>
        <w:t>In questa materia è forse anche venuto il momento di rimettere in discussione il mito pianificatorio ereditato dalla cultura urbanistica novecentesca, che non ha certamente dato buona prova di sé, e andare alla ricerca di nuovi paradigmi.</w:t>
      </w:r>
    </w:p>
    <w:p w14:paraId="097B8170" w14:textId="63BC3115" w:rsidR="00595201" w:rsidRPr="000D68A8" w:rsidRDefault="00595201" w:rsidP="00DD6BA4">
      <w:pPr>
        <w:spacing w:after="0"/>
        <w:jc w:val="both"/>
        <w:rPr>
          <w:rFonts w:cstheme="minorHAnsi"/>
        </w:rPr>
      </w:pPr>
      <w:r w:rsidRPr="00595201">
        <w:rPr>
          <w:rFonts w:cstheme="minorHAnsi"/>
        </w:rPr>
        <w:t xml:space="preserve">Concludiamo con una battuta, che vuole soltanto essere provocatoria, parafrasando una battuta contenuta nella </w:t>
      </w:r>
      <w:r w:rsidRPr="001721A4">
        <w:rPr>
          <w:rFonts w:cstheme="minorHAnsi"/>
          <w:i/>
          <w:iCs/>
        </w:rPr>
        <w:t>Politica</w:t>
      </w:r>
      <w:r w:rsidRPr="00595201">
        <w:rPr>
          <w:rFonts w:cstheme="minorHAnsi"/>
        </w:rPr>
        <w:t xml:space="preserve"> di Aristotele: “la casa non appartiene solo al costruttore”, o, aggiungeremmo, al pianificatore “di valutarla ma la giudicherà meglio chi l'usa (e l'usa il capo di famiglia)”.</w:t>
      </w:r>
    </w:p>
    <w:bookmarkEnd w:id="4"/>
    <w:p w14:paraId="17DBC86F" w14:textId="460AA1DE" w:rsidR="00C627FE" w:rsidRPr="004C202F" w:rsidRDefault="004C202F" w:rsidP="004C202F">
      <w:pPr>
        <w:tabs>
          <w:tab w:val="left" w:pos="2211"/>
        </w:tabs>
        <w:spacing w:after="0"/>
        <w:jc w:val="center"/>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sidR="000D68A8" w:rsidRPr="000D68A8">
        <w:rPr>
          <w:rFonts w:cstheme="minorHAnsi"/>
          <w:b/>
          <w:sz w:val="28"/>
          <w:szCs w:val="28"/>
        </w:rPr>
        <w:t>Marco Mazzamuto</w:t>
      </w:r>
      <w:r>
        <w:rPr>
          <w:rFonts w:cstheme="minorHAnsi"/>
          <w:b/>
          <w:sz w:val="28"/>
          <w:szCs w:val="28"/>
        </w:rPr>
        <w:t xml:space="preserve"> </w:t>
      </w:r>
      <w:r>
        <w:rPr>
          <w:rFonts w:cstheme="minorHAnsi"/>
        </w:rPr>
        <w:t>(Università</w:t>
      </w:r>
      <w:r w:rsidR="000D68A8" w:rsidRPr="000D68A8">
        <w:rPr>
          <w:rFonts w:cstheme="minorHAnsi"/>
        </w:rPr>
        <w:t xml:space="preserve"> degli studi di Palermo</w:t>
      </w:r>
      <w:r>
        <w:rPr>
          <w:rFonts w:cstheme="minorHAnsi"/>
          <w:b/>
          <w:sz w:val="28"/>
          <w:szCs w:val="28"/>
        </w:rPr>
        <w:t>)</w:t>
      </w:r>
    </w:p>
    <w:p w14:paraId="28F5C30F" w14:textId="20F0A41B" w:rsidR="001D32EA" w:rsidRPr="000D68A8" w:rsidRDefault="00AE6937" w:rsidP="004C202F">
      <w:pPr>
        <w:tabs>
          <w:tab w:val="left" w:pos="2211"/>
        </w:tabs>
        <w:spacing w:after="0"/>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627FE">
        <w:rPr>
          <w:rFonts w:cstheme="minorHAnsi"/>
        </w:rPr>
        <w:t xml:space="preserve">Pubblicato il </w:t>
      </w:r>
    </w:p>
    <w:sectPr w:rsidR="001D32EA" w:rsidRPr="000D68A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C077" w14:textId="77777777" w:rsidR="00D83517" w:rsidRDefault="00D83517" w:rsidP="00761542">
      <w:pPr>
        <w:spacing w:after="0" w:line="240" w:lineRule="auto"/>
      </w:pPr>
      <w:r>
        <w:separator/>
      </w:r>
    </w:p>
  </w:endnote>
  <w:endnote w:type="continuationSeparator" w:id="0">
    <w:p w14:paraId="14C153CD" w14:textId="77777777" w:rsidR="00D83517" w:rsidRDefault="00D83517" w:rsidP="0076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179210"/>
      <w:docPartObj>
        <w:docPartGallery w:val="Page Numbers (Bottom of Page)"/>
        <w:docPartUnique/>
      </w:docPartObj>
    </w:sdtPr>
    <w:sdtContent>
      <w:p w14:paraId="7E1FFD44" w14:textId="77777777" w:rsidR="000105B2" w:rsidRDefault="000105B2">
        <w:pPr>
          <w:pStyle w:val="Pidipagina"/>
          <w:jc w:val="right"/>
        </w:pPr>
        <w:r>
          <w:fldChar w:fldCharType="begin"/>
        </w:r>
        <w:r>
          <w:instrText>PAGE   \* MERGEFORMAT</w:instrText>
        </w:r>
        <w:r>
          <w:fldChar w:fldCharType="separate"/>
        </w:r>
        <w:r w:rsidR="00C627FE">
          <w:rPr>
            <w:noProof/>
          </w:rPr>
          <w:t>5</w:t>
        </w:r>
        <w:r>
          <w:fldChar w:fldCharType="end"/>
        </w:r>
      </w:p>
    </w:sdtContent>
  </w:sdt>
  <w:p w14:paraId="2C440D52" w14:textId="77777777" w:rsidR="000105B2" w:rsidRDefault="000105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83B0" w14:textId="77777777" w:rsidR="00D83517" w:rsidRDefault="00D83517" w:rsidP="00761542">
      <w:pPr>
        <w:spacing w:after="0" w:line="240" w:lineRule="auto"/>
      </w:pPr>
      <w:r>
        <w:separator/>
      </w:r>
    </w:p>
  </w:footnote>
  <w:footnote w:type="continuationSeparator" w:id="0">
    <w:p w14:paraId="79C2511A" w14:textId="77777777" w:rsidR="00D83517" w:rsidRDefault="00D83517" w:rsidP="00761542">
      <w:pPr>
        <w:spacing w:after="0" w:line="240" w:lineRule="auto"/>
      </w:pPr>
      <w:r>
        <w:continuationSeparator/>
      </w:r>
    </w:p>
  </w:footnote>
  <w:footnote w:id="1">
    <w:p w14:paraId="22BBDD30" w14:textId="6C37B989" w:rsidR="003B09E5" w:rsidRDefault="003B09E5" w:rsidP="003B09E5">
      <w:pPr>
        <w:pStyle w:val="Testonotaapidipagina"/>
        <w:jc w:val="both"/>
      </w:pPr>
      <w:r w:rsidRPr="003B09E5">
        <w:rPr>
          <w:rStyle w:val="Rimandonotaapidipagina"/>
        </w:rPr>
        <w:sym w:font="Symbol" w:char="F02A"/>
      </w:r>
      <w:r>
        <w:t xml:space="preserve"> </w:t>
      </w:r>
      <w:r w:rsidRPr="00A21FB3">
        <w:t xml:space="preserve">Il presente contributo prende spunto da una relazione dal titolo </w:t>
      </w:r>
      <w:r w:rsidRPr="00A21FB3">
        <w:rPr>
          <w:i/>
          <w:iCs/>
        </w:rPr>
        <w:t>Potere pubblico e ius aedificandi, L’equilibrio del sistema</w:t>
      </w:r>
      <w:r w:rsidRPr="00A21FB3">
        <w:t>, assegnat</w:t>
      </w:r>
      <w:r w:rsidR="00E425DE">
        <w:t>a</w:t>
      </w:r>
      <w:r w:rsidRPr="00A21FB3">
        <w:t xml:space="preserve">mi nell’ambito del Convegno </w:t>
      </w:r>
      <w:r w:rsidRPr="00A21FB3">
        <w:rPr>
          <w:i/>
          <w:iCs/>
        </w:rPr>
        <w:t>La semplificazione edilizia e urbanistica tra oneri amministrativi ed esi-genze di tutela del territorio</w:t>
      </w:r>
      <w:r w:rsidRPr="00A21FB3">
        <w:t>, Palermo, 28 e 29 novembre 202</w:t>
      </w:r>
      <w:r>
        <w:t xml:space="preserve">, ed è </w:t>
      </w:r>
      <w:r w:rsidR="000F7BE4">
        <w:t xml:space="preserve">anche </w:t>
      </w:r>
      <w:r>
        <w:t>destinato agli scritti</w:t>
      </w:r>
      <w:r w:rsidRPr="00A21FB3">
        <w:t xml:space="preserve"> in onore </w:t>
      </w:r>
      <w:r>
        <w:t xml:space="preserve">di </w:t>
      </w:r>
      <w:r w:rsidRPr="00A21FB3">
        <w:t>Alfredo Contieri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C7852"/>
    <w:multiLevelType w:val="hybridMultilevel"/>
    <w:tmpl w:val="12349E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66C3BCE"/>
    <w:multiLevelType w:val="hybridMultilevel"/>
    <w:tmpl w:val="67BC02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5629D2"/>
    <w:multiLevelType w:val="hybridMultilevel"/>
    <w:tmpl w:val="713A5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2613118">
    <w:abstractNumId w:val="2"/>
  </w:num>
  <w:num w:numId="2" w16cid:durableId="660935939">
    <w:abstractNumId w:val="0"/>
  </w:num>
  <w:num w:numId="3" w16cid:durableId="143420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E6"/>
    <w:rsid w:val="000105B2"/>
    <w:rsid w:val="00020181"/>
    <w:rsid w:val="00024418"/>
    <w:rsid w:val="00060639"/>
    <w:rsid w:val="000B250A"/>
    <w:rsid w:val="000D68A8"/>
    <w:rsid w:val="000F2A83"/>
    <w:rsid w:val="000F57F2"/>
    <w:rsid w:val="000F7BE4"/>
    <w:rsid w:val="00120AE6"/>
    <w:rsid w:val="00141762"/>
    <w:rsid w:val="00166426"/>
    <w:rsid w:val="001721A4"/>
    <w:rsid w:val="00181072"/>
    <w:rsid w:val="001825D4"/>
    <w:rsid w:val="001B3E8A"/>
    <w:rsid w:val="001C0CC1"/>
    <w:rsid w:val="001D32EA"/>
    <w:rsid w:val="00226FCF"/>
    <w:rsid w:val="00261B1D"/>
    <w:rsid w:val="0028297D"/>
    <w:rsid w:val="0028426C"/>
    <w:rsid w:val="00287723"/>
    <w:rsid w:val="00297E6C"/>
    <w:rsid w:val="002B62BF"/>
    <w:rsid w:val="002C35B8"/>
    <w:rsid w:val="002C5EBF"/>
    <w:rsid w:val="003120C5"/>
    <w:rsid w:val="003203FD"/>
    <w:rsid w:val="00324B8D"/>
    <w:rsid w:val="00366C30"/>
    <w:rsid w:val="00380435"/>
    <w:rsid w:val="00397D30"/>
    <w:rsid w:val="003B09E5"/>
    <w:rsid w:val="003C4497"/>
    <w:rsid w:val="003D4504"/>
    <w:rsid w:val="003D5860"/>
    <w:rsid w:val="004101BC"/>
    <w:rsid w:val="004135C6"/>
    <w:rsid w:val="00446397"/>
    <w:rsid w:val="00451C91"/>
    <w:rsid w:val="0049512E"/>
    <w:rsid w:val="004B0DD0"/>
    <w:rsid w:val="004C202F"/>
    <w:rsid w:val="004C54D9"/>
    <w:rsid w:val="004D0E1F"/>
    <w:rsid w:val="004E37F3"/>
    <w:rsid w:val="00510448"/>
    <w:rsid w:val="00551135"/>
    <w:rsid w:val="0055264E"/>
    <w:rsid w:val="00595201"/>
    <w:rsid w:val="005F37F4"/>
    <w:rsid w:val="005F4CCD"/>
    <w:rsid w:val="006916E7"/>
    <w:rsid w:val="00697089"/>
    <w:rsid w:val="006A04A6"/>
    <w:rsid w:val="006A4F20"/>
    <w:rsid w:val="006B603E"/>
    <w:rsid w:val="007401C6"/>
    <w:rsid w:val="007549DC"/>
    <w:rsid w:val="00761542"/>
    <w:rsid w:val="00762D40"/>
    <w:rsid w:val="00764E44"/>
    <w:rsid w:val="007A0D34"/>
    <w:rsid w:val="007A15FF"/>
    <w:rsid w:val="007C1A36"/>
    <w:rsid w:val="007F17EC"/>
    <w:rsid w:val="00832B9E"/>
    <w:rsid w:val="00833BBA"/>
    <w:rsid w:val="00857BBF"/>
    <w:rsid w:val="008736D5"/>
    <w:rsid w:val="008743A6"/>
    <w:rsid w:val="008806F6"/>
    <w:rsid w:val="008B592A"/>
    <w:rsid w:val="008B7D0B"/>
    <w:rsid w:val="008D1530"/>
    <w:rsid w:val="00917550"/>
    <w:rsid w:val="009419A0"/>
    <w:rsid w:val="00950E9A"/>
    <w:rsid w:val="009575CC"/>
    <w:rsid w:val="00964A0D"/>
    <w:rsid w:val="0096729F"/>
    <w:rsid w:val="00991A72"/>
    <w:rsid w:val="009A5337"/>
    <w:rsid w:val="009A67D4"/>
    <w:rsid w:val="009B0FCD"/>
    <w:rsid w:val="009D0DF4"/>
    <w:rsid w:val="009F79C2"/>
    <w:rsid w:val="00A21FB3"/>
    <w:rsid w:val="00A25B23"/>
    <w:rsid w:val="00A50F44"/>
    <w:rsid w:val="00A530C4"/>
    <w:rsid w:val="00A646F1"/>
    <w:rsid w:val="00A83270"/>
    <w:rsid w:val="00AB4DEF"/>
    <w:rsid w:val="00AC2603"/>
    <w:rsid w:val="00AC47D4"/>
    <w:rsid w:val="00AE337B"/>
    <w:rsid w:val="00AE4E8A"/>
    <w:rsid w:val="00AE6937"/>
    <w:rsid w:val="00B02323"/>
    <w:rsid w:val="00B27A5B"/>
    <w:rsid w:val="00B54C86"/>
    <w:rsid w:val="00B631D9"/>
    <w:rsid w:val="00B85275"/>
    <w:rsid w:val="00B954C1"/>
    <w:rsid w:val="00BA1ACF"/>
    <w:rsid w:val="00BB39FB"/>
    <w:rsid w:val="00BB48DB"/>
    <w:rsid w:val="00BB6B3C"/>
    <w:rsid w:val="00BE0E97"/>
    <w:rsid w:val="00BE1469"/>
    <w:rsid w:val="00BE3202"/>
    <w:rsid w:val="00C2439F"/>
    <w:rsid w:val="00C32763"/>
    <w:rsid w:val="00C411A9"/>
    <w:rsid w:val="00C51FF0"/>
    <w:rsid w:val="00C5257C"/>
    <w:rsid w:val="00C54069"/>
    <w:rsid w:val="00C627FE"/>
    <w:rsid w:val="00C67835"/>
    <w:rsid w:val="00C724C1"/>
    <w:rsid w:val="00C76E14"/>
    <w:rsid w:val="00C844FD"/>
    <w:rsid w:val="00CA157F"/>
    <w:rsid w:val="00CA68AC"/>
    <w:rsid w:val="00CC3F61"/>
    <w:rsid w:val="00CF616E"/>
    <w:rsid w:val="00D0187E"/>
    <w:rsid w:val="00D163C1"/>
    <w:rsid w:val="00D36B43"/>
    <w:rsid w:val="00D44656"/>
    <w:rsid w:val="00D516C9"/>
    <w:rsid w:val="00D63E5E"/>
    <w:rsid w:val="00D663DC"/>
    <w:rsid w:val="00D83517"/>
    <w:rsid w:val="00D85EC4"/>
    <w:rsid w:val="00DB6638"/>
    <w:rsid w:val="00DC71BC"/>
    <w:rsid w:val="00DD6BA4"/>
    <w:rsid w:val="00DD7270"/>
    <w:rsid w:val="00DF45F0"/>
    <w:rsid w:val="00E019FE"/>
    <w:rsid w:val="00E11CDF"/>
    <w:rsid w:val="00E425DE"/>
    <w:rsid w:val="00E71F96"/>
    <w:rsid w:val="00E82E7D"/>
    <w:rsid w:val="00E9211F"/>
    <w:rsid w:val="00E94B0D"/>
    <w:rsid w:val="00EA063F"/>
    <w:rsid w:val="00EB1DD5"/>
    <w:rsid w:val="00EB33E0"/>
    <w:rsid w:val="00EC07A9"/>
    <w:rsid w:val="00EC23A1"/>
    <w:rsid w:val="00ED3946"/>
    <w:rsid w:val="00EE62F0"/>
    <w:rsid w:val="00F050FE"/>
    <w:rsid w:val="00F748BB"/>
    <w:rsid w:val="00FA1D0D"/>
    <w:rsid w:val="00FB68A6"/>
    <w:rsid w:val="00FC16FF"/>
    <w:rsid w:val="00FC3E0E"/>
    <w:rsid w:val="00FD4F3F"/>
    <w:rsid w:val="00FE5D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2CA2"/>
  <w15:chartTrackingRefBased/>
  <w15:docId w15:val="{9DFF43E7-5A7F-450E-B9C7-F43DFCAC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0AE6"/>
    <w:pPr>
      <w:ind w:left="720"/>
      <w:contextualSpacing/>
    </w:pPr>
  </w:style>
  <w:style w:type="paragraph" w:styleId="Testonotaapidipagina">
    <w:name w:val="footnote text"/>
    <w:basedOn w:val="Normale"/>
    <w:link w:val="TestonotaapidipaginaCarattere"/>
    <w:uiPriority w:val="99"/>
    <w:unhideWhenUsed/>
    <w:rsid w:val="007615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61542"/>
    <w:rPr>
      <w:sz w:val="20"/>
      <w:szCs w:val="20"/>
    </w:rPr>
  </w:style>
  <w:style w:type="character" w:styleId="Rimandonotaapidipagina">
    <w:name w:val="footnote reference"/>
    <w:basedOn w:val="Carpredefinitoparagrafo"/>
    <w:uiPriority w:val="99"/>
    <w:semiHidden/>
    <w:unhideWhenUsed/>
    <w:rsid w:val="00761542"/>
    <w:rPr>
      <w:vertAlign w:val="superscript"/>
    </w:rPr>
  </w:style>
  <w:style w:type="paragraph" w:styleId="Intestazione">
    <w:name w:val="header"/>
    <w:basedOn w:val="Normale"/>
    <w:link w:val="IntestazioneCarattere"/>
    <w:uiPriority w:val="99"/>
    <w:unhideWhenUsed/>
    <w:rsid w:val="00E11C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1CDF"/>
  </w:style>
  <w:style w:type="paragraph" w:styleId="Pidipagina">
    <w:name w:val="footer"/>
    <w:basedOn w:val="Normale"/>
    <w:link w:val="PidipaginaCarattere"/>
    <w:uiPriority w:val="99"/>
    <w:unhideWhenUsed/>
    <w:rsid w:val="00E11C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1CDF"/>
  </w:style>
  <w:style w:type="character" w:styleId="Collegamentoipertestuale">
    <w:name w:val="Hyperlink"/>
    <w:basedOn w:val="Carpredefinitoparagrafo"/>
    <w:uiPriority w:val="99"/>
    <w:unhideWhenUsed/>
    <w:rsid w:val="008D1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C986-28C3-4D89-A782-074A2358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4083</Words>
  <Characters>23274</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MARCO MAZZAMUTO</cp:lastModifiedBy>
  <cp:revision>51</cp:revision>
  <dcterms:created xsi:type="dcterms:W3CDTF">2025-03-15T14:21:00Z</dcterms:created>
  <dcterms:modified xsi:type="dcterms:W3CDTF">2025-03-16T14:18:00Z</dcterms:modified>
</cp:coreProperties>
</file>