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D56DC" w14:textId="77777777" w:rsidR="003445BF" w:rsidRPr="009E4E70" w:rsidRDefault="003445BF" w:rsidP="00D526CC">
      <w:pPr>
        <w:spacing w:line="360" w:lineRule="auto"/>
        <w:jc w:val="both"/>
        <w:rPr>
          <w:rFonts w:ascii="Times New Roman" w:hAnsi="Times New Roman" w:cs="Times New Roman"/>
          <w:sz w:val="24"/>
          <w:szCs w:val="24"/>
          <w:lang w:val="it-IT"/>
        </w:rPr>
      </w:pPr>
    </w:p>
    <w:p w14:paraId="1459EF9F" w14:textId="77777777" w:rsidR="003445BF" w:rsidRPr="009E4E70" w:rsidRDefault="003445BF" w:rsidP="00D526CC">
      <w:pPr>
        <w:spacing w:line="360" w:lineRule="auto"/>
        <w:jc w:val="center"/>
        <w:rPr>
          <w:rFonts w:ascii="Times New Roman" w:hAnsi="Times New Roman" w:cs="Times New Roman"/>
          <w:sz w:val="24"/>
          <w:szCs w:val="24"/>
          <w:lang w:val="it-IT"/>
        </w:rPr>
      </w:pPr>
      <w:r w:rsidRPr="009E4E70">
        <w:rPr>
          <w:rFonts w:ascii="Times New Roman" w:hAnsi="Times New Roman" w:cs="Times New Roman"/>
          <w:i/>
          <w:sz w:val="24"/>
          <w:szCs w:val="24"/>
          <w:lang w:val="it-IT"/>
        </w:rPr>
        <w:t>Giovanni Tulumello</w:t>
      </w:r>
      <w:r w:rsidRPr="009E4E70">
        <w:rPr>
          <w:rStyle w:val="Rimandonotaapidipagina"/>
          <w:rFonts w:ascii="Times New Roman" w:hAnsi="Times New Roman" w:cs="Times New Roman"/>
          <w:sz w:val="24"/>
          <w:szCs w:val="24"/>
          <w:lang w:val="it-IT"/>
        </w:rPr>
        <w:footnoteReference w:customMarkFollows="1" w:id="1"/>
        <w:sym w:font="Symbol" w:char="F02A"/>
      </w:r>
    </w:p>
    <w:p w14:paraId="594A54FE" w14:textId="77777777" w:rsidR="003445BF" w:rsidRPr="009E4E70" w:rsidRDefault="00734F94" w:rsidP="00D526CC">
      <w:pPr>
        <w:spacing w:line="360" w:lineRule="auto"/>
        <w:jc w:val="center"/>
        <w:rPr>
          <w:rFonts w:ascii="Times New Roman" w:hAnsi="Times New Roman" w:cs="Times New Roman"/>
          <w:sz w:val="24"/>
          <w:szCs w:val="24"/>
          <w:lang w:val="it-IT"/>
        </w:rPr>
      </w:pPr>
      <w:r>
        <w:rPr>
          <w:rFonts w:ascii="Times New Roman" w:hAnsi="Times New Roman" w:cs="Times New Roman"/>
          <w:smallCaps/>
          <w:sz w:val="24"/>
          <w:szCs w:val="24"/>
          <w:lang w:val="it-IT"/>
        </w:rPr>
        <w:t>La c</w:t>
      </w:r>
      <w:r w:rsidR="003445BF" w:rsidRPr="009E4E70">
        <w:rPr>
          <w:rFonts w:ascii="Times New Roman" w:hAnsi="Times New Roman" w:cs="Times New Roman"/>
          <w:smallCaps/>
          <w:sz w:val="24"/>
          <w:szCs w:val="24"/>
          <w:lang w:val="it-IT"/>
        </w:rPr>
        <w:t xml:space="preserve">onformazione dei diritti dei soggetti fragili, e </w:t>
      </w:r>
      <w:r>
        <w:rPr>
          <w:rFonts w:ascii="Times New Roman" w:hAnsi="Times New Roman" w:cs="Times New Roman"/>
          <w:smallCaps/>
          <w:sz w:val="24"/>
          <w:szCs w:val="24"/>
          <w:lang w:val="it-IT"/>
        </w:rPr>
        <w:t xml:space="preserve">la relativa </w:t>
      </w:r>
      <w:r w:rsidR="003445BF" w:rsidRPr="009E4E70">
        <w:rPr>
          <w:rFonts w:ascii="Times New Roman" w:hAnsi="Times New Roman" w:cs="Times New Roman"/>
          <w:smallCaps/>
          <w:sz w:val="24"/>
          <w:szCs w:val="24"/>
          <w:lang w:val="it-IT"/>
        </w:rPr>
        <w:t>tutela giurisdizionale</w:t>
      </w:r>
      <w:r w:rsidR="003445BF" w:rsidRPr="009E4E70">
        <w:rPr>
          <w:rStyle w:val="Rimandonotaapidipagina"/>
          <w:rFonts w:ascii="Times New Roman" w:hAnsi="Times New Roman" w:cs="Times New Roman"/>
          <w:sz w:val="24"/>
          <w:szCs w:val="24"/>
          <w:lang w:val="it-IT"/>
        </w:rPr>
        <w:footnoteReference w:id="2"/>
      </w:r>
    </w:p>
    <w:p w14:paraId="13AB70E3" w14:textId="77777777" w:rsidR="003445BF" w:rsidRPr="009E4E70" w:rsidRDefault="003445BF" w:rsidP="00D526CC">
      <w:pPr>
        <w:spacing w:line="360" w:lineRule="auto"/>
        <w:jc w:val="both"/>
        <w:rPr>
          <w:rFonts w:ascii="Times New Roman" w:hAnsi="Times New Roman" w:cs="Times New Roman"/>
          <w:sz w:val="24"/>
          <w:szCs w:val="24"/>
          <w:lang w:val="it-IT"/>
        </w:rPr>
      </w:pPr>
    </w:p>
    <w:p w14:paraId="33167B6C" w14:textId="77777777" w:rsidR="001D7058" w:rsidRPr="009E4E70" w:rsidRDefault="00B176E9" w:rsidP="00D526CC">
      <w:pPr>
        <w:spacing w:line="360" w:lineRule="auto"/>
        <w:jc w:val="both"/>
        <w:rPr>
          <w:rFonts w:ascii="Times New Roman" w:hAnsi="Times New Roman" w:cs="Times New Roman"/>
          <w:b/>
          <w:sz w:val="24"/>
          <w:szCs w:val="24"/>
          <w:lang w:val="it-IT"/>
        </w:rPr>
      </w:pPr>
      <w:r w:rsidRPr="009E4E70">
        <w:rPr>
          <w:rFonts w:ascii="Times New Roman" w:hAnsi="Times New Roman" w:cs="Times New Roman"/>
          <w:b/>
          <w:sz w:val="24"/>
          <w:szCs w:val="24"/>
          <w:lang w:val="it-IT"/>
        </w:rPr>
        <w:t xml:space="preserve">1. </w:t>
      </w:r>
      <w:r w:rsidR="001D7058" w:rsidRPr="009E4E70">
        <w:rPr>
          <w:rFonts w:ascii="Times New Roman" w:hAnsi="Times New Roman" w:cs="Times New Roman"/>
          <w:b/>
          <w:sz w:val="24"/>
          <w:szCs w:val="24"/>
          <w:lang w:val="it-IT"/>
        </w:rPr>
        <w:t>Fenomenologia del potere amministrativo nello Stato sociale pluriclasse: conformazione (e bilanciamento) dei diritti.</w:t>
      </w:r>
    </w:p>
    <w:p w14:paraId="0089B89A" w14:textId="77777777" w:rsidR="00D8732C" w:rsidRPr="009E4E70" w:rsidRDefault="00D8732C" w:rsidP="00D8732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Qualche giorno fa il Presidente del Consiglio di Stato, nella cerimonia di inaugurazione dell’anno giudiziario 2025, ha ricordato che “</w:t>
      </w:r>
      <w:r w:rsidRPr="00FF2D71">
        <w:rPr>
          <w:rFonts w:ascii="Times New Roman" w:hAnsi="Times New Roman" w:cs="Times New Roman"/>
          <w:sz w:val="24"/>
          <w:szCs w:val="24"/>
          <w:lang w:val="it-IT"/>
        </w:rPr>
        <w:t>Uno dei compiti del diritto pubblico è quello di consentire che tutti possano avvalersi delle prestazioni previste dalla legge, anche se per ragioni sociali o culturali non sono in grado di conoscerle. La fruizione delle prestazioni previste dalla legge pone rimedio agli squilibri e fa sentire il senso della socialità, quale valore intrinseco del sentirsi parte di una collettività. Penso al mondo della scuola ed alla tutela dei disabili, i cui diritti ed interessi legittimi talvolta non hanno soddisfazione o per la complessità del quadro normativo – da tempo segnalata dal Consiglio di Stato – o per la complessità dei procedimenti, rimessi alle articolate competenze di distinte autorità, con il rischio di disperdere o di non utilizzare al meglio le risorse economiche esistenti</w:t>
      </w:r>
      <w:r w:rsidRPr="009E4E70">
        <w:rPr>
          <w:rFonts w:ascii="Times New Roman" w:hAnsi="Times New Roman" w:cs="Times New Roman"/>
          <w:sz w:val="24"/>
          <w:szCs w:val="24"/>
          <w:lang w:val="it-IT"/>
        </w:rPr>
        <w:t>”.</w:t>
      </w:r>
      <w:r w:rsidRPr="009E4E70">
        <w:rPr>
          <w:rStyle w:val="Rimandonotaapidipagina"/>
          <w:rFonts w:ascii="Times New Roman" w:hAnsi="Times New Roman" w:cs="Times New Roman"/>
          <w:sz w:val="24"/>
          <w:szCs w:val="24"/>
          <w:lang w:val="it-IT"/>
        </w:rPr>
        <w:footnoteReference w:id="3"/>
      </w:r>
    </w:p>
    <w:p w14:paraId="3E7BA1AB"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È un dato ormai acquisito quello dell’incremento quantitativo dei compiti dell’amministrazione nello Stato sociale.</w:t>
      </w:r>
      <w:r w:rsidRPr="009E4E70">
        <w:rPr>
          <w:rStyle w:val="Rimandonotaapidipagina"/>
          <w:rFonts w:ascii="Times New Roman" w:hAnsi="Times New Roman" w:cs="Times New Roman"/>
          <w:sz w:val="24"/>
          <w:szCs w:val="24"/>
          <w:lang w:val="it-IT"/>
        </w:rPr>
        <w:footnoteReference w:id="4"/>
      </w:r>
    </w:p>
    <w:p w14:paraId="27F60008"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Quel che merita di essere approfondito, specie in una fase ormai evoluta di  questo modello (anche per effetto delle mutazioni prodotte dalla dimensione europea  dello Stato sociale), è il possibile cambiamento qualitativo dei compiti rimessi  all’amministrazione: ciò che in definitiva riflette il modo d’essere della funzione amministrativa, e, conseguentemente, l’esercizio del potere amministrativo discrezionale.</w:t>
      </w:r>
      <w:r w:rsidRPr="009E4E70">
        <w:rPr>
          <w:rStyle w:val="Rimandonotaapidipagina"/>
          <w:rFonts w:ascii="Times New Roman" w:hAnsi="Times New Roman" w:cs="Times New Roman"/>
          <w:sz w:val="24"/>
          <w:szCs w:val="24"/>
          <w:lang w:val="it-IT"/>
        </w:rPr>
        <w:footnoteReference w:id="5"/>
      </w:r>
    </w:p>
    <w:p w14:paraId="236BE8DB"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I due fenomeni non appaiono infatti privi di un significativo collegamento: il mutamento della forma di Stato non esaurisce infatti nel dato quantitativo le sue ricadute sulla funzione amministrativa,</w:t>
      </w:r>
      <w:r w:rsidRPr="009E4E70">
        <w:rPr>
          <w:rStyle w:val="Rimandonotaapidipagina"/>
          <w:rFonts w:ascii="Times New Roman" w:hAnsi="Times New Roman" w:cs="Times New Roman"/>
          <w:sz w:val="24"/>
          <w:szCs w:val="24"/>
          <w:lang w:val="it-IT"/>
        </w:rPr>
        <w:footnoteReference w:id="6"/>
      </w:r>
      <w:r w:rsidRPr="009E4E70">
        <w:rPr>
          <w:rFonts w:ascii="Times New Roman" w:hAnsi="Times New Roman" w:cs="Times New Roman"/>
          <w:sz w:val="24"/>
          <w:szCs w:val="24"/>
          <w:lang w:val="it-IT"/>
        </w:rPr>
        <w:t xml:space="preserve"> giacché siffatto incremento quantitativo non si limita evidentemente ad una proliferazione di compiti, ma piuttosto determina a sua volta la possibilità di reciproche interferenze conflittuali fra i valori cui tali compiti sono funzionali, e la conseguente necessità di operare una valutazione di compatibilità fra le istanze antagoniste. </w:t>
      </w:r>
    </w:p>
    <w:p w14:paraId="7DD0EB01"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L’incremento dei compiti dell’amministrazione, e dei settori di attività soggetti a regime amministrativo, non incide dunque solo sul piano dell’organizzazione amministrativa,</w:t>
      </w:r>
      <w:r w:rsidRPr="009E4E70">
        <w:rPr>
          <w:rStyle w:val="Rimandonotaapidipagina"/>
          <w:rFonts w:ascii="Times New Roman" w:hAnsi="Times New Roman" w:cs="Times New Roman"/>
          <w:sz w:val="24"/>
          <w:szCs w:val="24"/>
          <w:lang w:val="it-IT"/>
        </w:rPr>
        <w:footnoteReference w:id="7"/>
      </w:r>
      <w:r w:rsidRPr="009E4E70">
        <w:rPr>
          <w:rFonts w:ascii="Times New Roman" w:hAnsi="Times New Roman" w:cs="Times New Roman"/>
          <w:sz w:val="24"/>
          <w:szCs w:val="24"/>
          <w:lang w:val="it-IT"/>
        </w:rPr>
        <w:t xml:space="preserve"> ma aumenta proporzionalmente la possibilità di conflitto fra tali compiti ed attività. </w:t>
      </w:r>
    </w:p>
    <w:p w14:paraId="52D47036"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In particolare, posto che fine del potere amministrativo è quello di garantire l’effettività della tutela costituzionale (anche) dei diritti sociali, tale connotato finalistico entra tuttavia in comparazione con l’esigenza di cura di altri interessi di cui pure l’amministrazione è attributaria (o dai quali è comunque condizionata), come quello al contenimento della spesa pubblica,</w:t>
      </w:r>
      <w:r w:rsidRPr="009E4E70">
        <w:rPr>
          <w:rStyle w:val="Rimandonotaapidipagina"/>
          <w:rFonts w:ascii="Times New Roman" w:hAnsi="Times New Roman" w:cs="Times New Roman"/>
          <w:sz w:val="24"/>
          <w:szCs w:val="24"/>
          <w:lang w:val="it-IT"/>
        </w:rPr>
        <w:footnoteReference w:id="8"/>
      </w:r>
      <w:r w:rsidRPr="009E4E70">
        <w:rPr>
          <w:rFonts w:ascii="Times New Roman" w:hAnsi="Times New Roman" w:cs="Times New Roman"/>
          <w:sz w:val="24"/>
          <w:szCs w:val="24"/>
          <w:lang w:val="it-IT"/>
        </w:rPr>
        <w:t xml:space="preserve"> che a seguito del patto di stabilità ha una precisa rilevanza anche sul piano dei parametri sovranazionali di legittimità dell’attività amministrativa.</w:t>
      </w:r>
    </w:p>
    <w:p w14:paraId="3AE1A25B"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Si tratta allora di verificare come l’attribuzione alla pubblica amministrazione di “compiti di benessere”</w:t>
      </w:r>
      <w:r w:rsidRPr="009E4E70">
        <w:rPr>
          <w:rStyle w:val="Rimandonotaapidipagina"/>
          <w:rFonts w:ascii="Times New Roman" w:hAnsi="Times New Roman" w:cs="Times New Roman"/>
          <w:sz w:val="24"/>
          <w:szCs w:val="24"/>
          <w:lang w:val="it-IT"/>
        </w:rPr>
        <w:footnoteReference w:id="9"/>
      </w:r>
      <w:r w:rsidRPr="009E4E70">
        <w:rPr>
          <w:rFonts w:ascii="Times New Roman" w:hAnsi="Times New Roman" w:cs="Times New Roman"/>
          <w:sz w:val="24"/>
          <w:szCs w:val="24"/>
          <w:lang w:val="it-IT"/>
        </w:rPr>
        <w:t xml:space="preserve"> direttamente correlati agli scopi dello Stato sociale pluriclasse, incida, in ragione della scarsità di risorse - tale ontologicamente ed assiologicamente, prima ancora che a causa di contingenti situazioni di crisi economica: che tuttavia acuiscono il problema - sull’esercizio del potere amministrativo, rispetto, ad esempio, al modo in cui veniva esercitata la funzione ammin</w:t>
      </w:r>
      <w:r w:rsidR="001D7058" w:rsidRPr="009E4E70">
        <w:rPr>
          <w:rFonts w:ascii="Times New Roman" w:hAnsi="Times New Roman" w:cs="Times New Roman"/>
          <w:sz w:val="24"/>
          <w:szCs w:val="24"/>
          <w:lang w:val="it-IT"/>
        </w:rPr>
        <w:t>istrativa nello Stato liberale.</w:t>
      </w:r>
      <w:r w:rsidR="001D7058" w:rsidRPr="009E4E70">
        <w:rPr>
          <w:rStyle w:val="Rimandonotaapidipagina"/>
          <w:rFonts w:ascii="Times New Roman" w:hAnsi="Times New Roman" w:cs="Times New Roman"/>
          <w:sz w:val="24"/>
          <w:szCs w:val="24"/>
          <w:lang w:val="it-IT"/>
        </w:rPr>
        <w:footnoteReference w:id="10"/>
      </w:r>
    </w:p>
    <w:p w14:paraId="7D1E559F" w14:textId="71195D84"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L’indagine, tradizionalmente propria degli studi di diritto pubblico,</w:t>
      </w:r>
      <w:r w:rsidRPr="009E4E70">
        <w:rPr>
          <w:rStyle w:val="Rimandonotaapidipagina"/>
          <w:rFonts w:ascii="Times New Roman" w:hAnsi="Times New Roman" w:cs="Times New Roman"/>
          <w:sz w:val="24"/>
          <w:szCs w:val="24"/>
          <w:lang w:val="it-IT"/>
        </w:rPr>
        <w:footnoteReference w:id="11"/>
      </w:r>
      <w:r w:rsidRPr="009E4E70">
        <w:rPr>
          <w:rFonts w:ascii="Times New Roman" w:hAnsi="Times New Roman" w:cs="Times New Roman"/>
          <w:sz w:val="24"/>
          <w:szCs w:val="24"/>
          <w:lang w:val="it-IT"/>
        </w:rPr>
        <w:t xml:space="preserve"> </w:t>
      </w:r>
      <w:r w:rsidR="00D15D3E" w:rsidRPr="009E4E70">
        <w:rPr>
          <w:rFonts w:ascii="Times New Roman" w:hAnsi="Times New Roman" w:cs="Times New Roman"/>
          <w:sz w:val="24"/>
          <w:szCs w:val="24"/>
          <w:lang w:val="it-IT"/>
        </w:rPr>
        <w:t>soprattutto con riguardo all’implicazione rappresentata dal rilievo – ne</w:t>
      </w:r>
      <w:r w:rsidR="00B44CF1">
        <w:rPr>
          <w:rFonts w:ascii="Times New Roman" w:hAnsi="Times New Roman" w:cs="Times New Roman"/>
          <w:sz w:val="24"/>
          <w:szCs w:val="24"/>
          <w:lang w:val="it-IT"/>
        </w:rPr>
        <w:t>l</w:t>
      </w:r>
      <w:r w:rsidR="00D15D3E" w:rsidRPr="009E4E70">
        <w:rPr>
          <w:rFonts w:ascii="Times New Roman" w:hAnsi="Times New Roman" w:cs="Times New Roman"/>
          <w:sz w:val="24"/>
          <w:szCs w:val="24"/>
          <w:lang w:val="it-IT"/>
        </w:rPr>
        <w:t xml:space="preserve"> procedimento amministrativo -  della posizione del terzo (il c.d. controinteressato sostanziale),</w:t>
      </w:r>
      <w:r w:rsidR="00D15D3E" w:rsidRPr="009E4E70">
        <w:rPr>
          <w:rStyle w:val="Rimandonotaapidipagina"/>
          <w:rFonts w:ascii="Times New Roman" w:hAnsi="Times New Roman" w:cs="Times New Roman"/>
          <w:sz w:val="24"/>
          <w:szCs w:val="24"/>
          <w:lang w:val="it-IT"/>
        </w:rPr>
        <w:footnoteReference w:id="12"/>
      </w:r>
      <w:r w:rsidR="00D15D3E" w:rsidRPr="009E4E70">
        <w:rPr>
          <w:rFonts w:ascii="Times New Roman" w:hAnsi="Times New Roman" w:cs="Times New Roman"/>
          <w:sz w:val="24"/>
          <w:szCs w:val="24"/>
          <w:lang w:val="it-IT"/>
        </w:rPr>
        <w:t xml:space="preserve"> </w:t>
      </w:r>
      <w:r w:rsidRPr="009E4E70">
        <w:rPr>
          <w:rFonts w:ascii="Times New Roman" w:hAnsi="Times New Roman" w:cs="Times New Roman"/>
          <w:sz w:val="24"/>
          <w:szCs w:val="24"/>
          <w:lang w:val="it-IT"/>
        </w:rPr>
        <w:t>non è tuttavia estranea ai percorsi della dottrina civilistica, con riferimento alle ricadute in quell’ambito disciplinare.</w:t>
      </w:r>
      <w:r w:rsidR="005F3CD9" w:rsidRPr="009E4E70">
        <w:rPr>
          <w:rStyle w:val="Rimandonotaapidipagina"/>
          <w:rFonts w:ascii="Times New Roman" w:hAnsi="Times New Roman" w:cs="Times New Roman"/>
          <w:sz w:val="24"/>
          <w:szCs w:val="24"/>
          <w:lang w:val="it-IT"/>
        </w:rPr>
        <w:footnoteReference w:id="13"/>
      </w:r>
      <w:r w:rsidRPr="009E4E70">
        <w:rPr>
          <w:rFonts w:ascii="Times New Roman" w:hAnsi="Times New Roman" w:cs="Times New Roman"/>
          <w:sz w:val="24"/>
          <w:szCs w:val="24"/>
          <w:lang w:val="it-IT"/>
        </w:rPr>
        <w:t xml:space="preserve"> </w:t>
      </w:r>
    </w:p>
    <w:p w14:paraId="0FC7A96E" w14:textId="77777777" w:rsidR="00B176E9" w:rsidRPr="009E4E70" w:rsidRDefault="00BC075A" w:rsidP="00BC075A">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È </w:t>
      </w:r>
      <w:r w:rsidR="00B176E9" w:rsidRPr="009E4E70">
        <w:rPr>
          <w:rFonts w:ascii="Times New Roman" w:hAnsi="Times New Roman" w:cs="Times New Roman"/>
          <w:sz w:val="24"/>
          <w:szCs w:val="24"/>
          <w:lang w:val="it-IT"/>
        </w:rPr>
        <w:t xml:space="preserve"> anzi proprio nell’indagine di un civilista che, con riferimento ai tratti generali del fenomeno, è stata formulata l’analisi più acuta e consapevole del problema: “In un’ottica di questo tipo va, in un certo senso, ripensato lo stesso concetto di Stato sociale, assegnando proprio al giurista il compito di disegnare il punto di equilibrio tra i valori personali tutelati dalla Costituzione e gli indispensabili profili di fattibilità economica”.</w:t>
      </w:r>
      <w:r w:rsidR="005F3CD9" w:rsidRPr="009E4E70">
        <w:rPr>
          <w:rStyle w:val="Rimandonotaapidipagina"/>
          <w:rFonts w:ascii="Times New Roman" w:hAnsi="Times New Roman" w:cs="Times New Roman"/>
          <w:sz w:val="24"/>
          <w:szCs w:val="24"/>
          <w:lang w:val="it-IT"/>
        </w:rPr>
        <w:footnoteReference w:id="14"/>
      </w:r>
      <w:r w:rsidR="00B176E9" w:rsidRPr="009E4E70">
        <w:rPr>
          <w:rFonts w:ascii="Times New Roman" w:hAnsi="Times New Roman" w:cs="Times New Roman"/>
          <w:sz w:val="24"/>
          <w:szCs w:val="24"/>
          <w:lang w:val="it-IT"/>
        </w:rPr>
        <w:t xml:space="preserve"> </w:t>
      </w:r>
    </w:p>
    <w:p w14:paraId="79BB8D64"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Se, nell’ottica ora segnalata, il diritto amministrativo diventa maggiormente invasivo nei confronti del diritto civile con riferimento ai diritti di natura patrimoniale (proprietà e iniziativa economica), sotto altro e diverso profilo il ruolo e lo spazio del potere amministrativo nello Stato sociale pluriclasse vanno riconsiderati anche in relazione al problema della tutela dei diritti fondamentali. </w:t>
      </w:r>
    </w:p>
    <w:p w14:paraId="2B2C2A84" w14:textId="77777777" w:rsidR="00B176E9" w:rsidRPr="009E4E70" w:rsidRDefault="00B176E9"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Una visione ormai antistorica, fondata su di una concezione del potere amministrativo propria dello Stato liberale, si attarda a ricostruirne la relazione in termini di resistenza della situazione giuridica soggettiva del privato (coerentemente ricostruita come oppositiva) ad ogni manifestazione del potere amministrativo. </w:t>
      </w:r>
    </w:p>
    <w:p w14:paraId="5867E716" w14:textId="77777777" w:rsidR="008F2376" w:rsidRPr="009E4E70" w:rsidRDefault="008F2376"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L’incremento delle situazioni tutelate, determinato dall’evoluzione dell’attuale forma di Stato, riversandosi anche – inevitabilmente – sulla fisionomia del processo (ove si replica la dialettica procedimentale), provoca così una corrispondente difficoltà di assicurare una tutela giurisdizionale che non passi per una – non sempre agevole - valutazione di compatibilità reciproca di ciascuna di tali posizioni d’interesse.</w:t>
      </w:r>
      <w:r w:rsidRPr="009E4E70">
        <w:rPr>
          <w:rStyle w:val="Rimandonotaapidipagina"/>
          <w:rFonts w:ascii="Times New Roman" w:hAnsi="Times New Roman" w:cs="Times New Roman"/>
          <w:sz w:val="24"/>
          <w:szCs w:val="24"/>
          <w:lang w:val="it-IT"/>
        </w:rPr>
        <w:footnoteReference w:id="15"/>
      </w:r>
      <w:r w:rsidRPr="009E4E70">
        <w:rPr>
          <w:rFonts w:ascii="Times New Roman" w:hAnsi="Times New Roman" w:cs="Times New Roman"/>
          <w:sz w:val="24"/>
          <w:szCs w:val="24"/>
          <w:lang w:val="it-IT"/>
        </w:rPr>
        <w:t xml:space="preserve"> </w:t>
      </w:r>
    </w:p>
    <w:p w14:paraId="25192EBB" w14:textId="77777777" w:rsidR="00833BC0" w:rsidRPr="009E4E70" w:rsidRDefault="008F2376"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L’effettività della tutela dei diritti e degl’interessi nello Stato sociale</w:t>
      </w:r>
      <w:r w:rsidR="00833BC0" w:rsidRPr="009E4E70">
        <w:rPr>
          <w:rFonts w:ascii="Times New Roman" w:hAnsi="Times New Roman" w:cs="Times New Roman"/>
          <w:sz w:val="24"/>
          <w:szCs w:val="24"/>
          <w:lang w:val="it-IT"/>
        </w:rPr>
        <w:t xml:space="preserve"> </w:t>
      </w:r>
      <w:r w:rsidR="00833BC0" w:rsidRPr="009E4E70">
        <w:rPr>
          <w:rFonts w:ascii="Times New Roman" w:eastAsia="Times New Roman" w:hAnsi="Times New Roman" w:cs="Times New Roman"/>
          <w:sz w:val="24"/>
          <w:szCs w:val="24"/>
          <w:lang w:val="it-IT" w:eastAsia="it-IT"/>
        </w:rPr>
        <w:t>“si misura allora a valle, ripercorrendo a ritroso i percorsi ricostruttivi indicati dalla giurisprudenza in sede di giudizio di compatibilità con le esigenze antagoniste, per giungere a conclusioni che possano consentire una sistemazione teorica consapevole del dato storico”.</w:t>
      </w:r>
      <w:r w:rsidR="00833BC0" w:rsidRPr="009E4E70">
        <w:rPr>
          <w:rFonts w:ascii="Times New Roman" w:eastAsia="Times New Roman" w:hAnsi="Times New Roman" w:cs="Times New Roman"/>
          <w:sz w:val="24"/>
          <w:szCs w:val="24"/>
          <w:vertAlign w:val="superscript"/>
          <w:lang w:val="it-IT" w:eastAsia="it-IT"/>
        </w:rPr>
        <w:footnoteReference w:id="16"/>
      </w:r>
    </w:p>
    <w:p w14:paraId="52227973" w14:textId="77777777" w:rsidR="008F2376" w:rsidRPr="009E4E70" w:rsidRDefault="00833BC0"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Il problema si sposta allora s</w:t>
      </w:r>
      <w:r w:rsidR="008F2376" w:rsidRPr="009E4E70">
        <w:rPr>
          <w:rFonts w:ascii="Times New Roman" w:hAnsi="Times New Roman" w:cs="Times New Roman"/>
          <w:sz w:val="24"/>
          <w:szCs w:val="24"/>
          <w:lang w:val="it-IT"/>
        </w:rPr>
        <w:t>ul piano della “concretezza applicativa”:</w:t>
      </w:r>
      <w:r w:rsidR="008F2376" w:rsidRPr="009E4E70">
        <w:rPr>
          <w:rStyle w:val="Rimandonotaapidipagina"/>
          <w:rFonts w:ascii="Times New Roman" w:hAnsi="Times New Roman" w:cs="Times New Roman"/>
          <w:sz w:val="24"/>
          <w:szCs w:val="24"/>
          <w:lang w:val="it-IT"/>
        </w:rPr>
        <w:footnoteReference w:id="17"/>
      </w:r>
      <w:r w:rsidR="008F2376" w:rsidRPr="009E4E70">
        <w:rPr>
          <w:rFonts w:ascii="Times New Roman" w:hAnsi="Times New Roman" w:cs="Times New Roman"/>
          <w:sz w:val="24"/>
          <w:szCs w:val="24"/>
          <w:lang w:val="it-IT"/>
        </w:rPr>
        <w:t xml:space="preserve"> percorrendo a ritroso i percorsi ricostruttivi indicati dalla giurisprudenza in sede di giudizio di compatibilità con le esigenze antagoniste, per giungere a conclusioni che possano consentire una sistemazione teorica consapevole del dato storico.</w:t>
      </w:r>
      <w:r w:rsidR="008F2376" w:rsidRPr="009E4E70">
        <w:rPr>
          <w:rStyle w:val="Rimandonotaapidipagina"/>
          <w:rFonts w:ascii="Times New Roman" w:hAnsi="Times New Roman" w:cs="Times New Roman"/>
          <w:sz w:val="24"/>
          <w:szCs w:val="24"/>
          <w:lang w:val="it-IT"/>
        </w:rPr>
        <w:footnoteReference w:id="18"/>
      </w:r>
    </w:p>
    <w:p w14:paraId="0F9A0F7D" w14:textId="77777777" w:rsidR="00FF5618" w:rsidRPr="009E4E70" w:rsidRDefault="00FF5618" w:rsidP="00BC075A">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Il confronto dialettico fra i vari interessi è rimesso all’attività di mediazione che si svolge in sede di esercizio della discrezionalità, attraverso la ponderazione comparativa delle confliggenti istanze, operata alla stregua del parametro legislativo e di quello costituzionale; a sua volta “doppiata” dalla valutazione che il giudice  amministrativo compie, in via eventuale, in sede di sindacato sulla decisione amministrativa: l’esito di questi passaggi procedimentali e processuali dà al cittadino ed alle istituzioni la misura della tutela dei propri diritti ed interessi, il risultato effettivo della catalogazione costituzionale e sovranazionale e del suo concreto atteggiarsi nella dinamica delle relazioni sociali.</w:t>
      </w:r>
    </w:p>
    <w:p w14:paraId="2450F8AB" w14:textId="77777777" w:rsidR="00BC075A" w:rsidRDefault="00BC075A" w:rsidP="00D526CC">
      <w:pPr>
        <w:pStyle w:val="Capoverso"/>
        <w:spacing w:line="360" w:lineRule="auto"/>
        <w:ind w:firstLine="0"/>
        <w:rPr>
          <w:b/>
          <w:sz w:val="24"/>
          <w:szCs w:val="24"/>
        </w:rPr>
      </w:pPr>
    </w:p>
    <w:p w14:paraId="51606BD2" w14:textId="77777777" w:rsidR="00A54B88" w:rsidRPr="009E4E70" w:rsidRDefault="00D15D3E" w:rsidP="00D526CC">
      <w:pPr>
        <w:pStyle w:val="Capoverso"/>
        <w:spacing w:line="360" w:lineRule="auto"/>
        <w:ind w:firstLine="0"/>
        <w:rPr>
          <w:b/>
          <w:sz w:val="24"/>
          <w:szCs w:val="24"/>
        </w:rPr>
      </w:pPr>
      <w:r w:rsidRPr="009E4E70">
        <w:rPr>
          <w:b/>
          <w:sz w:val="24"/>
          <w:szCs w:val="24"/>
        </w:rPr>
        <w:t>2.</w:t>
      </w:r>
      <w:r w:rsidR="00FF5618" w:rsidRPr="009E4E70">
        <w:rPr>
          <w:b/>
          <w:sz w:val="24"/>
          <w:szCs w:val="24"/>
        </w:rPr>
        <w:t xml:space="preserve"> </w:t>
      </w:r>
      <w:r w:rsidR="00510ED0" w:rsidRPr="009E4E70">
        <w:rPr>
          <w:b/>
          <w:sz w:val="24"/>
          <w:szCs w:val="24"/>
        </w:rPr>
        <w:t xml:space="preserve"> Quale giudice? Il problema del riparto della giurisdizione, e del modo d’essere del sindacato giurisdizionale (</w:t>
      </w:r>
      <w:r w:rsidR="00406236" w:rsidRPr="009E4E70">
        <w:rPr>
          <w:b/>
          <w:sz w:val="24"/>
          <w:szCs w:val="24"/>
        </w:rPr>
        <w:t xml:space="preserve">la prospettiva della </w:t>
      </w:r>
      <w:r w:rsidR="00510ED0" w:rsidRPr="009E4E70">
        <w:rPr>
          <w:b/>
          <w:sz w:val="24"/>
          <w:szCs w:val="24"/>
        </w:rPr>
        <w:t>verifica della conformità del provvedimento conformativo al parametro normativo, nell’ottica del bilanciamento)</w:t>
      </w:r>
    </w:p>
    <w:p w14:paraId="7B153DDD" w14:textId="77777777" w:rsidR="00035F39" w:rsidRPr="009E4E70" w:rsidRDefault="00035F39" w:rsidP="00D526CC">
      <w:pPr>
        <w:pStyle w:val="Capoverso"/>
        <w:spacing w:line="360" w:lineRule="auto"/>
        <w:ind w:firstLine="708"/>
        <w:rPr>
          <w:sz w:val="24"/>
          <w:szCs w:val="24"/>
        </w:rPr>
      </w:pPr>
      <w:r w:rsidRPr="009E4E70">
        <w:rPr>
          <w:sz w:val="24"/>
          <w:szCs w:val="24"/>
        </w:rPr>
        <w:t>Alla luce della superiore premessa, si pone anzitutto, nella materia che qui viene in considerazione, un problema di riparto della giurisdizione proprio alla luce della</w:t>
      </w:r>
      <w:r w:rsidR="00A54B88" w:rsidRPr="009E4E70">
        <w:rPr>
          <w:sz w:val="24"/>
          <w:szCs w:val="24"/>
        </w:rPr>
        <w:t xml:space="preserve"> </w:t>
      </w:r>
      <w:r w:rsidRPr="009E4E70">
        <w:rPr>
          <w:sz w:val="24"/>
          <w:szCs w:val="24"/>
        </w:rPr>
        <w:t>qualificazione come “fondamentali” dei diritti qui implicati.</w:t>
      </w:r>
    </w:p>
    <w:p w14:paraId="78F33AAC" w14:textId="77777777" w:rsidR="006F5DAE" w:rsidRPr="009E4E70" w:rsidRDefault="00035F39" w:rsidP="00BC075A">
      <w:pPr>
        <w:pStyle w:val="Capoverso"/>
        <w:spacing w:line="360" w:lineRule="auto"/>
        <w:rPr>
          <w:sz w:val="24"/>
          <w:szCs w:val="24"/>
        </w:rPr>
      </w:pPr>
      <w:r w:rsidRPr="009E4E70">
        <w:rPr>
          <w:sz w:val="24"/>
          <w:szCs w:val="24"/>
        </w:rPr>
        <w:t>L</w:t>
      </w:r>
      <w:r w:rsidR="006F5DAE" w:rsidRPr="009E4E70">
        <w:rPr>
          <w:sz w:val="24"/>
          <w:szCs w:val="24"/>
        </w:rPr>
        <w:t>’indirizzo del giudice del riparto era stato inaugurato dalla sentenza della Corte di Cassazione 9 marzo 1979, n. 1463, che aveva affermato che il diritto alla salute è un fondamentale diritto dell’individuo, tutelato dall’art. 32 Cost., sicché non sarebbe “</w:t>
      </w:r>
      <w:r w:rsidR="006F5DAE" w:rsidRPr="00FF2D71">
        <w:rPr>
          <w:sz w:val="24"/>
          <w:szCs w:val="24"/>
        </w:rPr>
        <w:t>neppure configurabile un potere ablatorio dello Stato, tale da farlo degradare a interesse legittimo</w:t>
      </w:r>
      <w:r w:rsidR="006F5DAE" w:rsidRPr="009E4E70">
        <w:rPr>
          <w:sz w:val="24"/>
          <w:szCs w:val="24"/>
        </w:rPr>
        <w:t xml:space="preserve">”; tale indirizzo è stato quindi esteso </w:t>
      </w:r>
      <w:r w:rsidR="006F5DAE" w:rsidRPr="009E4E70">
        <w:rPr>
          <w:sz w:val="24"/>
          <w:szCs w:val="24"/>
        </w:rPr>
        <w:lastRenderedPageBreak/>
        <w:t>al diritto (fondamentale) alla salubrità ambientale dalla successiva sentenza 6 ottobre 1979, n. 5172</w:t>
      </w:r>
      <w:r w:rsidR="006F5DAE" w:rsidRPr="009E4E70">
        <w:rPr>
          <w:rStyle w:val="Rimandonotaapidipagina"/>
          <w:sz w:val="24"/>
          <w:szCs w:val="24"/>
        </w:rPr>
        <w:t> </w:t>
      </w:r>
      <w:r w:rsidR="006F5DAE" w:rsidRPr="009E4E70">
        <w:rPr>
          <w:rStyle w:val="Rimandonotaapidipagina"/>
          <w:sz w:val="24"/>
          <w:szCs w:val="24"/>
        </w:rPr>
        <w:footnoteReference w:id="19"/>
      </w:r>
      <w:r w:rsidR="006F5DAE" w:rsidRPr="009E4E70">
        <w:rPr>
          <w:sz w:val="24"/>
          <w:szCs w:val="24"/>
        </w:rPr>
        <w:t>.</w:t>
      </w:r>
    </w:p>
    <w:p w14:paraId="261ECE33" w14:textId="77777777" w:rsidR="006F5DAE" w:rsidRPr="009E4E70" w:rsidRDefault="006F5DAE" w:rsidP="00D526CC">
      <w:pPr>
        <w:pStyle w:val="Capoverso"/>
        <w:spacing w:line="360" w:lineRule="auto"/>
        <w:rPr>
          <w:sz w:val="24"/>
          <w:szCs w:val="24"/>
        </w:rPr>
      </w:pPr>
      <w:r w:rsidRPr="009E4E70">
        <w:rPr>
          <w:sz w:val="24"/>
          <w:szCs w:val="24"/>
        </w:rPr>
        <w:t>Tale ricostruzione risentiva evidentemente di un condizionamento culturale allora comprensibile per una generazione di giudici di ultima istanza formatisi qualche decennio prima, consistente in una concezione del potere amministrativo tipica dello Stato liberale: tanto che essa conseguentemente configura la relazione in termini di resistenza della situazione giuridica soggettiva del privato ad ogni manifestazione del potere amministrativo</w:t>
      </w:r>
      <w:r w:rsidRPr="009E4E70">
        <w:rPr>
          <w:rStyle w:val="Rimandonotaapidipagina"/>
          <w:sz w:val="24"/>
          <w:szCs w:val="24"/>
        </w:rPr>
        <w:t> </w:t>
      </w:r>
      <w:r w:rsidRPr="009E4E70">
        <w:rPr>
          <w:rStyle w:val="Rimandonotaapidipagina"/>
          <w:sz w:val="24"/>
          <w:szCs w:val="24"/>
        </w:rPr>
        <w:footnoteReference w:id="20"/>
      </w:r>
      <w:r w:rsidRPr="009E4E70">
        <w:rPr>
          <w:sz w:val="24"/>
          <w:szCs w:val="24"/>
        </w:rPr>
        <w:t>.</w:t>
      </w:r>
    </w:p>
    <w:p w14:paraId="06D93BCB" w14:textId="77777777" w:rsidR="006F5DAE" w:rsidRPr="009E4E70" w:rsidRDefault="006F5DAE" w:rsidP="00D526CC">
      <w:pPr>
        <w:pStyle w:val="Capoverso"/>
        <w:spacing w:line="360" w:lineRule="auto"/>
        <w:rPr>
          <w:sz w:val="24"/>
          <w:szCs w:val="24"/>
        </w:rPr>
      </w:pPr>
      <w:r w:rsidRPr="009E4E70">
        <w:rPr>
          <w:sz w:val="24"/>
          <w:szCs w:val="24"/>
        </w:rPr>
        <w:t>Il tratto distintivo, e al contempo il limite, di questo indirizzo giurisprudenziale sono dati dal fatto che esso ha paradossalmente riguardo quasi esclusivo a diritti fondamentali consistenti non già in libertà “</w:t>
      </w:r>
      <w:r w:rsidRPr="009E4E70">
        <w:rPr>
          <w:i/>
          <w:sz w:val="24"/>
          <w:szCs w:val="24"/>
        </w:rPr>
        <w:t>dallo Stato</w:t>
      </w:r>
      <w:r w:rsidRPr="009E4E70">
        <w:rPr>
          <w:sz w:val="24"/>
          <w:szCs w:val="24"/>
        </w:rPr>
        <w:t>” o “</w:t>
      </w:r>
      <w:r w:rsidRPr="009E4E70">
        <w:rPr>
          <w:i/>
          <w:sz w:val="24"/>
          <w:szCs w:val="24"/>
        </w:rPr>
        <w:t>nello Stato</w:t>
      </w:r>
      <w:r w:rsidRPr="009E4E70">
        <w:rPr>
          <w:sz w:val="24"/>
          <w:szCs w:val="24"/>
        </w:rPr>
        <w:t>” (come accadeva nel contesto istituzionale che costituisce il presupposto culturale di tale teoria), ma “</w:t>
      </w:r>
      <w:r w:rsidRPr="009E4E70">
        <w:rPr>
          <w:i/>
          <w:sz w:val="24"/>
          <w:szCs w:val="24"/>
        </w:rPr>
        <w:t>mediante lo Stato</w:t>
      </w:r>
      <w:r w:rsidRPr="009E4E70">
        <w:rPr>
          <w:sz w:val="24"/>
          <w:szCs w:val="24"/>
        </w:rPr>
        <w:t>”</w:t>
      </w:r>
      <w:r w:rsidRPr="009E4E70">
        <w:rPr>
          <w:rStyle w:val="Rimandonotaapidipagina"/>
          <w:sz w:val="24"/>
          <w:szCs w:val="24"/>
        </w:rPr>
        <w:t> </w:t>
      </w:r>
      <w:r w:rsidRPr="009E4E70">
        <w:rPr>
          <w:rStyle w:val="Rimandonotaapidipagina"/>
          <w:sz w:val="24"/>
          <w:szCs w:val="24"/>
        </w:rPr>
        <w:footnoteReference w:id="21"/>
      </w:r>
      <w:r w:rsidRPr="009E4E70">
        <w:rPr>
          <w:sz w:val="24"/>
          <w:szCs w:val="24"/>
        </w:rPr>
        <w:t>.</w:t>
      </w:r>
    </w:p>
    <w:p w14:paraId="56D7963D" w14:textId="77777777" w:rsidR="006F5DAE" w:rsidRPr="009E4E70" w:rsidRDefault="006F5DAE" w:rsidP="00D526CC">
      <w:pPr>
        <w:pStyle w:val="Capoverso"/>
        <w:spacing w:line="360" w:lineRule="auto"/>
        <w:rPr>
          <w:sz w:val="24"/>
          <w:szCs w:val="24"/>
        </w:rPr>
      </w:pPr>
      <w:r w:rsidRPr="009E4E70">
        <w:rPr>
          <w:sz w:val="24"/>
          <w:szCs w:val="24"/>
        </w:rPr>
        <w:t>La relativa costruzione tralascia di considerare, infatti, che nello Stato sociale pluriclasse il diritto fondamentale è situazione quasi sempre pretensiva, legata com’è alla necessità – giuridica e materiale – che l’infungibile intermediazione del potere (non repressivo, ma conformativo) dell’amministrazione riempia di contenuto un diritto altrimenti (formalmente fondamentale ed indegradabile, ma) solo nominalmente proclamato</w:t>
      </w:r>
      <w:r w:rsidRPr="009E4E70">
        <w:rPr>
          <w:rStyle w:val="Rimandonotaapidipagina"/>
          <w:sz w:val="24"/>
          <w:szCs w:val="24"/>
        </w:rPr>
        <w:t> </w:t>
      </w:r>
      <w:r w:rsidRPr="009E4E70">
        <w:rPr>
          <w:rStyle w:val="Rimandonotaapidipagina"/>
          <w:sz w:val="24"/>
          <w:szCs w:val="24"/>
        </w:rPr>
        <w:footnoteReference w:id="22"/>
      </w:r>
      <w:r w:rsidRPr="009E4E70">
        <w:rPr>
          <w:sz w:val="24"/>
          <w:szCs w:val="24"/>
        </w:rPr>
        <w:t>.</w:t>
      </w:r>
    </w:p>
    <w:p w14:paraId="27AB848B" w14:textId="77777777" w:rsidR="006F5DAE" w:rsidRPr="009E4E70" w:rsidRDefault="006F5DAE" w:rsidP="00D526CC">
      <w:pPr>
        <w:pStyle w:val="Capoverso"/>
        <w:spacing w:line="360" w:lineRule="auto"/>
        <w:rPr>
          <w:sz w:val="24"/>
          <w:szCs w:val="24"/>
        </w:rPr>
      </w:pPr>
      <w:r w:rsidRPr="009E4E70">
        <w:rPr>
          <w:sz w:val="24"/>
          <w:szCs w:val="24"/>
        </w:rPr>
        <w:t xml:space="preserve">Il limite di tale costruzione, peraltro, non riguarda solo gli interessi pretensivi, giacché il </w:t>
      </w:r>
      <w:r w:rsidRPr="009E4E70">
        <w:rPr>
          <w:sz w:val="24"/>
          <w:szCs w:val="24"/>
        </w:rPr>
        <w:lastRenderedPageBreak/>
        <w:t>tradizionale schematismo che esprime tale nozione va, in questa materia, declinato con avvedutezza critica, proprio alla luce della forma di Stato.</w:t>
      </w:r>
    </w:p>
    <w:p w14:paraId="7A088EED" w14:textId="77777777" w:rsidR="006F5DAE" w:rsidRPr="009E4E70" w:rsidRDefault="006F5DAE" w:rsidP="00D526CC">
      <w:pPr>
        <w:pStyle w:val="Capoverso"/>
        <w:spacing w:line="360" w:lineRule="auto"/>
        <w:rPr>
          <w:sz w:val="24"/>
          <w:szCs w:val="24"/>
        </w:rPr>
      </w:pPr>
      <w:r w:rsidRPr="009E4E70">
        <w:rPr>
          <w:sz w:val="24"/>
          <w:szCs w:val="24"/>
        </w:rPr>
        <w:t>Com’è stato infatti osservato, “</w:t>
      </w:r>
      <w:r w:rsidRPr="00FF2D71">
        <w:rPr>
          <w:sz w:val="24"/>
          <w:szCs w:val="24"/>
        </w:rPr>
        <w:t>la dimensione del condizionamento emerge anche quando il diritto sociale che fronteggia il potere pubblico non sia intuitivamente e immediatamente ricostruibile come pretesa ad una prestazione positiva, ma anzi presenti una struttura tradizionalmente associata alle libertà negative</w:t>
      </w:r>
      <w:r w:rsidRPr="009E4E70">
        <w:rPr>
          <w:sz w:val="24"/>
          <w:szCs w:val="24"/>
        </w:rPr>
        <w:t>”</w:t>
      </w:r>
      <w:r w:rsidRPr="009E4E70">
        <w:rPr>
          <w:rStyle w:val="Rimandonotaapidipagina"/>
          <w:sz w:val="24"/>
          <w:szCs w:val="24"/>
        </w:rPr>
        <w:t> </w:t>
      </w:r>
      <w:r w:rsidRPr="009E4E70">
        <w:rPr>
          <w:rStyle w:val="Rimandonotaapidipagina"/>
          <w:sz w:val="24"/>
          <w:szCs w:val="24"/>
        </w:rPr>
        <w:footnoteReference w:id="23"/>
      </w:r>
      <w:r w:rsidRPr="009E4E70">
        <w:rPr>
          <w:sz w:val="24"/>
          <w:szCs w:val="24"/>
        </w:rPr>
        <w:t>.</w:t>
      </w:r>
    </w:p>
    <w:p w14:paraId="35601069" w14:textId="77777777" w:rsidR="006F5DAE" w:rsidRPr="009E4E70" w:rsidRDefault="006F5DAE" w:rsidP="00D526CC">
      <w:pPr>
        <w:pStyle w:val="Capoverso"/>
        <w:spacing w:line="360" w:lineRule="auto"/>
        <w:rPr>
          <w:sz w:val="24"/>
          <w:szCs w:val="24"/>
        </w:rPr>
      </w:pPr>
      <w:r w:rsidRPr="009E4E70">
        <w:rPr>
          <w:sz w:val="24"/>
          <w:szCs w:val="24"/>
        </w:rPr>
        <w:t>Ma anche prescindendo dalla verifica di compatibilità della costruzione in esame con la dimensione storico-istituzionale che ne costituisce il presupposto, essa ha incontrato, fin dagli albori, le affilate critiche della dottrina sul diverso (ma non meno rilevante) versante della sua correttezza logico-giuridica</w:t>
      </w:r>
      <w:r w:rsidRPr="009E4E70">
        <w:rPr>
          <w:rStyle w:val="Rimandonotaapidipagina"/>
          <w:sz w:val="24"/>
          <w:szCs w:val="24"/>
        </w:rPr>
        <w:t> </w:t>
      </w:r>
      <w:r w:rsidRPr="009E4E70">
        <w:rPr>
          <w:rStyle w:val="Rimandonotaapidipagina"/>
          <w:sz w:val="24"/>
          <w:szCs w:val="24"/>
        </w:rPr>
        <w:footnoteReference w:id="24"/>
      </w:r>
      <w:r w:rsidRPr="009E4E70">
        <w:rPr>
          <w:sz w:val="24"/>
          <w:szCs w:val="24"/>
        </w:rPr>
        <w:t>.</w:t>
      </w:r>
    </w:p>
    <w:p w14:paraId="41625ECA" w14:textId="77777777" w:rsidR="006F5DAE" w:rsidRPr="009E4E70" w:rsidRDefault="006F5DAE" w:rsidP="00D526CC">
      <w:pPr>
        <w:pStyle w:val="Capoverso"/>
        <w:spacing w:line="360" w:lineRule="auto"/>
        <w:rPr>
          <w:sz w:val="24"/>
          <w:szCs w:val="24"/>
        </w:rPr>
      </w:pPr>
      <w:r w:rsidRPr="009E4E70">
        <w:rPr>
          <w:sz w:val="24"/>
          <w:szCs w:val="24"/>
        </w:rPr>
        <w:t>Anche la Corte costituzionale ha avuto modo di affermare che la lesione di un diritto fondamentale riconducibile ad un provvedimento dell’amministrazione rientra nella giurisdizione del giudice amministrativo</w:t>
      </w:r>
      <w:r w:rsidRPr="009E4E70">
        <w:rPr>
          <w:rStyle w:val="Rimandonotaapidipagina"/>
          <w:sz w:val="24"/>
          <w:szCs w:val="24"/>
        </w:rPr>
        <w:t> </w:t>
      </w:r>
      <w:r w:rsidRPr="009E4E70">
        <w:rPr>
          <w:rStyle w:val="Rimandonotaapidipagina"/>
          <w:sz w:val="24"/>
          <w:szCs w:val="24"/>
        </w:rPr>
        <w:footnoteReference w:id="25"/>
      </w:r>
      <w:r w:rsidRPr="009E4E70">
        <w:rPr>
          <w:sz w:val="24"/>
          <w:szCs w:val="24"/>
        </w:rPr>
        <w:t>.</w:t>
      </w:r>
    </w:p>
    <w:p w14:paraId="75DB52A2" w14:textId="77777777" w:rsidR="006F5DAE" w:rsidRPr="009E4E70" w:rsidRDefault="006F5DAE" w:rsidP="00D526CC">
      <w:pPr>
        <w:pStyle w:val="Capoverso"/>
        <w:spacing w:line="360" w:lineRule="auto"/>
        <w:rPr>
          <w:sz w:val="24"/>
          <w:szCs w:val="24"/>
        </w:rPr>
      </w:pPr>
      <w:r w:rsidRPr="009E4E70">
        <w:rPr>
          <w:sz w:val="24"/>
          <w:szCs w:val="24"/>
        </w:rPr>
        <w:t>Ma ancora più nettamente ha bocciato, con argomenti netti, il presupposto della regola di riparto in esame, vale a dire l’impostazione ideologica di una tutela assolutista dei diritti fondamentali, e la conseguente costruzione di una gerarchia “rigida” (</w:t>
      </w:r>
      <w:r w:rsidRPr="009E4E70">
        <w:rPr>
          <w:i/>
          <w:sz w:val="24"/>
          <w:szCs w:val="24"/>
        </w:rPr>
        <w:t>id est</w:t>
      </w:r>
      <w:r w:rsidRPr="009E4E70">
        <w:rPr>
          <w:sz w:val="24"/>
          <w:szCs w:val="24"/>
        </w:rPr>
        <w:t>, data) con e tra di essi.</w:t>
      </w:r>
      <w:r w:rsidRPr="009E4E70">
        <w:rPr>
          <w:rStyle w:val="Rimandonotaapidipagina"/>
          <w:sz w:val="24"/>
          <w:szCs w:val="24"/>
        </w:rPr>
        <w:footnoteReference w:id="26"/>
      </w:r>
    </w:p>
    <w:p w14:paraId="79FDF63A" w14:textId="77777777" w:rsidR="001A09F9" w:rsidRPr="009E4E70" w:rsidRDefault="006F5DAE" w:rsidP="00D526CC">
      <w:pPr>
        <w:pStyle w:val="Capoverso"/>
        <w:spacing w:line="360" w:lineRule="auto"/>
        <w:rPr>
          <w:sz w:val="24"/>
          <w:szCs w:val="24"/>
        </w:rPr>
      </w:pPr>
      <w:r w:rsidRPr="009E4E70">
        <w:rPr>
          <w:sz w:val="24"/>
          <w:szCs w:val="24"/>
        </w:rPr>
        <w:lastRenderedPageBreak/>
        <w:t>L’indirizzo del giudice del riparto, salvo isolate ed illuminate eccezioni</w:t>
      </w:r>
      <w:r w:rsidRPr="009E4E70">
        <w:rPr>
          <w:rStyle w:val="Rimandonotaapidipagina"/>
          <w:sz w:val="24"/>
          <w:szCs w:val="24"/>
        </w:rPr>
        <w:t> </w:t>
      </w:r>
      <w:r w:rsidRPr="009E4E70">
        <w:rPr>
          <w:rStyle w:val="Rimandonotaapidipagina"/>
          <w:sz w:val="24"/>
          <w:szCs w:val="24"/>
        </w:rPr>
        <w:footnoteReference w:id="27"/>
      </w:r>
      <w:r w:rsidRPr="009E4E70">
        <w:rPr>
          <w:sz w:val="24"/>
          <w:szCs w:val="24"/>
        </w:rPr>
        <w:t>, non sembra però nel frattempo avere tenuto conto di tali, autorevoli obiezioni</w:t>
      </w:r>
      <w:r w:rsidRPr="009E4E70">
        <w:rPr>
          <w:rStyle w:val="Rimandonotaapidipagina"/>
          <w:sz w:val="24"/>
          <w:szCs w:val="24"/>
        </w:rPr>
        <w:t> </w:t>
      </w:r>
      <w:r w:rsidRPr="009E4E70">
        <w:rPr>
          <w:rStyle w:val="Rimandonotaapidipagina"/>
          <w:sz w:val="24"/>
          <w:szCs w:val="24"/>
        </w:rPr>
        <w:footnoteReference w:id="28"/>
      </w:r>
      <w:r w:rsidRPr="009E4E70">
        <w:rPr>
          <w:sz w:val="24"/>
          <w:szCs w:val="24"/>
        </w:rPr>
        <w:t>: il che sembra configurare una sorta di resistenza ideologica agli argomenti di segno contrario così nitidamente indicati dalla dottrina e dalla giurisprudenza costituzionale</w:t>
      </w:r>
      <w:r w:rsidR="001A09F9" w:rsidRPr="009E4E70">
        <w:rPr>
          <w:sz w:val="24"/>
          <w:szCs w:val="24"/>
        </w:rPr>
        <w:t>.</w:t>
      </w:r>
    </w:p>
    <w:p w14:paraId="1EDC0622" w14:textId="77777777" w:rsidR="006F5DAE" w:rsidRPr="009E4E70" w:rsidRDefault="006F5DAE" w:rsidP="00D526CC">
      <w:pPr>
        <w:pStyle w:val="Capoverso"/>
        <w:spacing w:line="360" w:lineRule="auto"/>
        <w:rPr>
          <w:sz w:val="24"/>
          <w:szCs w:val="24"/>
        </w:rPr>
      </w:pPr>
    </w:p>
    <w:p w14:paraId="79E411F3" w14:textId="77777777" w:rsidR="00A54B88" w:rsidRPr="009E4E70" w:rsidRDefault="006F5DAE" w:rsidP="00D526CC">
      <w:pPr>
        <w:pStyle w:val="Capoverso"/>
        <w:spacing w:line="360" w:lineRule="auto"/>
        <w:ind w:firstLine="0"/>
        <w:rPr>
          <w:b/>
          <w:sz w:val="24"/>
          <w:szCs w:val="24"/>
        </w:rPr>
      </w:pPr>
      <w:r w:rsidRPr="009E4E70">
        <w:rPr>
          <w:b/>
          <w:sz w:val="24"/>
          <w:szCs w:val="24"/>
        </w:rPr>
        <w:t>3.</w:t>
      </w:r>
      <w:r w:rsidRPr="009E4E70">
        <w:rPr>
          <w:b/>
          <w:sz w:val="24"/>
          <w:szCs w:val="24"/>
        </w:rPr>
        <w:tab/>
      </w:r>
      <w:r w:rsidR="00A54B88" w:rsidRPr="009E4E70">
        <w:rPr>
          <w:b/>
          <w:sz w:val="24"/>
          <w:szCs w:val="24"/>
        </w:rPr>
        <w:t xml:space="preserve">I limiti </w:t>
      </w:r>
      <w:r w:rsidR="00334B72">
        <w:rPr>
          <w:b/>
          <w:sz w:val="24"/>
          <w:szCs w:val="24"/>
        </w:rPr>
        <w:t xml:space="preserve">teorici e sistematici </w:t>
      </w:r>
      <w:r w:rsidR="00A54B88" w:rsidRPr="009E4E70">
        <w:rPr>
          <w:b/>
          <w:sz w:val="24"/>
          <w:szCs w:val="24"/>
        </w:rPr>
        <w:t>della giurisprudenza del giudice del riparto</w:t>
      </w:r>
    </w:p>
    <w:p w14:paraId="3D91A20C" w14:textId="77777777" w:rsidR="006F5DAE" w:rsidRPr="009E4E70" w:rsidRDefault="006F5DAE" w:rsidP="00D526CC">
      <w:pPr>
        <w:pStyle w:val="Capoverso"/>
        <w:spacing w:line="360" w:lineRule="auto"/>
        <w:ind w:firstLine="0"/>
        <w:rPr>
          <w:sz w:val="24"/>
          <w:szCs w:val="24"/>
        </w:rPr>
      </w:pPr>
      <w:r w:rsidRPr="009E4E70">
        <w:rPr>
          <w:sz w:val="24"/>
          <w:szCs w:val="24"/>
        </w:rPr>
        <w:t xml:space="preserve">Una simile posizione sconta un vizio d’impostazione, prontamente rilevato dalla dottrina e dalla giurisprudenza amministrativa: quello per cui la qualificazione come interesse legittimo costituirebbe per la situazione giuridica di riferimento una </w:t>
      </w:r>
      <w:r w:rsidRPr="009E4E70">
        <w:rPr>
          <w:i/>
          <w:sz w:val="24"/>
          <w:szCs w:val="24"/>
        </w:rPr>
        <w:t>deminutio</w:t>
      </w:r>
      <w:r w:rsidRPr="009E4E70">
        <w:rPr>
          <w:sz w:val="24"/>
          <w:szCs w:val="24"/>
        </w:rPr>
        <w:t>, e non piuttosto un mezzo per accedere a forme di tutela (non correlate al valore simbolico dell’attributo “fondamentale”, bensì) parametrate al necessario ed ineliminabile ruolo del potere, e al connesso sindacato sul suo esercizio</w:t>
      </w:r>
      <w:r w:rsidRPr="009E4E70">
        <w:rPr>
          <w:rStyle w:val="Rimandonotaapidipagina"/>
          <w:sz w:val="24"/>
          <w:szCs w:val="24"/>
        </w:rPr>
        <w:t> </w:t>
      </w:r>
      <w:r w:rsidRPr="009E4E70">
        <w:rPr>
          <w:rStyle w:val="Rimandonotaapidipagina"/>
          <w:sz w:val="24"/>
          <w:szCs w:val="24"/>
        </w:rPr>
        <w:footnoteReference w:id="29"/>
      </w:r>
      <w:r w:rsidRPr="009E4E70">
        <w:rPr>
          <w:sz w:val="24"/>
          <w:szCs w:val="24"/>
        </w:rPr>
        <w:t>.</w:t>
      </w:r>
    </w:p>
    <w:p w14:paraId="17026920" w14:textId="77777777" w:rsidR="006F5DAE" w:rsidRPr="009E4E70" w:rsidRDefault="006F5DAE" w:rsidP="00D526CC">
      <w:pPr>
        <w:pStyle w:val="Capoverso"/>
        <w:spacing w:line="360" w:lineRule="auto"/>
        <w:rPr>
          <w:sz w:val="24"/>
          <w:szCs w:val="24"/>
        </w:rPr>
      </w:pPr>
      <w:r w:rsidRPr="009E4E70">
        <w:rPr>
          <w:sz w:val="24"/>
          <w:szCs w:val="24"/>
        </w:rPr>
        <w:lastRenderedPageBreak/>
        <w:t>Tanto che la dottrina più recente ha in proposito affermato che “</w:t>
      </w:r>
      <w:r w:rsidRPr="00FF2D71">
        <w:rPr>
          <w:sz w:val="24"/>
          <w:szCs w:val="24"/>
        </w:rPr>
        <w:t>Se proprio si vogliono poi declinare, in chiave processuale, i diritti fondamentali ai fini del riparto, ben potrà affermarsi che tali posizioni soggettive, ogni qual volta si incuneino in rapporti di diritto pubblico, diano luogo a ‘interessi legittimi fondamentali’ </w:t>
      </w:r>
      <w:r w:rsidRPr="009E4E70">
        <w:rPr>
          <w:sz w:val="24"/>
          <w:szCs w:val="24"/>
        </w:rPr>
        <w:t>”</w:t>
      </w:r>
      <w:r w:rsidRPr="009E4E70">
        <w:rPr>
          <w:rStyle w:val="Rimandonotaapidipagina"/>
          <w:sz w:val="24"/>
          <w:szCs w:val="24"/>
        </w:rPr>
        <w:t> </w:t>
      </w:r>
      <w:r w:rsidRPr="009E4E70">
        <w:rPr>
          <w:rStyle w:val="Rimandonotaapidipagina"/>
          <w:sz w:val="24"/>
          <w:szCs w:val="24"/>
        </w:rPr>
        <w:footnoteReference w:id="30"/>
      </w:r>
      <w:r w:rsidRPr="009E4E70">
        <w:rPr>
          <w:sz w:val="24"/>
          <w:szCs w:val="24"/>
        </w:rPr>
        <w:t>.</w:t>
      </w:r>
    </w:p>
    <w:p w14:paraId="52879E08" w14:textId="6CA835C8" w:rsidR="006F5DAE" w:rsidRPr="009E4E70" w:rsidRDefault="006F5DAE" w:rsidP="00D526CC">
      <w:pPr>
        <w:pStyle w:val="Capoverso"/>
        <w:spacing w:line="360" w:lineRule="auto"/>
        <w:rPr>
          <w:sz w:val="24"/>
          <w:szCs w:val="24"/>
        </w:rPr>
      </w:pPr>
      <w:r w:rsidRPr="009E4E70">
        <w:rPr>
          <w:sz w:val="24"/>
          <w:szCs w:val="24"/>
        </w:rPr>
        <w:t>Dunque l’indirizzo del giudice del riparto non solo sconta una difficile coerenza sistematica, e una significativa debolezza sul piano dogmatico, ma finisce con l’approntare una tutela non del tutto efficace, proprio perché svincolata dall</w:t>
      </w:r>
      <w:r w:rsidR="0015625C">
        <w:rPr>
          <w:sz w:val="24"/>
          <w:szCs w:val="24"/>
        </w:rPr>
        <w:t>e</w:t>
      </w:r>
      <w:r w:rsidRPr="009E4E70">
        <w:rPr>
          <w:sz w:val="24"/>
          <w:szCs w:val="24"/>
        </w:rPr>
        <w:t xml:space="preserve"> dinamiche della situazione giuridica soggettiva che ne costituisce l’oggetto</w:t>
      </w:r>
      <w:r w:rsidRPr="009E4E70">
        <w:rPr>
          <w:rStyle w:val="Rimandonotaapidipagina"/>
          <w:sz w:val="24"/>
          <w:szCs w:val="24"/>
        </w:rPr>
        <w:t> </w:t>
      </w:r>
      <w:r w:rsidRPr="009E4E70">
        <w:rPr>
          <w:rStyle w:val="Rimandonotaapidipagina"/>
          <w:sz w:val="24"/>
          <w:szCs w:val="24"/>
        </w:rPr>
        <w:footnoteReference w:id="31"/>
      </w:r>
      <w:r w:rsidRPr="009E4E70">
        <w:rPr>
          <w:sz w:val="24"/>
          <w:szCs w:val="24"/>
        </w:rPr>
        <w:t>.</w:t>
      </w:r>
    </w:p>
    <w:p w14:paraId="37C67598" w14:textId="77777777" w:rsidR="006F5DAE" w:rsidRPr="009E4E70" w:rsidRDefault="006F5DAE" w:rsidP="00D526CC">
      <w:pPr>
        <w:pStyle w:val="Capoverso"/>
        <w:spacing w:line="360" w:lineRule="auto"/>
        <w:rPr>
          <w:sz w:val="24"/>
          <w:szCs w:val="24"/>
        </w:rPr>
      </w:pPr>
      <w:r w:rsidRPr="009E4E70">
        <w:rPr>
          <w:sz w:val="24"/>
          <w:szCs w:val="24"/>
        </w:rPr>
        <w:t>Va infatti osservato che la teoria dell’indegradabilità dei diritti fondamentali, come è stato ricordato recentemente in giurisprudenza, “</w:t>
      </w:r>
      <w:r w:rsidRPr="00FF2D71">
        <w:rPr>
          <w:sz w:val="24"/>
          <w:szCs w:val="24"/>
        </w:rPr>
        <w:t>nasce, invero, per dare tutela effettiva al ‘bene della vita’, in una fase storica in cui la posizione di semplice interesse legittimo non era sufficiente a cagione delle limitazioni che caratterizzavano il processo amministrativo da una parte, e per la stessa connotazione dell’interesse legittimo quale interesse non direttamente protetto dall’ordinamento dall’altra. Dunque, una soluzione finalizzata all’individuazione del giudice meglio rispondente al bisogno di tutela</w:t>
      </w:r>
      <w:r w:rsidRPr="009E4E70">
        <w:rPr>
          <w:sz w:val="24"/>
          <w:szCs w:val="24"/>
        </w:rPr>
        <w:t>”</w:t>
      </w:r>
      <w:r w:rsidRPr="009E4E70">
        <w:rPr>
          <w:rStyle w:val="Rimandonotaapidipagina"/>
          <w:sz w:val="24"/>
          <w:szCs w:val="24"/>
        </w:rPr>
        <w:t> </w:t>
      </w:r>
      <w:r w:rsidRPr="009E4E70">
        <w:rPr>
          <w:rStyle w:val="Rimandonotaapidipagina"/>
          <w:sz w:val="24"/>
          <w:szCs w:val="24"/>
        </w:rPr>
        <w:footnoteReference w:id="32"/>
      </w:r>
      <w:r w:rsidRPr="009E4E70">
        <w:rPr>
          <w:sz w:val="24"/>
          <w:szCs w:val="24"/>
        </w:rPr>
        <w:t>.</w:t>
      </w:r>
    </w:p>
    <w:p w14:paraId="539A1625" w14:textId="77777777" w:rsidR="006F5DAE" w:rsidRPr="009E4E70" w:rsidRDefault="006F5DAE" w:rsidP="00D526CC">
      <w:pPr>
        <w:pStyle w:val="Capoverso"/>
        <w:spacing w:line="360" w:lineRule="auto"/>
        <w:rPr>
          <w:sz w:val="24"/>
          <w:szCs w:val="24"/>
        </w:rPr>
      </w:pPr>
      <w:r w:rsidRPr="009E4E70">
        <w:rPr>
          <w:sz w:val="24"/>
          <w:szCs w:val="24"/>
        </w:rPr>
        <w:t xml:space="preserve">Essa, attualmente, sia in ragione dello spazio sempre maggiore assunto dalla non sufficientemente avvertita dinamica del potere nella vicenda delle relative situazioni giuridiche soggettive (non </w:t>
      </w:r>
      <w:r w:rsidRPr="009E4E70">
        <w:rPr>
          <w:sz w:val="24"/>
          <w:szCs w:val="24"/>
        </w:rPr>
        <w:lastRenderedPageBreak/>
        <w:t>eliminabile strutturalmente e funzionalmente con il riferimento alla pretesa portata escludente dell’attributo “fondamentale”)</w:t>
      </w:r>
      <w:r w:rsidRPr="009E4E70">
        <w:rPr>
          <w:rStyle w:val="Rimandonotaapidipagina"/>
          <w:sz w:val="24"/>
          <w:szCs w:val="24"/>
        </w:rPr>
        <w:t> </w:t>
      </w:r>
      <w:r w:rsidRPr="009E4E70">
        <w:rPr>
          <w:rStyle w:val="Rimandonotaapidipagina"/>
          <w:sz w:val="24"/>
          <w:szCs w:val="24"/>
        </w:rPr>
        <w:footnoteReference w:id="33"/>
      </w:r>
      <w:r w:rsidRPr="009E4E70">
        <w:rPr>
          <w:sz w:val="24"/>
          <w:szCs w:val="24"/>
        </w:rPr>
        <w:t>, sia in considerazione dell’evoluzione della tutela offerta dalla giurisdizione amministrativa negli ultimi cinquanta anni (da quando, cioè, tale posizione giurisprudenziale fu elaborata)</w:t>
      </w:r>
      <w:r w:rsidRPr="009E4E70">
        <w:rPr>
          <w:rStyle w:val="Rimandonotaapidipagina"/>
          <w:sz w:val="24"/>
          <w:szCs w:val="24"/>
        </w:rPr>
        <w:t> </w:t>
      </w:r>
      <w:r w:rsidRPr="009E4E70">
        <w:rPr>
          <w:rStyle w:val="Rimandonotaapidipagina"/>
          <w:sz w:val="24"/>
          <w:szCs w:val="24"/>
        </w:rPr>
        <w:footnoteReference w:id="34"/>
      </w:r>
      <w:r w:rsidRPr="009E4E70">
        <w:rPr>
          <w:sz w:val="24"/>
          <w:szCs w:val="24"/>
        </w:rPr>
        <w:t>, per un fenomeno di eterogenesi dei fini – assumendo quale elemento dato che la finalità perseguita dal giudice del riparto sia quella dell’efficacia dei rimedi – risulta di ostacolo ad una protezione piena ed effettiva.</w:t>
      </w:r>
    </w:p>
    <w:p w14:paraId="59505FAF" w14:textId="77777777" w:rsidR="006F5DAE" w:rsidRPr="009E4E70" w:rsidRDefault="006F5DAE" w:rsidP="00D526CC">
      <w:pPr>
        <w:pStyle w:val="Capoverso"/>
        <w:spacing w:line="360" w:lineRule="auto"/>
        <w:rPr>
          <w:sz w:val="24"/>
          <w:szCs w:val="24"/>
        </w:rPr>
      </w:pPr>
      <w:r w:rsidRPr="009E4E70">
        <w:rPr>
          <w:sz w:val="24"/>
          <w:szCs w:val="24"/>
        </w:rPr>
        <w:t>Si tenga presente, in punto di effettività della tutela, che il novero delle azioni esperibili davanti al giudice amministrativo si connota per una gamma più ampia, e per la previsione di più penetranti poteri decisori, rispetto alle soluzioni offerte dal giudizio civile</w:t>
      </w:r>
      <w:r w:rsidRPr="009E4E70">
        <w:rPr>
          <w:rStyle w:val="Rimandonotaapidipagina"/>
          <w:sz w:val="24"/>
          <w:szCs w:val="24"/>
        </w:rPr>
        <w:t> </w:t>
      </w:r>
      <w:r w:rsidRPr="009E4E70">
        <w:rPr>
          <w:rStyle w:val="Rimandonotaapidipagina"/>
          <w:sz w:val="24"/>
          <w:szCs w:val="24"/>
        </w:rPr>
        <w:footnoteReference w:id="35"/>
      </w:r>
      <w:r w:rsidRPr="009E4E70">
        <w:rPr>
          <w:sz w:val="24"/>
          <w:szCs w:val="24"/>
        </w:rPr>
        <w:t>.</w:t>
      </w:r>
    </w:p>
    <w:p w14:paraId="7B739908" w14:textId="77777777" w:rsidR="006F5DAE" w:rsidRPr="009E4E70" w:rsidRDefault="006F5DAE" w:rsidP="00BC075A">
      <w:pPr>
        <w:pStyle w:val="Capoverso"/>
        <w:spacing w:line="360" w:lineRule="auto"/>
        <w:rPr>
          <w:sz w:val="24"/>
          <w:szCs w:val="24"/>
        </w:rPr>
      </w:pPr>
      <w:r w:rsidRPr="009E4E70">
        <w:rPr>
          <w:sz w:val="24"/>
          <w:szCs w:val="24"/>
        </w:rPr>
        <w:t>In una diversa ma affine prospettiva va poi considerato che nello Stato sociale “</w:t>
      </w:r>
      <w:r w:rsidRPr="00FF2D71">
        <w:rPr>
          <w:sz w:val="24"/>
          <w:szCs w:val="24"/>
        </w:rPr>
        <w:t xml:space="preserve">il ruolo della Pubblica amministrazione, di redistribuzione di risorse limitate nell’assolvimento degli obblighi e dei doveri di tutela, per un verso sembrerebbe imporre la qualificazione dei connessi diritti sociali come diritti (formalmente sanciti, ma) finanziariamente condizionati all’effettiva disponibilità delle risorse necessarie per riempirli di effettivo contenuto; e, per altro verso, pone il soggetto pubblico nella dialettica fra astratto disporre e concreto provvedere, vale a dire nella necessità, a fronte dell’incontestabile garanzia di diritti tutti parimenti tutelati e conformati, di </w:t>
      </w:r>
      <w:r w:rsidR="00E21571" w:rsidRPr="00FF2D71">
        <w:rPr>
          <w:sz w:val="24"/>
          <w:szCs w:val="24"/>
        </w:rPr>
        <w:t>r</w:t>
      </w:r>
      <w:r w:rsidRPr="00FF2D71">
        <w:rPr>
          <w:sz w:val="24"/>
          <w:szCs w:val="24"/>
        </w:rPr>
        <w:t>ipartire le (inferiori) risorse esistenti</w:t>
      </w:r>
      <w:r w:rsidRPr="009E4E70">
        <w:rPr>
          <w:sz w:val="24"/>
          <w:szCs w:val="24"/>
        </w:rPr>
        <w:t>”</w:t>
      </w:r>
      <w:r w:rsidRPr="009E4E70">
        <w:rPr>
          <w:rStyle w:val="Rimandonotaapidipagina"/>
          <w:sz w:val="24"/>
          <w:szCs w:val="24"/>
        </w:rPr>
        <w:t> </w:t>
      </w:r>
      <w:r w:rsidRPr="009E4E70">
        <w:rPr>
          <w:rStyle w:val="Rimandonotaapidipagina"/>
          <w:sz w:val="24"/>
          <w:szCs w:val="24"/>
        </w:rPr>
        <w:footnoteReference w:id="36"/>
      </w:r>
      <w:r w:rsidRPr="009E4E70">
        <w:rPr>
          <w:sz w:val="24"/>
          <w:szCs w:val="24"/>
        </w:rPr>
        <w:t>.</w:t>
      </w:r>
    </w:p>
    <w:p w14:paraId="1CC2CDA8" w14:textId="77777777" w:rsidR="006F5DAE" w:rsidRPr="009E4E70" w:rsidRDefault="006F5DAE" w:rsidP="00D526CC">
      <w:pPr>
        <w:pStyle w:val="Capoverso"/>
        <w:spacing w:line="360" w:lineRule="auto"/>
        <w:rPr>
          <w:sz w:val="24"/>
          <w:szCs w:val="24"/>
        </w:rPr>
      </w:pPr>
      <w:r w:rsidRPr="009E4E70">
        <w:rPr>
          <w:sz w:val="24"/>
          <w:szCs w:val="24"/>
        </w:rPr>
        <w:t>Il problema si appunta dunque anche sui limiti che tale potere incontra quando, per ragioni di natura finanziaria, regola l’accesso alle prestazioni necessarie a garantire l’effetti</w:t>
      </w:r>
      <w:r w:rsidRPr="009E4E70">
        <w:rPr>
          <w:sz w:val="24"/>
          <w:szCs w:val="24"/>
        </w:rPr>
        <w:softHyphen/>
        <w:t xml:space="preserve">vità del diritto: ma si tratta di un limite che solo la Corte costituzionale, in sede di bilanciamento, può individuare, in </w:t>
      </w:r>
      <w:r w:rsidRPr="009E4E70">
        <w:rPr>
          <w:sz w:val="24"/>
          <w:szCs w:val="24"/>
        </w:rPr>
        <w:lastRenderedPageBreak/>
        <w:t>termini di “tenuta costituzionale” della scelta del legislatore</w:t>
      </w:r>
      <w:r w:rsidRPr="009E4E70">
        <w:rPr>
          <w:rStyle w:val="Rimandonotaapidipagina"/>
          <w:sz w:val="24"/>
          <w:szCs w:val="24"/>
        </w:rPr>
        <w:t> </w:t>
      </w:r>
      <w:r w:rsidRPr="009E4E70">
        <w:rPr>
          <w:rStyle w:val="Rimandonotaapidipagina"/>
          <w:sz w:val="24"/>
          <w:szCs w:val="24"/>
        </w:rPr>
        <w:footnoteReference w:id="37"/>
      </w:r>
      <w:r w:rsidRPr="009E4E70">
        <w:rPr>
          <w:sz w:val="24"/>
          <w:szCs w:val="24"/>
        </w:rPr>
        <w:t>.</w:t>
      </w:r>
    </w:p>
    <w:p w14:paraId="78586258" w14:textId="77777777" w:rsidR="006F5DAE" w:rsidRPr="009E4E70" w:rsidRDefault="006F5DAE" w:rsidP="00D526CC">
      <w:pPr>
        <w:pStyle w:val="Capoverso"/>
        <w:spacing w:line="360" w:lineRule="auto"/>
        <w:rPr>
          <w:sz w:val="24"/>
          <w:szCs w:val="24"/>
        </w:rPr>
      </w:pPr>
      <w:r w:rsidRPr="009E4E70">
        <w:rPr>
          <w:sz w:val="24"/>
          <w:szCs w:val="24"/>
        </w:rPr>
        <w:t>In questa indagine, la prospettiva della “incomprimibilità” dei diritti fondamentali ad opera del potere amministrativo, elaborata dalla giurisprudenza in materia di riparto della giurisdizione, è antistorica, oltre che elusiva sul piano dogmatico: giacché “</w:t>
      </w:r>
      <w:r w:rsidRPr="00FF2D71">
        <w:rPr>
          <w:sz w:val="24"/>
          <w:szCs w:val="24"/>
        </w:rPr>
        <w:t>Il potere pubblico (...) deve rimanere potere anche innanzi ai diritti inviolabili, posto che esso nasce, in via attributiva, proprio per attuare il catalogo dei diritti costituzionali</w:t>
      </w:r>
      <w:r w:rsidRPr="009E4E70">
        <w:rPr>
          <w:sz w:val="24"/>
          <w:szCs w:val="24"/>
        </w:rPr>
        <w:t>”</w:t>
      </w:r>
      <w:r w:rsidRPr="009E4E70">
        <w:rPr>
          <w:rStyle w:val="Rimandonotaapidipagina"/>
          <w:sz w:val="24"/>
          <w:szCs w:val="24"/>
        </w:rPr>
        <w:t> </w:t>
      </w:r>
      <w:r w:rsidRPr="009E4E70">
        <w:rPr>
          <w:rStyle w:val="Rimandonotaapidipagina"/>
          <w:sz w:val="24"/>
          <w:szCs w:val="24"/>
        </w:rPr>
        <w:footnoteReference w:id="38"/>
      </w:r>
      <w:r w:rsidRPr="009E4E70">
        <w:rPr>
          <w:sz w:val="24"/>
          <w:szCs w:val="24"/>
        </w:rPr>
        <w:t>.</w:t>
      </w:r>
    </w:p>
    <w:p w14:paraId="71C1D2A3" w14:textId="77777777" w:rsidR="006F5DAE" w:rsidRPr="009E4E70" w:rsidRDefault="006F5DAE" w:rsidP="00D526CC">
      <w:pPr>
        <w:pStyle w:val="Capoverso"/>
        <w:spacing w:line="360" w:lineRule="auto"/>
        <w:rPr>
          <w:sz w:val="24"/>
          <w:szCs w:val="24"/>
        </w:rPr>
      </w:pPr>
      <w:r w:rsidRPr="009E4E70">
        <w:rPr>
          <w:sz w:val="24"/>
          <w:szCs w:val="24"/>
        </w:rPr>
        <w:t>La conseguenza applicativa della tesi qui in esame è che essa elude il sindacato della legittimità del provvedimento in tesi lesivo: tale provvedimento non potrebbe infatti, per principio, ledere un diritto fondamentale, e perciò il giudicante disapplica, ad un tempo, tanto la norma di legge attributiva del potere di provvedere, che quella che assegna al giudice amministrativo la giurisdizione sulle liti relative agli effetti dell’esercizio di detto potere.</w:t>
      </w:r>
    </w:p>
    <w:p w14:paraId="33BA9D0B" w14:textId="77777777" w:rsidR="006F5DAE" w:rsidRPr="009E4E70" w:rsidRDefault="006F5DAE" w:rsidP="00D526CC">
      <w:pPr>
        <w:pStyle w:val="Capoverso"/>
        <w:spacing w:line="360" w:lineRule="auto"/>
        <w:rPr>
          <w:sz w:val="24"/>
          <w:szCs w:val="24"/>
        </w:rPr>
      </w:pPr>
      <w:r w:rsidRPr="009E4E70">
        <w:rPr>
          <w:sz w:val="24"/>
          <w:szCs w:val="24"/>
        </w:rPr>
        <w:t>Questo percorso logico-giuridico – al di là di ogni altra considerazione – si pone in termini di insanabile contrasto, come rimarcato dalla dottrina, con i princìpi portanti del sistema, e con l’esigenza di rigore metodologico con cui, ove mai la tesi di fondo fosse esatta, il giudice dovrebbe coerentemente confrontarsi, secondo quando segnalato anche dalla più autorevole e diffusa manualistica: “</w:t>
      </w:r>
      <w:r w:rsidRPr="00FF2D71">
        <w:rPr>
          <w:sz w:val="24"/>
          <w:szCs w:val="24"/>
        </w:rPr>
        <w:t>La configurazione di diritti tutelabili ad oltranza contro ogni potere dell’amministrazione peraltro non convince: opinare nel senso che un diritto rimane diritto anche a fronte di un potere attribuito da una legge significa ritenere che esso sia stato giudicato ‘vincente’ rispetto a qualsiasi altro interesse da una fonte superiore alla legge stessa e, dunque, dalla Costituzione. Seguendo tale ragionamento, tuttavia, in presenza di un potere conferito dalla legge, il giudice non può accordare la preferenza al diritto condannando l’amministrazione e sostanzialmente disapplicando la legge, ma semmai, ove ritenga che questa abbia attribuito all’amministrazione un potere che non le spettava, deve sollevare la questione di legittimità costituzionale della legge per contrasto con la disposizione costituzionale che configura come intangibile il diritto</w:t>
      </w:r>
      <w:r w:rsidRPr="009E4E70">
        <w:rPr>
          <w:sz w:val="24"/>
          <w:szCs w:val="24"/>
        </w:rPr>
        <w:t>”</w:t>
      </w:r>
      <w:r w:rsidRPr="009E4E70">
        <w:rPr>
          <w:rStyle w:val="Rimandonotaapidipagina"/>
          <w:sz w:val="24"/>
          <w:szCs w:val="24"/>
        </w:rPr>
        <w:t> </w:t>
      </w:r>
      <w:r w:rsidRPr="009E4E70">
        <w:rPr>
          <w:rStyle w:val="Rimandonotaapidipagina"/>
          <w:sz w:val="24"/>
          <w:szCs w:val="24"/>
        </w:rPr>
        <w:footnoteReference w:id="39"/>
      </w:r>
      <w:r w:rsidRPr="009E4E70">
        <w:rPr>
          <w:sz w:val="24"/>
          <w:szCs w:val="24"/>
        </w:rPr>
        <w:t>.</w:t>
      </w:r>
    </w:p>
    <w:p w14:paraId="19278325" w14:textId="77777777" w:rsidR="006F5DAE" w:rsidRPr="009E4E70" w:rsidRDefault="006F5DAE" w:rsidP="00D526CC">
      <w:pPr>
        <w:pStyle w:val="Capoverso"/>
        <w:spacing w:line="360" w:lineRule="auto"/>
        <w:ind w:firstLine="0"/>
        <w:rPr>
          <w:sz w:val="24"/>
          <w:szCs w:val="24"/>
        </w:rPr>
      </w:pPr>
    </w:p>
    <w:p w14:paraId="1BDED53F" w14:textId="77777777" w:rsidR="00A54B88" w:rsidRPr="009E4E70" w:rsidRDefault="006F5DAE" w:rsidP="00D526CC">
      <w:pPr>
        <w:pStyle w:val="Capoverso"/>
        <w:spacing w:line="360" w:lineRule="auto"/>
        <w:ind w:firstLine="0"/>
        <w:rPr>
          <w:b/>
          <w:sz w:val="24"/>
          <w:szCs w:val="24"/>
        </w:rPr>
      </w:pPr>
      <w:r w:rsidRPr="009E4E70">
        <w:rPr>
          <w:b/>
          <w:sz w:val="24"/>
          <w:szCs w:val="24"/>
        </w:rPr>
        <w:t>4.</w:t>
      </w:r>
      <w:r w:rsidRPr="009E4E70">
        <w:rPr>
          <w:b/>
          <w:sz w:val="24"/>
          <w:szCs w:val="24"/>
        </w:rPr>
        <w:tab/>
      </w:r>
      <w:r w:rsidR="00F94ACE">
        <w:rPr>
          <w:b/>
          <w:sz w:val="24"/>
          <w:szCs w:val="24"/>
        </w:rPr>
        <w:t>I limiti della regola di riparto sul piano dell</w:t>
      </w:r>
      <w:r w:rsidR="00334B72">
        <w:rPr>
          <w:b/>
          <w:sz w:val="24"/>
          <w:szCs w:val="24"/>
        </w:rPr>
        <w:t>’efficacia della tutela: i</w:t>
      </w:r>
      <w:r w:rsidR="00A54B88" w:rsidRPr="009E4E70">
        <w:rPr>
          <w:b/>
          <w:sz w:val="24"/>
          <w:szCs w:val="24"/>
        </w:rPr>
        <w:t>l ruolo del potere amministrativo nella conformazione del diritto</w:t>
      </w:r>
      <w:r w:rsidR="00F94ACE">
        <w:rPr>
          <w:b/>
          <w:sz w:val="24"/>
          <w:szCs w:val="24"/>
        </w:rPr>
        <w:t>.</w:t>
      </w:r>
    </w:p>
    <w:p w14:paraId="4EA78B35" w14:textId="77777777" w:rsidR="006F5DAE" w:rsidRPr="009E4E70" w:rsidRDefault="006F5DAE" w:rsidP="00D526CC">
      <w:pPr>
        <w:pStyle w:val="Capoverso"/>
        <w:spacing w:line="360" w:lineRule="auto"/>
        <w:ind w:firstLine="0"/>
        <w:rPr>
          <w:sz w:val="24"/>
          <w:szCs w:val="24"/>
        </w:rPr>
      </w:pPr>
      <w:r w:rsidRPr="009E4E70">
        <w:rPr>
          <w:sz w:val="24"/>
          <w:szCs w:val="24"/>
        </w:rPr>
        <w:t>È facile concepire la tutela dei diritti in una prospettiva assolutista: prospettiva antistorica, in quanto smentita anche dalle fonti sovranazionali che invece, proiettando in una dimensione continentale la forma di Stato sociale pluriclasse sorta dalle costituzioni nazionali del secondo dopoguerra, pongono un sistema esasperatamente pluralistico, bisognoso di una verifica di compatibilità senza la quale ogni pretesa affermazione della tutela di un diritto, o è meramente demagogica, oppure è inevitabilmente parziale (perché trascura di considerare che il titolare del diritto vive in una società complessa, cui corrisponde un sistema giuridico pluralista)</w:t>
      </w:r>
      <w:r w:rsidRPr="009E4E70">
        <w:rPr>
          <w:rStyle w:val="Rimandonotaapidipagina"/>
          <w:sz w:val="24"/>
          <w:szCs w:val="24"/>
        </w:rPr>
        <w:t> </w:t>
      </w:r>
      <w:r w:rsidRPr="009E4E70">
        <w:rPr>
          <w:rStyle w:val="Rimandonotaapidipagina"/>
          <w:sz w:val="24"/>
          <w:szCs w:val="24"/>
        </w:rPr>
        <w:footnoteReference w:id="40"/>
      </w:r>
      <w:r w:rsidRPr="009E4E70">
        <w:rPr>
          <w:sz w:val="24"/>
          <w:szCs w:val="24"/>
        </w:rPr>
        <w:t>.</w:t>
      </w:r>
    </w:p>
    <w:p w14:paraId="0C94485F" w14:textId="77777777" w:rsidR="006F5DAE" w:rsidRPr="009E4E70" w:rsidRDefault="006F5DAE" w:rsidP="00D526CC">
      <w:pPr>
        <w:pStyle w:val="Capoverso"/>
        <w:spacing w:line="360" w:lineRule="auto"/>
        <w:rPr>
          <w:sz w:val="24"/>
          <w:szCs w:val="24"/>
        </w:rPr>
      </w:pPr>
      <w:r w:rsidRPr="009E4E70">
        <w:rPr>
          <w:sz w:val="24"/>
          <w:szCs w:val="24"/>
        </w:rPr>
        <w:t>La dialettica autorità-libertà, che nello Stato liberale seguiva una logica tendenzialmente binaria, nello Stato sociale si caratterizza invece per la presenza (anche) dei portatori di interessi antagonisti rispetto alla funzione distributiva di utilità che l’ammi</w:t>
      </w:r>
      <w:r w:rsidRPr="009E4E70">
        <w:rPr>
          <w:sz w:val="24"/>
          <w:szCs w:val="24"/>
        </w:rPr>
        <w:softHyphen/>
        <w:t>nistrazione si trova ad esercitare</w:t>
      </w:r>
      <w:r w:rsidRPr="009E4E70">
        <w:rPr>
          <w:rStyle w:val="Rimandonotaapidipagina"/>
          <w:sz w:val="24"/>
          <w:szCs w:val="24"/>
        </w:rPr>
        <w:t> </w:t>
      </w:r>
      <w:r w:rsidRPr="009E4E70">
        <w:rPr>
          <w:rStyle w:val="Rimandonotaapidipagina"/>
          <w:sz w:val="24"/>
          <w:szCs w:val="24"/>
        </w:rPr>
        <w:footnoteReference w:id="41"/>
      </w:r>
      <w:r w:rsidRPr="009E4E70">
        <w:rPr>
          <w:sz w:val="24"/>
          <w:szCs w:val="24"/>
        </w:rPr>
        <w:t>.</w:t>
      </w:r>
    </w:p>
    <w:p w14:paraId="2FA92F5E" w14:textId="77777777" w:rsidR="006F5DAE" w:rsidRPr="009E4E70" w:rsidRDefault="006F5DAE" w:rsidP="00D526CC">
      <w:pPr>
        <w:pStyle w:val="Capoverso"/>
        <w:spacing w:line="360" w:lineRule="auto"/>
        <w:rPr>
          <w:sz w:val="24"/>
          <w:szCs w:val="24"/>
        </w:rPr>
      </w:pPr>
      <w:r w:rsidRPr="009E4E70">
        <w:rPr>
          <w:sz w:val="24"/>
          <w:szCs w:val="24"/>
        </w:rPr>
        <w:t xml:space="preserve">Il pluralismo pone infatti la necessità che, a fronte di tali, plurime esigenze potenzialmente antagoniste, si rinvenga, come criterio ordinatore, un </w:t>
      </w:r>
      <w:r w:rsidRPr="009E4E70">
        <w:rPr>
          <w:i/>
          <w:sz w:val="24"/>
          <w:szCs w:val="24"/>
        </w:rPr>
        <w:t>limite di compatibilità</w:t>
      </w:r>
      <w:r w:rsidRPr="009E4E70">
        <w:rPr>
          <w:sz w:val="24"/>
          <w:szCs w:val="24"/>
        </w:rPr>
        <w:t xml:space="preserve"> di ciascun diritto, anche mediante l’individuazione (normativa, e non soggettiva) di una </w:t>
      </w:r>
      <w:r w:rsidRPr="009E4E70">
        <w:rPr>
          <w:i/>
          <w:sz w:val="24"/>
          <w:szCs w:val="24"/>
        </w:rPr>
        <w:t>gerarchia fra gli interessi</w:t>
      </w:r>
      <w:r w:rsidRPr="009E4E70">
        <w:rPr>
          <w:sz w:val="24"/>
          <w:szCs w:val="24"/>
        </w:rPr>
        <w:t xml:space="preserve"> (tutti fondamentali)</w:t>
      </w:r>
      <w:r w:rsidRPr="009E4E70">
        <w:rPr>
          <w:rStyle w:val="Rimandonotaapidipagina"/>
          <w:sz w:val="24"/>
          <w:szCs w:val="24"/>
        </w:rPr>
        <w:t> </w:t>
      </w:r>
      <w:r w:rsidRPr="009E4E70">
        <w:rPr>
          <w:rStyle w:val="Rimandonotaapidipagina"/>
          <w:sz w:val="24"/>
          <w:szCs w:val="24"/>
        </w:rPr>
        <w:footnoteReference w:id="42"/>
      </w:r>
      <w:r w:rsidRPr="009E4E70">
        <w:rPr>
          <w:sz w:val="24"/>
          <w:szCs w:val="24"/>
        </w:rPr>
        <w:t>.</w:t>
      </w:r>
    </w:p>
    <w:p w14:paraId="088AEE3C" w14:textId="77777777" w:rsidR="006F5DAE" w:rsidRPr="009E4E70" w:rsidRDefault="006F5DAE" w:rsidP="00D526CC">
      <w:pPr>
        <w:pStyle w:val="Capoverso"/>
        <w:spacing w:line="360" w:lineRule="auto"/>
        <w:rPr>
          <w:sz w:val="24"/>
          <w:szCs w:val="24"/>
        </w:rPr>
      </w:pPr>
      <w:r w:rsidRPr="009E4E70">
        <w:rPr>
          <w:sz w:val="24"/>
          <w:szCs w:val="24"/>
        </w:rPr>
        <w:lastRenderedPageBreak/>
        <w:t>D’altra parte l’opposta prospettiva egalitaria, oltre ad essere incompatibile con chiare indicazioni sia sistematiche che positivizzate, rischierebbe di condurre il sistema allo stallo e alla paralisi: la soluzione dei possibili conflitti fra interessi antagonisti passa dunque per una preliminare ricognizione della loro rilevanza giuridica, anche in chiave reciproca e relazionale, dalla quale è dato rinvenire, “</w:t>
      </w:r>
      <w:r w:rsidRPr="00FF2D71">
        <w:rPr>
          <w:sz w:val="24"/>
          <w:szCs w:val="24"/>
        </w:rPr>
        <w:t>come criterio ordinante, una gerarchia di (e fra) beni e interessi tutti destinatari di tutela</w:t>
      </w:r>
      <w:r w:rsidRPr="009E4E70">
        <w:rPr>
          <w:sz w:val="24"/>
          <w:szCs w:val="24"/>
        </w:rPr>
        <w:t>”</w:t>
      </w:r>
      <w:r w:rsidRPr="009E4E70">
        <w:rPr>
          <w:rStyle w:val="Rimandonotaapidipagina"/>
          <w:sz w:val="24"/>
          <w:szCs w:val="24"/>
        </w:rPr>
        <w:t> </w:t>
      </w:r>
      <w:r w:rsidRPr="009E4E70">
        <w:rPr>
          <w:rStyle w:val="Rimandonotaapidipagina"/>
          <w:sz w:val="24"/>
          <w:szCs w:val="24"/>
        </w:rPr>
        <w:footnoteReference w:id="43"/>
      </w:r>
      <w:r w:rsidRPr="009E4E70">
        <w:rPr>
          <w:sz w:val="24"/>
          <w:szCs w:val="24"/>
        </w:rPr>
        <w:t>.</w:t>
      </w:r>
    </w:p>
    <w:p w14:paraId="54E23968" w14:textId="77777777" w:rsidR="006F5DAE" w:rsidRPr="009E4E70" w:rsidRDefault="006F5DAE" w:rsidP="00D526CC">
      <w:pPr>
        <w:pStyle w:val="Capoverso"/>
        <w:spacing w:line="360" w:lineRule="auto"/>
        <w:rPr>
          <w:sz w:val="24"/>
          <w:szCs w:val="24"/>
        </w:rPr>
      </w:pPr>
      <w:r w:rsidRPr="009E4E70">
        <w:rPr>
          <w:sz w:val="24"/>
          <w:szCs w:val="24"/>
        </w:rPr>
        <w:t>Il tradursi in atto del potere amministrativo, attraverso la sistematizzazione della “</w:t>
      </w:r>
      <w:r w:rsidRPr="00FF2D71">
        <w:rPr>
          <w:sz w:val="24"/>
          <w:szCs w:val="24"/>
        </w:rPr>
        <w:t>scala di valori da comparare ai fini dell’adozione del provvedimento</w:t>
      </w:r>
      <w:r w:rsidRPr="009E4E70">
        <w:rPr>
          <w:sz w:val="24"/>
          <w:szCs w:val="24"/>
        </w:rPr>
        <w:t>”</w:t>
      </w:r>
      <w:r w:rsidRPr="009E4E70">
        <w:rPr>
          <w:rStyle w:val="Rimandonotaapidipagina"/>
          <w:sz w:val="24"/>
          <w:szCs w:val="24"/>
        </w:rPr>
        <w:t> </w:t>
      </w:r>
      <w:r w:rsidRPr="009E4E70">
        <w:rPr>
          <w:rStyle w:val="Rimandonotaapidipagina"/>
          <w:sz w:val="24"/>
          <w:szCs w:val="24"/>
        </w:rPr>
        <w:footnoteReference w:id="44"/>
      </w:r>
      <w:r w:rsidRPr="009E4E70">
        <w:rPr>
          <w:sz w:val="24"/>
          <w:szCs w:val="24"/>
        </w:rPr>
        <w:t>, è il veicolo attraverso il quale tale gerarchia degli interessi, fissata a livello normativo, trova sintesi e concreta attuazione: il che esclude la stessa predicabilità, in astratto, del carattere illimitato (e, dunque, non comprimibile) del diritto fondamentale</w:t>
      </w:r>
      <w:r w:rsidRPr="009E4E70">
        <w:rPr>
          <w:rStyle w:val="Rimandonotaapidipagina"/>
          <w:sz w:val="24"/>
          <w:szCs w:val="24"/>
        </w:rPr>
        <w:t> </w:t>
      </w:r>
      <w:r w:rsidRPr="009E4E70">
        <w:rPr>
          <w:rStyle w:val="Rimandonotaapidipagina"/>
          <w:sz w:val="24"/>
          <w:szCs w:val="24"/>
        </w:rPr>
        <w:footnoteReference w:id="45"/>
      </w:r>
      <w:r w:rsidRPr="009E4E70">
        <w:rPr>
          <w:sz w:val="24"/>
          <w:szCs w:val="24"/>
        </w:rPr>
        <w:t>.</w:t>
      </w:r>
    </w:p>
    <w:p w14:paraId="05C11ACF" w14:textId="77777777" w:rsidR="006F5DAE" w:rsidRPr="009E4E70" w:rsidRDefault="006F5DAE" w:rsidP="00D526CC">
      <w:pPr>
        <w:pStyle w:val="Capoverso"/>
        <w:spacing w:line="360" w:lineRule="auto"/>
        <w:rPr>
          <w:sz w:val="24"/>
          <w:szCs w:val="24"/>
        </w:rPr>
      </w:pPr>
      <w:r w:rsidRPr="009E4E70">
        <w:rPr>
          <w:sz w:val="24"/>
          <w:szCs w:val="24"/>
        </w:rPr>
        <w:t>Il potere amministrativo gioca dunque nella vicenda non già un ruolo di limite, ma al contrario di necessario meccanismo di attuazione del diritto</w:t>
      </w:r>
      <w:r w:rsidRPr="009E4E70">
        <w:rPr>
          <w:rStyle w:val="Rimandonotaapidipagina"/>
          <w:sz w:val="24"/>
          <w:szCs w:val="24"/>
        </w:rPr>
        <w:t> </w:t>
      </w:r>
      <w:r w:rsidRPr="009E4E70">
        <w:rPr>
          <w:rStyle w:val="Rimandonotaapidipagina"/>
          <w:sz w:val="24"/>
          <w:szCs w:val="24"/>
        </w:rPr>
        <w:footnoteReference w:id="46"/>
      </w:r>
      <w:r w:rsidRPr="009E4E70">
        <w:rPr>
          <w:sz w:val="24"/>
          <w:szCs w:val="24"/>
        </w:rPr>
        <w:t>.</w:t>
      </w:r>
    </w:p>
    <w:p w14:paraId="5C2E2A60" w14:textId="77777777" w:rsidR="006F5DAE" w:rsidRPr="009E4E70" w:rsidRDefault="006F5DAE" w:rsidP="00D526CC">
      <w:pPr>
        <w:pStyle w:val="Capoverso"/>
        <w:spacing w:line="360" w:lineRule="auto"/>
        <w:rPr>
          <w:sz w:val="24"/>
          <w:szCs w:val="24"/>
        </w:rPr>
      </w:pPr>
      <w:r w:rsidRPr="009E4E70">
        <w:rPr>
          <w:sz w:val="24"/>
          <w:szCs w:val="24"/>
        </w:rPr>
        <w:t>La verifica della legittimità dell’esercizio del potere, avuto riguardo al parametro normativo regolante la gerarchia fra gli interessi (e la concreta disciplina di questi), è dunque la prospettiva per una coerente ed efficace verifica della effettività della tutela dei diritti fondamentali (conformati): anche in ipotesi di negazione della pienezza della tutela per ragioni legate all’incapienza delle risorse.</w:t>
      </w:r>
    </w:p>
    <w:p w14:paraId="721C8109" w14:textId="77777777" w:rsidR="006F5DAE" w:rsidRPr="009E4E70" w:rsidRDefault="006F5DAE" w:rsidP="00D526CC">
      <w:pPr>
        <w:pStyle w:val="Capoverso"/>
        <w:spacing w:line="360" w:lineRule="auto"/>
        <w:rPr>
          <w:spacing w:val="2"/>
          <w:sz w:val="24"/>
          <w:szCs w:val="24"/>
        </w:rPr>
      </w:pPr>
      <w:r w:rsidRPr="009E4E70">
        <w:rPr>
          <w:spacing w:val="2"/>
          <w:sz w:val="24"/>
          <w:szCs w:val="24"/>
        </w:rPr>
        <w:lastRenderedPageBreak/>
        <w:t>In tale prospettiva la tesi dell’indegradabilità dei diritti fondamentali rischia di perdere, peraltro, anche il suo presupposto logico, vale a dire la teoria della degradazione, giacché il fenomeno fin qui descritto può spiegarsi, come ribadito di recente, anche attraverso il superamento di questo schematismo reciprocamente escludente in favore di una relazione di compresenza “</w:t>
      </w:r>
      <w:r w:rsidRPr="00FF2D71">
        <w:rPr>
          <w:spacing w:val="2"/>
          <w:sz w:val="24"/>
          <w:szCs w:val="24"/>
        </w:rPr>
        <w:t>Non c’è nella dinamica delle posizioni giuridiche alcun fenomeno di degradazione: diritti soggettivi e interessi legittimi piuttosto convivono tutte le volte in cui l’interesse sostanziale di cui la persona è titolare è protetto nella vita di relazione e al contempo il suo godimento è conformato dalla legge attraverso la previsione di un potere pubblico che ne assicuri la compatibilità rispetto agli interessi della collettività</w:t>
      </w:r>
      <w:r w:rsidRPr="009E4E70">
        <w:rPr>
          <w:spacing w:val="2"/>
          <w:sz w:val="24"/>
          <w:szCs w:val="24"/>
        </w:rPr>
        <w:t>”</w:t>
      </w:r>
      <w:r w:rsidRPr="009E4E70">
        <w:rPr>
          <w:rStyle w:val="Rimandonotaapidipagina"/>
          <w:spacing w:val="2"/>
          <w:sz w:val="24"/>
          <w:szCs w:val="24"/>
        </w:rPr>
        <w:t> </w:t>
      </w:r>
      <w:r w:rsidRPr="009E4E70">
        <w:rPr>
          <w:rStyle w:val="Rimandonotaapidipagina"/>
          <w:spacing w:val="2"/>
          <w:sz w:val="24"/>
          <w:szCs w:val="24"/>
        </w:rPr>
        <w:footnoteReference w:id="47"/>
      </w:r>
      <w:r w:rsidRPr="009E4E70">
        <w:rPr>
          <w:spacing w:val="2"/>
          <w:sz w:val="24"/>
          <w:szCs w:val="24"/>
        </w:rPr>
        <w:t>.</w:t>
      </w:r>
    </w:p>
    <w:p w14:paraId="4A8F2025" w14:textId="77777777" w:rsidR="006F5DAE" w:rsidRPr="009E4E70" w:rsidRDefault="006F5DAE" w:rsidP="00D526CC">
      <w:pPr>
        <w:pStyle w:val="Capoverso"/>
        <w:spacing w:line="360" w:lineRule="auto"/>
        <w:ind w:firstLine="0"/>
        <w:rPr>
          <w:sz w:val="24"/>
          <w:szCs w:val="24"/>
        </w:rPr>
      </w:pPr>
    </w:p>
    <w:p w14:paraId="6FD0F83E" w14:textId="77777777" w:rsidR="00A54B88" w:rsidRPr="009E4E70" w:rsidRDefault="006F5DAE" w:rsidP="00D526CC">
      <w:pPr>
        <w:pStyle w:val="Capoverso"/>
        <w:spacing w:line="360" w:lineRule="auto"/>
        <w:ind w:firstLine="0"/>
        <w:rPr>
          <w:b/>
          <w:sz w:val="24"/>
          <w:szCs w:val="24"/>
        </w:rPr>
      </w:pPr>
      <w:r w:rsidRPr="009E4E70">
        <w:rPr>
          <w:b/>
          <w:sz w:val="24"/>
          <w:szCs w:val="24"/>
        </w:rPr>
        <w:t>5.</w:t>
      </w:r>
      <w:r w:rsidRPr="009E4E70">
        <w:rPr>
          <w:b/>
          <w:sz w:val="24"/>
          <w:szCs w:val="24"/>
        </w:rPr>
        <w:tab/>
      </w:r>
      <w:r w:rsidR="00A54B88" w:rsidRPr="009E4E70">
        <w:rPr>
          <w:b/>
          <w:sz w:val="24"/>
          <w:szCs w:val="24"/>
        </w:rPr>
        <w:t>Il confronto con la dimensione europea e sovranazionale</w:t>
      </w:r>
    </w:p>
    <w:p w14:paraId="3ED04355" w14:textId="77777777" w:rsidR="004A382E" w:rsidRPr="009E4E70" w:rsidRDefault="006F5DAE" w:rsidP="00D526CC">
      <w:pPr>
        <w:pStyle w:val="Capoverso"/>
        <w:spacing w:line="360" w:lineRule="auto"/>
        <w:ind w:firstLine="0"/>
        <w:rPr>
          <w:sz w:val="24"/>
          <w:szCs w:val="24"/>
        </w:rPr>
      </w:pPr>
      <w:r w:rsidRPr="009E4E70">
        <w:rPr>
          <w:sz w:val="24"/>
          <w:szCs w:val="24"/>
        </w:rPr>
        <w:t>Uno degli argomenti, o degli strumenti, con i quali nel recente dibattito giuridico si tende talora a rafforzare l’argomentazione di una riduzione di spazi della giurisdizione amministrativa, in ragione della natura fondamentale della situazione giuridica soggettiva tutelata, è quello del richiamo – non senza una certa enfasi argomentativa (di solito inversamente proporzionale al rigore del metodo) – al diritto dell’Unione europea, o al sistema della CEDU</w:t>
      </w:r>
      <w:r w:rsidR="004A382E" w:rsidRPr="009E4E70">
        <w:rPr>
          <w:sz w:val="24"/>
          <w:szCs w:val="24"/>
        </w:rPr>
        <w:t>.</w:t>
      </w:r>
    </w:p>
    <w:p w14:paraId="56B3E16E" w14:textId="77777777" w:rsidR="006F5DAE" w:rsidRPr="009E4E70" w:rsidRDefault="006F5DAE" w:rsidP="00D526CC">
      <w:pPr>
        <w:pStyle w:val="Capoverso"/>
        <w:spacing w:line="360" w:lineRule="auto"/>
        <w:rPr>
          <w:spacing w:val="2"/>
          <w:sz w:val="24"/>
          <w:szCs w:val="24"/>
        </w:rPr>
      </w:pPr>
      <w:r w:rsidRPr="009E4E70">
        <w:rPr>
          <w:spacing w:val="2"/>
          <w:sz w:val="24"/>
          <w:szCs w:val="24"/>
        </w:rPr>
        <w:t>In questo contesto, che ovviamente riguarda un fenomeno culturale ben più esteso della dialettica giurisprudenziale, nel solco dell’orientamento che tralaticiamente riproduce la tesi della incomprimibilità dei diritti fondamentali da parte del potere amministrativo alcune decisioni affermano che il diritto fondamentale sarebbe incomprimibile perché protetto (anche) dalla Carta europea dei diritti fondamentali, o dalla CEDU (tralasciando evidentemente di considerare che sul piano valoriale – che è quello su cui fa leva questa narrazione – tali Carte costituiscono la sintesi delle tradizioni costituzionali degli Stati membri)</w:t>
      </w:r>
      <w:r w:rsidRPr="009E4E70">
        <w:rPr>
          <w:rStyle w:val="Rimandonotaapidipagina"/>
          <w:spacing w:val="2"/>
          <w:sz w:val="24"/>
          <w:szCs w:val="24"/>
        </w:rPr>
        <w:t> </w:t>
      </w:r>
      <w:r w:rsidRPr="009E4E70">
        <w:rPr>
          <w:rStyle w:val="Rimandonotaapidipagina"/>
          <w:spacing w:val="2"/>
          <w:sz w:val="24"/>
          <w:szCs w:val="24"/>
        </w:rPr>
        <w:footnoteReference w:id="48"/>
      </w:r>
      <w:r w:rsidRPr="009E4E70">
        <w:rPr>
          <w:spacing w:val="2"/>
          <w:sz w:val="24"/>
          <w:szCs w:val="24"/>
        </w:rPr>
        <w:t>.</w:t>
      </w:r>
    </w:p>
    <w:p w14:paraId="4DDC12B9" w14:textId="77777777" w:rsidR="006F5DAE" w:rsidRPr="009E4E70" w:rsidRDefault="006F5DAE" w:rsidP="00D526CC">
      <w:pPr>
        <w:pStyle w:val="Capoverso"/>
        <w:spacing w:line="360" w:lineRule="auto"/>
        <w:rPr>
          <w:sz w:val="24"/>
          <w:szCs w:val="24"/>
        </w:rPr>
      </w:pPr>
      <w:r w:rsidRPr="009E4E70">
        <w:rPr>
          <w:sz w:val="24"/>
          <w:szCs w:val="24"/>
        </w:rPr>
        <w:t>Ora, proprio se si solleva lo sguardo dal dibattito interno sulla giurisdizione e si sposta la prospettiva d’indagine in ambito europeo, specie dopo l’entrata in vigore del Trattato di Lisbona, ci si avvede che in quel contesto l’approccio al tema della tutela dei diritti fondamentali è ben consapevole che la dialettica fra potere amministrativo e tutela dei diritti non risolve operando una rimozione del primo, ma sottoponendolo a verifica giurisdizionale da parte del giudice della funzione amministrativa</w:t>
      </w:r>
      <w:r w:rsidRPr="009E4E70">
        <w:rPr>
          <w:rStyle w:val="Rimandonotaapidipagina"/>
          <w:sz w:val="24"/>
          <w:szCs w:val="24"/>
        </w:rPr>
        <w:t> </w:t>
      </w:r>
      <w:r w:rsidRPr="009E4E70">
        <w:rPr>
          <w:rStyle w:val="Rimandonotaapidipagina"/>
          <w:sz w:val="24"/>
          <w:szCs w:val="24"/>
        </w:rPr>
        <w:footnoteReference w:id="49"/>
      </w:r>
      <w:r w:rsidRPr="009E4E70">
        <w:rPr>
          <w:sz w:val="24"/>
          <w:szCs w:val="24"/>
        </w:rPr>
        <w:t>.</w:t>
      </w:r>
    </w:p>
    <w:p w14:paraId="0EC73447" w14:textId="77777777" w:rsidR="006F5DAE" w:rsidRPr="009E4E70" w:rsidRDefault="006F5DAE" w:rsidP="00D526CC">
      <w:pPr>
        <w:pStyle w:val="Capoverso"/>
        <w:spacing w:line="360" w:lineRule="auto"/>
        <w:rPr>
          <w:sz w:val="24"/>
          <w:szCs w:val="24"/>
        </w:rPr>
      </w:pPr>
      <w:r w:rsidRPr="009E4E70">
        <w:rPr>
          <w:sz w:val="24"/>
          <w:szCs w:val="24"/>
        </w:rPr>
        <w:lastRenderedPageBreak/>
        <w:t xml:space="preserve">Così, se in Francia si fosse ragionato secondo l’armamentario (ideo)logico utilizzato da simili decisioni, non sarebbe mai esistita la giurisprudenza </w:t>
      </w:r>
      <w:r w:rsidRPr="009E4E70">
        <w:rPr>
          <w:i/>
          <w:sz w:val="24"/>
          <w:szCs w:val="24"/>
        </w:rPr>
        <w:t>Commune de</w:t>
      </w:r>
      <w:r w:rsidRPr="009E4E70">
        <w:rPr>
          <w:sz w:val="24"/>
          <w:szCs w:val="24"/>
        </w:rPr>
        <w:t xml:space="preserve"> </w:t>
      </w:r>
      <w:r w:rsidRPr="009E4E70">
        <w:rPr>
          <w:i/>
          <w:sz w:val="24"/>
          <w:szCs w:val="24"/>
        </w:rPr>
        <w:t>Morsang-sur-Orge</w:t>
      </w:r>
      <w:r w:rsidRPr="009E4E70">
        <w:rPr>
          <w:sz w:val="24"/>
          <w:szCs w:val="24"/>
        </w:rPr>
        <w:t xml:space="preserve"> del </w:t>
      </w:r>
      <w:r w:rsidRPr="009E4E70">
        <w:rPr>
          <w:i/>
          <w:sz w:val="24"/>
          <w:szCs w:val="24"/>
        </w:rPr>
        <w:t>Conseil d’État</w:t>
      </w:r>
      <w:r w:rsidRPr="009E4E70">
        <w:rPr>
          <w:sz w:val="24"/>
          <w:szCs w:val="24"/>
        </w:rPr>
        <w:t>, giustamente ritenuta la punta avanzata della giurisprudenza europea in materia di protezione giurisdizionale della dignità umana</w:t>
      </w:r>
      <w:r w:rsidRPr="009E4E70">
        <w:rPr>
          <w:rStyle w:val="Rimandonotaapidipagina"/>
          <w:sz w:val="24"/>
          <w:szCs w:val="24"/>
        </w:rPr>
        <w:t> </w:t>
      </w:r>
      <w:r w:rsidRPr="009E4E70">
        <w:rPr>
          <w:rStyle w:val="Rimandonotaapidipagina"/>
          <w:sz w:val="24"/>
          <w:szCs w:val="24"/>
        </w:rPr>
        <w:footnoteReference w:id="50"/>
      </w:r>
      <w:r w:rsidRPr="009E4E70">
        <w:rPr>
          <w:sz w:val="24"/>
          <w:szCs w:val="24"/>
        </w:rPr>
        <w:t>.</w:t>
      </w:r>
    </w:p>
    <w:p w14:paraId="0B2D3EF2" w14:textId="77777777" w:rsidR="006F5DAE" w:rsidRPr="009E4E70" w:rsidRDefault="006F5DAE" w:rsidP="00D526CC">
      <w:pPr>
        <w:pStyle w:val="Capoverso"/>
        <w:spacing w:line="360" w:lineRule="auto"/>
        <w:rPr>
          <w:sz w:val="24"/>
          <w:szCs w:val="24"/>
        </w:rPr>
      </w:pPr>
      <w:r w:rsidRPr="009E4E70">
        <w:rPr>
          <w:sz w:val="24"/>
          <w:szCs w:val="24"/>
        </w:rPr>
        <w:t>Lo scrutinio della legittimità dell’atto amministrativo suppone una valutazione della conformità al – non sempre univoco – parametro normativo dell’esercizio della funzione, più che la fideistica affermazione di un diritto in quanto tale, che è riduttivo e miope cogliere nella sua attribuzione meramente formale, laddove esso assume rilevanza – ed effettività – proprio in funzione della esatta ricognizione dei limiti della sua conformazione ad opera della pubblica autorità.</w:t>
      </w:r>
    </w:p>
    <w:p w14:paraId="61D47166" w14:textId="77777777" w:rsidR="006F5DAE" w:rsidRPr="009E4E70" w:rsidRDefault="006F5DAE" w:rsidP="00D526CC">
      <w:pPr>
        <w:pStyle w:val="Capoverso"/>
        <w:spacing w:line="360" w:lineRule="auto"/>
        <w:rPr>
          <w:sz w:val="24"/>
          <w:szCs w:val="24"/>
        </w:rPr>
      </w:pPr>
      <w:r w:rsidRPr="009E4E70">
        <w:rPr>
          <w:sz w:val="24"/>
          <w:szCs w:val="24"/>
        </w:rPr>
        <w:t xml:space="preserve">In ogni caso, laddove nel merito neppure la giurisprudenza costituzionale convincesse il giudice dei diritti, lo strumento metodologico di reazione più corretto appare essere comunque – come segnalato dalla dottrina citata in precedenza – quello della questione incidentale di legittimità costituzionale, e non la disapplicazione </w:t>
      </w:r>
      <w:r w:rsidRPr="009E4E70">
        <w:rPr>
          <w:i/>
          <w:sz w:val="24"/>
          <w:szCs w:val="24"/>
        </w:rPr>
        <w:t>sic et simpliciter</w:t>
      </w:r>
      <w:r w:rsidRPr="009E4E70">
        <w:rPr>
          <w:sz w:val="24"/>
          <w:szCs w:val="24"/>
        </w:rPr>
        <w:t xml:space="preserve"> della norma attributiva del potere, in contrasto con tale orientamento.</w:t>
      </w:r>
    </w:p>
    <w:p w14:paraId="2E0F4BB2" w14:textId="77777777" w:rsidR="006F5DAE" w:rsidRPr="009E4E70" w:rsidRDefault="006F5DAE" w:rsidP="00D526CC">
      <w:pPr>
        <w:pStyle w:val="Capoverso"/>
        <w:spacing w:line="360" w:lineRule="auto"/>
        <w:rPr>
          <w:sz w:val="24"/>
          <w:szCs w:val="24"/>
        </w:rPr>
      </w:pPr>
      <w:r w:rsidRPr="009E4E70">
        <w:rPr>
          <w:sz w:val="24"/>
          <w:szCs w:val="24"/>
        </w:rPr>
        <w:t>Lo schema di riferimento è quello della regolazione delle attività soggette a regime amministrativo: nella quale l’amministrazione opera una ponderazione comparativa dei contrapposti interessi, inclusi quelli afferenti la titolarità di posizioni di diritto (fondamentale), alla stregua delle norme di relazione (in tesi anche costituzionali e convenzionali) che costituiscono il parametro e la misura della tutela di quei diritti.</w:t>
      </w:r>
    </w:p>
    <w:p w14:paraId="1BD7A5E3" w14:textId="77777777" w:rsidR="006F5DAE" w:rsidRPr="009E4E70" w:rsidRDefault="006F5DAE" w:rsidP="00D526CC">
      <w:pPr>
        <w:pStyle w:val="Capoverso"/>
        <w:spacing w:line="360" w:lineRule="auto"/>
        <w:rPr>
          <w:sz w:val="24"/>
          <w:szCs w:val="24"/>
        </w:rPr>
      </w:pPr>
      <w:r w:rsidRPr="009E4E70">
        <w:rPr>
          <w:sz w:val="24"/>
          <w:szCs w:val="24"/>
        </w:rPr>
        <w:t>Il giudice amministrativo, in seconda battuta, in sede di giurisdizione generale di legittimità, ovvero di giurisdizione esclusiva sui diritti, verifica la conformità al ridetto parametro della scelta discrezionale operata.</w:t>
      </w:r>
    </w:p>
    <w:p w14:paraId="3B03AE1C" w14:textId="77777777" w:rsidR="006F5DAE" w:rsidRPr="009E4E70" w:rsidRDefault="006F5DAE" w:rsidP="00D526CC">
      <w:pPr>
        <w:pStyle w:val="Capoverso"/>
        <w:spacing w:line="360" w:lineRule="auto"/>
        <w:rPr>
          <w:sz w:val="24"/>
          <w:szCs w:val="24"/>
        </w:rPr>
      </w:pPr>
      <w:r w:rsidRPr="009E4E70">
        <w:rPr>
          <w:sz w:val="24"/>
          <w:szCs w:val="24"/>
        </w:rPr>
        <w:t>È quanto fanno quotidianamente i giudici amministrativi in materia, ad esempio, di tutela del diritto allo studio dei soggetti disabili:</w:t>
      </w:r>
      <w:r w:rsidRPr="009E4E70">
        <w:rPr>
          <w:rStyle w:val="Rimandonotaapidipagina"/>
          <w:sz w:val="24"/>
          <w:szCs w:val="24"/>
        </w:rPr>
        <w:footnoteReference w:id="51"/>
      </w:r>
      <w:r w:rsidRPr="009E4E70">
        <w:rPr>
          <w:sz w:val="24"/>
          <w:szCs w:val="24"/>
        </w:rPr>
        <w:t xml:space="preserve"> e in moltissime altre fattispecie nelle quali, piuttosto che </w:t>
      </w:r>
      <w:r w:rsidRPr="009E4E70">
        <w:rPr>
          <w:sz w:val="24"/>
          <w:szCs w:val="24"/>
        </w:rPr>
        <w:lastRenderedPageBreak/>
        <w:t>fingere che un potere amministrativo non vi sia e non sia stato esercitato, si verifica la compatibilità delle forme di esercizio di quel potere con le norme di azione che lo regolano e con le norme di relazione che proteggono diritti e interessi antagonisti.</w:t>
      </w:r>
    </w:p>
    <w:p w14:paraId="173B4E4D" w14:textId="7C1EC8C9" w:rsidR="004A382E" w:rsidRPr="009E4E70" w:rsidRDefault="004A382E" w:rsidP="00D526CC">
      <w:pPr>
        <w:pStyle w:val="Capoverso"/>
        <w:spacing w:line="360" w:lineRule="auto"/>
        <w:rPr>
          <w:sz w:val="24"/>
          <w:szCs w:val="24"/>
        </w:rPr>
      </w:pPr>
      <w:r w:rsidRPr="009E4E70">
        <w:rPr>
          <w:sz w:val="24"/>
          <w:szCs w:val="24"/>
        </w:rPr>
        <w:t xml:space="preserve">Proprio la vicenda del sostegno scolastico ai disabili – come meglio si dirà </w:t>
      </w:r>
      <w:r w:rsidRPr="009E4E70">
        <w:rPr>
          <w:i/>
          <w:sz w:val="24"/>
          <w:szCs w:val="24"/>
        </w:rPr>
        <w:t>infra</w:t>
      </w:r>
      <w:r w:rsidRPr="009E4E70">
        <w:rPr>
          <w:sz w:val="24"/>
          <w:szCs w:val="24"/>
        </w:rPr>
        <w:t xml:space="preserve"> - dimostra come la regola di riparto, che ha individuato come fornito di giurisdizione il giudice ordinario, sia sostanzialmente disapplicata dalle parti (anche dalla parte resistente, che avrebbe sicuramente interesse ad invocarla, eccependo il difetto di giurisdizione del giudice amministrativo), alla luce delle numerose pronunce dei giudici amministrativi rese successivamente all’elaborazione di tale regola: il che dimostra – sul piano della legittimazione sostanziale della giurisdizione –</w:t>
      </w:r>
      <w:r w:rsidR="00D64BEB">
        <w:rPr>
          <w:sz w:val="24"/>
          <w:szCs w:val="24"/>
        </w:rPr>
        <w:t xml:space="preserve"> che</w:t>
      </w:r>
      <w:r w:rsidRPr="009E4E70">
        <w:rPr>
          <w:sz w:val="24"/>
          <w:szCs w:val="24"/>
        </w:rPr>
        <w:t xml:space="preserve"> la tendenza delle parti sia quella di devolvere la soluzione della lite, relativa al corretto esercizio del potere, proprio al giudice del potere. </w:t>
      </w:r>
    </w:p>
    <w:p w14:paraId="5937A98D" w14:textId="77777777" w:rsidR="006F5DAE" w:rsidRPr="009E4E70" w:rsidRDefault="006F5DAE" w:rsidP="00D526CC">
      <w:pPr>
        <w:pStyle w:val="Capoverso"/>
        <w:spacing w:line="360" w:lineRule="auto"/>
        <w:rPr>
          <w:sz w:val="24"/>
          <w:szCs w:val="24"/>
        </w:rPr>
      </w:pPr>
      <w:r w:rsidRPr="009E4E70">
        <w:rPr>
          <w:sz w:val="24"/>
          <w:szCs w:val="24"/>
        </w:rPr>
        <w:t>In tal modo, peraltro, fornendo una tutela sicuramente più piena e penetrante, perché direttamente correlata al contenuto dell’esercizio della funzione: e alla corrispondente definizione del contenuto della situazione giuridica soggettiva azionata.</w:t>
      </w:r>
    </w:p>
    <w:p w14:paraId="47706E4C" w14:textId="77777777" w:rsidR="00F72396" w:rsidRPr="009E4E70" w:rsidRDefault="00F72396" w:rsidP="00D526CC">
      <w:pPr>
        <w:pStyle w:val="Capoverso"/>
        <w:spacing w:line="360" w:lineRule="auto"/>
        <w:rPr>
          <w:sz w:val="24"/>
          <w:szCs w:val="24"/>
        </w:rPr>
      </w:pPr>
      <w:r w:rsidRPr="009E4E70">
        <w:rPr>
          <w:sz w:val="24"/>
          <w:szCs w:val="24"/>
        </w:rPr>
        <w:t>Correttamente, pertanto, autorevole dottrina ha di recente ribadito – con rigore teorico -  che “</w:t>
      </w:r>
      <w:r w:rsidRPr="00FF2D71">
        <w:rPr>
          <w:sz w:val="24"/>
          <w:szCs w:val="24"/>
        </w:rPr>
        <w:t>le controversie relative a diritti fondamentali incisi dall'esercizio o dal mancato esercizio del potere amministrativo dovrebbero essere pacificamente conosciute dal giudice amministrativo in quanto non vi è motivo di ritenere, quantomeno nell'ottica e ai fini del riparto, che i c.d. diritti fondamentali siano “resistenti” davanti all'esercizio del potere amministrativo. Ed infatti, una volta definito l'interesse legittimo come la situazione frontistante al potere, sono interessi legittimi, o si comportano come tali ai fini del riparto, tutti gli interessi protetti lesi o rimasti insoddisfatti per effetto dell'esercizio o del mancato esercizio del potere amministrativo, indipendentemente dal peso assiologico degli stessi o dal rango della fonte da cui deriva la protezione</w:t>
      </w:r>
      <w:r w:rsidRPr="009E4E70">
        <w:rPr>
          <w:sz w:val="24"/>
          <w:szCs w:val="24"/>
        </w:rPr>
        <w:t>”</w:t>
      </w:r>
      <w:r w:rsidRPr="009E4E70">
        <w:rPr>
          <w:rStyle w:val="Rimandonotaapidipagina"/>
          <w:sz w:val="24"/>
          <w:szCs w:val="24"/>
        </w:rPr>
        <w:footnoteReference w:id="52"/>
      </w:r>
      <w:r w:rsidRPr="009E4E70">
        <w:rPr>
          <w:sz w:val="24"/>
          <w:szCs w:val="24"/>
        </w:rPr>
        <w:t>.</w:t>
      </w:r>
    </w:p>
    <w:p w14:paraId="3F443EEA" w14:textId="77777777" w:rsidR="006F5DAE" w:rsidRPr="009E4E70" w:rsidRDefault="006F5DAE" w:rsidP="00D526CC">
      <w:pPr>
        <w:pStyle w:val="Capoverso"/>
        <w:spacing w:line="360" w:lineRule="auto"/>
        <w:rPr>
          <w:sz w:val="24"/>
          <w:szCs w:val="24"/>
        </w:rPr>
      </w:pPr>
      <w:r w:rsidRPr="009E4E70">
        <w:rPr>
          <w:sz w:val="24"/>
          <w:szCs w:val="24"/>
        </w:rPr>
        <w:t>Questo spiega perché, nel solco di un insuperato insegnamento di teoria generale, è proprio la teorica della relatività delle situazioni giuridiche soggettive a spiegare che anche un diritto fondamentale, di fronte al potere amministrativo, entra nel circuito della scelta discrezionale (beninteso, con il grado di protezione corrispondente al livello della fonte che lo tutela)</w:t>
      </w:r>
      <w:r w:rsidRPr="009E4E70">
        <w:rPr>
          <w:rStyle w:val="Rimandonotaapidipagina"/>
          <w:sz w:val="24"/>
          <w:szCs w:val="24"/>
        </w:rPr>
        <w:t> </w:t>
      </w:r>
      <w:r w:rsidRPr="009E4E70">
        <w:rPr>
          <w:rStyle w:val="Rimandonotaapidipagina"/>
          <w:sz w:val="24"/>
          <w:szCs w:val="24"/>
        </w:rPr>
        <w:footnoteReference w:id="53"/>
      </w:r>
      <w:r w:rsidRPr="009E4E70">
        <w:rPr>
          <w:sz w:val="24"/>
          <w:szCs w:val="24"/>
        </w:rPr>
        <w:t>: la gerarchia fra gli interessi è la conseguenza del rapporto fra le fonti, non dell’attributo formale (ed assoluto) della situazione giuridica soggettiva.</w:t>
      </w:r>
    </w:p>
    <w:p w14:paraId="382E60AA" w14:textId="77777777" w:rsidR="006F5DAE" w:rsidRPr="009E4E70" w:rsidRDefault="006F5DAE" w:rsidP="00D526CC">
      <w:pPr>
        <w:pStyle w:val="Capoverso"/>
        <w:spacing w:line="360" w:lineRule="auto"/>
        <w:rPr>
          <w:sz w:val="24"/>
          <w:szCs w:val="24"/>
        </w:rPr>
      </w:pPr>
      <w:r w:rsidRPr="009E4E70">
        <w:rPr>
          <w:sz w:val="24"/>
          <w:szCs w:val="24"/>
        </w:rPr>
        <w:t xml:space="preserve">Anche perché, come già accennato, a mettere definitivamente in crisi una simile prospettiva </w:t>
      </w:r>
      <w:r w:rsidRPr="009E4E70">
        <w:rPr>
          <w:sz w:val="24"/>
          <w:szCs w:val="24"/>
        </w:rPr>
        <w:lastRenderedPageBreak/>
        <w:t>assolutista, basterebbe un conflitto fra posizioni d’interesse tutte “fondamentali” (e, dunque, pariordinate): il che, nell’età della proliferazione dei diritti fondamentali di seconda e terza generazione (basta leggere la Carta dei diritti fondamentali dell’Unione europea; o “rileggere” la CEDU alla luce della giurisprudenza della Corte di Strasburgo), non appare infrequente, né improbabile</w:t>
      </w:r>
      <w:r w:rsidRPr="009E4E70">
        <w:rPr>
          <w:rStyle w:val="Rimandonotaapidipagina"/>
          <w:sz w:val="24"/>
          <w:szCs w:val="24"/>
        </w:rPr>
        <w:t> </w:t>
      </w:r>
      <w:r w:rsidRPr="009E4E70">
        <w:rPr>
          <w:sz w:val="24"/>
          <w:szCs w:val="24"/>
        </w:rPr>
        <w:t>.</w:t>
      </w:r>
      <w:r w:rsidR="00977E2D">
        <w:rPr>
          <w:rStyle w:val="Rimandonotaapidipagina"/>
          <w:sz w:val="24"/>
          <w:szCs w:val="24"/>
        </w:rPr>
        <w:footnoteReference w:id="54"/>
      </w:r>
    </w:p>
    <w:p w14:paraId="663F2270" w14:textId="77777777" w:rsidR="00A54B88" w:rsidRPr="009E4E70" w:rsidRDefault="00A54B88" w:rsidP="00D526CC">
      <w:pPr>
        <w:pStyle w:val="Capoverso"/>
        <w:spacing w:line="360" w:lineRule="auto"/>
        <w:ind w:firstLine="0"/>
        <w:rPr>
          <w:sz w:val="24"/>
          <w:szCs w:val="24"/>
        </w:rPr>
      </w:pPr>
    </w:p>
    <w:p w14:paraId="1F1903DF" w14:textId="77777777" w:rsidR="001A09F9" w:rsidRPr="009E4E70" w:rsidRDefault="00A54B88" w:rsidP="00D526CC">
      <w:pPr>
        <w:pStyle w:val="Capoverso"/>
        <w:spacing w:line="360" w:lineRule="auto"/>
        <w:ind w:firstLine="0"/>
        <w:rPr>
          <w:sz w:val="24"/>
          <w:szCs w:val="24"/>
        </w:rPr>
      </w:pPr>
      <w:r w:rsidRPr="009E4E70">
        <w:rPr>
          <w:b/>
          <w:sz w:val="24"/>
          <w:szCs w:val="24"/>
        </w:rPr>
        <w:t xml:space="preserve">6.  </w:t>
      </w:r>
      <w:r w:rsidR="001A09F9" w:rsidRPr="009E4E70">
        <w:rPr>
          <w:b/>
          <w:sz w:val="24"/>
          <w:szCs w:val="24"/>
        </w:rPr>
        <w:t>Conclusioni sul profilo del riparto di giurisdizione: le “etichette di successo”, e la vera posta in gioco.</w:t>
      </w:r>
    </w:p>
    <w:p w14:paraId="1DB64C0B" w14:textId="77777777" w:rsidR="00484819" w:rsidRDefault="00484819" w:rsidP="00D526CC">
      <w:pPr>
        <w:pStyle w:val="Capoverso"/>
        <w:spacing w:line="360" w:lineRule="auto"/>
        <w:rPr>
          <w:sz w:val="24"/>
          <w:szCs w:val="24"/>
        </w:rPr>
      </w:pPr>
      <w:r w:rsidRPr="009E4E70">
        <w:rPr>
          <w:sz w:val="24"/>
          <w:szCs w:val="24"/>
        </w:rPr>
        <w:t xml:space="preserve">Occorre, dunque, avere consapevolezza della necessità di sottrarsi all’ </w:t>
      </w:r>
      <w:r w:rsidR="001A09F9" w:rsidRPr="009E4E70">
        <w:rPr>
          <w:sz w:val="24"/>
          <w:szCs w:val="24"/>
        </w:rPr>
        <w:t>“etichetta di successo”</w:t>
      </w:r>
      <w:r w:rsidR="001A09F9" w:rsidRPr="009E4E70">
        <w:rPr>
          <w:rStyle w:val="Rimandonotaapidipagina"/>
          <w:sz w:val="24"/>
          <w:szCs w:val="24"/>
        </w:rPr>
        <w:footnoteReference w:id="55"/>
      </w:r>
      <w:r w:rsidR="00A16E55">
        <w:rPr>
          <w:sz w:val="24"/>
          <w:szCs w:val="24"/>
        </w:rPr>
        <w:t xml:space="preserve"> </w:t>
      </w:r>
      <w:r w:rsidR="00A16E55" w:rsidRPr="009E4E70">
        <w:rPr>
          <w:sz w:val="24"/>
          <w:szCs w:val="24"/>
        </w:rPr>
        <w:t>costituita dalla nozione di diritto fondamentale</w:t>
      </w:r>
      <w:r w:rsidR="00A16E55">
        <w:rPr>
          <w:sz w:val="24"/>
          <w:szCs w:val="24"/>
        </w:rPr>
        <w:t>.</w:t>
      </w:r>
    </w:p>
    <w:p w14:paraId="75900727" w14:textId="77777777" w:rsidR="00334B72" w:rsidRDefault="00334B72" w:rsidP="00D526CC">
      <w:pPr>
        <w:pStyle w:val="Capoverso"/>
        <w:spacing w:line="360" w:lineRule="auto"/>
        <w:rPr>
          <w:sz w:val="24"/>
          <w:szCs w:val="24"/>
        </w:rPr>
      </w:pPr>
      <w:r>
        <w:rPr>
          <w:sz w:val="24"/>
          <w:szCs w:val="24"/>
        </w:rPr>
        <w:t>Il vero è che l’effettività della tutela dei diritti della persona fragile si gioca sul sindacato dell’esercizio dei poteri amministrativi di conformazione, specie laddove l’amministrazione – anche per l’esigenza di rincorrere il consenso immediato – antepone altri obiettivi e priorità nell’utilizzo delle risorse, limitandosi a dare attuazione solo formale agli obblighi su di essa incombenti.</w:t>
      </w:r>
    </w:p>
    <w:p w14:paraId="316F561C" w14:textId="77777777" w:rsidR="00334B72" w:rsidRPr="009E4E70" w:rsidRDefault="00334B72" w:rsidP="00D526CC">
      <w:pPr>
        <w:pStyle w:val="Capoverso"/>
        <w:spacing w:line="360" w:lineRule="auto"/>
        <w:rPr>
          <w:sz w:val="24"/>
          <w:szCs w:val="24"/>
        </w:rPr>
      </w:pPr>
      <w:r>
        <w:rPr>
          <w:sz w:val="24"/>
          <w:szCs w:val="24"/>
        </w:rPr>
        <w:t xml:space="preserve">In un tale quadro il riferimento – per individuare il giudice fornito di giurisdizione -  a categorie non solo deboli sul piano teorico, ma fortemente inattuali, determina l’attribuzione di una sede di tutela anch’essa efficace solo sul piano formale.   </w:t>
      </w:r>
    </w:p>
    <w:p w14:paraId="17473C3A" w14:textId="77777777" w:rsidR="001A09F9" w:rsidRPr="009E4E70" w:rsidRDefault="001A09F9" w:rsidP="00D526CC">
      <w:pPr>
        <w:pStyle w:val="Capoverso"/>
        <w:spacing w:line="360" w:lineRule="auto"/>
        <w:rPr>
          <w:sz w:val="24"/>
          <w:szCs w:val="24"/>
        </w:rPr>
      </w:pPr>
      <w:r w:rsidRPr="009E4E70">
        <w:rPr>
          <w:sz w:val="24"/>
          <w:szCs w:val="24"/>
        </w:rPr>
        <w:t>Tutto ciò ha prodotto, inevitabilmente, uno scollamento fra norma giuridica e realtà sociale: si pensi</w:t>
      </w:r>
      <w:r w:rsidR="002D1AB7" w:rsidRPr="009E4E70">
        <w:rPr>
          <w:sz w:val="24"/>
          <w:szCs w:val="24"/>
        </w:rPr>
        <w:t>, come si diceva poco sopra,</w:t>
      </w:r>
      <w:r w:rsidRPr="009E4E70">
        <w:rPr>
          <w:sz w:val="24"/>
          <w:szCs w:val="24"/>
        </w:rPr>
        <w:t xml:space="preserve"> al contenzioso in materia di insegnamento di sostegno ai soggetti diversamente abili, in relazione al quale pur a fronte dell’affermazione della giurisdizione del giudice ordinario (priva di adeguati strumenti processuali di efficace e sollecita tutela in materia)</w:t>
      </w:r>
      <w:r w:rsidR="002D1AB7" w:rsidRPr="009E4E70">
        <w:rPr>
          <w:rStyle w:val="Rimandonotaapidipagina"/>
          <w:sz w:val="24"/>
          <w:szCs w:val="24"/>
        </w:rPr>
        <w:footnoteReference w:id="56"/>
      </w:r>
      <w:r w:rsidRPr="009E4E70">
        <w:rPr>
          <w:sz w:val="24"/>
          <w:szCs w:val="24"/>
        </w:rPr>
        <w:t>, la realtà sociale è nel senso della proposizione dei ricorsi davanti al giudice amministrativo, e della loro decisione nel merito in assenza di eccezioni di difetto di giurisdizione della parte pubblica.</w:t>
      </w:r>
      <w:r w:rsidRPr="009E4E70">
        <w:rPr>
          <w:rStyle w:val="Rimandonotaapidipagina"/>
          <w:sz w:val="24"/>
          <w:szCs w:val="24"/>
        </w:rPr>
        <w:footnoteReference w:id="57"/>
      </w:r>
    </w:p>
    <w:p w14:paraId="22DE3E8F" w14:textId="77777777" w:rsidR="00484819" w:rsidRPr="009E4E70" w:rsidRDefault="001A09F9" w:rsidP="00D526CC">
      <w:pPr>
        <w:pStyle w:val="Capoverso"/>
        <w:spacing w:line="360" w:lineRule="auto"/>
        <w:rPr>
          <w:sz w:val="24"/>
          <w:szCs w:val="24"/>
        </w:rPr>
      </w:pPr>
      <w:r w:rsidRPr="009E4E70">
        <w:rPr>
          <w:sz w:val="24"/>
          <w:szCs w:val="24"/>
        </w:rPr>
        <w:t xml:space="preserve">La regola di riparto non è osservata, la parte interessata a resistere all’iniziativa giurisdizionale non attiva i mezzi necessari a farne valere la violazione (foss’anche solo per paralizzare la pretese </w:t>
      </w:r>
      <w:r w:rsidRPr="009E4E70">
        <w:rPr>
          <w:sz w:val="24"/>
          <w:szCs w:val="24"/>
        </w:rPr>
        <w:lastRenderedPageBreak/>
        <w:t>avversaria), preferendo essere convenuta davanti ad un giudice sfornito di giurisdizione ma ritenuto più adatto a soppesare le reciproche ragioni delle parti, il che configura una generale incertezza sulla corretta individuazione del giudice adìto</w:t>
      </w:r>
      <w:r w:rsidR="00484819" w:rsidRPr="009E4E70">
        <w:rPr>
          <w:sz w:val="24"/>
          <w:szCs w:val="24"/>
        </w:rPr>
        <w:t>.</w:t>
      </w:r>
    </w:p>
    <w:p w14:paraId="4312C459" w14:textId="77777777" w:rsidR="00503C4B" w:rsidRPr="009E4E70" w:rsidRDefault="001C2E95" w:rsidP="001C2E95">
      <w:pPr>
        <w:spacing w:line="36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quadro che ne risulta è quello di </w:t>
      </w:r>
      <w:r w:rsidRPr="001C2E95">
        <w:rPr>
          <w:rFonts w:ascii="Times New Roman" w:hAnsi="Times New Roman" w:cs="Times New Roman"/>
          <w:sz w:val="24"/>
          <w:szCs w:val="24"/>
          <w:lang w:val="it-IT"/>
        </w:rPr>
        <w:t xml:space="preserve">concetti </w:t>
      </w:r>
      <w:r>
        <w:rPr>
          <w:rFonts w:ascii="Times New Roman" w:hAnsi="Times New Roman" w:cs="Times New Roman"/>
          <w:sz w:val="24"/>
          <w:szCs w:val="24"/>
          <w:lang w:val="it-IT"/>
        </w:rPr>
        <w:t>che fanno “</w:t>
      </w:r>
      <w:r w:rsidRPr="001C2E95">
        <w:rPr>
          <w:rFonts w:ascii="Times New Roman" w:hAnsi="Times New Roman" w:cs="Times New Roman"/>
          <w:sz w:val="24"/>
          <w:szCs w:val="24"/>
          <w:lang w:val="it-IT"/>
        </w:rPr>
        <w:t>da</w:t>
      </w:r>
      <w:r>
        <w:rPr>
          <w:rFonts w:ascii="Times New Roman" w:hAnsi="Times New Roman" w:cs="Times New Roman"/>
          <w:sz w:val="24"/>
          <w:szCs w:val="24"/>
          <w:lang w:val="it-IT"/>
        </w:rPr>
        <w:t xml:space="preserve"> </w:t>
      </w:r>
      <w:r w:rsidRPr="001C2E95">
        <w:rPr>
          <w:rFonts w:ascii="Times New Roman" w:hAnsi="Times New Roman" w:cs="Times New Roman"/>
          <w:sz w:val="24"/>
          <w:szCs w:val="24"/>
          <w:lang w:val="it-IT"/>
        </w:rPr>
        <w:t>schermo, si sovrappongono alla realt</w:t>
      </w:r>
      <w:r>
        <w:rPr>
          <w:rFonts w:ascii="Times New Roman" w:hAnsi="Times New Roman" w:cs="Times New Roman"/>
          <w:sz w:val="24"/>
          <w:szCs w:val="24"/>
          <w:lang w:val="it-IT"/>
        </w:rPr>
        <w:t>à</w:t>
      </w:r>
      <w:r w:rsidRPr="001C2E95">
        <w:rPr>
          <w:rFonts w:ascii="Times New Roman" w:hAnsi="Times New Roman" w:cs="Times New Roman"/>
          <w:sz w:val="24"/>
          <w:szCs w:val="24"/>
          <w:lang w:val="it-IT"/>
        </w:rPr>
        <w:t xml:space="preserve"> e finiscono col deformarla. Spesso</w:t>
      </w:r>
      <w:r>
        <w:rPr>
          <w:rFonts w:ascii="Times New Roman" w:hAnsi="Times New Roman" w:cs="Times New Roman"/>
          <w:sz w:val="24"/>
          <w:szCs w:val="24"/>
          <w:lang w:val="it-IT"/>
        </w:rPr>
        <w:t xml:space="preserve"> </w:t>
      </w:r>
      <w:r w:rsidRPr="001C2E95">
        <w:rPr>
          <w:rFonts w:ascii="Times New Roman" w:hAnsi="Times New Roman" w:cs="Times New Roman"/>
          <w:sz w:val="24"/>
          <w:szCs w:val="24"/>
          <w:lang w:val="it-IT"/>
        </w:rPr>
        <w:t>costituiscono lo scudo dietro il quale si nascondono opzioni ideologiche e,</w:t>
      </w:r>
      <w:r>
        <w:rPr>
          <w:rFonts w:ascii="Times New Roman" w:hAnsi="Times New Roman" w:cs="Times New Roman"/>
          <w:sz w:val="24"/>
          <w:szCs w:val="24"/>
          <w:lang w:val="it-IT"/>
        </w:rPr>
        <w:t xml:space="preserve"> </w:t>
      </w:r>
      <w:r w:rsidRPr="001C2E95">
        <w:rPr>
          <w:rFonts w:ascii="Times New Roman" w:hAnsi="Times New Roman" w:cs="Times New Roman"/>
          <w:sz w:val="24"/>
          <w:szCs w:val="24"/>
          <w:lang w:val="it-IT"/>
        </w:rPr>
        <w:t>talvolta, questioni di potere. Alimentano una sorta di ipocrisia istituzionalizza</w:t>
      </w:r>
      <w:r>
        <w:rPr>
          <w:rFonts w:ascii="Times New Roman" w:hAnsi="Times New Roman" w:cs="Times New Roman"/>
          <w:sz w:val="24"/>
          <w:szCs w:val="24"/>
          <w:lang w:val="it-IT"/>
        </w:rPr>
        <w:t>”;</w:t>
      </w:r>
      <w:r>
        <w:rPr>
          <w:rStyle w:val="Rimandonotaapidipagina"/>
          <w:rFonts w:ascii="Times New Roman" w:hAnsi="Times New Roman" w:cs="Times New Roman"/>
          <w:sz w:val="24"/>
          <w:szCs w:val="24"/>
          <w:lang w:val="it-IT"/>
        </w:rPr>
        <w:footnoteReference w:id="58"/>
      </w:r>
      <w:r>
        <w:rPr>
          <w:rFonts w:ascii="Times New Roman" w:hAnsi="Times New Roman" w:cs="Times New Roman"/>
          <w:sz w:val="24"/>
          <w:szCs w:val="24"/>
          <w:lang w:val="it-IT"/>
        </w:rPr>
        <w:t xml:space="preserve"> con il rischio </w:t>
      </w:r>
      <w:r w:rsidR="00503C4B" w:rsidRPr="009E4E70">
        <w:rPr>
          <w:rFonts w:ascii="Times New Roman" w:hAnsi="Times New Roman" w:cs="Times New Roman"/>
          <w:sz w:val="24"/>
          <w:szCs w:val="24"/>
          <w:lang w:val="it-IT"/>
        </w:rPr>
        <w:t xml:space="preserve">di disancorare </w:t>
      </w:r>
      <w:r>
        <w:rPr>
          <w:rFonts w:ascii="Times New Roman" w:hAnsi="Times New Roman" w:cs="Times New Roman"/>
          <w:sz w:val="24"/>
          <w:szCs w:val="24"/>
          <w:lang w:val="it-IT"/>
        </w:rPr>
        <w:t xml:space="preserve">in tal modo </w:t>
      </w:r>
      <w:r w:rsidR="00503C4B" w:rsidRPr="009E4E70">
        <w:rPr>
          <w:rFonts w:ascii="Times New Roman" w:hAnsi="Times New Roman" w:cs="Times New Roman"/>
          <w:sz w:val="24"/>
          <w:szCs w:val="24"/>
          <w:lang w:val="it-IT"/>
        </w:rPr>
        <w:t>dalla realtà la stessa legittimazione sociale della regolazione giuridica, in un’epoca in cui si riflette giustamente su alcuni fenomeni e tendenze che inducono, pericolosamente, a prefigurare la possibilità di “un mondo senza diritto”.</w:t>
      </w:r>
      <w:r w:rsidR="00503C4B" w:rsidRPr="009E4E70">
        <w:rPr>
          <w:rFonts w:ascii="Times New Roman" w:hAnsi="Times New Roman" w:cs="Times New Roman"/>
          <w:sz w:val="24"/>
          <w:szCs w:val="24"/>
          <w:vertAlign w:val="superscript"/>
          <w:lang w:val="it-IT"/>
        </w:rPr>
        <w:footnoteReference w:id="59"/>
      </w:r>
    </w:p>
    <w:p w14:paraId="4203605A" w14:textId="77777777" w:rsidR="001A09F9" w:rsidRPr="009E4E70" w:rsidRDefault="001A09F9" w:rsidP="00D526CC">
      <w:pPr>
        <w:pStyle w:val="Capoverso"/>
        <w:spacing w:line="360" w:lineRule="auto"/>
        <w:rPr>
          <w:sz w:val="24"/>
          <w:szCs w:val="24"/>
        </w:rPr>
      </w:pPr>
      <w:r w:rsidRPr="009E4E70">
        <w:rPr>
          <w:sz w:val="24"/>
          <w:szCs w:val="24"/>
        </w:rPr>
        <w:t xml:space="preserve"> </w:t>
      </w:r>
    </w:p>
    <w:p w14:paraId="16942441" w14:textId="77777777" w:rsidR="00256B87" w:rsidRPr="009E4E70" w:rsidRDefault="00256B87" w:rsidP="00D526CC">
      <w:pPr>
        <w:pStyle w:val="Capoverso"/>
        <w:spacing w:line="360" w:lineRule="auto"/>
        <w:ind w:firstLine="0"/>
        <w:rPr>
          <w:b/>
          <w:sz w:val="24"/>
          <w:szCs w:val="24"/>
        </w:rPr>
      </w:pPr>
      <w:r w:rsidRPr="009E4E70">
        <w:rPr>
          <w:b/>
          <w:sz w:val="24"/>
          <w:szCs w:val="24"/>
        </w:rPr>
        <w:t>7. Un profilo comune ai vari settori: potere amministrativo e provvista finanziaria.</w:t>
      </w:r>
      <w:r w:rsidR="00510ED0" w:rsidRPr="009E4E70">
        <w:rPr>
          <w:b/>
          <w:sz w:val="24"/>
          <w:szCs w:val="24"/>
        </w:rPr>
        <w:t xml:space="preserve"> Un cambio di scenario?</w:t>
      </w:r>
    </w:p>
    <w:p w14:paraId="4C3F96FF" w14:textId="77777777" w:rsidR="00200972" w:rsidRPr="009E4E70" w:rsidRDefault="00200972" w:rsidP="00D526CC">
      <w:pPr>
        <w:pStyle w:val="Capoverso"/>
        <w:spacing w:line="360" w:lineRule="auto"/>
        <w:rPr>
          <w:sz w:val="24"/>
          <w:szCs w:val="24"/>
        </w:rPr>
      </w:pPr>
      <w:r w:rsidRPr="009E4E70">
        <w:rPr>
          <w:sz w:val="24"/>
          <w:szCs w:val="24"/>
        </w:rPr>
        <w:t>Venendo all’esame del merito della conformazione dei diritti dei soggetti fragili, e del sindacato sulla legittimità dell’esercizio di tale potere, un profilo comune a vari settori di attività è quello costituito dalla dialettica fra limite della provvista finanziaria ed effettività e pienezza del diritto.</w:t>
      </w:r>
    </w:p>
    <w:p w14:paraId="3E90961E" w14:textId="77777777" w:rsidR="00256B87" w:rsidRPr="009E4E70" w:rsidRDefault="00256B87" w:rsidP="00D526CC">
      <w:pPr>
        <w:pStyle w:val="Capoverso"/>
        <w:spacing w:line="360" w:lineRule="auto"/>
        <w:rPr>
          <w:sz w:val="24"/>
          <w:szCs w:val="24"/>
        </w:rPr>
      </w:pPr>
      <w:r w:rsidRPr="009E4E70">
        <w:rPr>
          <w:sz w:val="24"/>
          <w:szCs w:val="24"/>
        </w:rPr>
        <w:t>Il limite della copertura finanziaria è un limite strutturale della disciplina dell’attività amministrativa, come la dottrina ha da tempo messo in evidenza.</w:t>
      </w:r>
      <w:r w:rsidRPr="009E4E70">
        <w:rPr>
          <w:rStyle w:val="Rimandonotaapidipagina"/>
          <w:sz w:val="24"/>
          <w:szCs w:val="24"/>
        </w:rPr>
        <w:footnoteReference w:id="60"/>
      </w:r>
    </w:p>
    <w:p w14:paraId="4BDBE2CD" w14:textId="77777777" w:rsidR="00256B87" w:rsidRPr="009E4E70" w:rsidRDefault="00256B87" w:rsidP="00D526CC">
      <w:pPr>
        <w:pStyle w:val="Capoverso"/>
        <w:spacing w:line="360" w:lineRule="auto"/>
        <w:rPr>
          <w:sz w:val="24"/>
          <w:szCs w:val="24"/>
        </w:rPr>
      </w:pPr>
      <w:r w:rsidRPr="009E4E70">
        <w:rPr>
          <w:sz w:val="24"/>
          <w:szCs w:val="24"/>
        </w:rPr>
        <w:t xml:space="preserve">In particolare, posto che fine del potere amministrativo è quello di garantire l’effettività della tutela costituzionale (anche) dei diritti sociali, e fra questi di quelli fondamentali, tale connotato finalistico entra tuttavia in comparazione con l’esigenza di cura di altri interessi cui pure l’amministrazione è </w:t>
      </w:r>
      <w:r w:rsidRPr="009E4E70">
        <w:rPr>
          <w:sz w:val="24"/>
          <w:szCs w:val="24"/>
        </w:rPr>
        <w:lastRenderedPageBreak/>
        <w:t>attributaria (o dai quali è comunque condizionata),</w:t>
      </w:r>
      <w:r w:rsidRPr="009E4E70">
        <w:rPr>
          <w:rStyle w:val="Rimandonotaapidipagina"/>
          <w:sz w:val="24"/>
          <w:szCs w:val="24"/>
        </w:rPr>
        <w:footnoteReference w:id="61"/>
      </w:r>
      <w:r w:rsidRPr="009E4E70">
        <w:rPr>
          <w:sz w:val="24"/>
          <w:szCs w:val="24"/>
        </w:rPr>
        <w:t xml:space="preserve"> come quello al contenimento della spesa pubblica,</w:t>
      </w:r>
      <w:r w:rsidR="00200972" w:rsidRPr="009E4E70">
        <w:rPr>
          <w:rStyle w:val="Rimandonotaapidipagina"/>
          <w:sz w:val="24"/>
          <w:szCs w:val="24"/>
        </w:rPr>
        <w:footnoteReference w:id="62"/>
      </w:r>
      <w:r w:rsidRPr="009E4E70">
        <w:rPr>
          <w:sz w:val="24"/>
          <w:szCs w:val="24"/>
        </w:rPr>
        <w:t xml:space="preserve"> che per effetto del patto di stabilità ha una precisa rilevanza anche sul piano dei parametri sovranazionali di legittimità dell’attività amministrativa.</w:t>
      </w:r>
      <w:r w:rsidR="00200972" w:rsidRPr="009E4E70">
        <w:rPr>
          <w:rStyle w:val="Rimandonotaapidipagina"/>
          <w:sz w:val="24"/>
          <w:szCs w:val="24"/>
        </w:rPr>
        <w:footnoteReference w:id="63"/>
      </w:r>
    </w:p>
    <w:p w14:paraId="4D98AD83" w14:textId="77777777" w:rsidR="00256B87" w:rsidRPr="009E4E70" w:rsidRDefault="00256B87" w:rsidP="00D526CC">
      <w:pPr>
        <w:pStyle w:val="Capoverso"/>
        <w:spacing w:line="360" w:lineRule="auto"/>
        <w:rPr>
          <w:sz w:val="24"/>
          <w:szCs w:val="24"/>
        </w:rPr>
      </w:pPr>
      <w:r w:rsidRPr="009E4E70">
        <w:rPr>
          <w:sz w:val="24"/>
          <w:szCs w:val="24"/>
        </w:rPr>
        <w:t>È del resto ormai acquisita la consapevolezza che molte delle prestazioni previste dalla legge in favore di singoli soggetti, non solo nella materia dei servizi pubblici ma in vasti settori del diritto pubblico dell’economia, sono condizionate dai limiti dell’organizzazione della Pubblica amministrazione che deve erogare quelle prestazioni, tanto che non mancano orientamenti tendenti a qualificare tali diritti, di fronte al potere organizzatorio della Pubblica amministrazione, come veri e propri interessi legittimi.</w:t>
      </w:r>
      <w:r w:rsidR="00200972" w:rsidRPr="009E4E70">
        <w:rPr>
          <w:rStyle w:val="Rimandonotaapidipagina"/>
          <w:sz w:val="24"/>
          <w:szCs w:val="24"/>
        </w:rPr>
        <w:footnoteReference w:id="64"/>
      </w:r>
    </w:p>
    <w:p w14:paraId="754548AA" w14:textId="77777777" w:rsidR="00256B87" w:rsidRPr="009E4E70" w:rsidRDefault="00256B87" w:rsidP="00D526CC">
      <w:pPr>
        <w:pStyle w:val="Capoverso"/>
        <w:spacing w:line="360" w:lineRule="auto"/>
        <w:rPr>
          <w:sz w:val="24"/>
          <w:szCs w:val="24"/>
        </w:rPr>
      </w:pPr>
      <w:r w:rsidRPr="009E4E70">
        <w:rPr>
          <w:sz w:val="24"/>
          <w:szCs w:val="24"/>
        </w:rPr>
        <w:t>Comune è però la convinzione per cui, in tali casi, il diritto soggettivo, quand’anche configurabile come tale è, comunque finanziariamente condizionato: sicché il suo pieno soddisfacimento è subordinato alla sussistenza della provvista finanziaria.</w:t>
      </w:r>
    </w:p>
    <w:p w14:paraId="7E0185EF" w14:textId="77777777" w:rsidR="00256B87" w:rsidRPr="009E4E70" w:rsidRDefault="00256B87" w:rsidP="00D526CC">
      <w:pPr>
        <w:pStyle w:val="Capoverso"/>
        <w:spacing w:line="360" w:lineRule="auto"/>
        <w:rPr>
          <w:sz w:val="24"/>
          <w:szCs w:val="24"/>
        </w:rPr>
      </w:pPr>
      <w:r w:rsidRPr="009E4E70">
        <w:rPr>
          <w:sz w:val="24"/>
          <w:szCs w:val="24"/>
        </w:rPr>
        <w:t>Nella materia sanitaria, nella quale con maggior frequenza si è posto il riferito problema, l’Adunanza plenaria del Consiglio di Stato, nella decisione n. 8 del 2006, ha affermato che «</w:t>
      </w:r>
      <w:r w:rsidRPr="00FF2D71">
        <w:rPr>
          <w:sz w:val="24"/>
          <w:szCs w:val="24"/>
        </w:rPr>
        <w:t xml:space="preserve">la determinazione da parte dell’Amministrazione del tetto di spesa e la suddivisione di essa tra le attività </w:t>
      </w:r>
      <w:r w:rsidRPr="00FF2D71">
        <w:rPr>
          <w:sz w:val="24"/>
          <w:szCs w:val="24"/>
        </w:rPr>
        <w:lastRenderedPageBreak/>
        <w:t>assistenziali, costituisce esercizio del potere di programmazione sanitaria, a fronte del quale la situazione del privato è di interesse legittimo</w:t>
      </w:r>
      <w:r w:rsidRPr="009E4E70">
        <w:rPr>
          <w:sz w:val="24"/>
          <w:szCs w:val="24"/>
        </w:rPr>
        <w:t xml:space="preserve">». </w:t>
      </w:r>
    </w:p>
    <w:p w14:paraId="1B7C1C7C" w14:textId="77777777" w:rsidR="00256B87" w:rsidRPr="009E4E70" w:rsidRDefault="00256B87" w:rsidP="00D526CC">
      <w:pPr>
        <w:pStyle w:val="Capoverso"/>
        <w:spacing w:line="360" w:lineRule="auto"/>
        <w:rPr>
          <w:sz w:val="24"/>
          <w:szCs w:val="24"/>
        </w:rPr>
      </w:pPr>
      <w:r w:rsidRPr="009E4E70">
        <w:rPr>
          <w:sz w:val="24"/>
          <w:szCs w:val="24"/>
        </w:rPr>
        <w:t>Nella stessa materia la Corte costituzionale, con la sentenza n. 200 del 2005, ha affermato che anche le norme di principio della legislazione statale sono «</w:t>
      </w:r>
      <w:r w:rsidRPr="00FF2D71">
        <w:rPr>
          <w:sz w:val="24"/>
          <w:szCs w:val="24"/>
        </w:rPr>
        <w:t>dirette a garantire ad ogni persona il diritto alla salute come “un diritto costituzionale condizionato dall'attuazione che il legislatore ordinario ne dà attraverso il bilanciamento dell'interesse tutelato da quel diritto con gli altri interessi costituzionalmente protetti”, tenuto conto dei limiti oggettivi che lo stesso legislatore incontra nella sua opera di attuazione in relazione alle risorse organizzative e finanziarie di cui dispone al momento (sentenze nn. 304 del 1994, 247 del 1992)</w:t>
      </w:r>
      <w:r w:rsidRPr="009E4E70">
        <w:rPr>
          <w:sz w:val="24"/>
          <w:szCs w:val="24"/>
        </w:rPr>
        <w:t>”</w:t>
      </w:r>
      <w:r w:rsidR="00200972" w:rsidRPr="009E4E70">
        <w:rPr>
          <w:sz w:val="24"/>
          <w:szCs w:val="24"/>
        </w:rPr>
        <w:t>.</w:t>
      </w:r>
    </w:p>
    <w:p w14:paraId="035D81DD" w14:textId="77777777" w:rsidR="00200972" w:rsidRPr="009E4E70" w:rsidRDefault="00200972" w:rsidP="00D526CC">
      <w:pPr>
        <w:pStyle w:val="Capoverso"/>
        <w:spacing w:line="360" w:lineRule="auto"/>
        <w:rPr>
          <w:sz w:val="24"/>
          <w:szCs w:val="24"/>
        </w:rPr>
      </w:pPr>
      <w:r w:rsidRPr="009E4E70">
        <w:rPr>
          <w:sz w:val="24"/>
          <w:szCs w:val="24"/>
        </w:rPr>
        <w:t>La già ricordata sentenza n. 80 del 2010 della Corte costituzionale ha affermato la natura incomprimibile – rispetto a contingenti esigenze della finanza pubblica – del diritto fondamentale del soggetto disabile a fruire di un percorso scolastico effettivo, ed ha espressamente circoscritto lo spazio della discrezionalità legislativa in materia entro limiti tali da non interferire con la garanzia del richiamato diritto fondamentale, escludendo in tal modo che quest’ultimo possa qualificarsi come diritto finanziariamente condizionato.</w:t>
      </w:r>
      <w:r w:rsidR="00D526CC" w:rsidRPr="009E4E70">
        <w:rPr>
          <w:rStyle w:val="Rimandonotaapidipagina"/>
          <w:sz w:val="24"/>
          <w:szCs w:val="24"/>
        </w:rPr>
        <w:footnoteReference w:id="65"/>
      </w:r>
      <w:r w:rsidRPr="009E4E70">
        <w:rPr>
          <w:sz w:val="24"/>
          <w:szCs w:val="24"/>
        </w:rPr>
        <w:t xml:space="preserve"> </w:t>
      </w:r>
    </w:p>
    <w:p w14:paraId="354BB355" w14:textId="77777777" w:rsidR="00200972" w:rsidRPr="009E4E70" w:rsidRDefault="00200972" w:rsidP="00D526CC">
      <w:pPr>
        <w:pStyle w:val="Capoverso"/>
        <w:spacing w:line="360" w:lineRule="auto"/>
        <w:rPr>
          <w:sz w:val="24"/>
          <w:szCs w:val="24"/>
        </w:rPr>
      </w:pPr>
      <w:r w:rsidRPr="009E4E70">
        <w:rPr>
          <w:sz w:val="24"/>
          <w:szCs w:val="24"/>
        </w:rPr>
        <w:t>In conseguenza di tale arresto del giudice delle leggi, il parametro normativo del potere amministrativo in materia è stato modificato dallo stesso legislatore, che ha emanato il decreto legge 31 maggio 2010, n. 78 (convertito dalla legge 30 luglio 2010, n. 122), che autorizza il superamento del contingente degli insegnanti di sostegno qualora ricorrano  le condizioni di cui all’art. 3 della legge 5 febbraio 1992, n. 104 (è appena il caso di osservare, in proposito, che ancorché la disposizione sia strutturata – per superare il precedente ostacolo normativo – in chiave autorizzatoria, l’unico significato costituzionalmente compatibile della stessa è quello che tenga conto della citata sentenza n. 80 del 2010 della Corte costituzionale, nella parte in cui questa ha chiaramente affermato che la soppressione della riserva che consentiva di assumere insegnanti di sostegno a tempo determinato «non trova alcuna giustificazione nel nostro ordinamento, posto che detta riserva costituisce uno degli strumenti attraverso i quali è reso effettivo il diritto fondamentale all’istruzione del disabile grave»).</w:t>
      </w:r>
    </w:p>
    <w:p w14:paraId="342B98A0" w14:textId="77777777" w:rsidR="00200972" w:rsidRPr="009E4E70" w:rsidRDefault="00200972" w:rsidP="00D526CC">
      <w:pPr>
        <w:pStyle w:val="Capoverso"/>
        <w:spacing w:line="360" w:lineRule="auto"/>
        <w:rPr>
          <w:sz w:val="24"/>
          <w:szCs w:val="24"/>
        </w:rPr>
      </w:pPr>
      <w:r w:rsidRPr="009E4E70">
        <w:rPr>
          <w:sz w:val="24"/>
          <w:szCs w:val="24"/>
        </w:rPr>
        <w:t>Pertanto, il quadro costituzionale e legislativo è nel senso della necessità per l’Amministrazione di erogare il servizio didattico predisponendo, per l’ipotesi di disabilità grave, le misure di sostegno necessarie per evitare che il soggetto disabile altrimenti fruisca solo nominalmente del percorso di istruzione, essendo impossibilitato ad accedere ai contenuti dello stesso in assenza di adeguate misure compensative.</w:t>
      </w:r>
    </w:p>
    <w:p w14:paraId="078AF650" w14:textId="77777777" w:rsidR="00200972" w:rsidRPr="009E4E70" w:rsidRDefault="00200972" w:rsidP="00D526CC">
      <w:pPr>
        <w:pStyle w:val="Capoverso"/>
        <w:spacing w:line="360" w:lineRule="auto"/>
        <w:rPr>
          <w:sz w:val="24"/>
          <w:szCs w:val="24"/>
        </w:rPr>
      </w:pPr>
      <w:r w:rsidRPr="009E4E70">
        <w:rPr>
          <w:sz w:val="24"/>
          <w:szCs w:val="24"/>
        </w:rPr>
        <w:lastRenderedPageBreak/>
        <w:t>Il potere amministrativo, alla stregua dei superiori parametri normativi, deve essere quindi esercitato «</w:t>
      </w:r>
      <w:r w:rsidRPr="00FF2D71">
        <w:rPr>
          <w:sz w:val="24"/>
          <w:szCs w:val="24"/>
        </w:rPr>
        <w:t>in un’ottica di risultato, in funzione dell’interesse pubblico a garantire al minore disabile opportune ed adeguate misure di sostegno non già avulse dal riferimento allo specifico contesto formativo, o – il che è lo stesso – ad esso connesse in modo soltanto parziale ed insufficiente (come è avvenuto nel caso di specie), ma piuttosto orientate ad assicurare l’effettività dell’inserimento dell’interessato nel percorso scolastico frequentato</w:t>
      </w:r>
      <w:r w:rsidRPr="009E4E70">
        <w:rPr>
          <w:sz w:val="24"/>
          <w:szCs w:val="24"/>
        </w:rPr>
        <w:t>».</w:t>
      </w:r>
      <w:r w:rsidRPr="009E4E70">
        <w:rPr>
          <w:rStyle w:val="Rimandonotaapidipagina"/>
          <w:sz w:val="24"/>
          <w:szCs w:val="24"/>
        </w:rPr>
        <w:footnoteReference w:id="66"/>
      </w:r>
      <w:r w:rsidRPr="009E4E70">
        <w:rPr>
          <w:sz w:val="24"/>
          <w:szCs w:val="24"/>
        </w:rPr>
        <w:t xml:space="preserve">  </w:t>
      </w:r>
    </w:p>
    <w:p w14:paraId="791819C6" w14:textId="77777777" w:rsidR="00200972" w:rsidRPr="009E4E70" w:rsidRDefault="007331F6" w:rsidP="00D526CC">
      <w:pPr>
        <w:pStyle w:val="Capoverso"/>
        <w:spacing w:line="360" w:lineRule="auto"/>
        <w:rPr>
          <w:sz w:val="24"/>
          <w:szCs w:val="24"/>
        </w:rPr>
      </w:pPr>
      <w:r w:rsidRPr="009E4E70">
        <w:rPr>
          <w:sz w:val="24"/>
          <w:szCs w:val="24"/>
        </w:rPr>
        <w:t xml:space="preserve">Successivamente </w:t>
      </w:r>
      <w:r w:rsidR="00200972" w:rsidRPr="009E4E70">
        <w:rPr>
          <w:sz w:val="24"/>
          <w:szCs w:val="24"/>
        </w:rPr>
        <w:t>la Corte costituzionale, con la sentenza n. 275/2016, ha ritenuto fondata la questione di legittimità costituzionale</w:t>
      </w:r>
      <w:r w:rsidRPr="009E4E70">
        <w:rPr>
          <w:sz w:val="24"/>
          <w:szCs w:val="24"/>
        </w:rPr>
        <w:t xml:space="preserve"> </w:t>
      </w:r>
      <w:r w:rsidR="00200972" w:rsidRPr="009E4E70">
        <w:rPr>
          <w:sz w:val="24"/>
          <w:szCs w:val="24"/>
        </w:rPr>
        <w:t>dell'articolo 6, comma 2-bis, della legge della Regione Abruzzo 15 dicembre 1978, n. 78 (Interventi per l'attuazione del diritto allo studio),</w:t>
      </w:r>
      <w:r w:rsidRPr="009E4E70">
        <w:rPr>
          <w:sz w:val="24"/>
          <w:szCs w:val="24"/>
        </w:rPr>
        <w:t xml:space="preserve"> </w:t>
      </w:r>
      <w:r w:rsidR="00200972" w:rsidRPr="009E4E70">
        <w:rPr>
          <w:sz w:val="24"/>
          <w:szCs w:val="24"/>
        </w:rPr>
        <w:t>aggiunto dall'articolo 88, comma 4, della legge della Regione Abruzzo 26 aprile 2004, n. 15, recante: «Disposizioni finanziarie per la redazio</w:t>
      </w:r>
      <w:r w:rsidRPr="009E4E70">
        <w:rPr>
          <w:sz w:val="24"/>
          <w:szCs w:val="24"/>
        </w:rPr>
        <w:t xml:space="preserve">ne </w:t>
      </w:r>
      <w:r w:rsidR="00200972" w:rsidRPr="009E4E70">
        <w:rPr>
          <w:sz w:val="24"/>
          <w:szCs w:val="24"/>
        </w:rPr>
        <w:t>del bilancio annuale 2004 e pluriennale 2004-2006 della Regione Abruzzo (Legge finanziaria regionale 2004)», nella parte in cui prevede, p</w:t>
      </w:r>
      <w:r w:rsidRPr="009E4E70">
        <w:rPr>
          <w:sz w:val="24"/>
          <w:szCs w:val="24"/>
        </w:rPr>
        <w:t xml:space="preserve">er </w:t>
      </w:r>
      <w:r w:rsidR="00200972" w:rsidRPr="009E4E70">
        <w:rPr>
          <w:sz w:val="24"/>
          <w:szCs w:val="24"/>
        </w:rPr>
        <w:t>gli interventi previsti dall'articolo 5-bis della medesima legge e, in particolare, per lo svolgimento del servizio di trasporto degli studenti</w:t>
      </w:r>
      <w:r w:rsidRPr="009E4E70">
        <w:rPr>
          <w:sz w:val="24"/>
          <w:szCs w:val="24"/>
        </w:rPr>
        <w:t xml:space="preserve"> </w:t>
      </w:r>
      <w:r w:rsidR="00200972" w:rsidRPr="009E4E70">
        <w:rPr>
          <w:sz w:val="24"/>
          <w:szCs w:val="24"/>
        </w:rPr>
        <w:t>portatori di handicap o di situazioni di svantaggio, che la Giunta regionale garantisce un contributo del 50% della spesa necessaria e</w:t>
      </w:r>
      <w:r w:rsidRPr="009E4E70">
        <w:rPr>
          <w:sz w:val="24"/>
          <w:szCs w:val="24"/>
        </w:rPr>
        <w:t xml:space="preserve"> </w:t>
      </w:r>
      <w:r w:rsidR="00200972" w:rsidRPr="009E4E70">
        <w:rPr>
          <w:sz w:val="24"/>
          <w:szCs w:val="24"/>
        </w:rPr>
        <w:t>documentata dalle Province solo «nei limiti della disponibilità finanziaria determinata dalle annuali leggi di bilancio e iscritta sul pertinen</w:t>
      </w:r>
      <w:r w:rsidRPr="009E4E70">
        <w:rPr>
          <w:sz w:val="24"/>
          <w:szCs w:val="24"/>
        </w:rPr>
        <w:t xml:space="preserve">te </w:t>
      </w:r>
      <w:r w:rsidR="00200972" w:rsidRPr="009E4E70">
        <w:rPr>
          <w:sz w:val="24"/>
          <w:szCs w:val="24"/>
        </w:rPr>
        <w:t>capitolo di spesa».</w:t>
      </w:r>
      <w:r w:rsidRPr="009E4E70">
        <w:rPr>
          <w:rStyle w:val="Rimandonotaapidipagina"/>
          <w:sz w:val="24"/>
          <w:szCs w:val="24"/>
        </w:rPr>
        <w:footnoteReference w:id="67"/>
      </w:r>
    </w:p>
    <w:p w14:paraId="2CA1C268" w14:textId="77777777" w:rsidR="0060726C" w:rsidRPr="009E4E70" w:rsidRDefault="0060726C" w:rsidP="00D526CC">
      <w:pPr>
        <w:pStyle w:val="Capoverso"/>
        <w:spacing w:line="360" w:lineRule="auto"/>
        <w:rPr>
          <w:sz w:val="24"/>
          <w:szCs w:val="24"/>
        </w:rPr>
      </w:pPr>
      <w:r w:rsidRPr="009E4E70">
        <w:rPr>
          <w:sz w:val="24"/>
          <w:szCs w:val="24"/>
        </w:rPr>
        <w:t>Da</w:t>
      </w:r>
      <w:r w:rsidR="00940AA6" w:rsidRPr="009E4E70">
        <w:rPr>
          <w:sz w:val="24"/>
          <w:szCs w:val="24"/>
        </w:rPr>
        <w:t xml:space="preserve">lla sentenza </w:t>
      </w:r>
      <w:r w:rsidRPr="009E4E70">
        <w:rPr>
          <w:sz w:val="24"/>
          <w:szCs w:val="24"/>
        </w:rPr>
        <w:t>n. 275 del 2016 in poi la giurisprudenza costituzionale intende però il limite dei vincoli di bilancio come strumentale alla garanzia dei diritti e non come una metanorma.</w:t>
      </w:r>
      <w:r w:rsidR="00874C97">
        <w:rPr>
          <w:rStyle w:val="Rimandonotaapidipagina"/>
          <w:sz w:val="24"/>
          <w:szCs w:val="24"/>
        </w:rPr>
        <w:footnoteReference w:id="68"/>
      </w:r>
      <w:r w:rsidRPr="009E4E70">
        <w:rPr>
          <w:sz w:val="24"/>
          <w:szCs w:val="24"/>
        </w:rPr>
        <w:t xml:space="preserve"> </w:t>
      </w:r>
    </w:p>
    <w:p w14:paraId="54ABE4D3" w14:textId="0741CFA8" w:rsidR="00FF2D71" w:rsidRDefault="0060726C" w:rsidP="00D526CC">
      <w:pPr>
        <w:pStyle w:val="Capoverso"/>
        <w:spacing w:line="360" w:lineRule="auto"/>
        <w:rPr>
          <w:sz w:val="24"/>
          <w:szCs w:val="24"/>
        </w:rPr>
      </w:pPr>
      <w:r w:rsidRPr="009E4E70">
        <w:rPr>
          <w:sz w:val="24"/>
          <w:szCs w:val="24"/>
        </w:rPr>
        <w:t xml:space="preserve">Il vincolo di bilancio non può incidere sul nucleo duro dei diritti costituzionali e sull’eguale tutela degli stessi su tutto il territorio nazionale (i livelli essenziali delle prestazioni). Si giunge quindi a configurare delle vere e proprie priorità costituzionali di spesa (da Corte cost. n. 169 del 2017 a Corte cost. n. 62 del 2020 per giungere a Corte cost. n. 195 del 2024 cons. 4.1. in diritto: “la giurisprudenza di questa Corte che, in reazione ad una prassi legislativa troppo incline a effettuare pesanti «tagli lineari» (sentenze n. 63 del 2024 e n. 220 del 2021) anche sulla sanità (sentenza n. 154 del 2017, punto 4.6.2.1. del ), ha introdotto a partire dalla sentenza n. 169 del 2017, la nozione di «spesa costituzionalmente necessaria» (ripresa poi nelle sentenze n. 220 del 2021, n. 197 del 2019 e n. 87 del 2018), funzionale a evidenziare che, in un contesto di risorse scarse, per fare fronte a esigenze di contenimento della spesa pubblica dettate anche da vincoli euro unitari, devono essere </w:t>
      </w:r>
      <w:r w:rsidRPr="009E4E70">
        <w:rPr>
          <w:sz w:val="24"/>
          <w:szCs w:val="24"/>
        </w:rPr>
        <w:lastRenderedPageBreak/>
        <w:t xml:space="preserve">prioritariamente ridotte le altre spese indistinte, rispetto a quella che si connota come funzionale a garantire il «fondamentale» diritto alla salute di cui all’art. 32 Cost., che chiama in causa imprescindibili esigenze di tutela anche delle fasce più deboli della popolazione, non in grado di accedere alla spesa sostenuta direttamente dal cittadino, cosiddetta out of pocket.”. </w:t>
      </w:r>
    </w:p>
    <w:p w14:paraId="617652B5" w14:textId="77777777" w:rsidR="0060726C" w:rsidRPr="009E4E70" w:rsidRDefault="00FF2D71" w:rsidP="00D526CC">
      <w:pPr>
        <w:pStyle w:val="Capoverso"/>
        <w:spacing w:line="360" w:lineRule="auto"/>
        <w:rPr>
          <w:sz w:val="24"/>
          <w:szCs w:val="24"/>
        </w:rPr>
      </w:pPr>
      <w:r>
        <w:rPr>
          <w:sz w:val="24"/>
          <w:szCs w:val="24"/>
        </w:rPr>
        <w:t xml:space="preserve">In tal senso si veda anche la sentenza della </w:t>
      </w:r>
      <w:r w:rsidR="0060726C" w:rsidRPr="009E4E70">
        <w:rPr>
          <w:sz w:val="24"/>
          <w:szCs w:val="24"/>
        </w:rPr>
        <w:t xml:space="preserve">Corte cost. n. 192 del 2024 </w:t>
      </w:r>
      <w:r>
        <w:rPr>
          <w:sz w:val="24"/>
          <w:szCs w:val="24"/>
        </w:rPr>
        <w:t xml:space="preserve">relativa alla legge </w:t>
      </w:r>
      <w:r w:rsidR="0060726C" w:rsidRPr="009E4E70">
        <w:rPr>
          <w:sz w:val="24"/>
          <w:szCs w:val="24"/>
        </w:rPr>
        <w:t>n. 86 del 2024</w:t>
      </w:r>
      <w:r>
        <w:rPr>
          <w:sz w:val="24"/>
          <w:szCs w:val="24"/>
        </w:rPr>
        <w:t xml:space="preserve"> (sull’autonomia differenziata)</w:t>
      </w:r>
      <w:r w:rsidR="0060726C" w:rsidRPr="009E4E70">
        <w:rPr>
          <w:sz w:val="24"/>
          <w:szCs w:val="24"/>
        </w:rPr>
        <w:t>.</w:t>
      </w:r>
    </w:p>
    <w:p w14:paraId="134FE4B7" w14:textId="77777777" w:rsidR="0061332B" w:rsidRPr="009E4E70" w:rsidRDefault="0061332B" w:rsidP="00D526CC">
      <w:pPr>
        <w:pStyle w:val="Capoverso"/>
        <w:spacing w:line="360" w:lineRule="auto"/>
        <w:rPr>
          <w:sz w:val="24"/>
          <w:szCs w:val="24"/>
        </w:rPr>
      </w:pPr>
      <w:r w:rsidRPr="009E4E70">
        <w:rPr>
          <w:sz w:val="24"/>
          <w:szCs w:val="24"/>
        </w:rPr>
        <w:t xml:space="preserve">Una </w:t>
      </w:r>
      <w:r w:rsidR="00FF2D71">
        <w:rPr>
          <w:sz w:val="24"/>
          <w:szCs w:val="24"/>
        </w:rPr>
        <w:t xml:space="preserve">accurata e consapevole </w:t>
      </w:r>
      <w:r w:rsidRPr="009E4E70">
        <w:rPr>
          <w:sz w:val="24"/>
          <w:szCs w:val="24"/>
        </w:rPr>
        <w:t xml:space="preserve">ricostruzione dei termini della questione è </w:t>
      </w:r>
      <w:r w:rsidR="00FF2D71">
        <w:rPr>
          <w:sz w:val="24"/>
          <w:szCs w:val="24"/>
        </w:rPr>
        <w:t xml:space="preserve">stata </w:t>
      </w:r>
      <w:r w:rsidRPr="009E4E70">
        <w:rPr>
          <w:sz w:val="24"/>
          <w:szCs w:val="24"/>
        </w:rPr>
        <w:t>operata dalla recente sentenza n. 9323/2024 della VII Sezione del Consiglio di Stato, in materia di trasport</w:t>
      </w:r>
      <w:r w:rsidR="00940AA6" w:rsidRPr="009E4E70">
        <w:rPr>
          <w:sz w:val="24"/>
          <w:szCs w:val="24"/>
        </w:rPr>
        <w:t>o scolastico di alunno disabile.</w:t>
      </w:r>
      <w:r w:rsidR="00940AA6" w:rsidRPr="009E4E70">
        <w:rPr>
          <w:rStyle w:val="Rimandonotaapidipagina"/>
          <w:sz w:val="24"/>
          <w:szCs w:val="24"/>
        </w:rPr>
        <w:footnoteReference w:id="69"/>
      </w:r>
    </w:p>
    <w:p w14:paraId="7B05F6BA" w14:textId="77777777" w:rsidR="00256B87" w:rsidRPr="009E4E70" w:rsidRDefault="00256B87" w:rsidP="00D526CC">
      <w:pPr>
        <w:pStyle w:val="Capoverso"/>
        <w:spacing w:line="360" w:lineRule="auto"/>
        <w:ind w:firstLine="0"/>
        <w:rPr>
          <w:sz w:val="24"/>
          <w:szCs w:val="24"/>
        </w:rPr>
      </w:pPr>
    </w:p>
    <w:p w14:paraId="2ED72AE4" w14:textId="77777777" w:rsidR="00200972" w:rsidRDefault="00256B87" w:rsidP="00D526CC">
      <w:pPr>
        <w:pStyle w:val="Capoverso"/>
        <w:spacing w:line="360" w:lineRule="auto"/>
        <w:ind w:firstLine="0"/>
        <w:rPr>
          <w:b/>
          <w:sz w:val="24"/>
          <w:szCs w:val="24"/>
        </w:rPr>
      </w:pPr>
      <w:r w:rsidRPr="009E4E70">
        <w:rPr>
          <w:b/>
          <w:sz w:val="24"/>
          <w:szCs w:val="24"/>
        </w:rPr>
        <w:lastRenderedPageBreak/>
        <w:t>8.</w:t>
      </w:r>
      <w:r w:rsidRPr="009E4E70">
        <w:rPr>
          <w:b/>
          <w:sz w:val="24"/>
          <w:szCs w:val="24"/>
        </w:rPr>
        <w:tab/>
      </w:r>
      <w:r w:rsidR="00510ED0" w:rsidRPr="009E4E70">
        <w:rPr>
          <w:b/>
          <w:sz w:val="24"/>
          <w:szCs w:val="24"/>
        </w:rPr>
        <w:t>I fattori di criticità e l’evoluzione del modello</w:t>
      </w:r>
      <w:r w:rsidR="0098676A">
        <w:rPr>
          <w:b/>
          <w:sz w:val="24"/>
          <w:szCs w:val="24"/>
        </w:rPr>
        <w:t xml:space="preserve"> verso un ulteriore cambio di prospettiva</w:t>
      </w:r>
      <w:r w:rsidR="00F94ACE">
        <w:rPr>
          <w:b/>
          <w:sz w:val="24"/>
          <w:szCs w:val="24"/>
        </w:rPr>
        <w:t xml:space="preserve"> (connesso al precedente)</w:t>
      </w:r>
      <w:r w:rsidR="00510ED0" w:rsidRPr="009E4E70">
        <w:rPr>
          <w:b/>
          <w:sz w:val="24"/>
          <w:szCs w:val="24"/>
        </w:rPr>
        <w:t>: dal bilanciamen</w:t>
      </w:r>
      <w:r w:rsidR="00406236" w:rsidRPr="009E4E70">
        <w:rPr>
          <w:b/>
          <w:sz w:val="24"/>
          <w:szCs w:val="24"/>
        </w:rPr>
        <w:t>to alla gerarchia fra interessi;</w:t>
      </w:r>
      <w:r w:rsidR="00510ED0" w:rsidRPr="009E4E70">
        <w:rPr>
          <w:b/>
          <w:sz w:val="24"/>
          <w:szCs w:val="24"/>
        </w:rPr>
        <w:t xml:space="preserve"> la tutela giurisdizionale della persona fragile nella prospettiva dell’effettività e del risultato</w:t>
      </w:r>
      <w:r w:rsidR="00200972" w:rsidRPr="009E4E70">
        <w:rPr>
          <w:b/>
          <w:sz w:val="24"/>
          <w:szCs w:val="24"/>
        </w:rPr>
        <w:t>.</w:t>
      </w:r>
    </w:p>
    <w:p w14:paraId="0F954745" w14:textId="77777777" w:rsidR="0098676A" w:rsidRPr="0098676A" w:rsidRDefault="0098676A" w:rsidP="00F94ACE">
      <w:pPr>
        <w:pStyle w:val="Capoverso"/>
        <w:spacing w:line="360" w:lineRule="auto"/>
        <w:ind w:firstLine="708"/>
        <w:rPr>
          <w:sz w:val="24"/>
          <w:szCs w:val="24"/>
        </w:rPr>
      </w:pPr>
      <w:r w:rsidRPr="0098676A">
        <w:rPr>
          <w:sz w:val="24"/>
          <w:szCs w:val="24"/>
        </w:rPr>
        <w:t>L’affermazione per cui la tutela del diritto fondamentale non può essere, in sede di esercizio del potere, subordinata a ragioni di tipo economico, per un verso riporta la riflessione sul terreno della dialettica fra bilanciamento e gerarchia degli interessi; e, per altro verso, induce a riflettere sul significato della tutela.</w:t>
      </w:r>
    </w:p>
    <w:p w14:paraId="6CDBDEC2" w14:textId="77777777" w:rsidR="00940AA6" w:rsidRPr="009E4E70" w:rsidRDefault="0098676A" w:rsidP="00F94ACE">
      <w:pPr>
        <w:spacing w:after="0" w:line="360" w:lineRule="auto"/>
        <w:ind w:firstLine="708"/>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Sotto questo profilo, l</w:t>
      </w:r>
      <w:r w:rsidR="00940AA6" w:rsidRPr="009E4E70">
        <w:rPr>
          <w:rFonts w:ascii="Times New Roman" w:hAnsi="Times New Roman" w:cs="Times New Roman"/>
          <w:sz w:val="24"/>
          <w:szCs w:val="24"/>
          <w:lang w:val="it-IT"/>
        </w:rPr>
        <w:t xml:space="preserve">a recente codificazione, ad opera </w:t>
      </w:r>
      <w:r w:rsidR="00940AA6" w:rsidRPr="009E4E70">
        <w:rPr>
          <w:rFonts w:ascii="Times New Roman" w:eastAsia="Calibri" w:hAnsi="Times New Roman" w:cs="Times New Roman"/>
          <w:sz w:val="24"/>
          <w:szCs w:val="24"/>
          <w:lang w:val="it-IT"/>
        </w:rPr>
        <w:t>dell’art. 1 del d. lgs. n. 36/2023, del principio del risultato in materia di attività contrattuale della pubblica amministrazione,</w:t>
      </w:r>
      <w:r w:rsidR="00940AA6" w:rsidRPr="009E4E70">
        <w:rPr>
          <w:rFonts w:ascii="Times New Roman" w:eastAsia="Calibri" w:hAnsi="Times New Roman" w:cs="Times New Roman"/>
          <w:sz w:val="24"/>
          <w:szCs w:val="24"/>
          <w:vertAlign w:val="superscript"/>
          <w:lang w:val="it-IT"/>
        </w:rPr>
        <w:footnoteReference w:id="70"/>
      </w:r>
      <w:r w:rsidR="00940AA6" w:rsidRPr="009E4E70">
        <w:rPr>
          <w:rFonts w:ascii="Times New Roman" w:eastAsia="Calibri" w:hAnsi="Times New Roman" w:cs="Times New Roman"/>
          <w:sz w:val="24"/>
          <w:szCs w:val="24"/>
          <w:lang w:val="it-IT"/>
        </w:rPr>
        <w:t xml:space="preserve"> ha avuto l’effetto di risvegliare il dibattito su uno dei princìpi ritenuti già propri del diritto amministrativo generale, e particolarmente rilevante </w:t>
      </w:r>
      <w:r w:rsidR="009018A8">
        <w:rPr>
          <w:rFonts w:ascii="Times New Roman" w:eastAsia="Calibri" w:hAnsi="Times New Roman" w:cs="Times New Roman"/>
          <w:sz w:val="24"/>
          <w:szCs w:val="24"/>
          <w:lang w:val="it-IT"/>
        </w:rPr>
        <w:t xml:space="preserve">– come già accennato - </w:t>
      </w:r>
      <w:r w:rsidR="00940AA6" w:rsidRPr="009E4E70">
        <w:rPr>
          <w:rFonts w:ascii="Times New Roman" w:eastAsia="Calibri" w:hAnsi="Times New Roman" w:cs="Times New Roman"/>
          <w:sz w:val="24"/>
          <w:szCs w:val="24"/>
          <w:lang w:val="it-IT"/>
        </w:rPr>
        <w:t>proprio nella materia in esame.</w:t>
      </w:r>
    </w:p>
    <w:p w14:paraId="49FD9743" w14:textId="77777777" w:rsidR="00940AA6" w:rsidRPr="009E4E70" w:rsidRDefault="00940AA6" w:rsidP="00F94ACE">
      <w:pPr>
        <w:spacing w:after="0" w:line="360" w:lineRule="auto"/>
        <w:ind w:firstLine="708"/>
        <w:jc w:val="both"/>
        <w:rPr>
          <w:rFonts w:ascii="Times New Roman" w:eastAsia="Calibri" w:hAnsi="Times New Roman" w:cs="Times New Roman"/>
          <w:sz w:val="24"/>
          <w:szCs w:val="24"/>
          <w:lang w:val="it-IT"/>
        </w:rPr>
      </w:pPr>
      <w:r w:rsidRPr="009E4E70">
        <w:rPr>
          <w:rFonts w:ascii="Times New Roman" w:eastAsia="Calibri" w:hAnsi="Times New Roman" w:cs="Times New Roman"/>
          <w:sz w:val="24"/>
          <w:szCs w:val="24"/>
          <w:lang w:val="it-IT"/>
        </w:rPr>
        <w:t>Proprio il riferimento al principio del risultato impone infatti di concepire la categoria della legittimità provvedimentale in termini non solo di conformità formale al paradigma normativo, ma anche di reale corrispondenza dei suoi effetti al disegno normativo: con un’attenzione, insomma, all’“ultimo miglio” dell’azione amministrativa.</w:t>
      </w:r>
      <w:r w:rsidRPr="009E4E70">
        <w:rPr>
          <w:rStyle w:val="Rimandonotaapidipagina"/>
          <w:rFonts w:ascii="Times New Roman" w:eastAsia="Calibri" w:hAnsi="Times New Roman" w:cs="Times New Roman"/>
          <w:sz w:val="24"/>
          <w:szCs w:val="24"/>
          <w:lang w:val="it-IT"/>
        </w:rPr>
        <w:footnoteReference w:id="71"/>
      </w:r>
      <w:r w:rsidRPr="009E4E70">
        <w:rPr>
          <w:rFonts w:ascii="Times New Roman" w:eastAsia="Calibri" w:hAnsi="Times New Roman" w:cs="Times New Roman"/>
          <w:sz w:val="24"/>
          <w:szCs w:val="24"/>
          <w:lang w:val="it-IT"/>
        </w:rPr>
        <w:t xml:space="preserve">  </w:t>
      </w:r>
    </w:p>
    <w:p w14:paraId="20A0B6A4" w14:textId="77777777" w:rsidR="0016166F" w:rsidRPr="009E4E70" w:rsidRDefault="009018A8" w:rsidP="00940AA6">
      <w:pPr>
        <w:spacing w:line="360" w:lineRule="auto"/>
        <w:ind w:firstLine="708"/>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L</w:t>
      </w:r>
      <w:r w:rsidR="00940AA6" w:rsidRPr="009E4E70">
        <w:rPr>
          <w:rFonts w:ascii="Times New Roman" w:eastAsia="Calibri" w:hAnsi="Times New Roman" w:cs="Times New Roman"/>
          <w:sz w:val="24"/>
          <w:szCs w:val="24"/>
          <w:lang w:val="it-IT"/>
        </w:rPr>
        <w:t xml:space="preserve">a recente disciplina positiva dell’amministrazione di risultato in materia di contratti pubblici – </w:t>
      </w:r>
      <w:r w:rsidR="0016166F" w:rsidRPr="009E4E70">
        <w:rPr>
          <w:rFonts w:ascii="Times New Roman" w:eastAsia="Calibri" w:hAnsi="Times New Roman" w:cs="Times New Roman"/>
          <w:sz w:val="24"/>
          <w:szCs w:val="24"/>
          <w:lang w:val="it-IT"/>
        </w:rPr>
        <w:t xml:space="preserve">come accennato, </w:t>
      </w:r>
      <w:r w:rsidR="00940AA6" w:rsidRPr="009E4E70">
        <w:rPr>
          <w:rFonts w:ascii="Times New Roman" w:eastAsia="Calibri" w:hAnsi="Times New Roman" w:cs="Times New Roman"/>
          <w:sz w:val="24"/>
          <w:szCs w:val="24"/>
          <w:lang w:val="it-IT"/>
        </w:rPr>
        <w:t xml:space="preserve">ricognitiva di una regola comunque operante nel diritto amministrativo generale in forza dell’art. 97 Cost. - ha </w:t>
      </w:r>
      <w:r w:rsidR="0016166F" w:rsidRPr="009E4E70">
        <w:rPr>
          <w:rFonts w:ascii="Times New Roman" w:eastAsia="Calibri" w:hAnsi="Times New Roman" w:cs="Times New Roman"/>
          <w:sz w:val="24"/>
          <w:szCs w:val="24"/>
          <w:lang w:val="it-IT"/>
        </w:rPr>
        <w:t xml:space="preserve">avuto </w:t>
      </w:r>
      <w:r>
        <w:rPr>
          <w:rFonts w:ascii="Times New Roman" w:eastAsia="Calibri" w:hAnsi="Times New Roman" w:cs="Times New Roman"/>
          <w:sz w:val="24"/>
          <w:szCs w:val="24"/>
          <w:lang w:val="it-IT"/>
        </w:rPr>
        <w:t xml:space="preserve">dunque </w:t>
      </w:r>
      <w:r w:rsidR="0016166F" w:rsidRPr="009E4E70">
        <w:rPr>
          <w:rFonts w:ascii="Times New Roman" w:eastAsia="Calibri" w:hAnsi="Times New Roman" w:cs="Times New Roman"/>
          <w:sz w:val="24"/>
          <w:szCs w:val="24"/>
          <w:lang w:val="it-IT"/>
        </w:rPr>
        <w:t>l’effetto di sollecitare applicazioni coerenti anche al di fuori della materia contrattuale.</w:t>
      </w:r>
    </w:p>
    <w:p w14:paraId="508B6820" w14:textId="77777777" w:rsidR="0016166F" w:rsidRPr="009E4E70" w:rsidRDefault="0016166F" w:rsidP="00F94ACE">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Si tratta della presa d’atto della inefficacia </w:t>
      </w:r>
      <w:r w:rsidR="00F94ACE">
        <w:rPr>
          <w:rFonts w:ascii="Times New Roman" w:hAnsi="Times New Roman" w:cs="Times New Roman"/>
          <w:sz w:val="24"/>
          <w:szCs w:val="24"/>
          <w:lang w:val="it-IT"/>
        </w:rPr>
        <w:t xml:space="preserve">– ma, prima ancora, sulla contrarietà ad una consapevole ricognizione del parametro normativo - </w:t>
      </w:r>
      <w:r w:rsidRPr="009E4E70">
        <w:rPr>
          <w:rFonts w:ascii="Times New Roman" w:hAnsi="Times New Roman" w:cs="Times New Roman"/>
          <w:sz w:val="24"/>
          <w:szCs w:val="24"/>
          <w:lang w:val="it-IT"/>
        </w:rPr>
        <w:t>di un modo di amministrare fondato sul confronto equiordinato fra gli interessi (</w:t>
      </w:r>
      <w:r w:rsidR="00F94ACE">
        <w:rPr>
          <w:rFonts w:ascii="Times New Roman" w:hAnsi="Times New Roman" w:cs="Times New Roman"/>
          <w:sz w:val="24"/>
          <w:szCs w:val="24"/>
          <w:lang w:val="it-IT"/>
        </w:rPr>
        <w:t xml:space="preserve">che finisce peraltro con l’assecondare </w:t>
      </w:r>
      <w:r w:rsidRPr="009E4E70">
        <w:rPr>
          <w:rFonts w:ascii="Times New Roman" w:hAnsi="Times New Roman" w:cs="Times New Roman"/>
          <w:sz w:val="24"/>
          <w:szCs w:val="24"/>
          <w:lang w:val="it-IT"/>
        </w:rPr>
        <w:t>i condizionamenti dell’amministrazione – nell’allocazione de</w:t>
      </w:r>
      <w:r w:rsidR="009018A8">
        <w:rPr>
          <w:rFonts w:ascii="Times New Roman" w:hAnsi="Times New Roman" w:cs="Times New Roman"/>
          <w:sz w:val="24"/>
          <w:szCs w:val="24"/>
          <w:lang w:val="it-IT"/>
        </w:rPr>
        <w:t>l</w:t>
      </w:r>
      <w:r w:rsidRPr="009E4E70">
        <w:rPr>
          <w:rFonts w:ascii="Times New Roman" w:hAnsi="Times New Roman" w:cs="Times New Roman"/>
          <w:sz w:val="24"/>
          <w:szCs w:val="24"/>
          <w:lang w:val="it-IT"/>
        </w:rPr>
        <w:t xml:space="preserve">le risorse - in termini di consenso dei cittadini), che ha riguardo alla valorizzazione, in termini di legittimità dell’azione amministrativa, dell’effettività del </w:t>
      </w:r>
      <w:r w:rsidRPr="009E4E70">
        <w:rPr>
          <w:rFonts w:ascii="Times New Roman" w:hAnsi="Times New Roman" w:cs="Times New Roman"/>
          <w:sz w:val="24"/>
          <w:szCs w:val="24"/>
          <w:lang w:val="it-IT"/>
        </w:rPr>
        <w:lastRenderedPageBreak/>
        <w:t xml:space="preserve">risultato avuto di mira dalla norma </w:t>
      </w:r>
      <w:r w:rsidR="009018A8">
        <w:rPr>
          <w:rFonts w:ascii="Times New Roman" w:hAnsi="Times New Roman" w:cs="Times New Roman"/>
          <w:sz w:val="24"/>
          <w:szCs w:val="24"/>
          <w:lang w:val="it-IT"/>
        </w:rPr>
        <w:t>regolante l’esercizio del potere funzionale alla conformazione dei diritti</w:t>
      </w:r>
      <w:r w:rsidRPr="009E4E70">
        <w:rPr>
          <w:rFonts w:ascii="Times New Roman" w:hAnsi="Times New Roman" w:cs="Times New Roman"/>
          <w:sz w:val="24"/>
          <w:szCs w:val="24"/>
          <w:lang w:val="it-IT"/>
        </w:rPr>
        <w:t>.</w:t>
      </w:r>
      <w:r w:rsidRPr="009E4E70">
        <w:rPr>
          <w:rStyle w:val="Rimandonotaapidipagina"/>
          <w:rFonts w:ascii="Times New Roman" w:hAnsi="Times New Roman" w:cs="Times New Roman"/>
          <w:sz w:val="24"/>
          <w:szCs w:val="24"/>
          <w:lang w:val="it-IT"/>
        </w:rPr>
        <w:footnoteReference w:id="72"/>
      </w:r>
    </w:p>
    <w:p w14:paraId="0F267675"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Va in proposito segnalato che la crisi di fiducia nell’azione pubblica impone un recupero di efficienza della stessa misurata in termini di effettività, un approccio ai problemi in termini di “diritto amministrativo praticato”,</w:t>
      </w:r>
      <w:r w:rsidRPr="009E4E70">
        <w:rPr>
          <w:rStyle w:val="Rimandonotaapidipagina"/>
          <w:rFonts w:ascii="Times New Roman" w:hAnsi="Times New Roman" w:cs="Times New Roman"/>
          <w:sz w:val="24"/>
          <w:szCs w:val="24"/>
          <w:lang w:val="it-IT"/>
        </w:rPr>
        <w:footnoteReference w:id="73"/>
      </w:r>
      <w:r w:rsidRPr="009E4E70">
        <w:rPr>
          <w:rFonts w:ascii="Times New Roman" w:hAnsi="Times New Roman" w:cs="Times New Roman"/>
          <w:sz w:val="24"/>
          <w:szCs w:val="24"/>
          <w:lang w:val="it-IT"/>
        </w:rPr>
        <w:t xml:space="preserve"> e non meramente predicato.</w:t>
      </w:r>
      <w:r w:rsidRPr="009E4E70">
        <w:rPr>
          <w:rStyle w:val="Rimandonotaapidipagina"/>
          <w:rFonts w:ascii="Times New Roman" w:hAnsi="Times New Roman" w:cs="Times New Roman"/>
          <w:sz w:val="24"/>
          <w:szCs w:val="24"/>
          <w:lang w:val="it-IT"/>
        </w:rPr>
        <w:footnoteReference w:id="74"/>
      </w:r>
    </w:p>
    <w:p w14:paraId="519B3062"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Questa prospettiva implica, evidentemente, in una fase ormai evoluta dell’esperienza dello Stato sociale pluriclasse, meccanismi decisionali conformi ad un parametro normativo che, come ricordato, </w:t>
      </w:r>
      <w:r w:rsidR="00F94ACE">
        <w:rPr>
          <w:rFonts w:ascii="Times New Roman" w:hAnsi="Times New Roman" w:cs="Times New Roman"/>
          <w:sz w:val="24"/>
          <w:szCs w:val="24"/>
          <w:lang w:val="it-IT"/>
        </w:rPr>
        <w:t xml:space="preserve">in luogo di una concezione ipocritamente egalitarista del bilanciamento (utilizzata come tecnica per reale una conformazione solo formalmente coerente al paradigma normativo) </w:t>
      </w:r>
      <w:r w:rsidRPr="009E4E70">
        <w:rPr>
          <w:rFonts w:ascii="Times New Roman" w:hAnsi="Times New Roman" w:cs="Times New Roman"/>
          <w:sz w:val="24"/>
          <w:szCs w:val="24"/>
          <w:lang w:val="it-IT"/>
        </w:rPr>
        <w:t>pone anzitutto una gerarchia fra gli interessi.</w:t>
      </w:r>
      <w:r w:rsidRPr="009E4E70">
        <w:rPr>
          <w:rStyle w:val="Rimandonotaapidipagina"/>
          <w:rFonts w:ascii="Times New Roman" w:hAnsi="Times New Roman" w:cs="Times New Roman"/>
          <w:sz w:val="24"/>
          <w:szCs w:val="24"/>
          <w:lang w:val="it-IT"/>
        </w:rPr>
        <w:footnoteReference w:id="75"/>
      </w:r>
    </w:p>
    <w:p w14:paraId="499BFD30" w14:textId="77777777" w:rsidR="004A7A36"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Tuttavia la decisione amministrativa, come quella politica, finisce a volte per inseguire il consenso anche quando tale ricerca non risulti conforme – se non</w:t>
      </w:r>
      <w:r w:rsidR="004A7A36">
        <w:rPr>
          <w:rFonts w:ascii="Times New Roman" w:hAnsi="Times New Roman" w:cs="Times New Roman"/>
          <w:sz w:val="24"/>
          <w:szCs w:val="24"/>
          <w:lang w:val="it-IT"/>
        </w:rPr>
        <w:t>, appunto,</w:t>
      </w:r>
      <w:r w:rsidRPr="009E4E70">
        <w:rPr>
          <w:rFonts w:ascii="Times New Roman" w:hAnsi="Times New Roman" w:cs="Times New Roman"/>
          <w:sz w:val="24"/>
          <w:szCs w:val="24"/>
          <w:lang w:val="it-IT"/>
        </w:rPr>
        <w:t xml:space="preserve"> nella prospettiva meramente formale: o forse formalistica - alla disciplina degl’interessi come fissata nella norma</w:t>
      </w:r>
      <w:r w:rsidR="004A7A36">
        <w:rPr>
          <w:rFonts w:ascii="Times New Roman" w:hAnsi="Times New Roman" w:cs="Times New Roman"/>
          <w:sz w:val="24"/>
          <w:szCs w:val="24"/>
          <w:lang w:val="it-IT"/>
        </w:rPr>
        <w:t>.</w:t>
      </w:r>
    </w:p>
    <w:p w14:paraId="004CEF43" w14:textId="77777777" w:rsidR="004A7A36" w:rsidRPr="0010222E" w:rsidRDefault="004A7A36" w:rsidP="004A7A36">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Le recenti crisi che hanno attraversato il pianeta hanno condotto alla teorizzazione, nelle dinamiche del diritto amministrativo, de</w:t>
      </w:r>
      <w:r w:rsidRPr="0010222E">
        <w:rPr>
          <w:rFonts w:ascii="Times New Roman" w:hAnsi="Times New Roman" w:cs="Times New Roman"/>
          <w:sz w:val="24"/>
          <w:szCs w:val="24"/>
          <w:lang w:val="it-IT"/>
        </w:rPr>
        <w:t>l rilievo centrale della categoria del dovere.</w:t>
      </w:r>
      <w:r w:rsidRPr="0010222E">
        <w:rPr>
          <w:rStyle w:val="Rimandonotaapidipagina"/>
          <w:rFonts w:ascii="Times New Roman" w:hAnsi="Times New Roman" w:cs="Times New Roman"/>
          <w:sz w:val="24"/>
          <w:szCs w:val="24"/>
          <w:lang w:val="it-IT"/>
        </w:rPr>
        <w:footnoteReference w:id="76"/>
      </w:r>
    </w:p>
    <w:p w14:paraId="22838222"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Tralasciando, in questa sede, il tema dei doveri imposti (dalle norme) ai privati,</w:t>
      </w:r>
      <w:r w:rsidRPr="009E4E70">
        <w:rPr>
          <w:rStyle w:val="Rimandonotaapidipagina"/>
          <w:rFonts w:ascii="Times New Roman" w:hAnsi="Times New Roman" w:cs="Times New Roman"/>
          <w:sz w:val="24"/>
          <w:szCs w:val="24"/>
          <w:lang w:val="it-IT"/>
        </w:rPr>
        <w:footnoteReference w:id="77"/>
      </w:r>
      <w:r w:rsidRPr="009E4E70">
        <w:rPr>
          <w:rFonts w:ascii="Times New Roman" w:hAnsi="Times New Roman" w:cs="Times New Roman"/>
          <w:sz w:val="24"/>
          <w:szCs w:val="24"/>
          <w:lang w:val="it-IT"/>
        </w:rPr>
        <w:t xml:space="preserve"> per concentrarci sui doveri imposti al decisore pubblico (oggetto del</w:t>
      </w:r>
      <w:r w:rsidR="004F246F" w:rsidRPr="009E4E70">
        <w:rPr>
          <w:rFonts w:ascii="Times New Roman" w:hAnsi="Times New Roman" w:cs="Times New Roman"/>
          <w:sz w:val="24"/>
          <w:szCs w:val="24"/>
          <w:lang w:val="it-IT"/>
        </w:rPr>
        <w:t xml:space="preserve"> tema dell’incontro</w:t>
      </w:r>
      <w:r w:rsidRPr="009E4E70">
        <w:rPr>
          <w:rFonts w:ascii="Times New Roman" w:hAnsi="Times New Roman" w:cs="Times New Roman"/>
          <w:sz w:val="24"/>
          <w:szCs w:val="24"/>
          <w:lang w:val="it-IT"/>
        </w:rPr>
        <w:t>), occorre brevemente provare ad interrogarsi sul perché si sia passati, dalla semplice attribuzione di “compiti” alla pubblica amministrazione, alla enucleazione di corrispondenti doveri di azione, evidentemente in qualche modo giustiziabili.</w:t>
      </w:r>
    </w:p>
    <w:p w14:paraId="2A240CF3"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La mancata pratica della regola, o l’ossequio solo formale ad esse,  implicano quindi che il c.d. </w:t>
      </w:r>
      <w:r w:rsidRPr="009E4E70">
        <w:rPr>
          <w:rFonts w:ascii="Times New Roman" w:hAnsi="Times New Roman" w:cs="Times New Roman"/>
          <w:i/>
          <w:sz w:val="24"/>
          <w:szCs w:val="24"/>
          <w:lang w:val="it-IT"/>
        </w:rPr>
        <w:t>enforcement</w:t>
      </w:r>
      <w:r w:rsidRPr="009E4E70">
        <w:rPr>
          <w:rFonts w:ascii="Times New Roman" w:hAnsi="Times New Roman" w:cs="Times New Roman"/>
          <w:sz w:val="24"/>
          <w:szCs w:val="24"/>
          <w:lang w:val="it-IT"/>
        </w:rPr>
        <w:t xml:space="preserve"> è garantito solo dall’applicazione coattiva: che supplisce ad una mancanza di volontà politico- amministrativa, e a una diversa prospettiva di utilizzo delle risorse.</w:t>
      </w:r>
      <w:r w:rsidRPr="009E4E70">
        <w:rPr>
          <w:rFonts w:ascii="Times New Roman" w:hAnsi="Times New Roman" w:cs="Times New Roman"/>
          <w:sz w:val="24"/>
          <w:szCs w:val="24"/>
          <w:vertAlign w:val="superscript"/>
          <w:lang w:val="it-IT"/>
        </w:rPr>
        <w:footnoteReference w:id="78"/>
      </w:r>
    </w:p>
    <w:p w14:paraId="441189CA"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Il fatto che il decisore pubblico tenda a non attuare spontaneamente le norme concentra dunque l’attenzione dell’indagine relativa alle tutele sulle categorie del risultato e dell’effettività.</w:t>
      </w:r>
    </w:p>
    <w:p w14:paraId="6FDFD71B"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Anche per tale, complesso ordine di ragioni nel diritto amministrativo generale la dottrina del risultato sta vivendo una stagione che, affrancandosi da una prima fase di mera enunciazione del principio, individua precisi strumenti normativi e conseguenti scenari di tutela, nella direzione di un “diritto amministrativo praticato”.</w:t>
      </w:r>
      <w:r w:rsidRPr="009E4E70">
        <w:rPr>
          <w:rStyle w:val="Rimandonotaapidipagina"/>
          <w:rFonts w:ascii="Times New Roman" w:hAnsi="Times New Roman" w:cs="Times New Roman"/>
          <w:sz w:val="24"/>
          <w:szCs w:val="24"/>
        </w:rPr>
        <w:footnoteReference w:id="79"/>
      </w:r>
    </w:p>
    <w:p w14:paraId="794C2702"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Si è così osservato che “L’importanza assegnata dall’ordinamento al risultato amministrativo e la sua sussunzione nell’ambito della legalità, determina l’estensione del raffronto norma-atto, al rapporto norma-atto-risultato, quest’ultimo inteso evidentemente non in termini economici, ma giuridici, secondo il significato innanzi delineato. (….) Insomma il risultato amministrativo, quale espressione del buon andamento della pubblica amministrazione, implica la tempestiva presa in considerazione degli interessi, la loro rapida ponderazione e la loro efficace tutela, nel rispetto dei parametri temporali e logici propri di ciascun ambito di attività pubblica”.</w:t>
      </w:r>
      <w:r w:rsidRPr="009E4E70">
        <w:rPr>
          <w:rStyle w:val="Rimandonotaapidipagina"/>
          <w:rFonts w:ascii="Times New Roman" w:hAnsi="Times New Roman" w:cs="Times New Roman"/>
          <w:sz w:val="24"/>
          <w:szCs w:val="24"/>
          <w:lang w:val="it-IT"/>
        </w:rPr>
        <w:footnoteReference w:id="80"/>
      </w:r>
    </w:p>
    <w:p w14:paraId="79816FD5"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L’effettività del sindacato giurisdizionale rimane tuttavia pur sempre all’interno del perimetro tracciato dal principio di separazione dei poteri.</w:t>
      </w:r>
      <w:r w:rsidRPr="009E4E70">
        <w:rPr>
          <w:rFonts w:ascii="Times New Roman" w:hAnsi="Times New Roman" w:cs="Times New Roman"/>
          <w:sz w:val="24"/>
          <w:szCs w:val="24"/>
          <w:vertAlign w:val="superscript"/>
          <w:lang w:val="it-IT"/>
        </w:rPr>
        <w:footnoteReference w:id="81"/>
      </w:r>
    </w:p>
    <w:p w14:paraId="75AC452C" w14:textId="77777777" w:rsidR="0016166F" w:rsidRPr="009E4E70"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 xml:space="preserve">Tutto ciò impone all’amministrazione sicuramente un compito più gravoso per riempire di contenuto diritti ed interessi, e al formante giurisprudenziale il ruolo di garante dell’effettività degli obiettivi normativamente posti, della “pratica” del diritto amministrativo. </w:t>
      </w:r>
    </w:p>
    <w:p w14:paraId="6CE6A07E" w14:textId="77777777" w:rsidR="0016166F" w:rsidRDefault="0016166F" w:rsidP="0016166F">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L’inefficienza entra dunque normativamente nell’area dell’illegittimità amministrativa, attraverso la categoria del (mancato raggiungimento del) risultato (anche a causa dell’inazione causata da scelte organizzative incuranti dell’obiettivo del raggiungimento dello scopo indicato dalla norma).</w:t>
      </w:r>
      <w:r w:rsidRPr="009E4E70">
        <w:rPr>
          <w:rStyle w:val="Rimandonotaapidipagina"/>
          <w:rFonts w:ascii="Times New Roman" w:hAnsi="Times New Roman" w:cs="Times New Roman"/>
          <w:sz w:val="24"/>
          <w:szCs w:val="24"/>
          <w:lang w:val="it-IT"/>
        </w:rPr>
        <w:footnoteReference w:id="82"/>
      </w:r>
      <w:r w:rsidRPr="009E4E70">
        <w:rPr>
          <w:rFonts w:ascii="Times New Roman" w:hAnsi="Times New Roman" w:cs="Times New Roman"/>
          <w:sz w:val="24"/>
          <w:szCs w:val="24"/>
          <w:lang w:val="it-IT"/>
        </w:rPr>
        <w:t xml:space="preserve"> </w:t>
      </w:r>
    </w:p>
    <w:p w14:paraId="66A7F72F" w14:textId="77777777" w:rsidR="00297363" w:rsidRDefault="00297363" w:rsidP="00297363">
      <w:pPr>
        <w:spacing w:line="360" w:lineRule="auto"/>
        <w:ind w:firstLine="708"/>
        <w:jc w:val="both"/>
        <w:rPr>
          <w:rFonts w:ascii="Times New Roman" w:hAnsi="Times New Roman" w:cs="Times New Roman"/>
          <w:sz w:val="24"/>
          <w:szCs w:val="24"/>
          <w:lang w:val="it-IT"/>
        </w:rPr>
      </w:pPr>
    </w:p>
    <w:p w14:paraId="54C2B830" w14:textId="77777777" w:rsidR="00297363" w:rsidRPr="00BC075A" w:rsidRDefault="00297363" w:rsidP="00297363">
      <w:pPr>
        <w:spacing w:line="360" w:lineRule="auto"/>
        <w:jc w:val="both"/>
        <w:rPr>
          <w:rFonts w:ascii="Times New Roman" w:hAnsi="Times New Roman" w:cs="Times New Roman"/>
          <w:b/>
          <w:sz w:val="24"/>
          <w:szCs w:val="24"/>
          <w:lang w:val="it-IT"/>
        </w:rPr>
      </w:pPr>
      <w:r w:rsidRPr="00BC075A">
        <w:rPr>
          <w:rFonts w:ascii="Times New Roman" w:hAnsi="Times New Roman" w:cs="Times New Roman"/>
          <w:b/>
          <w:sz w:val="24"/>
          <w:szCs w:val="24"/>
          <w:lang w:val="it-IT"/>
        </w:rPr>
        <w:t>9. Alcuni esempi.</w:t>
      </w:r>
    </w:p>
    <w:p w14:paraId="4D20FBC7" w14:textId="77777777" w:rsidR="007F6A46" w:rsidRPr="009E4E70" w:rsidRDefault="00A81E14"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Nella materia qui in esame una ipotesi di illegittimità dell’atto amministrativo consistente nella “divaricazione, sul piano dell’effettività, fra tutela astrattamente prevista e misure realmente praticate” è stata affermata da </w:t>
      </w:r>
      <w:r w:rsidR="007F6A46" w:rsidRPr="009E4E70">
        <w:rPr>
          <w:rFonts w:ascii="Times New Roman" w:hAnsi="Times New Roman" w:cs="Times New Roman"/>
          <w:sz w:val="24"/>
          <w:szCs w:val="24"/>
          <w:lang w:val="it-IT"/>
        </w:rPr>
        <w:t>Consiglio di Stato, sez. III, sentenza 6 dicembre 2023 n. 10570 (in materia di assegno di cura a minore affetto da disturbo della relazione e della comunicazione per disturbo dello spettro autistico, classificato al livello 3 di gravità): “</w:t>
      </w:r>
      <w:r w:rsidR="007F6A46" w:rsidRPr="009018A8">
        <w:rPr>
          <w:rFonts w:ascii="Times New Roman" w:hAnsi="Times New Roman" w:cs="Times New Roman"/>
          <w:sz w:val="24"/>
          <w:szCs w:val="24"/>
          <w:lang w:val="it-IT"/>
        </w:rPr>
        <w:t>pur trattandosi di scelta ampiamente discrezionale e soggetta entro precisi limiti al sindacato del giudice amministrativo, la graduazione dei beneficiari dell’assegno così come individuata fin dalla delibera n. 325 del 2020 appare in relazione di contraddizione, oltre che con le disposizioni statali sopra richiamate, anche - sul piano delle regole di predeterminazione dell’attività amministrativa - con gli stessi obiettivi che la stessa Regione si è nominalmente posta, nel senso di garantire un “intervento socioassistenziale finalizzato a sostenere il carico di cura delle famiglie per le persone non autosufficienti che non ricevono assistenza domiciliare dalla ASL</w:t>
      </w:r>
      <w:r w:rsidR="00563E75" w:rsidRPr="009018A8">
        <w:rPr>
          <w:rFonts w:ascii="Times New Roman" w:hAnsi="Times New Roman" w:cs="Times New Roman"/>
          <w:sz w:val="24"/>
          <w:szCs w:val="24"/>
          <w:lang w:val="it-IT"/>
        </w:rPr>
        <w:t xml:space="preserve"> : proprio perché realizza una divaricazione, sul piano dell’effettività, fra tutela astrattamente prevista e misure realmente praticate</w:t>
      </w:r>
      <w:r w:rsidR="007F6A46" w:rsidRPr="009E4E70">
        <w:rPr>
          <w:rFonts w:ascii="Times New Roman" w:hAnsi="Times New Roman" w:cs="Times New Roman"/>
          <w:sz w:val="24"/>
          <w:szCs w:val="24"/>
          <w:lang w:val="it-IT"/>
        </w:rPr>
        <w:t>”.</w:t>
      </w:r>
    </w:p>
    <w:p w14:paraId="0567E22E" w14:textId="77777777" w:rsidR="00362975" w:rsidRPr="009E4E70" w:rsidRDefault="009C5726"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 xml:space="preserve">Inevitabilmente si finisce </w:t>
      </w:r>
      <w:r w:rsidR="00763E70" w:rsidRPr="009E4E70">
        <w:rPr>
          <w:rFonts w:ascii="Times New Roman" w:hAnsi="Times New Roman" w:cs="Times New Roman"/>
          <w:sz w:val="24"/>
          <w:szCs w:val="24"/>
          <w:lang w:val="it-IT"/>
        </w:rPr>
        <w:t>dunque</w:t>
      </w:r>
      <w:r w:rsidRPr="009E4E70">
        <w:rPr>
          <w:rFonts w:ascii="Times New Roman" w:hAnsi="Times New Roman" w:cs="Times New Roman"/>
          <w:sz w:val="24"/>
          <w:szCs w:val="24"/>
          <w:lang w:val="it-IT"/>
        </w:rPr>
        <w:t xml:space="preserve"> con lo scaricare sulla giurisdizione la responsabilità della ricostruzione (e dell’affermazione) delle gerarchie fra gli interessi </w:t>
      </w:r>
      <w:r w:rsidR="0020766F">
        <w:rPr>
          <w:rFonts w:ascii="Times New Roman" w:hAnsi="Times New Roman" w:cs="Times New Roman"/>
          <w:sz w:val="24"/>
          <w:szCs w:val="24"/>
          <w:lang w:val="it-IT"/>
        </w:rPr>
        <w:t>disegnata</w:t>
      </w:r>
      <w:r w:rsidRPr="009E4E70">
        <w:rPr>
          <w:rFonts w:ascii="Times New Roman" w:hAnsi="Times New Roman" w:cs="Times New Roman"/>
          <w:sz w:val="24"/>
          <w:szCs w:val="24"/>
          <w:lang w:val="it-IT"/>
        </w:rPr>
        <w:t xml:space="preserve"> dalle norme </w:t>
      </w:r>
      <w:r w:rsidRPr="009E4E70">
        <w:rPr>
          <w:rFonts w:ascii="Times New Roman" w:hAnsi="Times New Roman" w:cs="Times New Roman"/>
          <w:sz w:val="24"/>
          <w:szCs w:val="24"/>
          <w:lang w:val="it-IT"/>
        </w:rPr>
        <w:lastRenderedPageBreak/>
        <w:t>costituzionali: ma quella gerarchia è posta, a monte, dal dato normativo non adeguatamente attuato – in via di “effettività primaria” – sul piano amministrativo.</w:t>
      </w:r>
      <w:r w:rsidRPr="009E4E70">
        <w:rPr>
          <w:rStyle w:val="Rimandonotaapidipagina"/>
          <w:rFonts w:ascii="Times New Roman" w:hAnsi="Times New Roman" w:cs="Times New Roman"/>
          <w:sz w:val="24"/>
          <w:szCs w:val="24"/>
          <w:lang w:val="it-IT"/>
        </w:rPr>
        <w:footnoteReference w:id="83"/>
      </w:r>
    </w:p>
    <w:p w14:paraId="7D5CACDD" w14:textId="77777777" w:rsidR="007F6A46" w:rsidRPr="009E4E70" w:rsidRDefault="007F6A46"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L’effettività del sindacato giurisdizionale rimane tuttavia</w:t>
      </w:r>
      <w:r w:rsidR="004F246F" w:rsidRPr="009E4E70">
        <w:rPr>
          <w:rFonts w:ascii="Times New Roman" w:hAnsi="Times New Roman" w:cs="Times New Roman"/>
          <w:sz w:val="24"/>
          <w:szCs w:val="24"/>
          <w:lang w:val="it-IT"/>
        </w:rPr>
        <w:t xml:space="preserve">, come già precisato, </w:t>
      </w:r>
      <w:r w:rsidRPr="009E4E70">
        <w:rPr>
          <w:rFonts w:ascii="Times New Roman" w:hAnsi="Times New Roman" w:cs="Times New Roman"/>
          <w:sz w:val="24"/>
          <w:szCs w:val="24"/>
          <w:lang w:val="it-IT"/>
        </w:rPr>
        <w:t xml:space="preserve"> </w:t>
      </w:r>
      <w:r w:rsidR="00A81E14" w:rsidRPr="009E4E70">
        <w:rPr>
          <w:rFonts w:ascii="Times New Roman" w:hAnsi="Times New Roman" w:cs="Times New Roman"/>
          <w:sz w:val="24"/>
          <w:szCs w:val="24"/>
          <w:lang w:val="it-IT"/>
        </w:rPr>
        <w:t xml:space="preserve">pur sempre </w:t>
      </w:r>
      <w:r w:rsidRPr="009E4E70">
        <w:rPr>
          <w:rFonts w:ascii="Times New Roman" w:hAnsi="Times New Roman" w:cs="Times New Roman"/>
          <w:sz w:val="24"/>
          <w:szCs w:val="24"/>
          <w:lang w:val="it-IT"/>
        </w:rPr>
        <w:t>all’interno del perimetro tracciato dal principio di separazione dei poteri.</w:t>
      </w:r>
      <w:r w:rsidRPr="009E4E70">
        <w:rPr>
          <w:rFonts w:ascii="Times New Roman" w:hAnsi="Times New Roman" w:cs="Times New Roman"/>
          <w:sz w:val="24"/>
          <w:szCs w:val="24"/>
          <w:vertAlign w:val="superscript"/>
          <w:lang w:val="it-IT"/>
        </w:rPr>
        <w:footnoteReference w:id="84"/>
      </w:r>
    </w:p>
    <w:p w14:paraId="6760964A" w14:textId="77777777" w:rsidR="00F2218B" w:rsidRPr="009E4E70" w:rsidRDefault="00F2218B"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 xml:space="preserve">Naturalmente laddove la tutela non venga a realizzarsi in forma specifica, la giurisprudenza riconosce il diritto del disabile al risarcimento del danno nei confronti della pubblica amministrazione che abbia </w:t>
      </w:r>
      <w:r w:rsidR="00AC33F4" w:rsidRPr="009E4E70">
        <w:rPr>
          <w:rFonts w:ascii="Times New Roman" w:hAnsi="Times New Roman" w:cs="Times New Roman"/>
          <w:sz w:val="24"/>
          <w:szCs w:val="24"/>
          <w:lang w:val="it-IT"/>
        </w:rPr>
        <w:t xml:space="preserve">con ritardo </w:t>
      </w:r>
      <w:r w:rsidRPr="009E4E70">
        <w:rPr>
          <w:rFonts w:ascii="Times New Roman" w:hAnsi="Times New Roman" w:cs="Times New Roman"/>
          <w:sz w:val="24"/>
          <w:szCs w:val="24"/>
          <w:lang w:val="it-IT"/>
        </w:rPr>
        <w:t>esercitato i poteri tendenti alla</w:t>
      </w:r>
      <w:r w:rsidR="00AC33F4" w:rsidRPr="009E4E70">
        <w:rPr>
          <w:rFonts w:ascii="Times New Roman" w:hAnsi="Times New Roman" w:cs="Times New Roman"/>
          <w:sz w:val="24"/>
          <w:szCs w:val="24"/>
          <w:lang w:val="it-IT"/>
        </w:rPr>
        <w:t xml:space="preserve"> tutela della persona fragile.</w:t>
      </w:r>
      <w:r w:rsidR="00AC33F4" w:rsidRPr="009E4E70">
        <w:rPr>
          <w:rStyle w:val="Rimandonotaapidipagina"/>
          <w:rFonts w:ascii="Times New Roman" w:hAnsi="Times New Roman" w:cs="Times New Roman"/>
          <w:sz w:val="24"/>
          <w:szCs w:val="24"/>
          <w:lang w:val="it-IT"/>
        </w:rPr>
        <w:footnoteReference w:id="85"/>
      </w:r>
      <w:r w:rsidRPr="009E4E70">
        <w:rPr>
          <w:rFonts w:ascii="Times New Roman" w:hAnsi="Times New Roman" w:cs="Times New Roman"/>
          <w:sz w:val="24"/>
          <w:szCs w:val="24"/>
          <w:lang w:val="it-IT"/>
        </w:rPr>
        <w:t xml:space="preserve"> </w:t>
      </w:r>
    </w:p>
    <w:p w14:paraId="679AD803" w14:textId="77777777" w:rsidR="00563E75" w:rsidRDefault="007F6A46" w:rsidP="00D526CC">
      <w:pPr>
        <w:spacing w:line="360" w:lineRule="auto"/>
        <w:ind w:firstLine="708"/>
        <w:jc w:val="both"/>
        <w:rPr>
          <w:rFonts w:ascii="Times New Roman" w:hAnsi="Times New Roman" w:cs="Times New Roman"/>
          <w:sz w:val="24"/>
          <w:szCs w:val="24"/>
          <w:lang w:val="it-IT"/>
        </w:rPr>
      </w:pPr>
      <w:bookmarkStart w:id="0" w:name="_GoBack"/>
      <w:bookmarkEnd w:id="0"/>
      <w:r w:rsidRPr="009E4E70">
        <w:rPr>
          <w:rFonts w:ascii="Times New Roman" w:hAnsi="Times New Roman" w:cs="Times New Roman"/>
          <w:sz w:val="24"/>
          <w:szCs w:val="24"/>
          <w:lang w:val="it-IT"/>
        </w:rPr>
        <w:t>Ciò che fa la differenza non è dunque (più) la previsione normativa,</w:t>
      </w:r>
      <w:r w:rsidRPr="009E4E70">
        <w:rPr>
          <w:rFonts w:ascii="Times New Roman" w:hAnsi="Times New Roman" w:cs="Times New Roman"/>
          <w:sz w:val="24"/>
          <w:szCs w:val="24"/>
          <w:vertAlign w:val="superscript"/>
          <w:lang w:val="it-IT"/>
        </w:rPr>
        <w:footnoteReference w:id="86"/>
      </w:r>
      <w:r w:rsidRPr="009E4E70">
        <w:rPr>
          <w:rFonts w:ascii="Times New Roman" w:hAnsi="Times New Roman" w:cs="Times New Roman"/>
          <w:sz w:val="24"/>
          <w:szCs w:val="24"/>
          <w:lang w:val="it-IT"/>
        </w:rPr>
        <w:t xml:space="preserve"> ma il c.d. </w:t>
      </w:r>
      <w:r w:rsidRPr="009E4E70">
        <w:rPr>
          <w:rFonts w:ascii="Times New Roman" w:hAnsi="Times New Roman" w:cs="Times New Roman"/>
          <w:i/>
          <w:sz w:val="24"/>
          <w:szCs w:val="24"/>
          <w:lang w:val="it-IT"/>
        </w:rPr>
        <w:t>enforcement</w:t>
      </w:r>
      <w:r w:rsidRPr="009E4E70">
        <w:rPr>
          <w:rFonts w:ascii="Times New Roman" w:hAnsi="Times New Roman" w:cs="Times New Roman"/>
          <w:sz w:val="24"/>
          <w:szCs w:val="24"/>
          <w:lang w:val="it-IT"/>
        </w:rPr>
        <w:t>: il modo in cui la stessa si riempie di effettivo contenuto per mezzo dell’esercizio dei poteri amministrativi</w:t>
      </w:r>
      <w:r w:rsidR="00563E75" w:rsidRPr="009E4E70">
        <w:rPr>
          <w:rFonts w:ascii="Times New Roman" w:hAnsi="Times New Roman" w:cs="Times New Roman"/>
          <w:sz w:val="24"/>
          <w:szCs w:val="24"/>
          <w:lang w:val="it-IT"/>
        </w:rPr>
        <w:t>.</w:t>
      </w:r>
    </w:p>
    <w:p w14:paraId="3A5DC6BA" w14:textId="77777777" w:rsidR="007F6A46" w:rsidRPr="009E4E70" w:rsidRDefault="00563E75"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In materia di livelli essenziali delle prestazioni, ad esempio, si è affermata “</w:t>
      </w:r>
      <w:r w:rsidRPr="009018A8">
        <w:rPr>
          <w:rFonts w:ascii="Times New Roman" w:hAnsi="Times New Roman" w:cs="Times New Roman"/>
          <w:sz w:val="24"/>
          <w:szCs w:val="24"/>
          <w:lang w:val="it-IT"/>
        </w:rPr>
        <w:t>l’inattitudine della categoria dei lep a fondare il riconoscimento di pretese a soddisfazione certa e necessaria. No</w:t>
      </w:r>
      <w:r w:rsidR="009E4E70" w:rsidRPr="009018A8">
        <w:rPr>
          <w:rFonts w:ascii="Times New Roman" w:hAnsi="Times New Roman" w:cs="Times New Roman"/>
          <w:sz w:val="24"/>
          <w:szCs w:val="24"/>
          <w:lang w:val="it-IT"/>
        </w:rPr>
        <w:t>n</w:t>
      </w:r>
      <w:r w:rsidRPr="009018A8">
        <w:rPr>
          <w:rFonts w:ascii="Times New Roman" w:hAnsi="Times New Roman" w:cs="Times New Roman"/>
          <w:sz w:val="24"/>
          <w:szCs w:val="24"/>
          <w:lang w:val="it-IT"/>
        </w:rPr>
        <w:t>dimeno, le soluzioni offerte dal giudice amministrativo appaiono rilevanti nella prospettiva della effettività giurisdizionale, muovendosi nel quadro di un sindacato che consente – come attualmente fa quello di legittimità – di offrire una tutela piena, sul versante dei poteri cognitori e decisori, alle posizioni azionate in giudizio</w:t>
      </w:r>
      <w:r w:rsidRPr="009E4E70">
        <w:rPr>
          <w:rFonts w:ascii="Times New Roman" w:hAnsi="Times New Roman" w:cs="Times New Roman"/>
          <w:sz w:val="24"/>
          <w:szCs w:val="24"/>
          <w:lang w:val="it-IT"/>
        </w:rPr>
        <w:t>”</w:t>
      </w:r>
      <w:r w:rsidR="007F6A46" w:rsidRPr="009E4E70">
        <w:rPr>
          <w:rFonts w:ascii="Times New Roman" w:hAnsi="Times New Roman" w:cs="Times New Roman"/>
          <w:sz w:val="24"/>
          <w:szCs w:val="24"/>
          <w:lang w:val="it-IT"/>
        </w:rPr>
        <w:t>.</w:t>
      </w:r>
      <w:r w:rsidR="00CB6007" w:rsidRPr="009E4E70">
        <w:rPr>
          <w:rStyle w:val="Rimandonotaapidipagina"/>
          <w:rFonts w:ascii="Times New Roman" w:hAnsi="Times New Roman" w:cs="Times New Roman"/>
          <w:sz w:val="24"/>
          <w:szCs w:val="24"/>
          <w:lang w:val="it-IT"/>
        </w:rPr>
        <w:footnoteReference w:id="87"/>
      </w:r>
    </w:p>
    <w:p w14:paraId="3A9DAD08" w14:textId="77777777" w:rsidR="00F2218B" w:rsidRPr="009E4E70" w:rsidRDefault="00F2218B"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In giurisprudenza è stato così chiarito, in materia di terapie rivolte ai soggetti autistici, che “</w:t>
      </w:r>
      <w:r w:rsidRPr="009018A8">
        <w:rPr>
          <w:rFonts w:ascii="Times New Roman" w:hAnsi="Times New Roman" w:cs="Times New Roman"/>
          <w:sz w:val="24"/>
          <w:szCs w:val="24"/>
          <w:lang w:val="it-IT"/>
        </w:rPr>
        <w:t xml:space="preserve">il trattamento ABA -OMISSIS- rientra certamente tra i livelli essenziali di assistenza (LEA) a norma dell’articolo 60 del d.P.C.M. 12 gennaio 2017 e delle conseguenti Linee di indirizzo dell’Istituto superiore di sanità, da ultimo approvate in Conferenza unificata in data 10 maggio 20178, in attuazione della legge 18 agosto 2015, n. 134 (cfr. sent. n. 2129/2022). Del resto, non risulta ragionevole opporsi alla necessità - per vero irrinunciabile - di assicurare l’effettivo trattamento ABI - nella misura sufficiente prevista dalle Linee di indirizzo dell’Istituto superiore di sanità - dovendosi ritenere che tali prestazioni, anche attraverso l’erogazione indiretta e, dunque, strumentale, debbano </w:t>
      </w:r>
      <w:r w:rsidRPr="009018A8">
        <w:rPr>
          <w:rFonts w:ascii="Times New Roman" w:hAnsi="Times New Roman" w:cs="Times New Roman"/>
          <w:sz w:val="24"/>
          <w:szCs w:val="24"/>
          <w:lang w:val="it-IT"/>
        </w:rPr>
        <w:lastRenderedPageBreak/>
        <w:t>concorrere a realizzare quella “prestazione di risultato” rappresentata dal visto riconoscimento del trattamento Aba nei Lea. Diversamente si giungerebbe ad imporre all’Amministrazione, nel delicato bilanciamento degli interessi in gioco, di valutare elementi non previsti né prevedibili, al momento del provvedimento, trasformando il giudizio discrezionale che le compete in una «forma di intuizionismo insindacabile» (Cons. St., sez. III, 30 maggio 2016, n. 2266), in sede di legittimità, dallo stesso giudice amministrativo, in spregio di fondamentali principi quali quelli affermati dagli artt. 24, 97 e 111 Cost</w:t>
      </w:r>
      <w:r w:rsidRPr="009E4E70">
        <w:rPr>
          <w:rFonts w:ascii="Times New Roman" w:hAnsi="Times New Roman" w:cs="Times New Roman"/>
          <w:sz w:val="24"/>
          <w:szCs w:val="24"/>
          <w:lang w:val="it-IT"/>
        </w:rPr>
        <w:t>.” (Consiglio di Stato, sez. III, sentenza n. 8708/2023</w:t>
      </w:r>
      <w:r w:rsidR="009E4E70">
        <w:rPr>
          <w:rFonts w:ascii="Times New Roman" w:hAnsi="Times New Roman" w:cs="Times New Roman"/>
          <w:sz w:val="24"/>
          <w:szCs w:val="24"/>
          <w:lang w:val="it-IT"/>
        </w:rPr>
        <w:t xml:space="preserve">; in argomento si veda altresì </w:t>
      </w:r>
      <w:r w:rsidR="009E4E70" w:rsidRPr="009E4E70">
        <w:rPr>
          <w:rFonts w:ascii="Times New Roman" w:hAnsi="Times New Roman" w:cs="Times New Roman"/>
          <w:sz w:val="24"/>
          <w:szCs w:val="24"/>
          <w:lang w:val="it-IT"/>
        </w:rPr>
        <w:t xml:space="preserve">T.a.r. per la Campania, </w:t>
      </w:r>
      <w:r w:rsidR="009E4E70">
        <w:rPr>
          <w:rFonts w:ascii="Times New Roman" w:hAnsi="Times New Roman" w:cs="Times New Roman"/>
          <w:sz w:val="24"/>
          <w:szCs w:val="24"/>
          <w:lang w:val="it-IT"/>
        </w:rPr>
        <w:t xml:space="preserve">Napoli, </w:t>
      </w:r>
      <w:r w:rsidR="009E4E70" w:rsidRPr="009E4E70">
        <w:rPr>
          <w:rFonts w:ascii="Times New Roman" w:hAnsi="Times New Roman" w:cs="Times New Roman"/>
          <w:sz w:val="24"/>
          <w:szCs w:val="24"/>
          <w:lang w:val="it-IT"/>
        </w:rPr>
        <w:t>sezione V, 4 novembre 2024, n. 5910</w:t>
      </w:r>
      <w:r w:rsidRPr="009E4E70">
        <w:rPr>
          <w:rFonts w:ascii="Times New Roman" w:hAnsi="Times New Roman" w:cs="Times New Roman"/>
          <w:sz w:val="24"/>
          <w:szCs w:val="24"/>
          <w:lang w:val="it-IT"/>
        </w:rPr>
        <w:t>).</w:t>
      </w:r>
    </w:p>
    <w:p w14:paraId="4E03CF1E" w14:textId="77777777" w:rsidR="00F40A84" w:rsidRPr="009E4E70" w:rsidRDefault="00F40A84" w:rsidP="00D526CC">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Princìpi analoghi, in materia di riduzione, per ragioni finanziarie, delle misure programmate in materia di assegnazione di un assistente alla comunicazione a due studenti minori affetti da sordità prelinguale, sono stati espressi dalla sentenza del T.A.R. dell’Emilia Romagna – sede di Bologna, n. 254/2024, e dall’ordinanza del Consiglio di Stato, sez. VII, n. 3016/2024.</w:t>
      </w:r>
    </w:p>
    <w:p w14:paraId="032D891E" w14:textId="77777777" w:rsidR="00F2218B" w:rsidRPr="009E4E70" w:rsidRDefault="00F40A84" w:rsidP="00D526CC">
      <w:pPr>
        <w:spacing w:line="360" w:lineRule="auto"/>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La disabilità può, infine, risultare una condizione discriminatoria anche sotto un diverso profilo, quello dell’accesso alla cittadinanza italiana</w:t>
      </w:r>
      <w:r w:rsidR="00D231EB" w:rsidRPr="009E4E70">
        <w:rPr>
          <w:rFonts w:ascii="Times New Roman" w:hAnsi="Times New Roman" w:cs="Times New Roman"/>
          <w:sz w:val="24"/>
          <w:szCs w:val="24"/>
          <w:lang w:val="it-IT"/>
        </w:rPr>
        <w:t xml:space="preserve"> (che già aveva costituito oggetto della a Corte costituzionale nella sentenza n. 258 del 2017)</w:t>
      </w:r>
      <w:r w:rsidRPr="009E4E70">
        <w:rPr>
          <w:rFonts w:ascii="Times New Roman" w:hAnsi="Times New Roman" w:cs="Times New Roman"/>
          <w:sz w:val="24"/>
          <w:szCs w:val="24"/>
          <w:lang w:val="it-IT"/>
        </w:rPr>
        <w:t>.</w:t>
      </w:r>
    </w:p>
    <w:p w14:paraId="04F207DD" w14:textId="77777777" w:rsidR="00F40A84" w:rsidRPr="009E4E70" w:rsidRDefault="00F40A84" w:rsidP="00F94ACE">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Il T.A.R. dell’Emilia-Romagna, sezione staccata di Parma, con ordinanza n. 145/2024 ha sollevato questione di legittimità costituzionale dell’art. 9.1 della Legge 5 febbraio 1992, n. 91, introdotto dall’art.14, comma 1, lettera a-bis del Decreto Legge 4 ottobre 2018, n. 113, convertito con modificazioni dalla Legge 1 dicembre 2018, n. 132, per violazione degli articoli 2, 3, 10 e 38 della Costituzione, ritenendo che tale disposizione “abbia operato una indebita preclusione della concessione della cittadinanza italiana a quei soggetti che, in ragione della impossibilità di apprendere la lingua per gravi disabilità e certificati deficit cognitivi, non siano nelle condizioni di documentare la conoscenza della lingua italiana” (la fattispecie è quella di soggetto affetto da gravi limitazioni alla capacità di apprendimento linguistico derivanti handicap).</w:t>
      </w:r>
    </w:p>
    <w:p w14:paraId="54245319" w14:textId="77777777" w:rsidR="004F246F" w:rsidRPr="009E4E70" w:rsidRDefault="004F246F" w:rsidP="00F94ACE">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La questione è stata accolta dalla Corte costituzionale con la sentenza n. 25 del 7 marzo 2025, che ha dichiarato l'illegittimità costituzionale dell'art. 9.1 della legge 5 febbraio 1992, n. 91 (Nuove norme sulla cittadinanza), introdotto dall'art. 14, comma 1, lettera a-bis), del decreto-legge 4 ottobre 2018, n. 113, convertito, con modificazioni, nella legge 1° dicembre 2018, n. 132, nella parte in cui non esonera dalla prova della conoscenza della lingua italiana il richiedente affetto da gravi limitazioni alla capacità di apprendimento linguistico derivanti dall'età, da patologie o da disabilità, attestate mediante certificazione rilasciata dalla struttura sanitaria pubblica</w:t>
      </w:r>
    </w:p>
    <w:p w14:paraId="1094BE31" w14:textId="77777777" w:rsidR="00D231EB" w:rsidRPr="009E4E70" w:rsidRDefault="00F40A84" w:rsidP="00F94ACE">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lastRenderedPageBreak/>
        <w:t xml:space="preserve">Analogamente il Consiglio di Stato, sez. III, con sentenza n. </w:t>
      </w:r>
      <w:r w:rsidR="00D231EB" w:rsidRPr="009E4E70">
        <w:rPr>
          <w:rFonts w:ascii="Times New Roman" w:hAnsi="Times New Roman" w:cs="Times New Roman"/>
          <w:sz w:val="24"/>
          <w:szCs w:val="24"/>
          <w:lang w:val="it-IT"/>
        </w:rPr>
        <w:t>599/2025 ha esaminato il caso di un diniego di concessione della cittadinanza italiana motivato sulla base del fatto che l’interessata, totalmente inabile al lavoro, percepisse una pensione di invalidità e l’indennità di accompagnamento, e fosse per tale ragione priva del requisito reddituale per l’accesso alla cittadinanza.</w:t>
      </w:r>
    </w:p>
    <w:p w14:paraId="3551195F" w14:textId="77777777" w:rsidR="00FF5618" w:rsidRPr="009E4E70" w:rsidRDefault="00D231EB" w:rsidP="00F94ACE">
      <w:pPr>
        <w:spacing w:line="360" w:lineRule="auto"/>
        <w:ind w:firstLine="708"/>
        <w:jc w:val="both"/>
        <w:rPr>
          <w:rFonts w:ascii="Times New Roman" w:hAnsi="Times New Roman" w:cs="Times New Roman"/>
          <w:sz w:val="24"/>
          <w:szCs w:val="24"/>
          <w:lang w:val="it-IT"/>
        </w:rPr>
      </w:pPr>
      <w:r w:rsidRPr="009E4E70">
        <w:rPr>
          <w:rFonts w:ascii="Times New Roman" w:hAnsi="Times New Roman" w:cs="Times New Roman"/>
          <w:sz w:val="24"/>
          <w:szCs w:val="24"/>
          <w:lang w:val="it-IT"/>
        </w:rPr>
        <w:t>La pronuncia ha affermato che una simile valutazione di tale requisito si risolve in una forma indiretta di discriminazione sulla base della condizione di disabilità del soggetto: “</w:t>
      </w:r>
      <w:r w:rsidRPr="009018A8">
        <w:rPr>
          <w:rFonts w:ascii="Times New Roman" w:hAnsi="Times New Roman" w:cs="Times New Roman"/>
          <w:sz w:val="24"/>
          <w:szCs w:val="24"/>
          <w:lang w:val="it-IT"/>
        </w:rPr>
        <w:t>l’amministrazione avrebbe dovuto vagliare, nel rispetto di un esercizio costituzionalmente orientato del relativo potere, e per evitare che il riscontro del dato reddituale si risolva indirettamente in un elemento illegittimamente discriminatorio, non già la mera natura del dato reddituale considerato ostativo, ma la situazione reddituale e patrimoniale della ricorrente, in specifica relazione alle peculiari condizioni della stessa</w:t>
      </w:r>
      <w:r w:rsidRPr="009E4E70">
        <w:rPr>
          <w:rFonts w:ascii="Times New Roman" w:hAnsi="Times New Roman" w:cs="Times New Roman"/>
          <w:sz w:val="24"/>
          <w:szCs w:val="24"/>
          <w:lang w:val="it-IT"/>
        </w:rPr>
        <w:t>”</w:t>
      </w:r>
      <w:r w:rsidR="00503C4B" w:rsidRPr="009E4E70">
        <w:rPr>
          <w:rFonts w:ascii="Times New Roman" w:hAnsi="Times New Roman" w:cs="Times New Roman"/>
          <w:sz w:val="24"/>
          <w:szCs w:val="24"/>
          <w:lang w:val="it-IT"/>
        </w:rPr>
        <w:t>.</w:t>
      </w:r>
    </w:p>
    <w:sectPr w:rsidR="00FF5618" w:rsidRPr="009E4E7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C754B" w14:textId="77777777" w:rsidR="004A7A36" w:rsidRDefault="004A7A36" w:rsidP="00B176E9">
      <w:pPr>
        <w:spacing w:after="0" w:line="240" w:lineRule="auto"/>
      </w:pPr>
      <w:r>
        <w:separator/>
      </w:r>
    </w:p>
  </w:endnote>
  <w:endnote w:type="continuationSeparator" w:id="0">
    <w:p w14:paraId="315CC29A" w14:textId="77777777" w:rsidR="004A7A36" w:rsidRDefault="004A7A36" w:rsidP="00B1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40766"/>
      <w:docPartObj>
        <w:docPartGallery w:val="Page Numbers (Bottom of Page)"/>
        <w:docPartUnique/>
      </w:docPartObj>
    </w:sdtPr>
    <w:sdtEndPr/>
    <w:sdtContent>
      <w:p w14:paraId="43442BEE" w14:textId="1220E236" w:rsidR="004A7A36" w:rsidRDefault="004A7A36">
        <w:pPr>
          <w:pStyle w:val="Pidipagina"/>
          <w:jc w:val="center"/>
        </w:pPr>
        <w:r>
          <w:fldChar w:fldCharType="begin"/>
        </w:r>
        <w:r>
          <w:instrText>PAGE   \* MERGEFORMAT</w:instrText>
        </w:r>
        <w:r>
          <w:fldChar w:fldCharType="separate"/>
        </w:r>
        <w:r w:rsidR="00EC457E" w:rsidRPr="00EC457E">
          <w:rPr>
            <w:noProof/>
            <w:lang w:val="it-IT"/>
          </w:rPr>
          <w:t>30</w:t>
        </w:r>
        <w:r>
          <w:fldChar w:fldCharType="end"/>
        </w:r>
      </w:p>
    </w:sdtContent>
  </w:sdt>
  <w:p w14:paraId="29562579" w14:textId="77777777" w:rsidR="004A7A36" w:rsidRDefault="004A7A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A34CF" w14:textId="77777777" w:rsidR="004A7A36" w:rsidRDefault="004A7A36" w:rsidP="00B176E9">
      <w:pPr>
        <w:spacing w:after="0" w:line="240" w:lineRule="auto"/>
      </w:pPr>
      <w:r>
        <w:separator/>
      </w:r>
    </w:p>
  </w:footnote>
  <w:footnote w:type="continuationSeparator" w:id="0">
    <w:p w14:paraId="05B1ED85" w14:textId="77777777" w:rsidR="004A7A36" w:rsidRDefault="004A7A36" w:rsidP="00B176E9">
      <w:pPr>
        <w:spacing w:after="0" w:line="240" w:lineRule="auto"/>
      </w:pPr>
      <w:r>
        <w:continuationSeparator/>
      </w:r>
    </w:p>
  </w:footnote>
  <w:footnote w:id="1">
    <w:p w14:paraId="048C29FD"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sym w:font="Symbol" w:char="F02A"/>
      </w:r>
      <w:r w:rsidRPr="00874C97">
        <w:rPr>
          <w:rFonts w:ascii="Times New Roman" w:hAnsi="Times New Roman" w:cs="Times New Roman"/>
          <w:lang w:val="it-IT"/>
        </w:rPr>
        <w:t xml:space="preserve"> Consigliere di Stato – Componente dell’Ufficio Studi e Formazione della Giustizia amministrativa. Le considerazioni espresse nel presente scritto sono opinioni personali dell’A.</w:t>
      </w:r>
    </w:p>
    <w:p w14:paraId="10338144" w14:textId="77777777" w:rsidR="004A7A36" w:rsidRPr="00874C97" w:rsidRDefault="004A7A36" w:rsidP="00874C97">
      <w:pPr>
        <w:pStyle w:val="Testonotaapidipagina"/>
        <w:jc w:val="both"/>
        <w:rPr>
          <w:rFonts w:ascii="Times New Roman" w:hAnsi="Times New Roman" w:cs="Times New Roman"/>
          <w:lang w:val="it-IT"/>
        </w:rPr>
      </w:pPr>
    </w:p>
  </w:footnote>
  <w:footnote w:id="2">
    <w:p w14:paraId="22F2C394"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Lo scritto riproduce, con l</w:t>
      </w:r>
      <w:r w:rsidR="00BC075A" w:rsidRPr="00874C97">
        <w:rPr>
          <w:rFonts w:ascii="Times New Roman" w:hAnsi="Times New Roman" w:cs="Times New Roman"/>
          <w:sz w:val="20"/>
          <w:szCs w:val="20"/>
          <w:lang w:val="it-IT"/>
        </w:rPr>
        <w:t xml:space="preserve">a sola </w:t>
      </w:r>
      <w:r w:rsidRPr="00874C97">
        <w:rPr>
          <w:rFonts w:ascii="Times New Roman" w:hAnsi="Times New Roman" w:cs="Times New Roman"/>
          <w:sz w:val="20"/>
          <w:szCs w:val="20"/>
          <w:lang w:val="it-IT"/>
        </w:rPr>
        <w:t>aggiunta di alcun</w:t>
      </w:r>
      <w:r w:rsidR="00BC075A" w:rsidRPr="00874C97">
        <w:rPr>
          <w:rFonts w:ascii="Times New Roman" w:hAnsi="Times New Roman" w:cs="Times New Roman"/>
          <w:sz w:val="20"/>
          <w:szCs w:val="20"/>
          <w:lang w:val="it-IT"/>
        </w:rPr>
        <w:t xml:space="preserve">i riferimenti </w:t>
      </w:r>
      <w:r w:rsidRPr="00874C97">
        <w:rPr>
          <w:rFonts w:ascii="Times New Roman" w:hAnsi="Times New Roman" w:cs="Times New Roman"/>
          <w:sz w:val="20"/>
          <w:szCs w:val="20"/>
          <w:lang w:val="it-IT"/>
        </w:rPr>
        <w:t xml:space="preserve">giurisprudenziali successivamente </w:t>
      </w:r>
      <w:r w:rsidR="00BC075A" w:rsidRPr="00874C97">
        <w:rPr>
          <w:rFonts w:ascii="Times New Roman" w:hAnsi="Times New Roman" w:cs="Times New Roman"/>
          <w:sz w:val="20"/>
          <w:szCs w:val="20"/>
          <w:lang w:val="it-IT"/>
        </w:rPr>
        <w:t>intervenuti</w:t>
      </w:r>
      <w:r w:rsidRPr="00874C97">
        <w:rPr>
          <w:rFonts w:ascii="Times New Roman" w:hAnsi="Times New Roman" w:cs="Times New Roman"/>
          <w:sz w:val="20"/>
          <w:szCs w:val="20"/>
          <w:lang w:val="it-IT"/>
        </w:rPr>
        <w:t>, il testo della relazione svolta il 12 febbraio 2025 presso la Scuola Superiore della Magistratura, sul tema “Pubbliche amministrazioni, cittadini ed enti erogatori: i singoli attori sociosanitari”, nell’ambito dell’incontro di studio “La presa in carico della persona fragile: un dialogo tra giurisdizioni su questioni di diritto sociosanitario e socioassistenziale”</w:t>
      </w:r>
      <w:r w:rsidR="00471047" w:rsidRPr="00874C97">
        <w:rPr>
          <w:rFonts w:ascii="Times New Roman" w:hAnsi="Times New Roman" w:cs="Times New Roman"/>
          <w:sz w:val="20"/>
          <w:szCs w:val="20"/>
          <w:lang w:val="it-IT"/>
        </w:rPr>
        <w:t>, ed è destinato alla pubblicazione nei relativi atti</w:t>
      </w:r>
      <w:r w:rsidRPr="00874C97">
        <w:rPr>
          <w:rFonts w:ascii="Times New Roman" w:hAnsi="Times New Roman" w:cs="Times New Roman"/>
          <w:sz w:val="20"/>
          <w:szCs w:val="20"/>
          <w:lang w:val="it-IT"/>
        </w:rPr>
        <w:t>; parte delle considerazioni qui riportate, esposte nei paragrafi introduttivi, erano state già espresse nei seguenti scritti:</w:t>
      </w:r>
      <w:r w:rsidRPr="00874C97">
        <w:rPr>
          <w:rFonts w:ascii="Times New Roman" w:eastAsia="Times New Roman" w:hAnsi="Times New Roman" w:cs="Times New Roman"/>
          <w:i/>
          <w:noProof/>
          <w:color w:val="000000"/>
          <w:sz w:val="20"/>
          <w:szCs w:val="20"/>
          <w:lang w:val="it-IT" w:eastAsia="it-IT"/>
        </w:rPr>
        <w:t xml:space="preserve"> Tutela dei diritti fondamentali o fondamentalismo nella tutela dei diritti?</w:t>
      </w:r>
      <w:r w:rsidRPr="00874C97">
        <w:rPr>
          <w:rFonts w:ascii="Times New Roman" w:eastAsia="Times New Roman" w:hAnsi="Times New Roman" w:cs="Times New Roman"/>
          <w:noProof/>
          <w:color w:val="000000"/>
          <w:sz w:val="20"/>
          <w:szCs w:val="20"/>
          <w:lang w:val="it-IT" w:eastAsia="it-IT"/>
        </w:rPr>
        <w:t xml:space="preserve">, in </w:t>
      </w:r>
      <w:hyperlink r:id="rId1" w:history="1">
        <w:r w:rsidRPr="00874C97">
          <w:rPr>
            <w:rFonts w:ascii="Times New Roman" w:eastAsia="Times New Roman" w:hAnsi="Times New Roman" w:cs="Times New Roman"/>
            <w:noProof/>
            <w:color w:val="0000FF"/>
            <w:sz w:val="20"/>
            <w:szCs w:val="20"/>
            <w:u w:val="single"/>
            <w:lang w:val="it-IT" w:eastAsia="it-IT"/>
          </w:rPr>
          <w:t>www.giustamm.it</w:t>
        </w:r>
      </w:hyperlink>
      <w:r w:rsidRPr="00874C97">
        <w:rPr>
          <w:rFonts w:ascii="Times New Roman" w:eastAsia="Times New Roman" w:hAnsi="Times New Roman" w:cs="Times New Roman"/>
          <w:noProof/>
          <w:color w:val="000000"/>
          <w:sz w:val="20"/>
          <w:szCs w:val="20"/>
          <w:lang w:val="it-IT" w:eastAsia="it-IT"/>
        </w:rPr>
        <w:t xml:space="preserve">. n. 10/2011; </w:t>
      </w:r>
      <w:r w:rsidRPr="00874C97">
        <w:rPr>
          <w:rFonts w:ascii="Times New Roman" w:eastAsia="Times New Roman" w:hAnsi="Times New Roman" w:cs="Times New Roman"/>
          <w:i/>
          <w:noProof/>
          <w:color w:val="000000"/>
          <w:sz w:val="20"/>
          <w:szCs w:val="20"/>
          <w:lang w:val="it-IT" w:eastAsia="it-IT"/>
        </w:rPr>
        <w:t>La funzione: fisionomia e implicazioni del potere amministrativo nello stato sociale pluriclasse</w:t>
      </w:r>
      <w:r w:rsidRPr="00874C97">
        <w:rPr>
          <w:rFonts w:ascii="Times New Roman" w:eastAsia="Times New Roman" w:hAnsi="Times New Roman" w:cs="Times New Roman"/>
          <w:noProof/>
          <w:color w:val="000000"/>
          <w:sz w:val="20"/>
          <w:szCs w:val="20"/>
          <w:lang w:val="it-IT" w:eastAsia="it-IT"/>
        </w:rPr>
        <w:t xml:space="preserve">, in </w:t>
      </w:r>
      <w:hyperlink r:id="rId2" w:history="1">
        <w:r w:rsidRPr="00874C97">
          <w:rPr>
            <w:rFonts w:ascii="Times New Roman" w:eastAsia="Times New Roman" w:hAnsi="Times New Roman" w:cs="Times New Roman"/>
            <w:noProof/>
            <w:color w:val="0000FF"/>
            <w:sz w:val="20"/>
            <w:szCs w:val="20"/>
            <w:u w:val="single"/>
            <w:lang w:val="it-IT" w:eastAsia="it-IT"/>
          </w:rPr>
          <w:t>www.giustizia-amministrativa.it</w:t>
        </w:r>
      </w:hyperlink>
      <w:r w:rsidRPr="00874C97">
        <w:rPr>
          <w:rFonts w:ascii="Times New Roman" w:eastAsia="Times New Roman" w:hAnsi="Times New Roman" w:cs="Times New Roman"/>
          <w:noProof/>
          <w:color w:val="000000"/>
          <w:sz w:val="20"/>
          <w:szCs w:val="20"/>
          <w:lang w:val="it-IT" w:eastAsia="it-IT"/>
        </w:rPr>
        <w:t xml:space="preserve">, 2018; </w:t>
      </w:r>
      <w:r w:rsidRPr="00874C97">
        <w:rPr>
          <w:rFonts w:ascii="Times New Roman" w:eastAsia="Times New Roman" w:hAnsi="Times New Roman" w:cs="Times New Roman"/>
          <w:i/>
          <w:noProof/>
          <w:color w:val="000000"/>
          <w:sz w:val="20"/>
          <w:szCs w:val="20"/>
          <w:lang w:val="it-IT" w:eastAsia="it-IT"/>
        </w:rPr>
        <w:t>L’effettività della tutela dei diritti fondamentali dei disabili nello Stato sociale, fra vincoli di bilancio e amministrazione di risultato</w:t>
      </w:r>
      <w:r w:rsidRPr="00874C97">
        <w:rPr>
          <w:rFonts w:ascii="Times New Roman" w:eastAsia="Times New Roman" w:hAnsi="Times New Roman" w:cs="Times New Roman"/>
          <w:noProof/>
          <w:color w:val="000000"/>
          <w:sz w:val="20"/>
          <w:szCs w:val="20"/>
          <w:lang w:val="it-IT" w:eastAsia="it-IT"/>
        </w:rPr>
        <w:t xml:space="preserve">, in </w:t>
      </w:r>
      <w:r w:rsidRPr="00874C97">
        <w:rPr>
          <w:rFonts w:ascii="Times New Roman" w:eastAsia="Times New Roman" w:hAnsi="Times New Roman" w:cs="Times New Roman"/>
          <w:i/>
          <w:noProof/>
          <w:color w:val="000000"/>
          <w:sz w:val="20"/>
          <w:szCs w:val="20"/>
          <w:lang w:val="it-IT" w:eastAsia="it-IT"/>
        </w:rPr>
        <w:t>Questione giustizia</w:t>
      </w:r>
      <w:r w:rsidRPr="00874C97">
        <w:rPr>
          <w:rFonts w:ascii="Times New Roman" w:eastAsia="Times New Roman" w:hAnsi="Times New Roman" w:cs="Times New Roman"/>
          <w:noProof/>
          <w:color w:val="000000"/>
          <w:sz w:val="20"/>
          <w:szCs w:val="20"/>
          <w:lang w:val="it-IT" w:eastAsia="it-IT"/>
        </w:rPr>
        <w:t xml:space="preserve">, n. 3/2018; </w:t>
      </w:r>
      <w:r w:rsidRPr="00874C97">
        <w:rPr>
          <w:rFonts w:ascii="Times New Roman" w:eastAsia="Times New Roman" w:hAnsi="Times New Roman" w:cs="Times New Roman"/>
          <w:i/>
          <w:noProof/>
          <w:color w:val="000000"/>
          <w:sz w:val="20"/>
          <w:szCs w:val="20"/>
          <w:lang w:val="it-IT" w:eastAsia="it-IT"/>
        </w:rPr>
        <w:t>Fenomenologia del dialogo fra le giurisdizioni</w:t>
      </w:r>
      <w:r w:rsidRPr="00874C97">
        <w:rPr>
          <w:rFonts w:ascii="Times New Roman" w:eastAsia="Times New Roman" w:hAnsi="Times New Roman" w:cs="Times New Roman"/>
          <w:noProof/>
          <w:color w:val="000000"/>
          <w:sz w:val="20"/>
          <w:szCs w:val="20"/>
          <w:lang w:val="it-IT" w:eastAsia="it-IT"/>
        </w:rPr>
        <w:t xml:space="preserve">, ne: </w:t>
      </w:r>
      <w:r w:rsidRPr="00874C97">
        <w:rPr>
          <w:rFonts w:ascii="Times New Roman" w:eastAsia="Times New Roman" w:hAnsi="Times New Roman" w:cs="Times New Roman"/>
          <w:i/>
          <w:noProof/>
          <w:color w:val="000000"/>
          <w:sz w:val="20"/>
          <w:szCs w:val="20"/>
          <w:lang w:val="it-IT" w:eastAsia="it-IT"/>
        </w:rPr>
        <w:t>Il Libro della giustizia amministrativa 2021</w:t>
      </w:r>
      <w:r w:rsidRPr="00874C97">
        <w:rPr>
          <w:rFonts w:ascii="Times New Roman" w:eastAsia="Times New Roman" w:hAnsi="Times New Roman" w:cs="Times New Roman"/>
          <w:noProof/>
          <w:color w:val="000000"/>
          <w:sz w:val="20"/>
          <w:szCs w:val="20"/>
          <w:lang w:val="it-IT" w:eastAsia="it-IT"/>
        </w:rPr>
        <w:t>, a cura dell’Ufficio studi, massimario e formazione della giustizia amministrativa, Giappichelli, 2021, pagg. 352/372;</w:t>
      </w:r>
      <w:r w:rsidRPr="00874C97">
        <w:rPr>
          <w:rFonts w:ascii="Times New Roman" w:eastAsia="Times New Roman" w:hAnsi="Times New Roman" w:cs="Times New Roman"/>
          <w:i/>
          <w:noProof/>
          <w:color w:val="000000"/>
          <w:sz w:val="20"/>
          <w:szCs w:val="20"/>
          <w:lang w:val="it-IT" w:eastAsia="it-IT"/>
        </w:rPr>
        <w:t xml:space="preserve"> I contratti della pubblica amministrazione oggi</w:t>
      </w:r>
      <w:r w:rsidRPr="00874C97">
        <w:rPr>
          <w:rFonts w:ascii="Times New Roman" w:eastAsia="Times New Roman" w:hAnsi="Times New Roman" w:cs="Times New Roman"/>
          <w:noProof/>
          <w:color w:val="000000"/>
          <w:sz w:val="20"/>
          <w:szCs w:val="20"/>
          <w:lang w:val="it-IT" w:eastAsia="it-IT"/>
        </w:rPr>
        <w:t>, in</w:t>
      </w:r>
      <w:r w:rsidRPr="00874C97">
        <w:rPr>
          <w:rFonts w:ascii="Times New Roman" w:eastAsia="Times New Roman" w:hAnsi="Times New Roman" w:cs="Times New Roman"/>
          <w:i/>
          <w:noProof/>
          <w:color w:val="000000"/>
          <w:sz w:val="20"/>
          <w:szCs w:val="20"/>
          <w:lang w:val="it-IT" w:eastAsia="it-IT"/>
        </w:rPr>
        <w:t xml:space="preserve"> www-giustizia-amministrativa.it</w:t>
      </w:r>
      <w:r w:rsidRPr="00874C97">
        <w:rPr>
          <w:rFonts w:ascii="Times New Roman" w:eastAsia="Times New Roman" w:hAnsi="Times New Roman" w:cs="Times New Roman"/>
          <w:noProof/>
          <w:color w:val="000000"/>
          <w:sz w:val="20"/>
          <w:szCs w:val="20"/>
          <w:lang w:val="it-IT" w:eastAsia="it-IT"/>
        </w:rPr>
        <w:t>, 2025. Vengono qui parzialmente riprodotte per facilitare la finalità espositiva della relazione nel contesto seminariale e formativo in cui si colloca.</w:t>
      </w:r>
      <w:r w:rsidR="00874C97">
        <w:rPr>
          <w:rFonts w:ascii="Times New Roman" w:eastAsia="Times New Roman" w:hAnsi="Times New Roman" w:cs="Times New Roman"/>
          <w:noProof/>
          <w:color w:val="000000"/>
          <w:sz w:val="20"/>
          <w:szCs w:val="20"/>
          <w:lang w:val="it-IT" w:eastAsia="it-IT"/>
        </w:rPr>
        <w:t xml:space="preserve"> Per la medesima ragione funzionale sono riportati in nota ampi stralci motivazionali di alcune delle sentenze richiamate nel testo.</w:t>
      </w:r>
    </w:p>
  </w:footnote>
  <w:footnote w:id="3">
    <w:p w14:paraId="5645CF3E"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L. Maruotti</w:t>
      </w:r>
      <w:r w:rsidRPr="00874C97">
        <w:rPr>
          <w:rFonts w:ascii="Times New Roman" w:hAnsi="Times New Roman" w:cs="Times New Roman"/>
          <w:lang w:val="it-IT"/>
        </w:rPr>
        <w:t xml:space="preserve">, </w:t>
      </w:r>
      <w:r w:rsidRPr="00874C97">
        <w:rPr>
          <w:rFonts w:ascii="Times New Roman" w:hAnsi="Times New Roman" w:cs="Times New Roman"/>
          <w:i/>
          <w:lang w:val="it-IT"/>
        </w:rPr>
        <w:t>Relazione sull’attività della giustizia amministrativa del Presidente del Consiglio di Stato</w:t>
      </w:r>
      <w:r w:rsidRPr="00874C97">
        <w:rPr>
          <w:rFonts w:ascii="Times New Roman" w:hAnsi="Times New Roman" w:cs="Times New Roman"/>
          <w:lang w:val="it-IT"/>
        </w:rPr>
        <w:t>, Roma, Palazzo Spada, 3 febbraio 2025.</w:t>
      </w:r>
    </w:p>
    <w:p w14:paraId="4F2C6C7E" w14:textId="77777777" w:rsidR="004A7A36" w:rsidRPr="00874C97" w:rsidRDefault="004A7A36" w:rsidP="00874C97">
      <w:pPr>
        <w:pStyle w:val="Testonotaapidipagina"/>
        <w:jc w:val="both"/>
        <w:rPr>
          <w:rFonts w:ascii="Times New Roman" w:hAnsi="Times New Roman" w:cs="Times New Roman"/>
          <w:lang w:val="it-IT"/>
        </w:rPr>
      </w:pPr>
    </w:p>
  </w:footnote>
  <w:footnote w:id="4">
    <w:p w14:paraId="764AF7FC"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Per tutti, </w:t>
      </w:r>
      <w:r w:rsidRPr="00874C97">
        <w:rPr>
          <w:rFonts w:ascii="Times New Roman" w:hAnsi="Times New Roman" w:cs="Times New Roman"/>
          <w:smallCaps/>
          <w:lang w:val="it-IT"/>
        </w:rPr>
        <w:t>A.M. Sandulli</w:t>
      </w:r>
      <w:r w:rsidRPr="00874C97">
        <w:rPr>
          <w:rFonts w:ascii="Times New Roman" w:hAnsi="Times New Roman" w:cs="Times New Roman"/>
          <w:lang w:val="it-IT"/>
        </w:rPr>
        <w:t xml:space="preserve">, </w:t>
      </w:r>
      <w:r w:rsidRPr="00874C97">
        <w:rPr>
          <w:rFonts w:ascii="Times New Roman" w:hAnsi="Times New Roman" w:cs="Times New Roman"/>
          <w:i/>
          <w:lang w:val="it-IT"/>
        </w:rPr>
        <w:t>Manuale di diritto amministrativo</w:t>
      </w:r>
      <w:r w:rsidRPr="00874C97">
        <w:rPr>
          <w:rFonts w:ascii="Times New Roman" w:hAnsi="Times New Roman" w:cs="Times New Roman"/>
          <w:lang w:val="it-IT"/>
        </w:rPr>
        <w:t xml:space="preserve">, XIV ed., Napoli, 1984, 7 e 913. Efficace la descrizione di </w:t>
      </w:r>
      <w:r w:rsidRPr="00874C97">
        <w:rPr>
          <w:rFonts w:ascii="Times New Roman" w:hAnsi="Times New Roman" w:cs="Times New Roman"/>
          <w:smallCaps/>
          <w:lang w:val="it-IT"/>
        </w:rPr>
        <w:t>M.S. Giannini</w:t>
      </w:r>
      <w:r w:rsidRPr="00874C97">
        <w:rPr>
          <w:rFonts w:ascii="Times New Roman" w:hAnsi="Times New Roman" w:cs="Times New Roman"/>
          <w:lang w:val="it-IT"/>
        </w:rPr>
        <w:t xml:space="preserve">, </w:t>
      </w:r>
      <w:r w:rsidRPr="00874C97">
        <w:rPr>
          <w:rFonts w:ascii="Times New Roman" w:hAnsi="Times New Roman" w:cs="Times New Roman"/>
          <w:i/>
          <w:lang w:val="it-IT"/>
        </w:rPr>
        <w:t>Diritto amministrativo</w:t>
      </w:r>
      <w:r w:rsidRPr="00874C97">
        <w:rPr>
          <w:rFonts w:ascii="Times New Roman" w:hAnsi="Times New Roman" w:cs="Times New Roman"/>
          <w:lang w:val="it-IT"/>
        </w:rPr>
        <w:t>, III ed., vol. I, Milano, 1993, p. 49: “Con l’avvento dello Stato pluriclasse, l’amministrazione pubblica, secondo un’espressione americana, scoppiò. Si vuol dire con quest’espressione che mentre nel precedente tipo di Stato valeva la regola che l’area delle amministrazioni pubbliche dovesse essere quanto più limitata possibile, in questo tipo di Stato la regola non vale più come principio di costituzione materiale, ma solo come regola tecnica. Difatti nel giro di pochi decenni accade che quasi ogni attività umana trova una corrispondenza in una qualche pubblica amministrazione: interessi scientifici religiosi o culturali, così come interessi economici, produttivi o professionali, finiscono coll’avere un punto d’appoggio in un qualche pubblico potere legalmente riconosciuto”.</w:t>
      </w:r>
    </w:p>
    <w:p w14:paraId="35187310" w14:textId="77777777" w:rsidR="004A7A36" w:rsidRPr="00874C97" w:rsidRDefault="004A7A36" w:rsidP="00874C97">
      <w:pPr>
        <w:pStyle w:val="Testonotaapidipagina"/>
        <w:jc w:val="both"/>
        <w:rPr>
          <w:rFonts w:ascii="Times New Roman" w:hAnsi="Times New Roman" w:cs="Times New Roman"/>
          <w:lang w:val="it-IT"/>
        </w:rPr>
      </w:pPr>
    </w:p>
  </w:footnote>
  <w:footnote w:id="5">
    <w:p w14:paraId="0602F1AD"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Si interrogano sulle ricadute della forma di Stato sulla teoria dell’attività amministrativa, sia pure al diverso scopo di indagare sul formalismo procedimentale, F.</w:t>
      </w:r>
      <w:r w:rsidRPr="00874C97">
        <w:rPr>
          <w:rFonts w:ascii="Times New Roman" w:hAnsi="Times New Roman" w:cs="Times New Roman"/>
          <w:smallCaps/>
          <w:lang w:val="it-IT"/>
        </w:rPr>
        <w:t xml:space="preserve"> Fracchia</w:t>
      </w:r>
      <w:r w:rsidRPr="00874C97">
        <w:rPr>
          <w:rFonts w:ascii="Times New Roman" w:hAnsi="Times New Roman" w:cs="Times New Roman"/>
          <w:lang w:val="it-IT"/>
        </w:rPr>
        <w:t xml:space="preserve"> e </w:t>
      </w:r>
      <w:r w:rsidRPr="00874C97">
        <w:rPr>
          <w:rFonts w:ascii="Times New Roman" w:hAnsi="Times New Roman" w:cs="Times New Roman"/>
          <w:smallCaps/>
          <w:lang w:val="it-IT"/>
        </w:rPr>
        <w:t>M. Occhiena</w:t>
      </w:r>
      <w:r w:rsidRPr="00874C97">
        <w:rPr>
          <w:rFonts w:ascii="Times New Roman" w:hAnsi="Times New Roman" w:cs="Times New Roman"/>
          <w:lang w:val="it-IT"/>
        </w:rPr>
        <w:t xml:space="preserve">, </w:t>
      </w:r>
      <w:r w:rsidRPr="00874C97">
        <w:rPr>
          <w:rFonts w:ascii="Times New Roman" w:hAnsi="Times New Roman" w:cs="Times New Roman"/>
          <w:i/>
          <w:lang w:val="it-IT"/>
        </w:rPr>
        <w:t>Teoria dell’invalidità  dell’atto amministrativo e art. 21-octies l. 241/1990: quando il legislatore non può e non deve</w:t>
      </w:r>
      <w:r w:rsidRPr="00874C97">
        <w:rPr>
          <w:rFonts w:ascii="Times New Roman" w:hAnsi="Times New Roman" w:cs="Times New Roman"/>
          <w:lang w:val="it-IT"/>
        </w:rPr>
        <w:t>, in</w:t>
      </w:r>
      <w:r w:rsidRPr="00874C97">
        <w:rPr>
          <w:rFonts w:ascii="Times New Roman" w:hAnsi="Times New Roman" w:cs="Times New Roman"/>
          <w:i/>
          <w:lang w:val="it-IT"/>
        </w:rPr>
        <w:t xml:space="preserve">  Giustamm.it</w:t>
      </w:r>
      <w:r w:rsidRPr="00874C97">
        <w:rPr>
          <w:rFonts w:ascii="Times New Roman" w:hAnsi="Times New Roman" w:cs="Times New Roman"/>
          <w:lang w:val="it-IT"/>
        </w:rPr>
        <w:t xml:space="preserve">, in specie § 2, ove la conclusione secondo la quale “L’individuazione della fattispecie  concreta cui la legge riconduce la produzione di effetti giuridici non può pertanto avvenire consegnando all’amministrazione il mero compito di seguire gli automatismi tipici dei momenti procedurali: ad essa, invece, si richiede di precisare l’interesse pubblico alla luce dei tratti mutevoli della realtà, svolgendo la funzione della comparazione degli interessi che nell’ambito procedimentale hanno trovato censimento ed evidenziazione”. </w:t>
      </w:r>
    </w:p>
    <w:p w14:paraId="39FE2A8D"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Una approfondita analisi della mutazione della funzione amministrativa, e della sua fisionomia, è condotta da </w:t>
      </w:r>
      <w:r w:rsidRPr="00874C97">
        <w:rPr>
          <w:rFonts w:ascii="Times New Roman" w:hAnsi="Times New Roman" w:cs="Times New Roman"/>
          <w:smallCaps/>
          <w:lang w:val="it-IT"/>
        </w:rPr>
        <w:t>S. Giacchetti</w:t>
      </w:r>
      <w:r w:rsidRPr="00874C97">
        <w:rPr>
          <w:rFonts w:ascii="Times New Roman" w:hAnsi="Times New Roman" w:cs="Times New Roman"/>
          <w:lang w:val="it-IT"/>
        </w:rPr>
        <w:t xml:space="preserve">, </w:t>
      </w:r>
      <w:r w:rsidRPr="00874C97">
        <w:rPr>
          <w:rFonts w:ascii="Times New Roman" w:hAnsi="Times New Roman" w:cs="Times New Roman"/>
          <w:i/>
          <w:lang w:val="it-IT"/>
        </w:rPr>
        <w:t>I nuovi confini della giustizia amministrativa</w:t>
      </w:r>
      <w:r w:rsidRPr="00874C97">
        <w:rPr>
          <w:rFonts w:ascii="Times New Roman" w:hAnsi="Times New Roman" w:cs="Times New Roman"/>
          <w:lang w:val="it-IT"/>
        </w:rPr>
        <w:t>, in</w:t>
      </w:r>
      <w:r w:rsidRPr="00874C97">
        <w:rPr>
          <w:rFonts w:ascii="Times New Roman" w:hAnsi="Times New Roman" w:cs="Times New Roman"/>
          <w:i/>
          <w:lang w:val="it-IT"/>
        </w:rPr>
        <w:t xml:space="preserve"> Cons. di Stato</w:t>
      </w:r>
      <w:r w:rsidRPr="00874C97">
        <w:rPr>
          <w:rFonts w:ascii="Times New Roman" w:hAnsi="Times New Roman" w:cs="Times New Roman"/>
          <w:lang w:val="it-IT"/>
        </w:rPr>
        <w:t>, 2003, II, 1927.</w:t>
      </w:r>
    </w:p>
    <w:p w14:paraId="66B33F9B" w14:textId="77777777" w:rsidR="004A7A36" w:rsidRPr="00874C97" w:rsidRDefault="004A7A36" w:rsidP="00874C97">
      <w:pPr>
        <w:pStyle w:val="Testonotaapidipagina"/>
        <w:jc w:val="both"/>
        <w:rPr>
          <w:rFonts w:ascii="Times New Roman" w:hAnsi="Times New Roman" w:cs="Times New Roman"/>
          <w:lang w:val="it-IT"/>
        </w:rPr>
      </w:pPr>
    </w:p>
  </w:footnote>
  <w:footnote w:id="6">
    <w:p w14:paraId="059C1C17"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È appena il caso di ricordare che, in generale, il diritto amministrativo è – sia sul piano giuspositivo, che sotto il profilo scientifico - strettamente legato ai modelli di Stato: in argomento è sufficiente richiamare le analisi svolte nei capitoli introduttivi dei manuali di </w:t>
      </w:r>
      <w:r w:rsidRPr="00874C97">
        <w:rPr>
          <w:rFonts w:ascii="Times New Roman" w:hAnsi="Times New Roman" w:cs="Times New Roman"/>
          <w:smallCaps/>
          <w:sz w:val="20"/>
          <w:szCs w:val="20"/>
          <w:lang w:val="it-IT"/>
        </w:rPr>
        <w:t>E. Casetta</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Manuale di diritto amministrativo</w:t>
      </w:r>
      <w:r w:rsidRPr="00874C97">
        <w:rPr>
          <w:rFonts w:ascii="Times New Roman" w:hAnsi="Times New Roman" w:cs="Times New Roman"/>
          <w:sz w:val="20"/>
          <w:szCs w:val="20"/>
          <w:lang w:val="it-IT"/>
        </w:rPr>
        <w:t xml:space="preserve">, XVI ed., Milano 2014, pagg. 1/78), e di </w:t>
      </w:r>
      <w:r w:rsidRPr="00874C97">
        <w:rPr>
          <w:rFonts w:ascii="Times New Roman" w:hAnsi="Times New Roman" w:cs="Times New Roman"/>
          <w:smallCaps/>
          <w:sz w:val="20"/>
          <w:szCs w:val="20"/>
          <w:lang w:val="it-IT"/>
        </w:rPr>
        <w:t>M. CLARICH</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Manuale di diritto amministrativo</w:t>
      </w:r>
      <w:r w:rsidRPr="00874C97">
        <w:rPr>
          <w:rFonts w:ascii="Times New Roman" w:hAnsi="Times New Roman" w:cs="Times New Roman"/>
          <w:sz w:val="20"/>
          <w:szCs w:val="20"/>
          <w:lang w:val="it-IT"/>
        </w:rPr>
        <w:t>, Bologna, 2013, pagg. 15/52). Quest’ultimo, peraltro, richiamando Otto Mayer, opportunamente ricorda (pag. 38) che “il diritto costituzionale passa, il diritto amministrativo resta”: con ciò mettendo in luce “il disallineamento temporale dei mutamenti costituzionali rispetto alle riforme amministrative”.</w:t>
      </w:r>
    </w:p>
  </w:footnote>
  <w:footnote w:id="7">
    <w:p w14:paraId="50EE5EB8"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Sul piano dell’organizzazione, il fenomeno è ancora una volta descritto da GIANNINI, Diritto Amministrativo, voce dell’Enc. dir., vol. XII, Milano, 1964, 863: “Accanto alla dilatazione dell’apparato delle amministrazioni pubbliche si potè assistere ad un’imprevista loro complicazione; la conformazione dei pubblici poteri dello scorso secolo era abbastanza semplice: Stato, enti territoriali locali, enti locali di assistenza, enti di cultura. Adesso sorgono nuove e sempre più elaborate specie di enti pubblici e di organizzazioni che derogano ai princìpi accolti nel periodo precedente”. </w:t>
      </w:r>
    </w:p>
    <w:p w14:paraId="63B493CE" w14:textId="77777777" w:rsidR="004A7A36" w:rsidRPr="00874C97" w:rsidRDefault="004A7A36" w:rsidP="00874C97">
      <w:pPr>
        <w:pStyle w:val="Testonotaapidipagina"/>
        <w:jc w:val="both"/>
        <w:rPr>
          <w:rFonts w:ascii="Times New Roman" w:hAnsi="Times New Roman" w:cs="Times New Roman"/>
          <w:lang w:val="it-IT"/>
        </w:rPr>
      </w:pPr>
    </w:p>
  </w:footnote>
  <w:footnote w:id="8">
    <w:p w14:paraId="2197334F"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In argomento si rinvia all’apposito paragrafo.</w:t>
      </w:r>
    </w:p>
  </w:footnote>
  <w:footnote w:id="9">
    <w:p w14:paraId="40981FA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Secondo la sistematica accolta nel Manuale di diritto amministrativo di </w:t>
      </w:r>
      <w:r w:rsidRPr="00874C97">
        <w:rPr>
          <w:rFonts w:ascii="Times New Roman" w:hAnsi="Times New Roman" w:cs="Times New Roman"/>
          <w:smallCaps/>
          <w:lang w:val="it-IT"/>
        </w:rPr>
        <w:t>A.M. Sandulli</w:t>
      </w:r>
      <w:r w:rsidRPr="00874C97">
        <w:rPr>
          <w:rFonts w:ascii="Times New Roman" w:hAnsi="Times New Roman" w:cs="Times New Roman"/>
          <w:lang w:val="it-IT"/>
        </w:rPr>
        <w:t>, cit.</w:t>
      </w:r>
    </w:p>
    <w:p w14:paraId="27028410" w14:textId="77777777" w:rsidR="004A7A36" w:rsidRPr="00874C97" w:rsidRDefault="004A7A36" w:rsidP="00874C97">
      <w:pPr>
        <w:pStyle w:val="Testonotaapidipagina"/>
        <w:jc w:val="both"/>
        <w:rPr>
          <w:rFonts w:ascii="Times New Roman" w:hAnsi="Times New Roman" w:cs="Times New Roman"/>
          <w:lang w:val="it-IT"/>
        </w:rPr>
      </w:pPr>
    </w:p>
  </w:footnote>
  <w:footnote w:id="10">
    <w:p w14:paraId="2691171B"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Osserva </w:t>
      </w:r>
      <w:r w:rsidRPr="00874C97">
        <w:rPr>
          <w:rFonts w:ascii="Times New Roman" w:hAnsi="Times New Roman" w:cs="Times New Roman"/>
          <w:smallCaps/>
          <w:lang w:val="it-IT"/>
        </w:rPr>
        <w:t>F. Pallante</w:t>
      </w:r>
      <w:r w:rsidRPr="00874C97">
        <w:rPr>
          <w:rFonts w:ascii="Times New Roman" w:hAnsi="Times New Roman" w:cs="Times New Roman"/>
          <w:lang w:val="it-IT"/>
        </w:rPr>
        <w:t xml:space="preserve">, </w:t>
      </w:r>
      <w:r w:rsidRPr="00874C97">
        <w:rPr>
          <w:rFonts w:ascii="Times New Roman" w:hAnsi="Times New Roman" w:cs="Times New Roman"/>
          <w:i/>
          <w:lang w:val="it-IT"/>
        </w:rPr>
        <w:t>Diritto alla salute e spesa sanitaria</w:t>
      </w:r>
      <w:r w:rsidRPr="00874C97">
        <w:rPr>
          <w:rFonts w:ascii="Times New Roman" w:hAnsi="Times New Roman" w:cs="Times New Roman"/>
          <w:lang w:val="it-IT"/>
        </w:rPr>
        <w:t>, in</w:t>
      </w:r>
      <w:r w:rsidRPr="00874C97">
        <w:rPr>
          <w:rFonts w:ascii="Times New Roman" w:hAnsi="Times New Roman" w:cs="Times New Roman"/>
          <w:i/>
          <w:lang w:val="it-IT"/>
        </w:rPr>
        <w:t xml:space="preserve"> Dir. Amm.vo</w:t>
      </w:r>
      <w:r w:rsidRPr="00874C97">
        <w:rPr>
          <w:rFonts w:ascii="Times New Roman" w:hAnsi="Times New Roman" w:cs="Times New Roman"/>
          <w:lang w:val="it-IT"/>
        </w:rPr>
        <w:t>, n. 3/2024, pag. 703, che “Nel quadro di un ordinamento costituzionale pluralista, com'è il nostro, connotato dal riconoscimento di una varietà di diritti di matrice ideologica differente — ciò che costituisce il cuore del compromesso costituente —, il fatto che i diritti debbano tutti essere attuati fa sì che il bilanciamento si ponga come indispensabile strumento attraverso cui “governare” le inevitabili contrapposizioni che insorgono tra i diritti stessi. Bilanciare significa far sì che nessun diritto sia attuato nella sua pienezza a discapito degli altri: come afferma la Corte costituzionale, nella sentenza n. 85/2013, nessun diritto può farsi « tiranno », ma tutti devono essere attuati — sul piano materiale e finanziario — quantomeno con riguardo al loro contenuto minimo essenziale”.</w:t>
      </w:r>
    </w:p>
    <w:p w14:paraId="2730309D" w14:textId="77777777" w:rsidR="004A7A36" w:rsidRPr="00874C97" w:rsidRDefault="004A7A36" w:rsidP="00874C97">
      <w:pPr>
        <w:pStyle w:val="Testonotaapidipagina"/>
        <w:jc w:val="both"/>
        <w:rPr>
          <w:rFonts w:ascii="Times New Roman" w:hAnsi="Times New Roman" w:cs="Times New Roman"/>
          <w:lang w:val="it-IT"/>
        </w:rPr>
      </w:pPr>
    </w:p>
  </w:footnote>
  <w:footnote w:id="11">
    <w:p w14:paraId="7EC5CDA6"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quest’ottica, </w:t>
      </w:r>
      <w:r w:rsidRPr="00874C97">
        <w:rPr>
          <w:rFonts w:ascii="Times New Roman" w:hAnsi="Times New Roman" w:cs="Times New Roman"/>
          <w:smallCaps/>
          <w:lang w:val="it-IT"/>
        </w:rPr>
        <w:t>A. Travi</w:t>
      </w:r>
      <w:r w:rsidRPr="00874C97">
        <w:rPr>
          <w:rFonts w:ascii="Times New Roman" w:hAnsi="Times New Roman" w:cs="Times New Roman"/>
          <w:lang w:val="it-IT"/>
        </w:rPr>
        <w:t xml:space="preserve"> (</w:t>
      </w:r>
      <w:r w:rsidRPr="00874C97">
        <w:rPr>
          <w:rFonts w:ascii="Times New Roman" w:hAnsi="Times New Roman" w:cs="Times New Roman"/>
          <w:i/>
          <w:lang w:val="it-IT"/>
        </w:rPr>
        <w:t>Nuovi fermenti del diritto amministrativo sul finire degli anni ’90</w:t>
      </w:r>
      <w:r w:rsidRPr="00874C97">
        <w:rPr>
          <w:rFonts w:ascii="Times New Roman" w:hAnsi="Times New Roman" w:cs="Times New Roman"/>
          <w:lang w:val="it-IT"/>
        </w:rPr>
        <w:t>, in</w:t>
      </w:r>
      <w:r w:rsidRPr="00874C97">
        <w:rPr>
          <w:rFonts w:ascii="Times New Roman" w:hAnsi="Times New Roman" w:cs="Times New Roman"/>
          <w:i/>
          <w:lang w:val="it-IT"/>
        </w:rPr>
        <w:t xml:space="preserve"> Foro It</w:t>
      </w:r>
      <w:r w:rsidRPr="00874C97">
        <w:rPr>
          <w:rFonts w:ascii="Times New Roman" w:hAnsi="Times New Roman" w:cs="Times New Roman"/>
          <w:lang w:val="it-IT"/>
        </w:rPr>
        <w:t xml:space="preserve">., 1997, V, 168 e ss.) definisce “relazione multipolare” quella “che si instaura, in seguito al potere amministrativo, fra più soggetti in posizioni fra loro differenziate e l’amministrazione” (c. 175). </w:t>
      </w:r>
    </w:p>
    <w:p w14:paraId="056F589D"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La teorica del rapporto giuridico multipolare è condivisa da </w:t>
      </w:r>
      <w:r w:rsidRPr="00874C97">
        <w:rPr>
          <w:rFonts w:ascii="Times New Roman" w:hAnsi="Times New Roman" w:cs="Times New Roman"/>
          <w:smallCaps/>
          <w:lang w:val="it-IT"/>
        </w:rPr>
        <w:t>F. Trimarchi Banfi</w:t>
      </w:r>
      <w:r w:rsidRPr="00874C97">
        <w:rPr>
          <w:rFonts w:ascii="Times New Roman" w:hAnsi="Times New Roman" w:cs="Times New Roman"/>
          <w:lang w:val="it-IT"/>
        </w:rPr>
        <w:t xml:space="preserve">, </w:t>
      </w:r>
      <w:r w:rsidRPr="00874C97">
        <w:rPr>
          <w:rFonts w:ascii="Times New Roman" w:hAnsi="Times New Roman" w:cs="Times New Roman"/>
          <w:i/>
          <w:lang w:val="it-IT"/>
        </w:rPr>
        <w:t>Il “terzo” nel diritto amministrativo: a proposito di semplificazioni</w:t>
      </w:r>
      <w:r w:rsidRPr="00874C97">
        <w:rPr>
          <w:rFonts w:ascii="Times New Roman" w:hAnsi="Times New Roman" w:cs="Times New Roman"/>
          <w:lang w:val="it-IT"/>
        </w:rPr>
        <w:t xml:space="preserve">, in </w:t>
      </w:r>
      <w:r w:rsidRPr="00874C97">
        <w:rPr>
          <w:rFonts w:ascii="Times New Roman" w:hAnsi="Times New Roman" w:cs="Times New Roman"/>
          <w:i/>
          <w:lang w:val="it-IT"/>
        </w:rPr>
        <w:t>Dir. proc. amm</w:t>
      </w:r>
      <w:r w:rsidRPr="00874C97">
        <w:rPr>
          <w:rFonts w:ascii="Times New Roman" w:hAnsi="Times New Roman" w:cs="Times New Roman"/>
          <w:lang w:val="it-IT"/>
        </w:rPr>
        <w:t>., 2014, 25 e segg, ove (p. 40) il collegamento con il tema dell’interesse: “Applicando il canone della qualificazione giuridica dell’interesse, sono parti del rapporto multipolare coloro i cui interessi assumono rilevanza nella regolazione dell’attività.</w:t>
      </w:r>
    </w:p>
    <w:p w14:paraId="1BA72387" w14:textId="77777777" w:rsidR="004A7A36" w:rsidRPr="00874C97" w:rsidRDefault="004A7A36" w:rsidP="00874C97">
      <w:pPr>
        <w:pStyle w:val="Testonotaapidipagina"/>
        <w:jc w:val="both"/>
        <w:rPr>
          <w:rFonts w:ascii="Times New Roman" w:hAnsi="Times New Roman" w:cs="Times New Roman"/>
          <w:lang w:val="it-IT"/>
        </w:rPr>
      </w:pPr>
    </w:p>
  </w:footnote>
  <w:footnote w:id="12">
    <w:p w14:paraId="760AB720"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argomento, sulle influenze del mutamento della forma di Stato (dallo Stato liberale allo Stato sociale pluriclasse) sull’esercizio della funzione amministrativa, e ai connessi problemi di tutela dei terzi, sia consentito il rinvio a </w:t>
      </w:r>
      <w:r w:rsidRPr="00874C97">
        <w:rPr>
          <w:rFonts w:ascii="Times New Roman" w:hAnsi="Times New Roman" w:cs="Times New Roman"/>
          <w:smallCaps/>
          <w:lang w:val="it-IT"/>
        </w:rPr>
        <w:t>E. Cavasino – 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La salute come diritto: l'effettività della tutela fra potere di organizzazione e logica della concorrenza</w:t>
      </w:r>
      <w:r w:rsidRPr="00874C97">
        <w:rPr>
          <w:rFonts w:ascii="Times New Roman" w:hAnsi="Times New Roman" w:cs="Times New Roman"/>
          <w:lang w:val="it-IT"/>
        </w:rPr>
        <w:t>, in</w:t>
      </w:r>
      <w:r w:rsidRPr="00874C97">
        <w:rPr>
          <w:rFonts w:ascii="Times New Roman" w:hAnsi="Times New Roman" w:cs="Times New Roman"/>
          <w:i/>
          <w:lang w:val="it-IT"/>
        </w:rPr>
        <w:t xml:space="preserve"> Giur. It</w:t>
      </w:r>
      <w:r w:rsidRPr="00874C97">
        <w:rPr>
          <w:rFonts w:ascii="Times New Roman" w:hAnsi="Times New Roman" w:cs="Times New Roman"/>
          <w:lang w:val="it-IT"/>
        </w:rPr>
        <w:t>., 2005, pp. 2000 e ss.</w:t>
      </w:r>
    </w:p>
    <w:p w14:paraId="1420329A" w14:textId="77777777" w:rsidR="004A7A36" w:rsidRPr="00874C97" w:rsidRDefault="004A7A36" w:rsidP="00874C97">
      <w:pPr>
        <w:pStyle w:val="Testonotaapidipagina"/>
        <w:jc w:val="both"/>
        <w:rPr>
          <w:rFonts w:ascii="Times New Roman" w:hAnsi="Times New Roman" w:cs="Times New Roman"/>
          <w:lang w:val="it-IT"/>
        </w:rPr>
      </w:pPr>
    </w:p>
  </w:footnote>
  <w:footnote w:id="13">
    <w:p w14:paraId="3241E7AE"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Sul tema delle trasformazioni del significato dell’atto di autonomia privata, in relazione alla perimetrazione dell’effettivo spazio di libertà contrattuale dei consociati (anche) nella prospettiva del passaggio dallo Stato borghese allo Stato pluriclasse, </w:t>
      </w:r>
      <w:r w:rsidRPr="00874C97">
        <w:rPr>
          <w:rFonts w:ascii="Times New Roman" w:hAnsi="Times New Roman" w:cs="Times New Roman"/>
          <w:smallCaps/>
          <w:sz w:val="20"/>
          <w:szCs w:val="20"/>
          <w:lang w:val="it-IT"/>
        </w:rPr>
        <w:t>R. Natoli</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Il contratto “adeguato”. La protezione del cliente nei servizi di credito, di investimento e di assicurazione</w:t>
      </w:r>
      <w:r w:rsidRPr="00874C97">
        <w:rPr>
          <w:rFonts w:ascii="Times New Roman" w:hAnsi="Times New Roman" w:cs="Times New Roman"/>
          <w:sz w:val="20"/>
          <w:szCs w:val="20"/>
          <w:lang w:val="it-IT"/>
        </w:rPr>
        <w:t xml:space="preserve">, Milano, 2012, pagg. 5-47. Riferimenti al tema anche in </w:t>
      </w:r>
      <w:r w:rsidRPr="00874C97">
        <w:rPr>
          <w:rFonts w:ascii="Times New Roman" w:hAnsi="Times New Roman" w:cs="Times New Roman"/>
          <w:smallCaps/>
          <w:sz w:val="20"/>
          <w:szCs w:val="20"/>
          <w:lang w:val="it-IT"/>
        </w:rPr>
        <w:t>V. Scalisi</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Il diritto civile nelle ‘prolusioni’ del secondo novecento</w:t>
      </w:r>
      <w:r w:rsidRPr="00874C97">
        <w:rPr>
          <w:rFonts w:ascii="Times New Roman" w:hAnsi="Times New Roman" w:cs="Times New Roman"/>
          <w:sz w:val="20"/>
          <w:szCs w:val="20"/>
          <w:lang w:val="it-IT"/>
        </w:rPr>
        <w:t>, in</w:t>
      </w:r>
      <w:r w:rsidRPr="00874C97">
        <w:rPr>
          <w:rFonts w:ascii="Times New Roman" w:hAnsi="Times New Roman" w:cs="Times New Roman"/>
          <w:i/>
          <w:sz w:val="20"/>
          <w:szCs w:val="20"/>
          <w:lang w:val="it-IT"/>
        </w:rPr>
        <w:t xml:space="preserve"> Riv. dir. civ</w:t>
      </w:r>
      <w:r w:rsidRPr="00874C97">
        <w:rPr>
          <w:rFonts w:ascii="Times New Roman" w:hAnsi="Times New Roman" w:cs="Times New Roman"/>
          <w:sz w:val="20"/>
          <w:szCs w:val="20"/>
          <w:lang w:val="it-IT"/>
        </w:rPr>
        <w:t>., 2014, 501 e ss.</w:t>
      </w:r>
    </w:p>
  </w:footnote>
  <w:footnote w:id="14">
    <w:p w14:paraId="2561DEB8"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w:t>
      </w:r>
      <w:r w:rsidRPr="00874C97">
        <w:rPr>
          <w:rFonts w:ascii="Times New Roman" w:hAnsi="Times New Roman" w:cs="Times New Roman"/>
          <w:smallCaps/>
          <w:sz w:val="20"/>
          <w:szCs w:val="20"/>
          <w:lang w:val="it-IT"/>
        </w:rPr>
        <w:t>N. Lipari</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Ancora su persona e mercato</w:t>
      </w:r>
      <w:r w:rsidRPr="00874C97">
        <w:rPr>
          <w:rFonts w:ascii="Times New Roman" w:hAnsi="Times New Roman" w:cs="Times New Roman"/>
          <w:sz w:val="20"/>
          <w:szCs w:val="20"/>
          <w:lang w:val="it-IT"/>
        </w:rPr>
        <w:t xml:space="preserve">, in </w:t>
      </w:r>
      <w:r w:rsidRPr="00874C97">
        <w:rPr>
          <w:rFonts w:ascii="Times New Roman" w:hAnsi="Times New Roman" w:cs="Times New Roman"/>
          <w:i/>
          <w:sz w:val="20"/>
          <w:szCs w:val="20"/>
          <w:lang w:val="it-IT"/>
        </w:rPr>
        <w:t>Riv. trim. dir e proc. civ</w:t>
      </w:r>
      <w:r w:rsidRPr="00874C97">
        <w:rPr>
          <w:rFonts w:ascii="Times New Roman" w:hAnsi="Times New Roman" w:cs="Times New Roman"/>
          <w:sz w:val="20"/>
          <w:szCs w:val="20"/>
          <w:lang w:val="it-IT"/>
        </w:rPr>
        <w:t xml:space="preserve">., 2014, 432.  </w:t>
      </w:r>
    </w:p>
  </w:footnote>
  <w:footnote w:id="15">
    <w:p w14:paraId="36AA10E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“Gli stessi valori cui la società s’informa sono molteplici, incoerenti e a volte inconciliabili: e la nostra è una società a pluralismo maturo (qualcuno pensa: anche troppo)” (</w:t>
      </w:r>
      <w:r w:rsidRPr="00874C97">
        <w:rPr>
          <w:rFonts w:ascii="Times New Roman" w:hAnsi="Times New Roman" w:cs="Times New Roman"/>
          <w:smallCaps/>
          <w:lang w:val="it-IT"/>
        </w:rPr>
        <w:t>C. Calabrò</w:t>
      </w:r>
      <w:r w:rsidRPr="00874C97">
        <w:rPr>
          <w:rFonts w:ascii="Times New Roman" w:hAnsi="Times New Roman" w:cs="Times New Roman"/>
          <w:i/>
          <w:lang w:val="it-IT"/>
        </w:rPr>
        <w:t>, Relazione</w:t>
      </w:r>
      <w:r w:rsidRPr="00874C97">
        <w:rPr>
          <w:rFonts w:ascii="Times New Roman" w:hAnsi="Times New Roman" w:cs="Times New Roman"/>
          <w:lang w:val="it-IT"/>
        </w:rPr>
        <w:t xml:space="preserve">, pronunciata in occasione dell’Inaugurazione dell’anno giudiziario 2005 presso il T.A.R. del Lazio, in </w:t>
      </w:r>
      <w:r w:rsidRPr="00874C97">
        <w:rPr>
          <w:rFonts w:ascii="Times New Roman" w:hAnsi="Times New Roman" w:cs="Times New Roman"/>
          <w:i/>
          <w:lang w:val="it-IT"/>
        </w:rPr>
        <w:t>giustamm.it</w:t>
      </w:r>
      <w:r w:rsidRPr="00874C97">
        <w:rPr>
          <w:rFonts w:ascii="Times New Roman" w:hAnsi="Times New Roman" w:cs="Times New Roman"/>
          <w:lang w:val="it-IT"/>
        </w:rPr>
        <w:t>).</w:t>
      </w:r>
    </w:p>
    <w:p w14:paraId="3556985A" w14:textId="77777777" w:rsidR="004A7A36" w:rsidRPr="00874C97" w:rsidRDefault="004A7A36" w:rsidP="00874C97">
      <w:pPr>
        <w:pStyle w:val="Testonotaapidipagina"/>
        <w:jc w:val="both"/>
        <w:rPr>
          <w:rFonts w:ascii="Times New Roman" w:hAnsi="Times New Roman" w:cs="Times New Roman"/>
          <w:lang w:val="it-IT"/>
        </w:rPr>
      </w:pPr>
    </w:p>
  </w:footnote>
  <w:footnote w:id="16">
    <w:p w14:paraId="561F7DE6"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E. Cavasino</w:t>
      </w:r>
      <w:r w:rsidRPr="00874C97">
        <w:rPr>
          <w:rFonts w:ascii="Times New Roman" w:hAnsi="Times New Roman" w:cs="Times New Roman"/>
          <w:lang w:val="it-IT"/>
        </w:rPr>
        <w:t>-</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La salute come diritto: l'effettività della tutela fra potere di organizzazione e logica della concorrenza</w:t>
      </w:r>
      <w:r w:rsidRPr="00874C97">
        <w:rPr>
          <w:rFonts w:ascii="Times New Roman" w:hAnsi="Times New Roman" w:cs="Times New Roman"/>
          <w:lang w:val="it-IT"/>
        </w:rPr>
        <w:t xml:space="preserve">, cit. </w:t>
      </w:r>
    </w:p>
    <w:p w14:paraId="112DCC28"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 </w:t>
      </w:r>
    </w:p>
  </w:footnote>
  <w:footnote w:id="17">
    <w:p w14:paraId="24FDC7B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N. Lipari</w:t>
      </w:r>
      <w:r w:rsidRPr="00874C97">
        <w:rPr>
          <w:rFonts w:ascii="Times New Roman" w:hAnsi="Times New Roman" w:cs="Times New Roman"/>
          <w:lang w:val="it-IT"/>
        </w:rPr>
        <w:t xml:space="preserve">, </w:t>
      </w:r>
      <w:r w:rsidRPr="00874C97">
        <w:rPr>
          <w:rFonts w:ascii="Times New Roman" w:hAnsi="Times New Roman" w:cs="Times New Roman"/>
          <w:i/>
          <w:lang w:val="it-IT"/>
        </w:rPr>
        <w:t>Ancora su persona e mercato</w:t>
      </w:r>
      <w:r w:rsidRPr="00874C97">
        <w:rPr>
          <w:rFonts w:ascii="Times New Roman" w:hAnsi="Times New Roman" w:cs="Times New Roman"/>
          <w:lang w:val="it-IT"/>
        </w:rPr>
        <w:t>, cit., p. 432.</w:t>
      </w:r>
    </w:p>
    <w:p w14:paraId="36E37F43" w14:textId="77777777" w:rsidR="004A7A36" w:rsidRPr="00874C97" w:rsidRDefault="004A7A36" w:rsidP="00874C97">
      <w:pPr>
        <w:pStyle w:val="Testonotaapidipagina"/>
        <w:jc w:val="both"/>
        <w:rPr>
          <w:rFonts w:ascii="Times New Roman" w:hAnsi="Times New Roman" w:cs="Times New Roman"/>
          <w:lang w:val="it-IT"/>
        </w:rPr>
      </w:pPr>
    </w:p>
  </w:footnote>
  <w:footnote w:id="18">
    <w:p w14:paraId="509607A1"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questo senso, a conclusione di una raffinata analisi, </w:t>
      </w:r>
      <w:r w:rsidRPr="00874C97">
        <w:rPr>
          <w:rFonts w:ascii="Times New Roman" w:hAnsi="Times New Roman" w:cs="Times New Roman"/>
          <w:smallCaps/>
          <w:lang w:val="it-IT"/>
        </w:rPr>
        <w:t>P. Salvatore</w:t>
      </w:r>
      <w:r w:rsidRPr="00874C97">
        <w:rPr>
          <w:rFonts w:ascii="Times New Roman" w:hAnsi="Times New Roman" w:cs="Times New Roman"/>
          <w:lang w:val="it-IT"/>
        </w:rPr>
        <w:t xml:space="preserve">, </w:t>
      </w:r>
      <w:r w:rsidRPr="00874C97">
        <w:rPr>
          <w:rFonts w:ascii="Times New Roman" w:hAnsi="Times New Roman" w:cs="Times New Roman"/>
          <w:i/>
          <w:lang w:val="it-IT"/>
        </w:rPr>
        <w:t>La legalità nell’amministrazione</w:t>
      </w:r>
      <w:r w:rsidRPr="00874C97">
        <w:rPr>
          <w:rFonts w:ascii="Times New Roman" w:hAnsi="Times New Roman" w:cs="Times New Roman"/>
          <w:lang w:val="it-IT"/>
        </w:rPr>
        <w:t xml:space="preserve">, in </w:t>
      </w:r>
      <w:r w:rsidRPr="00874C97">
        <w:rPr>
          <w:rFonts w:ascii="Times New Roman" w:hAnsi="Times New Roman" w:cs="Times New Roman"/>
          <w:i/>
          <w:lang w:val="it-IT"/>
        </w:rPr>
        <w:t>Giurisdizione amministrativa</w:t>
      </w:r>
      <w:r w:rsidRPr="00874C97">
        <w:rPr>
          <w:rFonts w:ascii="Times New Roman" w:hAnsi="Times New Roman" w:cs="Times New Roman"/>
          <w:lang w:val="it-IT"/>
        </w:rPr>
        <w:t xml:space="preserve">, 2007, IV, p. 99/100: “Si assiste, quindi, al passaggio della regola rigida della conformità a quello della regola elastica della compatibilità. (….) La legalità oggi non è più fotografabile mediante un semplice giudizio di conformità al parametro costituito dalla norma, ma esprime, e sintetizza, una situazione di compatibilità dell’agire che ha come termini di comparazione valori, principi, regole enucleabili da un ordinamento giuridico complesso, caratterizzato da una molteplicità di fonti e, altresì, coordinato e rapportato con altri ordinamenti”. </w:t>
      </w:r>
    </w:p>
    <w:p w14:paraId="26AF809C"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Questo modello era stato a suo tempo prospettato da </w:t>
      </w:r>
      <w:r w:rsidRPr="00874C97">
        <w:rPr>
          <w:rFonts w:ascii="Times New Roman" w:hAnsi="Times New Roman" w:cs="Times New Roman"/>
          <w:smallCaps/>
          <w:lang w:val="it-IT"/>
        </w:rPr>
        <w:t>G. Torregrossa</w:t>
      </w:r>
      <w:r w:rsidRPr="00874C97">
        <w:rPr>
          <w:rFonts w:ascii="Times New Roman" w:hAnsi="Times New Roman" w:cs="Times New Roman"/>
          <w:lang w:val="it-IT"/>
        </w:rPr>
        <w:t xml:space="preserve">, </w:t>
      </w:r>
      <w:r w:rsidRPr="00874C97">
        <w:rPr>
          <w:rFonts w:ascii="Times New Roman" w:hAnsi="Times New Roman" w:cs="Times New Roman"/>
          <w:i/>
          <w:lang w:val="it-IT"/>
        </w:rPr>
        <w:t>Introduzione al diritto urbanistico</w:t>
      </w:r>
      <w:r w:rsidRPr="00874C97">
        <w:rPr>
          <w:rFonts w:ascii="Times New Roman" w:hAnsi="Times New Roman" w:cs="Times New Roman"/>
          <w:lang w:val="it-IT"/>
        </w:rPr>
        <w:t>, Milano, 1987, 3, ove l’affermazione secondo la quale il potere discrezionale della pubblica amministrazione deve, alla luce del complesso quadro normativo, ricostruire il “quadro generale di compatibilità”, in cui vengono composti interessi in potenziale conflitto, individuando nel procedimento la “sede nella quale i diversi interessi garantiti dall’ordinamento giuridico possono trovare la loro tutela che è misurata dal grado di tollerabilità che essi devono presentare nel confronto dell’uno con l’altro”.</w:t>
      </w:r>
    </w:p>
    <w:p w14:paraId="35E5A156" w14:textId="77777777" w:rsidR="004A7A36" w:rsidRPr="00874C97" w:rsidRDefault="004A7A36" w:rsidP="00874C97">
      <w:pPr>
        <w:pStyle w:val="Testonotaapidipagina"/>
        <w:jc w:val="both"/>
        <w:rPr>
          <w:rFonts w:ascii="Times New Roman" w:hAnsi="Times New Roman" w:cs="Times New Roman"/>
          <w:lang w:val="it-IT"/>
        </w:rPr>
      </w:pPr>
    </w:p>
  </w:footnote>
  <w:footnote w:id="19">
    <w:p w14:paraId="456B30B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Non è questa la sede per una compiuta analisi della c.d. teoria della degradazione, che la giurisprudenza sulla indegradabilità dei diritti fondamentali nega possa operare </w:t>
      </w:r>
      <w:r w:rsidRPr="00874C97">
        <w:rPr>
          <w:rFonts w:ascii="Times New Roman" w:hAnsi="Times New Roman" w:cs="Times New Roman"/>
          <w:i/>
          <w:lang w:val="it-IT"/>
        </w:rPr>
        <w:t>in parte qua</w:t>
      </w:r>
      <w:r w:rsidRPr="00874C97">
        <w:rPr>
          <w:rFonts w:ascii="Times New Roman" w:hAnsi="Times New Roman" w:cs="Times New Roman"/>
          <w:lang w:val="it-IT"/>
        </w:rPr>
        <w:t>.</w:t>
      </w:r>
    </w:p>
    <w:p w14:paraId="3C38B978"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In dottrina rimane fondamentale il contributo di </w:t>
      </w:r>
      <w:r w:rsidRPr="00874C97">
        <w:rPr>
          <w:rFonts w:ascii="Times New Roman" w:hAnsi="Times New Roman" w:cs="Times New Roman"/>
          <w:smallCaps/>
          <w:lang w:val="it-IT"/>
        </w:rPr>
        <w:t>A. Romano</w:t>
      </w:r>
      <w:r w:rsidRPr="00874C97">
        <w:rPr>
          <w:rFonts w:ascii="Times New Roman" w:hAnsi="Times New Roman" w:cs="Times New Roman"/>
          <w:lang w:val="it-IT"/>
        </w:rPr>
        <w:t xml:space="preserve">, </w:t>
      </w:r>
      <w:r w:rsidRPr="00874C97">
        <w:rPr>
          <w:rFonts w:ascii="Times New Roman" w:hAnsi="Times New Roman" w:cs="Times New Roman"/>
          <w:i/>
          <w:lang w:val="it-IT"/>
        </w:rPr>
        <w:t>Giurisdizione amministrativa e limiti della giurisdizione ordinaria</w:t>
      </w:r>
      <w:r w:rsidRPr="00874C97">
        <w:rPr>
          <w:rFonts w:ascii="Times New Roman" w:hAnsi="Times New Roman" w:cs="Times New Roman"/>
          <w:lang w:val="it-IT"/>
        </w:rPr>
        <w:t xml:space="preserve">, Milano, 1975. </w:t>
      </w:r>
    </w:p>
    <w:p w14:paraId="672FF407"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Per una recente riaffermazione (delle ragioni) di tale teoria in giurisprudenza Cons. Stato, sez. </w:t>
      </w:r>
      <w:r w:rsidRPr="00874C97">
        <w:rPr>
          <w:rFonts w:ascii="Times New Roman" w:hAnsi="Times New Roman" w:cs="Times New Roman"/>
          <w:caps/>
          <w:lang w:val="it-IT"/>
        </w:rPr>
        <w:t>III</w:t>
      </w:r>
      <w:r w:rsidRPr="00874C97">
        <w:rPr>
          <w:rFonts w:ascii="Times New Roman" w:hAnsi="Times New Roman" w:cs="Times New Roman"/>
          <w:lang w:val="it-IT"/>
        </w:rPr>
        <w:t>, sentenza 2 febbraio 2021, n. 957; ove, in relazione alla prospettazione della giurisdizione del giudice ordinario in materia di perdita di capacità imprenditoriale conseguente ad interdittiva antimafia, l’affermazione per cui “Sfugge alla prospettazione dell’appellante che le questioni di capacità menzionate dal secondo comma del citato art. 8 sono quelle ‘pregiudiziali’, id est logicamente condizionanti lo scrutinio dell’eser</w:t>
      </w:r>
      <w:r w:rsidRPr="00874C97">
        <w:rPr>
          <w:rFonts w:ascii="Times New Roman" w:hAnsi="Times New Roman" w:cs="Times New Roman"/>
          <w:lang w:val="it-IT"/>
        </w:rPr>
        <w:softHyphen/>
        <w:t>cizio del potere, laddove nella fattispecie dedotta le penetranti limitazioni all’esercizio dell’attività d’im</w:t>
      </w:r>
      <w:r w:rsidRPr="00874C97">
        <w:rPr>
          <w:rFonts w:ascii="Times New Roman" w:hAnsi="Times New Roman" w:cs="Times New Roman"/>
          <w:lang w:val="it-IT"/>
        </w:rPr>
        <w:softHyphen/>
        <w:t xml:space="preserve">presa costituiscono un effetto degradatorio dell’esercizio del potere autoritativo posto a presidio di un rilevante interesse pubblico. Tale ricostruzione del rapporto causa-effetto non consegue unicamente ad una precisa scelta del legislatore in tal senso, ma rappresenta il portato dell’ordinario schema che, anche sul piano della teoria generale, lega l’esercizio dei diritti individuali alla verifica della compatibilità di tale esercizio con gli interessi superindividuali della cui tutela è titolare l’amministrazione. Siffatta tutela si esprime attraverso un potere autoritativo, peraltro connotato da un ampio spettro valutativo, sicché lo scrutinio in sede giurisdizionale della legittimità degli atti nei quali si traduce non può che svolgersi nella giurisdizione generale di legittimità del giudice amministrativo, secondo il criterio di riparto ancorato al c.d. petitum sostanziale. I diritti individuali che si assumono lesi da tali provvedimenti degradano infatti ad interessi legittimi, secondo la nota teoria elaborata per garantire il controllo naturale del giudice amministrativo sui rapporti di diritto pubblico”. </w:t>
      </w:r>
    </w:p>
    <w:p w14:paraId="35B19CAA" w14:textId="77777777" w:rsidR="004A7A36" w:rsidRPr="00874C97" w:rsidRDefault="004A7A36" w:rsidP="00874C97">
      <w:pPr>
        <w:pStyle w:val="Testonotaapidipagina"/>
        <w:jc w:val="both"/>
        <w:rPr>
          <w:rFonts w:ascii="Times New Roman" w:hAnsi="Times New Roman" w:cs="Times New Roman"/>
          <w:lang w:val="it-IT"/>
        </w:rPr>
      </w:pPr>
    </w:p>
  </w:footnote>
  <w:footnote w:id="20">
    <w:p w14:paraId="79D403B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La funzione: fisionomia e implicazioni del potere amministrativo nello stato sociale pluriclasse</w:t>
      </w:r>
      <w:r w:rsidRPr="00874C97">
        <w:rPr>
          <w:rFonts w:ascii="Times New Roman" w:hAnsi="Times New Roman" w:cs="Times New Roman"/>
          <w:lang w:val="it-IT"/>
        </w:rPr>
        <w:t xml:space="preserve">, in </w:t>
      </w:r>
      <w:r w:rsidRPr="00874C97">
        <w:rPr>
          <w:rFonts w:ascii="Times New Roman" w:hAnsi="Times New Roman" w:cs="Times New Roman"/>
          <w:i/>
          <w:lang w:val="it-IT"/>
        </w:rPr>
        <w:t>giustizia-amministrativa.it</w:t>
      </w:r>
      <w:r w:rsidRPr="00874C97">
        <w:rPr>
          <w:rFonts w:ascii="Times New Roman" w:hAnsi="Times New Roman" w:cs="Times New Roman"/>
          <w:lang w:val="it-IT"/>
        </w:rPr>
        <w:t>, 2015.</w:t>
      </w:r>
    </w:p>
    <w:p w14:paraId="559F7B24" w14:textId="77777777" w:rsidR="004A7A36" w:rsidRPr="00874C97" w:rsidRDefault="004A7A36" w:rsidP="00874C97">
      <w:pPr>
        <w:pStyle w:val="Testonotaapidipagina"/>
        <w:jc w:val="both"/>
        <w:rPr>
          <w:rFonts w:ascii="Times New Roman" w:hAnsi="Times New Roman" w:cs="Times New Roman"/>
          <w:lang w:val="it-IT"/>
        </w:rPr>
      </w:pPr>
    </w:p>
  </w:footnote>
  <w:footnote w:id="21">
    <w:p w14:paraId="6243F110"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Secondo la classificazione della dottrina costituzionalistica: in argomento, </w:t>
      </w:r>
      <w:r w:rsidRPr="00874C97">
        <w:rPr>
          <w:rFonts w:ascii="Times New Roman" w:hAnsi="Times New Roman" w:cs="Times New Roman"/>
          <w:smallCaps/>
          <w:lang w:val="it-IT"/>
        </w:rPr>
        <w:t>R. Bifulco</w:t>
      </w:r>
      <w:r w:rsidRPr="00874C97">
        <w:rPr>
          <w:rFonts w:ascii="Times New Roman" w:hAnsi="Times New Roman" w:cs="Times New Roman"/>
          <w:lang w:val="it-IT"/>
        </w:rPr>
        <w:t xml:space="preserve">, </w:t>
      </w:r>
      <w:r w:rsidRPr="00874C97">
        <w:rPr>
          <w:rFonts w:ascii="Times New Roman" w:hAnsi="Times New Roman" w:cs="Times New Roman"/>
          <w:i/>
          <w:lang w:val="it-IT"/>
        </w:rPr>
        <w:t>Diritto costituzionale</w:t>
      </w:r>
      <w:r w:rsidRPr="00874C97">
        <w:rPr>
          <w:rFonts w:ascii="Times New Roman" w:hAnsi="Times New Roman" w:cs="Times New Roman"/>
          <w:lang w:val="it-IT"/>
        </w:rPr>
        <w:t xml:space="preserve">, Torino, 2020, 354. In materia </w:t>
      </w:r>
      <w:r w:rsidRPr="00874C97">
        <w:rPr>
          <w:rFonts w:ascii="Times New Roman" w:hAnsi="Times New Roman" w:cs="Times New Roman"/>
          <w:smallCaps/>
          <w:lang w:val="it-IT"/>
        </w:rPr>
        <w:t>G. Corso</w:t>
      </w:r>
      <w:r w:rsidRPr="00874C97">
        <w:rPr>
          <w:rFonts w:ascii="Times New Roman" w:hAnsi="Times New Roman" w:cs="Times New Roman"/>
          <w:lang w:val="it-IT"/>
        </w:rPr>
        <w:t xml:space="preserve">, </w:t>
      </w:r>
      <w:r w:rsidRPr="00874C97">
        <w:rPr>
          <w:rFonts w:ascii="Times New Roman" w:hAnsi="Times New Roman" w:cs="Times New Roman"/>
          <w:i/>
          <w:lang w:val="it-IT"/>
        </w:rPr>
        <w:t>I diritti sociali nella Costituzione italiana</w:t>
      </w:r>
      <w:r w:rsidRPr="00874C97">
        <w:rPr>
          <w:rFonts w:ascii="Times New Roman" w:hAnsi="Times New Roman" w:cs="Times New Roman"/>
          <w:lang w:val="it-IT"/>
        </w:rPr>
        <w:t xml:space="preserve">, in </w:t>
      </w:r>
      <w:r w:rsidRPr="00874C97">
        <w:rPr>
          <w:rFonts w:ascii="Times New Roman" w:hAnsi="Times New Roman" w:cs="Times New Roman"/>
          <w:i/>
          <w:lang w:val="it-IT"/>
        </w:rPr>
        <w:t>Riv. trim. dir. pubbl</w:t>
      </w:r>
      <w:r w:rsidRPr="00874C97">
        <w:rPr>
          <w:rFonts w:ascii="Times New Roman" w:hAnsi="Times New Roman" w:cs="Times New Roman"/>
          <w:lang w:val="it-IT"/>
        </w:rPr>
        <w:t>., 1981, 755 ss.</w:t>
      </w:r>
    </w:p>
    <w:p w14:paraId="6383DC9C" w14:textId="77777777" w:rsidR="004A7A36" w:rsidRPr="00874C97" w:rsidRDefault="004A7A36" w:rsidP="00874C97">
      <w:pPr>
        <w:pStyle w:val="Testonotaapidipagina"/>
        <w:jc w:val="both"/>
        <w:rPr>
          <w:rFonts w:ascii="Times New Roman" w:hAnsi="Times New Roman" w:cs="Times New Roman"/>
          <w:i/>
          <w:lang w:val="it-IT"/>
        </w:rPr>
      </w:pPr>
    </w:p>
  </w:footnote>
  <w:footnote w:id="22">
    <w:p w14:paraId="54B338CB"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In argomento sia consentito il rinvio a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Tutela dei diritti fondamentali, o fondamentalismo nella tutela dei diritti?</w:t>
      </w:r>
      <w:r w:rsidRPr="00874C97">
        <w:rPr>
          <w:rFonts w:ascii="Times New Roman" w:hAnsi="Times New Roman" w:cs="Times New Roman"/>
          <w:lang w:val="it-IT"/>
        </w:rPr>
        <w:t xml:space="preserve">, in </w:t>
      </w:r>
      <w:r w:rsidRPr="00874C97">
        <w:rPr>
          <w:rFonts w:ascii="Times New Roman" w:hAnsi="Times New Roman" w:cs="Times New Roman"/>
          <w:i/>
          <w:lang w:val="it-IT"/>
        </w:rPr>
        <w:t>Giustamm.it</w:t>
      </w:r>
      <w:r w:rsidRPr="00874C97">
        <w:rPr>
          <w:rFonts w:ascii="Times New Roman" w:hAnsi="Times New Roman" w:cs="Times New Roman"/>
          <w:lang w:val="it-IT"/>
        </w:rPr>
        <w:t xml:space="preserve">, 2011. </w:t>
      </w:r>
    </w:p>
    <w:p w14:paraId="7A96A1B4"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In giurisprudenza, Consiglio di Stato, sez. III, sentenza 2 settembre 2014, n. 4460; T.A.R. Sicilia, Palermo, sez. III, sentenza 3 dicembre 2014, n. 3111; Cons. Stato, sez. </w:t>
      </w:r>
      <w:r w:rsidRPr="00874C97">
        <w:rPr>
          <w:rFonts w:ascii="Times New Roman" w:hAnsi="Times New Roman" w:cs="Times New Roman"/>
          <w:caps/>
          <w:lang w:val="it-IT"/>
        </w:rPr>
        <w:t>III</w:t>
      </w:r>
      <w:r w:rsidRPr="00874C97">
        <w:rPr>
          <w:rFonts w:ascii="Times New Roman" w:hAnsi="Times New Roman" w:cs="Times New Roman"/>
          <w:lang w:val="it-IT"/>
        </w:rPr>
        <w:t>, sentenza 21 ottobre 2020, n. 6371.</w:t>
      </w:r>
    </w:p>
    <w:p w14:paraId="7FC66E0C" w14:textId="77777777" w:rsidR="004A7A36" w:rsidRPr="00874C97" w:rsidRDefault="004A7A36" w:rsidP="00874C97">
      <w:pPr>
        <w:pStyle w:val="Testonotaapidipagina"/>
        <w:jc w:val="both"/>
        <w:rPr>
          <w:rFonts w:ascii="Times New Roman" w:hAnsi="Times New Roman" w:cs="Times New Roman"/>
          <w:lang w:val="it-IT"/>
        </w:rPr>
      </w:pPr>
    </w:p>
  </w:footnote>
  <w:footnote w:id="23">
    <w:p w14:paraId="7A78C5B5"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C. Acocella</w:t>
      </w:r>
      <w:r w:rsidRPr="00874C97">
        <w:rPr>
          <w:rFonts w:ascii="Times New Roman" w:hAnsi="Times New Roman" w:cs="Times New Roman"/>
          <w:lang w:val="it-IT"/>
        </w:rPr>
        <w:t xml:space="preserve">, </w:t>
      </w:r>
      <w:r w:rsidRPr="00874C97">
        <w:rPr>
          <w:rFonts w:ascii="Times New Roman" w:hAnsi="Times New Roman" w:cs="Times New Roman"/>
          <w:i/>
          <w:lang w:val="it-IT"/>
        </w:rPr>
        <w:t>Snodi dei percorsi di accesso alla tutela dei diritti sociali</w:t>
      </w:r>
      <w:r w:rsidRPr="00874C97">
        <w:rPr>
          <w:rFonts w:ascii="Times New Roman" w:hAnsi="Times New Roman" w:cs="Times New Roman"/>
          <w:lang w:val="it-IT"/>
        </w:rPr>
        <w:t xml:space="preserve">”, in </w:t>
      </w:r>
      <w:r w:rsidRPr="00874C97">
        <w:rPr>
          <w:rFonts w:ascii="Times New Roman" w:hAnsi="Times New Roman" w:cs="Times New Roman"/>
          <w:i/>
          <w:lang w:val="it-IT"/>
        </w:rPr>
        <w:t>Federalismi.it</w:t>
      </w:r>
      <w:r w:rsidRPr="00874C97">
        <w:rPr>
          <w:rFonts w:ascii="Times New Roman" w:hAnsi="Times New Roman" w:cs="Times New Roman"/>
          <w:lang w:val="it-IT"/>
        </w:rPr>
        <w:t xml:space="preserve">, 18 dicembre 2019: ove – a proposito del diritto di rifiutare trattamenti terapeutici – il rilievo per cui “Anche quella declinazione così vistosamente sbilanciata nell’area dell’astensione, del non fare e del non imporre, entra manifestamente in contatto con un potere organizzativo dell’amministrazione (che postula lo svolgimento di tutta una serie di azioni imputabili ai pubblici poteri”. </w:t>
      </w:r>
    </w:p>
    <w:p w14:paraId="06459AA2" w14:textId="77777777" w:rsidR="004A7A36" w:rsidRPr="00874C97" w:rsidRDefault="004A7A36" w:rsidP="00874C97">
      <w:pPr>
        <w:pStyle w:val="Testonotaapidipagina"/>
        <w:jc w:val="both"/>
        <w:rPr>
          <w:rFonts w:ascii="Times New Roman" w:hAnsi="Times New Roman" w:cs="Times New Roman"/>
          <w:lang w:val="it-IT"/>
        </w:rPr>
      </w:pPr>
    </w:p>
  </w:footnote>
  <w:footnote w:id="24">
    <w:p w14:paraId="3749DF4A"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“Occorre verificare il significato di questa esclusione. Se essa si esaurisce nella constatazione che, sul piano del diritto positivo, non sussistono poteri autoritativi di incidere sulla salubrità dell’ambiente, essa può essere vera o falsa; ma non modifica il criterio di riparto della giurisdizione. In realtà essa è infondata, dato che numerosi poteri autoritativi influiscono, in via diretta e in via indiretta, sulla salubrità dell’ambiente: si pensi soltanto ai poteri in tema di scarichi, di rifiuti, di pesticidi e fertilizzanti, di industrie insalubri o pericolose, e così via. Se viceversa la esclusione di poteri autoritativi non è una constatazione ma l’affermazione di una regola giuridica di ordine costituzionale; se cioè si risolve nel divieto costituzionale di attribuzione di poteri all’amministrazione, tali da poter influenzare la salubrità dell’am</w:t>
      </w:r>
      <w:r w:rsidRPr="00874C97">
        <w:rPr>
          <w:rFonts w:ascii="Times New Roman" w:hAnsi="Times New Roman" w:cs="Times New Roman"/>
          <w:lang w:val="it-IT"/>
        </w:rPr>
        <w:softHyphen/>
        <w:t>biente; essa dovrebbe essere dimostrata, non essendo sufficiente riferirsi al carattere di diritto fondamentale del preteso diritto all’ambiente salubre: i diritti fondamentali non escludono l’intervento di pubblici poteri” (</w:t>
      </w:r>
      <w:r w:rsidRPr="00874C97">
        <w:rPr>
          <w:rFonts w:ascii="Times New Roman" w:hAnsi="Times New Roman" w:cs="Times New Roman"/>
          <w:smallCaps/>
          <w:lang w:val="it-IT"/>
        </w:rPr>
        <w:t>F.G. Scoca</w:t>
      </w:r>
      <w:r w:rsidRPr="00874C97">
        <w:rPr>
          <w:rFonts w:ascii="Times New Roman" w:hAnsi="Times New Roman" w:cs="Times New Roman"/>
          <w:lang w:val="it-IT"/>
        </w:rPr>
        <w:t xml:space="preserve">, </w:t>
      </w:r>
      <w:r w:rsidRPr="00874C97">
        <w:rPr>
          <w:rFonts w:ascii="Times New Roman" w:hAnsi="Times New Roman" w:cs="Times New Roman"/>
          <w:i/>
          <w:lang w:val="it-IT"/>
        </w:rPr>
        <w:t>Contributo sulla figura dell’interesse legittimo</w:t>
      </w:r>
      <w:r w:rsidRPr="00874C97">
        <w:rPr>
          <w:rFonts w:ascii="Times New Roman" w:hAnsi="Times New Roman" w:cs="Times New Roman"/>
          <w:lang w:val="it-IT"/>
        </w:rPr>
        <w:t>, Milano, 1990, 155).</w:t>
      </w:r>
    </w:p>
    <w:p w14:paraId="2807FAB1" w14:textId="77777777" w:rsidR="004A7A36" w:rsidRPr="00874C97" w:rsidRDefault="004A7A36" w:rsidP="00874C97">
      <w:pPr>
        <w:pStyle w:val="Testonotaapidipagina"/>
        <w:jc w:val="both"/>
        <w:rPr>
          <w:rFonts w:ascii="Times New Roman" w:hAnsi="Times New Roman" w:cs="Times New Roman"/>
          <w:lang w:val="it-IT"/>
        </w:rPr>
      </w:pPr>
    </w:p>
  </w:footnote>
  <w:footnote w:id="25">
    <w:p w14:paraId="552925DA"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“La richiamata giurisprudenza di questa Corte esclude, poi, che la giurisdizione possa competere al giudice ordinario per il solo fatto che la domanda abbia ad oggetto esclusivo il risarcimento del danno (sentenza n. 191 del 2006). Il giudizio amministrativo, infatti, in questi casi assicura la tutela di ogni diritto: e ciò non soltanto per effetto dell’esigenza, coerente con i princìpi costituzionali di cui agli artt. 24 e 111 Cost., di concentrare davanti ad un unico giudice l’intera protezione del cittadino avverso le modalità di esercizio della funzione pubblica, ma anche perché quel giudice è idoneo ad offrire piena tutela ai diritti soggettivi, anche costituzionalmente garantiti, coinvolti nell’esercizio della funzione amministrativa” (Corte cost., sentenza n. 140 del 2007, richiamata dalla successiva sentenza n. 6 del 2018).</w:t>
      </w:r>
    </w:p>
    <w:p w14:paraId="269DF5F6" w14:textId="77777777" w:rsidR="004A7A36" w:rsidRPr="00874C97" w:rsidRDefault="004A7A36" w:rsidP="00874C97">
      <w:pPr>
        <w:pStyle w:val="Testonotaapidipagina"/>
        <w:jc w:val="both"/>
        <w:rPr>
          <w:rFonts w:ascii="Times New Roman" w:hAnsi="Times New Roman" w:cs="Times New Roman"/>
          <w:lang w:val="it-IT"/>
        </w:rPr>
      </w:pPr>
    </w:p>
  </w:footnote>
  <w:footnote w:id="26">
    <w:p w14:paraId="14F1A91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Corte cost., sentenza n. 85/2013: “Tutti i diritti fondamentali tutelati dalla Costituzione si trovano in rapporto di integrazione reciproca e non è possibile pertanto individuare uno di essi che abbia la prevalenza assoluta sugli altri. La tutela deve essere sempre «sistemica e non frazionata in una serie di norme non coordinate ed in potenziale conflitto tra loro» (sentenza n. 264 del 2012). Se così non fosse, si verificherebbe l’illimitata espansione di uno dei diritti, che diverrebbe “tiranno” nei confronti delle altre situazioni giuridiche costituzionalmente riconosciute e protette, che costituiscono, nel loro insieme, espressione della dignità della persona. Per le ragioni esposte, non si può condividere l’assunto del rimettente giudice per le indagini preliminari, secondo cui l’aggettivo «fondamentale», contenuto nell’art. 32 Cost., sarebbe rivelatore di un «carattere preminente» del diritto alla salute rispetto a tutti i diritti della persona. Né la definizione data da questa Corte dell’ambiente e della salute come «valori primari» (sentenza n. 365 del 1993, citata dal rimettente) implica una “rigida” gerarchia tra diritti fondamentali. La Costituzione italiana, come le altre Costituzioni democratiche e pluraliste contemporanee, richiede un continuo e vicendevole bilanciamento tra princìpi e diritti fondamentali, senza pretese di assolutezza per nessuno di essi. La qualificazione come “primari” dei valori dell’ambiente e della salute significa pertanto che gli stessi non possono essere sacrificati ad altri interessi, ancorché costituzionalmente tutelati, non già che gli stessi siano posti alla sommità di un ordine gerarchico assoluto. Il punto di equilibrio, proprio perché dinamico e non prefissato in anticipo, deve essere valutato – dal legislatore nella statuizione delle norme e dal giudice delle leggi in sede di controllo – secondo criteri di proporzionalità e di ragionevolezza, tali da non consentire un sacrificio del loro nucleo essenziale”.</w:t>
      </w:r>
    </w:p>
    <w:p w14:paraId="15EFF50D" w14:textId="77777777" w:rsidR="004A7A36" w:rsidRPr="00874C97" w:rsidRDefault="004A7A36" w:rsidP="00874C97">
      <w:pPr>
        <w:pStyle w:val="Testonotaapidipagina"/>
        <w:jc w:val="both"/>
        <w:rPr>
          <w:rFonts w:ascii="Times New Roman" w:hAnsi="Times New Roman" w:cs="Times New Roman"/>
          <w:lang w:val="it-IT"/>
        </w:rPr>
      </w:pPr>
    </w:p>
  </w:footnote>
  <w:footnote w:id="27">
    <w:p w14:paraId="3198C19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Cass., sez. un., sentenza 7 settembre 2016, n. 17674, ove l’affermazione per cui “anche in materia di diritti fondamentali tutelati dalla Costituzione allorché la loro lesione sia dedotta come effetto del se e del come la funzione pubblica si sia estrinsecata in materia riservata alla giurisdizione esclusiva del giudice amministrativo, (….), caratterizzate da ambiti di discrezionalità – nell’interesse dell’intera collettività nazionale, compete al giudice amministrativo la cognizione esclusiva delle relative controversie sulla sussistenza in concreto dei diritti vantati, direttamente incisi dal potere autoritativo di cui si contestano le scelte, ed il contemperamento o limitazione di essi con l’interesse generale all’ambiente salubre (Corte Costituz. nn. 204 del 2004, 191 del 2006, 140 del 2007, S.U. n. 2052 del 2016), che non può esser demandato ad un ausiliare del G.O.”.</w:t>
      </w:r>
    </w:p>
    <w:p w14:paraId="4C46F3AD" w14:textId="77777777" w:rsidR="004A7A36" w:rsidRPr="00874C97" w:rsidRDefault="004A7A36" w:rsidP="00874C97">
      <w:pPr>
        <w:pStyle w:val="Testonotaapidipagina"/>
        <w:jc w:val="both"/>
        <w:rPr>
          <w:rFonts w:ascii="Times New Roman" w:hAnsi="Times New Roman" w:cs="Times New Roman"/>
          <w:lang w:val="it-IT"/>
        </w:rPr>
      </w:pPr>
    </w:p>
  </w:footnote>
  <w:footnote w:id="28">
    <w:p w14:paraId="58FF146E"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L’ordinanza 9 settembre 2009, n. 19393 delle sezioni unite civili della Corte di Cassazione, ad esempio, ha infatti ribadito che “La giurisdizione sui diritti umani fondamentali, in mancanza di una norma espressa che disponga diversamente, spetta al giudice ordinario”. La successiva ordinanza 27 novembre 2018, n. 30658, in materia di rilascio del permesso di soggiorno per motivi umanitari, ha pure affermato che “dette situazioni giuridiche, da annoverare tra i diritti umani fondamentali, non possono essere degradate a interessi legittimi per effetto di valutazioni discrezionali affidate al potere amministrativo”.</w:t>
      </w:r>
    </w:p>
    <w:p w14:paraId="4CBF9EF8" w14:textId="77777777" w:rsidR="004A7A36" w:rsidRPr="00874C97" w:rsidRDefault="004A7A36" w:rsidP="00874C97">
      <w:pPr>
        <w:pStyle w:val="Testonotaapidipagina"/>
        <w:jc w:val="both"/>
        <w:rPr>
          <w:rFonts w:ascii="Times New Roman" w:hAnsi="Times New Roman" w:cs="Times New Roman"/>
          <w:lang w:val="it-IT"/>
        </w:rPr>
      </w:pPr>
    </w:p>
  </w:footnote>
  <w:footnote w:id="29">
    <w:p w14:paraId="6E427638"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“La costruzione giurisprudenziale dei diritti non degradabili o dei diritti resistenti agli interventi dell’amministrazione è interessante soprattutto per le inespresse premesse dalle quali parte: che la tutela dei diritti soggettivi sia piena; che quella degli interessi legittimi sia dimidiata. Tali premesse non sono esatte; o, meglio, potrebbero non esserlo, solo se si prendesse coscienza che l’interesse legittimo è una situazione giuridica soggettiva di pari dignità rispetto al diritto soggettivo, e deve trascinare un livello di tutela equipollente” (</w:t>
      </w:r>
      <w:r w:rsidRPr="00874C97">
        <w:rPr>
          <w:rFonts w:ascii="Times New Roman" w:hAnsi="Times New Roman" w:cs="Times New Roman"/>
          <w:smallCaps/>
          <w:lang w:val="it-IT"/>
        </w:rPr>
        <w:t>F.G. Scoca</w:t>
      </w:r>
      <w:r w:rsidRPr="00874C97">
        <w:rPr>
          <w:rFonts w:ascii="Times New Roman" w:hAnsi="Times New Roman" w:cs="Times New Roman"/>
          <w:lang w:val="it-IT"/>
        </w:rPr>
        <w:t xml:space="preserve">, </w:t>
      </w:r>
      <w:r w:rsidRPr="00874C97">
        <w:rPr>
          <w:rFonts w:ascii="Times New Roman" w:hAnsi="Times New Roman" w:cs="Times New Roman"/>
          <w:i/>
          <w:lang w:val="it-IT"/>
        </w:rPr>
        <w:t>Contributo sulla figura dell’interesse legittimo</w:t>
      </w:r>
      <w:r w:rsidRPr="00874C97">
        <w:rPr>
          <w:rFonts w:ascii="Times New Roman" w:hAnsi="Times New Roman" w:cs="Times New Roman"/>
          <w:lang w:val="it-IT"/>
        </w:rPr>
        <w:t>, cit., 157).</w:t>
      </w:r>
    </w:p>
    <w:p w14:paraId="06BE324A"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In giurisprudenza Cons. Stato, sez. </w:t>
      </w:r>
      <w:r w:rsidRPr="00874C97">
        <w:rPr>
          <w:rFonts w:ascii="Times New Roman" w:hAnsi="Times New Roman" w:cs="Times New Roman"/>
          <w:caps/>
          <w:lang w:val="it-IT"/>
        </w:rPr>
        <w:t>III</w:t>
      </w:r>
      <w:r w:rsidRPr="00874C97">
        <w:rPr>
          <w:rFonts w:ascii="Times New Roman" w:hAnsi="Times New Roman" w:cs="Times New Roman"/>
          <w:lang w:val="it-IT"/>
        </w:rPr>
        <w:t>, sentenza 21 ottobre 2020, n. 6371: “L’affermata non affievolibilità del diritto alla salute richiama la dottrina della degradabilità delle posizioni giuridiche, posizionate lungo una scala che dal grado ‘maggiore’ del diritto soggettivo scende al grado ‘minore’ dell’interesse legittimo per effetto dell’incisione provocata dall’azione amministrativa; essa è utilizzata per inferirne l’impermeabilità della posizione giuridica al potere, quantunque quest’ultimo sia legittimamente conferito all’amministrazione dalla legge. 8.1. La tesi è debitrice di una concezione dell’interesse legittimo largamente superata, in cui quest’ultimo è visto quale interesse occasionalmente protetto dall’ordinamento per finalità che esulano in tutto e in parte dall’interesse sostanziale cui il titolare aspira, in guisa che la massima utilità ricavabile dal processo è l’annullamento dell’atto (misura in grado di coniugare interesse pubblico e sia pur in via occasionale quello privato) e giammai il riconoscimento del bene della vita”.</w:t>
      </w:r>
    </w:p>
    <w:p w14:paraId="499C02BF"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Su un piano più generale, per una documentata indagine volta a cogliere – anche in materia risarcitoria – “</w:t>
      </w:r>
      <w:r w:rsidRPr="00874C97">
        <w:rPr>
          <w:rFonts w:ascii="Times New Roman" w:hAnsi="Times New Roman" w:cs="Times New Roman"/>
          <w:i/>
          <w:lang w:val="it-IT"/>
        </w:rPr>
        <w:t>La ‘nuova’ definizione di interesse legittimo legata al bene della vita</w:t>
      </w:r>
      <w:r w:rsidRPr="00874C97">
        <w:rPr>
          <w:rFonts w:ascii="Times New Roman" w:hAnsi="Times New Roman" w:cs="Times New Roman"/>
          <w:lang w:val="it-IT"/>
        </w:rPr>
        <w:t xml:space="preserve">”, </w:t>
      </w:r>
      <w:r w:rsidRPr="00874C97">
        <w:rPr>
          <w:rFonts w:ascii="Times New Roman" w:hAnsi="Times New Roman" w:cs="Times New Roman"/>
          <w:smallCaps/>
          <w:lang w:val="it-IT"/>
        </w:rPr>
        <w:t>V. Neri</w:t>
      </w:r>
      <w:r w:rsidRPr="00874C97">
        <w:rPr>
          <w:rFonts w:ascii="Times New Roman" w:hAnsi="Times New Roman" w:cs="Times New Roman"/>
          <w:lang w:val="it-IT"/>
        </w:rPr>
        <w:t xml:space="preserve">, </w:t>
      </w:r>
      <w:r w:rsidRPr="00874C97">
        <w:rPr>
          <w:rFonts w:ascii="Times New Roman" w:hAnsi="Times New Roman" w:cs="Times New Roman"/>
          <w:i/>
          <w:lang w:val="it-IT"/>
        </w:rPr>
        <w:t>Il “bene della vita” è tutto nel diritto amministrativo?</w:t>
      </w:r>
      <w:r w:rsidRPr="00874C97">
        <w:rPr>
          <w:rFonts w:ascii="Times New Roman" w:hAnsi="Times New Roman" w:cs="Times New Roman"/>
          <w:lang w:val="it-IT"/>
        </w:rPr>
        <w:t xml:space="preserve">, in </w:t>
      </w:r>
      <w:r w:rsidRPr="00874C97">
        <w:rPr>
          <w:rFonts w:ascii="Times New Roman" w:hAnsi="Times New Roman" w:cs="Times New Roman"/>
          <w:i/>
          <w:lang w:val="it-IT"/>
        </w:rPr>
        <w:t>giustizia-amministrativa.it</w:t>
      </w:r>
      <w:r w:rsidRPr="00874C97">
        <w:rPr>
          <w:rFonts w:ascii="Times New Roman" w:hAnsi="Times New Roman" w:cs="Times New Roman"/>
          <w:lang w:val="it-IT"/>
        </w:rPr>
        <w:t>, 13 settembre 2018.</w:t>
      </w:r>
    </w:p>
    <w:p w14:paraId="01222644"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Erano state peraltro le stesse SS.UU. a segnalare, nella sentenza n. 500/1999, che l’interesse legittimo si differenzia dal diritto soggettivo solo quanto a tecnica di tutela.</w:t>
      </w:r>
    </w:p>
    <w:p w14:paraId="1622C01E" w14:textId="77777777" w:rsidR="004A7A36" w:rsidRPr="00874C97" w:rsidRDefault="004A7A36" w:rsidP="00874C97">
      <w:pPr>
        <w:pStyle w:val="Testonotaapidipagina"/>
        <w:jc w:val="both"/>
        <w:rPr>
          <w:rFonts w:ascii="Times New Roman" w:hAnsi="Times New Roman" w:cs="Times New Roman"/>
          <w:lang w:val="it-IT"/>
        </w:rPr>
      </w:pPr>
    </w:p>
  </w:footnote>
  <w:footnote w:id="30">
    <w:p w14:paraId="4E310854"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M. Mazzamuto</w:t>
      </w:r>
      <w:r w:rsidRPr="00874C97">
        <w:rPr>
          <w:rFonts w:ascii="Times New Roman" w:hAnsi="Times New Roman" w:cs="Times New Roman"/>
          <w:lang w:val="it-IT"/>
        </w:rPr>
        <w:t xml:space="preserve">, </w:t>
      </w:r>
      <w:r w:rsidRPr="00874C97">
        <w:rPr>
          <w:rFonts w:ascii="Times New Roman" w:hAnsi="Times New Roman" w:cs="Times New Roman"/>
          <w:i/>
          <w:lang w:val="it-IT"/>
        </w:rPr>
        <w:t>La discrezionalità come criterio di riparto della giurisdizione e gli interessi legittimi fondamental</w:t>
      </w:r>
      <w:r w:rsidRPr="00874C97">
        <w:rPr>
          <w:rFonts w:ascii="Times New Roman" w:hAnsi="Times New Roman" w:cs="Times New Roman"/>
          <w:lang w:val="it-IT"/>
        </w:rPr>
        <w:t xml:space="preserve">i, in </w:t>
      </w:r>
      <w:r w:rsidRPr="00874C97">
        <w:rPr>
          <w:rFonts w:ascii="Times New Roman" w:hAnsi="Times New Roman" w:cs="Times New Roman"/>
          <w:i/>
          <w:lang w:val="it-IT"/>
        </w:rPr>
        <w:t>giustizia-amministrativa.it</w:t>
      </w:r>
      <w:r w:rsidRPr="00874C97">
        <w:rPr>
          <w:rFonts w:ascii="Times New Roman" w:hAnsi="Times New Roman" w:cs="Times New Roman"/>
          <w:lang w:val="it-IT"/>
        </w:rPr>
        <w:t>, 2020, ove il rilievo che “non vi è alcun dubbio, per un ‘qualsiasi’ interesse tutelato, che sia il giudice amministrativo ad apprestare naturalmente la miglior tutela nei rapporti di diritto pubblico. Basti pensare, dalla cautela all’ottemperanza, alla ineguagliabile capacità di penetrazione conformativa e sostituiva che il giudice amministrativo può esercitare ne confronti dell’amministrazione. Anzi, tutto ciò induce semmai a ritenere che, a maggior ragione, un bene di rango superiore debba potere usufruire di una siffatta tutela”.</w:t>
      </w:r>
    </w:p>
    <w:p w14:paraId="4A196428" w14:textId="77777777" w:rsidR="004A7A36" w:rsidRPr="00874C97" w:rsidRDefault="004A7A36" w:rsidP="00874C97">
      <w:pPr>
        <w:pStyle w:val="Testonotaapidipagina"/>
        <w:jc w:val="both"/>
        <w:rPr>
          <w:rFonts w:ascii="Times New Roman" w:hAnsi="Times New Roman" w:cs="Times New Roman"/>
          <w:lang w:val="it-IT"/>
        </w:rPr>
      </w:pPr>
    </w:p>
  </w:footnote>
  <w:footnote w:id="31">
    <w:p w14:paraId="4B242866"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“È peraltro la stessa idea del diritto fondamentale, quando la si affronti nella prospettiva ineludibile della effettività, che dovrebbe schiudere il carattere pieno della tutela assicurata dal giudice amministrativo, a suggerire una dequotazione del problema relativo alla struttura delle posizioni giuridiche sostanziali azionate che nella categoria si riconoscono. Si può dire perciò che questa vicenda di progressivo superamento dell’idea della inconciliabilità ontologica tra potere amministrativo e diritti fondamentali, e quindi tra giudice amministrativo e diritti fondamentali, consente anche di smascherare uno dei ‘furti di giurisdizione’ che nel tempo avevano consegnato ad un giudice, meno temibile, del giudice amministrativo alcune questioni” (</w:t>
      </w:r>
      <w:r w:rsidRPr="00874C97">
        <w:rPr>
          <w:rFonts w:ascii="Times New Roman" w:hAnsi="Times New Roman" w:cs="Times New Roman"/>
          <w:smallCaps/>
          <w:lang w:val="it-IT"/>
        </w:rPr>
        <w:t>C. Acocella</w:t>
      </w:r>
      <w:r w:rsidRPr="00874C97">
        <w:rPr>
          <w:rFonts w:ascii="Times New Roman" w:hAnsi="Times New Roman" w:cs="Times New Roman"/>
          <w:lang w:val="it-IT"/>
        </w:rPr>
        <w:t xml:space="preserve">, </w:t>
      </w:r>
      <w:r w:rsidRPr="00874C97">
        <w:rPr>
          <w:rFonts w:ascii="Times New Roman" w:hAnsi="Times New Roman" w:cs="Times New Roman"/>
          <w:i/>
          <w:lang w:val="it-IT"/>
        </w:rPr>
        <w:t>Snodi dei percorsi di accesso alla tutela dei diritti sociali</w:t>
      </w:r>
      <w:r w:rsidRPr="00874C97">
        <w:rPr>
          <w:rFonts w:ascii="Times New Roman" w:hAnsi="Times New Roman" w:cs="Times New Roman"/>
          <w:lang w:val="it-IT"/>
        </w:rPr>
        <w:t>, cit.).</w:t>
      </w:r>
    </w:p>
    <w:p w14:paraId="452EB10A" w14:textId="77777777" w:rsidR="004A7A36" w:rsidRPr="00874C97" w:rsidRDefault="004A7A36" w:rsidP="00874C97">
      <w:pPr>
        <w:pStyle w:val="Testonotaapidipagina"/>
        <w:jc w:val="both"/>
        <w:rPr>
          <w:rFonts w:ascii="Times New Roman" w:hAnsi="Times New Roman" w:cs="Times New Roman"/>
          <w:lang w:val="it-IT"/>
        </w:rPr>
      </w:pPr>
    </w:p>
  </w:footnote>
  <w:footnote w:id="32">
    <w:p w14:paraId="2B4A9A4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Cons. Stato, sez. </w:t>
      </w:r>
      <w:r w:rsidRPr="00874C97">
        <w:rPr>
          <w:rFonts w:ascii="Times New Roman" w:hAnsi="Times New Roman" w:cs="Times New Roman"/>
          <w:caps/>
          <w:lang w:val="it-IT"/>
        </w:rPr>
        <w:t>III</w:t>
      </w:r>
      <w:r w:rsidRPr="00874C97">
        <w:rPr>
          <w:rFonts w:ascii="Times New Roman" w:hAnsi="Times New Roman" w:cs="Times New Roman"/>
          <w:lang w:val="it-IT"/>
        </w:rPr>
        <w:t xml:space="preserve">, sentenza 21 ottobre 2020, n. 6371. In dottrina, di recente, </w:t>
      </w:r>
      <w:r w:rsidRPr="00874C97">
        <w:rPr>
          <w:rFonts w:ascii="Times New Roman" w:hAnsi="Times New Roman" w:cs="Times New Roman"/>
          <w:smallCaps/>
          <w:lang w:val="it-IT"/>
        </w:rPr>
        <w:t>G. Tropea</w:t>
      </w:r>
      <w:r w:rsidRPr="00874C97">
        <w:rPr>
          <w:rFonts w:ascii="Times New Roman" w:hAnsi="Times New Roman" w:cs="Times New Roman"/>
          <w:lang w:val="it-IT"/>
        </w:rPr>
        <w:t xml:space="preserve">, </w:t>
      </w:r>
      <w:r w:rsidRPr="00874C97">
        <w:rPr>
          <w:rFonts w:ascii="Times New Roman" w:hAnsi="Times New Roman" w:cs="Times New Roman"/>
          <w:i/>
          <w:lang w:val="it-IT"/>
        </w:rPr>
        <w:t>Potere giuridico e diritti indegradabili</w:t>
      </w:r>
      <w:r w:rsidRPr="00874C97">
        <w:rPr>
          <w:rFonts w:ascii="Times New Roman" w:hAnsi="Times New Roman" w:cs="Times New Roman"/>
          <w:lang w:val="it-IT"/>
        </w:rPr>
        <w:t>, in</w:t>
      </w:r>
      <w:r w:rsidRPr="00874C97">
        <w:rPr>
          <w:rFonts w:ascii="Times New Roman" w:hAnsi="Times New Roman" w:cs="Times New Roman"/>
          <w:i/>
          <w:lang w:val="it-IT"/>
        </w:rPr>
        <w:t xml:space="preserve"> Diritto e processo amministrativo</w:t>
      </w:r>
      <w:r w:rsidRPr="00874C97">
        <w:rPr>
          <w:rFonts w:ascii="Times New Roman" w:hAnsi="Times New Roman" w:cs="Times New Roman"/>
          <w:lang w:val="it-IT"/>
        </w:rPr>
        <w:t xml:space="preserve">, n. 1/2025, pagg. 39 e segg.; Id., </w:t>
      </w:r>
      <w:r w:rsidRPr="00874C97">
        <w:rPr>
          <w:rFonts w:ascii="Times New Roman" w:hAnsi="Times New Roman" w:cs="Times New Roman"/>
          <w:i/>
          <w:lang w:val="it-IT"/>
        </w:rPr>
        <w:t>La tutela giurisdizionale amministrativa come diritto fondamentale</w:t>
      </w:r>
      <w:r w:rsidRPr="00874C97">
        <w:rPr>
          <w:rFonts w:ascii="Times New Roman" w:hAnsi="Times New Roman" w:cs="Times New Roman"/>
          <w:lang w:val="it-IT"/>
        </w:rPr>
        <w:t>, in</w:t>
      </w:r>
      <w:r w:rsidRPr="00874C97">
        <w:rPr>
          <w:rFonts w:ascii="Times New Roman" w:hAnsi="Times New Roman" w:cs="Times New Roman"/>
          <w:i/>
          <w:lang w:val="it-IT"/>
        </w:rPr>
        <w:t xml:space="preserve"> PA Persona e amministrazione</w:t>
      </w:r>
      <w:r w:rsidRPr="00874C97">
        <w:rPr>
          <w:rFonts w:ascii="Times New Roman" w:hAnsi="Times New Roman" w:cs="Times New Roman"/>
          <w:lang w:val="it-IT"/>
        </w:rPr>
        <w:t xml:space="preserve">, vol. XIII, pagg. 287 e segg.; </w:t>
      </w:r>
      <w:r w:rsidRPr="00874C97">
        <w:rPr>
          <w:rFonts w:ascii="Times New Roman" w:hAnsi="Times New Roman" w:cs="Times New Roman"/>
          <w:smallCaps/>
          <w:lang w:val="it-IT"/>
        </w:rPr>
        <w:t>L.R. Perfetti</w:t>
      </w:r>
      <w:r w:rsidRPr="00874C97">
        <w:rPr>
          <w:rFonts w:ascii="Times New Roman" w:hAnsi="Times New Roman" w:cs="Times New Roman"/>
          <w:lang w:val="it-IT"/>
        </w:rPr>
        <w:t xml:space="preserve">, </w:t>
      </w:r>
      <w:r w:rsidRPr="00874C97">
        <w:rPr>
          <w:rFonts w:ascii="Times New Roman" w:hAnsi="Times New Roman" w:cs="Times New Roman"/>
          <w:i/>
          <w:lang w:val="it-IT"/>
        </w:rPr>
        <w:t>Diritti fondamentali e potere amministrativo: per una teoria giuridica del pubblico interesse</w:t>
      </w:r>
      <w:r w:rsidRPr="00874C97">
        <w:rPr>
          <w:rFonts w:ascii="Times New Roman" w:hAnsi="Times New Roman" w:cs="Times New Roman"/>
          <w:lang w:val="it-IT"/>
        </w:rPr>
        <w:t>, in</w:t>
      </w:r>
      <w:r w:rsidRPr="00874C97">
        <w:rPr>
          <w:rFonts w:ascii="Times New Roman" w:hAnsi="Times New Roman" w:cs="Times New Roman"/>
          <w:i/>
          <w:lang w:val="it-IT"/>
        </w:rPr>
        <w:t xml:space="preserve"> PA Persona e amministrazione</w:t>
      </w:r>
      <w:r w:rsidRPr="00874C97">
        <w:rPr>
          <w:rFonts w:ascii="Times New Roman" w:hAnsi="Times New Roman" w:cs="Times New Roman"/>
          <w:lang w:val="it-IT"/>
        </w:rPr>
        <w:t>, vol. XIII, pagg. 45 e segg</w:t>
      </w:r>
    </w:p>
    <w:p w14:paraId="680CB6B5" w14:textId="77777777" w:rsidR="004A7A36" w:rsidRPr="00874C97" w:rsidRDefault="004A7A36" w:rsidP="00874C97">
      <w:pPr>
        <w:pStyle w:val="Testonotaapidipagina"/>
        <w:jc w:val="both"/>
        <w:rPr>
          <w:rFonts w:ascii="Times New Roman" w:hAnsi="Times New Roman" w:cs="Times New Roman"/>
          <w:lang w:val="it-IT"/>
        </w:rPr>
      </w:pPr>
    </w:p>
  </w:footnote>
  <w:footnote w:id="33">
    <w:p w14:paraId="4ACA2AB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Il punto centrale della questione è dato dalla consapevolezza della rilevanza della “</w:t>
      </w:r>
      <w:r w:rsidRPr="00874C97">
        <w:rPr>
          <w:rFonts w:ascii="Times New Roman" w:hAnsi="Times New Roman" w:cs="Times New Roman"/>
          <w:i/>
          <w:lang w:val="it-IT"/>
        </w:rPr>
        <w:t>morfologia dei diritti sociali nella prospettiva della loro giustiziabilità</w:t>
      </w:r>
      <w:r w:rsidRPr="00874C97">
        <w:rPr>
          <w:rFonts w:ascii="Times New Roman" w:hAnsi="Times New Roman" w:cs="Times New Roman"/>
          <w:lang w:val="it-IT"/>
        </w:rPr>
        <w:t xml:space="preserve">”, giustamente posta in evidenza nello scritto di </w:t>
      </w:r>
      <w:r w:rsidRPr="00874C97">
        <w:rPr>
          <w:rFonts w:ascii="Times New Roman" w:hAnsi="Times New Roman" w:cs="Times New Roman"/>
          <w:smallCaps/>
          <w:lang w:val="it-IT"/>
        </w:rPr>
        <w:t>C. Acocella</w:t>
      </w:r>
      <w:r w:rsidRPr="00874C97">
        <w:rPr>
          <w:rFonts w:ascii="Times New Roman" w:hAnsi="Times New Roman" w:cs="Times New Roman"/>
          <w:lang w:val="it-IT"/>
        </w:rPr>
        <w:t xml:space="preserve">, </w:t>
      </w:r>
      <w:r w:rsidRPr="00874C97">
        <w:rPr>
          <w:rFonts w:ascii="Times New Roman" w:hAnsi="Times New Roman" w:cs="Times New Roman"/>
          <w:i/>
          <w:lang w:val="it-IT"/>
        </w:rPr>
        <w:t>Snodi dei percorsi di accesso alla tutela dei diritti sociali</w:t>
      </w:r>
      <w:r w:rsidRPr="00874C97">
        <w:rPr>
          <w:rFonts w:ascii="Times New Roman" w:hAnsi="Times New Roman" w:cs="Times New Roman"/>
          <w:lang w:val="it-IT"/>
        </w:rPr>
        <w:t>, cit.</w:t>
      </w:r>
    </w:p>
    <w:p w14:paraId="48D4F2EA" w14:textId="77777777" w:rsidR="004A7A36" w:rsidRPr="00874C97" w:rsidRDefault="004A7A36" w:rsidP="00874C97">
      <w:pPr>
        <w:pStyle w:val="Testonotaapidipagina"/>
        <w:jc w:val="both"/>
        <w:rPr>
          <w:rFonts w:ascii="Times New Roman" w:hAnsi="Times New Roman" w:cs="Times New Roman"/>
          <w:lang w:val="it-IT"/>
        </w:rPr>
      </w:pPr>
    </w:p>
  </w:footnote>
  <w:footnote w:id="34">
    <w:p w14:paraId="2C77C55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In argomento, Cons. Stato, sez. </w:t>
      </w:r>
      <w:r w:rsidRPr="00874C97">
        <w:rPr>
          <w:rFonts w:ascii="Times New Roman" w:hAnsi="Times New Roman" w:cs="Times New Roman"/>
          <w:caps/>
          <w:lang w:val="it-IT"/>
        </w:rPr>
        <w:t>III</w:t>
      </w:r>
      <w:r w:rsidRPr="00874C97">
        <w:rPr>
          <w:rFonts w:ascii="Times New Roman" w:hAnsi="Times New Roman" w:cs="Times New Roman"/>
          <w:lang w:val="it-IT"/>
        </w:rPr>
        <w:t xml:space="preserve">, sentenza 21 ottobre 2020, n. 6371. In dottrina, sulla ricostruzione del sindacato di legittimità sui provvedimenti amministrativi anche da un (rigoroso) punto di vista di teoria generale, </w:t>
      </w:r>
      <w:r w:rsidRPr="00874C97">
        <w:rPr>
          <w:rFonts w:ascii="Times New Roman" w:hAnsi="Times New Roman" w:cs="Times New Roman"/>
          <w:smallCaps/>
          <w:lang w:val="it-IT"/>
        </w:rPr>
        <w:t>N. Paolantonio</w:t>
      </w:r>
      <w:r w:rsidRPr="00874C97">
        <w:rPr>
          <w:rFonts w:ascii="Times New Roman" w:hAnsi="Times New Roman" w:cs="Times New Roman"/>
          <w:lang w:val="it-IT"/>
        </w:rPr>
        <w:t xml:space="preserve">, </w:t>
      </w:r>
      <w:r w:rsidRPr="00874C97">
        <w:rPr>
          <w:rFonts w:ascii="Times New Roman" w:hAnsi="Times New Roman" w:cs="Times New Roman"/>
          <w:i/>
          <w:lang w:val="it-IT"/>
        </w:rPr>
        <w:t>Il sindacato di legittimità sul provvedimento amministrativo</w:t>
      </w:r>
      <w:r w:rsidRPr="00874C97">
        <w:rPr>
          <w:rFonts w:ascii="Times New Roman" w:hAnsi="Times New Roman" w:cs="Times New Roman"/>
          <w:lang w:val="it-IT"/>
        </w:rPr>
        <w:t xml:space="preserve">, Padova, 2000. Fra gli studi più recenti, per una altrettanto rigorosa indagine sulla stessa nozione di legittimità, e sui suoi riflessi sulla tutela offerta in ambito processuale, </w:t>
      </w:r>
      <w:r w:rsidRPr="00874C97">
        <w:rPr>
          <w:rFonts w:ascii="Times New Roman" w:hAnsi="Times New Roman" w:cs="Times New Roman"/>
          <w:smallCaps/>
          <w:lang w:val="it-IT"/>
        </w:rPr>
        <w:t>M. Trimarchi</w:t>
      </w:r>
      <w:r w:rsidRPr="00874C97">
        <w:rPr>
          <w:rFonts w:ascii="Times New Roman" w:hAnsi="Times New Roman" w:cs="Times New Roman"/>
          <w:lang w:val="it-IT"/>
        </w:rPr>
        <w:t xml:space="preserve">, </w:t>
      </w:r>
      <w:r w:rsidRPr="00874C97">
        <w:rPr>
          <w:rFonts w:ascii="Times New Roman" w:hAnsi="Times New Roman" w:cs="Times New Roman"/>
          <w:i/>
          <w:lang w:val="it-IT"/>
        </w:rPr>
        <w:t>Appunti sulla legittimità in diritto amministrativo: origine, evoluzione e prospettive del concetto</w:t>
      </w:r>
      <w:r w:rsidRPr="00874C97">
        <w:rPr>
          <w:rFonts w:ascii="Times New Roman" w:hAnsi="Times New Roman" w:cs="Times New Roman"/>
          <w:lang w:val="it-IT"/>
        </w:rPr>
        <w:t xml:space="preserve">, in AA.VV., </w:t>
      </w:r>
      <w:r w:rsidRPr="00874C97">
        <w:rPr>
          <w:rFonts w:ascii="Times New Roman" w:hAnsi="Times New Roman" w:cs="Times New Roman"/>
          <w:i/>
          <w:lang w:val="it-IT"/>
        </w:rPr>
        <w:t>Concetti tradizionali del diritto amministrativo e loro evoluzione</w:t>
      </w:r>
      <w:r w:rsidRPr="00874C97">
        <w:rPr>
          <w:rFonts w:ascii="Times New Roman" w:hAnsi="Times New Roman" w:cs="Times New Roman"/>
          <w:lang w:val="it-IT"/>
        </w:rPr>
        <w:t xml:space="preserve">, Napoli, 2018, 319 ss. </w:t>
      </w:r>
    </w:p>
    <w:p w14:paraId="09DA5547" w14:textId="77777777" w:rsidR="004A7A36" w:rsidRPr="00874C97" w:rsidRDefault="004A7A36" w:rsidP="00874C97">
      <w:pPr>
        <w:pStyle w:val="Testonotaapidipagina"/>
        <w:jc w:val="both"/>
        <w:rPr>
          <w:rFonts w:ascii="Times New Roman" w:hAnsi="Times New Roman" w:cs="Times New Roman"/>
          <w:lang w:val="it-IT"/>
        </w:rPr>
      </w:pPr>
    </w:p>
  </w:footnote>
  <w:footnote w:id="35">
    <w:p w14:paraId="180640E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Per un esempio,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L’effettività della tutela dei diritti fondamentali dei disabili nello Stato sociale, fra vincoli di bilancio e amministrazione di risultato</w:t>
      </w:r>
      <w:r w:rsidRPr="00874C97">
        <w:rPr>
          <w:rFonts w:ascii="Times New Roman" w:hAnsi="Times New Roman" w:cs="Times New Roman"/>
          <w:lang w:val="it-IT"/>
        </w:rPr>
        <w:t xml:space="preserve">, in </w:t>
      </w:r>
      <w:r w:rsidRPr="00874C97">
        <w:rPr>
          <w:rFonts w:ascii="Times New Roman" w:hAnsi="Times New Roman" w:cs="Times New Roman"/>
          <w:i/>
          <w:lang w:val="it-IT"/>
        </w:rPr>
        <w:t>Quest. Giust</w:t>
      </w:r>
      <w:r w:rsidRPr="00874C97">
        <w:rPr>
          <w:rFonts w:ascii="Times New Roman" w:hAnsi="Times New Roman" w:cs="Times New Roman"/>
          <w:lang w:val="it-IT"/>
        </w:rPr>
        <w:t>., 3/2018.</w:t>
      </w:r>
    </w:p>
    <w:p w14:paraId="42F411DE" w14:textId="77777777" w:rsidR="004A7A36" w:rsidRPr="00874C97" w:rsidRDefault="004A7A36" w:rsidP="00874C97">
      <w:pPr>
        <w:pStyle w:val="Testonotaapidipagina"/>
        <w:jc w:val="both"/>
        <w:rPr>
          <w:rFonts w:ascii="Times New Roman" w:hAnsi="Times New Roman" w:cs="Times New Roman"/>
          <w:lang w:val="it-IT"/>
        </w:rPr>
      </w:pPr>
    </w:p>
  </w:footnote>
  <w:footnote w:id="36">
    <w:p w14:paraId="285E3D7A"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La tesi è stata esposta, in questi termini, in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L’effettività della tutela dei diritti fondamentali dei disabili nello Stato sociale, fra vincoli di bilancio e amministrazione di risultato</w:t>
      </w:r>
      <w:r w:rsidRPr="00874C97">
        <w:rPr>
          <w:rFonts w:ascii="Times New Roman" w:hAnsi="Times New Roman" w:cs="Times New Roman"/>
          <w:lang w:val="it-IT"/>
        </w:rPr>
        <w:t xml:space="preserve">, in </w:t>
      </w:r>
      <w:r w:rsidRPr="00874C97">
        <w:rPr>
          <w:rFonts w:ascii="Times New Roman" w:hAnsi="Times New Roman" w:cs="Times New Roman"/>
          <w:i/>
          <w:lang w:val="it-IT"/>
        </w:rPr>
        <w:t>Quest. Giust</w:t>
      </w:r>
      <w:r w:rsidRPr="00874C97">
        <w:rPr>
          <w:rFonts w:ascii="Times New Roman" w:hAnsi="Times New Roman" w:cs="Times New Roman"/>
          <w:lang w:val="it-IT"/>
        </w:rPr>
        <w:t xml:space="preserve">., 3/2018, ed è condivisa in giurisprudenza da Cons. Stato, sez. </w:t>
      </w:r>
      <w:r w:rsidRPr="00874C97">
        <w:rPr>
          <w:rFonts w:ascii="Times New Roman" w:hAnsi="Times New Roman" w:cs="Times New Roman"/>
          <w:caps/>
          <w:lang w:val="it-IT"/>
        </w:rPr>
        <w:t>III</w:t>
      </w:r>
      <w:r w:rsidRPr="00874C97">
        <w:rPr>
          <w:rFonts w:ascii="Times New Roman" w:hAnsi="Times New Roman" w:cs="Times New Roman"/>
          <w:lang w:val="it-IT"/>
        </w:rPr>
        <w:t>, sentenza 21 ottobre 2020, n. 6371: “</w:t>
      </w:r>
      <w:r w:rsidRPr="00874C97">
        <w:rPr>
          <w:rFonts w:ascii="Times New Roman" w:hAnsi="Times New Roman" w:cs="Times New Roman"/>
          <w:i/>
          <w:lang w:val="it-IT"/>
        </w:rPr>
        <w:t>I diritti sociali a differenza dei diritti di libertà, traducendosi nella pretesa di una prestazione pubblica</w:t>
      </w:r>
      <w:r w:rsidRPr="00874C97">
        <w:rPr>
          <w:rFonts w:ascii="Times New Roman" w:hAnsi="Times New Roman" w:cs="Times New Roman"/>
          <w:lang w:val="it-IT"/>
        </w:rPr>
        <w:t xml:space="preserve">, </w:t>
      </w:r>
      <w:r w:rsidRPr="00874C97">
        <w:rPr>
          <w:rFonts w:ascii="Times New Roman" w:hAnsi="Times New Roman" w:cs="Times New Roman"/>
          <w:i/>
          <w:lang w:val="it-IT"/>
        </w:rPr>
        <w:t>necessitano, a seconda del grado di impatto sugli interessi pubblici potenzialmente antagonisti e in considerazione della scarsità delle risorse economiche e materiali disponibili, di una mediazione amministrativa. Una volta che il potere è stato attribuito, è al corretto esercizio di questo che deve aversi riguardo per fornire piena tutela al titolare dell’interesse sostanziale (e in ciò risiede l’essenza dell’interesse legittimo), senza che possa darsi ultroneo rilievo alla natura ‘fondamentale’ o ‘sociale’ della situazione giuridica</w:t>
      </w:r>
      <w:r w:rsidRPr="00874C97">
        <w:rPr>
          <w:rFonts w:ascii="Times New Roman" w:hAnsi="Times New Roman" w:cs="Times New Roman"/>
          <w:lang w:val="it-IT"/>
        </w:rPr>
        <w:t xml:space="preserve">”. </w:t>
      </w:r>
    </w:p>
    <w:p w14:paraId="42694444" w14:textId="77777777" w:rsidR="004A7A36" w:rsidRPr="00874C97" w:rsidRDefault="004A7A36" w:rsidP="00874C97">
      <w:pPr>
        <w:pStyle w:val="Testonotaapidipagina"/>
        <w:jc w:val="both"/>
        <w:rPr>
          <w:rFonts w:ascii="Times New Roman" w:hAnsi="Times New Roman" w:cs="Times New Roman"/>
          <w:lang w:val="it-IT"/>
        </w:rPr>
      </w:pPr>
    </w:p>
  </w:footnote>
  <w:footnote w:id="37">
    <w:p w14:paraId="5B6CC17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R. Bin</w:t>
      </w:r>
      <w:r w:rsidRPr="00874C97">
        <w:rPr>
          <w:rFonts w:ascii="Times New Roman" w:hAnsi="Times New Roman" w:cs="Times New Roman"/>
          <w:lang w:val="it-IT"/>
        </w:rPr>
        <w:t xml:space="preserve">, </w:t>
      </w:r>
      <w:r w:rsidRPr="00874C97">
        <w:rPr>
          <w:rFonts w:ascii="Times New Roman" w:hAnsi="Times New Roman" w:cs="Times New Roman"/>
          <w:i/>
          <w:lang w:val="it-IT"/>
        </w:rPr>
        <w:t>Critica della teoria dei diritti</w:t>
      </w:r>
      <w:r w:rsidRPr="00874C97">
        <w:rPr>
          <w:rFonts w:ascii="Times New Roman" w:hAnsi="Times New Roman" w:cs="Times New Roman"/>
          <w:lang w:val="it-IT"/>
        </w:rPr>
        <w:t xml:space="preserve">, Milano, 2018, 51 ss. (e, prima ancora, </w:t>
      </w:r>
      <w:r w:rsidRPr="00874C97">
        <w:rPr>
          <w:rFonts w:ascii="Times New Roman" w:hAnsi="Times New Roman" w:cs="Times New Roman"/>
          <w:smallCaps/>
          <w:lang w:val="it-IT"/>
        </w:rPr>
        <w:t>Id.,</w:t>
      </w:r>
      <w:r w:rsidRPr="00874C97">
        <w:rPr>
          <w:rFonts w:ascii="Times New Roman" w:hAnsi="Times New Roman" w:cs="Times New Roman"/>
          <w:lang w:val="it-IT"/>
        </w:rPr>
        <w:t xml:space="preserve"> </w:t>
      </w:r>
      <w:r w:rsidRPr="00874C97">
        <w:rPr>
          <w:rFonts w:ascii="Times New Roman" w:hAnsi="Times New Roman" w:cs="Times New Roman"/>
          <w:i/>
          <w:lang w:val="it-IT"/>
        </w:rPr>
        <w:t>Diritti e argomenti. Il bilanciamento degli interessi nella giurisprudenza costituzionale</w:t>
      </w:r>
      <w:r w:rsidRPr="00874C97">
        <w:rPr>
          <w:rFonts w:ascii="Times New Roman" w:hAnsi="Times New Roman" w:cs="Times New Roman"/>
          <w:lang w:val="it-IT"/>
        </w:rPr>
        <w:t>, Milano, 1992). In materia di diritti finanziariamente condizionati, ad esempio, la Corte costituzionale nella sentenza n. 80 del 2010 ha affermato la natura incomprimibile – rispetto a contingenti esigenze della finanza pubblica – del diritto fondamentale del soggetto disabile a fruire di un percorso scolastico effettivo, ed ha espressamente circoscritto lo spazio della discrezionalità legislativa in materia entro limiti tali da non interferire con la garanzia del richiamato diritto fondamentale, escludendo in tal modo che quest’ultimo possa qualificarsi come diritto finanziariamente condizionato.</w:t>
      </w:r>
    </w:p>
    <w:p w14:paraId="7646C71F" w14:textId="77777777" w:rsidR="004A7A36" w:rsidRPr="00874C97" w:rsidRDefault="004A7A36" w:rsidP="00874C97">
      <w:pPr>
        <w:pStyle w:val="Testonotaapidipagina"/>
        <w:jc w:val="both"/>
        <w:rPr>
          <w:rFonts w:ascii="Times New Roman" w:hAnsi="Times New Roman" w:cs="Times New Roman"/>
          <w:lang w:val="it-IT"/>
        </w:rPr>
      </w:pPr>
    </w:p>
  </w:footnote>
  <w:footnote w:id="38">
    <w:p w14:paraId="1451E8C0"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N. Pignatelli</w:t>
      </w:r>
      <w:r w:rsidRPr="00874C97">
        <w:rPr>
          <w:rFonts w:ascii="Times New Roman" w:hAnsi="Times New Roman" w:cs="Times New Roman"/>
          <w:i/>
          <w:lang w:val="it-IT"/>
        </w:rPr>
        <w:t>, I diritti inviolabili nel riparto di giurisdizione: la resistenza di un “falso” costituzionale</w:t>
      </w:r>
      <w:r w:rsidRPr="00874C97">
        <w:rPr>
          <w:rFonts w:ascii="Times New Roman" w:hAnsi="Times New Roman" w:cs="Times New Roman"/>
          <w:lang w:val="it-IT"/>
        </w:rPr>
        <w:t xml:space="preserve">, in </w:t>
      </w:r>
      <w:r w:rsidRPr="00874C97">
        <w:rPr>
          <w:rFonts w:ascii="Times New Roman" w:hAnsi="Times New Roman" w:cs="Times New Roman"/>
          <w:i/>
          <w:lang w:val="it-IT"/>
        </w:rPr>
        <w:t>Federalismi.it</w:t>
      </w:r>
      <w:r w:rsidRPr="00874C97">
        <w:rPr>
          <w:rFonts w:ascii="Times New Roman" w:hAnsi="Times New Roman" w:cs="Times New Roman"/>
          <w:lang w:val="it-IT"/>
        </w:rPr>
        <w:t xml:space="preserve">, 29 aprile 2020. </w:t>
      </w:r>
    </w:p>
    <w:p w14:paraId="255AC43A" w14:textId="77777777" w:rsidR="004A7A36" w:rsidRPr="00874C97" w:rsidRDefault="004A7A36" w:rsidP="00874C97">
      <w:pPr>
        <w:pStyle w:val="Testonotaapidipagina"/>
        <w:jc w:val="both"/>
        <w:rPr>
          <w:rFonts w:ascii="Times New Roman" w:hAnsi="Times New Roman" w:cs="Times New Roman"/>
          <w:lang w:val="it-IT"/>
        </w:rPr>
      </w:pPr>
    </w:p>
  </w:footnote>
  <w:footnote w:id="39">
    <w:p w14:paraId="26269A92"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E. Casetta</w:t>
      </w:r>
      <w:r w:rsidRPr="00874C97">
        <w:rPr>
          <w:rFonts w:ascii="Times New Roman" w:hAnsi="Times New Roman" w:cs="Times New Roman"/>
          <w:lang w:val="it-IT"/>
        </w:rPr>
        <w:t xml:space="preserve">, </w:t>
      </w:r>
      <w:r w:rsidRPr="00874C97">
        <w:rPr>
          <w:rFonts w:ascii="Times New Roman" w:hAnsi="Times New Roman" w:cs="Times New Roman"/>
          <w:i/>
          <w:lang w:val="it-IT"/>
        </w:rPr>
        <w:t>Manuale di diritto amministrativo</w:t>
      </w:r>
      <w:r w:rsidRPr="00874C97">
        <w:rPr>
          <w:rFonts w:ascii="Times New Roman" w:hAnsi="Times New Roman" w:cs="Times New Roman"/>
          <w:lang w:val="it-IT"/>
        </w:rPr>
        <w:t>, XI ed., Milano, 2009, 322: ove l’ulteriore considerazione secondo la quale “la prospettiva di una Costituzione che irrigidisce il sistema prevedendo diritti individuali (soprattutto in materie che interessano la collettività) non degradabili e sottratti ad ogni potere pare non rispondente alla realtà di diritto positivo, che non vieta il conferimento di poteri pubblici nel settore dell’ambiente e della salute; essa, d’altro canto, non consente di fornire una soluzione all’ipotesi – pur di difficile concreta ipotizzabilità – in cui la collisione sia non già tra interesse individuale tutelato ad oltranza e interessi pubblici, bensì tra due interessi individuali della stessa dignità (ad es. diritto alla salute) e di pari livello costituzionale, allorquando cioè la soddisfazione di uno potrebbe comportare il sacrificio di altri”.</w:t>
      </w:r>
    </w:p>
    <w:p w14:paraId="3204A10A"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Nello stesso senso, in giurisprudenza, Cons. Stato, sez. </w:t>
      </w:r>
      <w:r w:rsidRPr="00874C97">
        <w:rPr>
          <w:rFonts w:ascii="Times New Roman" w:hAnsi="Times New Roman" w:cs="Times New Roman"/>
          <w:caps/>
          <w:lang w:val="it-IT"/>
        </w:rPr>
        <w:t>III</w:t>
      </w:r>
      <w:r w:rsidRPr="00874C97">
        <w:rPr>
          <w:rFonts w:ascii="Times New Roman" w:hAnsi="Times New Roman" w:cs="Times New Roman"/>
          <w:lang w:val="it-IT"/>
        </w:rPr>
        <w:t>, sentenza 21 ottobre 2020, n. 6371: “Dinanzi alla pienezza di tutela che l’ordinamento oggi assicura, per il tramite della giurisdizione amministrativa, agli interessi fondamentali correlati ai diritti sociali, continuare a sostenere sotto l’ombrello teorico della non affievolibilità del diritto fondamentale, che il potere legalmente conferito alla pubblica amministrazione sia in quei casi inutiliter datum, equivarrebbe a qualificare la legge attributiva come incostituzionale, vieppiù irritualmente disapplicandola”.</w:t>
      </w:r>
    </w:p>
  </w:footnote>
  <w:footnote w:id="40">
    <w:p w14:paraId="76A2D9D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Fra i costituzionalisti la connessione fra potere e diritti fondamentali è rimarcata, a proposito dei diritti sociali, da </w:t>
      </w:r>
      <w:r w:rsidRPr="00874C97">
        <w:rPr>
          <w:rFonts w:ascii="Times New Roman" w:hAnsi="Times New Roman" w:cs="Times New Roman"/>
          <w:smallCaps/>
          <w:lang w:val="it-IT"/>
        </w:rPr>
        <w:t>R. Bifulco</w:t>
      </w:r>
      <w:r w:rsidRPr="00874C97">
        <w:rPr>
          <w:rFonts w:ascii="Times New Roman" w:hAnsi="Times New Roman" w:cs="Times New Roman"/>
          <w:lang w:val="it-IT"/>
        </w:rPr>
        <w:t xml:space="preserve">, </w:t>
      </w:r>
      <w:r w:rsidRPr="00874C97">
        <w:rPr>
          <w:rFonts w:ascii="Times New Roman" w:hAnsi="Times New Roman" w:cs="Times New Roman"/>
          <w:i/>
          <w:lang w:val="it-IT"/>
        </w:rPr>
        <w:t>Diritto costituzionale</w:t>
      </w:r>
      <w:r w:rsidRPr="00874C97">
        <w:rPr>
          <w:rFonts w:ascii="Times New Roman" w:hAnsi="Times New Roman" w:cs="Times New Roman"/>
          <w:lang w:val="it-IT"/>
        </w:rPr>
        <w:t>, cit., 353: “</w:t>
      </w:r>
      <w:r w:rsidRPr="00874C97">
        <w:rPr>
          <w:rFonts w:ascii="Times New Roman" w:hAnsi="Times New Roman" w:cs="Times New Roman"/>
          <w:i/>
          <w:lang w:val="it-IT"/>
        </w:rPr>
        <w:t>Se non può sussistere dubbio sul fatto che tali diritti sono da annoverarsi tra quelli fondamentali, non fosse altro perché previsti in Costituzione, è altrettanto vero che essi sono diritti condizionati (dal concreto riconoscimento da parte di legge e atti amministrativi). È questa la ragione per cui alcuni autori tendono a negare il carattere di diritto soggettivo assoluto a tali diritti e a riportarli in quella di potere, intesa come situazione astratta e potenziale, che sarà poi eventualmente concretizzata dalla norma di legge</w:t>
      </w:r>
      <w:r w:rsidRPr="00874C97">
        <w:rPr>
          <w:rFonts w:ascii="Times New Roman" w:hAnsi="Times New Roman" w:cs="Times New Roman"/>
          <w:lang w:val="it-IT"/>
        </w:rPr>
        <w:t xml:space="preserve">”. </w:t>
      </w:r>
    </w:p>
    <w:p w14:paraId="608C0BCF" w14:textId="77777777" w:rsidR="004A7A36" w:rsidRPr="00874C97" w:rsidRDefault="004A7A36" w:rsidP="00874C97">
      <w:pPr>
        <w:pStyle w:val="Testonotaapidipagina"/>
        <w:jc w:val="both"/>
        <w:rPr>
          <w:rFonts w:ascii="Times New Roman" w:hAnsi="Times New Roman" w:cs="Times New Roman"/>
          <w:lang w:val="it-IT"/>
        </w:rPr>
      </w:pPr>
    </w:p>
  </w:footnote>
  <w:footnote w:id="41">
    <w:p w14:paraId="77ADE408"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xml:space="preserve">  </w:t>
      </w:r>
      <w:r w:rsidRPr="00874C97">
        <w:rPr>
          <w:rFonts w:ascii="Times New Roman" w:hAnsi="Times New Roman" w:cs="Times New Roman"/>
          <w:lang w:val="it-IT"/>
        </w:rPr>
        <w:t xml:space="preserve">In quest’ottica, sul versante della dimensione pubblicistica dei beni e delle attività dei privati nello Stato sociale, si svolge l’analisi di </w:t>
      </w:r>
      <w:r w:rsidRPr="00874C97">
        <w:rPr>
          <w:rFonts w:ascii="Times New Roman" w:hAnsi="Times New Roman" w:cs="Times New Roman"/>
          <w:smallCaps/>
          <w:lang w:val="it-IT"/>
        </w:rPr>
        <w:t>C. Varrone</w:t>
      </w:r>
      <w:r w:rsidRPr="00874C97">
        <w:rPr>
          <w:rFonts w:ascii="Times New Roman" w:hAnsi="Times New Roman" w:cs="Times New Roman"/>
          <w:lang w:val="it-IT"/>
        </w:rPr>
        <w:t xml:space="preserve">, </w:t>
      </w:r>
      <w:r w:rsidRPr="00874C97">
        <w:rPr>
          <w:rFonts w:ascii="Times New Roman" w:hAnsi="Times New Roman" w:cs="Times New Roman"/>
          <w:i/>
          <w:lang w:val="it-IT"/>
        </w:rPr>
        <w:t>Stato sociale e giurisdizione sui ‘diritti’ del giudice amministrativo</w:t>
      </w:r>
      <w:r w:rsidRPr="00874C97">
        <w:rPr>
          <w:rFonts w:ascii="Times New Roman" w:hAnsi="Times New Roman" w:cs="Times New Roman"/>
          <w:lang w:val="it-IT"/>
        </w:rPr>
        <w:t xml:space="preserve">, Napoli, 2001. Il fenomeno ha posto, com’è noto, il problema della tutela del terzo nel diritto amministrativo, in merito al quale sia consentito il rinvio a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Provvedimento amministrativo e tutela dei diritti dei terzi</w:t>
      </w:r>
      <w:r w:rsidRPr="00874C97">
        <w:rPr>
          <w:rFonts w:ascii="Times New Roman" w:hAnsi="Times New Roman" w:cs="Times New Roman"/>
          <w:lang w:val="it-IT"/>
        </w:rPr>
        <w:t xml:space="preserve">, relazione svolta a Roma, il 13 febbraio 2009, in occasione dell’incontro di studio organizzato dal Consiglio Superiore della Magistratura, sul tema “La ‘salvezza’ dei diritti dei terzi”. </w:t>
      </w:r>
    </w:p>
    <w:p w14:paraId="6511ECF5" w14:textId="77777777" w:rsidR="004A7A36" w:rsidRPr="00874C97" w:rsidRDefault="004A7A36" w:rsidP="00874C97">
      <w:pPr>
        <w:pStyle w:val="Testonotaapidipagina"/>
        <w:jc w:val="both"/>
        <w:rPr>
          <w:rFonts w:ascii="Times New Roman" w:hAnsi="Times New Roman" w:cs="Times New Roman"/>
          <w:lang w:val="it-IT"/>
        </w:rPr>
      </w:pPr>
    </w:p>
  </w:footnote>
  <w:footnote w:id="42">
    <w:p w14:paraId="7BBC5C20"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G. Torregrossa</w:t>
      </w:r>
      <w:r w:rsidRPr="00874C97">
        <w:rPr>
          <w:rFonts w:ascii="Times New Roman" w:hAnsi="Times New Roman" w:cs="Times New Roman"/>
          <w:lang w:val="it-IT"/>
        </w:rPr>
        <w:t xml:space="preserve">, </w:t>
      </w:r>
      <w:r w:rsidRPr="00874C97">
        <w:rPr>
          <w:rFonts w:ascii="Times New Roman" w:hAnsi="Times New Roman" w:cs="Times New Roman"/>
          <w:i/>
          <w:lang w:val="it-IT"/>
        </w:rPr>
        <w:t>Introduzione al diritto urbanistico</w:t>
      </w:r>
      <w:r w:rsidRPr="00874C97">
        <w:rPr>
          <w:rFonts w:ascii="Times New Roman" w:hAnsi="Times New Roman" w:cs="Times New Roman"/>
          <w:lang w:val="it-IT"/>
        </w:rPr>
        <w:t>, Milano, 1987, 3 e 5: ove la ricostruzione secondo la quale il potere discrezionale della pubblica amministrazione deve, alla luce del complesso quadro normativo, ricostruire il “</w:t>
      </w:r>
      <w:r w:rsidRPr="00874C97">
        <w:rPr>
          <w:rFonts w:ascii="Times New Roman" w:hAnsi="Times New Roman" w:cs="Times New Roman"/>
          <w:i/>
          <w:lang w:val="it-IT"/>
        </w:rPr>
        <w:t>quadro generale di compatibilità</w:t>
      </w:r>
      <w:r w:rsidRPr="00874C97">
        <w:rPr>
          <w:rFonts w:ascii="Times New Roman" w:hAnsi="Times New Roman" w:cs="Times New Roman"/>
          <w:lang w:val="it-IT"/>
        </w:rPr>
        <w:t>”, in cui vengono composti interessi in potenziale conflitto, individuando nel procedimento la “</w:t>
      </w:r>
      <w:r w:rsidRPr="00874C97">
        <w:rPr>
          <w:rFonts w:ascii="Times New Roman" w:hAnsi="Times New Roman" w:cs="Times New Roman"/>
          <w:i/>
          <w:lang w:val="it-IT"/>
        </w:rPr>
        <w:t>sede nella quale i diversi interessi garantiti dall’or</w:t>
      </w:r>
      <w:r w:rsidRPr="00874C97">
        <w:rPr>
          <w:rFonts w:ascii="Times New Roman" w:hAnsi="Times New Roman" w:cs="Times New Roman"/>
          <w:i/>
          <w:lang w:val="it-IT"/>
        </w:rPr>
        <w:softHyphen/>
        <w:t>dinamento giuridico possono trovare la loro tutela che è misurata dal grado di tollerabilità che essi devono presentare nel confronto dell’uno con l’altro</w:t>
      </w:r>
      <w:r w:rsidRPr="00874C97">
        <w:rPr>
          <w:rFonts w:ascii="Times New Roman" w:hAnsi="Times New Roman" w:cs="Times New Roman"/>
          <w:lang w:val="it-IT"/>
        </w:rPr>
        <w:t xml:space="preserve">”;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La funzione: fisionomia e implicazioni del potere amministrativo nello stato sociale pluriclasse</w:t>
      </w:r>
      <w:r w:rsidRPr="00874C97">
        <w:rPr>
          <w:rFonts w:ascii="Times New Roman" w:hAnsi="Times New Roman" w:cs="Times New Roman"/>
          <w:lang w:val="it-IT"/>
        </w:rPr>
        <w:t>, cit., § 2: “</w:t>
      </w:r>
      <w:r w:rsidRPr="00874C97">
        <w:rPr>
          <w:rFonts w:ascii="Times New Roman" w:hAnsi="Times New Roman" w:cs="Times New Roman"/>
          <w:i/>
          <w:lang w:val="it-IT"/>
        </w:rPr>
        <w:t>la stessa applicazione del parametro legislativo appare talora non agevole, sicché il grado di compatibilità fra i vari interessi non può essere individuato se non stabilendo, all’interno del sistema costituzionale o di quello delle fonti sovranazionali, un ordine gerarchico fra tali interessi, come spesso hanno fatto la Corte costituzionale e la Corte di Giustizia: ordine gerarchico cui corrisponde, in sede di disciplina del procedimento amministrativo, una preminente tutela accordata all’interesse ritenuto prevalente nel confronto con gli altri</w:t>
      </w:r>
      <w:r w:rsidRPr="00874C97">
        <w:rPr>
          <w:rFonts w:ascii="Times New Roman" w:hAnsi="Times New Roman" w:cs="Times New Roman"/>
          <w:lang w:val="it-IT"/>
        </w:rPr>
        <w:t>”.</w:t>
      </w:r>
    </w:p>
    <w:p w14:paraId="042731C3" w14:textId="77777777" w:rsidR="004A7A36" w:rsidRPr="00874C97" w:rsidRDefault="004A7A36" w:rsidP="00874C97">
      <w:pPr>
        <w:pStyle w:val="Testonotaapidipagina"/>
        <w:jc w:val="both"/>
        <w:rPr>
          <w:rFonts w:ascii="Times New Roman" w:hAnsi="Times New Roman" w:cs="Times New Roman"/>
          <w:lang w:val="it-IT"/>
        </w:rPr>
      </w:pPr>
    </w:p>
  </w:footnote>
  <w:footnote w:id="43">
    <w:p w14:paraId="6EACBC4F"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Ex captivitate salus?</w:t>
      </w:r>
      <w:r w:rsidRPr="00874C97">
        <w:rPr>
          <w:rFonts w:ascii="Times New Roman" w:hAnsi="Times New Roman" w:cs="Times New Roman"/>
          <w:lang w:val="it-IT"/>
        </w:rPr>
        <w:t xml:space="preserve">, in </w:t>
      </w:r>
      <w:r w:rsidRPr="00874C97">
        <w:rPr>
          <w:rFonts w:ascii="Times New Roman" w:hAnsi="Times New Roman" w:cs="Times New Roman"/>
          <w:i/>
          <w:lang w:val="it-IT"/>
        </w:rPr>
        <w:t>giustamm.it</w:t>
      </w:r>
      <w:r w:rsidRPr="00874C97">
        <w:rPr>
          <w:rFonts w:ascii="Times New Roman" w:hAnsi="Times New Roman" w:cs="Times New Roman"/>
          <w:lang w:val="it-IT"/>
        </w:rPr>
        <w:t>, 4/2020.</w:t>
      </w:r>
    </w:p>
    <w:p w14:paraId="73C124EC" w14:textId="77777777" w:rsidR="004A7A36" w:rsidRPr="00874C97" w:rsidRDefault="004A7A36" w:rsidP="00874C97">
      <w:pPr>
        <w:pStyle w:val="Testonotaapidipagina"/>
        <w:jc w:val="both"/>
        <w:rPr>
          <w:rFonts w:ascii="Times New Roman" w:hAnsi="Times New Roman" w:cs="Times New Roman"/>
          <w:lang w:val="it-IT"/>
        </w:rPr>
      </w:pPr>
    </w:p>
  </w:footnote>
  <w:footnote w:id="44">
    <w:p w14:paraId="53B2663F"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F. Frattini</w:t>
      </w:r>
      <w:r w:rsidRPr="00874C97">
        <w:rPr>
          <w:rFonts w:ascii="Times New Roman" w:hAnsi="Times New Roman" w:cs="Times New Roman"/>
          <w:lang w:val="it-IT"/>
        </w:rPr>
        <w:t xml:space="preserve">, </w:t>
      </w:r>
      <w:r w:rsidRPr="00874C97">
        <w:rPr>
          <w:rFonts w:ascii="Times New Roman" w:hAnsi="Times New Roman" w:cs="Times New Roman"/>
          <w:i/>
          <w:lang w:val="it-IT"/>
        </w:rPr>
        <w:t>Le fonti della gerarchia degli interessi</w:t>
      </w:r>
      <w:r w:rsidRPr="00874C97">
        <w:rPr>
          <w:rFonts w:ascii="Times New Roman" w:hAnsi="Times New Roman" w:cs="Times New Roman"/>
          <w:lang w:val="it-IT"/>
        </w:rPr>
        <w:t xml:space="preserve">, in </w:t>
      </w:r>
      <w:r w:rsidRPr="00874C97">
        <w:rPr>
          <w:rFonts w:ascii="Times New Roman" w:hAnsi="Times New Roman" w:cs="Times New Roman"/>
          <w:i/>
          <w:lang w:val="it-IT"/>
        </w:rPr>
        <w:t>Gerarchia e coordinamento degli interessi pubblici e privati dopo la riforma delle autonomie locali e del procedimento amministrativo</w:t>
      </w:r>
      <w:r w:rsidRPr="00874C97">
        <w:rPr>
          <w:rFonts w:ascii="Times New Roman" w:hAnsi="Times New Roman" w:cs="Times New Roman"/>
          <w:lang w:val="it-IT"/>
        </w:rPr>
        <w:t xml:space="preserve">, Atti del </w:t>
      </w:r>
      <w:r w:rsidRPr="00874C97">
        <w:rPr>
          <w:rFonts w:ascii="Times New Roman" w:hAnsi="Times New Roman" w:cs="Times New Roman"/>
          <w:smallCaps/>
          <w:lang w:val="it-IT"/>
        </w:rPr>
        <w:t>XXXVII</w:t>
      </w:r>
      <w:r w:rsidRPr="00874C97">
        <w:rPr>
          <w:rFonts w:ascii="Times New Roman" w:hAnsi="Times New Roman" w:cs="Times New Roman"/>
          <w:lang w:val="it-IT"/>
        </w:rPr>
        <w:t xml:space="preserve"> Convegno di studi di scienza dell’amministrazione, Milano, 1994, 29.</w:t>
      </w:r>
    </w:p>
    <w:p w14:paraId="7E096A1B" w14:textId="77777777" w:rsidR="004A7A36" w:rsidRPr="00874C97" w:rsidRDefault="004A7A36" w:rsidP="00874C97">
      <w:pPr>
        <w:pStyle w:val="Testonotaapidipagina"/>
        <w:jc w:val="both"/>
        <w:rPr>
          <w:rFonts w:ascii="Times New Roman" w:hAnsi="Times New Roman" w:cs="Times New Roman"/>
          <w:lang w:val="it-IT"/>
        </w:rPr>
      </w:pPr>
    </w:p>
  </w:footnote>
  <w:footnote w:id="45">
    <w:p w14:paraId="4A388B3D"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R. Bifulco</w:t>
      </w:r>
      <w:r w:rsidRPr="00874C97">
        <w:rPr>
          <w:rFonts w:ascii="Times New Roman" w:hAnsi="Times New Roman" w:cs="Times New Roman"/>
          <w:lang w:val="it-IT"/>
        </w:rPr>
        <w:t xml:space="preserve">, </w:t>
      </w:r>
      <w:r w:rsidRPr="00874C97">
        <w:rPr>
          <w:rFonts w:ascii="Times New Roman" w:hAnsi="Times New Roman" w:cs="Times New Roman"/>
          <w:i/>
          <w:lang w:val="it-IT"/>
        </w:rPr>
        <w:t>Diritto costituzionale</w:t>
      </w:r>
      <w:r w:rsidRPr="00874C97">
        <w:rPr>
          <w:rFonts w:ascii="Times New Roman" w:hAnsi="Times New Roman" w:cs="Times New Roman"/>
          <w:lang w:val="it-IT"/>
        </w:rPr>
        <w:t xml:space="preserve">, cit., 355: “Il tema dei limiti che incontrano i diritti fondamentali coincide sostanzialmente con quello della possibilità di intervento dei poteri pubblici nella sfera soggettiva dei singoli. (...) Secondo la Corte costituzionale, infatti, non esistono diritti fondamentali privi di limiti; da ciò l’ulteriore conseguenza per cui ‘tutti i diritti fondamentali tutelati dalla Costituzione si trovano in rapporto di integrazione reciproca e non è possibile pertanto individuare uno di essi che abbia la prevalenza assoluta sugli altri’ (sent. Corte cost. 85/2013)”. Nello stesso senso </w:t>
      </w:r>
      <w:r w:rsidRPr="00874C97">
        <w:rPr>
          <w:rFonts w:ascii="Times New Roman" w:hAnsi="Times New Roman" w:cs="Times New Roman"/>
          <w:smallCaps/>
          <w:lang w:val="it-IT"/>
        </w:rPr>
        <w:t>F. Patroni Griffi</w:t>
      </w:r>
      <w:r w:rsidRPr="00874C97">
        <w:rPr>
          <w:rFonts w:ascii="Times New Roman" w:hAnsi="Times New Roman" w:cs="Times New Roman"/>
          <w:lang w:val="it-IT"/>
        </w:rPr>
        <w:t xml:space="preserve">, </w:t>
      </w:r>
      <w:r w:rsidRPr="00874C97">
        <w:rPr>
          <w:rFonts w:ascii="Times New Roman" w:hAnsi="Times New Roman" w:cs="Times New Roman"/>
          <w:i/>
          <w:lang w:val="it-IT"/>
        </w:rPr>
        <w:t>L’eterno dibattito sulle giurisdizioni tra diritti incomprimibili e lesione dell’affidamento</w:t>
      </w:r>
      <w:r w:rsidRPr="00874C97">
        <w:rPr>
          <w:rFonts w:ascii="Times New Roman" w:hAnsi="Times New Roman" w:cs="Times New Roman"/>
          <w:lang w:val="it-IT"/>
        </w:rPr>
        <w:t xml:space="preserve">, in </w:t>
      </w:r>
      <w:r w:rsidRPr="00874C97">
        <w:rPr>
          <w:rFonts w:ascii="Times New Roman" w:hAnsi="Times New Roman" w:cs="Times New Roman"/>
          <w:i/>
          <w:lang w:val="it-IT"/>
        </w:rPr>
        <w:t>Federalismi.it</w:t>
      </w:r>
      <w:r w:rsidRPr="00874C97">
        <w:rPr>
          <w:rFonts w:ascii="Times New Roman" w:hAnsi="Times New Roman" w:cs="Times New Roman"/>
          <w:lang w:val="it-IT"/>
        </w:rPr>
        <w:t>, 24/2011. “Non c’è, sul piano positivo, un ambito di diritti sottratto a ogni ingerenza di potere”.</w:t>
      </w:r>
    </w:p>
    <w:p w14:paraId="76427FB2" w14:textId="77777777" w:rsidR="004A7A36" w:rsidRPr="00874C97" w:rsidRDefault="004A7A36" w:rsidP="00874C97">
      <w:pPr>
        <w:pStyle w:val="Testonotaapidipagina"/>
        <w:jc w:val="both"/>
        <w:rPr>
          <w:rFonts w:ascii="Times New Roman" w:hAnsi="Times New Roman" w:cs="Times New Roman"/>
          <w:lang w:val="it-IT"/>
        </w:rPr>
      </w:pPr>
    </w:p>
  </w:footnote>
  <w:footnote w:id="46">
    <w:p w14:paraId="7029B60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Tutela dei diritti fondamentali o fondamentalismo nella tutela dei diritti</w:t>
      </w:r>
      <w:r w:rsidRPr="00874C97">
        <w:rPr>
          <w:rFonts w:ascii="Times New Roman" w:hAnsi="Times New Roman" w:cs="Times New Roman"/>
          <w:lang w:val="it-IT"/>
        </w:rPr>
        <w:t xml:space="preserve">, cit.: “nello Stato sociale la vuota enunciazione costituzionale o convenzionale del diritto è priva di contenuto se non è riempita dalla prestazione corrispondente, che deve essere resa dall’amministrazione: il potere conformativo, in altre parole, correlato alla funzione di regolazione (volta a ricercare una compatibilità nel potenziale conflitto fra le tante attività oggetto di tutela anche costituzionale e convenzionale), riempie di contenuto un catalogo di diritti dal contenuto altrimenti puramente simbolico”. In senso adesivo, </w:t>
      </w:r>
      <w:r w:rsidRPr="00874C97">
        <w:rPr>
          <w:rFonts w:ascii="Times New Roman" w:hAnsi="Times New Roman" w:cs="Times New Roman"/>
          <w:smallCaps/>
          <w:lang w:val="it-IT"/>
        </w:rPr>
        <w:t>M. Ramajoli</w:t>
      </w:r>
      <w:r w:rsidRPr="00874C97">
        <w:rPr>
          <w:rFonts w:ascii="Times New Roman" w:hAnsi="Times New Roman" w:cs="Times New Roman"/>
          <w:lang w:val="it-IT"/>
        </w:rPr>
        <w:t xml:space="preserve">, </w:t>
      </w:r>
      <w:r w:rsidRPr="00874C97">
        <w:rPr>
          <w:rFonts w:ascii="Times New Roman" w:hAnsi="Times New Roman" w:cs="Times New Roman"/>
          <w:i/>
          <w:lang w:val="it-IT"/>
        </w:rPr>
        <w:t>Sui molteplici criteri di riparto della giurisdizione in materia di sostegno scolastico alle persone con disabilità</w:t>
      </w:r>
      <w:r w:rsidRPr="00874C97">
        <w:rPr>
          <w:rFonts w:ascii="Times New Roman" w:hAnsi="Times New Roman" w:cs="Times New Roman"/>
          <w:lang w:val="it-IT"/>
        </w:rPr>
        <w:t xml:space="preserve">, in </w:t>
      </w:r>
      <w:r w:rsidRPr="00874C97">
        <w:rPr>
          <w:rFonts w:ascii="Times New Roman" w:hAnsi="Times New Roman" w:cs="Times New Roman"/>
          <w:i/>
          <w:lang w:val="it-IT"/>
        </w:rPr>
        <w:t>Dir. proc. amm</w:t>
      </w:r>
      <w:r w:rsidRPr="00874C97">
        <w:rPr>
          <w:rFonts w:ascii="Times New Roman" w:hAnsi="Times New Roman" w:cs="Times New Roman"/>
          <w:lang w:val="it-IT"/>
        </w:rPr>
        <w:t xml:space="preserve">., 2020, 2, 275 ss. In argomento si veda altresì la ricostruzione di </w:t>
      </w:r>
      <w:r w:rsidRPr="00874C97">
        <w:rPr>
          <w:rFonts w:ascii="Times New Roman" w:hAnsi="Times New Roman" w:cs="Times New Roman"/>
          <w:smallCaps/>
          <w:lang w:val="it-IT"/>
        </w:rPr>
        <w:t>R. Ursi</w:t>
      </w:r>
      <w:r w:rsidRPr="00874C97">
        <w:rPr>
          <w:rFonts w:ascii="Times New Roman" w:hAnsi="Times New Roman" w:cs="Times New Roman"/>
          <w:lang w:val="it-IT"/>
        </w:rPr>
        <w:t xml:space="preserve">, </w:t>
      </w:r>
      <w:r w:rsidRPr="00874C97">
        <w:rPr>
          <w:rFonts w:ascii="Times New Roman" w:hAnsi="Times New Roman" w:cs="Times New Roman"/>
          <w:i/>
          <w:lang w:val="it-IT"/>
        </w:rPr>
        <w:t>Le stagioni dell’efficienza. I paradigmi giuridici della buona amministrazione</w:t>
      </w:r>
      <w:r w:rsidRPr="00874C97">
        <w:rPr>
          <w:rFonts w:ascii="Times New Roman" w:hAnsi="Times New Roman" w:cs="Times New Roman"/>
          <w:lang w:val="it-IT"/>
        </w:rPr>
        <w:t xml:space="preserve">, Sant’Arcangelo di Romagna, 2016, ove (135) il richiamo all’osservazione di </w:t>
      </w:r>
      <w:r w:rsidRPr="00874C97">
        <w:rPr>
          <w:rFonts w:ascii="Times New Roman" w:hAnsi="Times New Roman" w:cs="Times New Roman"/>
          <w:smallCaps/>
          <w:lang w:val="it-IT"/>
        </w:rPr>
        <w:t>N. Bobbio</w:t>
      </w:r>
      <w:r w:rsidRPr="00874C97">
        <w:rPr>
          <w:rFonts w:ascii="Times New Roman" w:hAnsi="Times New Roman" w:cs="Times New Roman"/>
          <w:lang w:val="it-IT"/>
        </w:rPr>
        <w:t xml:space="preserve"> (</w:t>
      </w:r>
      <w:r w:rsidRPr="00874C97">
        <w:rPr>
          <w:rFonts w:ascii="Times New Roman" w:hAnsi="Times New Roman" w:cs="Times New Roman"/>
          <w:i/>
          <w:lang w:val="it-IT"/>
        </w:rPr>
        <w:t>L’età dei diritti</w:t>
      </w:r>
      <w:r w:rsidRPr="00874C97">
        <w:rPr>
          <w:rFonts w:ascii="Times New Roman" w:hAnsi="Times New Roman" w:cs="Times New Roman"/>
          <w:lang w:val="it-IT"/>
        </w:rPr>
        <w:t>, Torino, 1990, 73) secondo la quale “mentre i diritti di libertà nascono contro lo strapotere dello Stato, e quindi per limitarne il potere, i diritti sociali richiedono per la loro pratica attuazione, cioè per il passaggio dalla dichiarazione puramente verbale alla loro protezione effettiva, proprio il contrario, cioè l’accrescimento del potere”.</w:t>
      </w:r>
    </w:p>
    <w:p w14:paraId="0B389617" w14:textId="77777777" w:rsidR="004A7A36" w:rsidRPr="00874C97" w:rsidRDefault="004A7A36" w:rsidP="00874C97">
      <w:pPr>
        <w:pStyle w:val="Testonotaapidipagina"/>
        <w:jc w:val="both"/>
        <w:rPr>
          <w:rFonts w:ascii="Times New Roman" w:hAnsi="Times New Roman" w:cs="Times New Roman"/>
          <w:lang w:val="it-IT"/>
        </w:rPr>
      </w:pPr>
    </w:p>
  </w:footnote>
  <w:footnote w:id="47">
    <w:p w14:paraId="14E2B3B8"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Cons. Stato, sez. </w:t>
      </w:r>
      <w:r w:rsidRPr="00874C97">
        <w:rPr>
          <w:rFonts w:ascii="Times New Roman" w:hAnsi="Times New Roman" w:cs="Times New Roman"/>
          <w:caps/>
          <w:lang w:val="it-IT"/>
        </w:rPr>
        <w:t>III</w:t>
      </w:r>
      <w:r w:rsidRPr="00874C97">
        <w:rPr>
          <w:rFonts w:ascii="Times New Roman" w:hAnsi="Times New Roman" w:cs="Times New Roman"/>
          <w:lang w:val="it-IT"/>
        </w:rPr>
        <w:t>, sentenza 21 ottobre 2020, n. 6371.</w:t>
      </w:r>
    </w:p>
    <w:p w14:paraId="581558A2" w14:textId="77777777" w:rsidR="004A7A36" w:rsidRPr="00874C97" w:rsidRDefault="004A7A36" w:rsidP="00874C97">
      <w:pPr>
        <w:pStyle w:val="Testonotaapidipagina"/>
        <w:jc w:val="both"/>
        <w:rPr>
          <w:rFonts w:ascii="Times New Roman" w:hAnsi="Times New Roman" w:cs="Times New Roman"/>
          <w:lang w:val="it-IT"/>
        </w:rPr>
      </w:pPr>
    </w:p>
  </w:footnote>
  <w:footnote w:id="48">
    <w:p w14:paraId="45F620EF"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Per un esempio,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Tutela dei diritti fondamentali, o fondamentalismo nella tutela dei diritti?</w:t>
      </w:r>
      <w:r w:rsidRPr="00874C97">
        <w:rPr>
          <w:rFonts w:ascii="Times New Roman" w:hAnsi="Times New Roman" w:cs="Times New Roman"/>
          <w:lang w:val="it-IT"/>
        </w:rPr>
        <w:t>, cit., § 4.</w:t>
      </w:r>
    </w:p>
    <w:p w14:paraId="0E5A41C0" w14:textId="77777777" w:rsidR="004A7A36" w:rsidRPr="00874C97" w:rsidRDefault="004A7A36" w:rsidP="00874C97">
      <w:pPr>
        <w:pStyle w:val="Testonotaapidipagina"/>
        <w:jc w:val="both"/>
        <w:rPr>
          <w:rFonts w:ascii="Times New Roman" w:hAnsi="Times New Roman" w:cs="Times New Roman"/>
          <w:lang w:val="it-IT"/>
        </w:rPr>
      </w:pPr>
    </w:p>
  </w:footnote>
  <w:footnote w:id="49">
    <w:p w14:paraId="37991CD2"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lang w:val="it-IT"/>
        </w:rPr>
        <w:t xml:space="preserve">Sia consentito il rinvio, tra gli altri, a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Sicurezza sociale e libertà individuali nell’area del Mediterraneo: fenomenologia del potere amministrativo, fisionomia del suo giudice e condizionamenti identitari</w:t>
      </w:r>
      <w:r w:rsidRPr="00874C97">
        <w:rPr>
          <w:rFonts w:ascii="Times New Roman" w:hAnsi="Times New Roman" w:cs="Times New Roman"/>
          <w:lang w:val="it-IT"/>
        </w:rPr>
        <w:t xml:space="preserve">, in </w:t>
      </w:r>
      <w:r w:rsidRPr="00874C97">
        <w:rPr>
          <w:rFonts w:ascii="Times New Roman" w:hAnsi="Times New Roman" w:cs="Times New Roman"/>
          <w:i/>
          <w:lang w:val="it-IT"/>
        </w:rPr>
        <w:t>giustamm.it</w:t>
      </w:r>
      <w:r w:rsidRPr="00874C97">
        <w:rPr>
          <w:rFonts w:ascii="Times New Roman" w:hAnsi="Times New Roman" w:cs="Times New Roman"/>
          <w:lang w:val="it-IT"/>
        </w:rPr>
        <w:t>.</w:t>
      </w:r>
    </w:p>
    <w:p w14:paraId="07F3755D" w14:textId="77777777" w:rsidR="004A7A36" w:rsidRPr="00874C97" w:rsidRDefault="004A7A36" w:rsidP="00874C97">
      <w:pPr>
        <w:pStyle w:val="Testonotaapidipagina"/>
        <w:jc w:val="both"/>
        <w:rPr>
          <w:rFonts w:ascii="Times New Roman" w:hAnsi="Times New Roman" w:cs="Times New Roman"/>
          <w:lang w:val="it-IT"/>
        </w:rPr>
      </w:pPr>
    </w:p>
  </w:footnote>
  <w:footnote w:id="50">
    <w:p w14:paraId="21EA38CB" w14:textId="77777777" w:rsidR="004A7A36" w:rsidRPr="00874C97" w:rsidRDefault="004A7A36" w:rsidP="00874C97">
      <w:pPr>
        <w:spacing w:before="60" w:after="0" w:line="240" w:lineRule="auto"/>
        <w:ind w:firstLine="284"/>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vertAlign w:val="superscript"/>
          <w:lang w:val="it-IT"/>
        </w:rPr>
        <w:t> </w:t>
      </w:r>
      <w:r w:rsidRPr="00874C97">
        <w:rPr>
          <w:rFonts w:ascii="Times New Roman" w:hAnsi="Times New Roman" w:cs="Times New Roman"/>
          <w:smallCaps/>
          <w:sz w:val="20"/>
          <w:szCs w:val="20"/>
          <w:lang w:val="it-IT"/>
        </w:rPr>
        <w:t>A. Cassese</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I diritti umani oggi</w:t>
      </w:r>
      <w:r w:rsidRPr="00874C97">
        <w:rPr>
          <w:rFonts w:ascii="Times New Roman" w:hAnsi="Times New Roman" w:cs="Times New Roman"/>
          <w:sz w:val="20"/>
          <w:szCs w:val="20"/>
          <w:lang w:val="it-IT"/>
        </w:rPr>
        <w:t xml:space="preserve">, Roma-Bari, 2005, 57 ss. Di fronte all’impugnazione, da parte di una società organizzatrice di eventi, del provvedimento sindacale di divieto dello spettacolo del “lancio del nano”, perché contrario all’ordine pubblico e al rispetto della dignità umana, il </w:t>
      </w:r>
      <w:r w:rsidRPr="00874C97">
        <w:rPr>
          <w:rFonts w:ascii="Times New Roman" w:hAnsi="Times New Roman" w:cs="Times New Roman"/>
          <w:i/>
          <w:sz w:val="20"/>
          <w:szCs w:val="20"/>
          <w:lang w:val="it-IT"/>
        </w:rPr>
        <w:t>Conseil d’État</w:t>
      </w:r>
      <w:r w:rsidRPr="00874C97">
        <w:rPr>
          <w:rFonts w:ascii="Times New Roman" w:hAnsi="Times New Roman" w:cs="Times New Roman"/>
          <w:sz w:val="20"/>
          <w:szCs w:val="20"/>
          <w:lang w:val="it-IT"/>
        </w:rPr>
        <w:t xml:space="preserve"> ha in ultima istanza respinto il ricorso facendo diretta applicazione dell’art. 3 della Convenzione europea dei diritti dell’uomo. Ha, cioè, scrutinato la legittimità dell’esercizio del potere rispetto ad un parametro normativo (convenzionale) che protegge un diritto fondamentale: e in tal modo ha dato una risposta piena, che nel tutelare il diritto non rimuove – con una finzione – l’intermediazione del potere amministrativo, ma ne giudica l’esercizio avuto riguardo alla concreta fattispecie [</w:t>
      </w:r>
      <w:r w:rsidRPr="00874C97">
        <w:rPr>
          <w:rFonts w:ascii="Times New Roman" w:hAnsi="Times New Roman" w:cs="Times New Roman"/>
          <w:i/>
          <w:sz w:val="20"/>
          <w:szCs w:val="20"/>
          <w:lang w:val="it-IT"/>
        </w:rPr>
        <w:t>Conseil d’État,</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27 ottobre 1995, Commune de Morsang-sur-Orge</w:t>
      </w:r>
      <w:r w:rsidRPr="00874C97">
        <w:rPr>
          <w:rFonts w:ascii="Times New Roman" w:hAnsi="Times New Roman" w:cs="Times New Roman"/>
          <w:sz w:val="20"/>
          <w:szCs w:val="20"/>
          <w:lang w:val="it-IT"/>
        </w:rPr>
        <w:t xml:space="preserve">, in </w:t>
      </w:r>
      <w:r w:rsidRPr="00874C97">
        <w:rPr>
          <w:rFonts w:ascii="Times New Roman" w:hAnsi="Times New Roman" w:cs="Times New Roman"/>
          <w:smallCaps/>
          <w:sz w:val="20"/>
          <w:szCs w:val="20"/>
          <w:lang w:val="it-IT"/>
        </w:rPr>
        <w:t>AA.VV</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Les grands arrêts de la jurisprudence administrative</w:t>
      </w:r>
      <w:r w:rsidRPr="00874C97">
        <w:rPr>
          <w:rFonts w:ascii="Times New Roman" w:hAnsi="Times New Roman" w:cs="Times New Roman"/>
          <w:sz w:val="20"/>
          <w:szCs w:val="20"/>
          <w:lang w:val="it-IT"/>
        </w:rPr>
        <w:t>, XVII ed., Paris, 2009, 701 ss. La vicenda ha avuto ovviamente anche interessanti risvolti sul piano metagiuridico e, segnatamente, filosofico, con riguardo alla presa d’atto di “</w:t>
      </w:r>
      <w:r w:rsidRPr="00874C97">
        <w:rPr>
          <w:rFonts w:ascii="Times New Roman" w:hAnsi="Times New Roman" w:cs="Times New Roman"/>
          <w:i/>
          <w:sz w:val="20"/>
          <w:szCs w:val="20"/>
          <w:lang w:val="it-IT"/>
        </w:rPr>
        <w:t>quanto sia talvolta impervia la questione della definizione e della difesa dei ‘diritti umani’ </w:t>
      </w:r>
      <w:r w:rsidRPr="00874C97">
        <w:rPr>
          <w:rFonts w:ascii="Times New Roman" w:hAnsi="Times New Roman" w:cs="Times New Roman"/>
          <w:sz w:val="20"/>
          <w:szCs w:val="20"/>
          <w:lang w:val="it-IT"/>
        </w:rPr>
        <w:t xml:space="preserve">”: </w:t>
      </w:r>
      <w:r w:rsidRPr="00874C97">
        <w:rPr>
          <w:rFonts w:ascii="Times New Roman" w:hAnsi="Times New Roman" w:cs="Times New Roman"/>
          <w:smallCaps/>
          <w:sz w:val="20"/>
          <w:szCs w:val="20"/>
          <w:lang w:val="it-IT"/>
        </w:rPr>
        <w:t>A. Massarenti</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Il lancio del nano (e altri esercizi di filosofia minima</w:t>
      </w:r>
      <w:r w:rsidRPr="00874C97">
        <w:rPr>
          <w:rFonts w:ascii="Times New Roman" w:hAnsi="Times New Roman" w:cs="Times New Roman"/>
          <w:sz w:val="20"/>
          <w:szCs w:val="20"/>
          <w:lang w:val="it-IT"/>
        </w:rPr>
        <w:t>), Milano, 2007, 11].</w:t>
      </w:r>
    </w:p>
    <w:p w14:paraId="31918C94" w14:textId="77777777" w:rsidR="004A7A36" w:rsidRPr="00874C97" w:rsidRDefault="004A7A36" w:rsidP="00874C97">
      <w:pPr>
        <w:spacing w:before="60" w:after="0" w:line="240" w:lineRule="auto"/>
        <w:ind w:firstLine="284"/>
        <w:jc w:val="both"/>
        <w:rPr>
          <w:rFonts w:ascii="Times New Roman" w:hAnsi="Times New Roman" w:cs="Times New Roman"/>
          <w:sz w:val="20"/>
          <w:szCs w:val="20"/>
          <w:lang w:val="it-IT"/>
        </w:rPr>
      </w:pPr>
    </w:p>
  </w:footnote>
  <w:footnote w:id="51">
    <w:p w14:paraId="37CAD286"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Su tale fattispecie Consiglio di Stato, Adunanza Plenaria, sentenza n. 7 del 2016 e Cass., SS.UU., 25 novembre 2014, n. 25011; sulle conclusioni cui giunge tale pronuncia, nella prospettiva della tutela contro i trattamenti discriminatori, T.A.R. Sicilia, Palermo, sez. III, sentenza n. 3111/2014.</w:t>
      </w:r>
    </w:p>
    <w:p w14:paraId="7AFB2077" w14:textId="77777777" w:rsidR="004A7A36" w:rsidRPr="00874C97" w:rsidRDefault="004A7A36" w:rsidP="00874C97">
      <w:pPr>
        <w:pStyle w:val="Testonotaapidipagina"/>
        <w:jc w:val="both"/>
        <w:rPr>
          <w:rFonts w:ascii="Times New Roman" w:hAnsi="Times New Roman" w:cs="Times New Roman"/>
          <w:lang w:val="it-IT"/>
        </w:rPr>
      </w:pPr>
    </w:p>
  </w:footnote>
  <w:footnote w:id="52">
    <w:p w14:paraId="0F196181"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M. Trimarchi</w:t>
      </w:r>
      <w:r w:rsidRPr="00874C97">
        <w:rPr>
          <w:rFonts w:ascii="Times New Roman" w:hAnsi="Times New Roman" w:cs="Times New Roman"/>
          <w:lang w:val="it-IT"/>
        </w:rPr>
        <w:t xml:space="preserve">, </w:t>
      </w:r>
      <w:r w:rsidRPr="00874C97">
        <w:rPr>
          <w:rFonts w:ascii="Times New Roman" w:hAnsi="Times New Roman" w:cs="Times New Roman"/>
          <w:i/>
          <w:lang w:val="it-IT"/>
        </w:rPr>
        <w:t>Il riparto della giurisdizione nelle controversie per il risarcimento dei danni arrecati nell'esercizio della funzione amministrativa</w:t>
      </w:r>
      <w:r w:rsidRPr="00874C97">
        <w:rPr>
          <w:rFonts w:ascii="Times New Roman" w:hAnsi="Times New Roman" w:cs="Times New Roman"/>
          <w:lang w:val="it-IT"/>
        </w:rPr>
        <w:t xml:space="preserve">, in </w:t>
      </w:r>
      <w:r w:rsidRPr="00874C97">
        <w:rPr>
          <w:rFonts w:ascii="Times New Roman" w:hAnsi="Times New Roman" w:cs="Times New Roman"/>
          <w:i/>
          <w:lang w:val="it-IT"/>
        </w:rPr>
        <w:t>Diritto Processuale Amministrativo</w:t>
      </w:r>
      <w:r w:rsidRPr="00874C97">
        <w:rPr>
          <w:rFonts w:ascii="Times New Roman" w:hAnsi="Times New Roman" w:cs="Times New Roman"/>
          <w:lang w:val="it-IT"/>
        </w:rPr>
        <w:t>, 2024, fasc.4, pagg. 821 e segg.</w:t>
      </w:r>
      <w:r w:rsidRPr="00874C97">
        <w:rPr>
          <w:rFonts w:ascii="Times New Roman" w:hAnsi="Times New Roman" w:cs="Times New Roman"/>
          <w:lang w:val="it-IT"/>
        </w:rPr>
        <w:cr/>
      </w:r>
    </w:p>
  </w:footnote>
  <w:footnote w:id="53">
    <w:p w14:paraId="5BBE5778"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vertAlign w:val="superscript"/>
          <w:lang w:val="it-IT"/>
        </w:rPr>
        <w:t> </w:t>
      </w:r>
      <w:r w:rsidRPr="00874C97">
        <w:rPr>
          <w:rFonts w:ascii="Times New Roman" w:hAnsi="Times New Roman" w:cs="Times New Roman"/>
          <w:smallCaps/>
          <w:lang w:val="it-IT"/>
        </w:rPr>
        <w:t>G. Miele</w:t>
      </w:r>
      <w:r w:rsidRPr="00874C97">
        <w:rPr>
          <w:rFonts w:ascii="Times New Roman" w:hAnsi="Times New Roman" w:cs="Times New Roman"/>
          <w:lang w:val="it-IT"/>
        </w:rPr>
        <w:t xml:space="preserve">, </w:t>
      </w:r>
      <w:r w:rsidRPr="00874C97">
        <w:rPr>
          <w:rFonts w:ascii="Times New Roman" w:hAnsi="Times New Roman" w:cs="Times New Roman"/>
          <w:i/>
          <w:lang w:val="it-IT"/>
        </w:rPr>
        <w:t>Potere, diritto soggettivo e interesse</w:t>
      </w:r>
      <w:r w:rsidRPr="00874C97">
        <w:rPr>
          <w:rFonts w:ascii="Times New Roman" w:hAnsi="Times New Roman" w:cs="Times New Roman"/>
          <w:lang w:val="it-IT"/>
        </w:rPr>
        <w:t xml:space="preserve">, in </w:t>
      </w:r>
      <w:r w:rsidRPr="00874C97">
        <w:rPr>
          <w:rFonts w:ascii="Times New Roman" w:hAnsi="Times New Roman" w:cs="Times New Roman"/>
          <w:i/>
          <w:lang w:val="it-IT"/>
        </w:rPr>
        <w:t>Riv. dir. comm</w:t>
      </w:r>
      <w:r w:rsidRPr="00874C97">
        <w:rPr>
          <w:rFonts w:ascii="Times New Roman" w:hAnsi="Times New Roman" w:cs="Times New Roman"/>
          <w:lang w:val="it-IT"/>
        </w:rPr>
        <w:t xml:space="preserve">., 1944, I, 114; </w:t>
      </w:r>
      <w:r w:rsidRPr="00874C97">
        <w:rPr>
          <w:rFonts w:ascii="Times New Roman" w:hAnsi="Times New Roman" w:cs="Times New Roman"/>
          <w:smallCaps/>
          <w:lang w:val="it-IT"/>
        </w:rPr>
        <w:t>Id</w:t>
      </w:r>
      <w:r w:rsidRPr="00874C97">
        <w:rPr>
          <w:rFonts w:ascii="Times New Roman" w:hAnsi="Times New Roman" w:cs="Times New Roman"/>
          <w:lang w:val="it-IT"/>
        </w:rPr>
        <w:t xml:space="preserve">., </w:t>
      </w:r>
      <w:r w:rsidRPr="00874C97">
        <w:rPr>
          <w:rFonts w:ascii="Times New Roman" w:hAnsi="Times New Roman" w:cs="Times New Roman"/>
          <w:i/>
          <w:lang w:val="it-IT"/>
        </w:rPr>
        <w:t>Principii di diritto amministrativo</w:t>
      </w:r>
      <w:r w:rsidRPr="00874C97">
        <w:rPr>
          <w:rFonts w:ascii="Times New Roman" w:hAnsi="Times New Roman" w:cs="Times New Roman"/>
          <w:lang w:val="it-IT"/>
        </w:rPr>
        <w:t>, Padova, 1966.</w:t>
      </w:r>
    </w:p>
    <w:p w14:paraId="302E8CFB" w14:textId="77777777" w:rsidR="004A7A36" w:rsidRPr="00874C97" w:rsidRDefault="004A7A36" w:rsidP="00874C97">
      <w:pPr>
        <w:pStyle w:val="Testonotaapidipagina"/>
        <w:jc w:val="both"/>
        <w:rPr>
          <w:rFonts w:ascii="Times New Roman" w:hAnsi="Times New Roman" w:cs="Times New Roman"/>
          <w:lang w:val="it-IT"/>
        </w:rPr>
      </w:pPr>
    </w:p>
  </w:footnote>
  <w:footnote w:id="54">
    <w:p w14:paraId="04E352BA"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Sull’ “incidenza che il diritto UE ha nell’esercizio della giurisdizione, in particolare di quella amministrativa”, </w:t>
      </w:r>
      <w:r w:rsidRPr="00874C97">
        <w:rPr>
          <w:rFonts w:ascii="Times New Roman" w:hAnsi="Times New Roman" w:cs="Times New Roman"/>
          <w:smallCaps/>
          <w:lang w:val="it-IT"/>
        </w:rPr>
        <w:t>H. Simonetti</w:t>
      </w:r>
      <w:r w:rsidRPr="00874C97">
        <w:rPr>
          <w:rFonts w:ascii="Times New Roman" w:hAnsi="Times New Roman" w:cs="Times New Roman"/>
          <w:lang w:val="it-IT"/>
        </w:rPr>
        <w:t xml:space="preserve">, </w:t>
      </w:r>
      <w:r w:rsidRPr="00874C97">
        <w:rPr>
          <w:rFonts w:ascii="Times New Roman" w:hAnsi="Times New Roman" w:cs="Times New Roman"/>
          <w:i/>
          <w:lang w:val="it-IT"/>
        </w:rPr>
        <w:t>Questioni di giurisdizione e diritto dell’Unione Europea</w:t>
      </w:r>
      <w:r w:rsidRPr="00874C97">
        <w:rPr>
          <w:rFonts w:ascii="Times New Roman" w:hAnsi="Times New Roman" w:cs="Times New Roman"/>
          <w:lang w:val="it-IT"/>
        </w:rPr>
        <w:t>, in</w:t>
      </w:r>
      <w:r w:rsidRPr="00874C97">
        <w:rPr>
          <w:rFonts w:ascii="Times New Roman" w:hAnsi="Times New Roman" w:cs="Times New Roman"/>
          <w:i/>
          <w:lang w:val="it-IT"/>
        </w:rPr>
        <w:t xml:space="preserve"> Judicium.it</w:t>
      </w:r>
      <w:r w:rsidRPr="00874C97">
        <w:rPr>
          <w:rFonts w:ascii="Times New Roman" w:hAnsi="Times New Roman" w:cs="Times New Roman"/>
          <w:lang w:val="it-IT"/>
        </w:rPr>
        <w:t>, 14 giugno 2024.</w:t>
      </w:r>
    </w:p>
    <w:p w14:paraId="1FE95F5F" w14:textId="77777777" w:rsidR="004A7A36" w:rsidRPr="00874C97" w:rsidRDefault="004A7A36" w:rsidP="00874C97">
      <w:pPr>
        <w:pStyle w:val="Testonotaapidipagina"/>
        <w:jc w:val="both"/>
        <w:rPr>
          <w:rFonts w:ascii="Times New Roman" w:hAnsi="Times New Roman" w:cs="Times New Roman"/>
          <w:lang w:val="it-IT"/>
        </w:rPr>
      </w:pPr>
    </w:p>
  </w:footnote>
  <w:footnote w:id="55">
    <w:p w14:paraId="56FC8305" w14:textId="77777777" w:rsidR="004A7A36" w:rsidRPr="00874C97" w:rsidRDefault="004A7A36" w:rsidP="00874C97">
      <w:pPr>
        <w:pStyle w:val="Testonotaapidipagina"/>
        <w:jc w:val="both"/>
        <w:rPr>
          <w:rFonts w:ascii="Times New Roman" w:eastAsia="Garamond" w:hAnsi="Times New Roman" w:cs="Times New Roman"/>
          <w:color w:val="000000"/>
          <w:spacing w:val="-6"/>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Per riprendere un’espressione di </w:t>
      </w:r>
      <w:r w:rsidRPr="00874C97">
        <w:rPr>
          <w:rFonts w:ascii="Times New Roman" w:hAnsi="Times New Roman" w:cs="Times New Roman"/>
          <w:smallCaps/>
          <w:lang w:val="it-IT"/>
        </w:rPr>
        <w:t>A. Amorth</w:t>
      </w:r>
      <w:r w:rsidRPr="00874C97">
        <w:rPr>
          <w:rFonts w:ascii="Times New Roman" w:hAnsi="Times New Roman" w:cs="Times New Roman"/>
          <w:lang w:val="it-IT"/>
        </w:rPr>
        <w:t xml:space="preserve">, su cui si veda </w:t>
      </w:r>
      <w:r w:rsidRPr="00874C97">
        <w:rPr>
          <w:rFonts w:ascii="Times New Roman" w:eastAsia="Garamond" w:hAnsi="Times New Roman" w:cs="Times New Roman"/>
          <w:smallCaps/>
          <w:color w:val="000000"/>
          <w:spacing w:val="-6"/>
          <w:lang w:val="it-IT"/>
        </w:rPr>
        <w:t>M. Delsignore</w:t>
      </w:r>
      <w:r w:rsidRPr="00874C97">
        <w:rPr>
          <w:rFonts w:ascii="Times New Roman" w:eastAsia="Garamond" w:hAnsi="Times New Roman" w:cs="Times New Roman"/>
          <w:color w:val="000000"/>
          <w:spacing w:val="-6"/>
          <w:lang w:val="it-IT"/>
        </w:rPr>
        <w:t xml:space="preserve">, </w:t>
      </w:r>
      <w:r w:rsidRPr="00874C97">
        <w:rPr>
          <w:rFonts w:ascii="Times New Roman" w:eastAsia="Garamond" w:hAnsi="Times New Roman" w:cs="Times New Roman"/>
          <w:i/>
          <w:color w:val="000000"/>
          <w:spacing w:val="-6"/>
          <w:lang w:val="it-IT"/>
        </w:rPr>
        <w:t>La tutela o le tutele pubbliche dell’ambiente? Una risposta negli scritti di Amorth</w:t>
      </w:r>
      <w:r w:rsidRPr="00874C97">
        <w:rPr>
          <w:rFonts w:ascii="Times New Roman" w:eastAsia="Garamond" w:hAnsi="Times New Roman" w:cs="Times New Roman"/>
          <w:color w:val="000000"/>
          <w:spacing w:val="-6"/>
          <w:lang w:val="it-IT"/>
        </w:rPr>
        <w:t xml:space="preserve">, in </w:t>
      </w:r>
      <w:r w:rsidRPr="00874C97">
        <w:rPr>
          <w:rFonts w:ascii="Times New Roman" w:eastAsia="Garamond" w:hAnsi="Times New Roman" w:cs="Times New Roman"/>
          <w:i/>
          <w:color w:val="000000"/>
          <w:spacing w:val="-6"/>
          <w:lang w:val="it-IT"/>
        </w:rPr>
        <w:t>Dir. amm.</w:t>
      </w:r>
      <w:r w:rsidRPr="00874C97">
        <w:rPr>
          <w:rFonts w:ascii="Times New Roman" w:eastAsia="Garamond" w:hAnsi="Times New Roman" w:cs="Times New Roman"/>
          <w:color w:val="000000"/>
          <w:spacing w:val="-6"/>
          <w:lang w:val="it-IT"/>
        </w:rPr>
        <w:t>, 2021, 2, 313 ss.).</w:t>
      </w:r>
    </w:p>
    <w:p w14:paraId="303B49E8" w14:textId="77777777" w:rsidR="004A7A36" w:rsidRPr="00874C97" w:rsidRDefault="004A7A36" w:rsidP="00874C97">
      <w:pPr>
        <w:pStyle w:val="Testonotaapidipagina"/>
        <w:jc w:val="both"/>
        <w:rPr>
          <w:rFonts w:ascii="Times New Roman" w:hAnsi="Times New Roman" w:cs="Times New Roman"/>
          <w:lang w:val="it-IT"/>
        </w:rPr>
      </w:pPr>
    </w:p>
  </w:footnote>
  <w:footnote w:id="56">
    <w:p w14:paraId="6D8F231E"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Cass. civ., Sez. Unite, Ord. 24 settembre 2020, n. 20164; Ord. 28 gennaio 2020, n. 1870; Ord. 08 ottobre 2019, n. 25101</w:t>
      </w:r>
    </w:p>
    <w:p w14:paraId="27432DEF" w14:textId="77777777" w:rsidR="004A7A36" w:rsidRPr="00874C97" w:rsidRDefault="004A7A36" w:rsidP="00874C97">
      <w:pPr>
        <w:pStyle w:val="Testonotaapidipagina"/>
        <w:jc w:val="both"/>
        <w:rPr>
          <w:rFonts w:ascii="Times New Roman" w:hAnsi="Times New Roman" w:cs="Times New Roman"/>
          <w:lang w:val="it-IT"/>
        </w:rPr>
      </w:pPr>
    </w:p>
  </w:footnote>
  <w:footnote w:id="57">
    <w:p w14:paraId="5746035D"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Su tale vicenda, in relazione alla genesi del fenomeno, si veda </w:t>
      </w:r>
      <w:r w:rsidRPr="00874C97">
        <w:rPr>
          <w:rFonts w:ascii="Times New Roman" w:hAnsi="Times New Roman" w:cs="Times New Roman"/>
          <w:smallCaps/>
          <w:lang w:val="it-IT"/>
        </w:rPr>
        <w:t>A. Plaia</w:t>
      </w:r>
      <w:r w:rsidRPr="00874C97">
        <w:rPr>
          <w:rFonts w:ascii="Times New Roman" w:hAnsi="Times New Roman" w:cs="Times New Roman"/>
          <w:lang w:val="it-IT"/>
        </w:rPr>
        <w:t xml:space="preserve">, </w:t>
      </w:r>
      <w:r w:rsidRPr="00874C97">
        <w:rPr>
          <w:rFonts w:ascii="Times New Roman" w:hAnsi="Times New Roman" w:cs="Times New Roman"/>
          <w:i/>
          <w:lang w:val="it-IT"/>
        </w:rPr>
        <w:t>Il Tar Sicilia e il Tar Toscana smentiscono il “revirement” delle Sezioni unite e ribadiscono la giurisdizione amministrativa in tema di diritto al sostegno scolastico del disabile</w:t>
      </w:r>
      <w:r w:rsidRPr="00874C97">
        <w:rPr>
          <w:rFonts w:ascii="Times New Roman" w:hAnsi="Times New Roman" w:cs="Times New Roman"/>
          <w:lang w:val="it-IT"/>
        </w:rPr>
        <w:t>, in</w:t>
      </w:r>
      <w:r w:rsidRPr="00874C97">
        <w:rPr>
          <w:rFonts w:ascii="Times New Roman" w:hAnsi="Times New Roman" w:cs="Times New Roman"/>
          <w:i/>
          <w:lang w:val="it-IT"/>
        </w:rPr>
        <w:t xml:space="preserve"> Dir. civ. cont</w:t>
      </w:r>
      <w:r w:rsidRPr="00874C97">
        <w:rPr>
          <w:rFonts w:ascii="Times New Roman" w:hAnsi="Times New Roman" w:cs="Times New Roman"/>
          <w:lang w:val="it-IT"/>
        </w:rPr>
        <w:t xml:space="preserve">., 17 dicembre 2014. Fra le pronunce più recenti, </w:t>
      </w:r>
      <w:r w:rsidRPr="00874C97">
        <w:rPr>
          <w:rFonts w:ascii="Times New Roman" w:hAnsi="Times New Roman" w:cs="Times New Roman"/>
          <w:i/>
          <w:lang w:val="it-IT"/>
        </w:rPr>
        <w:t>ex multis</w:t>
      </w:r>
      <w:r w:rsidRPr="00874C97">
        <w:rPr>
          <w:rFonts w:ascii="Times New Roman" w:hAnsi="Times New Roman" w:cs="Times New Roman"/>
          <w:lang w:val="it-IT"/>
        </w:rPr>
        <w:t xml:space="preserve"> T.A.R. Sicilia Palermo, Sez. III, 30/03/2022, n. 1100; T.A.R. Campania Napoli, Sez. IV, 04/05/2021, n. 2957. In argomento </w:t>
      </w:r>
      <w:r w:rsidRPr="00874C97">
        <w:rPr>
          <w:rFonts w:ascii="Times New Roman" w:hAnsi="Times New Roman" w:cs="Times New Roman"/>
          <w:smallCaps/>
          <w:lang w:val="it-IT"/>
        </w:rPr>
        <w:t>R. Giani</w:t>
      </w:r>
      <w:r w:rsidRPr="00874C97">
        <w:rPr>
          <w:rFonts w:ascii="Times New Roman" w:hAnsi="Times New Roman" w:cs="Times New Roman"/>
          <w:lang w:val="it-IT"/>
        </w:rPr>
        <w:t xml:space="preserve">, </w:t>
      </w:r>
      <w:r w:rsidRPr="00874C97">
        <w:rPr>
          <w:rFonts w:ascii="Times New Roman" w:hAnsi="Times New Roman" w:cs="Times New Roman"/>
          <w:i/>
          <w:lang w:val="it-IT"/>
        </w:rPr>
        <w:t>Giudice amministrativo e giurisdizione esclusiva sui diritti fondamentali: il caso del sostegno scolastico ai disabili e i dubbi sul criterio di riparto di giurisdizione seguito dalla Cassazione</w:t>
      </w:r>
      <w:r w:rsidRPr="00874C97">
        <w:rPr>
          <w:rFonts w:ascii="Times New Roman" w:hAnsi="Times New Roman" w:cs="Times New Roman"/>
          <w:lang w:val="it-IT"/>
        </w:rPr>
        <w:t>, in</w:t>
      </w:r>
      <w:r w:rsidRPr="00874C97">
        <w:rPr>
          <w:rFonts w:ascii="Times New Roman" w:hAnsi="Times New Roman" w:cs="Times New Roman"/>
          <w:i/>
          <w:lang w:val="it-IT"/>
        </w:rPr>
        <w:t xml:space="preserve"> Questione Giustizia</w:t>
      </w:r>
      <w:r w:rsidRPr="00874C97">
        <w:rPr>
          <w:rFonts w:ascii="Times New Roman" w:hAnsi="Times New Roman" w:cs="Times New Roman"/>
          <w:lang w:val="it-IT"/>
        </w:rPr>
        <w:t>, n. 1/2021.</w:t>
      </w:r>
    </w:p>
    <w:p w14:paraId="33FBE2F3" w14:textId="77777777" w:rsidR="004A7A36" w:rsidRPr="00874C97" w:rsidRDefault="004A7A36" w:rsidP="00874C97">
      <w:pPr>
        <w:pStyle w:val="Testonotaapidipagina"/>
        <w:jc w:val="both"/>
        <w:rPr>
          <w:rFonts w:ascii="Times New Roman" w:hAnsi="Times New Roman" w:cs="Times New Roman"/>
          <w:lang w:val="it-IT"/>
        </w:rPr>
      </w:pPr>
    </w:p>
  </w:footnote>
  <w:footnote w:id="58">
    <w:p w14:paraId="613E47C9"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G. Verde</w:t>
      </w:r>
      <w:r w:rsidRPr="00874C97">
        <w:rPr>
          <w:rFonts w:ascii="Times New Roman" w:hAnsi="Times New Roman" w:cs="Times New Roman"/>
          <w:lang w:val="it-IT"/>
        </w:rPr>
        <w:t xml:space="preserve">, </w:t>
      </w:r>
      <w:r w:rsidRPr="00874C97">
        <w:rPr>
          <w:rFonts w:ascii="Times New Roman" w:hAnsi="Times New Roman" w:cs="Times New Roman"/>
          <w:i/>
          <w:lang w:val="it-IT"/>
        </w:rPr>
        <w:t>Il riparto delle giurisdizioni fondato sulla contrapposizione diritti soggettivi – interessi legittimi (storia di concetti a cui si è  data la sostanza di “cose”)</w:t>
      </w:r>
      <w:r w:rsidRPr="00874C97">
        <w:rPr>
          <w:rFonts w:ascii="Times New Roman" w:hAnsi="Times New Roman" w:cs="Times New Roman"/>
          <w:lang w:val="it-IT"/>
        </w:rPr>
        <w:t>, in</w:t>
      </w:r>
      <w:r w:rsidRPr="00874C97">
        <w:rPr>
          <w:rFonts w:ascii="Times New Roman" w:hAnsi="Times New Roman" w:cs="Times New Roman"/>
          <w:i/>
          <w:lang w:val="it-IT"/>
        </w:rPr>
        <w:t xml:space="preserve"> Riv. dir. proc</w:t>
      </w:r>
      <w:r w:rsidRPr="00874C97">
        <w:rPr>
          <w:rFonts w:ascii="Times New Roman" w:hAnsi="Times New Roman" w:cs="Times New Roman"/>
          <w:lang w:val="it-IT"/>
        </w:rPr>
        <w:t>., n. 2/2023, pagg. 358 e segg.</w:t>
      </w:r>
    </w:p>
  </w:footnote>
  <w:footnote w:id="59">
    <w:p w14:paraId="2D54DD1C" w14:textId="77777777" w:rsidR="004A7A36" w:rsidRPr="00874C97" w:rsidRDefault="004A7A36" w:rsidP="00874C97">
      <w:pPr>
        <w:pStyle w:val="Testonotaapidipagina"/>
        <w:jc w:val="both"/>
        <w:rPr>
          <w:rFonts w:ascii="Times New Roman" w:hAnsi="Times New Roman" w:cs="Times New Roman"/>
          <w:lang w:val="it-IT"/>
        </w:rPr>
      </w:pPr>
    </w:p>
    <w:p w14:paraId="2BB3550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S. Braconnier</w:t>
      </w:r>
      <w:r w:rsidRPr="00874C97">
        <w:rPr>
          <w:rFonts w:ascii="Times New Roman" w:hAnsi="Times New Roman" w:cs="Times New Roman"/>
          <w:lang w:val="it-IT"/>
        </w:rPr>
        <w:t xml:space="preserve">, </w:t>
      </w:r>
      <w:r w:rsidRPr="00874C97">
        <w:rPr>
          <w:rFonts w:ascii="Times New Roman" w:hAnsi="Times New Roman" w:cs="Times New Roman"/>
          <w:i/>
          <w:lang w:val="it-IT"/>
        </w:rPr>
        <w:t>Un monde sans droit?</w:t>
      </w:r>
      <w:r w:rsidRPr="00874C97">
        <w:rPr>
          <w:rFonts w:ascii="Times New Roman" w:hAnsi="Times New Roman" w:cs="Times New Roman"/>
          <w:lang w:val="it-IT"/>
        </w:rPr>
        <w:t>, L’Aube, 2023, ove i richiami al ruolo dell’università e della ricerca giuridica nella “</w:t>
      </w:r>
      <w:r w:rsidRPr="00874C97">
        <w:rPr>
          <w:rFonts w:ascii="Times New Roman" w:hAnsi="Times New Roman" w:cs="Times New Roman"/>
          <w:i/>
          <w:lang w:val="it-IT"/>
        </w:rPr>
        <w:t>nécessité de réacculturer la société au droit et au principe d'intérêt général</w:t>
      </w:r>
      <w:r w:rsidRPr="00874C97">
        <w:rPr>
          <w:rFonts w:ascii="Times New Roman" w:hAnsi="Times New Roman" w:cs="Times New Roman"/>
          <w:lang w:val="it-IT"/>
        </w:rPr>
        <w:t>”, e nell’esigenza di “</w:t>
      </w:r>
      <w:r w:rsidRPr="00874C97">
        <w:rPr>
          <w:rFonts w:ascii="Times New Roman" w:hAnsi="Times New Roman" w:cs="Times New Roman"/>
          <w:i/>
          <w:lang w:val="it-IT"/>
        </w:rPr>
        <w:t>refaire du droit un langage commun</w:t>
      </w:r>
      <w:r w:rsidRPr="00874C97">
        <w:rPr>
          <w:rFonts w:ascii="Times New Roman" w:hAnsi="Times New Roman" w:cs="Times New Roman"/>
          <w:lang w:val="it-IT"/>
        </w:rPr>
        <w:t xml:space="preserve">”; e ove anche la constatazione che la fragilità del diritto deriva anche dalla fragilità del potere politico. </w:t>
      </w:r>
      <w:r w:rsidRPr="00874C97">
        <w:rPr>
          <w:rFonts w:ascii="Times New Roman" w:eastAsia="Garamond" w:hAnsi="Times New Roman" w:cs="Times New Roman"/>
          <w:color w:val="000000"/>
          <w:lang w:val="it-IT"/>
        </w:rPr>
        <w:t xml:space="preserve">Nella specifica prospettiva del diritto amministrativo si interroga – tra l’altro – sulle «condizioni di sopravvivenza del sistema sociale del diritto», </w:t>
      </w:r>
      <w:r w:rsidRPr="00874C97">
        <w:rPr>
          <w:rFonts w:ascii="Times New Roman" w:eastAsia="Garamond" w:hAnsi="Times New Roman" w:cs="Times New Roman"/>
          <w:smallCaps/>
          <w:color w:val="000000"/>
          <w:lang w:val="it-IT"/>
        </w:rPr>
        <w:t>F. Fracchia</w:t>
      </w:r>
      <w:r w:rsidRPr="00874C97">
        <w:rPr>
          <w:rFonts w:ascii="Times New Roman" w:eastAsia="Garamond" w:hAnsi="Times New Roman" w:cs="Times New Roman"/>
          <w:color w:val="000000"/>
          <w:lang w:val="it-IT"/>
        </w:rPr>
        <w:t xml:space="preserve">, </w:t>
      </w:r>
      <w:r w:rsidRPr="00874C97">
        <w:rPr>
          <w:rFonts w:ascii="Times New Roman" w:eastAsia="Garamond" w:hAnsi="Times New Roman" w:cs="Times New Roman"/>
          <w:i/>
          <w:color w:val="000000"/>
          <w:lang w:val="it-IT"/>
        </w:rPr>
        <w:t>Lo spazio della pubblica amministrazio</w:t>
      </w:r>
      <w:r w:rsidRPr="00874C97">
        <w:rPr>
          <w:rFonts w:ascii="Times New Roman" w:eastAsia="Garamond" w:hAnsi="Times New Roman" w:cs="Times New Roman"/>
          <w:i/>
          <w:color w:val="000000"/>
          <w:lang w:val="it-IT"/>
        </w:rPr>
        <w:softHyphen/>
        <w:t>ne. Vecchi territori e nuove frontiere, Un quadro d’insieme</w:t>
      </w:r>
      <w:r w:rsidRPr="00874C97">
        <w:rPr>
          <w:rFonts w:ascii="Times New Roman" w:eastAsia="Garamond" w:hAnsi="Times New Roman" w:cs="Times New Roman"/>
          <w:color w:val="000000"/>
          <w:lang w:val="it-IT"/>
        </w:rPr>
        <w:t xml:space="preserve">, in </w:t>
      </w:r>
      <w:r w:rsidRPr="00874C97">
        <w:rPr>
          <w:rFonts w:ascii="Times New Roman" w:eastAsia="Garamond" w:hAnsi="Times New Roman" w:cs="Times New Roman"/>
          <w:i/>
          <w:color w:val="000000"/>
          <w:lang w:val="it-IT"/>
        </w:rPr>
        <w:t>Dir. econ.</w:t>
      </w:r>
      <w:r w:rsidRPr="00874C97">
        <w:rPr>
          <w:rFonts w:ascii="Times New Roman" w:eastAsia="Garamond" w:hAnsi="Times New Roman" w:cs="Times New Roman"/>
          <w:color w:val="000000"/>
          <w:lang w:val="it-IT"/>
        </w:rPr>
        <w:t>, 2023, 2, pagg. 24 e ss</w:t>
      </w:r>
      <w:r w:rsidRPr="00874C97">
        <w:rPr>
          <w:rFonts w:ascii="Times New Roman" w:hAnsi="Times New Roman" w:cs="Times New Roman"/>
          <w:lang w:val="it-IT"/>
        </w:rPr>
        <w:t>.</w:t>
      </w:r>
    </w:p>
    <w:p w14:paraId="19D125C4" w14:textId="77777777" w:rsidR="004A7A36" w:rsidRPr="00874C97" w:rsidRDefault="004A7A36" w:rsidP="00874C97">
      <w:pPr>
        <w:pStyle w:val="Testonotaapidipagina"/>
        <w:jc w:val="both"/>
        <w:rPr>
          <w:rFonts w:ascii="Times New Roman" w:hAnsi="Times New Roman" w:cs="Times New Roman"/>
          <w:lang w:val="it-IT"/>
        </w:rPr>
      </w:pPr>
    </w:p>
  </w:footnote>
  <w:footnote w:id="60">
    <w:p w14:paraId="07A2833C"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A. Travi</w:t>
      </w:r>
      <w:r w:rsidRPr="00874C97">
        <w:rPr>
          <w:rFonts w:ascii="Times New Roman" w:hAnsi="Times New Roman" w:cs="Times New Roman"/>
          <w:lang w:val="it-IT"/>
        </w:rPr>
        <w:t xml:space="preserve">, </w:t>
      </w:r>
      <w:r w:rsidRPr="00874C97">
        <w:rPr>
          <w:rFonts w:ascii="Times New Roman" w:hAnsi="Times New Roman" w:cs="Times New Roman"/>
          <w:i/>
          <w:lang w:val="it-IT"/>
        </w:rPr>
        <w:t>Il limite della copertura finanziaria</w:t>
      </w:r>
      <w:r w:rsidRPr="00874C97">
        <w:rPr>
          <w:rFonts w:ascii="Times New Roman" w:hAnsi="Times New Roman" w:cs="Times New Roman"/>
          <w:lang w:val="it-IT"/>
        </w:rPr>
        <w:t>, in Annuario 2004 dell’Associazione italiana dei professori di diritto amministrativo, Milano, 2005, p. 111.</w:t>
      </w:r>
    </w:p>
    <w:p w14:paraId="00913CAA"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In giurisprudenza, Tar Sicilia, Palermo, sez. II - sentenza 9 luglio  2007, n. 1774, in www.giustamm.it.</w:t>
      </w:r>
    </w:p>
    <w:p w14:paraId="5ED0EB25"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Una indicazione in apparenza difforme sembra potersi ricavare dalla giurisprudenza comunitaria, laddove si afferma, a proposito di un regolamento relativo ad incentivi in agricoltura, che le disposizioni da esso poste «nell’enumerare in modo tassativo le condizioni alle quali è subordinato il sorgere dei diritti soggettivi di cui è causa, non v’includono considerazioni di bilancio» (Corte di giustizia, sentenza 17 maggio 1972, in C 93/71).</w:t>
      </w:r>
    </w:p>
    <w:p w14:paraId="0FD9DCC9"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L’affermazione, tuttavia, non può essere assolutizzata, in quanto nasce dalla preoccupazione di assicurare effetti diretti al regolamento, senza la necessità di provvedimenti nazionali di integrazione o di esecuzione, e quindi non attiene direttamente alla tematica del rapporto fra funzione amministrativa e vincolo di spesa.</w:t>
      </w:r>
    </w:p>
    <w:p w14:paraId="33F7D101" w14:textId="77777777" w:rsidR="004A7A36" w:rsidRPr="00874C97" w:rsidRDefault="004A7A36" w:rsidP="00874C97">
      <w:pPr>
        <w:pStyle w:val="Testonotaapidipagina"/>
        <w:jc w:val="both"/>
        <w:rPr>
          <w:rFonts w:ascii="Times New Roman" w:hAnsi="Times New Roman" w:cs="Times New Roman"/>
          <w:lang w:val="it-IT"/>
        </w:rPr>
      </w:pPr>
    </w:p>
  </w:footnote>
  <w:footnote w:id="61">
    <w:p w14:paraId="4519DFDD"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“La crescita dei diritti sociali – strettamente legata al maggiore o minore intervento dello Stato nell’economia – incontra naturalmente limiti intrinseci nelle risorse dello Stato o in quelle che esso può mobilitare. Creare nuovi diritti comporta infatti oneri per lo Stato, e indirettamente per i cittadini contribuenti. Ecco allora il manifestarsi di limiti all’azione delle autorità pubbliche particolarmente stringenti nel caso di norme costituzionali che impegnino a rendere effettivo un diritto” (</w:t>
      </w:r>
      <w:r w:rsidRPr="00874C97">
        <w:rPr>
          <w:rFonts w:ascii="Times New Roman" w:hAnsi="Times New Roman" w:cs="Times New Roman"/>
          <w:smallCaps/>
          <w:sz w:val="20"/>
          <w:szCs w:val="20"/>
          <w:lang w:val="it-IT"/>
        </w:rPr>
        <w:t>Elia-Busia</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Stato democratico</w:t>
      </w:r>
      <w:r w:rsidRPr="00874C97">
        <w:rPr>
          <w:rFonts w:ascii="Times New Roman" w:hAnsi="Times New Roman" w:cs="Times New Roman"/>
          <w:sz w:val="20"/>
          <w:szCs w:val="20"/>
          <w:lang w:val="it-IT"/>
        </w:rPr>
        <w:t xml:space="preserve">, voce del Digesto disc. pubbl., vol. XV, Torino, 1999, 72).  In generale, sul vincolo di compatibilità derivante dal reperimento delle risorse necessarie a garantire l’esercizio dei diritti, </w:t>
      </w:r>
      <w:r w:rsidRPr="00874C97">
        <w:rPr>
          <w:rFonts w:ascii="Times New Roman" w:hAnsi="Times New Roman" w:cs="Times New Roman"/>
          <w:smallCaps/>
          <w:sz w:val="20"/>
          <w:szCs w:val="20"/>
          <w:lang w:val="it-IT"/>
        </w:rPr>
        <w:t xml:space="preserve">Holmes </w:t>
      </w:r>
      <w:r w:rsidRPr="00874C97">
        <w:rPr>
          <w:rFonts w:ascii="Times New Roman" w:hAnsi="Times New Roman" w:cs="Times New Roman"/>
          <w:sz w:val="20"/>
          <w:szCs w:val="20"/>
          <w:lang w:val="it-IT"/>
        </w:rPr>
        <w:t xml:space="preserve">e </w:t>
      </w:r>
      <w:r w:rsidRPr="00874C97">
        <w:rPr>
          <w:rFonts w:ascii="Times New Roman" w:hAnsi="Times New Roman" w:cs="Times New Roman"/>
          <w:smallCaps/>
          <w:sz w:val="20"/>
          <w:szCs w:val="20"/>
          <w:lang w:val="it-IT"/>
        </w:rPr>
        <w:t>Sunstein</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Il costo dei diritti – perché la libertà dipende dalle tasse</w:t>
      </w:r>
      <w:r w:rsidRPr="00874C97">
        <w:rPr>
          <w:rFonts w:ascii="Times New Roman" w:hAnsi="Times New Roman" w:cs="Times New Roman"/>
          <w:sz w:val="20"/>
          <w:szCs w:val="20"/>
          <w:lang w:val="it-IT"/>
        </w:rPr>
        <w:t xml:space="preserve">, trad. it., Bologna, 2000. </w:t>
      </w:r>
    </w:p>
    <w:p w14:paraId="0CAE0C96" w14:textId="77777777" w:rsidR="004A7A36" w:rsidRPr="00874C97" w:rsidRDefault="004A7A36" w:rsidP="00874C97">
      <w:pPr>
        <w:pStyle w:val="Testonotaapidipagina"/>
        <w:jc w:val="both"/>
        <w:rPr>
          <w:rFonts w:ascii="Times New Roman" w:hAnsi="Times New Roman" w:cs="Times New Roman"/>
          <w:lang w:val="it-IT"/>
        </w:rPr>
      </w:pPr>
    </w:p>
  </w:footnote>
  <w:footnote w:id="62">
    <w:p w14:paraId="0C258E2B"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w:t>
      </w:r>
      <w:r w:rsidRPr="00874C97">
        <w:rPr>
          <w:rFonts w:ascii="Times New Roman" w:hAnsi="Times New Roman" w:cs="Times New Roman"/>
          <w:smallCaps/>
          <w:sz w:val="20"/>
          <w:szCs w:val="20"/>
          <w:lang w:val="it-IT"/>
        </w:rPr>
        <w:t>A. Travi</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Il limite della copertura finanziaria</w:t>
      </w:r>
      <w:r w:rsidRPr="00874C97">
        <w:rPr>
          <w:rFonts w:ascii="Times New Roman" w:hAnsi="Times New Roman" w:cs="Times New Roman"/>
          <w:sz w:val="20"/>
          <w:szCs w:val="20"/>
          <w:lang w:val="it-IT"/>
        </w:rPr>
        <w:t xml:space="preserve">, cit. Con specifico riferimento ai limiti di natura economico-finanziaria del diritto alla salute, </w:t>
      </w:r>
      <w:r w:rsidRPr="00874C97">
        <w:rPr>
          <w:rFonts w:ascii="Times New Roman" w:hAnsi="Times New Roman" w:cs="Times New Roman"/>
          <w:smallCaps/>
          <w:sz w:val="20"/>
          <w:szCs w:val="20"/>
          <w:lang w:val="it-IT"/>
        </w:rPr>
        <w:t>E. Cavasino</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La flessibilità del diritto alla salute</w:t>
      </w:r>
      <w:r w:rsidRPr="00874C97">
        <w:rPr>
          <w:rFonts w:ascii="Times New Roman" w:hAnsi="Times New Roman" w:cs="Times New Roman"/>
          <w:sz w:val="20"/>
          <w:szCs w:val="20"/>
          <w:lang w:val="it-IT"/>
        </w:rPr>
        <w:t xml:space="preserve">, Napoli, 2012, pagg. 99 e segg. In relazione ai profili istituzionali del tema, </w:t>
      </w:r>
      <w:r w:rsidRPr="00874C97">
        <w:rPr>
          <w:rFonts w:ascii="Times New Roman" w:hAnsi="Times New Roman" w:cs="Times New Roman"/>
          <w:smallCaps/>
          <w:sz w:val="20"/>
          <w:szCs w:val="20"/>
          <w:lang w:val="it-IT"/>
        </w:rPr>
        <w:t>R. Di Maria</w:t>
      </w:r>
      <w:r w:rsidRPr="00874C97">
        <w:rPr>
          <w:rFonts w:ascii="Times New Roman" w:hAnsi="Times New Roman" w:cs="Times New Roman"/>
          <w:sz w:val="20"/>
          <w:szCs w:val="20"/>
          <w:lang w:val="it-IT"/>
        </w:rPr>
        <w:t xml:space="preserve">, </w:t>
      </w:r>
      <w:r w:rsidRPr="00874C97">
        <w:rPr>
          <w:rFonts w:ascii="Times New Roman" w:hAnsi="Times New Roman" w:cs="Times New Roman"/>
          <w:i/>
          <w:sz w:val="20"/>
          <w:szCs w:val="20"/>
          <w:lang w:val="it-IT"/>
        </w:rPr>
        <w:t>Autonomia finanziaria e decentramento istituzionale. Princìpi costituzionali, strumenti e limiti</w:t>
      </w:r>
      <w:r w:rsidRPr="00874C97">
        <w:rPr>
          <w:rFonts w:ascii="Times New Roman" w:hAnsi="Times New Roman" w:cs="Times New Roman"/>
          <w:sz w:val="20"/>
          <w:szCs w:val="20"/>
          <w:lang w:val="it-IT"/>
        </w:rPr>
        <w:t xml:space="preserve">, Torino, 2013. </w:t>
      </w:r>
    </w:p>
    <w:p w14:paraId="17CBB987" w14:textId="77777777" w:rsidR="004A7A36" w:rsidRPr="00874C97" w:rsidRDefault="004A7A36" w:rsidP="00874C97">
      <w:pPr>
        <w:pStyle w:val="Testonotaapidipagina"/>
        <w:jc w:val="both"/>
        <w:rPr>
          <w:rFonts w:ascii="Times New Roman" w:hAnsi="Times New Roman" w:cs="Times New Roman"/>
          <w:lang w:val="it-IT"/>
        </w:rPr>
      </w:pPr>
    </w:p>
  </w:footnote>
  <w:footnote w:id="63">
    <w:p w14:paraId="7D99227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Sulla compressione della potestà organizzativa dei servizi pubblici per effetto dei vincoli derivanti dal patto di stabilità, si vedano le sentenze nn. 4/2004, 17/2004 e 36/2004 della Corte costituzionale. Per un’ipotesi di scrutinio di ragionevolezza della scelta del legislatore regionale tendente a parametrare (e limitare), nella logica della programmazione, la spesa sanitaria sulla base dei flussi di prestazioni registrati negli anni precedenti, Corte costituzionale, sentenza n. 111 del 18 marzo 2005.</w:t>
      </w:r>
    </w:p>
    <w:p w14:paraId="76CC38CC" w14:textId="77777777" w:rsidR="004A7A36" w:rsidRPr="00874C97" w:rsidRDefault="004A7A36" w:rsidP="00874C97">
      <w:pPr>
        <w:pStyle w:val="Testonotaapidipagina"/>
        <w:jc w:val="both"/>
        <w:rPr>
          <w:rFonts w:ascii="Times New Roman" w:hAnsi="Times New Roman" w:cs="Times New Roman"/>
          <w:lang w:val="it-IT"/>
        </w:rPr>
      </w:pPr>
    </w:p>
  </w:footnote>
  <w:footnote w:id="64">
    <w:p w14:paraId="13ABD6D5"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Consiglio di Stato, VI, 3 febbraio 2006 n. 388: «Va in proposito condiviso l’orientamento del giudice amministrativo a tenore del quale il diritto patrimoniale ai contributi di esercizio spettanti alle imprese che gestiscono i servizi di trasporto pubblico locale non nasce direttamente dalla legge, ma da una manifestazione di volontà della regione espressa nell’esercizio di poteri autoritativi e discrezionali; pertanto, la posizione delle suddette imprese, che lamentino la insufficiente espansione del proprio diritto, in conseguenza dell’illegittima determinazione del contributo, ha consistenza di interesse legittimo e la relativa azione rientra nella giurisdizione del giudice amministrativo (Tar. Puglia, sez. I, 26-06-1995, n. 664) ora divenuta, nel settore del servizio pubblico dei trasporti, un campo di giurisdizione esclusiva. La Corte di cassazione ha confermato indirettamente tale principio quando ha statuito che in materia assegnazione di contributi e di sovvenzioni, previsti da leggi regionali a favore delle imprese concessionarie di servizi pubblici di trasporto, l’Amministrazione regionale diviene titolare di un debito correlato ad un credito in capo alla impresa concessionaria, solo a partire dal momento in cui emana la delibera che determina l’entità del contributo spettante alla impresa medesima; tale credito dell’impresa è azionabile soltanto davanti al giudice ordinario (Cass., sez. un., 26-04-2000, n. 288)».</w:t>
      </w:r>
    </w:p>
    <w:p w14:paraId="425D726F" w14:textId="77777777" w:rsidR="00874C97" w:rsidRPr="00874C97" w:rsidRDefault="00874C97" w:rsidP="00874C97">
      <w:pPr>
        <w:pStyle w:val="Testonotaapidipagina"/>
        <w:jc w:val="both"/>
        <w:rPr>
          <w:rFonts w:ascii="Times New Roman" w:hAnsi="Times New Roman" w:cs="Times New Roman"/>
          <w:lang w:val="it-IT"/>
        </w:rPr>
      </w:pPr>
    </w:p>
  </w:footnote>
  <w:footnote w:id="65">
    <w:p w14:paraId="15FBE9FD"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Sul passaggio, nella ricerca dell’equilibrio costituzionale del bilancio, dall’età liberale alla democrazia pluralista, </w:t>
      </w:r>
      <w:r w:rsidRPr="00874C97">
        <w:rPr>
          <w:rFonts w:ascii="Times New Roman" w:hAnsi="Times New Roman" w:cs="Times New Roman"/>
          <w:smallCaps/>
          <w:lang w:val="it-IT"/>
        </w:rPr>
        <w:t>E. Cavasino</w:t>
      </w:r>
      <w:r w:rsidRPr="00874C97">
        <w:rPr>
          <w:rFonts w:ascii="Times New Roman" w:hAnsi="Times New Roman" w:cs="Times New Roman"/>
          <w:i/>
          <w:lang w:val="it-IT"/>
        </w:rPr>
        <w:t>, Scelte di bilancio e princìpi costituzionali. Diritti, autonomie ed equilibrio di bilancio nell’esperienza costituzionale italiana</w:t>
      </w:r>
      <w:r w:rsidRPr="00874C97">
        <w:rPr>
          <w:rFonts w:ascii="Times New Roman" w:hAnsi="Times New Roman" w:cs="Times New Roman"/>
          <w:lang w:val="it-IT"/>
        </w:rPr>
        <w:t>, Napoli, 2020</w:t>
      </w:r>
    </w:p>
  </w:footnote>
  <w:footnote w:id="66">
    <w:p w14:paraId="7C4C4455"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Tar Sicilia, Palermo, sentenza n. 474/2011. Nel solco di tale orientamento si veda, </w:t>
      </w:r>
      <w:r w:rsidRPr="00874C97">
        <w:rPr>
          <w:rFonts w:ascii="Times New Roman" w:hAnsi="Times New Roman" w:cs="Times New Roman"/>
          <w:i/>
          <w:lang w:val="it-IT"/>
        </w:rPr>
        <w:t>ex multis</w:t>
      </w:r>
      <w:r w:rsidRPr="00874C97">
        <w:rPr>
          <w:rFonts w:ascii="Times New Roman" w:hAnsi="Times New Roman" w:cs="Times New Roman"/>
          <w:lang w:val="it-IT"/>
        </w:rPr>
        <w:t xml:space="preserve"> e da ultimo, T.A.R. Emilia-Romagna, Bologna, sentenza n. 925/2024.</w:t>
      </w:r>
    </w:p>
    <w:p w14:paraId="14E65E47" w14:textId="77777777" w:rsidR="004A7A36" w:rsidRPr="00874C97" w:rsidRDefault="004A7A36" w:rsidP="00874C97">
      <w:pPr>
        <w:pStyle w:val="Testonotaapidipagina"/>
        <w:jc w:val="both"/>
        <w:rPr>
          <w:rFonts w:ascii="Times New Roman" w:hAnsi="Times New Roman" w:cs="Times New Roman"/>
          <w:lang w:val="it-IT"/>
        </w:rPr>
      </w:pPr>
    </w:p>
  </w:footnote>
  <w:footnote w:id="67">
    <w:p w14:paraId="64BB84C2"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Su tale sentenza si vedano, tra gli altri, </w:t>
      </w:r>
      <w:r w:rsidRPr="00874C97">
        <w:rPr>
          <w:rFonts w:ascii="Times New Roman" w:hAnsi="Times New Roman" w:cs="Times New Roman"/>
          <w:smallCaps/>
          <w:lang w:val="it-IT"/>
        </w:rPr>
        <w:t>L. Carlassare</w:t>
      </w:r>
      <w:r w:rsidRPr="00874C97">
        <w:rPr>
          <w:rFonts w:ascii="Times New Roman" w:hAnsi="Times New Roman" w:cs="Times New Roman"/>
          <w:lang w:val="it-IT"/>
        </w:rPr>
        <w:t xml:space="preserve">, </w:t>
      </w:r>
      <w:r w:rsidRPr="00874C97">
        <w:rPr>
          <w:rFonts w:ascii="Times New Roman" w:hAnsi="Times New Roman" w:cs="Times New Roman"/>
          <w:i/>
          <w:lang w:val="it-IT"/>
        </w:rPr>
        <w:t>Bilancio e diritti fondamentali: i limiti "invalicabili" alla discrezionalità del legislatore</w:t>
      </w:r>
      <w:r w:rsidRPr="00874C97">
        <w:rPr>
          <w:rFonts w:ascii="Times New Roman" w:hAnsi="Times New Roman" w:cs="Times New Roman"/>
          <w:lang w:val="it-IT"/>
        </w:rPr>
        <w:t>, in</w:t>
      </w:r>
      <w:r w:rsidRPr="00874C97">
        <w:rPr>
          <w:rFonts w:ascii="Times New Roman" w:hAnsi="Times New Roman" w:cs="Times New Roman"/>
          <w:i/>
          <w:lang w:val="it-IT"/>
        </w:rPr>
        <w:t xml:space="preserve"> Giurisprudenza costituzionale</w:t>
      </w:r>
      <w:r w:rsidRPr="00874C97">
        <w:rPr>
          <w:rFonts w:ascii="Times New Roman" w:hAnsi="Times New Roman" w:cs="Times New Roman"/>
          <w:lang w:val="it-IT"/>
        </w:rPr>
        <w:t xml:space="preserve">, n. 6/2016, p. 2339; e </w:t>
      </w:r>
      <w:r w:rsidR="00A16E55" w:rsidRPr="00874C97">
        <w:rPr>
          <w:rFonts w:ascii="Times New Roman" w:hAnsi="Times New Roman" w:cs="Times New Roman"/>
          <w:smallCaps/>
          <w:lang w:val="it-IT"/>
        </w:rPr>
        <w:t xml:space="preserve">F. </w:t>
      </w:r>
      <w:r w:rsidRPr="00874C97">
        <w:rPr>
          <w:rFonts w:ascii="Times New Roman" w:hAnsi="Times New Roman" w:cs="Times New Roman"/>
          <w:smallCaps/>
          <w:lang w:val="it-IT"/>
        </w:rPr>
        <w:t>Blando</w:t>
      </w:r>
      <w:r w:rsidRPr="00874C97">
        <w:rPr>
          <w:rFonts w:ascii="Times New Roman" w:hAnsi="Times New Roman" w:cs="Times New Roman"/>
          <w:i/>
          <w:lang w:val="it-IT"/>
        </w:rPr>
        <w:t>, Soggetti disabili e istruzione: la lotta per il diritto</w:t>
      </w:r>
      <w:r w:rsidRPr="00874C97">
        <w:rPr>
          <w:rFonts w:ascii="Times New Roman" w:hAnsi="Times New Roman" w:cs="Times New Roman"/>
          <w:lang w:val="it-IT"/>
        </w:rPr>
        <w:t>, in</w:t>
      </w:r>
      <w:r w:rsidRPr="00874C97">
        <w:rPr>
          <w:rFonts w:ascii="Times New Roman" w:hAnsi="Times New Roman" w:cs="Times New Roman"/>
          <w:i/>
          <w:lang w:val="it-IT"/>
        </w:rPr>
        <w:t xml:space="preserve"> www.federalismi.it</w:t>
      </w:r>
      <w:r w:rsidRPr="00874C97">
        <w:rPr>
          <w:rFonts w:ascii="Times New Roman" w:hAnsi="Times New Roman" w:cs="Times New Roman"/>
          <w:lang w:val="it-IT"/>
        </w:rPr>
        <w:t>, 10/2017.</w:t>
      </w:r>
    </w:p>
    <w:p w14:paraId="08E104CF" w14:textId="77777777" w:rsidR="004A7A36" w:rsidRPr="00874C97" w:rsidRDefault="004A7A36" w:rsidP="00874C97">
      <w:pPr>
        <w:pStyle w:val="Testonotaapidipagina"/>
        <w:jc w:val="both"/>
        <w:rPr>
          <w:rFonts w:ascii="Times New Roman" w:hAnsi="Times New Roman" w:cs="Times New Roman"/>
          <w:lang w:val="it-IT"/>
        </w:rPr>
      </w:pPr>
    </w:p>
  </w:footnote>
  <w:footnote w:id="68">
    <w:p w14:paraId="3B82361E" w14:textId="77777777" w:rsidR="00874C97" w:rsidRPr="00874C97" w:rsidRDefault="00874C97"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Devo questa sottolineatura a Elisa Cavasino.</w:t>
      </w:r>
    </w:p>
    <w:p w14:paraId="0D62EA3A" w14:textId="77777777" w:rsidR="00874C97" w:rsidRPr="00874C97" w:rsidRDefault="00874C97" w:rsidP="00874C97">
      <w:pPr>
        <w:pStyle w:val="Testonotaapidipagina"/>
        <w:jc w:val="both"/>
        <w:rPr>
          <w:rFonts w:ascii="Times New Roman" w:hAnsi="Times New Roman" w:cs="Times New Roman"/>
          <w:lang w:val="it-IT"/>
        </w:rPr>
      </w:pPr>
    </w:p>
  </w:footnote>
  <w:footnote w:id="69">
    <w:p w14:paraId="26C077EE"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“11.1. Tale domanda, peraltro, è fondata anche nel merito perché le ragioni addotte dall’amministrazione comunale negli atti sopra menzionati, che non hanno natura provvedimentale, per rifiutare il pagamento, attinenti al mancato pagamento di alcune imposte comunali da parte del padre – o, comunque, del soggetto convivente con la madre – del minore, non possono essere ex se preclusive al riconoscimento dell’assegno per il trasporto dell’allievo disabile, sostitutivo, occorre qui ricordarlo, del servizio di trasporto gratuito che per legge gli spetta, rappresentandone l’equivalente monetario. </w:t>
      </w:r>
    </w:p>
    <w:p w14:paraId="40C5BC87"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11.2. Non è possibile infatti eccepire in compensazione, a fronte di un credito vantato dall’avente diritto per consentire l’esercizio di un diritto fondamentale come quello inerente al trasporto scolastico dell’allievo disabile, l’esistenza di un debito da parte di questi o, come nel caso di specie, di un suo parente per cause del tutto estranee all’esercizio del diritto, in quanto il doveroso bilanciamento tra i due valori in gioco esige che il Comune, una volta riconosciuti come nel caso di specie, i presupposti per l’attribuzione dell’assegno, eroghi la somma per consentire alla famiglia di poter garantire al minore disabile il trasporto scolastico, si ripete, gratuito ex lege, essendo evidente che, se dovesse operare l’eccezione di compensazione, il diritto del minore all’istruzione, per mezzo del necessario trasporto sino a scuola, sarebbe paralizzato finché, in ipotesi, il debitore – in questo caso, peraltro, un soggetto terzo – non paghi il proprio debito nei confronti dell’amministrazione. </w:t>
      </w:r>
    </w:p>
    <w:p w14:paraId="7CDE636D"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11.3. Ma in questo modo la soddisfazione del diritto fondamentale sarebbe sempre e comunque subordinata alle ragioni economiche, più o meno fondate, dell’ente pubblico creditore che, in questo modo, potrebbe esigere in via anticipata il pagamento del proprio credito rendendo impossibile, in una posizione di supremazia organizzativa, l’esercizio del diritto fondamentale da parte del cittadino. </w:t>
      </w:r>
    </w:p>
    <w:p w14:paraId="7A994B60"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11.4. Questa conclusione è evidentemente contraria al rango superiore che, nella gerarchia dei valori costituzionali, deve riconoscersi al diritto fondamentale del cui esercizio qui si controverte, come si evince del resto chiaramente sul piano sistematico, del resto, dall’art. 55, comma 2, c.p.a., secondo cui «la concessione o il diniego della misura cautelare non può essere subordinata a cauzione quando la domanda cautelare attenga a diritti fondamentali della persona o ad altri beni di primario rilievo costituzionale».</w:t>
      </w:r>
    </w:p>
    <w:p w14:paraId="65ED889A"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11.5. La norma processuale è espressione di un più generale principio, secondo cui l’esercizio del diritto fondamentale non può essere subordinato alla sola esistenza di ragioni di ordine finanziario, giacché esso possiede, per usare una metafora ben nota, un nocciolo duro, incomprimibile da ogni ragione, necessariamente recessiva, di ordine economico.</w:t>
      </w:r>
    </w:p>
    <w:p w14:paraId="649E56FB"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11.6. Questo Collegio è ben consapevole che secondo un orientamento l’esercizio dei diritti fondamentali deve misurarsi, se non addirittura cedere in presenza della limitatezza delle risorse finanziarie degli enti pubblici (v., di recente, Cons. St., sez. III, 12 agosto 2024, n. 7089), ma ritiene preferibile aderire a quelle tesi secondo cui uno Stato sociale di diritto, a fronte del “grido di dolore” (così, ad esempio e testualmente, Cons. St., sez. III, 10 giugno 2016, n. 2501), proveniente da moltissime situazioni concrete, deve assicurare le esigenze dei soggetti più bisognosi e, a parità di bisogno, di quelli meno abbienti, in quanto la teorica dei diritti fondamentali finanziariamente condizionati non può legittimare la mortificazione dei diritti fondamentali senza che la scelta dell’ente e, persino, del legislatore sia sorretta da una valida e superiore causa di giustificazione, attinente alla tutela del bene comune per finalità solidaristiche.</w:t>
      </w:r>
    </w:p>
    <w:p w14:paraId="297BCFA0"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11.7. Quest’ultimo orientamento è stato fatto proprio da quella condivisibile giurisprudenza che ha affermato il dovere delle competenti amministrazioni di porre in essere ogni adempimento per attribuire agli alunni disabili i diritti riconosciuti dal legislatore in modo che gli alunni e le loro famiglie non debbano proporre ricorsi giurisdizionali per ottenere ciò che è loro dovuto (Cons. St., sez. III, 6 dicembre 2023, n. 10560, Cons. St., sez. VI, 10 luglio 2017, n. 3393, Cons. St., sez. VI, 3 maggio 2017, n. 2023, Cons. St., sez. VI, 10 febbraio 2015, n. 7049) e, applicando tali principi al caso di specie, ne deriva che l’esistenza di un debito per imposte comunali non può evidentemente, e in assenza di ben più solide motivazioni, paralizzare l’esercizio del diritto fondamentale.</w:t>
      </w:r>
    </w:p>
    <w:p w14:paraId="0DD8EAF2"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11.8. Come ha osservato la Corte costituzionale proprio con riferimento al trasporto dei disabili, infatti, l’effettività del diritto al trasporto dell’alunno disabile «il diritto all’istruzione del disabile è consacrato nell'art. 38 Cost.[…] e la natura fondamentale del diritto, che è tutelato anche a livello internazionale dall'art. 24 della Convenzione delle Nazioni Unite sui diritti delle persone con disabilità, impone alla discrezionalità del legislatore un limite invalicabile nel rispetto di un nucleo indefettibile di garanzie per gli interessati, tra le quali rientra il servizio di trasporto scolastico e di assistenza poiché, per lo studente disabile, esso costituisce una componente essenziale ad assicurare l’effettività del medesimo diritto», con la conseguenza che «tale effettività non può che derivare dalla certezza delle disponibilità finanziarie per il soddisfacimento del medesimo diritto, nel quadro dei compositi rapporti amministrativi e finanziari degli enti territoriali coinvolti» (Corte cost., 16 dicembre 2016, n. 275).</w:t>
      </w:r>
    </w:p>
    <w:p w14:paraId="55B9F3C5"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12. Discende dalle ragioni sin qui in sintesi esposte che la domanda di condanna, ritualmente (ri)proposta dall’odierna appellante, debba trovare accoglimento avanti al giudice amministrativo che, come noto, è in grado di assicurare una pienezza ed effettività di tutela giurisdizionale ai diritti soggettivi, anche costituzionalmente garantiti, coinvolti nell’esercizio della funzione amministrativa (v., per tutti, Corte cost., 27 aprile 2007, n. 140) e, nel caso di specie, mediante l’accoglimento della domanda di condanna al pagamento di una somma pecuniaria.</w:t>
      </w:r>
    </w:p>
    <w:p w14:paraId="59C9ACB3"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12.1. Va ricordato, infatti, che, se è pur vero, in linea con le ragioni storiche all’origine della configurazione della giurisdizione esclusiva, che è normalmente necessaria la sussistenza di un intreccio di posizioni giuridiche nell’ambito del quale risulti difficile individuare i connotati identificativi delle singole situazioni soggettive, non può escludersi che la cognizione del giudice amministrativo possa avere ad oggetto, come ha chiarito la Corte costituzionale, «anche soltanto diritti soggettivi» (v., sul punto, Corte cost., 5 febbraio 2010, n. 35), quando, come nel caso di specie, si sia al cospetto di una potestà organizzativa, in capo all’ente comunale, tanto forte ed incisiva, capace di “conformare” al punto tale l’esercizio del diritto fondamentale da renderlo attuabile o, al contrario, da mortificarlo interamente.</w:t>
      </w:r>
    </w:p>
    <w:p w14:paraId="28F32A97"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12.2. Non è superfluo nemmeno rammentare del resto, quanto alla disposizione dell’art. 28 della l. n. 118 del 1971 relativa al trasporto scolastico gratuito del minore disabile, che la Corte costituzionale, già in tempi risalenti e ben prima della l. n. 104 del 1992, ne ha evidenziato, ed esaltato, il valore immediatamente precettivo e cogente (Corte cost., 8 giugno 1987, n. 215).</w:t>
      </w:r>
    </w:p>
    <w:p w14:paraId="13B5BB59"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12.3. Il trasporto gratuito dell’allievo disabile, previsto dall’art. 28, comma primo, lett. a), della medesima legge, costituisce un pilastro portante della disciplina in materia, dovendosi considerare, come ha rilevato la stessa Corte, che la «frequenza scolastica è […] un essenziale fattore di recupero del portatore di handicaps e di superamento della sua emarginazione, in un complesso intreccio in cui ciascuno di tali elementi interagisce sull’altro e, se ha evoluzione positiva, può operare in funzione sinergica ai fini del complessivo sviluppo della personalità» e che «da siffatto ordine concettuale ha indubbiamente preso le mosse il legislatore ordinario allorquando, con le già richiamate disposizioni delle leggi del 1971 e 1977, ha da un lato previsto l’inserimento in via di principio dei minorati nella normale scuola dell’obbligo – onde evitare i possibili effetti di segregazione ed isolamento ed i connessi rischi di regressione – dall’altro ha concepito le forme di integrazione, sostegno ed assistenza ivi previste come strumenti preordinati ad agevolare non solo l’attuazione del diritto allo studio ma anche la piena formazione della personalità degli alunni handicappati» (così Corte cost., 8 giugno 1987, n. 215).</w:t>
      </w:r>
    </w:p>
    <w:p w14:paraId="3DE10CAA"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12.4. Ed è ovvio che, vertendosi in materia sì altamente sensibile all’esercizio dei diritti fondamentali inerenti alla dignità della persona umana devoluta, per tale aspetto, alla giurisdizione esclusiva di questo giudice amministrativo, non possa che operare il principio secondo il quale il termine breve di impugnazione a pena di decadenza degli atti amministrativi concerne gli atti autoritativi con i quali l’amministrazione, sulla base dei poteri attribuiti dall’ordinamento, disciplina unilateralmente le situazioni giuridiche dei consociati, ma, quando la controversia abbia ad oggetto l’accertamento di diritti soggettivi, si deve ritenere che l’impugnazione di atti della pubblica amministrazione non sia necessaria, come nel caso di specie, essendo l’azione intentata all’accertamento di un’obbligazione di carattere civile la cui cognizione spetta al giudice amministrativo in virtù dell’attribuzione di giurisdizione esclusiva su una determinata materia (Cons. St., sez. V, 24 marzo 2014, n. 1429)”.</w:t>
      </w:r>
    </w:p>
    <w:p w14:paraId="7DAFAC99"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Infine, la Corte costituzionale, nella recente sentenza n. 195/2024, a proposito dell’art. 1, comma 527, della legge n. 213 del 2023 (il cui quinto periodo prevede che, in caso di mancato versamento del contributo da parte delle regioni nel termine stabilito, si provvede «al recupero mediante corrispondente riduzione delle risorse a qualsiasi titolo spettanti a ciascuna regione») ha ritenuto fondata la censura di violazione degli artt. 3 e 119 Cost., affermando (punto 10. della motivazione in diritto) che “nemmeno nel caso in cui la regione non abbia versato la propria quota del contributo alla finanza pubblica, lo Stato può “rispondere” tagliando risorse destinate alla spesa costituzionalmente necessaria, tra cui quella sanitaria – già, peraltro, in grave sofferenza per l’effetto, come si è visto, delle precedenti stagioni di arditi tagli lineari – dovendo quindi agire su altri versanti che non rivestono il medesimo carattere. Questa Corte, del resto, ha affermato che «[è] la garanzia dei diritti incomprimibili ad incidere sul bilancio, e non l’equilibrio di questo a condizionarne la doverosa erogazione» (sentenza n. 275 del 2016); da questo principio deriva che tali diritti, e in particolare il diritto alla salute, coinvolgendo primarie esigenze della persona umana, non possono essere sacrificati fintanto che esistono risorse che il decisore politico ha la disponibilità di utilizzare per altri impieghi che non rivestono la medesima priorità”.</w:t>
      </w:r>
    </w:p>
    <w:p w14:paraId="577D576D" w14:textId="77777777" w:rsidR="004A7A36" w:rsidRPr="00874C97" w:rsidRDefault="004A7A36" w:rsidP="00874C97">
      <w:pPr>
        <w:pStyle w:val="Testonotaapidipagina"/>
        <w:jc w:val="both"/>
        <w:rPr>
          <w:rFonts w:ascii="Times New Roman" w:hAnsi="Times New Roman" w:cs="Times New Roman"/>
          <w:lang w:val="it-IT"/>
        </w:rPr>
      </w:pPr>
    </w:p>
  </w:footnote>
  <w:footnote w:id="70">
    <w:p w14:paraId="7E8FD586" w14:textId="77777777" w:rsidR="004A7A36" w:rsidRPr="00874C97" w:rsidRDefault="004A7A36" w:rsidP="00874C97">
      <w:pPr>
        <w:pStyle w:val="Testonotaapidipagina"/>
        <w:jc w:val="both"/>
        <w:rPr>
          <w:rFonts w:ascii="Times New Roman" w:hAnsi="Times New Roman" w:cs="Times New Roman"/>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argomento, tra gli altri: </w:t>
      </w:r>
      <w:r w:rsidRPr="00874C97">
        <w:rPr>
          <w:rFonts w:ascii="Times New Roman" w:hAnsi="Times New Roman" w:cs="Times New Roman"/>
          <w:smallCaps/>
          <w:lang w:val="it-IT"/>
        </w:rPr>
        <w:t>R. Caranta</w:t>
      </w:r>
      <w:r w:rsidRPr="00874C97">
        <w:rPr>
          <w:rFonts w:ascii="Times New Roman" w:hAnsi="Times New Roman" w:cs="Times New Roman"/>
          <w:lang w:val="it-IT"/>
        </w:rPr>
        <w:t xml:space="preserve">, </w:t>
      </w:r>
      <w:r w:rsidRPr="00874C97">
        <w:rPr>
          <w:rFonts w:ascii="Times New Roman" w:hAnsi="Times New Roman" w:cs="Times New Roman"/>
          <w:i/>
          <w:lang w:val="it-IT"/>
        </w:rPr>
        <w:t>I principi nel nuovo Codice dei contratti pubblici, artt. 1-12</w:t>
      </w:r>
      <w:r w:rsidRPr="00874C97">
        <w:rPr>
          <w:rFonts w:ascii="Times New Roman" w:hAnsi="Times New Roman" w:cs="Times New Roman"/>
          <w:lang w:val="it-IT"/>
        </w:rPr>
        <w:t>, in</w:t>
      </w:r>
      <w:r w:rsidRPr="00874C97">
        <w:rPr>
          <w:rFonts w:ascii="Times New Roman" w:hAnsi="Times New Roman" w:cs="Times New Roman"/>
          <w:i/>
          <w:lang w:val="it-IT"/>
        </w:rPr>
        <w:t xml:space="preserve"> Giur. It</w:t>
      </w:r>
      <w:r w:rsidRPr="00874C97">
        <w:rPr>
          <w:rFonts w:ascii="Times New Roman" w:hAnsi="Times New Roman" w:cs="Times New Roman"/>
          <w:lang w:val="it-IT"/>
        </w:rPr>
        <w:t xml:space="preserve">., 8-9/2023, 1950 e segg.; </w:t>
      </w:r>
      <w:r w:rsidRPr="00874C97">
        <w:rPr>
          <w:rFonts w:ascii="Times New Roman" w:hAnsi="Times New Roman" w:cs="Times New Roman"/>
          <w:smallCaps/>
          <w:lang w:val="it-IT"/>
        </w:rPr>
        <w:t>E. Caruso</w:t>
      </w:r>
      <w:r w:rsidRPr="00874C97">
        <w:rPr>
          <w:rFonts w:ascii="Times New Roman" w:hAnsi="Times New Roman" w:cs="Times New Roman"/>
          <w:lang w:val="it-IT"/>
        </w:rPr>
        <w:t xml:space="preserve">, </w:t>
      </w:r>
      <w:r w:rsidRPr="00874C97">
        <w:rPr>
          <w:rFonts w:ascii="Times New Roman" w:hAnsi="Times New Roman" w:cs="Times New Roman"/>
          <w:i/>
          <w:lang w:val="it-IT"/>
        </w:rPr>
        <w:t>Equo trattamento dei lavoratori nel nuovo codice dei contratti pubblici tra sostenibilità e risultato amministrativo</w:t>
      </w:r>
      <w:r w:rsidRPr="00874C97">
        <w:rPr>
          <w:rFonts w:ascii="Times New Roman" w:hAnsi="Times New Roman" w:cs="Times New Roman"/>
          <w:lang w:val="it-IT"/>
        </w:rPr>
        <w:t>, in</w:t>
      </w:r>
      <w:r w:rsidRPr="00874C97">
        <w:rPr>
          <w:rFonts w:ascii="Times New Roman" w:hAnsi="Times New Roman" w:cs="Times New Roman"/>
          <w:i/>
          <w:lang w:val="it-IT"/>
        </w:rPr>
        <w:t xml:space="preserve"> Dir. Amm,vo</w:t>
      </w:r>
      <w:r w:rsidRPr="00874C97">
        <w:rPr>
          <w:rFonts w:ascii="Times New Roman" w:hAnsi="Times New Roman" w:cs="Times New Roman"/>
          <w:lang w:val="it-IT"/>
        </w:rPr>
        <w:t xml:space="preserve">, n. 4/2023, pagg. 863 e segg.; </w:t>
      </w:r>
      <w:r w:rsidRPr="00874C97">
        <w:rPr>
          <w:rFonts w:ascii="Times New Roman" w:hAnsi="Times New Roman" w:cs="Times New Roman"/>
          <w:smallCaps/>
          <w:lang w:val="it-IT"/>
        </w:rPr>
        <w:t>F. Fracchia</w:t>
      </w:r>
      <w:r w:rsidRPr="00874C97">
        <w:rPr>
          <w:rFonts w:ascii="Times New Roman" w:hAnsi="Times New Roman" w:cs="Times New Roman"/>
          <w:lang w:val="it-IT"/>
        </w:rPr>
        <w:t xml:space="preserve">, </w:t>
      </w:r>
      <w:r w:rsidRPr="00874C97">
        <w:rPr>
          <w:rFonts w:ascii="Times New Roman" w:hAnsi="Times New Roman" w:cs="Times New Roman"/>
          <w:i/>
          <w:lang w:val="it-IT"/>
        </w:rPr>
        <w:t>Transizioni: il punto di vista del diritto amministrativo</w:t>
      </w:r>
      <w:r w:rsidRPr="00874C97">
        <w:rPr>
          <w:rFonts w:ascii="Times New Roman" w:hAnsi="Times New Roman" w:cs="Times New Roman"/>
          <w:lang w:val="it-IT"/>
        </w:rPr>
        <w:t xml:space="preserve">, Napoli, 2024; </w:t>
      </w:r>
      <w:r w:rsidRPr="00874C97">
        <w:rPr>
          <w:rFonts w:ascii="Times New Roman" w:hAnsi="Times New Roman" w:cs="Times New Roman"/>
          <w:smallCaps/>
          <w:lang w:val="it-IT"/>
        </w:rPr>
        <w:t>E. Guarnieri</w:t>
      </w:r>
      <w:r w:rsidRPr="00874C97">
        <w:rPr>
          <w:rFonts w:ascii="Times New Roman" w:hAnsi="Times New Roman" w:cs="Times New Roman"/>
          <w:lang w:val="it-IT"/>
        </w:rPr>
        <w:t xml:space="preserve">, </w:t>
      </w:r>
      <w:r w:rsidRPr="00874C97">
        <w:rPr>
          <w:rFonts w:ascii="Times New Roman" w:hAnsi="Times New Roman" w:cs="Times New Roman"/>
          <w:i/>
          <w:lang w:val="it-IT"/>
        </w:rPr>
        <w:t>Il principio di risultato nei contratti pubblici: alcune possibili applicazioni, tra continuità e innovazioni</w:t>
      </w:r>
      <w:r w:rsidRPr="00874C97">
        <w:rPr>
          <w:rFonts w:ascii="Times New Roman" w:hAnsi="Times New Roman" w:cs="Times New Roman"/>
          <w:lang w:val="it-IT"/>
        </w:rPr>
        <w:t>, in</w:t>
      </w:r>
      <w:r w:rsidRPr="00874C97">
        <w:rPr>
          <w:rFonts w:ascii="Times New Roman" w:hAnsi="Times New Roman" w:cs="Times New Roman"/>
          <w:i/>
          <w:lang w:val="it-IT"/>
        </w:rPr>
        <w:t xml:space="preserve"> Dir. Amm.vo</w:t>
      </w:r>
      <w:r w:rsidRPr="00874C97">
        <w:rPr>
          <w:rFonts w:ascii="Times New Roman" w:hAnsi="Times New Roman" w:cs="Times New Roman"/>
          <w:lang w:val="it-IT"/>
        </w:rPr>
        <w:t xml:space="preserve">, n. 4/2023, pagg. 829 e segg.; </w:t>
      </w:r>
      <w:r w:rsidRPr="00874C97">
        <w:rPr>
          <w:rFonts w:ascii="Times New Roman" w:hAnsi="Times New Roman" w:cs="Times New Roman"/>
          <w:smallCaps/>
          <w:lang w:val="it-IT"/>
        </w:rPr>
        <w:t>H. Simonetti</w:t>
      </w:r>
      <w:r w:rsidRPr="00874C97">
        <w:rPr>
          <w:rFonts w:ascii="Times New Roman" w:hAnsi="Times New Roman" w:cs="Times New Roman"/>
          <w:i/>
          <w:lang w:val="it-IT"/>
        </w:rPr>
        <w:t>, Principio del risultato e gerarchia degli interessi nel nuovo codice dei contratti pubblici</w:t>
      </w:r>
      <w:r w:rsidRPr="00874C97">
        <w:rPr>
          <w:rFonts w:ascii="Times New Roman" w:hAnsi="Times New Roman" w:cs="Times New Roman"/>
          <w:lang w:val="it-IT"/>
        </w:rPr>
        <w:t>, in</w:t>
      </w:r>
      <w:r w:rsidRPr="00874C97">
        <w:rPr>
          <w:rFonts w:ascii="Times New Roman" w:hAnsi="Times New Roman" w:cs="Times New Roman"/>
          <w:i/>
          <w:lang w:val="it-IT"/>
        </w:rPr>
        <w:t xml:space="preserve"> Judicium</w:t>
      </w:r>
      <w:r w:rsidRPr="00874C97">
        <w:rPr>
          <w:rFonts w:ascii="Times New Roman" w:hAnsi="Times New Roman" w:cs="Times New Roman"/>
          <w:lang w:val="it-IT"/>
        </w:rPr>
        <w:t xml:space="preserve">, 12 settembre 2023; </w:t>
      </w:r>
      <w:r w:rsidRPr="00874C97">
        <w:rPr>
          <w:rFonts w:ascii="Times New Roman" w:hAnsi="Times New Roman" w:cs="Times New Roman"/>
          <w:smallCaps/>
          <w:lang w:val="it-IT"/>
        </w:rPr>
        <w:t>M. Spasiano</w:t>
      </w:r>
      <w:r w:rsidRPr="00874C97">
        <w:rPr>
          <w:rFonts w:ascii="Times New Roman" w:hAnsi="Times New Roman" w:cs="Times New Roman"/>
          <w:lang w:val="it-IT"/>
        </w:rPr>
        <w:t xml:space="preserve">, </w:t>
      </w:r>
      <w:r w:rsidRPr="00874C97">
        <w:rPr>
          <w:rFonts w:ascii="Times New Roman" w:hAnsi="Times New Roman" w:cs="Times New Roman"/>
          <w:i/>
          <w:lang w:val="it-IT"/>
        </w:rPr>
        <w:t>Dall’amministrazione di risultato al principio di risultato del Codice dei contratti pubblici: una storia da scrivere</w:t>
      </w:r>
      <w:r w:rsidRPr="00874C97">
        <w:rPr>
          <w:rFonts w:ascii="Times New Roman" w:hAnsi="Times New Roman" w:cs="Times New Roman"/>
          <w:lang w:val="it-IT"/>
        </w:rPr>
        <w:t>, in</w:t>
      </w:r>
      <w:r w:rsidRPr="00874C97">
        <w:rPr>
          <w:rFonts w:ascii="Times New Roman" w:hAnsi="Times New Roman" w:cs="Times New Roman"/>
          <w:i/>
          <w:lang w:val="it-IT"/>
        </w:rPr>
        <w:t xml:space="preserve"> Federalismi.it</w:t>
      </w:r>
      <w:r w:rsidRPr="00874C97">
        <w:rPr>
          <w:rFonts w:ascii="Times New Roman" w:hAnsi="Times New Roman" w:cs="Times New Roman"/>
          <w:lang w:val="it-IT"/>
        </w:rPr>
        <w:t xml:space="preserve">, n. 9/2024, pagg. 206 e segg.; </w:t>
      </w:r>
      <w:r w:rsidRPr="00874C97">
        <w:rPr>
          <w:rFonts w:ascii="Times New Roman" w:hAnsi="Times New Roman" w:cs="Times New Roman"/>
          <w:smallCaps/>
          <w:lang w:val="it-IT"/>
        </w:rPr>
        <w:t>G. Tropea</w:t>
      </w:r>
      <w:r w:rsidRPr="00874C97">
        <w:rPr>
          <w:rFonts w:ascii="Times New Roman" w:hAnsi="Times New Roman" w:cs="Times New Roman"/>
          <w:lang w:val="it-IT"/>
        </w:rPr>
        <w:t xml:space="preserve">, </w:t>
      </w:r>
      <w:r w:rsidRPr="00874C97">
        <w:rPr>
          <w:rFonts w:ascii="Times New Roman" w:hAnsi="Times New Roman" w:cs="Times New Roman"/>
          <w:i/>
          <w:lang w:val="it-IT"/>
        </w:rPr>
        <w:t>Il princìpi del risultato, della fiducia, della buona fede e dell’affidamento in alcune interpretazioni recenti</w:t>
      </w:r>
      <w:r w:rsidRPr="00874C97">
        <w:rPr>
          <w:rFonts w:ascii="Times New Roman" w:hAnsi="Times New Roman" w:cs="Times New Roman"/>
          <w:lang w:val="it-IT"/>
        </w:rPr>
        <w:t>, in</w:t>
      </w:r>
      <w:r w:rsidRPr="00874C97">
        <w:rPr>
          <w:rFonts w:ascii="Times New Roman" w:hAnsi="Times New Roman" w:cs="Times New Roman"/>
          <w:i/>
          <w:lang w:val="it-IT"/>
        </w:rPr>
        <w:t xml:space="preserve"> Munus</w:t>
      </w:r>
      <w:r w:rsidRPr="00874C97">
        <w:rPr>
          <w:rFonts w:ascii="Times New Roman" w:hAnsi="Times New Roman" w:cs="Times New Roman"/>
          <w:lang w:val="it-IT"/>
        </w:rPr>
        <w:t xml:space="preserve">, n. 2/2024, pagg. </w:t>
      </w:r>
      <w:r w:rsidRPr="00874C97">
        <w:rPr>
          <w:rFonts w:ascii="Times New Roman" w:hAnsi="Times New Roman" w:cs="Times New Roman"/>
        </w:rPr>
        <w:t>V e segg.</w:t>
      </w:r>
    </w:p>
    <w:p w14:paraId="6EFF6937" w14:textId="77777777" w:rsidR="004A7A36" w:rsidRPr="00874C97" w:rsidRDefault="004A7A36" w:rsidP="00874C97">
      <w:pPr>
        <w:pStyle w:val="Testonotaapidipagina"/>
        <w:jc w:val="both"/>
        <w:rPr>
          <w:rFonts w:ascii="Times New Roman" w:hAnsi="Times New Roman" w:cs="Times New Roman"/>
        </w:rPr>
      </w:pPr>
    </w:p>
  </w:footnote>
  <w:footnote w:id="71">
    <w:p w14:paraId="577466C7" w14:textId="77777777" w:rsidR="004A7A36" w:rsidRPr="00874C97" w:rsidRDefault="004A7A36" w:rsidP="00874C97">
      <w:pPr>
        <w:pStyle w:val="Testonotaapidipagina"/>
        <w:jc w:val="both"/>
        <w:rPr>
          <w:rFonts w:ascii="Times New Roman" w:hAnsi="Times New Roman" w:cs="Times New Roman"/>
        </w:rPr>
      </w:pPr>
      <w:r w:rsidRPr="00874C97">
        <w:rPr>
          <w:rStyle w:val="Rimandonotaapidipagina"/>
          <w:rFonts w:ascii="Times New Roman" w:hAnsi="Times New Roman" w:cs="Times New Roman"/>
        </w:rPr>
        <w:footnoteRef/>
      </w:r>
      <w:r w:rsidRPr="00874C97">
        <w:rPr>
          <w:rFonts w:ascii="Times New Roman" w:hAnsi="Times New Roman" w:cs="Times New Roman"/>
        </w:rPr>
        <w:t xml:space="preserve"> Il riferimento è al recente studio del </w:t>
      </w:r>
      <w:r w:rsidRPr="00874C97">
        <w:rPr>
          <w:rFonts w:ascii="Times New Roman" w:hAnsi="Times New Roman" w:cs="Times New Roman"/>
          <w:i/>
        </w:rPr>
        <w:t>Conseil d’Etat</w:t>
      </w:r>
      <w:r w:rsidRPr="00874C97">
        <w:rPr>
          <w:rFonts w:ascii="Times New Roman" w:hAnsi="Times New Roman" w:cs="Times New Roman"/>
        </w:rPr>
        <w:t xml:space="preserve"> francese « </w:t>
      </w:r>
      <w:r w:rsidRPr="00874C97">
        <w:rPr>
          <w:rFonts w:ascii="Times New Roman" w:hAnsi="Times New Roman" w:cs="Times New Roman"/>
          <w:i/>
        </w:rPr>
        <w:t>L’usager, du premier au dernier kilomètre: un enjeu d’efficacité de l’action publique et une exigence démocratique</w:t>
      </w:r>
      <w:r w:rsidRPr="00874C97">
        <w:rPr>
          <w:rFonts w:ascii="Times New Roman" w:hAnsi="Times New Roman" w:cs="Times New Roman"/>
        </w:rPr>
        <w:t xml:space="preserve"> », Paris, 2023.</w:t>
      </w:r>
    </w:p>
    <w:p w14:paraId="2797CD9D" w14:textId="77777777" w:rsidR="004A7A36" w:rsidRPr="00874C97" w:rsidRDefault="004A7A36" w:rsidP="00874C97">
      <w:pPr>
        <w:pStyle w:val="Testonotaapidipagina"/>
        <w:jc w:val="both"/>
        <w:rPr>
          <w:rFonts w:ascii="Times New Roman" w:hAnsi="Times New Roman" w:cs="Times New Roman"/>
        </w:rPr>
      </w:pPr>
    </w:p>
  </w:footnote>
  <w:footnote w:id="72">
    <w:p w14:paraId="05B7DA67" w14:textId="77777777" w:rsidR="004A7A36" w:rsidRPr="00874C97" w:rsidRDefault="004A7A36" w:rsidP="00874C97">
      <w:pPr>
        <w:pStyle w:val="Testonotaapidipagina"/>
        <w:jc w:val="both"/>
        <w:rPr>
          <w:rFonts w:ascii="Times New Roman" w:eastAsia="Calibri"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eastAsia="Calibri" w:hAnsi="Times New Roman" w:cs="Times New Roman"/>
          <w:lang w:val="it-IT"/>
        </w:rPr>
        <w:t>Risulta particolarmente felice il rilievo di chi ha osservato - a seguito dell’introduzione del risultato quale espresso parametro normativo dell’attività amministrativa in materia contrattuale ad opera del d. lgs. n. 36 del 2023 – che “è tuttavia possibile che, per una non infrequente eterogenesi dei fini, la declinazione del principio del risultato finisca invece, all’opposto, per ampliare il perimetro del sindacato giurisdizionale, piuttosto che diminuirlo. Da oggi, infatti, la corsa al risultato, in termini di rapidità ma anche di qualità dell’opera, del servizio o della fornitura, potrà tante volte essere invocata anche dai privati, con la conseguenza di far transitare nell’area della legittimità, e quindi della giustiziabilità, opzioni e scelte che sinora si pensava attenessero al merito e fossero come tali insindacabili” (</w:t>
      </w:r>
      <w:r w:rsidRPr="00874C97">
        <w:rPr>
          <w:rFonts w:ascii="Times New Roman" w:hAnsi="Times New Roman" w:cs="Times New Roman"/>
          <w:smallCaps/>
          <w:lang w:val="it-IT"/>
        </w:rPr>
        <w:t>H. Simonetti</w:t>
      </w:r>
      <w:r w:rsidRPr="00874C97">
        <w:rPr>
          <w:rFonts w:ascii="Times New Roman" w:hAnsi="Times New Roman" w:cs="Times New Roman"/>
          <w:i/>
          <w:lang w:val="it-IT"/>
        </w:rPr>
        <w:t>, Principio del risultato e gerarchia degli interessi nel nuovo codice dei contratti pubblici</w:t>
      </w:r>
      <w:r w:rsidRPr="00874C97">
        <w:rPr>
          <w:rFonts w:ascii="Times New Roman" w:hAnsi="Times New Roman" w:cs="Times New Roman"/>
          <w:lang w:val="it-IT"/>
        </w:rPr>
        <w:t>, cit.</w:t>
      </w:r>
      <w:r w:rsidRPr="00874C97">
        <w:rPr>
          <w:rFonts w:ascii="Times New Roman" w:eastAsia="Calibri" w:hAnsi="Times New Roman" w:cs="Times New Roman"/>
          <w:lang w:val="it-IT"/>
        </w:rPr>
        <w:t>).</w:t>
      </w:r>
    </w:p>
    <w:p w14:paraId="79425723" w14:textId="77777777" w:rsidR="004A7A36" w:rsidRPr="00874C97" w:rsidRDefault="004A7A36" w:rsidP="00874C97">
      <w:pPr>
        <w:pStyle w:val="Testonotaapidipagina"/>
        <w:jc w:val="both"/>
        <w:rPr>
          <w:rFonts w:ascii="Times New Roman" w:hAnsi="Times New Roman" w:cs="Times New Roman"/>
          <w:lang w:val="it-IT"/>
        </w:rPr>
      </w:pPr>
    </w:p>
  </w:footnote>
  <w:footnote w:id="73">
    <w:p w14:paraId="0115E2FD"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argomento si rinvia, per brevità, a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Affidamento, buona fede, e fiducia nel nuovo codice dei contratti pubblici: la verifica delle categorie, e la disciplina dei rimedi (verso un “diritto amministrativo praticato”)</w:t>
      </w:r>
      <w:r w:rsidRPr="00874C97">
        <w:rPr>
          <w:rFonts w:ascii="Times New Roman" w:hAnsi="Times New Roman" w:cs="Times New Roman"/>
          <w:lang w:val="it-IT"/>
        </w:rPr>
        <w:t xml:space="preserve">, in </w:t>
      </w:r>
      <w:r w:rsidRPr="00874C97">
        <w:rPr>
          <w:rFonts w:ascii="Times New Roman" w:hAnsi="Times New Roman" w:cs="Times New Roman"/>
          <w:i/>
          <w:lang w:val="it-IT"/>
        </w:rPr>
        <w:t>giustizia-amministrativa.it.</w:t>
      </w:r>
      <w:r w:rsidRPr="00874C97">
        <w:rPr>
          <w:rFonts w:ascii="Times New Roman" w:hAnsi="Times New Roman" w:cs="Times New Roman"/>
          <w:lang w:val="it-IT"/>
        </w:rPr>
        <w:t>, ottobre 2023, in specie § 3.</w:t>
      </w:r>
    </w:p>
    <w:p w14:paraId="3FB1AE65"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In tal senso in dottrina è stato affermato che “il risultato, in quanto espressione del principio di buon andamento, è la capacità degli enti di soddisfare effettivamente le esigenze in vista della cui tutela essi sono stati istituiti (….)” (</w:t>
      </w:r>
      <w:r w:rsidRPr="00874C97">
        <w:rPr>
          <w:rFonts w:ascii="Times New Roman" w:hAnsi="Times New Roman" w:cs="Times New Roman"/>
          <w:smallCaps/>
          <w:lang w:val="it-IT"/>
        </w:rPr>
        <w:t>M. R. Spasiano</w:t>
      </w:r>
      <w:r w:rsidRPr="00874C97">
        <w:rPr>
          <w:rFonts w:ascii="Times New Roman" w:hAnsi="Times New Roman" w:cs="Times New Roman"/>
          <w:lang w:val="it-IT"/>
        </w:rPr>
        <w:t xml:space="preserve">, </w:t>
      </w:r>
      <w:r w:rsidRPr="00874C97">
        <w:rPr>
          <w:rFonts w:ascii="Times New Roman" w:hAnsi="Times New Roman" w:cs="Times New Roman"/>
          <w:i/>
          <w:lang w:val="it-IT"/>
        </w:rPr>
        <w:t>Il principio di buon andamento</w:t>
      </w:r>
      <w:r w:rsidRPr="00874C97">
        <w:rPr>
          <w:rFonts w:ascii="Times New Roman" w:hAnsi="Times New Roman" w:cs="Times New Roman"/>
          <w:lang w:val="it-IT"/>
        </w:rPr>
        <w:t>, in AA.VV., Princìpi e regole dell’azione amministrativa, IV ed., Milano, 2023, pag. 135).</w:t>
      </w:r>
    </w:p>
    <w:p w14:paraId="1E7C3229"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In giurisprudenza, in senso analogo, Cons. Stato, sez. III, sentenza 26 marzo 2024, n. 2866 (in </w:t>
      </w:r>
      <w:r w:rsidRPr="00874C97">
        <w:rPr>
          <w:rFonts w:ascii="Times New Roman" w:hAnsi="Times New Roman" w:cs="Times New Roman"/>
          <w:i/>
          <w:lang w:val="it-IT"/>
        </w:rPr>
        <w:t>Giorn. dir. Amm.vo</w:t>
      </w:r>
      <w:r w:rsidRPr="00874C97">
        <w:rPr>
          <w:rFonts w:ascii="Times New Roman" w:hAnsi="Times New Roman" w:cs="Times New Roman"/>
          <w:lang w:val="it-IT"/>
        </w:rPr>
        <w:t xml:space="preserve">, n. 5/2024, pagg. 669 e segg., con nota di </w:t>
      </w:r>
      <w:r w:rsidRPr="00874C97">
        <w:rPr>
          <w:rFonts w:ascii="Times New Roman" w:hAnsi="Times New Roman" w:cs="Times New Roman"/>
          <w:smallCaps/>
          <w:lang w:val="it-IT"/>
        </w:rPr>
        <w:t>S. Vaccari</w:t>
      </w:r>
      <w:r w:rsidRPr="00874C97">
        <w:rPr>
          <w:rFonts w:ascii="Times New Roman" w:hAnsi="Times New Roman" w:cs="Times New Roman"/>
          <w:lang w:val="it-IT"/>
        </w:rPr>
        <w:t xml:space="preserve">, </w:t>
      </w:r>
      <w:r w:rsidRPr="00874C97">
        <w:rPr>
          <w:rFonts w:ascii="Times New Roman" w:hAnsi="Times New Roman" w:cs="Times New Roman"/>
          <w:i/>
          <w:lang w:val="it-IT"/>
        </w:rPr>
        <w:t>Principio del risultato e legalità amministrativa</w:t>
      </w:r>
      <w:r w:rsidRPr="00874C97">
        <w:rPr>
          <w:rFonts w:ascii="Times New Roman" w:hAnsi="Times New Roman" w:cs="Times New Roman"/>
          <w:lang w:val="it-IT"/>
        </w:rPr>
        <w:t xml:space="preserve">; e in </w:t>
      </w:r>
      <w:r w:rsidRPr="00874C97">
        <w:rPr>
          <w:rFonts w:ascii="Times New Roman" w:hAnsi="Times New Roman" w:cs="Times New Roman"/>
          <w:i/>
          <w:lang w:val="it-IT"/>
        </w:rPr>
        <w:t>Giur. It</w:t>
      </w:r>
      <w:r w:rsidRPr="00874C97">
        <w:rPr>
          <w:rFonts w:ascii="Times New Roman" w:hAnsi="Times New Roman" w:cs="Times New Roman"/>
          <w:lang w:val="it-IT"/>
        </w:rPr>
        <w:t xml:space="preserve">., 12/2024, 2662, con nota di </w:t>
      </w:r>
      <w:r w:rsidRPr="00874C97">
        <w:rPr>
          <w:rFonts w:ascii="Times New Roman" w:hAnsi="Times New Roman" w:cs="Times New Roman"/>
          <w:smallCaps/>
          <w:lang w:val="it-IT"/>
        </w:rPr>
        <w:t>L. Cameriero</w:t>
      </w:r>
      <w:r w:rsidRPr="00874C97">
        <w:rPr>
          <w:rFonts w:ascii="Times New Roman" w:hAnsi="Times New Roman" w:cs="Times New Roman"/>
          <w:lang w:val="it-IT"/>
        </w:rPr>
        <w:t xml:space="preserve">, </w:t>
      </w:r>
      <w:r w:rsidRPr="00874C97">
        <w:rPr>
          <w:rFonts w:ascii="Times New Roman" w:hAnsi="Times New Roman" w:cs="Times New Roman"/>
          <w:i/>
          <w:lang w:val="it-IT"/>
        </w:rPr>
        <w:t>Il principio del risultato nel prisma discrezionale dell’operazione amministrativa</w:t>
      </w:r>
      <w:r w:rsidRPr="00874C97">
        <w:rPr>
          <w:rFonts w:ascii="Times New Roman" w:hAnsi="Times New Roman" w:cs="Times New Roman"/>
          <w:lang w:val="it-IT"/>
        </w:rPr>
        <w:t>), che ha affermato “il carattere immanente al sistema della c.d. amministrazione di risultato (che la dottrina ha ricondotto al principio di buon andamento dell’attività amministrativa, già prima dell’espressa affermazione contenuta nell’art. 1 del citato d. lgs. n. 36 del 2023 con specifico riferimento alla disciplina dei contratti pubblici)”.</w:t>
      </w:r>
    </w:p>
    <w:p w14:paraId="1D9D0931" w14:textId="77777777" w:rsidR="004A7A36" w:rsidRPr="00874C97" w:rsidRDefault="004A7A36" w:rsidP="00874C97">
      <w:pPr>
        <w:pStyle w:val="Testonotaapidipagina"/>
        <w:jc w:val="both"/>
        <w:rPr>
          <w:rFonts w:ascii="Times New Roman" w:hAnsi="Times New Roman" w:cs="Times New Roman"/>
          <w:lang w:val="it-IT"/>
        </w:rPr>
      </w:pPr>
    </w:p>
  </w:footnote>
  <w:footnote w:id="74">
    <w:p w14:paraId="2C765C6B"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Sulla complessità della (e sui problemi posti dalla) verifica della rispondenza dell’attività amministrativa al suo parametro legale nell’attuale momento storico, si veda la riflessione di </w:t>
      </w:r>
      <w:r w:rsidRPr="00874C97">
        <w:rPr>
          <w:rFonts w:ascii="Times New Roman" w:hAnsi="Times New Roman" w:cs="Times New Roman"/>
          <w:smallCaps/>
          <w:lang w:val="it-IT"/>
        </w:rPr>
        <w:t>P. Pantalone</w:t>
      </w:r>
      <w:r w:rsidRPr="00874C97">
        <w:rPr>
          <w:rFonts w:ascii="Times New Roman" w:hAnsi="Times New Roman" w:cs="Times New Roman"/>
          <w:lang w:val="it-IT"/>
        </w:rPr>
        <w:t xml:space="preserve">, </w:t>
      </w:r>
      <w:r w:rsidRPr="00874C97">
        <w:rPr>
          <w:rFonts w:ascii="Times New Roman" w:hAnsi="Times New Roman" w:cs="Times New Roman"/>
          <w:i/>
          <w:lang w:val="it-IT"/>
        </w:rPr>
        <w:t>Autorità indipendenti e matrici della legalità</w:t>
      </w:r>
      <w:r w:rsidRPr="00874C97">
        <w:rPr>
          <w:rFonts w:ascii="Times New Roman" w:hAnsi="Times New Roman" w:cs="Times New Roman"/>
          <w:lang w:val="it-IT"/>
        </w:rPr>
        <w:t xml:space="preserve">, Napoli, 2018, in specie pagg. 73 e segg. La necessità di porre attenzione, nella riflessione sul potere amministrativo nell’età contemporanea, ai “comportamenti” e alle “scelte delle persone”, è alla base della riflessione di </w:t>
      </w:r>
      <w:r w:rsidRPr="00874C97">
        <w:rPr>
          <w:rFonts w:ascii="Times New Roman" w:hAnsi="Times New Roman" w:cs="Times New Roman"/>
          <w:smallCaps/>
          <w:lang w:val="it-IT"/>
        </w:rPr>
        <w:t>A. Zito</w:t>
      </w:r>
      <w:r w:rsidRPr="00874C97">
        <w:rPr>
          <w:rFonts w:ascii="Times New Roman" w:hAnsi="Times New Roman" w:cs="Times New Roman"/>
          <w:i/>
          <w:lang w:val="it-IT"/>
        </w:rPr>
        <w:t>, La nudge regulation nella teoria giuridica dell’agire amministrativo. Presupposti e limiti del suo utilizzo da parte delle pubbliche amministrazioni</w:t>
      </w:r>
      <w:r w:rsidRPr="00874C97">
        <w:rPr>
          <w:rFonts w:ascii="Times New Roman" w:hAnsi="Times New Roman" w:cs="Times New Roman"/>
          <w:lang w:val="it-IT"/>
        </w:rPr>
        <w:t>, Napoli, 2021.</w:t>
      </w:r>
    </w:p>
  </w:footnote>
  <w:footnote w:id="75">
    <w:p w14:paraId="53C43083" w14:textId="77777777" w:rsidR="004A7A36" w:rsidRPr="00874C97" w:rsidRDefault="004A7A36" w:rsidP="00874C97">
      <w:pPr>
        <w:pStyle w:val="Testonotaapidipagina"/>
        <w:jc w:val="both"/>
        <w:rPr>
          <w:rFonts w:ascii="Times New Roman" w:hAnsi="Times New Roman" w:cs="Times New Roman"/>
          <w:lang w:val="it-IT"/>
        </w:rPr>
      </w:pPr>
    </w:p>
    <w:p w14:paraId="288601E9"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F. Fracchia</w:t>
      </w:r>
      <w:r w:rsidRPr="00874C97">
        <w:rPr>
          <w:rFonts w:ascii="Times New Roman" w:hAnsi="Times New Roman" w:cs="Times New Roman"/>
          <w:lang w:val="it-IT"/>
        </w:rPr>
        <w:t xml:space="preserve">, </w:t>
      </w:r>
      <w:r w:rsidRPr="00874C97">
        <w:rPr>
          <w:rFonts w:ascii="Times New Roman" w:hAnsi="Times New Roman" w:cs="Times New Roman"/>
          <w:i/>
          <w:lang w:val="it-IT"/>
        </w:rPr>
        <w:t>Transizioni: il punto di vista del diritto amministrativo</w:t>
      </w:r>
      <w:r w:rsidRPr="00874C97">
        <w:rPr>
          <w:rFonts w:ascii="Times New Roman" w:hAnsi="Times New Roman" w:cs="Times New Roman"/>
          <w:lang w:val="it-IT"/>
        </w:rPr>
        <w:t>, cit., in specie 60: «In periodo di crisi occorre decidere; per decidere è necessario ordinare gli interessi; l’art. 97 conferma che ciò è possibile, fornendo una base minima per effettuate una gradazione, raccomandando la virtù della sostenibilità e indicando che non tutti i valori sono equiordinati. Più in generale, questo settore del diritto offre una cornice di principi (pur se assai generici: chi inquina paga, prevenzione e precauzione) alla luce dei quali illuminare le politiche pubbliche e, soprattutto, sindacare, da parte delle diverse magistrature, le scelte di transizione, financo quelle consacrate nella legge».</w:t>
      </w:r>
    </w:p>
    <w:p w14:paraId="380405D6" w14:textId="77777777" w:rsidR="004A7A36" w:rsidRPr="00874C97" w:rsidRDefault="004A7A36" w:rsidP="00874C97">
      <w:pPr>
        <w:pStyle w:val="Testonotaapidipagina"/>
        <w:jc w:val="both"/>
        <w:rPr>
          <w:rFonts w:ascii="Times New Roman" w:hAnsi="Times New Roman" w:cs="Times New Roman"/>
          <w:lang w:val="it-IT"/>
        </w:rPr>
      </w:pPr>
    </w:p>
  </w:footnote>
  <w:footnote w:id="76">
    <w:p w14:paraId="0D60B372"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F. Fracchia</w:t>
      </w:r>
      <w:r w:rsidRPr="00874C97">
        <w:rPr>
          <w:rFonts w:ascii="Times New Roman" w:hAnsi="Times New Roman" w:cs="Times New Roman"/>
          <w:lang w:val="it-IT"/>
        </w:rPr>
        <w:t xml:space="preserve">, </w:t>
      </w:r>
      <w:r w:rsidRPr="00874C97">
        <w:rPr>
          <w:rFonts w:ascii="Times New Roman" w:hAnsi="Times New Roman" w:cs="Times New Roman"/>
          <w:i/>
          <w:lang w:val="it-IT"/>
        </w:rPr>
        <w:t>I doveri intergenerazionali. La prospettiva dell’amministrativista e l’esigenza di una teoria generale dei doveri intergenerazionali</w:t>
      </w:r>
      <w:r w:rsidRPr="00874C97">
        <w:rPr>
          <w:rFonts w:ascii="Times New Roman" w:hAnsi="Times New Roman" w:cs="Times New Roman"/>
          <w:lang w:val="it-IT"/>
        </w:rPr>
        <w:t>, ne</w:t>
      </w:r>
      <w:r w:rsidRPr="00874C97">
        <w:rPr>
          <w:rFonts w:ascii="Times New Roman" w:hAnsi="Times New Roman" w:cs="Times New Roman"/>
          <w:i/>
          <w:lang w:val="it-IT"/>
        </w:rPr>
        <w:t xml:space="preserve"> Il dir. dell’ec</w:t>
      </w:r>
      <w:r w:rsidRPr="00874C97">
        <w:rPr>
          <w:rFonts w:ascii="Times New Roman" w:hAnsi="Times New Roman" w:cs="Times New Roman"/>
          <w:lang w:val="it-IT"/>
        </w:rPr>
        <w:t xml:space="preserve">., 2021, pagg. 55/69; </w:t>
      </w:r>
      <w:r w:rsidRPr="00874C97">
        <w:rPr>
          <w:rFonts w:ascii="Times New Roman" w:eastAsia="Garamond" w:hAnsi="Times New Roman" w:cs="Times New Roman"/>
          <w:smallCaps/>
          <w:color w:val="000000"/>
          <w:lang w:val="it-IT"/>
        </w:rPr>
        <w:t>F. Fracchia e P. Pantalone</w:t>
      </w:r>
      <w:r w:rsidRPr="00874C97">
        <w:rPr>
          <w:rFonts w:ascii="Times New Roman" w:eastAsia="Garamond" w:hAnsi="Times New Roman" w:cs="Times New Roman"/>
          <w:color w:val="000000"/>
          <w:lang w:val="it-IT"/>
        </w:rPr>
        <w:t xml:space="preserve">, </w:t>
      </w:r>
      <w:r w:rsidRPr="00874C97">
        <w:rPr>
          <w:rFonts w:ascii="Times New Roman" w:eastAsia="Garamond" w:hAnsi="Times New Roman" w:cs="Times New Roman"/>
          <w:i/>
          <w:color w:val="000000"/>
          <w:lang w:val="it-IT"/>
        </w:rPr>
        <w:t>Decider(ci) per la morte: crisi, sostenibilità, energie rinnovabili e semplificazioni procedimentali. Interpretare il pre</w:t>
      </w:r>
      <w:r w:rsidRPr="00874C97">
        <w:rPr>
          <w:rFonts w:ascii="Times New Roman" w:eastAsia="Garamond" w:hAnsi="Times New Roman" w:cs="Times New Roman"/>
          <w:i/>
          <w:color w:val="000000"/>
          <w:lang w:val="it-IT"/>
        </w:rPr>
        <w:softHyphen/>
        <w:t>sente con il paradigma delle relazioni intergenerazionali nutrite di solidarietà</w:t>
      </w:r>
      <w:r w:rsidRPr="00874C97">
        <w:rPr>
          <w:rFonts w:ascii="Times New Roman" w:eastAsia="Garamond" w:hAnsi="Times New Roman" w:cs="Times New Roman"/>
          <w:color w:val="000000"/>
          <w:lang w:val="it-IT"/>
        </w:rPr>
        <w:t xml:space="preserve">, </w:t>
      </w:r>
      <w:r w:rsidRPr="00874C97">
        <w:rPr>
          <w:rFonts w:ascii="Times New Roman" w:eastAsia="Garamond" w:hAnsi="Times New Roman" w:cs="Times New Roman"/>
          <w:color w:val="000000"/>
          <w:spacing w:val="-1"/>
          <w:lang w:val="it-IT"/>
        </w:rPr>
        <w:t>Napoli, 2022</w:t>
      </w:r>
      <w:r w:rsidRPr="00874C97">
        <w:rPr>
          <w:rFonts w:ascii="Times New Roman" w:eastAsia="Garamond" w:hAnsi="Times New Roman" w:cs="Times New Roman"/>
          <w:color w:val="000000"/>
          <w:lang w:val="it-IT"/>
        </w:rPr>
        <w:t xml:space="preserve">; </w:t>
      </w:r>
      <w:r w:rsidRPr="00874C97">
        <w:rPr>
          <w:rFonts w:ascii="Times New Roman" w:eastAsia="Garamond" w:hAnsi="Times New Roman" w:cs="Times New Roman"/>
          <w:smallCaps/>
          <w:color w:val="000000"/>
          <w:lang w:val="it-IT"/>
        </w:rPr>
        <w:t>P. Pantalone</w:t>
      </w:r>
      <w:r w:rsidRPr="00874C97">
        <w:rPr>
          <w:rFonts w:ascii="Times New Roman" w:eastAsia="Garamond" w:hAnsi="Times New Roman" w:cs="Times New Roman"/>
          <w:color w:val="000000"/>
          <w:lang w:val="it-IT"/>
        </w:rPr>
        <w:t xml:space="preserve">, </w:t>
      </w:r>
      <w:r w:rsidRPr="00874C97">
        <w:rPr>
          <w:rFonts w:ascii="Times New Roman" w:eastAsia="Garamond" w:hAnsi="Times New Roman" w:cs="Times New Roman"/>
          <w:i/>
          <w:color w:val="000000"/>
          <w:lang w:val="it-IT"/>
        </w:rPr>
        <w:t>La crisi pandemica dal punto di vista dei doveri. Diagnosi, prognosi e terapia dei problemi intergenerazionali secondo il diritto amministrativo</w:t>
      </w:r>
      <w:r w:rsidRPr="00874C97">
        <w:rPr>
          <w:rFonts w:ascii="Times New Roman" w:eastAsia="Garamond" w:hAnsi="Times New Roman" w:cs="Times New Roman"/>
          <w:color w:val="000000"/>
          <w:lang w:val="it-IT"/>
        </w:rPr>
        <w:t>, Napoli, 2023.</w:t>
      </w:r>
      <w:r w:rsidRPr="00874C97">
        <w:rPr>
          <w:rFonts w:ascii="Times New Roman" w:hAnsi="Times New Roman" w:cs="Times New Roman"/>
          <w:lang w:val="it-IT"/>
        </w:rPr>
        <w:t xml:space="preserve"> </w:t>
      </w:r>
      <w:r w:rsidRPr="00874C97">
        <w:rPr>
          <w:rFonts w:ascii="Times New Roman" w:hAnsi="Times New Roman" w:cs="Times New Roman"/>
          <w:smallCaps/>
          <w:lang w:val="it-IT"/>
        </w:rPr>
        <w:t>P. Pantalone</w:t>
      </w:r>
      <w:r w:rsidRPr="00874C97">
        <w:rPr>
          <w:rFonts w:ascii="Times New Roman" w:hAnsi="Times New Roman" w:cs="Times New Roman"/>
          <w:lang w:val="it-IT"/>
        </w:rPr>
        <w:t xml:space="preserve">, </w:t>
      </w:r>
      <w:r w:rsidRPr="00874C97">
        <w:rPr>
          <w:rFonts w:ascii="Times New Roman" w:hAnsi="Times New Roman" w:cs="Times New Roman"/>
          <w:i/>
          <w:lang w:val="it-IT"/>
        </w:rPr>
        <w:t>Crisi pandemica e paradigma delle responsabilità intergenerazionali</w:t>
      </w:r>
      <w:r w:rsidRPr="00874C97">
        <w:rPr>
          <w:rFonts w:ascii="Times New Roman" w:hAnsi="Times New Roman" w:cs="Times New Roman"/>
          <w:lang w:val="it-IT"/>
        </w:rPr>
        <w:t>, ne</w:t>
      </w:r>
      <w:r w:rsidRPr="00874C97">
        <w:rPr>
          <w:rFonts w:ascii="Times New Roman" w:hAnsi="Times New Roman" w:cs="Times New Roman"/>
          <w:i/>
          <w:lang w:val="it-IT"/>
        </w:rPr>
        <w:t xml:space="preserve"> Il dir. dell’ec</w:t>
      </w:r>
      <w:r w:rsidRPr="00874C97">
        <w:rPr>
          <w:rFonts w:ascii="Times New Roman" w:hAnsi="Times New Roman" w:cs="Times New Roman"/>
          <w:lang w:val="it-IT"/>
        </w:rPr>
        <w:t>., 2025, pagg. 1 e segg.</w:t>
      </w:r>
    </w:p>
    <w:p w14:paraId="51D0C194" w14:textId="77777777" w:rsidR="004A7A36" w:rsidRPr="00874C97" w:rsidRDefault="004A7A36" w:rsidP="00874C97">
      <w:pPr>
        <w:pStyle w:val="Testonotaapidipagina"/>
        <w:jc w:val="both"/>
        <w:rPr>
          <w:rFonts w:ascii="Times New Roman" w:hAnsi="Times New Roman" w:cs="Times New Roman"/>
          <w:lang w:val="it-IT"/>
        </w:rPr>
      </w:pPr>
    </w:p>
  </w:footnote>
  <w:footnote w:id="77">
    <w:p w14:paraId="509F2833"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merito ai quali si consideri che “ogni norma giuridica protettiva di un determinato interesse, proprio per sua natura ed essenza, implica lo specifico dovere di tutti di non ledere l’interesse in quanto giuridicamente protetto” (</w:t>
      </w:r>
      <w:r w:rsidRPr="00874C97">
        <w:rPr>
          <w:rFonts w:ascii="Times New Roman" w:hAnsi="Times New Roman" w:cs="Times New Roman"/>
          <w:smallCaps/>
          <w:lang w:val="it-IT"/>
        </w:rPr>
        <w:t>S. Pugliatti</w:t>
      </w:r>
      <w:r w:rsidRPr="00874C97">
        <w:rPr>
          <w:rFonts w:ascii="Times New Roman" w:hAnsi="Times New Roman" w:cs="Times New Roman"/>
          <w:lang w:val="it-IT"/>
        </w:rPr>
        <w:t xml:space="preserve">, voce </w:t>
      </w:r>
      <w:r w:rsidRPr="00874C97">
        <w:rPr>
          <w:rFonts w:ascii="Times New Roman" w:hAnsi="Times New Roman" w:cs="Times New Roman"/>
          <w:i/>
          <w:lang w:val="it-IT"/>
        </w:rPr>
        <w:t>Alterum non laedere</w:t>
      </w:r>
      <w:r w:rsidRPr="00874C97">
        <w:rPr>
          <w:rFonts w:ascii="Times New Roman" w:hAnsi="Times New Roman" w:cs="Times New Roman"/>
          <w:lang w:val="it-IT"/>
        </w:rPr>
        <w:t>, in</w:t>
      </w:r>
      <w:r w:rsidRPr="00874C97">
        <w:rPr>
          <w:rFonts w:ascii="Times New Roman" w:hAnsi="Times New Roman" w:cs="Times New Roman"/>
          <w:i/>
          <w:lang w:val="it-IT"/>
        </w:rPr>
        <w:t xml:space="preserve"> Enc. dir</w:t>
      </w:r>
      <w:r w:rsidRPr="00874C97">
        <w:rPr>
          <w:rFonts w:ascii="Times New Roman" w:hAnsi="Times New Roman" w:cs="Times New Roman"/>
          <w:lang w:val="it-IT"/>
        </w:rPr>
        <w:t xml:space="preserve">., Vol. II, Milano 1958, pag. 108, ove anche l’affermazione per cui “Le esigenze del rigore tecnico hanno certamente la loro ragione di essere e non si può contrastare l’evoluzione che porta, mediante l’approfondimento dell’analisi, all’affinamento dei concetti; ma neppure si può svalutare totalmente una persistente linea di pensiero, alla quale si ricollega una costante tendenza giurisprudenziale, che fa dipendere la soluzione di molte questioni concrete dall’applicazione del principio </w:t>
      </w:r>
      <w:r w:rsidRPr="00874C97">
        <w:rPr>
          <w:rFonts w:ascii="Times New Roman" w:hAnsi="Times New Roman" w:cs="Times New Roman"/>
          <w:i/>
          <w:lang w:val="it-IT"/>
        </w:rPr>
        <w:t>alterum non laedere</w:t>
      </w:r>
      <w:r w:rsidRPr="00874C97">
        <w:rPr>
          <w:rFonts w:ascii="Times New Roman" w:hAnsi="Times New Roman" w:cs="Times New Roman"/>
          <w:lang w:val="it-IT"/>
        </w:rPr>
        <w:t>”. Per quanto riguarda questa prospettiva occorre considerare che la diminuzione del tasso di osservanza spontanea dei doveri, o – il che è lo stesso – di rispetto spontaneo delle norme, in determinati settori implica l’incremento della necessità di adempimento del corrispondente dovere (che può avere contenuto preventivo o ripristinatorio) posto in capo all’amministrazione a tutela dell’effettività della situazione giuridica lesa dalla condotta individualista e non solidale di chi non abbia spontaneamente osservato la norma (paradigmatica, in tal senso, è la vicenda oggetto della sentenza del Consiglio di Giustizia Amministrativa per la Regione Siciliana, n. 356/2018, su cui si tornerà).  Tale dovere dell’amministrazione diviene così giustiziabile in relazione alla posizione d’interesse (pretensivo) vantata dal soggetto leso. Nell’esercizio di siffatto dovere – di tutela dei diritti e degli interessi dei singoli rispetto alla più o meno diffusa condotta di mancato rispetto delle regole di altri - l’amministrazione deve comunque adottare misure non illiberali, ma rispettose del principio di proporzionalità (</w:t>
      </w:r>
      <w:r w:rsidRPr="00874C97">
        <w:rPr>
          <w:rFonts w:ascii="Times New Roman" w:hAnsi="Times New Roman" w:cs="Times New Roman"/>
          <w:smallCaps/>
          <w:lang w:val="it-IT"/>
        </w:rPr>
        <w:t>G. Tulumello</w:t>
      </w:r>
      <w:r w:rsidRPr="00874C97">
        <w:rPr>
          <w:rFonts w:ascii="Times New Roman" w:hAnsi="Times New Roman" w:cs="Times New Roman"/>
          <w:lang w:val="it-IT"/>
        </w:rPr>
        <w:t xml:space="preserve">, </w:t>
      </w:r>
      <w:r w:rsidRPr="00874C97">
        <w:rPr>
          <w:rFonts w:ascii="Times New Roman" w:hAnsi="Times New Roman" w:cs="Times New Roman"/>
          <w:i/>
          <w:lang w:val="it-IT"/>
        </w:rPr>
        <w:t>Ex captivitate salus?</w:t>
      </w:r>
      <w:r w:rsidRPr="00874C97">
        <w:rPr>
          <w:rFonts w:ascii="Times New Roman" w:hAnsi="Times New Roman" w:cs="Times New Roman"/>
          <w:lang w:val="it-IT"/>
        </w:rPr>
        <w:t xml:space="preserve"> in </w:t>
      </w:r>
      <w:r w:rsidRPr="00874C97">
        <w:rPr>
          <w:rFonts w:ascii="Times New Roman" w:hAnsi="Times New Roman" w:cs="Times New Roman"/>
          <w:i/>
          <w:lang w:val="it-IT"/>
        </w:rPr>
        <w:t>Giustamm.it</w:t>
      </w:r>
      <w:r w:rsidRPr="00874C97">
        <w:rPr>
          <w:rFonts w:ascii="Times New Roman" w:hAnsi="Times New Roman" w:cs="Times New Roman"/>
          <w:lang w:val="it-IT"/>
        </w:rPr>
        <w:t xml:space="preserve">., 30 aprile 2020).    In argomento </w:t>
      </w:r>
      <w:r w:rsidRPr="00874C97">
        <w:rPr>
          <w:rFonts w:ascii="Times New Roman" w:hAnsi="Times New Roman" w:cs="Times New Roman"/>
          <w:smallCaps/>
          <w:lang w:val="it-IT"/>
        </w:rPr>
        <w:t>N. Irti</w:t>
      </w:r>
      <w:r w:rsidRPr="00874C97">
        <w:rPr>
          <w:rFonts w:ascii="Times New Roman" w:hAnsi="Times New Roman" w:cs="Times New Roman"/>
          <w:lang w:val="it-IT"/>
        </w:rPr>
        <w:t xml:space="preserve">, </w:t>
      </w:r>
      <w:r w:rsidRPr="00874C97">
        <w:rPr>
          <w:rFonts w:ascii="Times New Roman" w:hAnsi="Times New Roman" w:cs="Times New Roman"/>
          <w:i/>
          <w:lang w:val="it-IT"/>
        </w:rPr>
        <w:t>Viaggio tra gli obbedienti</w:t>
      </w:r>
      <w:r w:rsidRPr="00874C97">
        <w:rPr>
          <w:rFonts w:ascii="Times New Roman" w:hAnsi="Times New Roman" w:cs="Times New Roman"/>
          <w:lang w:val="it-IT"/>
        </w:rPr>
        <w:t>, Milano, La nave di Teseo, 2021.</w:t>
      </w:r>
    </w:p>
    <w:p w14:paraId="04D619C7" w14:textId="77777777" w:rsidR="004A7A36" w:rsidRPr="00874C97" w:rsidRDefault="004A7A36" w:rsidP="00874C97">
      <w:pPr>
        <w:pStyle w:val="Testonotaapidipagina"/>
        <w:jc w:val="both"/>
        <w:rPr>
          <w:rFonts w:ascii="Times New Roman" w:hAnsi="Times New Roman" w:cs="Times New Roman"/>
          <w:lang w:val="it-IT"/>
        </w:rPr>
      </w:pPr>
    </w:p>
  </w:footnote>
  <w:footnote w:id="78">
    <w:p w14:paraId="24A79454"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A. Zito</w:t>
      </w:r>
      <w:r w:rsidRPr="00874C97">
        <w:rPr>
          <w:rFonts w:ascii="Times New Roman" w:hAnsi="Times New Roman" w:cs="Times New Roman"/>
          <w:lang w:val="it-IT"/>
        </w:rPr>
        <w:t xml:space="preserve">, </w:t>
      </w:r>
      <w:r w:rsidRPr="00874C97">
        <w:rPr>
          <w:rFonts w:ascii="Times New Roman" w:hAnsi="Times New Roman" w:cs="Times New Roman"/>
          <w:i/>
          <w:lang w:val="it-IT"/>
        </w:rPr>
        <w:t xml:space="preserve">La </w:t>
      </w:r>
      <w:r w:rsidRPr="00874C97">
        <w:rPr>
          <w:rFonts w:ascii="Times New Roman" w:hAnsi="Times New Roman" w:cs="Times New Roman"/>
          <w:lang w:val="it-IT"/>
        </w:rPr>
        <w:t>nudge regulation</w:t>
      </w:r>
      <w:r w:rsidRPr="00874C97">
        <w:rPr>
          <w:rFonts w:ascii="Times New Roman" w:hAnsi="Times New Roman" w:cs="Times New Roman"/>
          <w:i/>
          <w:lang w:val="it-IT"/>
        </w:rPr>
        <w:t xml:space="preserve"> nella teoria giuridica dell’agire amministrativo. Presupposti e limiti del suo utilizzo da parte delle pubbliche amministrazioni</w:t>
      </w:r>
      <w:r w:rsidRPr="00874C97">
        <w:rPr>
          <w:rFonts w:ascii="Times New Roman" w:hAnsi="Times New Roman" w:cs="Times New Roman"/>
          <w:lang w:val="it-IT"/>
        </w:rPr>
        <w:t>, cit., pag. 77: “Il diritto è effettivo dunque se è in grado di raggiungere sul terreno fattuale il risultato cui la regolazione giuridica è finalizzata, ossia l’effettiva corrispondenza dei comportamenti umani a quelli normativamente ‘regolati’. Si tratta di quella che è stata definita l’effettività primaria perché accanto ad essa esiste anche un’effettività secondaria da intendere come l’applicazione demandata agli organi competenti di irrogare la sanzione in caso di violazione della norma”.</w:t>
      </w:r>
    </w:p>
    <w:p w14:paraId="4BF2145C" w14:textId="77777777" w:rsidR="004A7A36" w:rsidRPr="00874C97" w:rsidRDefault="004A7A36" w:rsidP="00874C97">
      <w:pPr>
        <w:pStyle w:val="Testonotaapidipagina"/>
        <w:jc w:val="both"/>
        <w:rPr>
          <w:rFonts w:ascii="Times New Roman" w:hAnsi="Times New Roman" w:cs="Times New Roman"/>
          <w:lang w:val="it-IT"/>
        </w:rPr>
      </w:pPr>
    </w:p>
  </w:footnote>
  <w:footnote w:id="79">
    <w:p w14:paraId="2103EFF4" w14:textId="77777777" w:rsidR="004A7A36" w:rsidRPr="00874C97" w:rsidRDefault="004A7A36" w:rsidP="00874C97">
      <w:pPr>
        <w:pStyle w:val="Testonotaapidipagina"/>
        <w:jc w:val="both"/>
        <w:rPr>
          <w:rFonts w:ascii="Times New Roman" w:hAnsi="Times New Roman" w:cs="Times New Roman"/>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In giurisprudenza sulla “dialettica fra legalità predicata e legalità praticata”, Consiglio di Stato, sez. III, sentenza n. 8270/2023. </w:t>
      </w:r>
      <w:r w:rsidRPr="00874C97">
        <w:rPr>
          <w:rFonts w:ascii="Times New Roman" w:hAnsi="Times New Roman" w:cs="Times New Roman"/>
          <w:smallCaps/>
          <w:lang w:val="it-IT"/>
        </w:rPr>
        <w:t>G. Corso, M. De Benedetto e N. Rangone</w:t>
      </w:r>
      <w:r w:rsidRPr="00874C97">
        <w:rPr>
          <w:rFonts w:ascii="Times New Roman" w:hAnsi="Times New Roman" w:cs="Times New Roman"/>
          <w:lang w:val="it-IT"/>
        </w:rPr>
        <w:t xml:space="preserve">, </w:t>
      </w:r>
      <w:r w:rsidRPr="00874C97">
        <w:rPr>
          <w:rFonts w:ascii="Times New Roman" w:hAnsi="Times New Roman" w:cs="Times New Roman"/>
          <w:i/>
          <w:lang w:val="it-IT"/>
        </w:rPr>
        <w:t>Diritto amministrativo effettivo, Una introduzione</w:t>
      </w:r>
      <w:r w:rsidRPr="00874C97">
        <w:rPr>
          <w:rFonts w:ascii="Times New Roman" w:hAnsi="Times New Roman" w:cs="Times New Roman"/>
          <w:lang w:val="it-IT"/>
        </w:rPr>
        <w:t xml:space="preserve">, Bologna, 2022, definiscono del resto il tema dell’effettività (solo in parte coincidente con quello della “pratica” del diritto amministrativo, nel senso che qui si è esposto) la «pietra d’inciampo» del diritto amministrativo contemporaneo (pag. 154). </w:t>
      </w:r>
      <w:r w:rsidRPr="00874C97">
        <w:rPr>
          <w:rFonts w:ascii="Times New Roman" w:hAnsi="Times New Roman" w:cs="Times New Roman"/>
        </w:rPr>
        <w:t xml:space="preserve">Si veda in argomento anche il già segnalato studio del </w:t>
      </w:r>
      <w:r w:rsidRPr="00874C97">
        <w:rPr>
          <w:rFonts w:ascii="Times New Roman" w:hAnsi="Times New Roman" w:cs="Times New Roman"/>
          <w:i/>
        </w:rPr>
        <w:t>Conseil d’Etat</w:t>
      </w:r>
      <w:r w:rsidRPr="00874C97">
        <w:rPr>
          <w:rFonts w:ascii="Times New Roman" w:hAnsi="Times New Roman" w:cs="Times New Roman"/>
        </w:rPr>
        <w:t xml:space="preserve"> francese </w:t>
      </w:r>
      <w:r w:rsidRPr="00874C97">
        <w:rPr>
          <w:rFonts w:ascii="Times New Roman" w:hAnsi="Times New Roman" w:cs="Times New Roman"/>
          <w:i/>
        </w:rPr>
        <w:t>« L’usager, du premier au dernier kilomètre: un enjeu d’efficacité de l’action publique et une exigence démocratique »</w:t>
      </w:r>
      <w:r w:rsidRPr="00874C97">
        <w:rPr>
          <w:rFonts w:ascii="Times New Roman" w:hAnsi="Times New Roman" w:cs="Times New Roman"/>
        </w:rPr>
        <w:t>, Paris, 2023.</w:t>
      </w:r>
    </w:p>
    <w:p w14:paraId="2F193803" w14:textId="77777777" w:rsidR="004A7A36" w:rsidRPr="00874C97" w:rsidRDefault="004A7A36" w:rsidP="00874C97">
      <w:pPr>
        <w:pStyle w:val="Testonotaapidipagina"/>
        <w:jc w:val="both"/>
        <w:rPr>
          <w:rFonts w:ascii="Times New Roman" w:hAnsi="Times New Roman" w:cs="Times New Roman"/>
        </w:rPr>
      </w:pPr>
    </w:p>
  </w:footnote>
  <w:footnote w:id="80">
    <w:p w14:paraId="758692CB"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M. R. Spasiano</w:t>
      </w:r>
      <w:r w:rsidRPr="00874C97">
        <w:rPr>
          <w:rFonts w:ascii="Times New Roman" w:hAnsi="Times New Roman" w:cs="Times New Roman"/>
          <w:lang w:val="it-IT"/>
        </w:rPr>
        <w:t xml:space="preserve">, </w:t>
      </w:r>
      <w:r w:rsidRPr="00874C97">
        <w:rPr>
          <w:rFonts w:ascii="Times New Roman" w:hAnsi="Times New Roman" w:cs="Times New Roman"/>
          <w:i/>
          <w:lang w:val="it-IT"/>
        </w:rPr>
        <w:t>Il principio di buon andamento</w:t>
      </w:r>
      <w:r w:rsidRPr="00874C97">
        <w:rPr>
          <w:rFonts w:ascii="Times New Roman" w:hAnsi="Times New Roman" w:cs="Times New Roman"/>
          <w:lang w:val="it-IT"/>
        </w:rPr>
        <w:t>, cit., pag. 135. Siffatta impostazione è espressamente ripresa, nella recente giurisprudenza, dalla già citata sentenza del Cons. Stato, sez. III, 26 marzo 2024, n. 2866, che ha affermato che “L’importanza del risultato nella disciplina dell’attività dell’amministrazione non va riguardata ponendo tale valore in chiave antagonista rispetto al principio di legalità, rispetto al quale potrebbe realizzare una potenziale frizione: al contrario, come pure è stato efficacemente sostenuto successivamente all’entrata in vigore del richiamato d. lgs. n. 36 del 2023, il risultato concorre ad integrare il paradigma normativo del provvedimento, e dunque ad “ampliare il perimetro del sindacato giurisdizionale piuttosto che diminuirlo””.</w:t>
      </w:r>
    </w:p>
    <w:p w14:paraId="46BA6F6E"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Nello stesso senso la sentenza del Consiglio di Stato, sez. III, n. 4701 del 2024, in </w:t>
      </w:r>
      <w:r w:rsidRPr="00874C97">
        <w:rPr>
          <w:rFonts w:ascii="Times New Roman" w:hAnsi="Times New Roman" w:cs="Times New Roman"/>
          <w:i/>
          <w:lang w:val="it-IT"/>
        </w:rPr>
        <w:t>Urb. e app</w:t>
      </w:r>
      <w:r w:rsidRPr="00874C97">
        <w:rPr>
          <w:rFonts w:ascii="Times New Roman" w:hAnsi="Times New Roman" w:cs="Times New Roman"/>
          <w:lang w:val="it-IT"/>
        </w:rPr>
        <w:t xml:space="preserve">., n. 6/2024, pagg. 764 e segg., con nota di </w:t>
      </w:r>
      <w:r w:rsidRPr="00874C97">
        <w:rPr>
          <w:rFonts w:ascii="Times New Roman" w:hAnsi="Times New Roman" w:cs="Times New Roman"/>
          <w:smallCaps/>
          <w:lang w:val="it-IT"/>
        </w:rPr>
        <w:t>A.E. Basilico</w:t>
      </w:r>
      <w:r w:rsidRPr="00874C97">
        <w:rPr>
          <w:rFonts w:ascii="Times New Roman" w:hAnsi="Times New Roman" w:cs="Times New Roman"/>
          <w:lang w:val="it-IT"/>
        </w:rPr>
        <w:t xml:space="preserve">, </w:t>
      </w:r>
      <w:r w:rsidRPr="00874C97">
        <w:rPr>
          <w:rFonts w:ascii="Times New Roman" w:hAnsi="Times New Roman" w:cs="Times New Roman"/>
          <w:i/>
          <w:lang w:val="it-IT"/>
        </w:rPr>
        <w:t>Le funzioni della contrattazione pubblica e il ruolo del giudice amministrativo alla luce dell’obbligo di rispettare i c.a.m</w:t>
      </w:r>
      <w:r w:rsidRPr="00874C97">
        <w:rPr>
          <w:rFonts w:ascii="Times New Roman" w:hAnsi="Times New Roman" w:cs="Times New Roman"/>
          <w:lang w:val="it-IT"/>
        </w:rPr>
        <w:t xml:space="preserve">.; e in </w:t>
      </w:r>
      <w:r w:rsidRPr="00874C97">
        <w:rPr>
          <w:rFonts w:ascii="Times New Roman" w:hAnsi="Times New Roman" w:cs="Times New Roman"/>
          <w:i/>
          <w:lang w:val="it-IT"/>
        </w:rPr>
        <w:t>Giur. It</w:t>
      </w:r>
      <w:r w:rsidRPr="00874C97">
        <w:rPr>
          <w:rFonts w:ascii="Times New Roman" w:hAnsi="Times New Roman" w:cs="Times New Roman"/>
          <w:lang w:val="it-IT"/>
        </w:rPr>
        <w:t xml:space="preserve">., 1/2025, 153 e segg., con nota di </w:t>
      </w:r>
      <w:r w:rsidRPr="00874C97">
        <w:rPr>
          <w:rFonts w:ascii="Times New Roman" w:hAnsi="Times New Roman" w:cs="Times New Roman"/>
          <w:smallCaps/>
          <w:lang w:val="it-IT"/>
        </w:rPr>
        <w:t>R. Caranta</w:t>
      </w:r>
      <w:r w:rsidRPr="00874C97">
        <w:rPr>
          <w:rFonts w:ascii="Times New Roman" w:hAnsi="Times New Roman" w:cs="Times New Roman"/>
          <w:lang w:val="it-IT"/>
        </w:rPr>
        <w:t xml:space="preserve">, </w:t>
      </w:r>
      <w:r w:rsidRPr="00874C97">
        <w:rPr>
          <w:rFonts w:ascii="Times New Roman" w:hAnsi="Times New Roman" w:cs="Times New Roman"/>
          <w:i/>
          <w:lang w:val="it-IT"/>
        </w:rPr>
        <w:t>Il Consiglio di Stato tiene dritta la barra sugli appalti verdi</w:t>
      </w:r>
      <w:r w:rsidRPr="00874C97">
        <w:rPr>
          <w:rFonts w:ascii="Times New Roman" w:hAnsi="Times New Roman" w:cs="Times New Roman"/>
          <w:lang w:val="it-IT"/>
        </w:rPr>
        <w:t xml:space="preserve">. Su tale sentenza si veda altresì </w:t>
      </w:r>
      <w:r w:rsidRPr="00874C97">
        <w:rPr>
          <w:rFonts w:ascii="Times New Roman" w:hAnsi="Times New Roman" w:cs="Times New Roman"/>
          <w:smallCaps/>
          <w:lang w:val="it-IT"/>
        </w:rPr>
        <w:t>L. Carbone</w:t>
      </w:r>
      <w:r w:rsidRPr="00874C97">
        <w:rPr>
          <w:rFonts w:ascii="Times New Roman" w:hAnsi="Times New Roman" w:cs="Times New Roman"/>
          <w:lang w:val="it-IT"/>
        </w:rPr>
        <w:t xml:space="preserve">, </w:t>
      </w:r>
      <w:r w:rsidRPr="00874C97">
        <w:rPr>
          <w:rFonts w:ascii="Times New Roman" w:hAnsi="Times New Roman" w:cs="Times New Roman"/>
          <w:i/>
          <w:lang w:val="it-IT"/>
        </w:rPr>
        <w:t>Il Codice dei contratti pubblici: un anno di applicazione</w:t>
      </w:r>
      <w:r w:rsidRPr="00874C97">
        <w:rPr>
          <w:rFonts w:ascii="Times New Roman" w:hAnsi="Times New Roman" w:cs="Times New Roman"/>
          <w:lang w:val="it-IT"/>
        </w:rPr>
        <w:t>, in</w:t>
      </w:r>
      <w:r w:rsidRPr="00874C97">
        <w:rPr>
          <w:rFonts w:ascii="Times New Roman" w:hAnsi="Times New Roman" w:cs="Times New Roman"/>
          <w:i/>
          <w:lang w:val="it-IT"/>
        </w:rPr>
        <w:t xml:space="preserve"> Giorn. dir. amm.vo</w:t>
      </w:r>
      <w:r w:rsidRPr="00874C97">
        <w:rPr>
          <w:rFonts w:ascii="Times New Roman" w:hAnsi="Times New Roman" w:cs="Times New Roman"/>
          <w:lang w:val="it-IT"/>
        </w:rPr>
        <w:t>, n. 4/2024, pagg. 441 e segg.</w:t>
      </w:r>
    </w:p>
    <w:p w14:paraId="7951A833"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Una ipotesi di illegittimità dell’atto amministrativo consistente nella “divaricazione, sul piano dell’effettività, fra tutela astrattamente prevista e misure realmente praticate” è stata poi affermata da Consiglio di Stato, sez. III, sentenza 6 dicembre 2023 n. 10570 (in materia di assegno di cura a minore affetto da disturbo della relazione e della comunicazione per disturbo dello spettro autistico, classificato al livello 3 di gravità).</w:t>
      </w:r>
    </w:p>
    <w:p w14:paraId="4CAE932E" w14:textId="77777777" w:rsidR="004A7A36" w:rsidRPr="00874C97" w:rsidRDefault="004A7A36" w:rsidP="00874C97">
      <w:pPr>
        <w:pStyle w:val="Testonotaapidipagina"/>
        <w:jc w:val="both"/>
        <w:rPr>
          <w:rFonts w:ascii="Times New Roman" w:hAnsi="Times New Roman" w:cs="Times New Roman"/>
          <w:lang w:val="it-IT"/>
        </w:rPr>
      </w:pPr>
    </w:p>
  </w:footnote>
  <w:footnote w:id="81">
    <w:p w14:paraId="60511FDB" w14:textId="77777777" w:rsidR="004A7A36" w:rsidRPr="00874C97" w:rsidRDefault="004A7A36" w:rsidP="00874C97">
      <w:pPr>
        <w:spacing w:line="240" w:lineRule="auto"/>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Per un esempio didascalico, Consiglio di Giustizia Amministrativa per la Regione Siciliana, sentenza n. 356/2018, in merito alla quale si tornerà.</w:t>
      </w:r>
    </w:p>
  </w:footnote>
  <w:footnote w:id="82">
    <w:p w14:paraId="233FEDBA"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La sentenza del Consiglio di Stato, sez. III, n. 1596/2025, relativa ad un’azione di classe contro l’inefficienza della pubblica amministrazione, ha in proposito affermato che “la categoria della illegittimità, intesa come contrarietà al disegno normativo, si configura pertanto non soltanto nell'ipotesi di positiva adozione di un provvedimento il cui contenuto contrasta con il paradigma normativo, ma anche nella fattispecie di non episodica od occasionale ineffettività del risultato voluto dalla norma, conseguente alla mancata adozione delle misure organizzative necessarie per garantirne l'attuazione.  La norma sanziona così scelte allocative di risorse che risultino disfunzionali (in quanto privilegiano attività ed obiettivi diversi o ulteriori), che determinano una sostanziale frustrazione o negazione dell’interesse pubblico primario indicato normativamente come tale, e che risultano pertanto lesivi di tale interesse (e dei correlati interessi legittimi) in modo non dissimile da quanto accade in ipotesi di adozione di un provvedimento illegittimo. In tal modo la dimensione dell’ineffettività (dovuta ad inefficienza) è fatta transitare dal legislatore nel perimetro dell’illegittimità amministrativa: sia pure – anche in ragione dell’oggetto, collettivo e non individuale, della domanda e del connesso accertamento - con effetti non caducatori ma unicamente correttivi (in funzione del recupero di effettività dell’azione amministrativa)”.</w:t>
      </w:r>
    </w:p>
    <w:p w14:paraId="668FB1E3" w14:textId="77777777" w:rsidR="004A7A36" w:rsidRPr="00874C97" w:rsidRDefault="004A7A36" w:rsidP="00874C97">
      <w:pPr>
        <w:pStyle w:val="Testonotaapidipagina"/>
        <w:jc w:val="both"/>
        <w:rPr>
          <w:rFonts w:ascii="Times New Roman" w:hAnsi="Times New Roman" w:cs="Times New Roman"/>
          <w:lang w:val="it-IT"/>
        </w:rPr>
      </w:pPr>
    </w:p>
  </w:footnote>
  <w:footnote w:id="83">
    <w:p w14:paraId="31A84FF2"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L’importanza del controllo giurisdizionale amministrativo sul modo in cui l’amministrazione, in questa materia, «ordina gli interessi» ed acquisisce i dati necessari e utili alla decisione, è giustamente posta in evidenza, anche nella prospettiva dell’«importanza del regime di diritto amministrativo» quale sistema di tutela del cittadino contro l’«arroganza del potere», da </w:t>
      </w:r>
      <w:r w:rsidRPr="00874C97">
        <w:rPr>
          <w:rFonts w:ascii="Times New Roman" w:hAnsi="Times New Roman" w:cs="Times New Roman"/>
          <w:smallCaps/>
          <w:lang w:val="it-IT"/>
        </w:rPr>
        <w:t>F. Fracchia</w:t>
      </w:r>
      <w:r w:rsidRPr="00874C97">
        <w:rPr>
          <w:rFonts w:ascii="Times New Roman" w:hAnsi="Times New Roman" w:cs="Times New Roman"/>
          <w:lang w:val="it-IT"/>
        </w:rPr>
        <w:t xml:space="preserve">, </w:t>
      </w:r>
      <w:r w:rsidRPr="00874C97">
        <w:rPr>
          <w:rFonts w:ascii="Times New Roman" w:hAnsi="Times New Roman" w:cs="Times New Roman"/>
          <w:i/>
          <w:lang w:val="it-IT"/>
        </w:rPr>
        <w:t>Transizioni: il punto di vista del diritto amministrativo</w:t>
      </w:r>
      <w:r w:rsidRPr="00874C97">
        <w:rPr>
          <w:rFonts w:ascii="Times New Roman" w:hAnsi="Times New Roman" w:cs="Times New Roman"/>
          <w:lang w:val="it-IT"/>
        </w:rPr>
        <w:t>, cit., 63; ove anche l’affermazione secondo la quale «una controprova dell’importanza (appunto in termini di garanzia del cittadino) di questa impostazione si rinvenga ponendo mente ai casi in cui, nel delineare la cornice normativa delle transizioni, si assiste a forzature e superamenti del fisiologico regime di diritto amministrativo. Ciò avviene quando la politica irrita il diritto fino al punto di sostituire alla dinamica incentrata sull’intervento dell’amministrazione (sottoposta al regime del diritto amministrativo) meccanismi diversi, quali la legificazione di atti di programmazione (PNRR), lo svuotamento delle sedi decisionali ordinarie o, comunque, alcune deroghe ai regimi tradizionali».</w:t>
      </w:r>
    </w:p>
    <w:p w14:paraId="210FC1C5" w14:textId="77777777" w:rsidR="004A7A36" w:rsidRPr="00874C97" w:rsidRDefault="004A7A36" w:rsidP="00874C97">
      <w:pPr>
        <w:pStyle w:val="Testonotaapidipagina"/>
        <w:jc w:val="both"/>
        <w:rPr>
          <w:rFonts w:ascii="Times New Roman" w:hAnsi="Times New Roman" w:cs="Times New Roman"/>
          <w:lang w:val="it-IT"/>
        </w:rPr>
      </w:pPr>
    </w:p>
  </w:footnote>
  <w:footnote w:id="84">
    <w:p w14:paraId="748967A6" w14:textId="77777777" w:rsidR="004A7A36" w:rsidRPr="00874C97" w:rsidRDefault="004A7A36" w:rsidP="00874C97">
      <w:pPr>
        <w:jc w:val="both"/>
        <w:rPr>
          <w:rFonts w:ascii="Times New Roman" w:hAnsi="Times New Roman" w:cs="Times New Roman"/>
          <w:sz w:val="20"/>
          <w:szCs w:val="20"/>
          <w:lang w:val="it-IT"/>
        </w:rPr>
      </w:pPr>
      <w:r w:rsidRPr="00874C97">
        <w:rPr>
          <w:rStyle w:val="Rimandonotaapidipagina"/>
          <w:rFonts w:ascii="Times New Roman" w:hAnsi="Times New Roman" w:cs="Times New Roman"/>
          <w:sz w:val="20"/>
          <w:szCs w:val="20"/>
        </w:rPr>
        <w:footnoteRef/>
      </w:r>
      <w:r w:rsidRPr="00874C97">
        <w:rPr>
          <w:rFonts w:ascii="Times New Roman" w:hAnsi="Times New Roman" w:cs="Times New Roman"/>
          <w:sz w:val="20"/>
          <w:szCs w:val="20"/>
          <w:lang w:val="it-IT"/>
        </w:rPr>
        <w:t xml:space="preserve"> Per un esempio didascalico, Consiglio di Giustizia Amministrativa per la Regione Siciliana, sentenza n. 356/2018, cit.: “L’odierna ricorrente, invalida al 100%, ha chiesto al Comune di Palermo che l’area di parcheggio datale in concessione dinanzi alla propria abitazione, in Via Carini all’altezza del civico 35, fosse delimitata, mediante dissuasori mobili, ricevendo un primo diniego, con atto del 2.10.2014. In particolare, ha chiesto che tali dissuasori assumessero la forma “di pali o paletti” disposti lungo il perimetro con eventuale simbolo di accessibilità ai sensi dell’art. 381 del regolamento di attuazione del Codice della strada. Proposto ricorso avverso tale diniego, il Tar con sentenza n. 1785/2015 lo ha accolto precisando che, nel conformarsi alla sentenza, il Comune avrebbe dovuto effettuare un sopralluogo e verificare se, anche al fine di contemperare le esigenze della sicurezza e della incolumità pubblica con quella di inibire la sosta ai non autorizzati, fosse possibile il posizionamento di appositi dissuasori. Il Comune, rimasto inizialmente inerte, procedeva in un secondo momento ad effettuare il sopralluogo e all’esito ribadiva il proprio diniego, con atto del 30.5.2016, affermando l’impossibilità di collocare dei dissuasori per diverse ragioni tra le quali il fatto che, trattandosi di uno spazio stradale aperto alla circolazione, la loro presenza ostacolerebbe la manovra dei veicoli. Proposto un secondo ricorso, nella sede dell’ottemperanza, assumendo che il Comune non avesse, in questo modo, dato corretta esecuzione alla sentenza di cognizione, il Tar lo ha respinto, con la sentenza 154/2017, ritenendo che, al contrario, la prima sentenza fosse stata eseguita, sebbene con un provvedimento conclusivo di segno negativo per la ricorrente. Avverso la sentenza 154/2017 è proposto il presente appello, deducendone l’erroneità sul rilievo che la condotta complessiva del Comune non sarebbe stata rispettosa della sentenza di cognizione 1785/2015, come dimostrerebbero anche le modalità del sopralluogo (…..) si deve ritenere che gravi sull’Amministrazione comunale un’obbligazione di risultato, il cui oggetto consiste nel fare tutto ciò che sia necessario per assicurare alla titolare della concessione l’effettiva fruizione del parcheggio; rimettendo peraltro alla stessa Amministrazione la scelta delle modalità ritenute più utili e opportune per adempiere a tale obbligazione. L’odierna appellante ha chiesto, a più riprese, che tale obbligazione fosse adempiuta secondo una modalità precisa, ossia attraverso la collocazione di dissuasori, con una tecnica – all’apparenza efficace e non particolarmente onerosa - che il Comune ha però sinora reputato poco compatibile, tra l’altro, con le esigenze della circolazione e con lo stato dei luoghi, infine prospettando anche che in tal modo (e mediante l’utilizzo di catene, sbarre o barriere) si potrebbe configurare una vera e propria occupazione del suolo pubblico. A fronte di tale posizione del Comune, osserva il Collegio come vi possano essere altre modalità per assicurare il medesimo obiettivo primario – che rimane, come veduto, la fruizione effettiva e indisturbata del parcheggio in capo all’avente diritto; modalità che ben potrebbero consistere, inter alia, in aggiunta o in sostituzione rispetto a “dissuasori” (la cui tipologia è a scelta del Comune, quali catene, sbarre elettriche, pali retrattili), nel posizionamento di telecamere in chiave deterrente, ovvero nella costante presenza fisica di un vigile urbano che impedisca l’uso del parcheggio da parte di terzi o che, quanto meno, ne sanzioni sul piano amministrativo le condotte contrarie al Codice della strada, nella pronta disponibilità di un servizio di rimozione dei veicoli che occupino abusivamente il posto auto riservato. Quel che non è dato consentire, di sicuro, è che le infrazioni dei singoli si giovino dell’assenza di controlli da parte dell’autorità competente”.</w:t>
      </w:r>
    </w:p>
  </w:footnote>
  <w:footnote w:id="85">
    <w:p w14:paraId="565A3746"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i/>
          <w:lang w:val="it-IT"/>
        </w:rPr>
        <w:t>Ex multis</w:t>
      </w:r>
      <w:r w:rsidRPr="00874C97">
        <w:rPr>
          <w:rFonts w:ascii="Times New Roman" w:hAnsi="Times New Roman" w:cs="Times New Roman"/>
          <w:lang w:val="it-IT"/>
        </w:rPr>
        <w:t xml:space="preserve"> T.A.R. Calabria, sezione staccata di Reggio Calabria, sentenza n. 748/2023. In materia di risarcimento del danno da ritardata predisposizione del cd. “progetto individuale di assistenza” previsto dall’art. 14 della legge n. 328/2000, in favore di soggetto minore affetto da deficit dell’attenzione e ritardo nello sviluppo psicomotorio</w:t>
      </w:r>
    </w:p>
    <w:p w14:paraId="5E076EE4" w14:textId="77777777" w:rsidR="004A7A36" w:rsidRPr="00874C97" w:rsidRDefault="004A7A36" w:rsidP="00874C97">
      <w:pPr>
        <w:pStyle w:val="Testonotaapidipagina"/>
        <w:jc w:val="both"/>
        <w:rPr>
          <w:rFonts w:ascii="Times New Roman" w:hAnsi="Times New Roman" w:cs="Times New Roman"/>
          <w:lang w:val="it-IT"/>
        </w:rPr>
      </w:pPr>
      <w:r w:rsidRPr="00874C97">
        <w:rPr>
          <w:rFonts w:ascii="Times New Roman" w:hAnsi="Times New Roman" w:cs="Times New Roman"/>
          <w:lang w:val="it-IT"/>
        </w:rPr>
        <w:t xml:space="preserve"> </w:t>
      </w:r>
    </w:p>
  </w:footnote>
  <w:footnote w:id="86">
    <w:p w14:paraId="5E360156"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Che pure ha una sua rilevanza culturale, al di là – e prima - della sua effettiva applicazione: “Per i principi vale a fortiori quanto Emilio Betti scriveva in generale a proposito delle leggi: "Una legge vale non solo per quello che dispone, ma anche per le esigenze d'ordine intellettuale e morale che pone allo spirito di coloro cui si rivolge. È vero che, di per sé, una legge non vale a riformare di punto in bianco un costume corrotto e ad instaurare ex abrupto una educazione che manca. Non si potrà negare, però, che essa valga, per lo meno, a spiegare una certa influenza educativa sul costume [...]"” (</w:t>
      </w:r>
      <w:r w:rsidRPr="00874C97">
        <w:rPr>
          <w:rFonts w:ascii="Times New Roman" w:hAnsi="Times New Roman" w:cs="Times New Roman"/>
          <w:smallCaps/>
          <w:lang w:val="it-IT"/>
        </w:rPr>
        <w:t>R. Caranta</w:t>
      </w:r>
      <w:r w:rsidRPr="00874C97">
        <w:rPr>
          <w:rFonts w:ascii="Times New Roman" w:hAnsi="Times New Roman" w:cs="Times New Roman"/>
          <w:lang w:val="it-IT"/>
        </w:rPr>
        <w:t xml:space="preserve">, </w:t>
      </w:r>
      <w:r w:rsidRPr="00874C97">
        <w:rPr>
          <w:rFonts w:ascii="Times New Roman" w:hAnsi="Times New Roman" w:cs="Times New Roman"/>
          <w:i/>
          <w:lang w:val="it-IT"/>
        </w:rPr>
        <w:t>Il nuovo codice dei contratti pubblici - I princìpi nel nuovo codice dei contratti pubblici, artt. 1-12</w:t>
      </w:r>
      <w:r w:rsidRPr="00874C97">
        <w:rPr>
          <w:rFonts w:ascii="Times New Roman" w:hAnsi="Times New Roman" w:cs="Times New Roman"/>
          <w:lang w:val="it-IT"/>
        </w:rPr>
        <w:t xml:space="preserve">, in </w:t>
      </w:r>
      <w:r w:rsidRPr="00874C97">
        <w:rPr>
          <w:rFonts w:ascii="Times New Roman" w:hAnsi="Times New Roman" w:cs="Times New Roman"/>
          <w:i/>
          <w:lang w:val="it-IT"/>
        </w:rPr>
        <w:t>Giur. It</w:t>
      </w:r>
      <w:r w:rsidRPr="00874C97">
        <w:rPr>
          <w:rFonts w:ascii="Times New Roman" w:hAnsi="Times New Roman" w:cs="Times New Roman"/>
          <w:lang w:val="it-IT"/>
        </w:rPr>
        <w:t xml:space="preserve">., 8-9/2023, pagg. 1950 e segg). Un simile approccio va però verificato, nell’epoca contemporanea, di fronte al diverso costume, sempre più frequente, di una legislazione-alibi: che serve al potere politico per dare l’impressione, o per lasciare traccia documentale, di aver  affrontato un problema, senza che in realtà, per usare le parole di Betti, che vi sia una reale volontà di “spiegare una certa influenza educativa sul costume”: ed anzi auspicando che l’inerzia attuativa contribuisca a non mutare assetti comportamentali che l’effettività delle norme approvate rischierebbe dimettere in discussione.  </w:t>
      </w:r>
    </w:p>
    <w:p w14:paraId="58DE1848" w14:textId="77777777" w:rsidR="004A7A36" w:rsidRPr="00874C97" w:rsidRDefault="004A7A36" w:rsidP="00874C97">
      <w:pPr>
        <w:pStyle w:val="Testonotaapidipagina"/>
        <w:jc w:val="both"/>
        <w:rPr>
          <w:rFonts w:ascii="Times New Roman" w:hAnsi="Times New Roman" w:cs="Times New Roman"/>
          <w:lang w:val="it-IT"/>
        </w:rPr>
      </w:pPr>
    </w:p>
  </w:footnote>
  <w:footnote w:id="87">
    <w:p w14:paraId="5B566C67" w14:textId="77777777" w:rsidR="004A7A36" w:rsidRPr="00874C97" w:rsidRDefault="004A7A36" w:rsidP="00874C97">
      <w:pPr>
        <w:pStyle w:val="Testonotaapidipagina"/>
        <w:jc w:val="both"/>
        <w:rPr>
          <w:rFonts w:ascii="Times New Roman" w:hAnsi="Times New Roman" w:cs="Times New Roman"/>
          <w:lang w:val="it-IT"/>
        </w:rPr>
      </w:pPr>
      <w:r w:rsidRPr="00874C97">
        <w:rPr>
          <w:rStyle w:val="Rimandonotaapidipagina"/>
          <w:rFonts w:ascii="Times New Roman" w:hAnsi="Times New Roman" w:cs="Times New Roman"/>
        </w:rPr>
        <w:footnoteRef/>
      </w:r>
      <w:r w:rsidRPr="00874C97">
        <w:rPr>
          <w:rFonts w:ascii="Times New Roman" w:hAnsi="Times New Roman" w:cs="Times New Roman"/>
          <w:lang w:val="it-IT"/>
        </w:rPr>
        <w:t xml:space="preserve"> </w:t>
      </w:r>
      <w:r w:rsidRPr="00874C97">
        <w:rPr>
          <w:rFonts w:ascii="Times New Roman" w:hAnsi="Times New Roman" w:cs="Times New Roman"/>
          <w:smallCaps/>
          <w:lang w:val="it-IT"/>
        </w:rPr>
        <w:t>C. Acocella</w:t>
      </w:r>
      <w:r w:rsidRPr="00874C97">
        <w:rPr>
          <w:rFonts w:ascii="Times New Roman" w:hAnsi="Times New Roman" w:cs="Times New Roman"/>
          <w:lang w:val="it-IT"/>
        </w:rPr>
        <w:t xml:space="preserve">, </w:t>
      </w:r>
      <w:r w:rsidRPr="00874C97">
        <w:rPr>
          <w:rFonts w:ascii="Times New Roman" w:hAnsi="Times New Roman" w:cs="Times New Roman"/>
          <w:i/>
          <w:lang w:val="it-IT"/>
        </w:rPr>
        <w:t>Livelli essenziali delle prestazioni e giudice amministrativo</w:t>
      </w:r>
      <w:r w:rsidRPr="00874C97">
        <w:rPr>
          <w:rFonts w:ascii="Times New Roman" w:hAnsi="Times New Roman" w:cs="Times New Roman"/>
          <w:lang w:val="it-IT"/>
        </w:rPr>
        <w:t>, in</w:t>
      </w:r>
      <w:r w:rsidRPr="00874C97">
        <w:rPr>
          <w:rFonts w:ascii="Times New Roman" w:hAnsi="Times New Roman" w:cs="Times New Roman"/>
          <w:i/>
          <w:lang w:val="it-IT"/>
        </w:rPr>
        <w:t xml:space="preserve"> Persona e Amministrazione</w:t>
      </w:r>
      <w:r w:rsidRPr="00874C97">
        <w:rPr>
          <w:rFonts w:ascii="Times New Roman" w:hAnsi="Times New Roman" w:cs="Times New Roman"/>
          <w:lang w:val="it-IT"/>
        </w:rPr>
        <w:t xml:space="preserve">, n. 2/2023. In materia di profili costituzionali della spesa sanitaria, con particolare riguardo ai LEA, </w:t>
      </w:r>
      <w:r w:rsidRPr="00874C97">
        <w:rPr>
          <w:rFonts w:ascii="Times New Roman" w:hAnsi="Times New Roman" w:cs="Times New Roman"/>
          <w:smallCaps/>
          <w:lang w:val="it-IT"/>
        </w:rPr>
        <w:t>F. Pallante</w:t>
      </w:r>
      <w:r w:rsidRPr="00874C97">
        <w:rPr>
          <w:rFonts w:ascii="Times New Roman" w:hAnsi="Times New Roman" w:cs="Times New Roman"/>
          <w:lang w:val="it-IT"/>
        </w:rPr>
        <w:t xml:space="preserve">, </w:t>
      </w:r>
      <w:r w:rsidRPr="00874C97">
        <w:rPr>
          <w:rFonts w:ascii="Times New Roman" w:hAnsi="Times New Roman" w:cs="Times New Roman"/>
          <w:i/>
          <w:lang w:val="it-IT"/>
        </w:rPr>
        <w:t>Diritto alla salute e spesa sanitaria</w:t>
      </w:r>
      <w:r w:rsidRPr="00874C97">
        <w:rPr>
          <w:rFonts w:ascii="Times New Roman" w:hAnsi="Times New Roman" w:cs="Times New Roman"/>
          <w:lang w:val="it-IT"/>
        </w:rPr>
        <w:t xml:space="preserve">, cit.; e </w:t>
      </w:r>
      <w:r w:rsidRPr="00874C97">
        <w:rPr>
          <w:rFonts w:ascii="Times New Roman" w:hAnsi="Times New Roman" w:cs="Times New Roman"/>
          <w:smallCaps/>
          <w:lang w:val="it-IT"/>
        </w:rPr>
        <w:t>M. Bergo</w:t>
      </w:r>
      <w:r w:rsidRPr="00874C97">
        <w:rPr>
          <w:rFonts w:ascii="Times New Roman" w:hAnsi="Times New Roman" w:cs="Times New Roman"/>
          <w:lang w:val="it-IT"/>
        </w:rPr>
        <w:t xml:space="preserve">, </w:t>
      </w:r>
      <w:r w:rsidRPr="00874C97">
        <w:rPr>
          <w:rFonts w:ascii="Times New Roman" w:hAnsi="Times New Roman" w:cs="Times New Roman"/>
          <w:i/>
          <w:lang w:val="it-IT"/>
        </w:rPr>
        <w:t>E pur si muove … ma come? Le sfide al diritto costituzionale della nuova governance economica  europea e della contabilità accrual</w:t>
      </w:r>
      <w:r w:rsidRPr="00874C97">
        <w:rPr>
          <w:rFonts w:ascii="Times New Roman" w:hAnsi="Times New Roman" w:cs="Times New Roman"/>
          <w:lang w:val="it-IT"/>
        </w:rPr>
        <w:t xml:space="preserve">, in </w:t>
      </w:r>
      <w:r w:rsidRPr="00874C97">
        <w:rPr>
          <w:rFonts w:ascii="Times New Roman" w:hAnsi="Times New Roman" w:cs="Times New Roman"/>
          <w:i/>
          <w:lang w:val="it-IT"/>
        </w:rPr>
        <w:t>Bilancio Comunità Persona</w:t>
      </w:r>
      <w:r w:rsidRPr="00874C97">
        <w:rPr>
          <w:rFonts w:ascii="Times New Roman" w:hAnsi="Times New Roman" w:cs="Times New Roman"/>
          <w:lang w:val="it-IT"/>
        </w:rPr>
        <w:t>, n. 2/2024.</w:t>
      </w:r>
    </w:p>
    <w:p w14:paraId="1D899AFD" w14:textId="77777777" w:rsidR="004A7A36" w:rsidRPr="00874C97" w:rsidRDefault="004A7A36" w:rsidP="00874C97">
      <w:pPr>
        <w:pStyle w:val="Testonotaapidipagina"/>
        <w:jc w:val="both"/>
        <w:rPr>
          <w:rFonts w:ascii="Times New Roman" w:hAnsi="Times New Roman" w:cs="Times New Roman"/>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644ED"/>
    <w:multiLevelType w:val="hybridMultilevel"/>
    <w:tmpl w:val="7DB859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E9"/>
    <w:rsid w:val="00035F39"/>
    <w:rsid w:val="0015625C"/>
    <w:rsid w:val="0016166F"/>
    <w:rsid w:val="001A09F9"/>
    <w:rsid w:val="001C2534"/>
    <w:rsid w:val="001C2E95"/>
    <w:rsid w:val="001D7058"/>
    <w:rsid w:val="00200972"/>
    <w:rsid w:val="0020766F"/>
    <w:rsid w:val="00256B87"/>
    <w:rsid w:val="00297363"/>
    <w:rsid w:val="002D1AB7"/>
    <w:rsid w:val="002D46E5"/>
    <w:rsid w:val="002E7EA4"/>
    <w:rsid w:val="00334B72"/>
    <w:rsid w:val="003445BF"/>
    <w:rsid w:val="00346E20"/>
    <w:rsid w:val="00355CFF"/>
    <w:rsid w:val="00362975"/>
    <w:rsid w:val="003E511C"/>
    <w:rsid w:val="00406236"/>
    <w:rsid w:val="00471047"/>
    <w:rsid w:val="004735E8"/>
    <w:rsid w:val="00484819"/>
    <w:rsid w:val="004A382E"/>
    <w:rsid w:val="004A7A36"/>
    <w:rsid w:val="004C3048"/>
    <w:rsid w:val="004F246F"/>
    <w:rsid w:val="00503C4B"/>
    <w:rsid w:val="00510ED0"/>
    <w:rsid w:val="00563E75"/>
    <w:rsid w:val="005D23C0"/>
    <w:rsid w:val="005F3CD9"/>
    <w:rsid w:val="0060726C"/>
    <w:rsid w:val="00607368"/>
    <w:rsid w:val="0061332B"/>
    <w:rsid w:val="006233ED"/>
    <w:rsid w:val="00624297"/>
    <w:rsid w:val="006B44D9"/>
    <w:rsid w:val="006F5DAE"/>
    <w:rsid w:val="007331F6"/>
    <w:rsid w:val="00734F94"/>
    <w:rsid w:val="00763E70"/>
    <w:rsid w:val="007F6A46"/>
    <w:rsid w:val="00833BC0"/>
    <w:rsid w:val="00843808"/>
    <w:rsid w:val="00874C97"/>
    <w:rsid w:val="008F2376"/>
    <w:rsid w:val="009018A8"/>
    <w:rsid w:val="00940AA6"/>
    <w:rsid w:val="00977E2D"/>
    <w:rsid w:val="00985FCD"/>
    <w:rsid w:val="0098676A"/>
    <w:rsid w:val="009C5726"/>
    <w:rsid w:val="009E4E70"/>
    <w:rsid w:val="00A16E55"/>
    <w:rsid w:val="00A54B88"/>
    <w:rsid w:val="00A81E14"/>
    <w:rsid w:val="00AC33F4"/>
    <w:rsid w:val="00AD159A"/>
    <w:rsid w:val="00AF6AAE"/>
    <w:rsid w:val="00AF758A"/>
    <w:rsid w:val="00B176E9"/>
    <w:rsid w:val="00B210DF"/>
    <w:rsid w:val="00B27691"/>
    <w:rsid w:val="00B44CF1"/>
    <w:rsid w:val="00BC075A"/>
    <w:rsid w:val="00BF3909"/>
    <w:rsid w:val="00CB6007"/>
    <w:rsid w:val="00CE27F9"/>
    <w:rsid w:val="00D15D3E"/>
    <w:rsid w:val="00D231EB"/>
    <w:rsid w:val="00D526CC"/>
    <w:rsid w:val="00D64BEB"/>
    <w:rsid w:val="00D7151B"/>
    <w:rsid w:val="00D8732C"/>
    <w:rsid w:val="00DB3138"/>
    <w:rsid w:val="00DD7E12"/>
    <w:rsid w:val="00E21571"/>
    <w:rsid w:val="00E566D1"/>
    <w:rsid w:val="00EC457E"/>
    <w:rsid w:val="00F04A6E"/>
    <w:rsid w:val="00F2218B"/>
    <w:rsid w:val="00F40A84"/>
    <w:rsid w:val="00F72396"/>
    <w:rsid w:val="00F94ACE"/>
    <w:rsid w:val="00FF2D71"/>
    <w:rsid w:val="00FF5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40B2"/>
  <w15:chartTrackingRefBased/>
  <w15:docId w15:val="{FC4EC734-C711-4F53-BDFA-25324439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76E9"/>
    <w:pPr>
      <w:ind w:left="720"/>
      <w:contextualSpacing/>
    </w:pPr>
  </w:style>
  <w:style w:type="paragraph" w:styleId="Testonotaapidipagina">
    <w:name w:val="footnote text"/>
    <w:basedOn w:val="Normale"/>
    <w:link w:val="TestonotaapidipaginaCarattere"/>
    <w:uiPriority w:val="99"/>
    <w:unhideWhenUsed/>
    <w:rsid w:val="00B176E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176E9"/>
    <w:rPr>
      <w:sz w:val="20"/>
      <w:szCs w:val="20"/>
    </w:rPr>
  </w:style>
  <w:style w:type="character" w:styleId="Rimandonotaapidipagina">
    <w:name w:val="footnote reference"/>
    <w:basedOn w:val="Carpredefinitoparagrafo"/>
    <w:unhideWhenUsed/>
    <w:rsid w:val="00B176E9"/>
    <w:rPr>
      <w:vertAlign w:val="superscript"/>
    </w:rPr>
  </w:style>
  <w:style w:type="paragraph" w:customStyle="1" w:styleId="Capoverso">
    <w:name w:val="Capoverso"/>
    <w:link w:val="CapoversoCarattere"/>
    <w:rsid w:val="006F5DAE"/>
    <w:pPr>
      <w:widowControl w:val="0"/>
      <w:spacing w:after="0" w:line="236" w:lineRule="exact"/>
      <w:ind w:firstLine="284"/>
      <w:jc w:val="both"/>
    </w:pPr>
    <w:rPr>
      <w:rFonts w:ascii="Times New Roman" w:eastAsia="Times New Roman" w:hAnsi="Times New Roman" w:cs="Times New Roman"/>
      <w:sz w:val="21"/>
      <w:szCs w:val="20"/>
      <w:lang w:val="it-IT" w:eastAsia="it-IT"/>
    </w:rPr>
  </w:style>
  <w:style w:type="character" w:customStyle="1" w:styleId="CapoversoCarattere">
    <w:name w:val="Capoverso Carattere"/>
    <w:link w:val="Capoverso"/>
    <w:rsid w:val="006F5DAE"/>
    <w:rPr>
      <w:rFonts w:ascii="Times New Roman" w:eastAsia="Times New Roman" w:hAnsi="Times New Roman" w:cs="Times New Roman"/>
      <w:sz w:val="21"/>
      <w:szCs w:val="20"/>
      <w:lang w:val="it-IT" w:eastAsia="it-IT"/>
    </w:rPr>
  </w:style>
  <w:style w:type="paragraph" w:styleId="Intestazione">
    <w:name w:val="header"/>
    <w:basedOn w:val="Normale"/>
    <w:link w:val="IntestazioneCarattere"/>
    <w:uiPriority w:val="99"/>
    <w:unhideWhenUsed/>
    <w:rsid w:val="00355C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5CFF"/>
  </w:style>
  <w:style w:type="paragraph" w:styleId="Pidipagina">
    <w:name w:val="footer"/>
    <w:basedOn w:val="Normale"/>
    <w:link w:val="PidipaginaCarattere"/>
    <w:uiPriority w:val="99"/>
    <w:unhideWhenUsed/>
    <w:rsid w:val="00355C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90CD-8B4D-4FCC-92C8-4EC45433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8068</Words>
  <Characters>44378</Characters>
  <Application>Microsoft Office Word</Application>
  <DocSecurity>0</DocSecurity>
  <Lines>369</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TULUMELLO Giovanni</cp:lastModifiedBy>
  <cp:revision>2</cp:revision>
  <dcterms:created xsi:type="dcterms:W3CDTF">2025-06-30T13:28:00Z</dcterms:created>
  <dcterms:modified xsi:type="dcterms:W3CDTF">2025-06-30T13:28:00Z</dcterms:modified>
</cp:coreProperties>
</file>