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2CE58" w14:textId="77777777" w:rsidR="0050627F" w:rsidRPr="0050627F" w:rsidRDefault="0050627F" w:rsidP="0050627F">
      <w:pPr>
        <w:shd w:val="clear" w:color="auto" w:fill="FFFFFF"/>
        <w:tabs>
          <w:tab w:val="left" w:pos="9638"/>
        </w:tabs>
        <w:spacing w:before="180" w:after="180" w:line="240" w:lineRule="auto"/>
        <w:jc w:val="center"/>
        <w:outlineLvl w:val="3"/>
        <w:rPr>
          <w:b/>
        </w:rPr>
      </w:pPr>
      <w:r w:rsidRPr="0050627F">
        <w:rPr>
          <w:b/>
        </w:rPr>
        <w:t>Ufficio studi e formazione della Giustizia amministrativa</w:t>
      </w:r>
    </w:p>
    <w:p w14:paraId="2A52DA1D" w14:textId="77777777" w:rsidR="0050627F" w:rsidRPr="00905A33" w:rsidRDefault="0050627F" w:rsidP="0050627F">
      <w:pPr>
        <w:shd w:val="clear" w:color="auto" w:fill="FFFFFF"/>
        <w:tabs>
          <w:tab w:val="left" w:pos="9638"/>
        </w:tabs>
        <w:spacing w:before="180" w:after="180" w:line="240" w:lineRule="auto"/>
        <w:jc w:val="center"/>
        <w:outlineLvl w:val="3"/>
        <w:rPr>
          <w:b/>
          <w:i/>
        </w:rPr>
      </w:pPr>
      <w:r w:rsidRPr="00905A33">
        <w:rPr>
          <w:b/>
          <w:i/>
        </w:rPr>
        <w:t>Le nuove forme di gestione dei beni e dei servizi di interesse economico generale</w:t>
      </w:r>
    </w:p>
    <w:p w14:paraId="478663B3" w14:textId="77777777" w:rsidR="0050627F" w:rsidRPr="0050627F" w:rsidRDefault="0050627F" w:rsidP="0050627F">
      <w:pPr>
        <w:shd w:val="clear" w:color="auto" w:fill="FFFFFF"/>
        <w:tabs>
          <w:tab w:val="left" w:pos="9638"/>
        </w:tabs>
        <w:spacing w:before="180" w:after="180" w:line="240" w:lineRule="auto"/>
        <w:jc w:val="center"/>
        <w:outlineLvl w:val="3"/>
        <w:rPr>
          <w:b/>
        </w:rPr>
      </w:pPr>
      <w:r w:rsidRPr="0050627F">
        <w:rPr>
          <w:b/>
        </w:rPr>
        <w:t>SALERNO, 25-26 settembre 2025</w:t>
      </w:r>
    </w:p>
    <w:p w14:paraId="09ABA9B7" w14:textId="77777777" w:rsidR="0050627F" w:rsidRDefault="0050627F" w:rsidP="0050627F">
      <w:pPr>
        <w:shd w:val="clear" w:color="auto" w:fill="FFFFFF"/>
        <w:tabs>
          <w:tab w:val="left" w:pos="9638"/>
        </w:tabs>
        <w:spacing w:before="180" w:after="180" w:line="240" w:lineRule="auto"/>
        <w:jc w:val="center"/>
        <w:outlineLvl w:val="3"/>
      </w:pPr>
      <w:r>
        <w:t>26 settembre 2025</w:t>
      </w:r>
    </w:p>
    <w:p w14:paraId="199A833C" w14:textId="77777777" w:rsidR="0050627F" w:rsidRPr="0050627F" w:rsidRDefault="0050627F" w:rsidP="0050627F">
      <w:pPr>
        <w:shd w:val="clear" w:color="auto" w:fill="FFFFFF"/>
        <w:tabs>
          <w:tab w:val="left" w:pos="9638"/>
        </w:tabs>
        <w:spacing w:before="180" w:after="180" w:line="240" w:lineRule="auto"/>
        <w:jc w:val="center"/>
        <w:outlineLvl w:val="3"/>
        <w:rPr>
          <w:color w:val="FF0000"/>
        </w:rPr>
      </w:pPr>
      <w:r w:rsidRPr="0050627F">
        <w:rPr>
          <w:color w:val="FF0000"/>
        </w:rPr>
        <w:t>Tavola rotonda</w:t>
      </w:r>
    </w:p>
    <w:p w14:paraId="57A95FA6" w14:textId="77777777" w:rsidR="0050627F" w:rsidRPr="0050627F" w:rsidRDefault="0050627F" w:rsidP="0050627F">
      <w:pPr>
        <w:shd w:val="clear" w:color="auto" w:fill="FFFFFF"/>
        <w:tabs>
          <w:tab w:val="left" w:pos="9638"/>
        </w:tabs>
        <w:spacing w:before="180" w:after="180" w:line="240" w:lineRule="auto"/>
        <w:jc w:val="center"/>
        <w:outlineLvl w:val="3"/>
        <w:rPr>
          <w:color w:val="FF0000"/>
        </w:rPr>
      </w:pPr>
      <w:r w:rsidRPr="0050627F">
        <w:rPr>
          <w:color w:val="FF0000"/>
        </w:rPr>
        <w:t>Regolazione, vigilanza e controlli sulla gestione dei beni pubblici: profili sostanziali e processuali</w:t>
      </w:r>
    </w:p>
    <w:p w14:paraId="17C74EC1" w14:textId="77777777" w:rsidR="0050627F" w:rsidRPr="0050627F" w:rsidRDefault="0050627F" w:rsidP="00060178">
      <w:pPr>
        <w:shd w:val="clear" w:color="auto" w:fill="FFFFFF"/>
        <w:tabs>
          <w:tab w:val="left" w:pos="9638"/>
        </w:tabs>
        <w:spacing w:before="180" w:after="180" w:line="240" w:lineRule="auto"/>
        <w:jc w:val="both"/>
        <w:outlineLvl w:val="3"/>
        <w:rPr>
          <w:color w:val="FF0000"/>
        </w:rPr>
      </w:pPr>
    </w:p>
    <w:p w14:paraId="542507B9" w14:textId="77777777" w:rsidR="0050627F" w:rsidRDefault="0063576B" w:rsidP="00060178">
      <w:pPr>
        <w:shd w:val="clear" w:color="auto" w:fill="FFFFFF"/>
        <w:tabs>
          <w:tab w:val="left" w:pos="9638"/>
        </w:tabs>
        <w:spacing w:before="180" w:after="180" w:line="240" w:lineRule="auto"/>
        <w:jc w:val="both"/>
        <w:outlineLvl w:val="3"/>
      </w:pPr>
      <w:r>
        <w:rPr>
          <w:color w:val="000000"/>
        </w:rPr>
        <w:t xml:space="preserve">Intervento di </w:t>
      </w:r>
      <w:r>
        <w:t>Nicola Durante, Consigliere di T.A.R.</w:t>
      </w:r>
      <w:r w:rsidR="00905A33">
        <w:t>,</w:t>
      </w:r>
      <w:r>
        <w:t xml:space="preserve"> Presidente di sezione del T.A.R. Campania – Sezione staccata Salerno</w:t>
      </w:r>
    </w:p>
    <w:p w14:paraId="2BA6143B" w14:textId="77777777" w:rsidR="0063576B" w:rsidRDefault="0063576B" w:rsidP="00060178">
      <w:pPr>
        <w:shd w:val="clear" w:color="auto" w:fill="FFFFFF"/>
        <w:tabs>
          <w:tab w:val="left" w:pos="9638"/>
        </w:tabs>
        <w:spacing w:before="180" w:after="180" w:line="240" w:lineRule="auto"/>
        <w:jc w:val="both"/>
        <w:outlineLvl w:val="3"/>
        <w:rPr>
          <w:color w:val="000000"/>
        </w:rPr>
      </w:pPr>
    </w:p>
    <w:p w14:paraId="1D62F4FA" w14:textId="77777777" w:rsidR="0017183A" w:rsidRPr="0060133E" w:rsidRDefault="00905A33" w:rsidP="00060178">
      <w:pPr>
        <w:shd w:val="clear" w:color="auto" w:fill="FFFFFF"/>
        <w:tabs>
          <w:tab w:val="left" w:pos="9638"/>
        </w:tabs>
        <w:spacing w:before="180" w:after="180" w:line="240" w:lineRule="auto"/>
        <w:jc w:val="both"/>
        <w:outlineLvl w:val="3"/>
        <w:rPr>
          <w:color w:val="000000"/>
        </w:rPr>
      </w:pPr>
      <w:r>
        <w:rPr>
          <w:color w:val="000000"/>
        </w:rPr>
        <w:t>Accade sovente che</w:t>
      </w:r>
      <w:r w:rsidR="0017183A" w:rsidRPr="0060133E">
        <w:rPr>
          <w:color w:val="000000"/>
        </w:rPr>
        <w:t xml:space="preserve">, in materia di </w:t>
      </w:r>
      <w:r w:rsidR="0050627F">
        <w:rPr>
          <w:color w:val="000000"/>
        </w:rPr>
        <w:t>gestione di servizi</w:t>
      </w:r>
      <w:r w:rsidR="0017183A" w:rsidRPr="0060133E">
        <w:rPr>
          <w:color w:val="000000"/>
        </w:rPr>
        <w:t xml:space="preserve"> pubblici e</w:t>
      </w:r>
      <w:r w:rsidR="00FF4F98">
        <w:rPr>
          <w:color w:val="000000"/>
        </w:rPr>
        <w:t>d</w:t>
      </w:r>
      <w:r w:rsidR="0050627F">
        <w:rPr>
          <w:color w:val="000000"/>
        </w:rPr>
        <w:t xml:space="preserve"> in particolare</w:t>
      </w:r>
      <w:r w:rsidR="0017183A" w:rsidRPr="0060133E">
        <w:rPr>
          <w:color w:val="000000"/>
        </w:rPr>
        <w:t xml:space="preserve"> di concessioni</w:t>
      </w:r>
      <w:r w:rsidR="0050627F">
        <w:rPr>
          <w:color w:val="000000"/>
        </w:rPr>
        <w:t xml:space="preserve"> demaniali</w:t>
      </w:r>
      <w:r>
        <w:rPr>
          <w:color w:val="000000"/>
        </w:rPr>
        <w:t>, il processo v</w:t>
      </w:r>
      <w:r w:rsidR="0017183A" w:rsidRPr="0060133E">
        <w:rPr>
          <w:color w:val="000000"/>
        </w:rPr>
        <w:t>e</w:t>
      </w:r>
      <w:r>
        <w:rPr>
          <w:color w:val="000000"/>
        </w:rPr>
        <w:t>nga</w:t>
      </w:r>
      <w:r w:rsidR="0017183A" w:rsidRPr="0060133E">
        <w:rPr>
          <w:color w:val="000000"/>
        </w:rPr>
        <w:t xml:space="preserve"> i</w:t>
      </w:r>
      <w:r>
        <w:rPr>
          <w:color w:val="000000"/>
        </w:rPr>
        <w:t>n</w:t>
      </w:r>
      <w:r w:rsidR="0017183A" w:rsidRPr="0060133E">
        <w:rPr>
          <w:color w:val="000000"/>
        </w:rPr>
        <w:t>staurato su ricorso dell</w:t>
      </w:r>
      <w:r w:rsidR="0060133E">
        <w:rPr>
          <w:color w:val="000000"/>
        </w:rPr>
        <w:t>’</w:t>
      </w:r>
      <w:r w:rsidR="0017183A" w:rsidRPr="0060133E">
        <w:rPr>
          <w:color w:val="000000"/>
        </w:rPr>
        <w:t>Autorità garante per la concorrenza ed il mercato.</w:t>
      </w:r>
    </w:p>
    <w:p w14:paraId="785CD09E" w14:textId="77777777" w:rsidR="0017183A" w:rsidRPr="0060133E" w:rsidRDefault="0017183A" w:rsidP="00060178">
      <w:pPr>
        <w:shd w:val="clear" w:color="auto" w:fill="FFFFFF"/>
        <w:tabs>
          <w:tab w:val="left" w:pos="9638"/>
        </w:tabs>
        <w:spacing w:before="180" w:after="180" w:line="240" w:lineRule="auto"/>
        <w:jc w:val="both"/>
        <w:outlineLvl w:val="3"/>
        <w:rPr>
          <w:color w:val="000000"/>
        </w:rPr>
      </w:pPr>
      <w:r w:rsidRPr="0060133E">
        <w:rPr>
          <w:color w:val="000000"/>
        </w:rPr>
        <w:t xml:space="preserve">Si tratta di una </w:t>
      </w:r>
      <w:r w:rsidR="00905A33">
        <w:rPr>
          <w:color w:val="000000"/>
        </w:rPr>
        <w:t>legittimazione processuale</w:t>
      </w:r>
      <w:r w:rsidRPr="0060133E">
        <w:rPr>
          <w:color w:val="000000"/>
        </w:rPr>
        <w:t xml:space="preserve"> prevista dall</w:t>
      </w:r>
      <w:r w:rsidR="0060133E">
        <w:rPr>
          <w:color w:val="000000"/>
        </w:rPr>
        <w:t>’</w:t>
      </w:r>
      <w:r w:rsidRPr="0060133E">
        <w:rPr>
          <w:color w:val="000000"/>
        </w:rPr>
        <w:t>art. 21-</w:t>
      </w:r>
      <w:r w:rsidRPr="00AD6A00">
        <w:rPr>
          <w:i/>
          <w:color w:val="000000"/>
        </w:rPr>
        <w:t>bis</w:t>
      </w:r>
      <w:r w:rsidRPr="0060133E">
        <w:rPr>
          <w:color w:val="000000"/>
        </w:rPr>
        <w:t xml:space="preserve"> della legge 10 ottobre 1990</w:t>
      </w:r>
      <w:r w:rsidR="00905A33">
        <w:rPr>
          <w:color w:val="000000"/>
        </w:rPr>
        <w:t>,</w:t>
      </w:r>
      <w:r w:rsidRPr="0060133E">
        <w:rPr>
          <w:color w:val="000000"/>
        </w:rPr>
        <w:t xml:space="preserve"> n. 287 (introdotto dall</w:t>
      </w:r>
      <w:r w:rsidR="0060133E">
        <w:rPr>
          <w:color w:val="000000"/>
        </w:rPr>
        <w:t>’</w:t>
      </w:r>
      <w:r w:rsidRPr="0060133E">
        <w:rPr>
          <w:color w:val="000000"/>
        </w:rPr>
        <w:t xml:space="preserve">art. 35 del </w:t>
      </w:r>
      <w:proofErr w:type="spellStart"/>
      <w:r w:rsidRPr="0060133E">
        <w:rPr>
          <w:color w:val="000000"/>
        </w:rPr>
        <w:t>d.l.</w:t>
      </w:r>
      <w:proofErr w:type="spellEnd"/>
      <w:r w:rsidRPr="0060133E">
        <w:rPr>
          <w:color w:val="000000"/>
        </w:rPr>
        <w:t xml:space="preserve"> 6 dicembre 2011</w:t>
      </w:r>
      <w:r w:rsidR="006C0DAC">
        <w:rPr>
          <w:color w:val="000000"/>
        </w:rPr>
        <w:t>,</w:t>
      </w:r>
      <w:r w:rsidRPr="0060133E">
        <w:rPr>
          <w:color w:val="000000"/>
        </w:rPr>
        <w:t xml:space="preserve"> n. 201), il quale dispone che «l</w:t>
      </w:r>
      <w:r w:rsidR="0060133E">
        <w:rPr>
          <w:color w:val="000000"/>
        </w:rPr>
        <w:t>’</w:t>
      </w:r>
      <w:r w:rsidRPr="0060133E">
        <w:rPr>
          <w:color w:val="000000"/>
        </w:rPr>
        <w:t>Autorità garante della concorrenza e del mercato è legittimata ad agire in giudizio contro gli atti amministrativi generali, i regolamenti ed i provvedimenti di qualsiasi amministrazione pubblica che violino le norme a tutela della concorrenza e del mercato».</w:t>
      </w:r>
    </w:p>
    <w:p w14:paraId="1BBC2746" w14:textId="77777777" w:rsidR="0017183A" w:rsidRPr="0060133E" w:rsidRDefault="0017183A" w:rsidP="00060178">
      <w:pPr>
        <w:shd w:val="clear" w:color="auto" w:fill="FFFFFF"/>
        <w:tabs>
          <w:tab w:val="left" w:pos="9638"/>
        </w:tabs>
        <w:spacing w:before="180" w:after="180" w:line="240" w:lineRule="auto"/>
        <w:jc w:val="both"/>
        <w:outlineLvl w:val="3"/>
        <w:rPr>
          <w:color w:val="000000"/>
        </w:rPr>
      </w:pPr>
      <w:r w:rsidRPr="0060133E">
        <w:rPr>
          <w:color w:val="000000"/>
        </w:rPr>
        <w:t>Tale potere di azione si colloca a valle di un articolato procedimento amministrativo, in base al quale l</w:t>
      </w:r>
      <w:r w:rsidR="0060133E">
        <w:rPr>
          <w:color w:val="000000"/>
        </w:rPr>
        <w:t>’</w:t>
      </w:r>
      <w:r w:rsidRPr="0060133E">
        <w:rPr>
          <w:color w:val="000000"/>
        </w:rPr>
        <w:t xml:space="preserve">Autorità è tenuta ad emettere un parere motivato entro sessanta giorni, indicando gli specifici profili delle violazioni riscontrate </w:t>
      </w:r>
      <w:r w:rsidR="0050627F">
        <w:rPr>
          <w:color w:val="000000"/>
        </w:rPr>
        <w:t>alla normativa su</w:t>
      </w:r>
      <w:r w:rsidR="0050627F" w:rsidRPr="0060133E">
        <w:rPr>
          <w:color w:val="000000"/>
        </w:rPr>
        <w:t xml:space="preserve">lla concorrenza e </w:t>
      </w:r>
      <w:r w:rsidR="0050627F">
        <w:rPr>
          <w:color w:val="000000"/>
        </w:rPr>
        <w:t>su</w:t>
      </w:r>
      <w:r w:rsidR="0050627F" w:rsidRPr="0060133E">
        <w:rPr>
          <w:color w:val="000000"/>
        </w:rPr>
        <w:t xml:space="preserve">l mercato </w:t>
      </w:r>
      <w:r w:rsidRPr="0060133E">
        <w:rPr>
          <w:color w:val="000000"/>
        </w:rPr>
        <w:t xml:space="preserve">e, solo se la </w:t>
      </w:r>
      <w:r w:rsidR="006C0DAC">
        <w:rPr>
          <w:color w:val="000000"/>
        </w:rPr>
        <w:t>P.A.</w:t>
      </w:r>
      <w:r w:rsidRPr="0060133E">
        <w:rPr>
          <w:color w:val="000000"/>
        </w:rPr>
        <w:t xml:space="preserve"> non si conforma nei sessanta giorni successivi, può pr</w:t>
      </w:r>
      <w:r w:rsidR="00AD6A00">
        <w:rPr>
          <w:color w:val="000000"/>
        </w:rPr>
        <w:t>opor</w:t>
      </w:r>
      <w:r w:rsidRPr="0060133E">
        <w:rPr>
          <w:color w:val="000000"/>
        </w:rPr>
        <w:t>re ricorso</w:t>
      </w:r>
      <w:r w:rsidR="00AD6A00" w:rsidRPr="00AD6A00">
        <w:rPr>
          <w:color w:val="000000"/>
        </w:rPr>
        <w:t xml:space="preserve"> </w:t>
      </w:r>
      <w:r w:rsidR="00AD6A00" w:rsidRPr="0060133E">
        <w:rPr>
          <w:color w:val="000000"/>
        </w:rPr>
        <w:t>entro i successivi trenta giorni</w:t>
      </w:r>
      <w:r w:rsidRPr="0060133E">
        <w:rPr>
          <w:color w:val="000000"/>
        </w:rPr>
        <w:t>.</w:t>
      </w:r>
    </w:p>
    <w:p w14:paraId="1C3B753C" w14:textId="77777777" w:rsidR="006C0DAC" w:rsidRPr="0060133E" w:rsidRDefault="006C0DAC" w:rsidP="006C0DAC">
      <w:pPr>
        <w:shd w:val="clear" w:color="auto" w:fill="FFFFFF"/>
        <w:tabs>
          <w:tab w:val="left" w:pos="9638"/>
        </w:tabs>
        <w:spacing w:before="180" w:after="180" w:line="240" w:lineRule="auto"/>
        <w:jc w:val="both"/>
        <w:outlineLvl w:val="3"/>
        <w:rPr>
          <w:color w:val="000000"/>
        </w:rPr>
      </w:pPr>
      <w:r w:rsidRPr="0060133E">
        <w:rPr>
          <w:color w:val="000000"/>
        </w:rPr>
        <w:t>Al giudizio così instaurato</w:t>
      </w:r>
      <w:r>
        <w:rPr>
          <w:color w:val="000000"/>
        </w:rPr>
        <w:t>,</w:t>
      </w:r>
      <w:r w:rsidRPr="0060133E">
        <w:rPr>
          <w:color w:val="000000"/>
        </w:rPr>
        <w:t xml:space="preserve"> si applica la disciplina di cui al Titolo V del Libro IV del codice del processo amministrativo (art. 119 </w:t>
      </w:r>
      <w:r>
        <w:rPr>
          <w:color w:val="000000"/>
        </w:rPr>
        <w:t xml:space="preserve">e </w:t>
      </w:r>
      <w:r w:rsidRPr="0060133E">
        <w:rPr>
          <w:color w:val="000000"/>
        </w:rPr>
        <w:t>s</w:t>
      </w:r>
      <w:r>
        <w:rPr>
          <w:color w:val="000000"/>
        </w:rPr>
        <w:t>egg</w:t>
      </w:r>
      <w:r w:rsidRPr="0060133E">
        <w:rPr>
          <w:color w:val="000000"/>
        </w:rPr>
        <w:t>.)</w:t>
      </w:r>
    </w:p>
    <w:p w14:paraId="300D393E" w14:textId="77777777" w:rsidR="00800FE1" w:rsidRDefault="00800FE1" w:rsidP="00800FE1">
      <w:pPr>
        <w:shd w:val="clear" w:color="auto" w:fill="FFFFFF"/>
        <w:tabs>
          <w:tab w:val="left" w:pos="9638"/>
        </w:tabs>
        <w:spacing w:before="180" w:after="180" w:line="240" w:lineRule="auto"/>
        <w:jc w:val="both"/>
        <w:outlineLvl w:val="3"/>
        <w:rPr>
          <w:color w:val="000000"/>
        </w:rPr>
      </w:pPr>
      <w:r w:rsidRPr="0060133E">
        <w:rPr>
          <w:color w:val="000000"/>
        </w:rPr>
        <w:t>La funzione del parere motivato è duplice</w:t>
      </w:r>
      <w:r w:rsidRPr="00367B29">
        <w:rPr>
          <w:color w:val="000000"/>
        </w:rPr>
        <w:t>: esso mira innanzitutto a sollecitare l</w:t>
      </w:r>
      <w:r w:rsidR="006C0DAC">
        <w:rPr>
          <w:color w:val="000000"/>
        </w:rPr>
        <w:t>’</w:t>
      </w:r>
      <w:r w:rsidRPr="00367B29">
        <w:rPr>
          <w:color w:val="000000"/>
        </w:rPr>
        <w:t>amministrazione a rivedere le proprie determinazioni e</w:t>
      </w:r>
      <w:r>
        <w:rPr>
          <w:color w:val="000000"/>
        </w:rPr>
        <w:t>d</w:t>
      </w:r>
      <w:r w:rsidRPr="00367B29">
        <w:rPr>
          <w:color w:val="000000"/>
        </w:rPr>
        <w:t xml:space="preserve"> a conformarsi agli indirizzi dell</w:t>
      </w:r>
      <w:r>
        <w:rPr>
          <w:color w:val="000000"/>
        </w:rPr>
        <w:t>’</w:t>
      </w:r>
      <w:r w:rsidRPr="00367B29">
        <w:rPr>
          <w:color w:val="000000"/>
        </w:rPr>
        <w:t>Autorità, attraverso uno speciale esercizio del potere di autotutela (decisoria), in questo caso configurato come doveroso e giustificato proprio dalla particolare rilevanza dell</w:t>
      </w:r>
      <w:r>
        <w:rPr>
          <w:color w:val="000000"/>
        </w:rPr>
        <w:t>’</w:t>
      </w:r>
      <w:r w:rsidRPr="00367B29">
        <w:rPr>
          <w:color w:val="000000"/>
        </w:rPr>
        <w:t>interesse pubblico in gioco e restando pertanto il ricorso all</w:t>
      </w:r>
      <w:r>
        <w:rPr>
          <w:color w:val="000000"/>
        </w:rPr>
        <w:t>’</w:t>
      </w:r>
      <w:r w:rsidRPr="00367B29">
        <w:rPr>
          <w:color w:val="000000"/>
        </w:rPr>
        <w:t>autorità giudiziaria amministrativa l</w:t>
      </w:r>
      <w:r>
        <w:rPr>
          <w:color w:val="000000"/>
        </w:rPr>
        <w:t>’</w:t>
      </w:r>
      <w:proofErr w:type="spellStart"/>
      <w:r w:rsidRPr="00E1396D">
        <w:rPr>
          <w:i/>
          <w:color w:val="000000"/>
        </w:rPr>
        <w:t>extrema</w:t>
      </w:r>
      <w:proofErr w:type="spellEnd"/>
      <w:r w:rsidRPr="0060133E">
        <w:rPr>
          <w:color w:val="000000"/>
        </w:rPr>
        <w:t xml:space="preserve"> </w:t>
      </w:r>
      <w:r w:rsidRPr="00E1396D">
        <w:rPr>
          <w:i/>
          <w:color w:val="000000"/>
        </w:rPr>
        <w:t>ratio</w:t>
      </w:r>
      <w:r w:rsidRPr="00367B29">
        <w:rPr>
          <w:color w:val="000000"/>
        </w:rPr>
        <w:t> (non essendo stata d</w:t>
      </w:r>
      <w:r>
        <w:rPr>
          <w:color w:val="000000"/>
        </w:rPr>
        <w:t>’</w:t>
      </w:r>
      <w:r w:rsidRPr="00367B29">
        <w:rPr>
          <w:color w:val="000000"/>
        </w:rPr>
        <w:t>altra parte dotata l</w:t>
      </w:r>
      <w:r>
        <w:rPr>
          <w:color w:val="000000"/>
        </w:rPr>
        <w:t>’</w:t>
      </w:r>
      <w:r w:rsidRPr="00367B29">
        <w:rPr>
          <w:color w:val="000000"/>
        </w:rPr>
        <w:t>Autorità di poteri coercitivi nei confronti dell</w:t>
      </w:r>
      <w:r>
        <w:rPr>
          <w:color w:val="000000"/>
        </w:rPr>
        <w:t>’</w:t>
      </w:r>
      <w:r w:rsidRPr="00367B29">
        <w:rPr>
          <w:color w:val="000000"/>
        </w:rPr>
        <w:t>amministrazione pubblica che non intenda conformarsi al predetto parere motivato); d</w:t>
      </w:r>
      <w:r>
        <w:rPr>
          <w:color w:val="000000"/>
        </w:rPr>
        <w:t>’altro canto, la fase pre-</w:t>
      </w:r>
      <w:r w:rsidRPr="00367B29">
        <w:rPr>
          <w:color w:val="000000"/>
        </w:rPr>
        <w:t>contenziosa e</w:t>
      </w:r>
      <w:r>
        <w:rPr>
          <w:color w:val="000000"/>
        </w:rPr>
        <w:t>d</w:t>
      </w:r>
      <w:r w:rsidRPr="00367B29">
        <w:rPr>
          <w:color w:val="000000"/>
        </w:rPr>
        <w:t xml:space="preserve"> il relativo parere, in coerenza con i principi comunitari, sono stati ragionevolmente concepiti anche come significativo strumento di deflazione del contenzioso, potendo ammettersi che il legislatore guardi con disfavore le situazioni in cui due soggetti pubblici si rivolgano direttamente (ed esclusivamente) al giudice per la tutela di un interesse pubblico.</w:t>
      </w:r>
    </w:p>
    <w:p w14:paraId="0659CD14" w14:textId="77777777" w:rsidR="0060133E" w:rsidRDefault="0017183A" w:rsidP="00060178">
      <w:pPr>
        <w:shd w:val="clear" w:color="auto" w:fill="FFFFFF"/>
        <w:tabs>
          <w:tab w:val="left" w:pos="9638"/>
        </w:tabs>
        <w:spacing w:before="180" w:after="180" w:line="240" w:lineRule="auto"/>
        <w:jc w:val="both"/>
        <w:outlineLvl w:val="3"/>
        <w:rPr>
          <w:color w:val="000000"/>
        </w:rPr>
      </w:pPr>
      <w:r w:rsidRPr="0060133E">
        <w:rPr>
          <w:color w:val="000000"/>
        </w:rPr>
        <w:t xml:space="preserve">Sulla legittimità costituzionale della norma e sul </w:t>
      </w:r>
      <w:r w:rsidR="005E6757">
        <w:rPr>
          <w:color w:val="000000"/>
        </w:rPr>
        <w:t xml:space="preserve">suo </w:t>
      </w:r>
      <w:r w:rsidRPr="0060133E">
        <w:rPr>
          <w:color w:val="000000"/>
        </w:rPr>
        <w:t xml:space="preserve">significato, si è espressa la Corte </w:t>
      </w:r>
      <w:r w:rsidR="004A4C0E">
        <w:rPr>
          <w:color w:val="000000"/>
        </w:rPr>
        <w:t>c</w:t>
      </w:r>
      <w:r w:rsidRPr="0060133E">
        <w:rPr>
          <w:color w:val="000000"/>
        </w:rPr>
        <w:t>ostituzionale, chiarendo come sia inesatto parlare di «nuovo e generalizzato controllo di legittimità»</w:t>
      </w:r>
      <w:r w:rsidR="00AD6A00">
        <w:rPr>
          <w:rStyle w:val="Rimandonotaapidipagina"/>
          <w:color w:val="000000"/>
        </w:rPr>
        <w:footnoteReference w:id="1"/>
      </w:r>
      <w:r w:rsidR="0060133E">
        <w:rPr>
          <w:color w:val="000000"/>
        </w:rPr>
        <w:t>.</w:t>
      </w:r>
    </w:p>
    <w:p w14:paraId="3E1D2BAB" w14:textId="77777777" w:rsidR="0017183A" w:rsidRPr="0060133E" w:rsidRDefault="005E6757" w:rsidP="00060178">
      <w:pPr>
        <w:shd w:val="clear" w:color="auto" w:fill="FFFFFF"/>
        <w:tabs>
          <w:tab w:val="left" w:pos="9638"/>
        </w:tabs>
        <w:spacing w:before="180" w:after="180" w:line="240" w:lineRule="auto"/>
        <w:jc w:val="both"/>
        <w:outlineLvl w:val="3"/>
        <w:rPr>
          <w:color w:val="000000"/>
        </w:rPr>
      </w:pPr>
      <w:r>
        <w:rPr>
          <w:color w:val="000000"/>
        </w:rPr>
        <w:t xml:space="preserve">La funzione </w:t>
      </w:r>
      <w:r w:rsidR="0017183A" w:rsidRPr="0060133E">
        <w:rPr>
          <w:color w:val="000000"/>
        </w:rPr>
        <w:t xml:space="preserve">della </w:t>
      </w:r>
      <w:r>
        <w:rPr>
          <w:color w:val="000000"/>
        </w:rPr>
        <w:t>stess</w:t>
      </w:r>
      <w:r w:rsidR="0017183A" w:rsidRPr="0060133E">
        <w:rPr>
          <w:color w:val="000000"/>
        </w:rPr>
        <w:t xml:space="preserve">a </w:t>
      </w:r>
      <w:r w:rsidR="0060133E">
        <w:rPr>
          <w:color w:val="000000"/>
        </w:rPr>
        <w:t xml:space="preserve">è, invero, </w:t>
      </w:r>
      <w:r w:rsidR="0017183A" w:rsidRPr="0060133E">
        <w:rPr>
          <w:color w:val="000000"/>
        </w:rPr>
        <w:t>quell</w:t>
      </w:r>
      <w:r>
        <w:rPr>
          <w:color w:val="000000"/>
        </w:rPr>
        <w:t>a</w:t>
      </w:r>
      <w:r w:rsidR="0017183A" w:rsidRPr="0060133E">
        <w:rPr>
          <w:color w:val="000000"/>
        </w:rPr>
        <w:t xml:space="preserve"> di integrare i poteri d</w:t>
      </w:r>
      <w:r w:rsidR="0060133E">
        <w:rPr>
          <w:color w:val="000000"/>
        </w:rPr>
        <w:t>’</w:t>
      </w:r>
      <w:r w:rsidR="0017183A" w:rsidRPr="0060133E">
        <w:rPr>
          <w:color w:val="000000"/>
        </w:rPr>
        <w:t>intervento già attribuiti all</w:t>
      </w:r>
      <w:r w:rsidR="0060133E">
        <w:rPr>
          <w:color w:val="000000"/>
        </w:rPr>
        <w:t>’</w:t>
      </w:r>
      <w:r w:rsidR="00B5380F">
        <w:rPr>
          <w:color w:val="000000"/>
        </w:rPr>
        <w:t>A</w:t>
      </w:r>
      <w:r w:rsidR="0017183A" w:rsidRPr="0060133E">
        <w:rPr>
          <w:color w:val="000000"/>
        </w:rPr>
        <w:t>utorità garante dagli artt. 21 e seg</w:t>
      </w:r>
      <w:r w:rsidR="0060133E">
        <w:rPr>
          <w:color w:val="000000"/>
        </w:rPr>
        <w:t>g.</w:t>
      </w:r>
      <w:r w:rsidR="0017183A" w:rsidRPr="0060133E">
        <w:rPr>
          <w:color w:val="000000"/>
        </w:rPr>
        <w:t xml:space="preserve"> della legge n. 287 del 1990 (cfr. art. 21, comma 1, </w:t>
      </w:r>
      <w:r w:rsidR="0050627F" w:rsidRPr="0060133E">
        <w:rPr>
          <w:color w:val="000000"/>
        </w:rPr>
        <w:t>della legge n</w:t>
      </w:r>
      <w:r w:rsidR="0017183A" w:rsidRPr="0060133E">
        <w:rPr>
          <w:color w:val="000000"/>
        </w:rPr>
        <w:t>. 287/1990: «Allo scopo di contribuire ad una più completa tutela della concorrenza e del mercato, l</w:t>
      </w:r>
      <w:r w:rsidR="0060133E">
        <w:rPr>
          <w:color w:val="000000"/>
        </w:rPr>
        <w:t>’</w:t>
      </w:r>
      <w:r w:rsidR="0017183A" w:rsidRPr="0060133E">
        <w:rPr>
          <w:color w:val="000000"/>
        </w:rPr>
        <w:t xml:space="preserve">Autorità individua i casi di particolare rilevanza nei quali norme di legge o di regolamento o provvedimenti amministrativi di carattere generale determinano distorsioni della concorrenza o del corretto funzionamento del mercato che non siano </w:t>
      </w:r>
      <w:r w:rsidR="0017183A" w:rsidRPr="0060133E">
        <w:rPr>
          <w:color w:val="000000"/>
        </w:rPr>
        <w:lastRenderedPageBreak/>
        <w:t xml:space="preserve">giustificate da esigenze di interesse generale»), </w:t>
      </w:r>
      <w:r w:rsidR="00A43966">
        <w:rPr>
          <w:color w:val="000000"/>
        </w:rPr>
        <w:t>mediante</w:t>
      </w:r>
      <w:r w:rsidR="0017183A" w:rsidRPr="0060133E">
        <w:rPr>
          <w:color w:val="000000"/>
        </w:rPr>
        <w:t xml:space="preserve"> un </w:t>
      </w:r>
      <w:r w:rsidR="00A43966">
        <w:rPr>
          <w:color w:val="000000"/>
        </w:rPr>
        <w:t xml:space="preserve">ulteriore </w:t>
      </w:r>
      <w:r w:rsidR="0017183A" w:rsidRPr="0060133E">
        <w:rPr>
          <w:color w:val="000000"/>
        </w:rPr>
        <w:t>potere di iniziativa processuale</w:t>
      </w:r>
      <w:r w:rsidR="00A43966">
        <w:rPr>
          <w:color w:val="000000"/>
        </w:rPr>
        <w:t>,</w:t>
      </w:r>
      <w:r w:rsidR="0017183A" w:rsidRPr="0060133E">
        <w:rPr>
          <w:color w:val="000000"/>
        </w:rPr>
        <w:t xml:space="preserve"> finalizzato ad una più completa tutela della concorrenza e del corretto funzionamento del mercato e, comunque, certamente non generalizzato, perché operante soltanto in ordine agli atti amministrativi «che violino le norme a tutela della concorrenza e del mercato».</w:t>
      </w:r>
    </w:p>
    <w:p w14:paraId="002109D4" w14:textId="77777777" w:rsidR="00572B6D" w:rsidRDefault="00572B6D" w:rsidP="00060178">
      <w:pPr>
        <w:shd w:val="clear" w:color="auto" w:fill="FFFFFF"/>
        <w:tabs>
          <w:tab w:val="left" w:pos="9638"/>
        </w:tabs>
        <w:spacing w:before="180" w:after="180" w:line="240" w:lineRule="auto"/>
        <w:jc w:val="both"/>
        <w:outlineLvl w:val="3"/>
        <w:rPr>
          <w:color w:val="000000"/>
        </w:rPr>
      </w:pPr>
      <w:r w:rsidRPr="00367B29">
        <w:rPr>
          <w:color w:val="000000"/>
        </w:rPr>
        <w:t xml:space="preserve">La detta disposizione ha </w:t>
      </w:r>
      <w:r>
        <w:rPr>
          <w:color w:val="000000"/>
        </w:rPr>
        <w:t xml:space="preserve">dunque </w:t>
      </w:r>
      <w:r w:rsidRPr="00367B29">
        <w:rPr>
          <w:color w:val="000000"/>
        </w:rPr>
        <w:t>un perimetro ben individuato.</w:t>
      </w:r>
    </w:p>
    <w:p w14:paraId="0E82C12B" w14:textId="77777777" w:rsidR="00967D7D" w:rsidRPr="0060133E" w:rsidRDefault="005E6757" w:rsidP="00060178">
      <w:pPr>
        <w:shd w:val="clear" w:color="auto" w:fill="FFFFFF"/>
        <w:tabs>
          <w:tab w:val="left" w:pos="9638"/>
        </w:tabs>
        <w:spacing w:before="180" w:after="180" w:line="240" w:lineRule="auto"/>
        <w:jc w:val="both"/>
        <w:outlineLvl w:val="3"/>
        <w:rPr>
          <w:color w:val="000000"/>
        </w:rPr>
      </w:pPr>
      <w:r>
        <w:rPr>
          <w:color w:val="000000"/>
        </w:rPr>
        <w:t xml:space="preserve">In merito alla natura del </w:t>
      </w:r>
      <w:r w:rsidR="00194DA9">
        <w:rPr>
          <w:color w:val="000000"/>
        </w:rPr>
        <w:t>legittimazione</w:t>
      </w:r>
      <w:r w:rsidRPr="005E6757">
        <w:rPr>
          <w:color w:val="000000"/>
        </w:rPr>
        <w:t xml:space="preserve"> </w:t>
      </w:r>
      <w:r w:rsidR="00194DA9" w:rsidRPr="00194DA9">
        <w:rPr>
          <w:i/>
          <w:color w:val="000000"/>
        </w:rPr>
        <w:t>ex</w:t>
      </w:r>
      <w:r w:rsidR="00194DA9">
        <w:rPr>
          <w:color w:val="000000"/>
        </w:rPr>
        <w:t xml:space="preserve"> </w:t>
      </w:r>
      <w:r>
        <w:rPr>
          <w:color w:val="000000"/>
        </w:rPr>
        <w:t>art. 21-</w:t>
      </w:r>
      <w:r w:rsidRPr="00B5380F">
        <w:rPr>
          <w:i/>
          <w:color w:val="000000"/>
        </w:rPr>
        <w:t>bis</w:t>
      </w:r>
      <w:r>
        <w:rPr>
          <w:color w:val="000000"/>
        </w:rPr>
        <w:t xml:space="preserve">, </w:t>
      </w:r>
      <w:r w:rsidR="00FF4F98">
        <w:rPr>
          <w:color w:val="000000"/>
        </w:rPr>
        <w:t>un</w:t>
      </w:r>
      <w:r w:rsidR="00967D7D" w:rsidRPr="0060133E">
        <w:rPr>
          <w:color w:val="000000"/>
        </w:rPr>
        <w:t xml:space="preserve">a </w:t>
      </w:r>
      <w:r w:rsidR="00FF4F98">
        <w:rPr>
          <w:color w:val="000000"/>
        </w:rPr>
        <w:t xml:space="preserve">prima </w:t>
      </w:r>
      <w:r w:rsidR="00967D7D" w:rsidRPr="0060133E">
        <w:rPr>
          <w:color w:val="000000"/>
        </w:rPr>
        <w:t>tesi</w:t>
      </w:r>
      <w:r w:rsidR="00FF4F98">
        <w:rPr>
          <w:color w:val="000000"/>
        </w:rPr>
        <w:t>,</w:t>
      </w:r>
      <w:r w:rsidR="00967D7D" w:rsidRPr="0060133E">
        <w:rPr>
          <w:color w:val="000000"/>
        </w:rPr>
        <w:t xml:space="preserve"> </w:t>
      </w:r>
      <w:r w:rsidR="00967D7D">
        <w:rPr>
          <w:color w:val="000000"/>
        </w:rPr>
        <w:t xml:space="preserve">rimasta </w:t>
      </w:r>
      <w:r w:rsidR="00967D7D" w:rsidRPr="0060133E">
        <w:rPr>
          <w:color w:val="000000"/>
        </w:rPr>
        <w:t>minoritaria</w:t>
      </w:r>
      <w:r w:rsidR="00FF4F98">
        <w:rPr>
          <w:color w:val="000000"/>
        </w:rPr>
        <w:t>,</w:t>
      </w:r>
      <w:r>
        <w:rPr>
          <w:color w:val="000000"/>
        </w:rPr>
        <w:t xml:space="preserve"> sostiene</w:t>
      </w:r>
      <w:r w:rsidR="00967D7D" w:rsidRPr="0060133E">
        <w:rPr>
          <w:color w:val="000000"/>
        </w:rPr>
        <w:t xml:space="preserve"> </w:t>
      </w:r>
      <w:r>
        <w:rPr>
          <w:color w:val="000000"/>
        </w:rPr>
        <w:t>tratta</w:t>
      </w:r>
      <w:r w:rsidR="0096787E">
        <w:rPr>
          <w:color w:val="000000"/>
        </w:rPr>
        <w:t>r</w:t>
      </w:r>
      <w:r>
        <w:rPr>
          <w:color w:val="000000"/>
        </w:rPr>
        <w:t xml:space="preserve">si di </w:t>
      </w:r>
      <w:r w:rsidR="00967D7D" w:rsidRPr="0060133E">
        <w:rPr>
          <w:color w:val="000000"/>
        </w:rPr>
        <w:t xml:space="preserve">un potere processuale di diritto oggettivo, posto a salvaguardia di un interesse generale, </w:t>
      </w:r>
      <w:r w:rsidR="00194DA9">
        <w:rPr>
          <w:color w:val="000000"/>
        </w:rPr>
        <w:t>cui</w:t>
      </w:r>
      <w:r w:rsidR="00967D7D" w:rsidRPr="0060133E">
        <w:rPr>
          <w:color w:val="000000"/>
        </w:rPr>
        <w:t xml:space="preserve"> non corrisponde la titolarità</w:t>
      </w:r>
      <w:r w:rsidR="0096787E" w:rsidRPr="0096787E">
        <w:rPr>
          <w:color w:val="000000"/>
        </w:rPr>
        <w:t xml:space="preserve"> </w:t>
      </w:r>
      <w:r w:rsidR="0096787E" w:rsidRPr="0060133E">
        <w:rPr>
          <w:color w:val="000000"/>
        </w:rPr>
        <w:t>di una posizione giuridica soggettiva</w:t>
      </w:r>
      <w:r w:rsidR="00967D7D" w:rsidRPr="0060133E">
        <w:rPr>
          <w:color w:val="000000"/>
        </w:rPr>
        <w:t xml:space="preserve"> in capo al</w:t>
      </w:r>
      <w:r w:rsidR="00FF4F98">
        <w:rPr>
          <w:color w:val="000000"/>
        </w:rPr>
        <w:t>l’ente</w:t>
      </w:r>
      <w:r w:rsidR="00967D7D" w:rsidRPr="0060133E">
        <w:rPr>
          <w:color w:val="000000"/>
        </w:rPr>
        <w:t xml:space="preserve"> ricorrente</w:t>
      </w:r>
      <w:r w:rsidR="00967D7D" w:rsidRPr="00967D7D">
        <w:rPr>
          <w:color w:val="000000"/>
          <w:vertAlign w:val="superscript"/>
        </w:rPr>
        <w:footnoteReference w:id="2"/>
      </w:r>
      <w:r w:rsidR="00967D7D" w:rsidRPr="0060133E">
        <w:rPr>
          <w:color w:val="000000"/>
        </w:rPr>
        <w:t xml:space="preserve"> e che è in qualche modo assimilabile a quello del pubblico ministero, che agisce nell</w:t>
      </w:r>
      <w:r w:rsidR="00967D7D">
        <w:rPr>
          <w:color w:val="000000"/>
        </w:rPr>
        <w:t>’</w:t>
      </w:r>
      <w:r w:rsidR="00967D7D" w:rsidRPr="0060133E">
        <w:rPr>
          <w:color w:val="000000"/>
        </w:rPr>
        <w:t xml:space="preserve">interesse della legge, senza essere portatore di un interesse </w:t>
      </w:r>
      <w:r>
        <w:rPr>
          <w:color w:val="000000"/>
        </w:rPr>
        <w:t>proprio</w:t>
      </w:r>
      <w:r w:rsidR="00967D7D" w:rsidRPr="0060133E">
        <w:rPr>
          <w:color w:val="000000"/>
        </w:rPr>
        <w:t>.</w:t>
      </w:r>
    </w:p>
    <w:p w14:paraId="4939361C" w14:textId="77777777" w:rsidR="00967D7D" w:rsidRPr="0060133E" w:rsidRDefault="005E6757" w:rsidP="00060178">
      <w:pPr>
        <w:shd w:val="clear" w:color="auto" w:fill="FFFFFF"/>
        <w:tabs>
          <w:tab w:val="left" w:pos="9638"/>
        </w:tabs>
        <w:spacing w:before="180" w:after="180" w:line="240" w:lineRule="auto"/>
        <w:jc w:val="both"/>
        <w:outlineLvl w:val="3"/>
        <w:rPr>
          <w:color w:val="000000"/>
        </w:rPr>
      </w:pPr>
      <w:r>
        <w:rPr>
          <w:color w:val="000000"/>
        </w:rPr>
        <w:t>I</w:t>
      </w:r>
      <w:r w:rsidR="00967D7D" w:rsidRPr="0060133E">
        <w:rPr>
          <w:color w:val="000000"/>
        </w:rPr>
        <w:t>n altre parole</w:t>
      </w:r>
      <w:r>
        <w:rPr>
          <w:color w:val="000000"/>
        </w:rPr>
        <w:t>,</w:t>
      </w:r>
      <w:r w:rsidR="00967D7D" w:rsidRPr="0060133E">
        <w:rPr>
          <w:color w:val="000000"/>
        </w:rPr>
        <w:t xml:space="preserve"> «non è possibile ritenere che l</w:t>
      </w:r>
      <w:r w:rsidR="00967D7D">
        <w:rPr>
          <w:color w:val="000000"/>
        </w:rPr>
        <w:t>’</w:t>
      </w:r>
      <w:r w:rsidR="00B5380F">
        <w:rPr>
          <w:color w:val="000000"/>
        </w:rPr>
        <w:t>A</w:t>
      </w:r>
      <w:r w:rsidR="00967D7D" w:rsidRPr="0060133E">
        <w:rPr>
          <w:color w:val="000000"/>
        </w:rPr>
        <w:t>utorità, in quanto tale, sia titolare di un interesse legittimo in senso proprio, potendo (e dovendo) attivarsi per la tutela e realizzazione di un interesse generale alla concorrenza che, per un verso, finisce per coincidere con una sommatoria di interessi di mero fatto ascrivibili alla collettività e, per altro verso, restando così generico, non soddisfa di certo i caratteri di una situazione soggettiva imputabile ad un soggetto di diritto»</w:t>
      </w:r>
      <w:r w:rsidR="00967D7D" w:rsidRPr="00967D7D">
        <w:rPr>
          <w:color w:val="000000"/>
          <w:vertAlign w:val="superscript"/>
        </w:rPr>
        <w:footnoteReference w:id="3"/>
      </w:r>
      <w:r w:rsidR="00967D7D" w:rsidRPr="0060133E">
        <w:rPr>
          <w:color w:val="000000"/>
        </w:rPr>
        <w:t>.</w:t>
      </w:r>
    </w:p>
    <w:p w14:paraId="32DDADD1" w14:textId="77777777" w:rsidR="00967D7D" w:rsidRPr="0060133E" w:rsidRDefault="00FF4F98" w:rsidP="00060178">
      <w:pPr>
        <w:shd w:val="clear" w:color="auto" w:fill="FFFFFF"/>
        <w:tabs>
          <w:tab w:val="left" w:pos="9638"/>
        </w:tabs>
        <w:spacing w:before="180" w:after="180" w:line="240" w:lineRule="auto"/>
        <w:jc w:val="both"/>
        <w:outlineLvl w:val="3"/>
        <w:rPr>
          <w:color w:val="000000"/>
        </w:rPr>
      </w:pPr>
      <w:r>
        <w:rPr>
          <w:color w:val="000000"/>
        </w:rPr>
        <w:t>Contrariamente a ciò</w:t>
      </w:r>
      <w:r w:rsidR="0050627F" w:rsidRPr="0060133E">
        <w:rPr>
          <w:color w:val="000000"/>
        </w:rPr>
        <w:t xml:space="preserve">, </w:t>
      </w:r>
      <w:r w:rsidR="0050627F">
        <w:rPr>
          <w:color w:val="000000"/>
        </w:rPr>
        <w:t>l</w:t>
      </w:r>
      <w:r w:rsidR="00967D7D" w:rsidRPr="0060133E">
        <w:rPr>
          <w:color w:val="000000"/>
        </w:rPr>
        <w:t xml:space="preserve">a tesi maggioritaria ritiene che il potere </w:t>
      </w:r>
      <w:r>
        <w:rPr>
          <w:color w:val="000000"/>
        </w:rPr>
        <w:t xml:space="preserve">di azione </w:t>
      </w:r>
      <w:r w:rsidR="005E6757">
        <w:rPr>
          <w:color w:val="000000"/>
        </w:rPr>
        <w:t>s</w:t>
      </w:r>
      <w:r w:rsidR="00967D7D" w:rsidRPr="0060133E">
        <w:rPr>
          <w:color w:val="000000"/>
        </w:rPr>
        <w:t xml:space="preserve">i </w:t>
      </w:r>
      <w:r w:rsidR="005E6757">
        <w:rPr>
          <w:color w:val="000000"/>
        </w:rPr>
        <w:t xml:space="preserve">radichi su una posizione di </w:t>
      </w:r>
      <w:r w:rsidR="00967D7D" w:rsidRPr="0060133E">
        <w:rPr>
          <w:color w:val="000000"/>
        </w:rPr>
        <w:t xml:space="preserve">natura sostanziale e </w:t>
      </w:r>
      <w:r w:rsidR="00194DA9">
        <w:rPr>
          <w:color w:val="000000"/>
        </w:rPr>
        <w:t xml:space="preserve">miri </w:t>
      </w:r>
      <w:r>
        <w:rPr>
          <w:color w:val="000000"/>
        </w:rPr>
        <w:t>alla miglior</w:t>
      </w:r>
      <w:r w:rsidR="00967D7D" w:rsidRPr="0060133E">
        <w:rPr>
          <w:color w:val="000000"/>
        </w:rPr>
        <w:t xml:space="preserve"> tutela d</w:t>
      </w:r>
      <w:r w:rsidR="00B5380F">
        <w:rPr>
          <w:color w:val="000000"/>
        </w:rPr>
        <w:t>i</w:t>
      </w:r>
      <w:r w:rsidR="00967D7D" w:rsidRPr="0060133E">
        <w:rPr>
          <w:color w:val="000000"/>
        </w:rPr>
        <w:t xml:space="preserve"> situazioni giuridiche differenziate e qualificate attribuite all</w:t>
      </w:r>
      <w:r w:rsidR="00967D7D">
        <w:rPr>
          <w:color w:val="000000"/>
        </w:rPr>
        <w:t>’</w:t>
      </w:r>
      <w:r w:rsidR="005E6757">
        <w:rPr>
          <w:color w:val="000000"/>
        </w:rPr>
        <w:t>A</w:t>
      </w:r>
      <w:r w:rsidR="00967D7D" w:rsidRPr="0060133E">
        <w:rPr>
          <w:color w:val="000000"/>
        </w:rPr>
        <w:t>utorità</w:t>
      </w:r>
      <w:r w:rsidR="005E6757">
        <w:rPr>
          <w:color w:val="000000"/>
        </w:rPr>
        <w:t xml:space="preserve"> garante</w:t>
      </w:r>
      <w:r w:rsidR="00967D7D" w:rsidRPr="00967D7D">
        <w:rPr>
          <w:color w:val="000000"/>
          <w:vertAlign w:val="superscript"/>
        </w:rPr>
        <w:footnoteReference w:id="4"/>
      </w:r>
      <w:r w:rsidR="00967D7D" w:rsidRPr="0060133E">
        <w:rPr>
          <w:color w:val="000000"/>
        </w:rPr>
        <w:t>.</w:t>
      </w:r>
    </w:p>
    <w:p w14:paraId="7D61E837" w14:textId="77777777" w:rsidR="00967D7D" w:rsidRPr="0060133E" w:rsidRDefault="00967D7D" w:rsidP="00060178">
      <w:pPr>
        <w:shd w:val="clear" w:color="auto" w:fill="FFFFFF"/>
        <w:tabs>
          <w:tab w:val="left" w:pos="9638"/>
        </w:tabs>
        <w:spacing w:before="180" w:after="180" w:line="240" w:lineRule="auto"/>
        <w:jc w:val="both"/>
        <w:outlineLvl w:val="3"/>
        <w:rPr>
          <w:color w:val="000000"/>
        </w:rPr>
      </w:pPr>
      <w:r w:rsidRPr="0060133E">
        <w:rPr>
          <w:color w:val="000000"/>
        </w:rPr>
        <w:t xml:space="preserve">In particolare, è stato sottolineato come, per la sua particolare rilevanza, </w:t>
      </w:r>
      <w:r w:rsidR="0050627F" w:rsidRPr="0060133E">
        <w:rPr>
          <w:color w:val="000000"/>
        </w:rPr>
        <w:t xml:space="preserve">il bene giuridico della concorrenza </w:t>
      </w:r>
      <w:r w:rsidRPr="0060133E">
        <w:rPr>
          <w:color w:val="000000"/>
        </w:rPr>
        <w:t>non può rimanere a livello di una congerie di interessi deboli perché diffusi</w:t>
      </w:r>
      <w:r w:rsidRPr="00967D7D">
        <w:rPr>
          <w:color w:val="000000"/>
          <w:vertAlign w:val="superscript"/>
        </w:rPr>
        <w:footnoteReference w:id="5"/>
      </w:r>
      <w:r w:rsidRPr="0060133E">
        <w:rPr>
          <w:color w:val="000000"/>
        </w:rPr>
        <w:t>.</w:t>
      </w:r>
    </w:p>
    <w:p w14:paraId="30167626" w14:textId="77777777" w:rsidR="00967D7D" w:rsidRPr="0060133E" w:rsidRDefault="00967D7D" w:rsidP="00060178">
      <w:pPr>
        <w:shd w:val="clear" w:color="auto" w:fill="FFFFFF"/>
        <w:tabs>
          <w:tab w:val="left" w:pos="9638"/>
        </w:tabs>
        <w:spacing w:before="180" w:after="180" w:line="240" w:lineRule="auto"/>
        <w:jc w:val="both"/>
        <w:outlineLvl w:val="3"/>
        <w:rPr>
          <w:color w:val="000000"/>
        </w:rPr>
      </w:pPr>
      <w:r w:rsidRPr="0060133E">
        <w:rPr>
          <w:color w:val="000000"/>
        </w:rPr>
        <w:t>Donde, la scelta legislativa di soggettivizzarlo in capo ad un</w:t>
      </w:r>
      <w:r>
        <w:rPr>
          <w:color w:val="000000"/>
        </w:rPr>
        <w:t>’</w:t>
      </w:r>
      <w:r w:rsidR="005E6757">
        <w:rPr>
          <w:color w:val="000000"/>
        </w:rPr>
        <w:t xml:space="preserve">autorità indipendente, </w:t>
      </w:r>
      <w:r w:rsidRPr="0060133E">
        <w:rPr>
          <w:color w:val="000000"/>
        </w:rPr>
        <w:t>giustifica</w:t>
      </w:r>
      <w:r w:rsidR="005E6757">
        <w:rPr>
          <w:color w:val="000000"/>
        </w:rPr>
        <w:t>ta</w:t>
      </w:r>
      <w:r w:rsidRPr="0060133E">
        <w:rPr>
          <w:color w:val="000000"/>
        </w:rPr>
        <w:t xml:space="preserve"> con l</w:t>
      </w:r>
      <w:r>
        <w:rPr>
          <w:color w:val="000000"/>
        </w:rPr>
        <w:t>’</w:t>
      </w:r>
      <w:r w:rsidRPr="0060133E">
        <w:rPr>
          <w:color w:val="000000"/>
        </w:rPr>
        <w:t>esigenza di porre un argine ad una «frequente dinamica amministrativa, che induce molte amministrazioni pubbliche a porre ostacoli al libero dispiegarsi della concorrenza, piuttosto che a una sovr</w:t>
      </w:r>
      <w:r>
        <w:rPr>
          <w:color w:val="000000"/>
        </w:rPr>
        <w:t>a</w:t>
      </w:r>
      <w:r w:rsidRPr="0060133E">
        <w:rPr>
          <w:color w:val="000000"/>
        </w:rPr>
        <w:t>ordinazione dell</w:t>
      </w:r>
      <w:r>
        <w:rPr>
          <w:color w:val="000000"/>
        </w:rPr>
        <w:t>’</w:t>
      </w:r>
      <w:r w:rsidRPr="0060133E">
        <w:rPr>
          <w:color w:val="000000"/>
        </w:rPr>
        <w:t>interesse alla concorrenza rispetto ad altri interessi pubblici»</w:t>
      </w:r>
      <w:r w:rsidRPr="00967D7D">
        <w:rPr>
          <w:color w:val="000000"/>
          <w:vertAlign w:val="superscript"/>
        </w:rPr>
        <w:footnoteReference w:id="6"/>
      </w:r>
      <w:r w:rsidRPr="0060133E">
        <w:rPr>
          <w:color w:val="000000"/>
        </w:rPr>
        <w:t>.</w:t>
      </w:r>
    </w:p>
    <w:p w14:paraId="68BF667F" w14:textId="77777777" w:rsidR="00967D7D" w:rsidRDefault="00967D7D" w:rsidP="00060178">
      <w:pPr>
        <w:shd w:val="clear" w:color="auto" w:fill="FFFFFF"/>
        <w:tabs>
          <w:tab w:val="left" w:pos="9638"/>
        </w:tabs>
        <w:spacing w:before="180" w:after="180" w:line="240" w:lineRule="auto"/>
        <w:jc w:val="both"/>
        <w:outlineLvl w:val="3"/>
        <w:rPr>
          <w:color w:val="000000"/>
        </w:rPr>
      </w:pPr>
      <w:r w:rsidRPr="0060133E">
        <w:rPr>
          <w:color w:val="000000"/>
        </w:rPr>
        <w:t>E</w:t>
      </w:r>
      <w:r>
        <w:rPr>
          <w:color w:val="000000"/>
        </w:rPr>
        <w:t>’</w:t>
      </w:r>
      <w:r w:rsidRPr="0060133E">
        <w:rPr>
          <w:color w:val="000000"/>
        </w:rPr>
        <w:t xml:space="preserve"> la teoria della</w:t>
      </w:r>
      <w:r w:rsidR="0050627F">
        <w:rPr>
          <w:color w:val="000000"/>
        </w:rPr>
        <w:t xml:space="preserve"> c.d.</w:t>
      </w:r>
      <w:r w:rsidRPr="0060133E">
        <w:rPr>
          <w:color w:val="000000"/>
        </w:rPr>
        <w:t xml:space="preserve"> “mutazione genetica” dell</w:t>
      </w:r>
      <w:r>
        <w:rPr>
          <w:color w:val="000000"/>
        </w:rPr>
        <w:t>’</w:t>
      </w:r>
      <w:r w:rsidRPr="0060133E">
        <w:rPr>
          <w:color w:val="000000"/>
        </w:rPr>
        <w:t>interesse adespota, la cui cura, preclusa al singolo, è affidata all</w:t>
      </w:r>
      <w:r>
        <w:rPr>
          <w:color w:val="000000"/>
        </w:rPr>
        <w:t>’</w:t>
      </w:r>
      <w:r w:rsidRPr="0060133E">
        <w:rPr>
          <w:color w:val="000000"/>
        </w:rPr>
        <w:t>ente esponenziale</w:t>
      </w:r>
      <w:r w:rsidRPr="00967D7D">
        <w:rPr>
          <w:color w:val="000000"/>
          <w:vertAlign w:val="superscript"/>
        </w:rPr>
        <w:footnoteReference w:id="7"/>
      </w:r>
      <w:r w:rsidRPr="0060133E">
        <w:rPr>
          <w:color w:val="000000"/>
        </w:rPr>
        <w:t>.</w:t>
      </w:r>
    </w:p>
    <w:p w14:paraId="11CBF60C" w14:textId="77777777" w:rsidR="0096787E" w:rsidRDefault="00E2065A" w:rsidP="0096787E">
      <w:pPr>
        <w:shd w:val="clear" w:color="auto" w:fill="FFFFFF"/>
        <w:tabs>
          <w:tab w:val="left" w:pos="9638"/>
        </w:tabs>
        <w:spacing w:before="180" w:after="180" w:line="240" w:lineRule="auto"/>
        <w:jc w:val="both"/>
        <w:outlineLvl w:val="3"/>
        <w:rPr>
          <w:color w:val="000000"/>
        </w:rPr>
      </w:pPr>
      <w:r>
        <w:rPr>
          <w:color w:val="000000"/>
        </w:rPr>
        <w:t>Nondimeno, va osservato che, portata alle estreme conseguenze, la</w:t>
      </w:r>
      <w:r w:rsidR="0096787E">
        <w:rPr>
          <w:color w:val="000000"/>
        </w:rPr>
        <w:t xml:space="preserve"> costruzione</w:t>
      </w:r>
      <w:r>
        <w:rPr>
          <w:color w:val="000000"/>
        </w:rPr>
        <w:t xml:space="preserve"> della legittimazione ad agire in termini soggettivi</w:t>
      </w:r>
      <w:r w:rsidRPr="00E2065A">
        <w:rPr>
          <w:color w:val="000000"/>
        </w:rPr>
        <w:t xml:space="preserve"> </w:t>
      </w:r>
      <w:r>
        <w:rPr>
          <w:color w:val="000000"/>
        </w:rPr>
        <w:t xml:space="preserve">finisce per </w:t>
      </w:r>
      <w:r w:rsidR="00FB621D">
        <w:rPr>
          <w:color w:val="000000"/>
        </w:rPr>
        <w:t xml:space="preserve">inquadrare la stessa </w:t>
      </w:r>
      <w:r>
        <w:rPr>
          <w:color w:val="000000"/>
        </w:rPr>
        <w:t>n</w:t>
      </w:r>
      <w:r w:rsidR="0096787E">
        <w:rPr>
          <w:color w:val="000000"/>
        </w:rPr>
        <w:t>ell’</w:t>
      </w:r>
      <w:r w:rsidR="00FB621D">
        <w:rPr>
          <w:color w:val="000000"/>
        </w:rPr>
        <w:t>ambito dell’</w:t>
      </w:r>
      <w:r w:rsidR="0096787E">
        <w:rPr>
          <w:color w:val="000000"/>
        </w:rPr>
        <w:t>ordinario potere d</w:t>
      </w:r>
      <w:r w:rsidR="0082403B">
        <w:rPr>
          <w:color w:val="000000"/>
        </w:rPr>
        <w:t>i un</w:t>
      </w:r>
      <w:r w:rsidR="0096787E">
        <w:rPr>
          <w:color w:val="000000"/>
        </w:rPr>
        <w:t>a P.A. di a</w:t>
      </w:r>
      <w:r w:rsidR="00FF4F98">
        <w:rPr>
          <w:color w:val="000000"/>
        </w:rPr>
        <w:t>gi</w:t>
      </w:r>
      <w:r w:rsidR="0096787E">
        <w:rPr>
          <w:color w:val="000000"/>
        </w:rPr>
        <w:t xml:space="preserve">re in giudizio </w:t>
      </w:r>
      <w:r w:rsidR="00FF4F98">
        <w:rPr>
          <w:color w:val="000000"/>
        </w:rPr>
        <w:t xml:space="preserve">avverso </w:t>
      </w:r>
      <w:r w:rsidR="0096787E">
        <w:rPr>
          <w:color w:val="000000"/>
        </w:rPr>
        <w:t xml:space="preserve">l’atto di </w:t>
      </w:r>
      <w:r w:rsidR="00FF4F98">
        <w:rPr>
          <w:color w:val="000000"/>
        </w:rPr>
        <w:t>un’</w:t>
      </w:r>
      <w:r w:rsidR="0096787E">
        <w:rPr>
          <w:color w:val="000000"/>
        </w:rPr>
        <w:t xml:space="preserve">altra P.A. produttivo di </w:t>
      </w:r>
      <w:r w:rsidR="0096787E" w:rsidRPr="00437EB6">
        <w:rPr>
          <w:color w:val="000000"/>
        </w:rPr>
        <w:t>effetti lesi</w:t>
      </w:r>
      <w:r w:rsidR="0096787E">
        <w:rPr>
          <w:color w:val="000000"/>
        </w:rPr>
        <w:t xml:space="preserve">vi </w:t>
      </w:r>
      <w:r w:rsidR="0096787E" w:rsidRPr="00437EB6">
        <w:rPr>
          <w:color w:val="000000"/>
        </w:rPr>
        <w:t>dirett</w:t>
      </w:r>
      <w:r w:rsidR="0096787E">
        <w:rPr>
          <w:color w:val="000000"/>
        </w:rPr>
        <w:t>i</w:t>
      </w:r>
      <w:r w:rsidR="0096787E" w:rsidRPr="00437EB6">
        <w:rPr>
          <w:color w:val="000000"/>
        </w:rPr>
        <w:t xml:space="preserve"> del suo scopo istituzionale</w:t>
      </w:r>
      <w:r w:rsidR="0096787E" w:rsidRPr="00437EB6">
        <w:rPr>
          <w:color w:val="000000"/>
          <w:vertAlign w:val="superscript"/>
        </w:rPr>
        <w:footnoteReference w:id="8"/>
      </w:r>
      <w:r w:rsidR="00FF4F98">
        <w:rPr>
          <w:color w:val="000000"/>
        </w:rPr>
        <w:t xml:space="preserve"> e</w:t>
      </w:r>
      <w:r w:rsidR="00FB621D">
        <w:rPr>
          <w:color w:val="000000"/>
        </w:rPr>
        <w:t xml:space="preserve">, </w:t>
      </w:r>
      <w:r w:rsidR="00FF4F98">
        <w:rPr>
          <w:color w:val="000000"/>
        </w:rPr>
        <w:t xml:space="preserve">di conseguenza, finisce per </w:t>
      </w:r>
      <w:r w:rsidR="00FB621D">
        <w:rPr>
          <w:color w:val="000000"/>
        </w:rPr>
        <w:t>dequota</w:t>
      </w:r>
      <w:r w:rsidR="00FF4F98">
        <w:rPr>
          <w:color w:val="000000"/>
        </w:rPr>
        <w:t>re</w:t>
      </w:r>
      <w:r w:rsidR="00FB621D">
        <w:rPr>
          <w:color w:val="000000"/>
        </w:rPr>
        <w:t xml:space="preserve"> la funzione della norma di legge ai soli aspetti disciplinatori</w:t>
      </w:r>
      <w:r w:rsidR="0096787E" w:rsidRPr="00437EB6">
        <w:rPr>
          <w:color w:val="000000"/>
        </w:rPr>
        <w:t>.</w:t>
      </w:r>
    </w:p>
    <w:p w14:paraId="58AAF104" w14:textId="77777777" w:rsidR="0017183A" w:rsidRPr="00367B29" w:rsidRDefault="00FB621D" w:rsidP="00060178">
      <w:pPr>
        <w:shd w:val="clear" w:color="auto" w:fill="FFFFFF"/>
        <w:tabs>
          <w:tab w:val="left" w:pos="9638"/>
        </w:tabs>
        <w:spacing w:before="180" w:after="180" w:line="240" w:lineRule="auto"/>
        <w:jc w:val="both"/>
        <w:outlineLvl w:val="3"/>
        <w:rPr>
          <w:color w:val="000000"/>
        </w:rPr>
      </w:pPr>
      <w:r>
        <w:rPr>
          <w:color w:val="000000"/>
        </w:rPr>
        <w:t>L</w:t>
      </w:r>
      <w:r w:rsidR="00435844">
        <w:rPr>
          <w:color w:val="000000"/>
        </w:rPr>
        <w:t xml:space="preserve">a giurisprudenza </w:t>
      </w:r>
      <w:r>
        <w:rPr>
          <w:color w:val="000000"/>
        </w:rPr>
        <w:t>generalmente</w:t>
      </w:r>
      <w:r w:rsidR="00B5380F">
        <w:rPr>
          <w:color w:val="000000"/>
        </w:rPr>
        <w:t xml:space="preserve"> </w:t>
      </w:r>
      <w:r w:rsidR="00435844">
        <w:rPr>
          <w:color w:val="000000"/>
        </w:rPr>
        <w:t>esclu</w:t>
      </w:r>
      <w:r w:rsidR="00572B6D">
        <w:rPr>
          <w:color w:val="000000"/>
        </w:rPr>
        <w:t>de</w:t>
      </w:r>
      <w:r>
        <w:rPr>
          <w:color w:val="000000"/>
        </w:rPr>
        <w:t xml:space="preserve"> </w:t>
      </w:r>
      <w:r w:rsidR="00435844">
        <w:rPr>
          <w:color w:val="000000"/>
        </w:rPr>
        <w:t>che i</w:t>
      </w:r>
      <w:r w:rsidR="0017183A" w:rsidRPr="00367B29">
        <w:rPr>
          <w:color w:val="000000"/>
        </w:rPr>
        <w:t>l ricorso d</w:t>
      </w:r>
      <w:r>
        <w:rPr>
          <w:color w:val="000000"/>
        </w:rPr>
        <w:t>i cui a</w:t>
      </w:r>
      <w:r w:rsidR="0017183A" w:rsidRPr="00367B29">
        <w:rPr>
          <w:color w:val="000000"/>
        </w:rPr>
        <w:t>ll</w:t>
      </w:r>
      <w:r w:rsidR="0060133E">
        <w:rPr>
          <w:color w:val="000000"/>
        </w:rPr>
        <w:t>’</w:t>
      </w:r>
      <w:r w:rsidR="0017183A" w:rsidRPr="00367B29">
        <w:rPr>
          <w:color w:val="000000"/>
        </w:rPr>
        <w:t>art. 21-</w:t>
      </w:r>
      <w:r w:rsidR="0017183A" w:rsidRPr="00B5380F">
        <w:rPr>
          <w:i/>
          <w:color w:val="000000"/>
        </w:rPr>
        <w:t>bis</w:t>
      </w:r>
      <w:r w:rsidR="0017183A" w:rsidRPr="00367B29">
        <w:rPr>
          <w:color w:val="000000"/>
        </w:rPr>
        <w:t xml:space="preserve"> </w:t>
      </w:r>
      <w:r w:rsidR="00B5380F">
        <w:rPr>
          <w:color w:val="000000"/>
        </w:rPr>
        <w:t xml:space="preserve">della </w:t>
      </w:r>
      <w:r w:rsidR="0017183A" w:rsidRPr="00367B29">
        <w:rPr>
          <w:color w:val="000000"/>
        </w:rPr>
        <w:t>l</w:t>
      </w:r>
      <w:r w:rsidR="00B5380F">
        <w:rPr>
          <w:color w:val="000000"/>
        </w:rPr>
        <w:t>egge</w:t>
      </w:r>
      <w:r w:rsidR="0017183A" w:rsidRPr="00367B29">
        <w:rPr>
          <w:color w:val="000000"/>
        </w:rPr>
        <w:t xml:space="preserve"> n.</w:t>
      </w:r>
      <w:r w:rsidR="00572B6D">
        <w:rPr>
          <w:color w:val="000000"/>
        </w:rPr>
        <w:t xml:space="preserve"> </w:t>
      </w:r>
      <w:r w:rsidR="0017183A" w:rsidRPr="00367B29">
        <w:rPr>
          <w:color w:val="000000"/>
        </w:rPr>
        <w:t>287 del 1990 configur</w:t>
      </w:r>
      <w:r w:rsidR="00435844">
        <w:rPr>
          <w:color w:val="000000"/>
        </w:rPr>
        <w:t>i</w:t>
      </w:r>
      <w:r w:rsidR="0017183A" w:rsidRPr="00367B29">
        <w:rPr>
          <w:color w:val="000000"/>
        </w:rPr>
        <w:t xml:space="preserve"> un</w:t>
      </w:r>
      <w:r w:rsidR="0060133E">
        <w:rPr>
          <w:color w:val="000000"/>
        </w:rPr>
        <w:t>’</w:t>
      </w:r>
      <w:r w:rsidR="0017183A" w:rsidRPr="00367B29">
        <w:rPr>
          <w:color w:val="000000"/>
        </w:rPr>
        <w:t>ipotesi di “giurisdizione oggettiva”, delinea</w:t>
      </w:r>
      <w:r w:rsidR="00435844">
        <w:rPr>
          <w:color w:val="000000"/>
        </w:rPr>
        <w:t>ndo</w:t>
      </w:r>
      <w:r w:rsidR="0017183A" w:rsidRPr="00367B29">
        <w:rPr>
          <w:color w:val="000000"/>
        </w:rPr>
        <w:t xml:space="preserve"> piuttosto un </w:t>
      </w:r>
      <w:r w:rsidR="0017183A" w:rsidRPr="0060133E">
        <w:rPr>
          <w:color w:val="000000"/>
        </w:rPr>
        <w:t>potere d</w:t>
      </w:r>
      <w:r w:rsidR="0060133E">
        <w:rPr>
          <w:color w:val="000000"/>
        </w:rPr>
        <w:t>’</w:t>
      </w:r>
      <w:r w:rsidR="0017183A" w:rsidRPr="0060133E">
        <w:rPr>
          <w:color w:val="000000"/>
        </w:rPr>
        <w:t>azione, riconducibile alla giurisdizione a tutela di situazioni giuridiche qualificate e differenziate, di matrice quindi soggettiva</w:t>
      </w:r>
      <w:r w:rsidR="0017183A" w:rsidRPr="00367B29">
        <w:rPr>
          <w:color w:val="000000"/>
        </w:rPr>
        <w:t xml:space="preserve">, sebbene </w:t>
      </w:r>
      <w:r w:rsidR="0017183A" w:rsidRPr="00367B29">
        <w:rPr>
          <w:color w:val="000000"/>
        </w:rPr>
        <w:lastRenderedPageBreak/>
        <w:t xml:space="preserve">provenga da un soggetto pubblico </w:t>
      </w:r>
      <w:r w:rsidR="0017183A" w:rsidRPr="00D354CD">
        <w:rPr>
          <w:i/>
          <w:color w:val="000000"/>
        </w:rPr>
        <w:t>ad hoc</w:t>
      </w:r>
      <w:r w:rsidR="0017183A" w:rsidRPr="00367B29">
        <w:rPr>
          <w:color w:val="000000"/>
        </w:rPr>
        <w:t xml:space="preserve"> che agisce a tutela di un determinato bene giuridico, la tutela della concorrenza e del mercato</w:t>
      </w:r>
      <w:r w:rsidR="00D354CD">
        <w:rPr>
          <w:rStyle w:val="Rimandonotaapidipagina"/>
          <w:color w:val="000000"/>
        </w:rPr>
        <w:footnoteReference w:id="9"/>
      </w:r>
      <w:r w:rsidR="0017183A" w:rsidRPr="00367B29">
        <w:rPr>
          <w:color w:val="000000"/>
        </w:rPr>
        <w:t>.</w:t>
      </w:r>
    </w:p>
    <w:p w14:paraId="30ED0B4F" w14:textId="77777777" w:rsidR="00435844" w:rsidRDefault="00435844" w:rsidP="00B5380F">
      <w:pPr>
        <w:shd w:val="clear" w:color="auto" w:fill="FFFFFF"/>
        <w:tabs>
          <w:tab w:val="left" w:pos="9638"/>
        </w:tabs>
        <w:spacing w:before="180" w:after="180" w:line="240" w:lineRule="auto"/>
        <w:jc w:val="both"/>
        <w:outlineLvl w:val="3"/>
        <w:rPr>
          <w:color w:val="000000"/>
        </w:rPr>
      </w:pPr>
      <w:r w:rsidRPr="0060133E">
        <w:rPr>
          <w:color w:val="000000"/>
        </w:rPr>
        <w:t>Il legislatore</w:t>
      </w:r>
      <w:r w:rsidRPr="00367B29">
        <w:rPr>
          <w:color w:val="000000"/>
        </w:rPr>
        <w:t xml:space="preserve">, </w:t>
      </w:r>
      <w:r>
        <w:rPr>
          <w:color w:val="000000"/>
        </w:rPr>
        <w:t xml:space="preserve">insomma, </w:t>
      </w:r>
      <w:r w:rsidR="00FB3835">
        <w:rPr>
          <w:color w:val="000000"/>
        </w:rPr>
        <w:t>non si è limitato a</w:t>
      </w:r>
      <w:r w:rsidRPr="0060133E">
        <w:rPr>
          <w:color w:val="000000"/>
        </w:rPr>
        <w:t xml:space="preserve"> fissa</w:t>
      </w:r>
      <w:r w:rsidR="00FB3835">
        <w:rPr>
          <w:color w:val="000000"/>
        </w:rPr>
        <w:t>re</w:t>
      </w:r>
      <w:r w:rsidRPr="00367B29">
        <w:rPr>
          <w:color w:val="000000"/>
        </w:rPr>
        <w:t xml:space="preserve"> </w:t>
      </w:r>
      <w:r w:rsidRPr="0060133E">
        <w:rPr>
          <w:color w:val="000000"/>
        </w:rPr>
        <w:t xml:space="preserve">il principio della legittimazione </w:t>
      </w:r>
      <w:r w:rsidR="005E6757">
        <w:rPr>
          <w:color w:val="000000"/>
        </w:rPr>
        <w:t>– in capo</w:t>
      </w:r>
      <w:r w:rsidRPr="0060133E">
        <w:rPr>
          <w:color w:val="000000"/>
        </w:rPr>
        <w:t xml:space="preserve"> </w:t>
      </w:r>
      <w:r w:rsidR="005E6757">
        <w:rPr>
          <w:color w:val="000000"/>
        </w:rPr>
        <w:t>a</w:t>
      </w:r>
      <w:r w:rsidRPr="0060133E">
        <w:rPr>
          <w:color w:val="000000"/>
        </w:rPr>
        <w:t>ll</w:t>
      </w:r>
      <w:r w:rsidR="0060133E">
        <w:rPr>
          <w:color w:val="000000"/>
        </w:rPr>
        <w:t>’</w:t>
      </w:r>
      <w:r w:rsidRPr="0060133E">
        <w:rPr>
          <w:color w:val="000000"/>
        </w:rPr>
        <w:t xml:space="preserve">Autorità </w:t>
      </w:r>
      <w:r w:rsidR="005E6757">
        <w:rPr>
          <w:color w:val="000000"/>
        </w:rPr>
        <w:t xml:space="preserve">– </w:t>
      </w:r>
      <w:r w:rsidRPr="0060133E">
        <w:rPr>
          <w:color w:val="000000"/>
        </w:rPr>
        <w:t xml:space="preserve">ad agire </w:t>
      </w:r>
      <w:r w:rsidRPr="00367B29">
        <w:rPr>
          <w:color w:val="000000"/>
        </w:rPr>
        <w:t>nei confronti degli atti amministrativi generali, regolamenti e provvedimenti violativi delle norme a tutela della concorrenza e</w:t>
      </w:r>
      <w:r w:rsidR="005F60A2">
        <w:rPr>
          <w:color w:val="000000"/>
        </w:rPr>
        <w:t>d</w:t>
      </w:r>
      <w:r w:rsidRPr="00367B29">
        <w:rPr>
          <w:color w:val="000000"/>
        </w:rPr>
        <w:t xml:space="preserve"> a tutela del mercato,</w:t>
      </w:r>
      <w:r w:rsidR="00FB3835">
        <w:rPr>
          <w:color w:val="000000"/>
        </w:rPr>
        <w:t xml:space="preserve"> ma</w:t>
      </w:r>
      <w:r w:rsidRPr="00367B29">
        <w:rPr>
          <w:color w:val="000000"/>
        </w:rPr>
        <w:t xml:space="preserve"> </w:t>
      </w:r>
      <w:r w:rsidR="00572B6D" w:rsidRPr="00367B29">
        <w:rPr>
          <w:color w:val="000000"/>
        </w:rPr>
        <w:t xml:space="preserve">ha </w:t>
      </w:r>
      <w:r w:rsidR="00FB3835">
        <w:rPr>
          <w:color w:val="000000"/>
        </w:rPr>
        <w:t xml:space="preserve">altresì </w:t>
      </w:r>
      <w:r w:rsidR="00572B6D" w:rsidRPr="00367B29">
        <w:rPr>
          <w:color w:val="000000"/>
        </w:rPr>
        <w:t>stabilito</w:t>
      </w:r>
      <w:r w:rsidRPr="00367B29">
        <w:rPr>
          <w:color w:val="000000"/>
        </w:rPr>
        <w:t xml:space="preserve"> le modalità di concreto esercizio di tale legittimazione</w:t>
      </w:r>
      <w:r w:rsidR="00B5380F">
        <w:rPr>
          <w:color w:val="000000"/>
        </w:rPr>
        <w:t>, prevedendo che l</w:t>
      </w:r>
      <w:r w:rsidR="0060133E">
        <w:rPr>
          <w:color w:val="000000"/>
        </w:rPr>
        <w:t>’</w:t>
      </w:r>
      <w:r>
        <w:rPr>
          <w:color w:val="000000"/>
        </w:rPr>
        <w:t>interesse pubblico tutelato</w:t>
      </w:r>
      <w:r w:rsidRPr="00435844">
        <w:rPr>
          <w:color w:val="000000"/>
        </w:rPr>
        <w:t xml:space="preserve"> </w:t>
      </w:r>
      <w:r w:rsidR="00B5380F">
        <w:rPr>
          <w:color w:val="000000"/>
        </w:rPr>
        <w:t>sia</w:t>
      </w:r>
      <w:r>
        <w:rPr>
          <w:color w:val="000000"/>
        </w:rPr>
        <w:t xml:space="preserve"> il medesimo </w:t>
      </w:r>
      <w:r w:rsidR="00572B6D">
        <w:rPr>
          <w:color w:val="000000"/>
        </w:rPr>
        <w:t>per</w:t>
      </w:r>
      <w:r>
        <w:rPr>
          <w:color w:val="000000"/>
        </w:rPr>
        <w:t xml:space="preserve"> entrambi i commi: la </w:t>
      </w:r>
      <w:r w:rsidRPr="00367B29">
        <w:rPr>
          <w:color w:val="000000"/>
        </w:rPr>
        <w:t>libertà d</w:t>
      </w:r>
      <w:r>
        <w:rPr>
          <w:color w:val="000000"/>
        </w:rPr>
        <w:t xml:space="preserve">ella concorrenza </w:t>
      </w:r>
      <w:r w:rsidR="00B5380F" w:rsidRPr="00367B29">
        <w:rPr>
          <w:color w:val="000000"/>
        </w:rPr>
        <w:t>ed il corretto funzionamento del mercato</w:t>
      </w:r>
      <w:r>
        <w:rPr>
          <w:color w:val="000000"/>
        </w:rPr>
        <w:t>.</w:t>
      </w:r>
    </w:p>
    <w:p w14:paraId="10D79BE9" w14:textId="77777777" w:rsidR="00B5380F" w:rsidRDefault="00B5380F" w:rsidP="00B5380F">
      <w:pPr>
        <w:shd w:val="clear" w:color="auto" w:fill="FFFFFF"/>
        <w:tabs>
          <w:tab w:val="left" w:pos="9638"/>
        </w:tabs>
        <w:spacing w:before="180" w:after="180" w:line="240" w:lineRule="auto"/>
        <w:jc w:val="both"/>
        <w:outlineLvl w:val="3"/>
        <w:rPr>
          <w:color w:val="000000"/>
        </w:rPr>
      </w:pPr>
      <w:r>
        <w:rPr>
          <w:color w:val="000000"/>
        </w:rPr>
        <w:t>Q</w:t>
      </w:r>
      <w:r w:rsidRPr="0060133E">
        <w:rPr>
          <w:color w:val="000000"/>
        </w:rPr>
        <w:t>uest</w:t>
      </w:r>
      <w:r w:rsidR="00FB3835">
        <w:rPr>
          <w:color w:val="000000"/>
        </w:rPr>
        <w:t>’</w:t>
      </w:r>
      <w:r w:rsidRPr="0060133E">
        <w:rPr>
          <w:color w:val="000000"/>
        </w:rPr>
        <w:t xml:space="preserve">impostazione </w:t>
      </w:r>
      <w:r>
        <w:rPr>
          <w:color w:val="000000"/>
        </w:rPr>
        <w:t xml:space="preserve">è </w:t>
      </w:r>
      <w:r w:rsidR="00540590">
        <w:rPr>
          <w:color w:val="000000"/>
        </w:rPr>
        <w:t xml:space="preserve">senza dubbio </w:t>
      </w:r>
      <w:r>
        <w:rPr>
          <w:color w:val="000000"/>
        </w:rPr>
        <w:t>coerente co</w:t>
      </w:r>
      <w:r w:rsidRPr="0060133E">
        <w:rPr>
          <w:color w:val="000000"/>
        </w:rPr>
        <w:t>n</w:t>
      </w:r>
      <w:r>
        <w:rPr>
          <w:color w:val="000000"/>
        </w:rPr>
        <w:t xml:space="preserve"> i</w:t>
      </w:r>
      <w:r w:rsidRPr="0060133E">
        <w:rPr>
          <w:color w:val="000000"/>
        </w:rPr>
        <w:t>l parere reso all</w:t>
      </w:r>
      <w:r>
        <w:rPr>
          <w:color w:val="000000"/>
        </w:rPr>
        <w:t>’</w:t>
      </w:r>
      <w:r w:rsidR="005F60A2">
        <w:rPr>
          <w:color w:val="000000"/>
        </w:rPr>
        <w:t>a</w:t>
      </w:r>
      <w:r w:rsidRPr="0060133E">
        <w:rPr>
          <w:color w:val="000000"/>
        </w:rPr>
        <w:t xml:space="preserve">dunanza generale del Consiglio di Stato sul </w:t>
      </w:r>
      <w:r w:rsidR="00E614AD">
        <w:rPr>
          <w:color w:val="000000"/>
        </w:rPr>
        <w:t xml:space="preserve">regolamento </w:t>
      </w:r>
      <w:r w:rsidRPr="0060133E">
        <w:rPr>
          <w:color w:val="000000"/>
        </w:rPr>
        <w:t xml:space="preserve">di attuazione della legge quadro in materia di lavori pubblici, </w:t>
      </w:r>
      <w:r>
        <w:rPr>
          <w:color w:val="000000"/>
        </w:rPr>
        <w:t>in riferimento</w:t>
      </w:r>
      <w:r w:rsidRPr="0060133E">
        <w:rPr>
          <w:color w:val="000000"/>
        </w:rPr>
        <w:t xml:space="preserve"> alla proposta dell</w:t>
      </w:r>
      <w:r>
        <w:rPr>
          <w:color w:val="000000"/>
        </w:rPr>
        <w:t>’</w:t>
      </w:r>
      <w:r w:rsidRPr="0060133E">
        <w:rPr>
          <w:color w:val="000000"/>
        </w:rPr>
        <w:t xml:space="preserve">Autorità di vigilanza per i lavori pubblici di </w:t>
      </w:r>
      <w:r>
        <w:rPr>
          <w:color w:val="000000"/>
        </w:rPr>
        <w:t>vedersi attribuito</w:t>
      </w:r>
      <w:r w:rsidRPr="0060133E">
        <w:rPr>
          <w:color w:val="000000"/>
        </w:rPr>
        <w:t xml:space="preserve"> </w:t>
      </w:r>
      <w:r>
        <w:rPr>
          <w:color w:val="000000"/>
        </w:rPr>
        <w:t xml:space="preserve">il potere di </w:t>
      </w:r>
      <w:r w:rsidRPr="0060133E">
        <w:rPr>
          <w:color w:val="000000"/>
        </w:rPr>
        <w:t xml:space="preserve">ricorrere dinanzi al giudice amministrativo avverso </w:t>
      </w:r>
      <w:r>
        <w:rPr>
          <w:color w:val="000000"/>
        </w:rPr>
        <w:t xml:space="preserve">gli </w:t>
      </w:r>
      <w:r w:rsidRPr="0060133E">
        <w:rPr>
          <w:color w:val="000000"/>
        </w:rPr>
        <w:t>a</w:t>
      </w:r>
      <w:r>
        <w:rPr>
          <w:color w:val="000000"/>
        </w:rPr>
        <w:t>t</w:t>
      </w:r>
      <w:r w:rsidRPr="0060133E">
        <w:rPr>
          <w:color w:val="000000"/>
        </w:rPr>
        <w:t>t</w:t>
      </w:r>
      <w:r>
        <w:rPr>
          <w:color w:val="000000"/>
        </w:rPr>
        <w:t>i illegittimi delle stazioni appaltanti.</w:t>
      </w:r>
    </w:p>
    <w:p w14:paraId="3A84F4B0" w14:textId="77777777" w:rsidR="00B5380F" w:rsidRDefault="00B5380F" w:rsidP="00B5380F">
      <w:pPr>
        <w:shd w:val="clear" w:color="auto" w:fill="FFFFFF"/>
        <w:tabs>
          <w:tab w:val="left" w:pos="9638"/>
        </w:tabs>
        <w:spacing w:before="180" w:after="180" w:line="240" w:lineRule="auto"/>
        <w:jc w:val="both"/>
        <w:outlineLvl w:val="3"/>
        <w:rPr>
          <w:color w:val="000000"/>
        </w:rPr>
      </w:pPr>
      <w:r>
        <w:rPr>
          <w:color w:val="000000"/>
        </w:rPr>
        <w:t>A tal proposito</w:t>
      </w:r>
      <w:r w:rsidRPr="0060133E">
        <w:rPr>
          <w:color w:val="000000"/>
        </w:rPr>
        <w:t xml:space="preserve">, </w:t>
      </w:r>
      <w:r w:rsidR="005F60A2">
        <w:rPr>
          <w:color w:val="000000"/>
        </w:rPr>
        <w:t xml:space="preserve">infatti, </w:t>
      </w:r>
      <w:r>
        <w:rPr>
          <w:color w:val="000000"/>
        </w:rPr>
        <w:t xml:space="preserve">il Consiglio di Stato ha </w:t>
      </w:r>
      <w:r w:rsidRPr="0060133E">
        <w:rPr>
          <w:color w:val="000000"/>
        </w:rPr>
        <w:t>rilevato come «l</w:t>
      </w:r>
      <w:r>
        <w:rPr>
          <w:color w:val="000000"/>
        </w:rPr>
        <w:t>’</w:t>
      </w:r>
      <w:r w:rsidRPr="0060133E">
        <w:rPr>
          <w:color w:val="000000"/>
        </w:rPr>
        <w:t>attribuzione di un generale potere di legittimazione ad impugnare gli atti delle stazioni appaltanti verrebbe a configurare una sorta di azione pubblica nell</w:t>
      </w:r>
      <w:r>
        <w:rPr>
          <w:color w:val="000000"/>
        </w:rPr>
        <w:t>’</w:t>
      </w:r>
      <w:r w:rsidRPr="0060133E">
        <w:rPr>
          <w:color w:val="000000"/>
        </w:rPr>
        <w:t>interesse della legge, in contrasto con i principî generali del nostro ordinamento che richiedono – a parte i settori della giurisdizione penale e contabile – che l</w:t>
      </w:r>
      <w:r>
        <w:rPr>
          <w:color w:val="000000"/>
        </w:rPr>
        <w:t>’</w:t>
      </w:r>
      <w:r w:rsidRPr="0060133E">
        <w:rPr>
          <w:color w:val="000000"/>
        </w:rPr>
        <w:t>azione giudiziaria trovi comunque un collegamento, sia pure amplissimo, con un interesse del soggetto agente protetto sia direttamente (diritto soggettivo) sia occasionalmente (interesse legittimo)»</w:t>
      </w:r>
      <w:r w:rsidRPr="00967D7D">
        <w:rPr>
          <w:color w:val="000000"/>
          <w:vertAlign w:val="superscript"/>
        </w:rPr>
        <w:footnoteReference w:id="10"/>
      </w:r>
      <w:r>
        <w:rPr>
          <w:color w:val="000000"/>
        </w:rPr>
        <w:t>.</w:t>
      </w:r>
    </w:p>
    <w:p w14:paraId="19ABE2E0" w14:textId="77777777" w:rsidR="00B817DE" w:rsidRDefault="00B817DE" w:rsidP="00B817DE">
      <w:pPr>
        <w:shd w:val="clear" w:color="auto" w:fill="FFFFFF"/>
        <w:tabs>
          <w:tab w:val="left" w:pos="9638"/>
        </w:tabs>
        <w:spacing w:before="180" w:after="180" w:line="240" w:lineRule="auto"/>
        <w:jc w:val="both"/>
        <w:outlineLvl w:val="3"/>
        <w:rPr>
          <w:color w:val="000000"/>
        </w:rPr>
      </w:pPr>
      <w:r>
        <w:rPr>
          <w:color w:val="000000"/>
        </w:rPr>
        <w:t>Entrambe le tesi</w:t>
      </w:r>
      <w:r w:rsidR="00194DA9">
        <w:rPr>
          <w:color w:val="000000"/>
        </w:rPr>
        <w:t xml:space="preserve"> dunque</w:t>
      </w:r>
      <w:r>
        <w:rPr>
          <w:color w:val="000000"/>
        </w:rPr>
        <w:t xml:space="preserve"> concordano che l</w:t>
      </w:r>
      <w:r w:rsidRPr="0060133E">
        <w:rPr>
          <w:color w:val="000000"/>
        </w:rPr>
        <w:t xml:space="preserve">a </w:t>
      </w:r>
      <w:r w:rsidRPr="00572B6D">
        <w:rPr>
          <w:i/>
          <w:color w:val="000000"/>
        </w:rPr>
        <w:t>ratio</w:t>
      </w:r>
      <w:r>
        <w:rPr>
          <w:color w:val="000000"/>
        </w:rPr>
        <w:t xml:space="preserve"> d</w:t>
      </w:r>
      <w:r w:rsidRPr="0060133E">
        <w:rPr>
          <w:color w:val="000000"/>
        </w:rPr>
        <w:t>e</w:t>
      </w:r>
      <w:r>
        <w:rPr>
          <w:color w:val="000000"/>
        </w:rPr>
        <w:t>lla</w:t>
      </w:r>
      <w:r w:rsidRPr="0060133E">
        <w:rPr>
          <w:color w:val="000000"/>
        </w:rPr>
        <w:t> </w:t>
      </w:r>
      <w:proofErr w:type="spellStart"/>
      <w:r w:rsidRPr="00572B6D">
        <w:rPr>
          <w:i/>
          <w:color w:val="000000"/>
        </w:rPr>
        <w:t>legitimatio</w:t>
      </w:r>
      <w:proofErr w:type="spellEnd"/>
      <w:r w:rsidRPr="00572B6D">
        <w:rPr>
          <w:i/>
          <w:color w:val="000000"/>
        </w:rPr>
        <w:t xml:space="preserve"> ad </w:t>
      </w:r>
      <w:proofErr w:type="spellStart"/>
      <w:r w:rsidRPr="00572B6D">
        <w:rPr>
          <w:i/>
          <w:color w:val="000000"/>
        </w:rPr>
        <w:t>causam</w:t>
      </w:r>
      <w:proofErr w:type="spellEnd"/>
      <w:r w:rsidRPr="0060133E">
        <w:rPr>
          <w:color w:val="000000"/>
        </w:rPr>
        <w:t> </w:t>
      </w:r>
      <w:r>
        <w:rPr>
          <w:color w:val="000000"/>
        </w:rPr>
        <w:t>è insita nell’importanza del</w:t>
      </w:r>
      <w:r w:rsidRPr="00367B29">
        <w:rPr>
          <w:color w:val="000000"/>
        </w:rPr>
        <w:t xml:space="preserve"> bene giuridico protetto e con le finalità che con ess</w:t>
      </w:r>
      <w:r>
        <w:rPr>
          <w:color w:val="000000"/>
        </w:rPr>
        <w:t>a</w:t>
      </w:r>
      <w:r w:rsidRPr="00367B29">
        <w:rPr>
          <w:color w:val="000000"/>
        </w:rPr>
        <w:t xml:space="preserve"> si intende perseguire (la crescita e lo sviluppo economico)</w:t>
      </w:r>
      <w:r>
        <w:rPr>
          <w:color w:val="000000"/>
        </w:rPr>
        <w:t>.</w:t>
      </w:r>
    </w:p>
    <w:p w14:paraId="722B642B" w14:textId="77777777" w:rsidR="00B817DE" w:rsidRPr="00367B29" w:rsidRDefault="00194DA9" w:rsidP="00B817DE">
      <w:pPr>
        <w:shd w:val="clear" w:color="auto" w:fill="FFFFFF"/>
        <w:tabs>
          <w:tab w:val="left" w:pos="9638"/>
        </w:tabs>
        <w:spacing w:before="180" w:after="180" w:line="240" w:lineRule="auto"/>
        <w:jc w:val="both"/>
        <w:outlineLvl w:val="3"/>
        <w:rPr>
          <w:color w:val="000000"/>
        </w:rPr>
      </w:pPr>
      <w:r>
        <w:rPr>
          <w:color w:val="000000"/>
        </w:rPr>
        <w:t>Invero, l</w:t>
      </w:r>
      <w:r w:rsidR="00B817DE">
        <w:rPr>
          <w:color w:val="000000"/>
        </w:rPr>
        <w:t>’</w:t>
      </w:r>
      <w:r w:rsidR="00B817DE" w:rsidRPr="00367B29">
        <w:rPr>
          <w:color w:val="000000"/>
        </w:rPr>
        <w:t>accertamento dell</w:t>
      </w:r>
      <w:r w:rsidR="00B817DE">
        <w:rPr>
          <w:color w:val="000000"/>
        </w:rPr>
        <w:t>a</w:t>
      </w:r>
      <w:r w:rsidR="00B817DE" w:rsidRPr="00367B29">
        <w:rPr>
          <w:color w:val="000000"/>
        </w:rPr>
        <w:t xml:space="preserve"> </w:t>
      </w:r>
      <w:r w:rsidR="00B817DE">
        <w:rPr>
          <w:color w:val="000000"/>
        </w:rPr>
        <w:t>les</w:t>
      </w:r>
      <w:r w:rsidR="00B817DE" w:rsidRPr="00367B29">
        <w:rPr>
          <w:color w:val="000000"/>
        </w:rPr>
        <w:t>ion</w:t>
      </w:r>
      <w:r w:rsidR="00B817DE">
        <w:rPr>
          <w:color w:val="000000"/>
        </w:rPr>
        <w:t>e al ben</w:t>
      </w:r>
      <w:r w:rsidR="00B817DE" w:rsidRPr="00367B29">
        <w:rPr>
          <w:color w:val="000000"/>
        </w:rPr>
        <w:t xml:space="preserve">e </w:t>
      </w:r>
      <w:r w:rsidR="00B817DE">
        <w:rPr>
          <w:color w:val="000000"/>
        </w:rPr>
        <w:t xml:space="preserve">giuridico </w:t>
      </w:r>
      <w:r w:rsidR="00B817DE" w:rsidRPr="00367B29">
        <w:rPr>
          <w:color w:val="000000"/>
        </w:rPr>
        <w:t>e</w:t>
      </w:r>
      <w:r w:rsidR="00B817DE">
        <w:rPr>
          <w:color w:val="000000"/>
        </w:rPr>
        <w:t>d</w:t>
      </w:r>
      <w:r w:rsidR="00B817DE" w:rsidRPr="00367B29">
        <w:rPr>
          <w:color w:val="000000"/>
        </w:rPr>
        <w:t xml:space="preserve"> il </w:t>
      </w:r>
      <w:r w:rsidR="00B817DE">
        <w:rPr>
          <w:color w:val="000000"/>
        </w:rPr>
        <w:t xml:space="preserve">conseguente </w:t>
      </w:r>
      <w:r w:rsidR="00B817DE" w:rsidRPr="00367B29">
        <w:rPr>
          <w:color w:val="000000"/>
        </w:rPr>
        <w:t xml:space="preserve">ripristino </w:t>
      </w:r>
      <w:r w:rsidR="00B817DE">
        <w:rPr>
          <w:color w:val="000000"/>
        </w:rPr>
        <w:t xml:space="preserve">della legalità violata </w:t>
      </w:r>
      <w:r w:rsidR="00B817DE" w:rsidRPr="00367B29">
        <w:rPr>
          <w:color w:val="000000"/>
        </w:rPr>
        <w:t>trascend</w:t>
      </w:r>
      <w:r w:rsidR="00B817DE">
        <w:rPr>
          <w:color w:val="000000"/>
        </w:rPr>
        <w:t>ono</w:t>
      </w:r>
      <w:r w:rsidR="00B817DE" w:rsidRPr="00367B29">
        <w:rPr>
          <w:color w:val="000000"/>
        </w:rPr>
        <w:t xml:space="preserve"> l</w:t>
      </w:r>
      <w:r w:rsidR="00B817DE">
        <w:rPr>
          <w:color w:val="000000"/>
        </w:rPr>
        <w:t>’</w:t>
      </w:r>
      <w:r w:rsidR="00B817DE" w:rsidRPr="00367B29">
        <w:rPr>
          <w:color w:val="000000"/>
        </w:rPr>
        <w:t>interesse specifico del singolo operatore del mercato</w:t>
      </w:r>
      <w:r w:rsidR="00B817DE">
        <w:rPr>
          <w:color w:val="000000"/>
        </w:rPr>
        <w:t xml:space="preserve"> e </w:t>
      </w:r>
      <w:r>
        <w:rPr>
          <w:color w:val="000000"/>
        </w:rPr>
        <w:t xml:space="preserve">per questo motivo </w:t>
      </w:r>
      <w:r w:rsidR="00B817DE">
        <w:rPr>
          <w:color w:val="000000"/>
        </w:rPr>
        <w:t xml:space="preserve">sono demandati all’azione di un soggetto garante, per altro in grado di attivarsi </w:t>
      </w:r>
      <w:r w:rsidR="00B817DE" w:rsidRPr="00367B29">
        <w:rPr>
          <w:color w:val="000000"/>
        </w:rPr>
        <w:t>immediatamente</w:t>
      </w:r>
      <w:r w:rsidR="00B817DE">
        <w:rPr>
          <w:color w:val="000000"/>
        </w:rPr>
        <w:t xml:space="preserve"> anche </w:t>
      </w:r>
      <w:r w:rsidR="00B817DE" w:rsidRPr="00367B29">
        <w:rPr>
          <w:color w:val="000000"/>
        </w:rPr>
        <w:t>nei confronti di regolamenti e provvedimenti generali (atti che, secondo i princip</w:t>
      </w:r>
      <w:r w:rsidR="00B817DE" w:rsidRPr="0060133E">
        <w:rPr>
          <w:color w:val="000000"/>
        </w:rPr>
        <w:t>î</w:t>
      </w:r>
      <w:r w:rsidR="00B817DE" w:rsidRPr="00367B29">
        <w:rPr>
          <w:color w:val="000000"/>
        </w:rPr>
        <w:t xml:space="preserve"> generali, in quanto in genere non immediatamente lesivi, possono essere impugnati solo unitamente ai provvedimenti di cui costituiscono applicazione).</w:t>
      </w:r>
    </w:p>
    <w:p w14:paraId="05AEB9B0" w14:textId="77777777" w:rsidR="00FB3835" w:rsidRDefault="0050627F" w:rsidP="00060178">
      <w:pPr>
        <w:shd w:val="clear" w:color="auto" w:fill="FFFFFF"/>
        <w:tabs>
          <w:tab w:val="left" w:pos="9638"/>
        </w:tabs>
        <w:spacing w:before="180" w:after="180" w:line="240" w:lineRule="auto"/>
        <w:jc w:val="both"/>
        <w:outlineLvl w:val="3"/>
        <w:rPr>
          <w:color w:val="000000"/>
        </w:rPr>
      </w:pPr>
      <w:r>
        <w:rPr>
          <w:color w:val="000000"/>
        </w:rPr>
        <w:t xml:space="preserve">Sotto il profilo </w:t>
      </w:r>
      <w:r w:rsidR="00E1396D">
        <w:rPr>
          <w:color w:val="000000"/>
        </w:rPr>
        <w:t>processual</w:t>
      </w:r>
      <w:r>
        <w:rPr>
          <w:color w:val="000000"/>
        </w:rPr>
        <w:t>e, l’</w:t>
      </w:r>
      <w:r w:rsidR="00FB3835">
        <w:rPr>
          <w:color w:val="000000"/>
        </w:rPr>
        <w:t xml:space="preserve">elaborazione giurisprudenziale ha via via precisato </w:t>
      </w:r>
      <w:r>
        <w:rPr>
          <w:color w:val="000000"/>
        </w:rPr>
        <w:t>una serie di</w:t>
      </w:r>
      <w:r w:rsidR="00FB3835">
        <w:rPr>
          <w:color w:val="000000"/>
        </w:rPr>
        <w:t xml:space="preserve"> principî.</w:t>
      </w:r>
    </w:p>
    <w:p w14:paraId="1B16565A" w14:textId="77777777" w:rsidR="00E1396D" w:rsidRDefault="0050627F" w:rsidP="00060178">
      <w:pPr>
        <w:shd w:val="clear" w:color="auto" w:fill="FFFFFF"/>
        <w:tabs>
          <w:tab w:val="left" w:pos="9638"/>
        </w:tabs>
        <w:spacing w:before="180" w:after="180" w:line="240" w:lineRule="auto"/>
        <w:jc w:val="both"/>
        <w:outlineLvl w:val="3"/>
        <w:rPr>
          <w:color w:val="000000"/>
        </w:rPr>
      </w:pPr>
      <w:r>
        <w:rPr>
          <w:color w:val="000000"/>
        </w:rPr>
        <w:t>In particolare, è</w:t>
      </w:r>
      <w:r w:rsidR="00E614AD">
        <w:rPr>
          <w:color w:val="000000"/>
        </w:rPr>
        <w:t xml:space="preserve"> stato</w:t>
      </w:r>
      <w:r>
        <w:rPr>
          <w:color w:val="000000"/>
        </w:rPr>
        <w:t xml:space="preserve"> affermato che l</w:t>
      </w:r>
      <w:r w:rsidR="00FB3835">
        <w:rPr>
          <w:color w:val="000000"/>
        </w:rPr>
        <w:t xml:space="preserve">’azione </w:t>
      </w:r>
      <w:r w:rsidR="0017183A" w:rsidRPr="00367B29">
        <w:rPr>
          <w:color w:val="000000"/>
        </w:rPr>
        <w:t>di cui all</w:t>
      </w:r>
      <w:r w:rsidR="0060133E">
        <w:rPr>
          <w:color w:val="000000"/>
        </w:rPr>
        <w:t>’</w:t>
      </w:r>
      <w:r w:rsidR="0017183A" w:rsidRPr="00367B29">
        <w:rPr>
          <w:color w:val="000000"/>
        </w:rPr>
        <w:t>art. 21</w:t>
      </w:r>
      <w:r w:rsidR="00FB3835">
        <w:rPr>
          <w:color w:val="000000"/>
        </w:rPr>
        <w:t>-</w:t>
      </w:r>
      <w:r w:rsidR="0017183A" w:rsidRPr="00FB3835">
        <w:rPr>
          <w:i/>
          <w:color w:val="000000"/>
        </w:rPr>
        <w:t>bis</w:t>
      </w:r>
      <w:r w:rsidR="0017183A" w:rsidRPr="00367B29">
        <w:rPr>
          <w:color w:val="000000"/>
        </w:rPr>
        <w:t xml:space="preserve"> </w:t>
      </w:r>
      <w:r w:rsidR="00A8095B">
        <w:rPr>
          <w:color w:val="000000"/>
        </w:rPr>
        <w:t xml:space="preserve">della </w:t>
      </w:r>
      <w:r w:rsidR="00FB3835">
        <w:rPr>
          <w:color w:val="000000"/>
        </w:rPr>
        <w:t>legge</w:t>
      </w:r>
      <w:r w:rsidR="0017183A" w:rsidRPr="00367B29">
        <w:rPr>
          <w:color w:val="000000"/>
        </w:rPr>
        <w:t xml:space="preserve"> n. 287</w:t>
      </w:r>
      <w:r w:rsidR="00A8095B">
        <w:rPr>
          <w:color w:val="000000"/>
        </w:rPr>
        <w:t xml:space="preserve"> del 19</w:t>
      </w:r>
      <w:r w:rsidR="0017183A" w:rsidRPr="00367B29">
        <w:rPr>
          <w:color w:val="000000"/>
        </w:rPr>
        <w:t>90:</w:t>
      </w:r>
    </w:p>
    <w:p w14:paraId="42FB8420" w14:textId="77777777" w:rsidR="00E1396D" w:rsidRDefault="00E1396D" w:rsidP="00060178">
      <w:pPr>
        <w:shd w:val="clear" w:color="auto" w:fill="FFFFFF"/>
        <w:tabs>
          <w:tab w:val="left" w:pos="9638"/>
        </w:tabs>
        <w:spacing w:before="180" w:after="180" w:line="240" w:lineRule="auto"/>
        <w:jc w:val="both"/>
        <w:outlineLvl w:val="3"/>
        <w:rPr>
          <w:color w:val="000000"/>
        </w:rPr>
      </w:pPr>
      <w:r>
        <w:rPr>
          <w:color w:val="000000"/>
        </w:rPr>
        <w:t>a) d</w:t>
      </w:r>
      <w:r w:rsidRPr="00E1396D">
        <w:rPr>
          <w:color w:val="000000"/>
        </w:rPr>
        <w:t>e</w:t>
      </w:r>
      <w:r w:rsidR="00002D76">
        <w:rPr>
          <w:color w:val="000000"/>
        </w:rPr>
        <w:t>v’</w:t>
      </w:r>
      <w:r w:rsidRPr="00E1396D">
        <w:rPr>
          <w:color w:val="000000"/>
        </w:rPr>
        <w:t>esse</w:t>
      </w:r>
      <w:r>
        <w:rPr>
          <w:color w:val="000000"/>
        </w:rPr>
        <w:t xml:space="preserve">re </w:t>
      </w:r>
      <w:r w:rsidR="00FB3835">
        <w:rPr>
          <w:color w:val="000000"/>
        </w:rPr>
        <w:t xml:space="preserve">obbligatoriamente </w:t>
      </w:r>
      <w:r>
        <w:rPr>
          <w:color w:val="000000"/>
        </w:rPr>
        <w:t>precedut</w:t>
      </w:r>
      <w:r w:rsidR="00FB3835">
        <w:rPr>
          <w:color w:val="000000"/>
        </w:rPr>
        <w:t>a</w:t>
      </w:r>
      <w:r w:rsidRPr="00E1396D">
        <w:rPr>
          <w:color w:val="000000"/>
        </w:rPr>
        <w:t xml:space="preserve"> </w:t>
      </w:r>
      <w:r w:rsidR="00FB3835">
        <w:rPr>
          <w:color w:val="000000"/>
        </w:rPr>
        <w:t xml:space="preserve">dalla mancata conformazione della P.A. </w:t>
      </w:r>
      <w:r>
        <w:rPr>
          <w:color w:val="000000"/>
        </w:rPr>
        <w:t>a</w:t>
      </w:r>
      <w:r w:rsidR="00FB3835">
        <w:rPr>
          <w:color w:val="000000"/>
        </w:rPr>
        <w:t>l</w:t>
      </w:r>
      <w:r>
        <w:rPr>
          <w:color w:val="000000"/>
        </w:rPr>
        <w:t xml:space="preserve"> parere motivato ne</w:t>
      </w:r>
      <w:r w:rsidRPr="00E1396D">
        <w:rPr>
          <w:color w:val="000000"/>
        </w:rPr>
        <w:t>l termine di sessanta giorni</w:t>
      </w:r>
      <w:r>
        <w:rPr>
          <w:color w:val="000000"/>
        </w:rPr>
        <w:t>. Il parere, a sua volta</w:t>
      </w:r>
      <w:r w:rsidR="00FB3835">
        <w:rPr>
          <w:color w:val="000000"/>
        </w:rPr>
        <w:t>,</w:t>
      </w:r>
      <w:r>
        <w:rPr>
          <w:color w:val="000000"/>
        </w:rPr>
        <w:t xml:space="preserve"> dev’essere </w:t>
      </w:r>
      <w:r w:rsidR="00FB3835">
        <w:rPr>
          <w:color w:val="000000"/>
        </w:rPr>
        <w:t xml:space="preserve">necessariamente </w:t>
      </w:r>
      <w:r>
        <w:rPr>
          <w:color w:val="000000"/>
        </w:rPr>
        <w:t xml:space="preserve">emesso entro sessanta giorni </w:t>
      </w:r>
      <w:r w:rsidRPr="00E1396D">
        <w:rPr>
          <w:color w:val="000000"/>
        </w:rPr>
        <w:t>dal ricevimento</w:t>
      </w:r>
      <w:r>
        <w:rPr>
          <w:color w:val="000000"/>
        </w:rPr>
        <w:t>, da parte di AGCM,</w:t>
      </w:r>
      <w:r w:rsidRPr="00E1396D">
        <w:rPr>
          <w:color w:val="000000"/>
        </w:rPr>
        <w:t xml:space="preserve"> di una specifica comunicazione, di qualsiasi provenienza, recante gli elementi rilevanti dell’atto commesso in violazione delle norme a tutela della concorrenza e del mercato, giacché soltanto a partire da tale momento essa è nella reale condizione di esercitare la propria competenza</w:t>
      </w:r>
      <w:r w:rsidR="00241539">
        <w:rPr>
          <w:rStyle w:val="Rimandonotaapidipagina"/>
          <w:color w:val="000000"/>
        </w:rPr>
        <w:footnoteReference w:id="11"/>
      </w:r>
      <w:r>
        <w:rPr>
          <w:color w:val="000000"/>
        </w:rPr>
        <w:t>;</w:t>
      </w:r>
    </w:p>
    <w:p w14:paraId="460899C4" w14:textId="77777777" w:rsidR="0017183A" w:rsidRPr="00367B29" w:rsidRDefault="00E1396D" w:rsidP="00060178">
      <w:pPr>
        <w:shd w:val="clear" w:color="auto" w:fill="FFFFFF"/>
        <w:tabs>
          <w:tab w:val="left" w:pos="9638"/>
        </w:tabs>
        <w:spacing w:before="180" w:after="180" w:line="240" w:lineRule="auto"/>
        <w:jc w:val="both"/>
        <w:outlineLvl w:val="3"/>
        <w:rPr>
          <w:color w:val="000000"/>
        </w:rPr>
      </w:pPr>
      <w:r>
        <w:rPr>
          <w:color w:val="000000"/>
        </w:rPr>
        <w:t>b</w:t>
      </w:r>
      <w:r w:rsidR="0017183A" w:rsidRPr="00367B29">
        <w:rPr>
          <w:color w:val="000000"/>
        </w:rPr>
        <w:t>) trov</w:t>
      </w:r>
      <w:r w:rsidR="00002D76">
        <w:rPr>
          <w:color w:val="000000"/>
        </w:rPr>
        <w:t>a</w:t>
      </w:r>
      <w:r w:rsidR="0017183A" w:rsidRPr="00367B29">
        <w:rPr>
          <w:color w:val="000000"/>
        </w:rPr>
        <w:t xml:space="preserve"> applicazione soltant</w:t>
      </w:r>
      <w:r w:rsidR="00241539">
        <w:rPr>
          <w:color w:val="000000"/>
        </w:rPr>
        <w:t>o a fronte di atti autoritativi che siano</w:t>
      </w:r>
      <w:r w:rsidR="0017183A" w:rsidRPr="00367B29">
        <w:rPr>
          <w:color w:val="000000"/>
        </w:rPr>
        <w:t xml:space="preserve"> manifestazione di pu</w:t>
      </w:r>
      <w:r w:rsidR="00FB3835">
        <w:rPr>
          <w:color w:val="000000"/>
        </w:rPr>
        <w:t>bblica potestà,</w:t>
      </w:r>
      <w:r w:rsidR="00241539">
        <w:rPr>
          <w:color w:val="000000"/>
        </w:rPr>
        <w:t xml:space="preserve"> come tali</w:t>
      </w:r>
      <w:r w:rsidR="00FB3835">
        <w:rPr>
          <w:color w:val="000000"/>
        </w:rPr>
        <w:t xml:space="preserve"> sindacabili din</w:t>
      </w:r>
      <w:r w:rsidR="0017183A" w:rsidRPr="00367B29">
        <w:rPr>
          <w:color w:val="000000"/>
        </w:rPr>
        <w:t>anzi al giudice amministrativo</w:t>
      </w:r>
      <w:r w:rsidR="00241539">
        <w:rPr>
          <w:rStyle w:val="Rimandonotaapidipagina"/>
          <w:color w:val="000000"/>
        </w:rPr>
        <w:footnoteReference w:id="12"/>
      </w:r>
      <w:r w:rsidR="00E614AD">
        <w:rPr>
          <w:color w:val="000000"/>
        </w:rPr>
        <w:t>, quindi non avverso atti della P.A. di natura privata o avverso atti di enti pubblici economici non av</w:t>
      </w:r>
      <w:r w:rsidR="00241539">
        <w:rPr>
          <w:color w:val="000000"/>
        </w:rPr>
        <w:t>enti natura a</w:t>
      </w:r>
      <w:r w:rsidR="00E614AD">
        <w:rPr>
          <w:color w:val="000000"/>
        </w:rPr>
        <w:t>u</w:t>
      </w:r>
      <w:r w:rsidR="00241539">
        <w:rPr>
          <w:color w:val="000000"/>
        </w:rPr>
        <w:t>t</w:t>
      </w:r>
      <w:r w:rsidR="00E614AD">
        <w:rPr>
          <w:color w:val="000000"/>
        </w:rPr>
        <w:t>oritativa</w:t>
      </w:r>
      <w:r>
        <w:rPr>
          <w:color w:val="000000"/>
        </w:rPr>
        <w:t>;</w:t>
      </w:r>
    </w:p>
    <w:p w14:paraId="52FFBB62" w14:textId="77777777" w:rsidR="00E1396D" w:rsidRDefault="00D703FA" w:rsidP="00060178">
      <w:pPr>
        <w:shd w:val="clear" w:color="auto" w:fill="FFFFFF"/>
        <w:tabs>
          <w:tab w:val="left" w:pos="9638"/>
        </w:tabs>
        <w:spacing w:before="180" w:after="180" w:line="240" w:lineRule="auto"/>
        <w:jc w:val="both"/>
        <w:outlineLvl w:val="3"/>
        <w:rPr>
          <w:color w:val="000000"/>
        </w:rPr>
      </w:pPr>
      <w:r>
        <w:rPr>
          <w:color w:val="000000"/>
        </w:rPr>
        <w:t>c</w:t>
      </w:r>
      <w:r w:rsidR="00E1396D" w:rsidRPr="00367B29">
        <w:rPr>
          <w:color w:val="000000"/>
        </w:rPr>
        <w:t>) il vizio de</w:t>
      </w:r>
      <w:r w:rsidR="00002D76">
        <w:rPr>
          <w:color w:val="000000"/>
        </w:rPr>
        <w:t>ve</w:t>
      </w:r>
      <w:r w:rsidR="00E1396D" w:rsidRPr="00367B29">
        <w:rPr>
          <w:color w:val="000000"/>
        </w:rPr>
        <w:t xml:space="preserve"> consistere nella </w:t>
      </w:r>
      <w:r w:rsidR="00E1396D" w:rsidRPr="0060133E">
        <w:rPr>
          <w:color w:val="000000"/>
        </w:rPr>
        <w:t>violazione delle norme a tutela della concorrenza e del mercato</w:t>
      </w:r>
      <w:r>
        <w:rPr>
          <w:color w:val="000000"/>
        </w:rPr>
        <w:t xml:space="preserve">. </w:t>
      </w:r>
      <w:r w:rsidRPr="00367B29">
        <w:rPr>
          <w:color w:val="000000"/>
        </w:rPr>
        <w:t>Il ricorso proposto dall</w:t>
      </w:r>
      <w:r>
        <w:rPr>
          <w:color w:val="000000"/>
        </w:rPr>
        <w:t>’</w:t>
      </w:r>
      <w:r w:rsidRPr="00367B29">
        <w:rPr>
          <w:color w:val="000000"/>
        </w:rPr>
        <w:t xml:space="preserve">AGCM è </w:t>
      </w:r>
      <w:r>
        <w:rPr>
          <w:color w:val="000000"/>
        </w:rPr>
        <w:t xml:space="preserve">pertanto </w:t>
      </w:r>
      <w:r w:rsidRPr="00367B29">
        <w:rPr>
          <w:color w:val="000000"/>
        </w:rPr>
        <w:t>inammissibile se l</w:t>
      </w:r>
      <w:r>
        <w:rPr>
          <w:color w:val="000000"/>
        </w:rPr>
        <w:t>’</w:t>
      </w:r>
      <w:r w:rsidRPr="00367B29">
        <w:rPr>
          <w:color w:val="000000"/>
        </w:rPr>
        <w:t>Autorità formula un motivo c</w:t>
      </w:r>
      <w:r w:rsidR="00194DA9">
        <w:rPr>
          <w:color w:val="000000"/>
        </w:rPr>
        <w:t>ui</w:t>
      </w:r>
      <w:r w:rsidRPr="00367B29">
        <w:rPr>
          <w:color w:val="000000"/>
        </w:rPr>
        <w:t xml:space="preserve"> non corrisponde la violazione delle norme a tutela della concorrenza e del mercato, per quanto possa </w:t>
      </w:r>
      <w:r w:rsidR="00FB3835">
        <w:rPr>
          <w:color w:val="000000"/>
        </w:rPr>
        <w:t>trattarsi di</w:t>
      </w:r>
      <w:r w:rsidRPr="00367B29">
        <w:rPr>
          <w:color w:val="000000"/>
        </w:rPr>
        <w:t xml:space="preserve"> un vizio rilevante, persino la violazione di norme costituzionali. Infatti, la legittimazione dell</w:t>
      </w:r>
      <w:r>
        <w:rPr>
          <w:color w:val="000000"/>
        </w:rPr>
        <w:t>’</w:t>
      </w:r>
      <w:r w:rsidRPr="00367B29">
        <w:rPr>
          <w:color w:val="000000"/>
        </w:rPr>
        <w:t xml:space="preserve">AGCM, proprio perché </w:t>
      </w:r>
      <w:r w:rsidRPr="00367B29">
        <w:rPr>
          <w:color w:val="000000"/>
        </w:rPr>
        <w:lastRenderedPageBreak/>
        <w:t>ha carattere eccezionale</w:t>
      </w:r>
      <w:r w:rsidR="00FB3835">
        <w:rPr>
          <w:color w:val="000000"/>
        </w:rPr>
        <w:t>,</w:t>
      </w:r>
      <w:r w:rsidRPr="00367B29">
        <w:rPr>
          <w:color w:val="000000"/>
        </w:rPr>
        <w:t xml:space="preserve"> o comunque speciale, non può estendersi al di fuori dei casi espressamente previsti dalla norma in esame</w:t>
      </w:r>
      <w:r w:rsidR="00241539">
        <w:rPr>
          <w:rStyle w:val="Rimandonotaapidipagina"/>
          <w:color w:val="000000"/>
        </w:rPr>
        <w:footnoteReference w:id="13"/>
      </w:r>
      <w:r w:rsidR="00FB3835">
        <w:rPr>
          <w:color w:val="000000"/>
        </w:rPr>
        <w:t>;</w:t>
      </w:r>
    </w:p>
    <w:p w14:paraId="37C48DDF" w14:textId="77777777" w:rsidR="00E1396D" w:rsidRPr="00367B29" w:rsidRDefault="00D703FA" w:rsidP="00060178">
      <w:pPr>
        <w:shd w:val="clear" w:color="auto" w:fill="FFFFFF"/>
        <w:tabs>
          <w:tab w:val="left" w:pos="9638"/>
        </w:tabs>
        <w:spacing w:before="180" w:after="180" w:line="240" w:lineRule="auto"/>
        <w:jc w:val="both"/>
        <w:outlineLvl w:val="3"/>
        <w:rPr>
          <w:color w:val="000000"/>
        </w:rPr>
      </w:pPr>
      <w:r>
        <w:rPr>
          <w:color w:val="000000"/>
        </w:rPr>
        <w:t>d)</w:t>
      </w:r>
      <w:r w:rsidRPr="00367B29">
        <w:rPr>
          <w:color w:val="000000"/>
        </w:rPr>
        <w:t xml:space="preserve"> ai fini dell</w:t>
      </w:r>
      <w:r>
        <w:rPr>
          <w:color w:val="000000"/>
        </w:rPr>
        <w:t>’</w:t>
      </w:r>
      <w:r w:rsidRPr="00367B29">
        <w:rPr>
          <w:color w:val="000000"/>
        </w:rPr>
        <w:t xml:space="preserve">ammissibilità del ricorso, </w:t>
      </w:r>
      <w:r w:rsidR="00FB3835">
        <w:rPr>
          <w:color w:val="000000"/>
        </w:rPr>
        <w:t xml:space="preserve">è necessario </w:t>
      </w:r>
      <w:r w:rsidRPr="0060133E">
        <w:rPr>
          <w:color w:val="000000"/>
        </w:rPr>
        <w:t>dedurre un motivo</w:t>
      </w:r>
      <w:r w:rsidR="00194DA9">
        <w:rPr>
          <w:color w:val="000000"/>
        </w:rPr>
        <w:t xml:space="preserve"> specifico</w:t>
      </w:r>
      <w:r>
        <w:rPr>
          <w:color w:val="000000"/>
        </w:rPr>
        <w:t>,</w:t>
      </w:r>
      <w:r w:rsidRPr="0060133E">
        <w:rPr>
          <w:color w:val="000000"/>
        </w:rPr>
        <w:t xml:space="preserve"> </w:t>
      </w:r>
      <w:r w:rsidRPr="00367B29">
        <w:rPr>
          <w:color w:val="000000"/>
        </w:rPr>
        <w:t xml:space="preserve">non </w:t>
      </w:r>
      <w:r w:rsidR="00002D76">
        <w:rPr>
          <w:color w:val="000000"/>
        </w:rPr>
        <w:t>essendo</w:t>
      </w:r>
      <w:r w:rsidRPr="00367B29">
        <w:rPr>
          <w:color w:val="000000"/>
        </w:rPr>
        <w:t xml:space="preserve"> </w:t>
      </w:r>
      <w:r w:rsidR="00194DA9">
        <w:rPr>
          <w:color w:val="000000"/>
        </w:rPr>
        <w:t xml:space="preserve">sufficiente </w:t>
      </w:r>
      <w:r w:rsidR="009842B9">
        <w:rPr>
          <w:color w:val="000000"/>
        </w:rPr>
        <w:t>il mero</w:t>
      </w:r>
      <w:r w:rsidR="00FB3835">
        <w:rPr>
          <w:color w:val="000000"/>
        </w:rPr>
        <w:t xml:space="preserve"> </w:t>
      </w:r>
      <w:r w:rsidRPr="00367B29">
        <w:rPr>
          <w:color w:val="000000"/>
        </w:rPr>
        <w:t>richiam</w:t>
      </w:r>
      <w:r w:rsidR="009842B9">
        <w:rPr>
          <w:color w:val="000000"/>
        </w:rPr>
        <w:t xml:space="preserve">o </w:t>
      </w:r>
      <w:r w:rsidRPr="00367B29">
        <w:rPr>
          <w:color w:val="000000"/>
        </w:rPr>
        <w:t>a generic</w:t>
      </w:r>
      <w:r w:rsidR="00241539">
        <w:rPr>
          <w:color w:val="000000"/>
        </w:rPr>
        <w:t>he d</w:t>
      </w:r>
      <w:r w:rsidRPr="00367B29">
        <w:rPr>
          <w:color w:val="000000"/>
        </w:rPr>
        <w:t>o</w:t>
      </w:r>
      <w:r w:rsidR="00241539">
        <w:rPr>
          <w:color w:val="000000"/>
        </w:rPr>
        <w:t xml:space="preserve">glienze </w:t>
      </w:r>
      <w:r>
        <w:rPr>
          <w:color w:val="000000"/>
        </w:rPr>
        <w:t>a tutela della concorrenza</w:t>
      </w:r>
      <w:r w:rsidR="00241539">
        <w:rPr>
          <w:rStyle w:val="Rimandonotaapidipagina"/>
          <w:color w:val="000000"/>
        </w:rPr>
        <w:footnoteReference w:id="14"/>
      </w:r>
      <w:r w:rsidR="00967D7D">
        <w:rPr>
          <w:color w:val="000000"/>
        </w:rPr>
        <w:t>;</w:t>
      </w:r>
    </w:p>
    <w:p w14:paraId="0A8373BD" w14:textId="77777777" w:rsidR="00464DB4" w:rsidRDefault="00967D7D" w:rsidP="00060178">
      <w:pPr>
        <w:shd w:val="clear" w:color="auto" w:fill="FFFFFF"/>
        <w:tabs>
          <w:tab w:val="left" w:pos="9638"/>
        </w:tabs>
        <w:spacing w:before="180" w:after="180" w:line="240" w:lineRule="auto"/>
        <w:jc w:val="both"/>
        <w:outlineLvl w:val="3"/>
        <w:rPr>
          <w:color w:val="000000"/>
        </w:rPr>
      </w:pPr>
      <w:r>
        <w:rPr>
          <w:color w:val="000000"/>
        </w:rPr>
        <w:t xml:space="preserve">e) </w:t>
      </w:r>
      <w:r w:rsidR="00002D76">
        <w:rPr>
          <w:color w:val="000000"/>
        </w:rPr>
        <w:t>è disciplinato dal</w:t>
      </w:r>
      <w:r>
        <w:rPr>
          <w:color w:val="000000"/>
        </w:rPr>
        <w:t xml:space="preserve"> </w:t>
      </w:r>
      <w:r w:rsidRPr="00367B29">
        <w:rPr>
          <w:color w:val="000000"/>
        </w:rPr>
        <w:t>rit</w:t>
      </w:r>
      <w:r w:rsidR="00002D76">
        <w:rPr>
          <w:color w:val="000000"/>
        </w:rPr>
        <w:t>o</w:t>
      </w:r>
      <w:r w:rsidRPr="00367B29">
        <w:rPr>
          <w:color w:val="000000"/>
        </w:rPr>
        <w:t xml:space="preserve"> special</w:t>
      </w:r>
      <w:r w:rsidR="00002D76">
        <w:rPr>
          <w:color w:val="000000"/>
        </w:rPr>
        <w:t>e</w:t>
      </w:r>
      <w:r w:rsidRPr="00367B29">
        <w:rPr>
          <w:color w:val="000000"/>
        </w:rPr>
        <w:t xml:space="preserve"> previsti d</w:t>
      </w:r>
      <w:r w:rsidR="00002D76">
        <w:rPr>
          <w:color w:val="000000"/>
        </w:rPr>
        <w:t xml:space="preserve">i cui </w:t>
      </w:r>
      <w:r w:rsidRPr="00367B29">
        <w:rPr>
          <w:color w:val="000000"/>
        </w:rPr>
        <w:t>a</w:t>
      </w:r>
      <w:r w:rsidR="00002D76">
        <w:rPr>
          <w:color w:val="000000"/>
        </w:rPr>
        <w:t>ll’ar</w:t>
      </w:r>
      <w:r w:rsidRPr="00367B29">
        <w:rPr>
          <w:color w:val="000000"/>
        </w:rPr>
        <w:t>t. 119 e s</w:t>
      </w:r>
      <w:r w:rsidR="00002D76">
        <w:rPr>
          <w:color w:val="000000"/>
        </w:rPr>
        <w:t>egg</w:t>
      </w:r>
      <w:r w:rsidRPr="00367B29">
        <w:rPr>
          <w:color w:val="000000"/>
        </w:rPr>
        <w:t xml:space="preserve">. </w:t>
      </w:r>
      <w:proofErr w:type="spellStart"/>
      <w:r w:rsidRPr="00367B29">
        <w:rPr>
          <w:color w:val="000000"/>
        </w:rPr>
        <w:t>c.p.a</w:t>
      </w:r>
      <w:proofErr w:type="spellEnd"/>
      <w:r w:rsidRPr="00367B29">
        <w:rPr>
          <w:color w:val="000000"/>
        </w:rPr>
        <w:t>.,</w:t>
      </w:r>
      <w:r w:rsidR="00002D76">
        <w:rPr>
          <w:color w:val="000000"/>
        </w:rPr>
        <w:t xml:space="preserve"> connotato </w:t>
      </w:r>
      <w:r w:rsidRPr="00367B29">
        <w:rPr>
          <w:color w:val="000000"/>
        </w:rPr>
        <w:t>dal generale dimezzamento dei termini processuali ordinari</w:t>
      </w:r>
      <w:r w:rsidR="00241539">
        <w:rPr>
          <w:rStyle w:val="Rimandonotaapidipagina"/>
          <w:color w:val="000000"/>
        </w:rPr>
        <w:footnoteReference w:id="15"/>
      </w:r>
      <w:r w:rsidR="00C13ED8">
        <w:rPr>
          <w:color w:val="000000"/>
        </w:rPr>
        <w:t>;</w:t>
      </w:r>
    </w:p>
    <w:p w14:paraId="6FFBD753" w14:textId="77777777" w:rsidR="00C13ED8" w:rsidRPr="0060133E" w:rsidRDefault="00C13ED8" w:rsidP="00060178">
      <w:pPr>
        <w:shd w:val="clear" w:color="auto" w:fill="FFFFFF"/>
        <w:tabs>
          <w:tab w:val="left" w:pos="9638"/>
        </w:tabs>
        <w:spacing w:before="180" w:after="180" w:line="240" w:lineRule="auto"/>
        <w:jc w:val="both"/>
        <w:outlineLvl w:val="3"/>
        <w:rPr>
          <w:color w:val="000000"/>
        </w:rPr>
      </w:pPr>
      <w:r>
        <w:rPr>
          <w:color w:val="000000"/>
        </w:rPr>
        <w:t>f) non ve</w:t>
      </w:r>
      <w:r w:rsidR="0087372B">
        <w:rPr>
          <w:color w:val="000000"/>
        </w:rPr>
        <w:t>rte</w:t>
      </w:r>
      <w:r>
        <w:rPr>
          <w:color w:val="000000"/>
        </w:rPr>
        <w:t xml:space="preserve">ndo la </w:t>
      </w:r>
      <w:r w:rsidRPr="0087372B">
        <w:rPr>
          <w:color w:val="000000"/>
        </w:rPr>
        <w:t xml:space="preserve">controversia </w:t>
      </w:r>
      <w:r w:rsidR="0087372B">
        <w:rPr>
          <w:color w:val="000000"/>
        </w:rPr>
        <w:t xml:space="preserve">su </w:t>
      </w:r>
      <w:r w:rsidRPr="0087372B">
        <w:rPr>
          <w:color w:val="000000"/>
        </w:rPr>
        <w:t>un provvedimento dell</w:t>
      </w:r>
      <w:r w:rsidR="0087372B">
        <w:rPr>
          <w:color w:val="000000"/>
        </w:rPr>
        <w:t>’</w:t>
      </w:r>
      <w:r w:rsidRPr="0087372B">
        <w:rPr>
          <w:color w:val="000000"/>
        </w:rPr>
        <w:t>A</w:t>
      </w:r>
      <w:r w:rsidR="00194DA9">
        <w:rPr>
          <w:color w:val="000000"/>
        </w:rPr>
        <w:t>GCM</w:t>
      </w:r>
      <w:r w:rsidRPr="0087372B">
        <w:rPr>
          <w:color w:val="000000"/>
        </w:rPr>
        <w:t xml:space="preserve">, non opera in primo grado la competenza </w:t>
      </w:r>
      <w:r w:rsidR="0087372B">
        <w:rPr>
          <w:color w:val="000000"/>
        </w:rPr>
        <w:t xml:space="preserve">funzionale </w:t>
      </w:r>
      <w:r w:rsidRPr="0087372B">
        <w:rPr>
          <w:color w:val="000000"/>
        </w:rPr>
        <w:t xml:space="preserve">centrale di cui all’art. 135 </w:t>
      </w:r>
      <w:proofErr w:type="spellStart"/>
      <w:r w:rsidRPr="0087372B">
        <w:rPr>
          <w:color w:val="000000"/>
        </w:rPr>
        <w:t>c.p.a</w:t>
      </w:r>
      <w:proofErr w:type="spellEnd"/>
      <w:r w:rsidRPr="0087372B">
        <w:rPr>
          <w:color w:val="000000"/>
        </w:rPr>
        <w:t>.</w:t>
      </w:r>
      <w:r w:rsidR="0087372B" w:rsidRPr="0087372B">
        <w:rPr>
          <w:color w:val="000000"/>
        </w:rPr>
        <w:t xml:space="preserve">, ma la competenza territoriale inderogabile di cui all’art. 13 </w:t>
      </w:r>
      <w:proofErr w:type="spellStart"/>
      <w:r w:rsidR="0087372B" w:rsidRPr="0087372B">
        <w:rPr>
          <w:color w:val="000000"/>
        </w:rPr>
        <w:t>c.p.a</w:t>
      </w:r>
      <w:proofErr w:type="spellEnd"/>
      <w:r w:rsidR="0087372B" w:rsidRPr="0087372B">
        <w:rPr>
          <w:color w:val="000000"/>
        </w:rPr>
        <w:t>.</w:t>
      </w:r>
    </w:p>
    <w:sectPr w:rsidR="00C13ED8" w:rsidRPr="0060133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A1830" w14:textId="77777777" w:rsidR="00737387" w:rsidRDefault="00737387" w:rsidP="003A0233">
      <w:pPr>
        <w:spacing w:after="0" w:line="240" w:lineRule="auto"/>
      </w:pPr>
      <w:r>
        <w:separator/>
      </w:r>
    </w:p>
  </w:endnote>
  <w:endnote w:type="continuationSeparator" w:id="0">
    <w:p w14:paraId="536C92FD" w14:textId="77777777" w:rsidR="00737387" w:rsidRDefault="00737387" w:rsidP="003A0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0B5A2" w14:textId="77777777" w:rsidR="00737387" w:rsidRDefault="00737387" w:rsidP="003A0233">
      <w:pPr>
        <w:spacing w:after="0" w:line="240" w:lineRule="auto"/>
      </w:pPr>
      <w:r>
        <w:separator/>
      </w:r>
    </w:p>
  </w:footnote>
  <w:footnote w:type="continuationSeparator" w:id="0">
    <w:p w14:paraId="3C4F1B63" w14:textId="77777777" w:rsidR="00737387" w:rsidRDefault="00737387" w:rsidP="003A0233">
      <w:pPr>
        <w:spacing w:after="0" w:line="240" w:lineRule="auto"/>
      </w:pPr>
      <w:r>
        <w:continuationSeparator/>
      </w:r>
    </w:p>
  </w:footnote>
  <w:footnote w:id="1">
    <w:p w14:paraId="6A29085A" w14:textId="77777777" w:rsidR="00AD6A00" w:rsidRPr="00AD6A00" w:rsidRDefault="00AD6A00" w:rsidP="00AD6A00">
      <w:pPr>
        <w:pStyle w:val="Testonotaapidipagina"/>
        <w:jc w:val="both"/>
        <w:rPr>
          <w:rFonts w:asciiTheme="minorHAnsi" w:hAnsiTheme="minorHAnsi" w:cstheme="minorHAnsi"/>
        </w:rPr>
      </w:pPr>
      <w:r w:rsidRPr="00AD6A00">
        <w:rPr>
          <w:rStyle w:val="Rimandonotaapidipagina"/>
          <w:rFonts w:asciiTheme="minorHAnsi" w:hAnsiTheme="minorHAnsi" w:cstheme="minorHAnsi"/>
        </w:rPr>
        <w:footnoteRef/>
      </w:r>
      <w:r w:rsidRPr="00AD6A00">
        <w:rPr>
          <w:rFonts w:asciiTheme="minorHAnsi" w:hAnsiTheme="minorHAnsi" w:cstheme="minorHAnsi"/>
        </w:rPr>
        <w:t xml:space="preserve"> </w:t>
      </w:r>
      <w:r w:rsidRPr="00AD6A00">
        <w:rPr>
          <w:rFonts w:asciiTheme="minorHAnsi" w:hAnsiTheme="minorHAnsi" w:cstheme="minorHAnsi"/>
          <w:color w:val="000000"/>
        </w:rPr>
        <w:t xml:space="preserve">Corte </w:t>
      </w:r>
      <w:r w:rsidR="004A4C0E">
        <w:rPr>
          <w:rFonts w:asciiTheme="minorHAnsi" w:hAnsiTheme="minorHAnsi" w:cstheme="minorHAnsi"/>
          <w:color w:val="000000"/>
        </w:rPr>
        <w:t>c</w:t>
      </w:r>
      <w:r w:rsidRPr="00AD6A00">
        <w:rPr>
          <w:rFonts w:asciiTheme="minorHAnsi" w:hAnsiTheme="minorHAnsi" w:cstheme="minorHAnsi"/>
          <w:color w:val="000000"/>
        </w:rPr>
        <w:t>ost</w:t>
      </w:r>
      <w:r w:rsidR="005E6757">
        <w:rPr>
          <w:rFonts w:asciiTheme="minorHAnsi" w:hAnsiTheme="minorHAnsi" w:cstheme="minorHAnsi"/>
          <w:color w:val="000000"/>
        </w:rPr>
        <w:t>.</w:t>
      </w:r>
      <w:r w:rsidRPr="00AD6A00">
        <w:rPr>
          <w:rFonts w:asciiTheme="minorHAnsi" w:hAnsiTheme="minorHAnsi" w:cstheme="minorHAnsi"/>
          <w:color w:val="000000"/>
        </w:rPr>
        <w:t xml:space="preserve"> </w:t>
      </w:r>
      <w:r>
        <w:rPr>
          <w:rFonts w:asciiTheme="minorHAnsi" w:hAnsiTheme="minorHAnsi" w:cstheme="minorHAnsi"/>
          <w:color w:val="000000"/>
        </w:rPr>
        <w:t>1</w:t>
      </w:r>
      <w:r w:rsidR="002102B0">
        <w:rPr>
          <w:rFonts w:asciiTheme="minorHAnsi" w:hAnsiTheme="minorHAnsi" w:cstheme="minorHAnsi"/>
          <w:color w:val="000000"/>
        </w:rPr>
        <w:t>1</w:t>
      </w:r>
      <w:r w:rsidR="002D5E7E">
        <w:rPr>
          <w:rFonts w:asciiTheme="minorHAnsi" w:hAnsiTheme="minorHAnsi" w:cstheme="minorHAnsi"/>
          <w:color w:val="000000"/>
        </w:rPr>
        <w:t>/02/</w:t>
      </w:r>
      <w:r>
        <w:rPr>
          <w:rFonts w:asciiTheme="minorHAnsi" w:hAnsiTheme="minorHAnsi" w:cstheme="minorHAnsi"/>
          <w:color w:val="000000"/>
        </w:rPr>
        <w:t>2013,</w:t>
      </w:r>
      <w:r w:rsidRPr="00AD6A00">
        <w:rPr>
          <w:rFonts w:asciiTheme="minorHAnsi" w:hAnsiTheme="minorHAnsi" w:cstheme="minorHAnsi"/>
          <w:color w:val="000000"/>
        </w:rPr>
        <w:t xml:space="preserve"> n. 20</w:t>
      </w:r>
      <w:r>
        <w:rPr>
          <w:rFonts w:asciiTheme="minorHAnsi" w:hAnsiTheme="minorHAnsi" w:cstheme="minorHAnsi"/>
          <w:color w:val="000000"/>
        </w:rPr>
        <w:t>.</w:t>
      </w:r>
    </w:p>
  </w:footnote>
  <w:footnote w:id="2">
    <w:p w14:paraId="43325E4E" w14:textId="77777777" w:rsidR="00967D7D" w:rsidRPr="007C77BC" w:rsidRDefault="00967D7D" w:rsidP="00967D7D">
      <w:pPr>
        <w:pStyle w:val="Testonotaapidipagina"/>
        <w:jc w:val="both"/>
        <w:rPr>
          <w:rFonts w:ascii="Calibri" w:hAnsi="Calibri" w:cs="Calibri"/>
          <w:i/>
        </w:rPr>
      </w:pPr>
      <w:r w:rsidRPr="007C77BC">
        <w:rPr>
          <w:rStyle w:val="Rimandonotaapidipagina"/>
          <w:rFonts w:ascii="Calibri" w:hAnsi="Calibri" w:cs="Calibri"/>
        </w:rPr>
        <w:footnoteRef/>
      </w:r>
      <w:r w:rsidRPr="007C77BC">
        <w:rPr>
          <w:rFonts w:ascii="Calibri" w:hAnsi="Calibri" w:cs="Calibri"/>
        </w:rPr>
        <w:t xml:space="preserve"> T.A.R. Lazio, </w:t>
      </w:r>
      <w:r w:rsidR="005E6757">
        <w:rPr>
          <w:rFonts w:ascii="Calibri" w:hAnsi="Calibri" w:cs="Calibri"/>
        </w:rPr>
        <w:t>s</w:t>
      </w:r>
      <w:r w:rsidRPr="007C77BC">
        <w:rPr>
          <w:rFonts w:ascii="Calibri" w:hAnsi="Calibri" w:cs="Calibri"/>
        </w:rPr>
        <w:t xml:space="preserve">ez. II, </w:t>
      </w:r>
      <w:r w:rsidR="002D5E7E">
        <w:rPr>
          <w:rFonts w:ascii="Calibri" w:hAnsi="Calibri" w:cs="Calibri"/>
        </w:rPr>
        <w:t>0</w:t>
      </w:r>
      <w:r w:rsidRPr="007C77BC">
        <w:rPr>
          <w:rFonts w:ascii="Calibri" w:hAnsi="Calibri" w:cs="Calibri"/>
        </w:rPr>
        <w:t>6</w:t>
      </w:r>
      <w:r w:rsidR="002D5E7E">
        <w:rPr>
          <w:rFonts w:ascii="Calibri" w:hAnsi="Calibri" w:cs="Calibri"/>
        </w:rPr>
        <w:t>/05/</w:t>
      </w:r>
      <w:r w:rsidRPr="007C77BC">
        <w:rPr>
          <w:rFonts w:ascii="Calibri" w:hAnsi="Calibri" w:cs="Calibri"/>
        </w:rPr>
        <w:t>2013</w:t>
      </w:r>
      <w:r w:rsidR="0057226C">
        <w:rPr>
          <w:rFonts w:ascii="Calibri" w:hAnsi="Calibri" w:cs="Calibri"/>
        </w:rPr>
        <w:t>,</w:t>
      </w:r>
      <w:r w:rsidRPr="007C77BC">
        <w:rPr>
          <w:rFonts w:ascii="Calibri" w:hAnsi="Calibri" w:cs="Calibri"/>
        </w:rPr>
        <w:t xml:space="preserve"> n. 4451 e </w:t>
      </w:r>
      <w:r w:rsidR="005E6757">
        <w:rPr>
          <w:rFonts w:ascii="Calibri" w:hAnsi="Calibri" w:cs="Calibri"/>
        </w:rPr>
        <w:t>s</w:t>
      </w:r>
      <w:r w:rsidRPr="007C77BC">
        <w:rPr>
          <w:rFonts w:ascii="Calibri" w:hAnsi="Calibri" w:cs="Calibri"/>
        </w:rPr>
        <w:t>ez. III, 15</w:t>
      </w:r>
      <w:r w:rsidR="002D5E7E">
        <w:rPr>
          <w:rFonts w:ascii="Calibri" w:hAnsi="Calibri" w:cs="Calibri"/>
        </w:rPr>
        <w:t>/03/</w:t>
      </w:r>
      <w:r w:rsidRPr="007C77BC">
        <w:rPr>
          <w:rFonts w:ascii="Calibri" w:hAnsi="Calibri" w:cs="Calibri"/>
        </w:rPr>
        <w:t>2013</w:t>
      </w:r>
      <w:r w:rsidR="0057226C">
        <w:rPr>
          <w:rFonts w:ascii="Calibri" w:hAnsi="Calibri" w:cs="Calibri"/>
        </w:rPr>
        <w:t>,</w:t>
      </w:r>
      <w:r w:rsidRPr="007C77BC">
        <w:rPr>
          <w:rFonts w:ascii="Calibri" w:hAnsi="Calibri" w:cs="Calibri"/>
        </w:rPr>
        <w:t xml:space="preserve"> n. 2720; in un primo momento</w:t>
      </w:r>
      <w:r w:rsidR="00540590">
        <w:rPr>
          <w:rFonts w:ascii="Calibri" w:hAnsi="Calibri" w:cs="Calibri"/>
        </w:rPr>
        <w:t>, anche</w:t>
      </w:r>
      <w:r w:rsidRPr="007C77BC">
        <w:rPr>
          <w:rFonts w:ascii="Calibri" w:hAnsi="Calibri" w:cs="Calibri"/>
        </w:rPr>
        <w:t xml:space="preserve">: M.A. SANDULLI, </w:t>
      </w:r>
      <w:r w:rsidRPr="007C77BC">
        <w:rPr>
          <w:rFonts w:ascii="Calibri" w:hAnsi="Calibri" w:cs="Calibri"/>
          <w:i/>
        </w:rPr>
        <w:t>Il processo davanti al giudice amministrativo nelle novità legislative della fine del 2011</w:t>
      </w:r>
      <w:r w:rsidRPr="007C77BC">
        <w:rPr>
          <w:rFonts w:ascii="Calibri" w:hAnsi="Calibri" w:cs="Calibri"/>
        </w:rPr>
        <w:t xml:space="preserve">, in </w:t>
      </w:r>
      <w:r w:rsidRPr="007C77BC">
        <w:rPr>
          <w:rFonts w:ascii="Calibri" w:hAnsi="Calibri" w:cs="Calibri"/>
          <w:i/>
        </w:rPr>
        <w:t xml:space="preserve">Foro </w:t>
      </w:r>
      <w:proofErr w:type="spellStart"/>
      <w:r w:rsidRPr="007C77BC">
        <w:rPr>
          <w:rFonts w:ascii="Calibri" w:hAnsi="Calibri" w:cs="Calibri"/>
          <w:i/>
        </w:rPr>
        <w:t>amm</w:t>
      </w:r>
      <w:proofErr w:type="spellEnd"/>
      <w:r w:rsidRPr="007C77BC">
        <w:rPr>
          <w:rFonts w:ascii="Calibri" w:hAnsi="Calibri" w:cs="Calibri"/>
          <w:i/>
        </w:rPr>
        <w:t>., TAR, 2011.</w:t>
      </w:r>
    </w:p>
  </w:footnote>
  <w:footnote w:id="3">
    <w:p w14:paraId="7E58A89B" w14:textId="77777777" w:rsidR="00967D7D" w:rsidRPr="007C77BC" w:rsidRDefault="00967D7D" w:rsidP="00967D7D">
      <w:pPr>
        <w:pStyle w:val="Testonotaapidipagina"/>
        <w:jc w:val="both"/>
        <w:rPr>
          <w:rFonts w:ascii="Calibri" w:hAnsi="Calibri" w:cs="Calibri"/>
          <w:i/>
        </w:rPr>
      </w:pPr>
      <w:r w:rsidRPr="007C77BC">
        <w:rPr>
          <w:rStyle w:val="Rimandonotaapidipagina"/>
          <w:rFonts w:ascii="Calibri" w:hAnsi="Calibri" w:cs="Calibri"/>
        </w:rPr>
        <w:footnoteRef/>
      </w:r>
      <w:r w:rsidRPr="007C77BC">
        <w:rPr>
          <w:rFonts w:ascii="Calibri" w:hAnsi="Calibri" w:cs="Calibri"/>
        </w:rPr>
        <w:t xml:space="preserve"> F. CINTIOLI, </w:t>
      </w:r>
      <w:r w:rsidRPr="007C77BC">
        <w:rPr>
          <w:rFonts w:ascii="Calibri" w:hAnsi="Calibri" w:cs="Calibri"/>
          <w:i/>
        </w:rPr>
        <w:t>Osservazioni sul ricorso giurisdizionale dell’Autorità garante della concorrenza e del mercato (art. 21</w:t>
      </w:r>
      <w:r w:rsidR="00B5380F">
        <w:rPr>
          <w:rFonts w:ascii="Calibri" w:hAnsi="Calibri" w:cs="Calibri"/>
          <w:i/>
        </w:rPr>
        <w:t>-</w:t>
      </w:r>
      <w:r w:rsidRPr="007C77BC">
        <w:rPr>
          <w:rFonts w:ascii="Calibri" w:hAnsi="Calibri" w:cs="Calibri"/>
          <w:i/>
        </w:rPr>
        <w:t>bis della legge n. 287 del 1990)</w:t>
      </w:r>
      <w:r w:rsidRPr="007C77BC">
        <w:rPr>
          <w:rFonts w:ascii="Calibri" w:hAnsi="Calibri" w:cs="Calibri"/>
        </w:rPr>
        <w:t xml:space="preserve">, in </w:t>
      </w:r>
      <w:r w:rsidRPr="00A8095B">
        <w:rPr>
          <w:rStyle w:val="Collegamentoipertestuale"/>
          <w:rFonts w:ascii="Calibri" w:hAnsi="Calibri" w:cs="Calibri"/>
          <w:i/>
        </w:rPr>
        <w:t>Federalismi.it</w:t>
      </w:r>
      <w:r w:rsidRPr="007C77BC">
        <w:rPr>
          <w:rFonts w:ascii="Calibri" w:hAnsi="Calibri" w:cs="Calibri"/>
        </w:rPr>
        <w:t xml:space="preserve"> 2012.</w:t>
      </w:r>
    </w:p>
  </w:footnote>
  <w:footnote w:id="4">
    <w:p w14:paraId="2A492D15" w14:textId="77777777" w:rsidR="00967D7D" w:rsidRPr="007C77BC" w:rsidRDefault="00967D7D" w:rsidP="00967D7D">
      <w:pPr>
        <w:pStyle w:val="Testonotaapidipagina"/>
        <w:jc w:val="both"/>
        <w:rPr>
          <w:rFonts w:ascii="Calibri" w:hAnsi="Calibri" w:cs="Calibri"/>
        </w:rPr>
      </w:pPr>
      <w:r w:rsidRPr="0057226C">
        <w:rPr>
          <w:rStyle w:val="Rimandonotaapidipagina"/>
          <w:rFonts w:asciiTheme="minorHAnsi" w:hAnsiTheme="minorHAnsi" w:cstheme="minorHAnsi"/>
        </w:rPr>
        <w:footnoteRef/>
      </w:r>
      <w:r w:rsidRPr="0057226C">
        <w:rPr>
          <w:rStyle w:val="Rimandonotaapidipagina"/>
          <w:rFonts w:asciiTheme="minorHAnsi" w:hAnsiTheme="minorHAnsi" w:cstheme="minorHAnsi"/>
        </w:rPr>
        <w:t xml:space="preserve"> </w:t>
      </w:r>
      <w:r w:rsidR="0057226C" w:rsidRPr="0057226C">
        <w:rPr>
          <w:rFonts w:asciiTheme="minorHAnsi" w:hAnsiTheme="minorHAnsi" w:cstheme="minorHAnsi"/>
        </w:rPr>
        <w:t>A partire da:</w:t>
      </w:r>
      <w:r w:rsidR="0057226C" w:rsidRPr="0057226C">
        <w:rPr>
          <w:rStyle w:val="Rimandonotaapidipagina"/>
          <w:rFonts w:asciiTheme="minorHAnsi" w:hAnsiTheme="minorHAnsi" w:cstheme="minorHAnsi"/>
        </w:rPr>
        <w:t xml:space="preserve"> </w:t>
      </w:r>
      <w:r w:rsidRPr="0057226C">
        <w:rPr>
          <w:rFonts w:asciiTheme="minorHAnsi" w:hAnsiTheme="minorHAnsi" w:cstheme="minorHAnsi"/>
        </w:rPr>
        <w:t xml:space="preserve">Cons. Stato, </w:t>
      </w:r>
      <w:r w:rsidR="005E6757">
        <w:rPr>
          <w:rFonts w:asciiTheme="minorHAnsi" w:hAnsiTheme="minorHAnsi" w:cstheme="minorHAnsi"/>
        </w:rPr>
        <w:t>s</w:t>
      </w:r>
      <w:r w:rsidRPr="0057226C">
        <w:rPr>
          <w:rFonts w:asciiTheme="minorHAnsi" w:hAnsiTheme="minorHAnsi" w:cstheme="minorHAnsi"/>
        </w:rPr>
        <w:t>ez. V, 30</w:t>
      </w:r>
      <w:r w:rsidR="002D5E7E">
        <w:rPr>
          <w:rFonts w:asciiTheme="minorHAnsi" w:hAnsiTheme="minorHAnsi" w:cstheme="minorHAnsi"/>
        </w:rPr>
        <w:t>/04/</w:t>
      </w:r>
      <w:r w:rsidRPr="0057226C">
        <w:rPr>
          <w:rFonts w:asciiTheme="minorHAnsi" w:hAnsiTheme="minorHAnsi" w:cstheme="minorHAnsi"/>
        </w:rPr>
        <w:t>2014</w:t>
      </w:r>
      <w:r w:rsidR="0057226C" w:rsidRPr="0057226C">
        <w:rPr>
          <w:rFonts w:asciiTheme="minorHAnsi" w:hAnsiTheme="minorHAnsi" w:cstheme="minorHAnsi"/>
        </w:rPr>
        <w:t>,</w:t>
      </w:r>
      <w:r w:rsidRPr="0057226C">
        <w:rPr>
          <w:rFonts w:asciiTheme="minorHAnsi" w:hAnsiTheme="minorHAnsi" w:cstheme="minorHAnsi"/>
        </w:rPr>
        <w:t xml:space="preserve"> n. 2246; T.A.R. Lombardia, Milano, </w:t>
      </w:r>
      <w:r w:rsidR="005E6757">
        <w:rPr>
          <w:rFonts w:asciiTheme="minorHAnsi" w:hAnsiTheme="minorHAnsi" w:cstheme="minorHAnsi"/>
        </w:rPr>
        <w:t>s</w:t>
      </w:r>
      <w:r w:rsidRPr="0057226C">
        <w:rPr>
          <w:rFonts w:asciiTheme="minorHAnsi" w:hAnsiTheme="minorHAnsi" w:cstheme="minorHAnsi"/>
        </w:rPr>
        <w:t xml:space="preserve">ez. I, </w:t>
      </w:r>
      <w:r w:rsidR="002D5E7E">
        <w:rPr>
          <w:rFonts w:asciiTheme="minorHAnsi" w:hAnsiTheme="minorHAnsi" w:cstheme="minorHAnsi"/>
        </w:rPr>
        <w:t>0</w:t>
      </w:r>
      <w:r w:rsidRPr="0057226C">
        <w:rPr>
          <w:rFonts w:asciiTheme="minorHAnsi" w:hAnsiTheme="minorHAnsi" w:cstheme="minorHAnsi"/>
        </w:rPr>
        <w:t>8</w:t>
      </w:r>
      <w:r w:rsidR="002D5E7E">
        <w:rPr>
          <w:rFonts w:asciiTheme="minorHAnsi" w:hAnsiTheme="minorHAnsi" w:cstheme="minorHAnsi"/>
        </w:rPr>
        <w:t>/07/</w:t>
      </w:r>
      <w:r w:rsidRPr="0057226C">
        <w:rPr>
          <w:rFonts w:asciiTheme="minorHAnsi" w:hAnsiTheme="minorHAnsi" w:cstheme="minorHAnsi"/>
        </w:rPr>
        <w:t>2016</w:t>
      </w:r>
      <w:r w:rsidR="0057226C" w:rsidRPr="0057226C">
        <w:rPr>
          <w:rFonts w:asciiTheme="minorHAnsi" w:hAnsiTheme="minorHAnsi" w:cstheme="minorHAnsi"/>
        </w:rPr>
        <w:t>,</w:t>
      </w:r>
      <w:r w:rsidRPr="0057226C">
        <w:rPr>
          <w:rFonts w:asciiTheme="minorHAnsi" w:hAnsiTheme="minorHAnsi" w:cstheme="minorHAnsi"/>
        </w:rPr>
        <w:t xml:space="preserve"> n. 1356; T.A.R.</w:t>
      </w:r>
      <w:r w:rsidRPr="007C77BC">
        <w:rPr>
          <w:rFonts w:ascii="Calibri" w:hAnsi="Calibri" w:cs="Calibri"/>
        </w:rPr>
        <w:t xml:space="preserve"> Lazio, </w:t>
      </w:r>
      <w:r w:rsidR="005E6757">
        <w:rPr>
          <w:rFonts w:ascii="Calibri" w:hAnsi="Calibri" w:cs="Calibri"/>
        </w:rPr>
        <w:t>s</w:t>
      </w:r>
      <w:r w:rsidRPr="007C77BC">
        <w:rPr>
          <w:rFonts w:ascii="Calibri" w:hAnsi="Calibri" w:cs="Calibri"/>
        </w:rPr>
        <w:t xml:space="preserve">ez. II, </w:t>
      </w:r>
      <w:r w:rsidR="002D5E7E">
        <w:rPr>
          <w:rFonts w:ascii="Calibri" w:hAnsi="Calibri" w:cs="Calibri"/>
        </w:rPr>
        <w:t>0</w:t>
      </w:r>
      <w:r w:rsidRPr="007C77BC">
        <w:rPr>
          <w:rFonts w:ascii="Calibri" w:hAnsi="Calibri" w:cs="Calibri"/>
        </w:rPr>
        <w:t>6</w:t>
      </w:r>
      <w:r w:rsidR="002D5E7E">
        <w:rPr>
          <w:rFonts w:ascii="Calibri" w:hAnsi="Calibri" w:cs="Calibri"/>
        </w:rPr>
        <w:t>/05/</w:t>
      </w:r>
      <w:r w:rsidRPr="007C77BC">
        <w:rPr>
          <w:rFonts w:ascii="Calibri" w:hAnsi="Calibri" w:cs="Calibri"/>
        </w:rPr>
        <w:t>2013</w:t>
      </w:r>
      <w:r w:rsidR="0057226C">
        <w:rPr>
          <w:rFonts w:ascii="Calibri" w:hAnsi="Calibri" w:cs="Calibri"/>
        </w:rPr>
        <w:t>,</w:t>
      </w:r>
      <w:r w:rsidRPr="007C77BC">
        <w:rPr>
          <w:rFonts w:ascii="Calibri" w:hAnsi="Calibri" w:cs="Calibri"/>
        </w:rPr>
        <w:t xml:space="preserve"> n. 4451 e </w:t>
      </w:r>
      <w:r w:rsidR="005E6757">
        <w:rPr>
          <w:rFonts w:ascii="Calibri" w:hAnsi="Calibri" w:cs="Calibri"/>
        </w:rPr>
        <w:t>s</w:t>
      </w:r>
      <w:r w:rsidRPr="007C77BC">
        <w:rPr>
          <w:rFonts w:ascii="Calibri" w:hAnsi="Calibri" w:cs="Calibri"/>
        </w:rPr>
        <w:t>ez. III, 15</w:t>
      </w:r>
      <w:r w:rsidR="002D5E7E">
        <w:rPr>
          <w:rFonts w:ascii="Calibri" w:hAnsi="Calibri" w:cs="Calibri"/>
        </w:rPr>
        <w:t>/03/</w:t>
      </w:r>
      <w:r w:rsidRPr="007C77BC">
        <w:rPr>
          <w:rFonts w:ascii="Calibri" w:hAnsi="Calibri" w:cs="Calibri"/>
        </w:rPr>
        <w:t>2013</w:t>
      </w:r>
      <w:r w:rsidR="0057226C">
        <w:rPr>
          <w:rFonts w:ascii="Calibri" w:hAnsi="Calibri" w:cs="Calibri"/>
        </w:rPr>
        <w:t>,</w:t>
      </w:r>
      <w:r w:rsidRPr="007C77BC">
        <w:rPr>
          <w:rFonts w:ascii="Calibri" w:hAnsi="Calibri" w:cs="Calibri"/>
        </w:rPr>
        <w:t xml:space="preserve"> n. 2720.</w:t>
      </w:r>
    </w:p>
  </w:footnote>
  <w:footnote w:id="5">
    <w:p w14:paraId="54535253" w14:textId="77777777" w:rsidR="00967D7D" w:rsidRPr="007C77BC" w:rsidRDefault="00967D7D" w:rsidP="00967D7D">
      <w:pPr>
        <w:pStyle w:val="Testonotaapidipagina"/>
        <w:jc w:val="both"/>
        <w:rPr>
          <w:rFonts w:ascii="Calibri" w:hAnsi="Calibri" w:cs="Calibri"/>
        </w:rPr>
      </w:pPr>
      <w:r w:rsidRPr="007C77BC">
        <w:rPr>
          <w:rStyle w:val="Rimandonotaapidipagina"/>
          <w:rFonts w:ascii="Calibri" w:hAnsi="Calibri" w:cs="Calibri"/>
        </w:rPr>
        <w:footnoteRef/>
      </w:r>
      <w:r w:rsidRPr="007C77BC">
        <w:rPr>
          <w:rFonts w:ascii="Calibri" w:hAnsi="Calibri" w:cs="Calibri"/>
        </w:rPr>
        <w:t xml:space="preserve"> R. GIOVAGNOLI, </w:t>
      </w:r>
      <w:r w:rsidRPr="007C77BC">
        <w:rPr>
          <w:rFonts w:ascii="Calibri" w:hAnsi="Calibri" w:cs="Calibri"/>
          <w:i/>
        </w:rPr>
        <w:t>Atti amministrativi e tutela della concorrenza. Il potere di legittimazione a ricorrere dell’AGCM nell’art. 21-bis legge n. 287/1990</w:t>
      </w:r>
      <w:r w:rsidRPr="007C77BC">
        <w:rPr>
          <w:rFonts w:ascii="Calibri" w:hAnsi="Calibri" w:cs="Calibri"/>
        </w:rPr>
        <w:t xml:space="preserve">, in </w:t>
      </w:r>
      <w:hyperlink r:id="rId1" w:history="1">
        <w:r w:rsidRPr="00A8095B">
          <w:rPr>
            <w:rStyle w:val="Collegamentoipertestuale"/>
            <w:rFonts w:ascii="Calibri" w:hAnsi="Calibri" w:cs="Calibri"/>
            <w:i/>
          </w:rPr>
          <w:t>www.giustamm.it</w:t>
        </w:r>
      </w:hyperlink>
      <w:r w:rsidRPr="007C77BC">
        <w:rPr>
          <w:rFonts w:ascii="Calibri" w:hAnsi="Calibri" w:cs="Calibri"/>
        </w:rPr>
        <w:t>, 2012.</w:t>
      </w:r>
    </w:p>
  </w:footnote>
  <w:footnote w:id="6">
    <w:p w14:paraId="1B8A0FDF" w14:textId="77777777" w:rsidR="00967D7D" w:rsidRPr="007C77BC" w:rsidRDefault="00967D7D" w:rsidP="00967D7D">
      <w:pPr>
        <w:pStyle w:val="Testonotaapidipagina"/>
        <w:jc w:val="both"/>
        <w:rPr>
          <w:rFonts w:ascii="Calibri" w:hAnsi="Calibri" w:cs="Calibri"/>
        </w:rPr>
      </w:pPr>
      <w:r w:rsidRPr="007C77BC">
        <w:rPr>
          <w:rStyle w:val="Rimandonotaapidipagina"/>
          <w:rFonts w:ascii="Calibri" w:hAnsi="Calibri" w:cs="Calibri"/>
        </w:rPr>
        <w:footnoteRef/>
      </w:r>
      <w:r w:rsidRPr="007C77BC">
        <w:rPr>
          <w:rStyle w:val="Rimandonotaapidipagina"/>
          <w:rFonts w:ascii="Calibri" w:hAnsi="Calibri" w:cs="Calibri"/>
        </w:rPr>
        <w:t xml:space="preserve"> </w:t>
      </w:r>
      <w:r w:rsidRPr="007C77BC">
        <w:rPr>
          <w:rFonts w:ascii="Calibri" w:hAnsi="Calibri" w:cs="Calibri"/>
        </w:rPr>
        <w:t xml:space="preserve">B. MATTARELLA, </w:t>
      </w:r>
      <w:r w:rsidRPr="007C77BC">
        <w:rPr>
          <w:rFonts w:ascii="Calibri" w:hAnsi="Calibri" w:cs="Calibri"/>
          <w:i/>
          <w:iCs/>
        </w:rPr>
        <w:t>I ricorsi dell’autorità antitrust al giudice amministrativo</w:t>
      </w:r>
      <w:r w:rsidRPr="007C77BC">
        <w:rPr>
          <w:rFonts w:ascii="Calibri" w:hAnsi="Calibri" w:cs="Calibri"/>
        </w:rPr>
        <w:t xml:space="preserve">, in </w:t>
      </w:r>
      <w:proofErr w:type="spellStart"/>
      <w:r w:rsidRPr="007C77BC">
        <w:rPr>
          <w:rFonts w:ascii="Calibri" w:hAnsi="Calibri" w:cs="Calibri"/>
          <w:i/>
          <w:iCs/>
        </w:rPr>
        <w:t>Giorn</w:t>
      </w:r>
      <w:proofErr w:type="spellEnd"/>
      <w:r w:rsidRPr="007C77BC">
        <w:rPr>
          <w:rFonts w:ascii="Calibri" w:hAnsi="Calibri" w:cs="Calibri"/>
          <w:i/>
          <w:iCs/>
        </w:rPr>
        <w:t xml:space="preserve">. dir. </w:t>
      </w:r>
      <w:proofErr w:type="spellStart"/>
      <w:r w:rsidRPr="007C77BC">
        <w:rPr>
          <w:rFonts w:ascii="Calibri" w:hAnsi="Calibri" w:cs="Calibri"/>
          <w:i/>
          <w:iCs/>
        </w:rPr>
        <w:t>amm</w:t>
      </w:r>
      <w:proofErr w:type="spellEnd"/>
      <w:r w:rsidRPr="007C77BC">
        <w:rPr>
          <w:rFonts w:ascii="Calibri" w:hAnsi="Calibri" w:cs="Calibri"/>
        </w:rPr>
        <w:t>., 2016.</w:t>
      </w:r>
    </w:p>
  </w:footnote>
  <w:footnote w:id="7">
    <w:p w14:paraId="1A8FB010" w14:textId="77777777" w:rsidR="00967D7D" w:rsidRPr="007C77BC" w:rsidRDefault="00967D7D" w:rsidP="00967D7D">
      <w:pPr>
        <w:pStyle w:val="Testonotaapidipagina"/>
        <w:jc w:val="both"/>
        <w:rPr>
          <w:rFonts w:ascii="Calibri" w:hAnsi="Calibri" w:cs="Calibri"/>
        </w:rPr>
      </w:pPr>
      <w:r w:rsidRPr="007C77BC">
        <w:rPr>
          <w:rStyle w:val="Rimandonotaapidipagina"/>
          <w:rFonts w:ascii="Calibri" w:hAnsi="Calibri" w:cs="Calibri"/>
        </w:rPr>
        <w:footnoteRef/>
      </w:r>
      <w:r w:rsidRPr="007C77BC">
        <w:rPr>
          <w:rFonts w:ascii="Calibri" w:hAnsi="Calibri" w:cs="Calibri"/>
        </w:rPr>
        <w:t xml:space="preserve"> M. NIGRO, </w:t>
      </w:r>
      <w:r w:rsidRPr="007C77BC">
        <w:rPr>
          <w:rFonts w:ascii="Calibri" w:hAnsi="Calibri" w:cs="Calibri"/>
          <w:i/>
          <w:iCs/>
        </w:rPr>
        <w:t>Le due facce dell’interesse diffuso: ambiguità di una formula e mediazioni della giurisprudenza</w:t>
      </w:r>
      <w:r w:rsidRPr="007C77BC">
        <w:rPr>
          <w:rFonts w:ascii="Calibri" w:hAnsi="Calibri" w:cs="Calibri"/>
        </w:rPr>
        <w:t xml:space="preserve">, in </w:t>
      </w:r>
      <w:r w:rsidRPr="007C77BC">
        <w:rPr>
          <w:rFonts w:ascii="Calibri" w:hAnsi="Calibri" w:cs="Calibri"/>
          <w:i/>
          <w:iCs/>
        </w:rPr>
        <w:t xml:space="preserve">Foro </w:t>
      </w:r>
      <w:proofErr w:type="spellStart"/>
      <w:r w:rsidRPr="007C77BC">
        <w:rPr>
          <w:rFonts w:ascii="Calibri" w:hAnsi="Calibri" w:cs="Calibri"/>
          <w:i/>
          <w:iCs/>
        </w:rPr>
        <w:t>it</w:t>
      </w:r>
      <w:proofErr w:type="spellEnd"/>
      <w:r w:rsidRPr="007C77BC">
        <w:rPr>
          <w:rFonts w:ascii="Calibri" w:hAnsi="Calibri" w:cs="Calibri"/>
          <w:i/>
          <w:iCs/>
        </w:rPr>
        <w:t>.</w:t>
      </w:r>
      <w:r w:rsidRPr="007C77BC">
        <w:rPr>
          <w:rFonts w:ascii="Calibri" w:hAnsi="Calibri" w:cs="Calibri"/>
        </w:rPr>
        <w:t>, 1987.</w:t>
      </w:r>
    </w:p>
  </w:footnote>
  <w:footnote w:id="8">
    <w:p w14:paraId="15620552" w14:textId="77777777" w:rsidR="0096787E" w:rsidRPr="00241539" w:rsidRDefault="0096787E" w:rsidP="0096787E">
      <w:pPr>
        <w:pStyle w:val="Testonotaapidipagina"/>
        <w:jc w:val="both"/>
        <w:rPr>
          <w:rFonts w:asciiTheme="minorHAnsi" w:hAnsiTheme="minorHAnsi" w:cstheme="minorHAnsi"/>
        </w:rPr>
      </w:pPr>
      <w:r w:rsidRPr="00241539">
        <w:rPr>
          <w:rStyle w:val="Rimandonotaapidipagina"/>
          <w:rFonts w:asciiTheme="minorHAnsi" w:hAnsiTheme="minorHAnsi" w:cstheme="minorHAnsi"/>
        </w:rPr>
        <w:footnoteRef/>
      </w:r>
      <w:r w:rsidRPr="00241539">
        <w:rPr>
          <w:rFonts w:asciiTheme="minorHAnsi" w:hAnsiTheme="minorHAnsi" w:cstheme="minorHAnsi"/>
        </w:rPr>
        <w:t xml:space="preserve"> Cons. Stato, </w:t>
      </w:r>
      <w:r>
        <w:rPr>
          <w:rFonts w:asciiTheme="minorHAnsi" w:hAnsiTheme="minorHAnsi" w:cstheme="minorHAnsi"/>
        </w:rPr>
        <w:t>a</w:t>
      </w:r>
      <w:r w:rsidRPr="00241539">
        <w:rPr>
          <w:rFonts w:asciiTheme="minorHAnsi" w:hAnsiTheme="minorHAnsi" w:cstheme="minorHAnsi"/>
        </w:rPr>
        <w:t xml:space="preserve">d. </w:t>
      </w:r>
      <w:proofErr w:type="spellStart"/>
      <w:r w:rsidRPr="00241539">
        <w:rPr>
          <w:rFonts w:asciiTheme="minorHAnsi" w:hAnsiTheme="minorHAnsi" w:cstheme="minorHAnsi"/>
        </w:rPr>
        <w:t>plen</w:t>
      </w:r>
      <w:proofErr w:type="spellEnd"/>
      <w:r w:rsidRPr="00241539">
        <w:rPr>
          <w:rFonts w:asciiTheme="minorHAnsi" w:hAnsiTheme="minorHAnsi" w:cstheme="minorHAnsi"/>
        </w:rPr>
        <w:t xml:space="preserve">., </w:t>
      </w:r>
      <w:r>
        <w:rPr>
          <w:rFonts w:asciiTheme="minorHAnsi" w:hAnsiTheme="minorHAnsi" w:cstheme="minorHAnsi"/>
        </w:rPr>
        <w:t>0</w:t>
      </w:r>
      <w:r w:rsidRPr="00241539">
        <w:rPr>
          <w:rFonts w:asciiTheme="minorHAnsi" w:hAnsiTheme="minorHAnsi" w:cstheme="minorHAnsi"/>
        </w:rPr>
        <w:t>2</w:t>
      </w:r>
      <w:r>
        <w:rPr>
          <w:rFonts w:asciiTheme="minorHAnsi" w:hAnsiTheme="minorHAnsi" w:cstheme="minorHAnsi"/>
        </w:rPr>
        <w:t>/02/</w:t>
      </w:r>
      <w:r w:rsidRPr="00241539">
        <w:rPr>
          <w:rFonts w:asciiTheme="minorHAnsi" w:hAnsiTheme="minorHAnsi" w:cstheme="minorHAnsi"/>
        </w:rPr>
        <w:t>2015, n. 9.</w:t>
      </w:r>
    </w:p>
  </w:footnote>
  <w:footnote w:id="9">
    <w:p w14:paraId="6C72D468" w14:textId="77777777" w:rsidR="00D354CD" w:rsidRPr="00D354CD" w:rsidRDefault="00D354CD" w:rsidP="00D354CD">
      <w:pPr>
        <w:pStyle w:val="Testonotaapidipagina"/>
        <w:jc w:val="both"/>
        <w:rPr>
          <w:rFonts w:asciiTheme="minorHAnsi" w:hAnsiTheme="minorHAnsi" w:cstheme="minorHAnsi"/>
        </w:rPr>
      </w:pPr>
      <w:r w:rsidRPr="00D354CD">
        <w:rPr>
          <w:rStyle w:val="Rimandonotaapidipagina"/>
          <w:rFonts w:asciiTheme="minorHAnsi" w:hAnsiTheme="minorHAnsi" w:cstheme="minorHAnsi"/>
        </w:rPr>
        <w:footnoteRef/>
      </w:r>
      <w:r w:rsidRPr="00D354CD">
        <w:rPr>
          <w:rFonts w:asciiTheme="minorHAnsi" w:hAnsiTheme="minorHAnsi" w:cstheme="minorHAnsi"/>
        </w:rPr>
        <w:t xml:space="preserve"> </w:t>
      </w:r>
      <w:r w:rsidRPr="00D354CD">
        <w:rPr>
          <w:rFonts w:asciiTheme="minorHAnsi" w:hAnsiTheme="minorHAnsi" w:cstheme="minorHAnsi"/>
          <w:color w:val="000000"/>
        </w:rPr>
        <w:t>Cons. Stato, sez. V, 30/04/2014, n. 2246 e sez. VI, 21/02/2023, n. 1760.</w:t>
      </w:r>
    </w:p>
  </w:footnote>
  <w:footnote w:id="10">
    <w:p w14:paraId="0C4B8DC6" w14:textId="77777777" w:rsidR="00B5380F" w:rsidRPr="00241539" w:rsidRDefault="00B5380F" w:rsidP="00241539">
      <w:pPr>
        <w:pStyle w:val="Testonotaapidipagina"/>
        <w:jc w:val="both"/>
        <w:rPr>
          <w:rFonts w:asciiTheme="minorHAnsi" w:hAnsiTheme="minorHAnsi" w:cstheme="minorHAnsi"/>
        </w:rPr>
      </w:pPr>
      <w:r w:rsidRPr="00241539">
        <w:rPr>
          <w:rStyle w:val="Rimandonotaapidipagina"/>
          <w:rFonts w:asciiTheme="minorHAnsi" w:hAnsiTheme="minorHAnsi" w:cstheme="minorHAnsi"/>
        </w:rPr>
        <w:footnoteRef/>
      </w:r>
      <w:r w:rsidRPr="00241539">
        <w:rPr>
          <w:rFonts w:asciiTheme="minorHAnsi" w:hAnsiTheme="minorHAnsi" w:cstheme="minorHAnsi"/>
        </w:rPr>
        <w:t xml:space="preserve"> Cons. Stato, </w:t>
      </w:r>
      <w:r w:rsidR="00B003A2">
        <w:rPr>
          <w:rFonts w:asciiTheme="minorHAnsi" w:hAnsiTheme="minorHAnsi" w:cstheme="minorHAnsi"/>
        </w:rPr>
        <w:t>a</w:t>
      </w:r>
      <w:r w:rsidRPr="00241539">
        <w:rPr>
          <w:rFonts w:asciiTheme="minorHAnsi" w:hAnsiTheme="minorHAnsi" w:cstheme="minorHAnsi"/>
        </w:rPr>
        <w:t>d. gen., 12</w:t>
      </w:r>
      <w:r w:rsidR="0027608A">
        <w:rPr>
          <w:rFonts w:asciiTheme="minorHAnsi" w:hAnsiTheme="minorHAnsi" w:cstheme="minorHAnsi"/>
        </w:rPr>
        <w:t>/07/</w:t>
      </w:r>
      <w:r w:rsidRPr="00241539">
        <w:rPr>
          <w:rFonts w:asciiTheme="minorHAnsi" w:hAnsiTheme="minorHAnsi" w:cstheme="minorHAnsi"/>
        </w:rPr>
        <w:t>1999</w:t>
      </w:r>
      <w:r w:rsidR="0057226C" w:rsidRPr="00241539">
        <w:rPr>
          <w:rFonts w:asciiTheme="minorHAnsi" w:hAnsiTheme="minorHAnsi" w:cstheme="minorHAnsi"/>
        </w:rPr>
        <w:t>,</w:t>
      </w:r>
      <w:r w:rsidRPr="00241539">
        <w:rPr>
          <w:rFonts w:asciiTheme="minorHAnsi" w:hAnsiTheme="minorHAnsi" w:cstheme="minorHAnsi"/>
        </w:rPr>
        <w:t xml:space="preserve"> n. 123.</w:t>
      </w:r>
    </w:p>
  </w:footnote>
  <w:footnote w:id="11">
    <w:p w14:paraId="498A9F4C" w14:textId="77777777" w:rsidR="00241539" w:rsidRPr="00241539" w:rsidRDefault="00241539" w:rsidP="00241539">
      <w:pPr>
        <w:pStyle w:val="Testonotaapidipagina"/>
        <w:jc w:val="both"/>
        <w:rPr>
          <w:rFonts w:asciiTheme="minorHAnsi" w:hAnsiTheme="minorHAnsi" w:cstheme="minorHAnsi"/>
        </w:rPr>
      </w:pPr>
      <w:r w:rsidRPr="00241539">
        <w:rPr>
          <w:rStyle w:val="Rimandonotaapidipagina"/>
          <w:rFonts w:asciiTheme="minorHAnsi" w:hAnsiTheme="minorHAnsi" w:cstheme="minorHAnsi"/>
        </w:rPr>
        <w:footnoteRef/>
      </w:r>
      <w:r w:rsidRPr="00241539">
        <w:rPr>
          <w:rFonts w:asciiTheme="minorHAnsi" w:hAnsiTheme="minorHAnsi" w:cstheme="minorHAnsi"/>
        </w:rPr>
        <w:t xml:space="preserve"> </w:t>
      </w:r>
      <w:r w:rsidRPr="00241539">
        <w:rPr>
          <w:rFonts w:asciiTheme="minorHAnsi" w:hAnsiTheme="minorHAnsi" w:cstheme="minorHAnsi"/>
          <w:color w:val="000000"/>
        </w:rPr>
        <w:t xml:space="preserve">Cons. Stato, </w:t>
      </w:r>
      <w:r>
        <w:rPr>
          <w:rFonts w:asciiTheme="minorHAnsi" w:hAnsiTheme="minorHAnsi" w:cstheme="minorHAnsi"/>
          <w:color w:val="000000"/>
        </w:rPr>
        <w:t>s</w:t>
      </w:r>
      <w:r w:rsidRPr="00241539">
        <w:rPr>
          <w:rFonts w:asciiTheme="minorHAnsi" w:hAnsiTheme="minorHAnsi" w:cstheme="minorHAnsi"/>
          <w:color w:val="000000"/>
        </w:rPr>
        <w:t xml:space="preserve">ez. V, </w:t>
      </w:r>
      <w:r w:rsidR="0069590D">
        <w:rPr>
          <w:rFonts w:asciiTheme="minorHAnsi" w:hAnsiTheme="minorHAnsi" w:cstheme="minorHAnsi"/>
          <w:color w:val="000000"/>
        </w:rPr>
        <w:t>0</w:t>
      </w:r>
      <w:r w:rsidRPr="00241539">
        <w:rPr>
          <w:rFonts w:asciiTheme="minorHAnsi" w:hAnsiTheme="minorHAnsi" w:cstheme="minorHAnsi"/>
          <w:color w:val="000000"/>
        </w:rPr>
        <w:t>9</w:t>
      </w:r>
      <w:r w:rsidR="0069590D">
        <w:rPr>
          <w:rFonts w:asciiTheme="minorHAnsi" w:hAnsiTheme="minorHAnsi" w:cstheme="minorHAnsi"/>
          <w:color w:val="000000"/>
        </w:rPr>
        <w:t>/03/</w:t>
      </w:r>
      <w:r w:rsidRPr="00241539">
        <w:rPr>
          <w:rFonts w:asciiTheme="minorHAnsi" w:hAnsiTheme="minorHAnsi" w:cstheme="minorHAnsi"/>
          <w:color w:val="000000"/>
        </w:rPr>
        <w:t>2015</w:t>
      </w:r>
      <w:r>
        <w:rPr>
          <w:rFonts w:asciiTheme="minorHAnsi" w:hAnsiTheme="minorHAnsi" w:cstheme="minorHAnsi"/>
          <w:color w:val="000000"/>
        </w:rPr>
        <w:t>,</w:t>
      </w:r>
      <w:r w:rsidRPr="00241539">
        <w:rPr>
          <w:rFonts w:asciiTheme="minorHAnsi" w:hAnsiTheme="minorHAnsi" w:cstheme="minorHAnsi"/>
          <w:color w:val="000000"/>
        </w:rPr>
        <w:t xml:space="preserve"> n. 1171</w:t>
      </w:r>
      <w:r>
        <w:rPr>
          <w:rFonts w:asciiTheme="minorHAnsi" w:hAnsiTheme="minorHAnsi" w:cstheme="minorHAnsi"/>
          <w:color w:val="000000"/>
        </w:rPr>
        <w:t>.</w:t>
      </w:r>
    </w:p>
  </w:footnote>
  <w:footnote w:id="12">
    <w:p w14:paraId="660E138E" w14:textId="77777777" w:rsidR="00241539" w:rsidRPr="00241539" w:rsidRDefault="00241539" w:rsidP="00241539">
      <w:pPr>
        <w:pStyle w:val="Testonotaapidipagina"/>
        <w:jc w:val="both"/>
        <w:rPr>
          <w:rFonts w:asciiTheme="minorHAnsi" w:hAnsiTheme="minorHAnsi" w:cstheme="minorHAnsi"/>
        </w:rPr>
      </w:pPr>
      <w:r w:rsidRPr="00241539">
        <w:rPr>
          <w:rStyle w:val="Rimandonotaapidipagina"/>
          <w:rFonts w:asciiTheme="minorHAnsi" w:hAnsiTheme="minorHAnsi" w:cstheme="minorHAnsi"/>
        </w:rPr>
        <w:footnoteRef/>
      </w:r>
      <w:r w:rsidRPr="00241539">
        <w:rPr>
          <w:rFonts w:asciiTheme="minorHAnsi" w:hAnsiTheme="minorHAnsi" w:cstheme="minorHAnsi"/>
        </w:rPr>
        <w:t xml:space="preserve"> </w:t>
      </w:r>
      <w:r w:rsidRPr="00241539">
        <w:rPr>
          <w:rFonts w:asciiTheme="minorHAnsi" w:hAnsiTheme="minorHAnsi" w:cstheme="minorHAnsi"/>
          <w:color w:val="000000"/>
        </w:rPr>
        <w:t>Cons. Stato, sez. VI, 15/02/2023, n. 1580</w:t>
      </w:r>
      <w:r>
        <w:rPr>
          <w:rFonts w:asciiTheme="minorHAnsi" w:hAnsiTheme="minorHAnsi" w:cstheme="minorHAnsi"/>
          <w:color w:val="000000"/>
        </w:rPr>
        <w:t>.</w:t>
      </w:r>
    </w:p>
  </w:footnote>
  <w:footnote w:id="13">
    <w:p w14:paraId="45110C79" w14:textId="77777777" w:rsidR="00241539" w:rsidRPr="00241539" w:rsidRDefault="00241539" w:rsidP="00241539">
      <w:pPr>
        <w:pStyle w:val="Testonotaapidipagina"/>
        <w:jc w:val="both"/>
        <w:rPr>
          <w:rFonts w:asciiTheme="minorHAnsi" w:hAnsiTheme="minorHAnsi" w:cstheme="minorHAnsi"/>
        </w:rPr>
      </w:pPr>
      <w:r w:rsidRPr="00241539">
        <w:rPr>
          <w:rStyle w:val="Rimandonotaapidipagina"/>
          <w:rFonts w:asciiTheme="minorHAnsi" w:hAnsiTheme="minorHAnsi" w:cstheme="minorHAnsi"/>
        </w:rPr>
        <w:footnoteRef/>
      </w:r>
      <w:r w:rsidRPr="00241539">
        <w:rPr>
          <w:rFonts w:asciiTheme="minorHAnsi" w:hAnsiTheme="minorHAnsi" w:cstheme="minorHAnsi"/>
        </w:rPr>
        <w:t xml:space="preserve"> </w:t>
      </w:r>
      <w:r w:rsidRPr="00241539">
        <w:rPr>
          <w:rFonts w:asciiTheme="minorHAnsi" w:hAnsiTheme="minorHAnsi" w:cstheme="minorHAnsi"/>
          <w:color w:val="000000"/>
        </w:rPr>
        <w:t>Cons. Stato, sez. VI, 21/02/2023, n. 1760.</w:t>
      </w:r>
    </w:p>
  </w:footnote>
  <w:footnote w:id="14">
    <w:p w14:paraId="3A184849" w14:textId="77777777" w:rsidR="00241539" w:rsidRPr="00241539" w:rsidRDefault="00241539" w:rsidP="00241539">
      <w:pPr>
        <w:pStyle w:val="Testonotaapidipagina"/>
        <w:jc w:val="both"/>
        <w:rPr>
          <w:rFonts w:asciiTheme="minorHAnsi" w:hAnsiTheme="minorHAnsi" w:cstheme="minorHAnsi"/>
        </w:rPr>
      </w:pPr>
      <w:r w:rsidRPr="00241539">
        <w:rPr>
          <w:rStyle w:val="Rimandonotaapidipagina"/>
          <w:rFonts w:asciiTheme="minorHAnsi" w:hAnsiTheme="minorHAnsi" w:cstheme="minorHAnsi"/>
        </w:rPr>
        <w:footnoteRef/>
      </w:r>
      <w:r w:rsidRPr="00241539">
        <w:rPr>
          <w:rFonts w:asciiTheme="minorHAnsi" w:hAnsiTheme="minorHAnsi" w:cstheme="minorHAnsi"/>
        </w:rPr>
        <w:t xml:space="preserve"> </w:t>
      </w:r>
      <w:r w:rsidRPr="00241539">
        <w:rPr>
          <w:rFonts w:asciiTheme="minorHAnsi" w:hAnsiTheme="minorHAnsi" w:cstheme="minorHAnsi"/>
          <w:color w:val="000000"/>
        </w:rPr>
        <w:t>Cons. Stato, sez. VI, 21/02/2023, n. 1760.</w:t>
      </w:r>
    </w:p>
  </w:footnote>
  <w:footnote w:id="15">
    <w:p w14:paraId="5099F98D" w14:textId="77777777" w:rsidR="00241539" w:rsidRDefault="00241539" w:rsidP="00241539">
      <w:pPr>
        <w:pStyle w:val="Testonotaapidipagina"/>
        <w:jc w:val="both"/>
      </w:pPr>
      <w:r w:rsidRPr="00241539">
        <w:rPr>
          <w:rStyle w:val="Rimandonotaapidipagina"/>
          <w:rFonts w:asciiTheme="minorHAnsi" w:hAnsiTheme="minorHAnsi" w:cstheme="minorHAnsi"/>
        </w:rPr>
        <w:footnoteRef/>
      </w:r>
      <w:r w:rsidRPr="00241539">
        <w:rPr>
          <w:rFonts w:asciiTheme="minorHAnsi" w:hAnsiTheme="minorHAnsi" w:cstheme="minorHAnsi"/>
        </w:rPr>
        <w:t xml:space="preserve"> </w:t>
      </w:r>
      <w:r w:rsidRPr="00241539">
        <w:rPr>
          <w:rFonts w:asciiTheme="minorHAnsi" w:hAnsiTheme="minorHAnsi" w:cstheme="minorHAnsi"/>
          <w:color w:val="000000"/>
        </w:rPr>
        <w:t>Cons. Stato, sez. VI, 23/08/2021, n. 5985</w:t>
      </w:r>
      <w:r>
        <w:rPr>
          <w:rFonts w:asciiTheme="minorHAnsi" w:hAnsiTheme="minorHAnsi" w:cstheme="minorHAnsi"/>
          <w:color w:val="00000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577"/>
    <w:multiLevelType w:val="multilevel"/>
    <w:tmpl w:val="9C8AEA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977D35"/>
    <w:multiLevelType w:val="multilevel"/>
    <w:tmpl w:val="6560A7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6A5785"/>
    <w:multiLevelType w:val="hybridMultilevel"/>
    <w:tmpl w:val="EDB27E0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75E7925"/>
    <w:multiLevelType w:val="hybridMultilevel"/>
    <w:tmpl w:val="6DC0DC34"/>
    <w:lvl w:ilvl="0" w:tplc="2F7C38B2">
      <w:start w:val="1"/>
      <w:numFmt w:val="decimal"/>
      <w:lvlText w:val="%1)"/>
      <w:lvlJc w:val="left"/>
      <w:pPr>
        <w:ind w:left="1353" w:hanging="360"/>
      </w:pPr>
      <w:rPr>
        <w:rFonts w:hint="default"/>
      </w:r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4" w15:restartNumberingAfterBreak="0">
    <w:nsid w:val="57AF2196"/>
    <w:multiLevelType w:val="multilevel"/>
    <w:tmpl w:val="642A2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7A0867"/>
    <w:multiLevelType w:val="multilevel"/>
    <w:tmpl w:val="FA7E70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1C715B"/>
    <w:multiLevelType w:val="multilevel"/>
    <w:tmpl w:val="03E021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9559026">
    <w:abstractNumId w:val="4"/>
  </w:num>
  <w:num w:numId="2" w16cid:durableId="754859763">
    <w:abstractNumId w:val="6"/>
  </w:num>
  <w:num w:numId="3" w16cid:durableId="1002506484">
    <w:abstractNumId w:val="1"/>
  </w:num>
  <w:num w:numId="4" w16cid:durableId="1767651974">
    <w:abstractNumId w:val="0"/>
  </w:num>
  <w:num w:numId="5" w16cid:durableId="1621494957">
    <w:abstractNumId w:val="5"/>
  </w:num>
  <w:num w:numId="6" w16cid:durableId="641429842">
    <w:abstractNumId w:val="3"/>
  </w:num>
  <w:num w:numId="7" w16cid:durableId="1701125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D02"/>
    <w:rsid w:val="00002D76"/>
    <w:rsid w:val="00007711"/>
    <w:rsid w:val="00060178"/>
    <w:rsid w:val="000633E0"/>
    <w:rsid w:val="0017183A"/>
    <w:rsid w:val="00194DA9"/>
    <w:rsid w:val="002102B0"/>
    <w:rsid w:val="00241539"/>
    <w:rsid w:val="0027608A"/>
    <w:rsid w:val="002D5E7E"/>
    <w:rsid w:val="00367B29"/>
    <w:rsid w:val="003A0233"/>
    <w:rsid w:val="003E3581"/>
    <w:rsid w:val="00400ADF"/>
    <w:rsid w:val="00435844"/>
    <w:rsid w:val="00437EB6"/>
    <w:rsid w:val="00464DB4"/>
    <w:rsid w:val="004A4C0E"/>
    <w:rsid w:val="0050627F"/>
    <w:rsid w:val="00540590"/>
    <w:rsid w:val="0057226C"/>
    <w:rsid w:val="00572B6D"/>
    <w:rsid w:val="005E6757"/>
    <w:rsid w:val="005F60A2"/>
    <w:rsid w:val="0060133E"/>
    <w:rsid w:val="0063576B"/>
    <w:rsid w:val="0069590D"/>
    <w:rsid w:val="006C0DAC"/>
    <w:rsid w:val="00730823"/>
    <w:rsid w:val="00737387"/>
    <w:rsid w:val="00742D02"/>
    <w:rsid w:val="007C77BC"/>
    <w:rsid w:val="007D355C"/>
    <w:rsid w:val="00800FE1"/>
    <w:rsid w:val="0080688F"/>
    <w:rsid w:val="00817841"/>
    <w:rsid w:val="0082403B"/>
    <w:rsid w:val="008438A2"/>
    <w:rsid w:val="0086740D"/>
    <w:rsid w:val="0087372B"/>
    <w:rsid w:val="008F186C"/>
    <w:rsid w:val="00904BF7"/>
    <w:rsid w:val="00905A33"/>
    <w:rsid w:val="00931C42"/>
    <w:rsid w:val="0096787E"/>
    <w:rsid w:val="00967D7D"/>
    <w:rsid w:val="009842B9"/>
    <w:rsid w:val="00A43966"/>
    <w:rsid w:val="00A8095B"/>
    <w:rsid w:val="00AB665A"/>
    <w:rsid w:val="00AD6A00"/>
    <w:rsid w:val="00B003A2"/>
    <w:rsid w:val="00B475F8"/>
    <w:rsid w:val="00B5380F"/>
    <w:rsid w:val="00B817DE"/>
    <w:rsid w:val="00BC1502"/>
    <w:rsid w:val="00C13ED8"/>
    <w:rsid w:val="00C57F8E"/>
    <w:rsid w:val="00C64175"/>
    <w:rsid w:val="00D354CD"/>
    <w:rsid w:val="00D52DE0"/>
    <w:rsid w:val="00D703FA"/>
    <w:rsid w:val="00D8468B"/>
    <w:rsid w:val="00E1396D"/>
    <w:rsid w:val="00E15ED0"/>
    <w:rsid w:val="00E2065A"/>
    <w:rsid w:val="00E37399"/>
    <w:rsid w:val="00E614AD"/>
    <w:rsid w:val="00F43207"/>
    <w:rsid w:val="00F44E20"/>
    <w:rsid w:val="00FB3835"/>
    <w:rsid w:val="00FB3859"/>
    <w:rsid w:val="00FB621D"/>
    <w:rsid w:val="00FF4F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8EADC"/>
  <w15:chartTrackingRefBased/>
  <w15:docId w15:val="{1DA36C94-BD5D-41B7-92A4-17A66546E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1396D"/>
  </w:style>
  <w:style w:type="paragraph" w:styleId="Titolo4">
    <w:name w:val="heading 4"/>
    <w:basedOn w:val="Normale"/>
    <w:link w:val="Titolo4Carattere"/>
    <w:uiPriority w:val="9"/>
    <w:qFormat/>
    <w:rsid w:val="00742D02"/>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paragraph" w:styleId="Titolo6">
    <w:name w:val="heading 6"/>
    <w:basedOn w:val="Normale"/>
    <w:link w:val="Titolo6Carattere"/>
    <w:uiPriority w:val="9"/>
    <w:qFormat/>
    <w:rsid w:val="00742D02"/>
    <w:pPr>
      <w:spacing w:before="100" w:beforeAutospacing="1" w:after="100" w:afterAutospacing="1" w:line="240" w:lineRule="auto"/>
      <w:outlineLvl w:val="5"/>
    </w:pPr>
    <w:rPr>
      <w:rFonts w:ascii="Times New Roman" w:eastAsia="Times New Roman" w:hAnsi="Times New Roman" w:cs="Times New Roman"/>
      <w:b/>
      <w:bCs/>
      <w:sz w:val="15"/>
      <w:szCs w:val="15"/>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rsid w:val="00742D02"/>
    <w:rPr>
      <w:rFonts w:ascii="Times New Roman" w:eastAsia="Times New Roman" w:hAnsi="Times New Roman" w:cs="Times New Roman"/>
      <w:b/>
      <w:bCs/>
      <w:sz w:val="24"/>
      <w:szCs w:val="24"/>
      <w:lang w:eastAsia="it-IT"/>
    </w:rPr>
  </w:style>
  <w:style w:type="character" w:customStyle="1" w:styleId="Titolo6Carattere">
    <w:name w:val="Titolo 6 Carattere"/>
    <w:basedOn w:val="Carpredefinitoparagrafo"/>
    <w:link w:val="Titolo6"/>
    <w:uiPriority w:val="9"/>
    <w:rsid w:val="00742D02"/>
    <w:rPr>
      <w:rFonts w:ascii="Times New Roman" w:eastAsia="Times New Roman" w:hAnsi="Times New Roman" w:cs="Times New Roman"/>
      <w:b/>
      <w:bCs/>
      <w:sz w:val="15"/>
      <w:szCs w:val="15"/>
      <w:lang w:eastAsia="it-IT"/>
    </w:rPr>
  </w:style>
  <w:style w:type="paragraph" w:customStyle="1" w:styleId="msonormal0">
    <w:name w:val="msonormal"/>
    <w:basedOn w:val="Normale"/>
    <w:rsid w:val="00742D0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742D0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742D02"/>
    <w:rPr>
      <w:i/>
      <w:iCs/>
    </w:rPr>
  </w:style>
  <w:style w:type="character" w:styleId="Enfasigrassetto">
    <w:name w:val="Strong"/>
    <w:basedOn w:val="Carpredefinitoparagrafo"/>
    <w:uiPriority w:val="22"/>
    <w:qFormat/>
    <w:rsid w:val="00742D02"/>
    <w:rPr>
      <w:b/>
      <w:bCs/>
    </w:rPr>
  </w:style>
  <w:style w:type="character" w:styleId="Collegamentoipertestuale">
    <w:name w:val="Hyperlink"/>
    <w:basedOn w:val="Carpredefinitoparagrafo"/>
    <w:uiPriority w:val="99"/>
    <w:semiHidden/>
    <w:unhideWhenUsed/>
    <w:rsid w:val="00742D02"/>
    <w:rPr>
      <w:color w:val="0000FF"/>
      <w:u w:val="single"/>
    </w:rPr>
  </w:style>
  <w:style w:type="character" w:styleId="Collegamentovisitato">
    <w:name w:val="FollowedHyperlink"/>
    <w:basedOn w:val="Carpredefinitoparagrafo"/>
    <w:uiPriority w:val="99"/>
    <w:semiHidden/>
    <w:unhideWhenUsed/>
    <w:rsid w:val="00742D02"/>
    <w:rPr>
      <w:color w:val="800080"/>
      <w:u w:val="single"/>
    </w:rPr>
  </w:style>
  <w:style w:type="paragraph" w:styleId="Sottotitolo">
    <w:name w:val="Subtitle"/>
    <w:basedOn w:val="Normale"/>
    <w:next w:val="Normale"/>
    <w:link w:val="SottotitoloCarattere"/>
    <w:uiPriority w:val="11"/>
    <w:qFormat/>
    <w:rsid w:val="003A0233"/>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3A0233"/>
    <w:rPr>
      <w:rFonts w:eastAsiaTheme="minorEastAsia"/>
      <w:color w:val="5A5A5A" w:themeColor="text1" w:themeTint="A5"/>
      <w:spacing w:val="15"/>
    </w:rPr>
  </w:style>
  <w:style w:type="paragraph" w:styleId="Testonotaapidipagina">
    <w:name w:val="footnote text"/>
    <w:basedOn w:val="Normale"/>
    <w:link w:val="TestonotaapidipaginaCarattere"/>
    <w:semiHidden/>
    <w:rsid w:val="003A0233"/>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3A0233"/>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rsid w:val="003A0233"/>
    <w:rPr>
      <w:vertAlign w:val="superscript"/>
    </w:rPr>
  </w:style>
  <w:style w:type="paragraph" w:styleId="Paragrafoelenco">
    <w:name w:val="List Paragraph"/>
    <w:basedOn w:val="Normale"/>
    <w:uiPriority w:val="34"/>
    <w:qFormat/>
    <w:rsid w:val="00AB665A"/>
    <w:pPr>
      <w:ind w:left="720"/>
      <w:contextualSpacing/>
    </w:pPr>
  </w:style>
  <w:style w:type="paragraph" w:customStyle="1" w:styleId="popolo">
    <w:name w:val="popolo"/>
    <w:basedOn w:val="Normale"/>
    <w:rsid w:val="00AB665A"/>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92407">
      <w:bodyDiv w:val="1"/>
      <w:marLeft w:val="0"/>
      <w:marRight w:val="0"/>
      <w:marTop w:val="0"/>
      <w:marBottom w:val="0"/>
      <w:divBdr>
        <w:top w:val="none" w:sz="0" w:space="0" w:color="auto"/>
        <w:left w:val="none" w:sz="0" w:space="0" w:color="auto"/>
        <w:bottom w:val="none" w:sz="0" w:space="0" w:color="auto"/>
        <w:right w:val="none" w:sz="0" w:space="0" w:color="auto"/>
      </w:divBdr>
    </w:div>
    <w:div w:id="200291421">
      <w:bodyDiv w:val="1"/>
      <w:marLeft w:val="0"/>
      <w:marRight w:val="0"/>
      <w:marTop w:val="0"/>
      <w:marBottom w:val="0"/>
      <w:divBdr>
        <w:top w:val="none" w:sz="0" w:space="0" w:color="auto"/>
        <w:left w:val="none" w:sz="0" w:space="0" w:color="auto"/>
        <w:bottom w:val="none" w:sz="0" w:space="0" w:color="auto"/>
        <w:right w:val="none" w:sz="0" w:space="0" w:color="auto"/>
      </w:divBdr>
      <w:divsChild>
        <w:div w:id="1979608979">
          <w:marLeft w:val="0"/>
          <w:marRight w:val="0"/>
          <w:marTop w:val="0"/>
          <w:marBottom w:val="0"/>
          <w:divBdr>
            <w:top w:val="none" w:sz="0" w:space="0" w:color="auto"/>
            <w:left w:val="none" w:sz="0" w:space="0" w:color="auto"/>
            <w:bottom w:val="none" w:sz="0" w:space="0" w:color="auto"/>
            <w:right w:val="none" w:sz="0" w:space="0" w:color="auto"/>
          </w:divBdr>
        </w:div>
        <w:div w:id="2059552765">
          <w:marLeft w:val="0"/>
          <w:marRight w:val="0"/>
          <w:marTop w:val="0"/>
          <w:marBottom w:val="0"/>
          <w:divBdr>
            <w:top w:val="none" w:sz="0" w:space="0" w:color="auto"/>
            <w:left w:val="none" w:sz="0" w:space="0" w:color="auto"/>
            <w:bottom w:val="none" w:sz="0" w:space="0" w:color="auto"/>
            <w:right w:val="none" w:sz="0" w:space="0" w:color="auto"/>
          </w:divBdr>
        </w:div>
        <w:div w:id="1461609816">
          <w:marLeft w:val="0"/>
          <w:marRight w:val="0"/>
          <w:marTop w:val="0"/>
          <w:marBottom w:val="0"/>
          <w:divBdr>
            <w:top w:val="none" w:sz="0" w:space="0" w:color="auto"/>
            <w:left w:val="none" w:sz="0" w:space="0" w:color="auto"/>
            <w:bottom w:val="none" w:sz="0" w:space="0" w:color="auto"/>
            <w:right w:val="none" w:sz="0" w:space="0" w:color="auto"/>
          </w:divBdr>
        </w:div>
      </w:divsChild>
    </w:div>
    <w:div w:id="529730807">
      <w:bodyDiv w:val="1"/>
      <w:marLeft w:val="0"/>
      <w:marRight w:val="0"/>
      <w:marTop w:val="0"/>
      <w:marBottom w:val="0"/>
      <w:divBdr>
        <w:top w:val="none" w:sz="0" w:space="0" w:color="auto"/>
        <w:left w:val="none" w:sz="0" w:space="0" w:color="auto"/>
        <w:bottom w:val="none" w:sz="0" w:space="0" w:color="auto"/>
        <w:right w:val="none" w:sz="0" w:space="0" w:color="auto"/>
      </w:divBdr>
    </w:div>
    <w:div w:id="842814522">
      <w:bodyDiv w:val="1"/>
      <w:marLeft w:val="0"/>
      <w:marRight w:val="0"/>
      <w:marTop w:val="0"/>
      <w:marBottom w:val="0"/>
      <w:divBdr>
        <w:top w:val="none" w:sz="0" w:space="0" w:color="auto"/>
        <w:left w:val="none" w:sz="0" w:space="0" w:color="auto"/>
        <w:bottom w:val="none" w:sz="0" w:space="0" w:color="auto"/>
        <w:right w:val="none" w:sz="0" w:space="0" w:color="auto"/>
      </w:divBdr>
    </w:div>
    <w:div w:id="150099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giustam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FFC9D-DA22-4821-A2D5-0B17D079D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1652</Words>
  <Characters>9420</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DURANTE Nicola</dc:creator>
  <cp:keywords/>
  <dc:description/>
  <cp:lastModifiedBy>COZZOLI Pamela</cp:lastModifiedBy>
  <cp:revision>2</cp:revision>
  <dcterms:created xsi:type="dcterms:W3CDTF">2025-09-29T07:54:00Z</dcterms:created>
  <dcterms:modified xsi:type="dcterms:W3CDTF">2025-09-29T07:54:00Z</dcterms:modified>
</cp:coreProperties>
</file>