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F5E" w:rsidRDefault="00927F5E" w:rsidP="00927F5E">
      <w:pPr>
        <w:jc w:val="center"/>
        <w:rPr>
          <w:rFonts w:ascii="Trebuchet MS" w:hAnsi="Trebuchet MS"/>
          <w:sz w:val="27"/>
          <w:szCs w:val="27"/>
        </w:rPr>
      </w:pPr>
      <w:r>
        <w:rPr>
          <w:rFonts w:ascii="Trebuchet MS" w:hAnsi="Trebuchet MS"/>
          <w:sz w:val="27"/>
          <w:szCs w:val="27"/>
        </w:rPr>
        <w:t>CORSO sui P</w:t>
      </w:r>
      <w:r w:rsidRPr="00927F5E">
        <w:rPr>
          <w:rFonts w:ascii="Trebuchet MS" w:hAnsi="Trebuchet MS"/>
          <w:sz w:val="27"/>
          <w:szCs w:val="27"/>
        </w:rPr>
        <w:t>rofili rilevanti di diritto dell’Unione europea e della C.E.D.U.</w:t>
      </w:r>
    </w:p>
    <w:p w:rsidR="00927F5E" w:rsidRDefault="00927F5E" w:rsidP="00927F5E">
      <w:pPr>
        <w:jc w:val="center"/>
        <w:rPr>
          <w:rFonts w:ascii="Trebuchet MS" w:hAnsi="Trebuchet MS"/>
          <w:sz w:val="27"/>
          <w:szCs w:val="27"/>
        </w:rPr>
      </w:pPr>
      <w:r>
        <w:rPr>
          <w:rFonts w:ascii="Trebuchet MS" w:hAnsi="Trebuchet MS"/>
          <w:sz w:val="27"/>
          <w:szCs w:val="27"/>
        </w:rPr>
        <w:t>LEZIONE: “</w:t>
      </w:r>
      <w:r w:rsidRPr="00927F5E">
        <w:rPr>
          <w:rFonts w:ascii="Trebuchet MS" w:hAnsi="Trebuchet MS"/>
          <w:sz w:val="27"/>
          <w:szCs w:val="27"/>
        </w:rPr>
        <w:t>L’ottemperanza alle sentenze della Corte EDU</w:t>
      </w:r>
      <w:r>
        <w:rPr>
          <w:rFonts w:ascii="Trebuchet MS" w:hAnsi="Trebuchet MS"/>
          <w:sz w:val="27"/>
          <w:szCs w:val="27"/>
        </w:rPr>
        <w:t>”</w:t>
      </w:r>
    </w:p>
    <w:p w:rsidR="00927F5E" w:rsidRDefault="00927F5E" w:rsidP="00780A65">
      <w:pPr>
        <w:jc w:val="both"/>
        <w:rPr>
          <w:rFonts w:ascii="Trebuchet MS" w:hAnsi="Trebuchet MS"/>
          <w:sz w:val="27"/>
          <w:szCs w:val="27"/>
        </w:rPr>
      </w:pPr>
      <w:r>
        <w:rPr>
          <w:rFonts w:ascii="Trebuchet MS" w:hAnsi="Trebuchet MS"/>
          <w:sz w:val="27"/>
          <w:szCs w:val="27"/>
        </w:rPr>
        <w:t>A cura di Rita Tricarico</w:t>
      </w:r>
    </w:p>
    <w:p w:rsidR="00927F5E" w:rsidRDefault="00927F5E" w:rsidP="00780A65">
      <w:pPr>
        <w:jc w:val="both"/>
        <w:rPr>
          <w:rFonts w:ascii="Trebuchet MS" w:hAnsi="Trebuchet MS"/>
          <w:sz w:val="27"/>
          <w:szCs w:val="27"/>
        </w:rPr>
      </w:pPr>
    </w:p>
    <w:p w:rsidR="00C11565" w:rsidRPr="00137D1E" w:rsidRDefault="00D76D28" w:rsidP="00780A65">
      <w:pPr>
        <w:jc w:val="both"/>
        <w:rPr>
          <w:rFonts w:ascii="Trebuchet MS" w:hAnsi="Trebuchet MS"/>
          <w:sz w:val="27"/>
          <w:szCs w:val="27"/>
        </w:rPr>
      </w:pPr>
      <w:r w:rsidRPr="00137D1E">
        <w:rPr>
          <w:rFonts w:ascii="Trebuchet MS" w:hAnsi="Trebuchet MS"/>
          <w:sz w:val="27"/>
          <w:szCs w:val="27"/>
        </w:rPr>
        <w:t xml:space="preserve">La Convenzione europea dei diritti dell’uomo è stata firmata da 13 Stati, tra cui l’Italia, il 4 novembre 1950 e ratificata </w:t>
      </w:r>
      <w:r w:rsidR="00927F5E">
        <w:rPr>
          <w:rFonts w:ascii="Trebuchet MS" w:hAnsi="Trebuchet MS"/>
          <w:sz w:val="27"/>
          <w:szCs w:val="27"/>
        </w:rPr>
        <w:t xml:space="preserve">in Italia </w:t>
      </w:r>
      <w:r w:rsidR="009F2D44" w:rsidRPr="00137D1E">
        <w:rPr>
          <w:rFonts w:ascii="Trebuchet MS" w:hAnsi="Trebuchet MS"/>
          <w:sz w:val="27"/>
          <w:szCs w:val="27"/>
        </w:rPr>
        <w:t>con la legge ordinaria</w:t>
      </w:r>
      <w:r w:rsidR="00927F5E">
        <w:rPr>
          <w:rFonts w:ascii="Trebuchet MS" w:hAnsi="Trebuchet MS"/>
          <w:sz w:val="27"/>
          <w:szCs w:val="27"/>
        </w:rPr>
        <w:t xml:space="preserve"> n</w:t>
      </w:r>
      <w:r w:rsidR="009F2D44" w:rsidRPr="00137D1E">
        <w:rPr>
          <w:rFonts w:ascii="Trebuchet MS" w:hAnsi="Trebuchet MS"/>
          <w:sz w:val="27"/>
          <w:szCs w:val="27"/>
        </w:rPr>
        <w:t>.</w:t>
      </w:r>
      <w:r w:rsidR="00927F5E">
        <w:rPr>
          <w:rFonts w:ascii="Trebuchet MS" w:hAnsi="Trebuchet MS"/>
          <w:sz w:val="27"/>
          <w:szCs w:val="27"/>
        </w:rPr>
        <w:t xml:space="preserve"> </w:t>
      </w:r>
      <w:r w:rsidR="009F2D44" w:rsidRPr="00137D1E">
        <w:rPr>
          <w:rFonts w:ascii="Trebuchet MS" w:hAnsi="Trebuchet MS"/>
          <w:sz w:val="27"/>
          <w:szCs w:val="27"/>
        </w:rPr>
        <w:t>848 del 1955.</w:t>
      </w:r>
      <w:r w:rsidR="00D425C3" w:rsidRPr="00137D1E">
        <w:rPr>
          <w:rFonts w:ascii="Trebuchet MS" w:hAnsi="Trebuchet MS"/>
          <w:sz w:val="27"/>
          <w:szCs w:val="27"/>
        </w:rPr>
        <w:t xml:space="preserve"> Attualmente gli Stati che vi aderiscono sono 47. </w:t>
      </w:r>
    </w:p>
    <w:p w:rsidR="00CE5024" w:rsidRPr="00137D1E" w:rsidRDefault="00CE5024" w:rsidP="00780A65">
      <w:pPr>
        <w:jc w:val="both"/>
        <w:rPr>
          <w:rFonts w:ascii="Trebuchet MS" w:hAnsi="Trebuchet MS"/>
          <w:sz w:val="27"/>
          <w:szCs w:val="27"/>
        </w:rPr>
      </w:pPr>
      <w:r w:rsidRPr="00137D1E">
        <w:rPr>
          <w:rFonts w:ascii="Trebuchet MS" w:hAnsi="Trebuchet MS"/>
          <w:sz w:val="27"/>
          <w:szCs w:val="27"/>
        </w:rPr>
        <w:t>Con l’adesione a</w:t>
      </w:r>
      <w:r w:rsidR="00927F5E">
        <w:rPr>
          <w:rFonts w:ascii="Trebuchet MS" w:hAnsi="Trebuchet MS"/>
          <w:sz w:val="27"/>
          <w:szCs w:val="27"/>
        </w:rPr>
        <w:t>lla</w:t>
      </w:r>
      <w:r w:rsidRPr="00137D1E">
        <w:rPr>
          <w:rFonts w:ascii="Trebuchet MS" w:hAnsi="Trebuchet MS"/>
          <w:sz w:val="27"/>
          <w:szCs w:val="27"/>
        </w:rPr>
        <w:t xml:space="preserve"> convenzione gli Stati firmatari si sono vincolati al rispetto delle norme convenzionali e di quanto deciso dalla Corte EDU.</w:t>
      </w:r>
    </w:p>
    <w:p w:rsidR="00996F36" w:rsidRPr="00137D1E" w:rsidRDefault="00996F36" w:rsidP="00780A65">
      <w:pPr>
        <w:jc w:val="both"/>
        <w:rPr>
          <w:rFonts w:ascii="Trebuchet MS" w:hAnsi="Trebuchet MS"/>
          <w:sz w:val="27"/>
          <w:szCs w:val="27"/>
        </w:rPr>
      </w:pPr>
      <w:r w:rsidRPr="00137D1E">
        <w:rPr>
          <w:rFonts w:ascii="Trebuchet MS" w:hAnsi="Trebuchet MS"/>
          <w:sz w:val="27"/>
          <w:szCs w:val="27"/>
        </w:rPr>
        <w:t>Il tema affidatomi è quello dell’ottemperanza alle sentenze della Corte europea dei diritti dell’uomo.</w:t>
      </w:r>
    </w:p>
    <w:p w:rsidR="009F2D44" w:rsidRDefault="00996F36" w:rsidP="00780A65">
      <w:pPr>
        <w:jc w:val="both"/>
        <w:rPr>
          <w:rFonts w:ascii="Trebuchet MS" w:hAnsi="Trebuchet MS"/>
          <w:sz w:val="27"/>
          <w:szCs w:val="27"/>
        </w:rPr>
      </w:pPr>
      <w:r w:rsidRPr="00137D1E">
        <w:rPr>
          <w:rFonts w:ascii="Trebuchet MS" w:hAnsi="Trebuchet MS"/>
          <w:sz w:val="27"/>
          <w:szCs w:val="27"/>
        </w:rPr>
        <w:t xml:space="preserve">Perciò non affronterò il </w:t>
      </w:r>
      <w:r w:rsidR="00927F5E">
        <w:rPr>
          <w:rFonts w:ascii="Trebuchet MS" w:hAnsi="Trebuchet MS"/>
          <w:sz w:val="27"/>
          <w:szCs w:val="27"/>
        </w:rPr>
        <w:t xml:space="preserve">pur interessante </w:t>
      </w:r>
      <w:r w:rsidRPr="00137D1E">
        <w:rPr>
          <w:rFonts w:ascii="Trebuchet MS" w:hAnsi="Trebuchet MS"/>
          <w:sz w:val="27"/>
          <w:szCs w:val="27"/>
        </w:rPr>
        <w:t>rapporto tra la normativa interna e</w:t>
      </w:r>
      <w:r w:rsidR="00927F5E">
        <w:rPr>
          <w:rFonts w:ascii="Trebuchet MS" w:hAnsi="Trebuchet MS"/>
          <w:sz w:val="27"/>
          <w:szCs w:val="27"/>
        </w:rPr>
        <w:t xml:space="preserve">d i principi e le tutele contenuti </w:t>
      </w:r>
      <w:r w:rsidRPr="00137D1E">
        <w:rPr>
          <w:rFonts w:ascii="Trebuchet MS" w:hAnsi="Trebuchet MS"/>
          <w:sz w:val="27"/>
          <w:szCs w:val="27"/>
        </w:rPr>
        <w:t>nella Convenzione</w:t>
      </w:r>
      <w:r w:rsidR="00927F5E">
        <w:rPr>
          <w:rFonts w:ascii="Trebuchet MS" w:hAnsi="Trebuchet MS"/>
          <w:sz w:val="27"/>
          <w:szCs w:val="27"/>
        </w:rPr>
        <w:t xml:space="preserve"> come anche interpretati dalla Corte</w:t>
      </w:r>
      <w:r w:rsidR="0007122B">
        <w:rPr>
          <w:rFonts w:ascii="Trebuchet MS" w:hAnsi="Trebuchet MS"/>
          <w:sz w:val="27"/>
          <w:szCs w:val="27"/>
        </w:rPr>
        <w:t xml:space="preserve"> EDU</w:t>
      </w:r>
      <w:r w:rsidR="00927F5E">
        <w:rPr>
          <w:rFonts w:ascii="Trebuchet MS" w:hAnsi="Trebuchet MS"/>
          <w:sz w:val="27"/>
          <w:szCs w:val="27"/>
        </w:rPr>
        <w:t>,</w:t>
      </w:r>
      <w:r w:rsidRPr="00137D1E">
        <w:rPr>
          <w:rFonts w:ascii="Trebuchet MS" w:hAnsi="Trebuchet MS"/>
          <w:sz w:val="27"/>
          <w:szCs w:val="27"/>
        </w:rPr>
        <w:t xml:space="preserve"> così come declinato nel tempo, in particolare, dalla Corte costituzionale, a partire soprattutto dalle cd. sentenze gemelle del 2007 – </w:t>
      </w:r>
      <w:proofErr w:type="spellStart"/>
      <w:r w:rsidRPr="00137D1E">
        <w:rPr>
          <w:rFonts w:ascii="Trebuchet MS" w:hAnsi="Trebuchet MS"/>
          <w:sz w:val="27"/>
          <w:szCs w:val="27"/>
        </w:rPr>
        <w:t>nn</w:t>
      </w:r>
      <w:proofErr w:type="spellEnd"/>
      <w:r w:rsidRPr="00137D1E">
        <w:rPr>
          <w:rFonts w:ascii="Trebuchet MS" w:hAnsi="Trebuchet MS"/>
          <w:sz w:val="27"/>
          <w:szCs w:val="27"/>
        </w:rPr>
        <w:t xml:space="preserve">. 348 e 349 – fino ad arrivare alla più recente sentenza n. </w:t>
      </w:r>
      <w:r w:rsidR="00207350" w:rsidRPr="00137D1E">
        <w:rPr>
          <w:rFonts w:ascii="Trebuchet MS" w:hAnsi="Trebuchet MS"/>
          <w:sz w:val="27"/>
          <w:szCs w:val="27"/>
        </w:rPr>
        <w:t>68 del 2017.</w:t>
      </w:r>
    </w:p>
    <w:p w:rsidR="00927F5E" w:rsidRPr="00137D1E" w:rsidRDefault="00927F5E" w:rsidP="00780A65">
      <w:pPr>
        <w:jc w:val="both"/>
        <w:rPr>
          <w:rFonts w:ascii="Trebuchet MS" w:hAnsi="Trebuchet MS"/>
          <w:sz w:val="27"/>
          <w:szCs w:val="27"/>
        </w:rPr>
      </w:pPr>
    </w:p>
    <w:p w:rsidR="00207350" w:rsidRPr="00137D1E" w:rsidRDefault="00927F5E" w:rsidP="00780A65">
      <w:pPr>
        <w:jc w:val="both"/>
        <w:rPr>
          <w:rFonts w:ascii="Trebuchet MS" w:hAnsi="Trebuchet MS"/>
          <w:sz w:val="27"/>
          <w:szCs w:val="27"/>
        </w:rPr>
      </w:pPr>
      <w:r>
        <w:rPr>
          <w:rFonts w:ascii="Trebuchet MS" w:hAnsi="Trebuchet MS"/>
          <w:sz w:val="27"/>
          <w:szCs w:val="27"/>
        </w:rPr>
        <w:t xml:space="preserve">Per il tema assegnatomi la norma fondamentale è rappresentata dall’art. </w:t>
      </w:r>
      <w:r w:rsidR="00207350" w:rsidRPr="00137D1E">
        <w:rPr>
          <w:rFonts w:ascii="Trebuchet MS" w:hAnsi="Trebuchet MS"/>
          <w:sz w:val="27"/>
          <w:szCs w:val="27"/>
        </w:rPr>
        <w:t xml:space="preserve">dall’art. 46 della Convenzione, </w:t>
      </w:r>
      <w:r>
        <w:rPr>
          <w:rFonts w:ascii="Trebuchet MS" w:hAnsi="Trebuchet MS"/>
          <w:sz w:val="27"/>
          <w:szCs w:val="27"/>
        </w:rPr>
        <w:t xml:space="preserve">che, al </w:t>
      </w:r>
      <w:r w:rsidR="000C422E">
        <w:rPr>
          <w:rFonts w:ascii="Trebuchet MS" w:hAnsi="Trebuchet MS"/>
          <w:sz w:val="27"/>
          <w:szCs w:val="27"/>
        </w:rPr>
        <w:t>paragrafo</w:t>
      </w:r>
      <w:r>
        <w:rPr>
          <w:rFonts w:ascii="Trebuchet MS" w:hAnsi="Trebuchet MS"/>
          <w:sz w:val="27"/>
          <w:szCs w:val="27"/>
        </w:rPr>
        <w:t xml:space="preserve"> 1, preved</w:t>
      </w:r>
      <w:r w:rsidR="000C422E">
        <w:rPr>
          <w:rFonts w:ascii="Trebuchet MS" w:hAnsi="Trebuchet MS"/>
          <w:sz w:val="27"/>
          <w:szCs w:val="27"/>
        </w:rPr>
        <w:t>e</w:t>
      </w:r>
      <w:r w:rsidR="00207350" w:rsidRPr="00137D1E">
        <w:rPr>
          <w:rFonts w:ascii="Trebuchet MS" w:hAnsi="Trebuchet MS"/>
          <w:sz w:val="27"/>
          <w:szCs w:val="27"/>
        </w:rPr>
        <w:t xml:space="preserve">: </w:t>
      </w:r>
      <w:r w:rsidR="00207350" w:rsidRPr="00927F5E">
        <w:rPr>
          <w:rFonts w:ascii="Trebuchet MS" w:hAnsi="Trebuchet MS"/>
          <w:i/>
          <w:sz w:val="27"/>
          <w:szCs w:val="27"/>
        </w:rPr>
        <w:t xml:space="preserve">“Le Alte Parti contraenti si impegnano a conformarsi alle </w:t>
      </w:r>
      <w:r w:rsidR="00207350" w:rsidRPr="00927F5E">
        <w:rPr>
          <w:rFonts w:ascii="Trebuchet MS" w:hAnsi="Trebuchet MS"/>
          <w:i/>
          <w:sz w:val="27"/>
          <w:szCs w:val="27"/>
        </w:rPr>
        <w:lastRenderedPageBreak/>
        <w:t>sentenze definitive della Corte sulle controversie nelle quali sono parti.”</w:t>
      </w:r>
      <w:r w:rsidR="00207350" w:rsidRPr="00137D1E">
        <w:rPr>
          <w:rFonts w:ascii="Trebuchet MS" w:hAnsi="Trebuchet MS"/>
          <w:sz w:val="27"/>
          <w:szCs w:val="27"/>
        </w:rPr>
        <w:t>.</w:t>
      </w:r>
    </w:p>
    <w:p w:rsidR="00207350" w:rsidRDefault="00207350" w:rsidP="00780A65">
      <w:pPr>
        <w:jc w:val="both"/>
        <w:rPr>
          <w:rFonts w:ascii="Trebuchet MS" w:hAnsi="Trebuchet MS"/>
          <w:sz w:val="27"/>
          <w:szCs w:val="27"/>
        </w:rPr>
      </w:pPr>
      <w:r w:rsidRPr="00137D1E">
        <w:rPr>
          <w:rFonts w:ascii="Trebuchet MS" w:hAnsi="Trebuchet MS"/>
          <w:sz w:val="27"/>
          <w:szCs w:val="27"/>
        </w:rPr>
        <w:t xml:space="preserve">Da questa norma si evince che l’obbligo di conformarsi grava sugli Stati membri, vincolandoli sul piano del diritto internazionale, come ha espressamente riconosciuto la Corte costituzionale già dalle pronunce gemelle del 2007, rientrando tra gli obblighi internazionali a cui </w:t>
      </w:r>
      <w:r w:rsidR="00927F5E">
        <w:rPr>
          <w:rFonts w:ascii="Trebuchet MS" w:hAnsi="Trebuchet MS"/>
          <w:sz w:val="27"/>
          <w:szCs w:val="27"/>
        </w:rPr>
        <w:t xml:space="preserve">anche </w:t>
      </w:r>
      <w:r w:rsidRPr="00137D1E">
        <w:rPr>
          <w:rFonts w:ascii="Trebuchet MS" w:hAnsi="Trebuchet MS"/>
          <w:sz w:val="27"/>
          <w:szCs w:val="27"/>
        </w:rPr>
        <w:t>l’attività legislativa deve conformarsi ai sensi dell’art. 117</w:t>
      </w:r>
      <w:r w:rsidR="00D12EAC">
        <w:rPr>
          <w:rFonts w:ascii="Trebuchet MS" w:hAnsi="Trebuchet MS"/>
          <w:sz w:val="27"/>
          <w:szCs w:val="27"/>
        </w:rPr>
        <w:t>,</w:t>
      </w:r>
      <w:r w:rsidRPr="00137D1E">
        <w:rPr>
          <w:rFonts w:ascii="Trebuchet MS" w:hAnsi="Trebuchet MS"/>
          <w:sz w:val="27"/>
          <w:szCs w:val="27"/>
        </w:rPr>
        <w:t xml:space="preserve"> comma 1</w:t>
      </w:r>
      <w:r w:rsidR="00D12EAC">
        <w:rPr>
          <w:rFonts w:ascii="Trebuchet MS" w:hAnsi="Trebuchet MS"/>
          <w:sz w:val="27"/>
          <w:szCs w:val="27"/>
        </w:rPr>
        <w:t>,</w:t>
      </w:r>
      <w:r w:rsidRPr="00137D1E">
        <w:rPr>
          <w:rFonts w:ascii="Trebuchet MS" w:hAnsi="Trebuchet MS"/>
          <w:sz w:val="27"/>
          <w:szCs w:val="27"/>
        </w:rPr>
        <w:t xml:space="preserve"> </w:t>
      </w:r>
      <w:proofErr w:type="spellStart"/>
      <w:r w:rsidRPr="00137D1E">
        <w:rPr>
          <w:rFonts w:ascii="Trebuchet MS" w:hAnsi="Trebuchet MS"/>
          <w:sz w:val="27"/>
          <w:szCs w:val="27"/>
        </w:rPr>
        <w:t>Cost</w:t>
      </w:r>
      <w:proofErr w:type="spellEnd"/>
      <w:r w:rsidRPr="00137D1E">
        <w:rPr>
          <w:rFonts w:ascii="Trebuchet MS" w:hAnsi="Trebuchet MS"/>
          <w:sz w:val="27"/>
          <w:szCs w:val="27"/>
        </w:rPr>
        <w:t>.</w:t>
      </w:r>
    </w:p>
    <w:p w:rsidR="00CD3F04" w:rsidRPr="00137D1E" w:rsidRDefault="00CD3F04" w:rsidP="00CD3F04">
      <w:pPr>
        <w:jc w:val="both"/>
        <w:rPr>
          <w:rFonts w:ascii="Trebuchet MS" w:hAnsi="Trebuchet MS"/>
          <w:sz w:val="27"/>
          <w:szCs w:val="27"/>
        </w:rPr>
      </w:pPr>
      <w:r>
        <w:rPr>
          <w:rFonts w:ascii="Trebuchet MS" w:hAnsi="Trebuchet MS"/>
          <w:sz w:val="27"/>
          <w:szCs w:val="27"/>
        </w:rPr>
        <w:t>N</w:t>
      </w:r>
      <w:r w:rsidRPr="00137D1E">
        <w:rPr>
          <w:rFonts w:ascii="Trebuchet MS" w:hAnsi="Trebuchet MS"/>
          <w:sz w:val="27"/>
          <w:szCs w:val="27"/>
        </w:rPr>
        <w:t xml:space="preserve">essuna norma riconosce </w:t>
      </w:r>
      <w:r>
        <w:rPr>
          <w:rFonts w:ascii="Trebuchet MS" w:hAnsi="Trebuchet MS"/>
          <w:sz w:val="27"/>
          <w:szCs w:val="27"/>
        </w:rPr>
        <w:t xml:space="preserve">invece </w:t>
      </w:r>
      <w:r w:rsidRPr="00137D1E">
        <w:rPr>
          <w:rFonts w:ascii="Trebuchet MS" w:hAnsi="Trebuchet MS"/>
          <w:sz w:val="27"/>
          <w:szCs w:val="27"/>
        </w:rPr>
        <w:t xml:space="preserve">efficacia esecutiva diretta alle sentenze della Corte all’interno degli Stati </w:t>
      </w:r>
      <w:r>
        <w:rPr>
          <w:rFonts w:ascii="Trebuchet MS" w:hAnsi="Trebuchet MS"/>
          <w:sz w:val="27"/>
          <w:szCs w:val="27"/>
        </w:rPr>
        <w:t>firmatar</w:t>
      </w:r>
      <w:r w:rsidRPr="00137D1E">
        <w:rPr>
          <w:rFonts w:ascii="Trebuchet MS" w:hAnsi="Trebuchet MS"/>
          <w:sz w:val="27"/>
          <w:szCs w:val="27"/>
        </w:rPr>
        <w:t>i, a differenza del regime previsto dagli articoli 244 e 256 TUE per le sentenze della Corte di Giustizia.</w:t>
      </w:r>
    </w:p>
    <w:p w:rsidR="002F4E34" w:rsidRDefault="002F4E34" w:rsidP="00780A65">
      <w:pPr>
        <w:jc w:val="both"/>
        <w:rPr>
          <w:rFonts w:ascii="Trebuchet MS" w:hAnsi="Trebuchet MS"/>
          <w:sz w:val="27"/>
          <w:szCs w:val="27"/>
        </w:rPr>
      </w:pPr>
      <w:r w:rsidRPr="002F4E34">
        <w:rPr>
          <w:rFonts w:ascii="Trebuchet MS" w:hAnsi="Trebuchet MS"/>
          <w:sz w:val="27"/>
          <w:szCs w:val="27"/>
        </w:rPr>
        <w:t>Nell’ordinamento</w:t>
      </w:r>
      <w:r>
        <w:rPr>
          <w:rFonts w:ascii="Trebuchet MS" w:hAnsi="Trebuchet MS"/>
          <w:sz w:val="27"/>
          <w:szCs w:val="27"/>
        </w:rPr>
        <w:t xml:space="preserve"> </w:t>
      </w:r>
      <w:r w:rsidRPr="002F4E34">
        <w:rPr>
          <w:rFonts w:ascii="Trebuchet MS" w:hAnsi="Trebuchet MS"/>
          <w:sz w:val="27"/>
          <w:szCs w:val="27"/>
        </w:rPr>
        <w:t>interno</w:t>
      </w:r>
      <w:r w:rsidR="00CD3F04">
        <w:rPr>
          <w:rFonts w:ascii="Trebuchet MS" w:hAnsi="Trebuchet MS"/>
          <w:sz w:val="27"/>
          <w:szCs w:val="27"/>
        </w:rPr>
        <w:t>,</w:t>
      </w:r>
      <w:r w:rsidRPr="002F4E34">
        <w:rPr>
          <w:rFonts w:ascii="Trebuchet MS" w:hAnsi="Trebuchet MS"/>
          <w:sz w:val="27"/>
          <w:szCs w:val="27"/>
        </w:rPr>
        <w:t xml:space="preserve"> in</w:t>
      </w:r>
      <w:r w:rsidR="00CD3F04">
        <w:rPr>
          <w:rFonts w:ascii="Trebuchet MS" w:hAnsi="Trebuchet MS"/>
          <w:sz w:val="27"/>
          <w:szCs w:val="27"/>
        </w:rPr>
        <w:t>fatti</w:t>
      </w:r>
      <w:r w:rsidRPr="002F4E34">
        <w:rPr>
          <w:rFonts w:ascii="Trebuchet MS" w:hAnsi="Trebuchet MS"/>
          <w:sz w:val="27"/>
          <w:szCs w:val="27"/>
        </w:rPr>
        <w:t>, tali sentenze</w:t>
      </w:r>
      <w:r w:rsidR="00927F5E">
        <w:rPr>
          <w:rFonts w:ascii="Trebuchet MS" w:hAnsi="Trebuchet MS"/>
          <w:sz w:val="27"/>
          <w:szCs w:val="27"/>
        </w:rPr>
        <w:t xml:space="preserve"> </w:t>
      </w:r>
      <w:r w:rsidRPr="002F4E34">
        <w:rPr>
          <w:rFonts w:ascii="Trebuchet MS" w:hAnsi="Trebuchet MS"/>
          <w:sz w:val="27"/>
          <w:szCs w:val="27"/>
        </w:rPr>
        <w:t>seguono lo stesso regime giuridico delle norme</w:t>
      </w:r>
      <w:r>
        <w:rPr>
          <w:rFonts w:ascii="Trebuchet MS" w:hAnsi="Trebuchet MS"/>
          <w:sz w:val="27"/>
          <w:szCs w:val="27"/>
        </w:rPr>
        <w:t xml:space="preserve"> </w:t>
      </w:r>
      <w:r w:rsidRPr="002F4E34">
        <w:rPr>
          <w:rFonts w:ascii="Trebuchet MS" w:hAnsi="Trebuchet MS"/>
          <w:sz w:val="27"/>
          <w:szCs w:val="27"/>
        </w:rPr>
        <w:t>della Convenzione: svolgono i loro effetti nell’ordinamento</w:t>
      </w:r>
      <w:r>
        <w:rPr>
          <w:rFonts w:ascii="Trebuchet MS" w:hAnsi="Trebuchet MS"/>
          <w:sz w:val="27"/>
          <w:szCs w:val="27"/>
        </w:rPr>
        <w:t xml:space="preserve"> </w:t>
      </w:r>
      <w:r w:rsidRPr="002F4E34">
        <w:rPr>
          <w:rFonts w:ascii="Trebuchet MS" w:hAnsi="Trebuchet MS"/>
          <w:sz w:val="27"/>
          <w:szCs w:val="27"/>
        </w:rPr>
        <w:t xml:space="preserve">domestico </w:t>
      </w:r>
      <w:r w:rsidR="00927F5E">
        <w:rPr>
          <w:rFonts w:ascii="Trebuchet MS" w:hAnsi="Trebuchet MS"/>
          <w:sz w:val="27"/>
          <w:szCs w:val="27"/>
        </w:rPr>
        <w:t xml:space="preserve">appunto </w:t>
      </w:r>
      <w:r w:rsidRPr="002F4E34">
        <w:rPr>
          <w:rFonts w:ascii="Trebuchet MS" w:hAnsi="Trebuchet MS"/>
          <w:sz w:val="27"/>
          <w:szCs w:val="27"/>
        </w:rPr>
        <w:t>solo attraverso il richiamo</w:t>
      </w:r>
      <w:r>
        <w:rPr>
          <w:rFonts w:ascii="Trebuchet MS" w:hAnsi="Trebuchet MS"/>
          <w:sz w:val="27"/>
          <w:szCs w:val="27"/>
        </w:rPr>
        <w:t xml:space="preserve"> </w:t>
      </w:r>
      <w:r w:rsidRPr="002F4E34">
        <w:rPr>
          <w:rFonts w:ascii="Trebuchet MS" w:hAnsi="Trebuchet MS"/>
          <w:sz w:val="27"/>
          <w:szCs w:val="27"/>
        </w:rPr>
        <w:t xml:space="preserve">contenuto nell’art. 117 </w:t>
      </w:r>
      <w:proofErr w:type="spellStart"/>
      <w:r w:rsidRPr="002F4E34">
        <w:rPr>
          <w:rFonts w:ascii="Trebuchet MS" w:hAnsi="Trebuchet MS"/>
          <w:sz w:val="27"/>
          <w:szCs w:val="27"/>
        </w:rPr>
        <w:t>Cost</w:t>
      </w:r>
      <w:proofErr w:type="spellEnd"/>
      <w:r w:rsidRPr="002F4E34">
        <w:rPr>
          <w:rFonts w:ascii="Trebuchet MS" w:hAnsi="Trebuchet MS"/>
          <w:sz w:val="27"/>
          <w:szCs w:val="27"/>
        </w:rPr>
        <w:t>., fungendo da parametro</w:t>
      </w:r>
      <w:r>
        <w:rPr>
          <w:rFonts w:ascii="Trebuchet MS" w:hAnsi="Trebuchet MS"/>
          <w:sz w:val="27"/>
          <w:szCs w:val="27"/>
        </w:rPr>
        <w:t xml:space="preserve"> </w:t>
      </w:r>
      <w:r w:rsidRPr="002F4E34">
        <w:rPr>
          <w:rFonts w:ascii="Trebuchet MS" w:hAnsi="Trebuchet MS"/>
          <w:sz w:val="27"/>
          <w:szCs w:val="27"/>
        </w:rPr>
        <w:t>interposto in un giudizio di costituzionalità.</w:t>
      </w:r>
    </w:p>
    <w:p w:rsidR="00927F5E" w:rsidRPr="00137D1E" w:rsidRDefault="00927F5E" w:rsidP="00780A65">
      <w:pPr>
        <w:jc w:val="both"/>
        <w:rPr>
          <w:rFonts w:ascii="Trebuchet MS" w:hAnsi="Trebuchet MS"/>
          <w:sz w:val="27"/>
          <w:szCs w:val="27"/>
        </w:rPr>
      </w:pPr>
      <w:r>
        <w:rPr>
          <w:rFonts w:ascii="Trebuchet MS" w:hAnsi="Trebuchet MS"/>
          <w:sz w:val="27"/>
          <w:szCs w:val="27"/>
        </w:rPr>
        <w:t>Sul punto si tornerà successivamente.</w:t>
      </w:r>
    </w:p>
    <w:p w:rsidR="00207350" w:rsidRPr="00137D1E" w:rsidRDefault="00927F5E" w:rsidP="00780A65">
      <w:pPr>
        <w:jc w:val="both"/>
        <w:rPr>
          <w:rFonts w:ascii="Trebuchet MS" w:hAnsi="Trebuchet MS"/>
          <w:sz w:val="27"/>
          <w:szCs w:val="27"/>
        </w:rPr>
      </w:pPr>
      <w:r>
        <w:rPr>
          <w:rFonts w:ascii="Trebuchet MS" w:hAnsi="Trebuchet MS"/>
          <w:sz w:val="27"/>
          <w:szCs w:val="27"/>
        </w:rPr>
        <w:t>Come si è visto, l’o</w:t>
      </w:r>
      <w:r w:rsidR="00207350" w:rsidRPr="00137D1E">
        <w:rPr>
          <w:rFonts w:ascii="Trebuchet MS" w:hAnsi="Trebuchet MS"/>
          <w:sz w:val="27"/>
          <w:szCs w:val="27"/>
        </w:rPr>
        <w:t>bbligo</w:t>
      </w:r>
      <w:r>
        <w:rPr>
          <w:rFonts w:ascii="Trebuchet MS" w:hAnsi="Trebuchet MS"/>
          <w:sz w:val="27"/>
          <w:szCs w:val="27"/>
        </w:rPr>
        <w:t>, per lo Stato firmatario,</w:t>
      </w:r>
      <w:r w:rsidR="00207350" w:rsidRPr="00137D1E">
        <w:rPr>
          <w:rFonts w:ascii="Trebuchet MS" w:hAnsi="Trebuchet MS"/>
          <w:sz w:val="27"/>
          <w:szCs w:val="27"/>
        </w:rPr>
        <w:t xml:space="preserve"> di conformarsi </w:t>
      </w:r>
      <w:r>
        <w:rPr>
          <w:rFonts w:ascii="Trebuchet MS" w:hAnsi="Trebuchet MS"/>
          <w:sz w:val="27"/>
          <w:szCs w:val="27"/>
        </w:rPr>
        <w:t xml:space="preserve">sorge </w:t>
      </w:r>
      <w:r w:rsidR="00207350" w:rsidRPr="00137D1E">
        <w:rPr>
          <w:rFonts w:ascii="Trebuchet MS" w:hAnsi="Trebuchet MS"/>
          <w:sz w:val="27"/>
          <w:szCs w:val="27"/>
        </w:rPr>
        <w:t xml:space="preserve">quando </w:t>
      </w:r>
      <w:r>
        <w:rPr>
          <w:rFonts w:ascii="Trebuchet MS" w:hAnsi="Trebuchet MS"/>
          <w:sz w:val="27"/>
          <w:szCs w:val="27"/>
        </w:rPr>
        <w:t>la sentenza</w:t>
      </w:r>
      <w:r w:rsidR="00207350" w:rsidRPr="00137D1E">
        <w:rPr>
          <w:rFonts w:ascii="Trebuchet MS" w:hAnsi="Trebuchet MS"/>
          <w:sz w:val="27"/>
          <w:szCs w:val="27"/>
        </w:rPr>
        <w:t xml:space="preserve"> </w:t>
      </w:r>
      <w:r>
        <w:rPr>
          <w:rFonts w:ascii="Trebuchet MS" w:hAnsi="Trebuchet MS"/>
          <w:sz w:val="27"/>
          <w:szCs w:val="27"/>
        </w:rPr>
        <w:t xml:space="preserve">è </w:t>
      </w:r>
      <w:r w:rsidR="00207350" w:rsidRPr="00137D1E">
        <w:rPr>
          <w:rFonts w:ascii="Trebuchet MS" w:hAnsi="Trebuchet MS"/>
          <w:sz w:val="27"/>
          <w:szCs w:val="27"/>
        </w:rPr>
        <w:t>definitiva.</w:t>
      </w:r>
    </w:p>
    <w:p w:rsidR="00E91A52" w:rsidRPr="00137D1E" w:rsidRDefault="00E91A52" w:rsidP="00780A65">
      <w:pPr>
        <w:jc w:val="both"/>
        <w:rPr>
          <w:rFonts w:ascii="Trebuchet MS" w:hAnsi="Trebuchet MS"/>
          <w:sz w:val="27"/>
          <w:szCs w:val="27"/>
        </w:rPr>
      </w:pPr>
      <w:r w:rsidRPr="00137D1E">
        <w:rPr>
          <w:rFonts w:ascii="Trebuchet MS" w:hAnsi="Trebuchet MS"/>
          <w:sz w:val="27"/>
          <w:szCs w:val="27"/>
        </w:rPr>
        <w:t>Preliminarmente</w:t>
      </w:r>
      <w:r w:rsidR="00927F5E">
        <w:rPr>
          <w:rFonts w:ascii="Trebuchet MS" w:hAnsi="Trebuchet MS"/>
          <w:sz w:val="27"/>
          <w:szCs w:val="27"/>
        </w:rPr>
        <w:t xml:space="preserve"> va detto che</w:t>
      </w:r>
      <w:r w:rsidRPr="00137D1E">
        <w:rPr>
          <w:rFonts w:ascii="Trebuchet MS" w:hAnsi="Trebuchet MS"/>
          <w:sz w:val="27"/>
          <w:szCs w:val="27"/>
        </w:rPr>
        <w:t xml:space="preserve"> le pronunce adottate dalla Corte si suddividono in sentenze e decisioni, distinzione che può essere così sommariamente riassunta: ricevuto un ricorso, la Corte si pronuncia primariamente sulla sua ricevibilità; se l’esito è positivo, la causa viene decisa del merito con sentenza, mentre, se l’esito è negativo, </w:t>
      </w:r>
      <w:r w:rsidRPr="00137D1E">
        <w:rPr>
          <w:rFonts w:ascii="Trebuchet MS" w:hAnsi="Trebuchet MS"/>
          <w:sz w:val="27"/>
          <w:szCs w:val="27"/>
        </w:rPr>
        <w:lastRenderedPageBreak/>
        <w:t>la Corte dichiara la cancellazione della causa dal ruolo con decisione.</w:t>
      </w:r>
    </w:p>
    <w:p w:rsidR="00455B40" w:rsidRDefault="00455B40" w:rsidP="00780A65">
      <w:pPr>
        <w:jc w:val="both"/>
        <w:rPr>
          <w:rFonts w:ascii="Trebuchet MS" w:hAnsi="Trebuchet MS"/>
          <w:sz w:val="27"/>
          <w:szCs w:val="27"/>
        </w:rPr>
      </w:pPr>
      <w:r w:rsidRPr="00137D1E">
        <w:rPr>
          <w:rFonts w:ascii="Trebuchet MS" w:hAnsi="Trebuchet MS"/>
          <w:sz w:val="27"/>
          <w:szCs w:val="27"/>
        </w:rPr>
        <w:t>Ulteriore caso in cui la Corte utilizza le decisioni, inoltre, è quando la stessa (nello specifico la Grande Camera) emana una pronuncia interpretativa, ossia risponde ad un ricorso tramite il quale le si chiede quale sia l’interpretazione corretta da dare ad una norma della Convenzione stessa o ad una normativa interna</w:t>
      </w:r>
      <w:r w:rsidR="00927F5E">
        <w:rPr>
          <w:rFonts w:ascii="Trebuchet MS" w:hAnsi="Trebuchet MS"/>
          <w:sz w:val="27"/>
          <w:szCs w:val="27"/>
        </w:rPr>
        <w:t>,</w:t>
      </w:r>
      <w:r w:rsidRPr="00137D1E">
        <w:rPr>
          <w:rFonts w:ascii="Trebuchet MS" w:hAnsi="Trebuchet MS"/>
          <w:sz w:val="27"/>
          <w:szCs w:val="27"/>
        </w:rPr>
        <w:t xml:space="preserve"> in modo da far sì che alla stessa si dia una lettura convenzionalmente orientata e non, invece, in contrasto con la Convenzione.</w:t>
      </w:r>
    </w:p>
    <w:p w:rsidR="000C422E" w:rsidRPr="00137D1E" w:rsidRDefault="000C422E" w:rsidP="00780A65">
      <w:pPr>
        <w:jc w:val="both"/>
        <w:rPr>
          <w:rFonts w:ascii="Trebuchet MS" w:hAnsi="Trebuchet MS"/>
          <w:sz w:val="27"/>
          <w:szCs w:val="27"/>
        </w:rPr>
      </w:pPr>
      <w:r>
        <w:rPr>
          <w:rFonts w:ascii="Trebuchet MS" w:hAnsi="Trebuchet MS"/>
          <w:sz w:val="27"/>
          <w:szCs w:val="27"/>
        </w:rPr>
        <w:t>In proposito si rileva che, a</w:t>
      </w:r>
      <w:r w:rsidRPr="000C422E">
        <w:rPr>
          <w:rFonts w:ascii="Trebuchet MS" w:hAnsi="Trebuchet MS"/>
          <w:sz w:val="27"/>
          <w:szCs w:val="27"/>
        </w:rPr>
        <w:t xml:space="preserve"> determinare la possibilità di emanare una pronuncia interpretativa, come sopra ricordata, è stato il Protocollo XVI entrato in vigore il 1° agosto 2018, che ha così determinato un meccanismo di rinvio pregiudiziale simile, per certi versi, a quello già previsto per la Corte di Giustizia dell’Unione Europea.</w:t>
      </w:r>
    </w:p>
    <w:p w:rsidR="00E91A52" w:rsidRPr="00137D1E" w:rsidRDefault="00E91A52" w:rsidP="00780A65">
      <w:pPr>
        <w:jc w:val="both"/>
        <w:rPr>
          <w:rFonts w:ascii="Trebuchet MS" w:hAnsi="Trebuchet MS"/>
          <w:sz w:val="27"/>
          <w:szCs w:val="27"/>
        </w:rPr>
      </w:pPr>
      <w:r w:rsidRPr="00137D1E">
        <w:rPr>
          <w:rFonts w:ascii="Trebuchet MS" w:hAnsi="Trebuchet MS"/>
          <w:sz w:val="27"/>
          <w:szCs w:val="27"/>
        </w:rPr>
        <w:t>Quando le sentenz</w:t>
      </w:r>
      <w:r w:rsidR="00603179" w:rsidRPr="00137D1E">
        <w:rPr>
          <w:rFonts w:ascii="Trebuchet MS" w:hAnsi="Trebuchet MS"/>
          <w:sz w:val="27"/>
          <w:szCs w:val="27"/>
        </w:rPr>
        <w:t>e sono</w:t>
      </w:r>
      <w:r w:rsidRPr="00137D1E">
        <w:rPr>
          <w:rFonts w:ascii="Trebuchet MS" w:hAnsi="Trebuchet MS"/>
          <w:sz w:val="27"/>
          <w:szCs w:val="27"/>
        </w:rPr>
        <w:t xml:space="preserve"> definitiv</w:t>
      </w:r>
      <w:r w:rsidR="00603179" w:rsidRPr="00137D1E">
        <w:rPr>
          <w:rFonts w:ascii="Trebuchet MS" w:hAnsi="Trebuchet MS"/>
          <w:sz w:val="27"/>
          <w:szCs w:val="27"/>
        </w:rPr>
        <w:t>e</w:t>
      </w:r>
      <w:r w:rsidRPr="00137D1E">
        <w:rPr>
          <w:rFonts w:ascii="Trebuchet MS" w:hAnsi="Trebuchet MS"/>
          <w:sz w:val="27"/>
          <w:szCs w:val="27"/>
        </w:rPr>
        <w:t xml:space="preserve">? In base all’art. 44 della Convenzione, di regola </w:t>
      </w:r>
      <w:r w:rsidR="00927F5E">
        <w:rPr>
          <w:rFonts w:ascii="Trebuchet MS" w:hAnsi="Trebuchet MS"/>
          <w:sz w:val="27"/>
          <w:szCs w:val="27"/>
        </w:rPr>
        <w:t xml:space="preserve">quelle emesse dalle Camere </w:t>
      </w:r>
      <w:r w:rsidR="00603179" w:rsidRPr="00137D1E">
        <w:rPr>
          <w:rFonts w:ascii="Trebuchet MS" w:hAnsi="Trebuchet MS"/>
          <w:sz w:val="27"/>
          <w:szCs w:val="27"/>
        </w:rPr>
        <w:t>lo sono,</w:t>
      </w:r>
      <w:r w:rsidRPr="00137D1E">
        <w:rPr>
          <w:rFonts w:ascii="Trebuchet MS" w:hAnsi="Trebuchet MS"/>
          <w:sz w:val="27"/>
          <w:szCs w:val="27"/>
        </w:rPr>
        <w:t xml:space="preserve"> acquisendo forza</w:t>
      </w:r>
      <w:r w:rsidR="00603179" w:rsidRPr="00137D1E">
        <w:rPr>
          <w:rFonts w:ascii="Trebuchet MS" w:hAnsi="Trebuchet MS"/>
          <w:sz w:val="27"/>
          <w:szCs w:val="27"/>
        </w:rPr>
        <w:t xml:space="preserve"> </w:t>
      </w:r>
      <w:r w:rsidRPr="00137D1E">
        <w:rPr>
          <w:rFonts w:ascii="Trebuchet MS" w:hAnsi="Trebuchet MS"/>
          <w:sz w:val="27"/>
          <w:szCs w:val="27"/>
        </w:rPr>
        <w:t>di giudicato</w:t>
      </w:r>
      <w:r w:rsidR="00603179" w:rsidRPr="00137D1E">
        <w:rPr>
          <w:rFonts w:ascii="Trebuchet MS" w:hAnsi="Trebuchet MS"/>
          <w:sz w:val="27"/>
          <w:szCs w:val="27"/>
        </w:rPr>
        <w:t>,</w:t>
      </w:r>
      <w:r w:rsidRPr="00137D1E">
        <w:rPr>
          <w:rFonts w:ascii="Trebuchet MS" w:hAnsi="Trebuchet MS"/>
          <w:sz w:val="27"/>
          <w:szCs w:val="27"/>
        </w:rPr>
        <w:t xml:space="preserve"> dopo tre mesi dalla</w:t>
      </w:r>
      <w:r w:rsidR="00603179" w:rsidRPr="00137D1E">
        <w:rPr>
          <w:rFonts w:ascii="Trebuchet MS" w:hAnsi="Trebuchet MS"/>
          <w:sz w:val="27"/>
          <w:szCs w:val="27"/>
        </w:rPr>
        <w:t xml:space="preserve"> </w:t>
      </w:r>
      <w:r w:rsidRPr="00137D1E">
        <w:rPr>
          <w:rFonts w:ascii="Trebuchet MS" w:hAnsi="Trebuchet MS"/>
          <w:sz w:val="27"/>
          <w:szCs w:val="27"/>
        </w:rPr>
        <w:t>pubblicazione.</w:t>
      </w:r>
    </w:p>
    <w:p w:rsidR="00927F5E" w:rsidRDefault="00E91A52" w:rsidP="00780A65">
      <w:pPr>
        <w:jc w:val="both"/>
        <w:rPr>
          <w:rFonts w:ascii="Trebuchet MS" w:hAnsi="Trebuchet MS"/>
          <w:sz w:val="27"/>
          <w:szCs w:val="27"/>
        </w:rPr>
      </w:pPr>
      <w:r w:rsidRPr="00137D1E">
        <w:rPr>
          <w:rFonts w:ascii="Trebuchet MS" w:hAnsi="Trebuchet MS"/>
          <w:sz w:val="27"/>
          <w:szCs w:val="27"/>
        </w:rPr>
        <w:t xml:space="preserve">Entro il termine di </w:t>
      </w:r>
      <w:r w:rsidR="00603179" w:rsidRPr="00137D1E">
        <w:rPr>
          <w:rFonts w:ascii="Trebuchet MS" w:hAnsi="Trebuchet MS"/>
          <w:sz w:val="27"/>
          <w:szCs w:val="27"/>
        </w:rPr>
        <w:t>tre</w:t>
      </w:r>
      <w:r w:rsidRPr="00137D1E">
        <w:rPr>
          <w:rFonts w:ascii="Trebuchet MS" w:hAnsi="Trebuchet MS"/>
          <w:sz w:val="27"/>
          <w:szCs w:val="27"/>
        </w:rPr>
        <w:t xml:space="preserve"> mesi </w:t>
      </w:r>
      <w:r w:rsidR="00603179" w:rsidRPr="00137D1E">
        <w:rPr>
          <w:rFonts w:ascii="Trebuchet MS" w:hAnsi="Trebuchet MS"/>
          <w:sz w:val="27"/>
          <w:szCs w:val="27"/>
        </w:rPr>
        <w:t xml:space="preserve">è </w:t>
      </w:r>
      <w:r w:rsidRPr="00137D1E">
        <w:rPr>
          <w:rFonts w:ascii="Trebuchet MS" w:hAnsi="Trebuchet MS"/>
          <w:sz w:val="27"/>
          <w:szCs w:val="27"/>
        </w:rPr>
        <w:t>possibile</w:t>
      </w:r>
      <w:r w:rsidR="00603179" w:rsidRPr="00137D1E">
        <w:rPr>
          <w:rFonts w:ascii="Trebuchet MS" w:hAnsi="Trebuchet MS"/>
          <w:sz w:val="27"/>
          <w:szCs w:val="27"/>
        </w:rPr>
        <w:t>,</w:t>
      </w:r>
      <w:r w:rsidRPr="00137D1E">
        <w:rPr>
          <w:rFonts w:ascii="Trebuchet MS" w:hAnsi="Trebuchet MS"/>
          <w:sz w:val="27"/>
          <w:szCs w:val="27"/>
        </w:rPr>
        <w:t xml:space="preserve"> per le</w:t>
      </w:r>
      <w:r w:rsidR="00603179" w:rsidRPr="00137D1E">
        <w:rPr>
          <w:rFonts w:ascii="Trebuchet MS" w:hAnsi="Trebuchet MS"/>
          <w:sz w:val="27"/>
          <w:szCs w:val="27"/>
        </w:rPr>
        <w:t xml:space="preserve"> </w:t>
      </w:r>
      <w:r w:rsidRPr="00137D1E">
        <w:rPr>
          <w:rFonts w:ascii="Trebuchet MS" w:hAnsi="Trebuchet MS"/>
          <w:sz w:val="27"/>
          <w:szCs w:val="27"/>
        </w:rPr>
        <w:t>parti</w:t>
      </w:r>
      <w:r w:rsidR="00603179" w:rsidRPr="00137D1E">
        <w:rPr>
          <w:rFonts w:ascii="Trebuchet MS" w:hAnsi="Trebuchet MS"/>
          <w:sz w:val="27"/>
          <w:szCs w:val="27"/>
        </w:rPr>
        <w:t>,</w:t>
      </w:r>
      <w:r w:rsidRPr="00137D1E">
        <w:rPr>
          <w:rFonts w:ascii="Trebuchet MS" w:hAnsi="Trebuchet MS"/>
          <w:sz w:val="27"/>
          <w:szCs w:val="27"/>
        </w:rPr>
        <w:t xml:space="preserve"> chiedere </w:t>
      </w:r>
      <w:r w:rsidR="00927F5E">
        <w:rPr>
          <w:rFonts w:ascii="Trebuchet MS" w:hAnsi="Trebuchet MS"/>
          <w:sz w:val="27"/>
          <w:szCs w:val="27"/>
        </w:rPr>
        <w:t xml:space="preserve">il </w:t>
      </w:r>
      <w:r w:rsidRPr="00137D1E">
        <w:rPr>
          <w:rFonts w:ascii="Trebuchet MS" w:hAnsi="Trebuchet MS"/>
          <w:sz w:val="27"/>
          <w:szCs w:val="27"/>
        </w:rPr>
        <w:t xml:space="preserve">rinvio alla Grande </w:t>
      </w:r>
      <w:r w:rsidR="00927F5E">
        <w:rPr>
          <w:rFonts w:ascii="Trebuchet MS" w:hAnsi="Trebuchet MS"/>
          <w:sz w:val="27"/>
          <w:szCs w:val="27"/>
        </w:rPr>
        <w:t>C</w:t>
      </w:r>
      <w:r w:rsidRPr="00137D1E">
        <w:rPr>
          <w:rFonts w:ascii="Trebuchet MS" w:hAnsi="Trebuchet MS"/>
          <w:sz w:val="27"/>
          <w:szCs w:val="27"/>
        </w:rPr>
        <w:t>amera</w:t>
      </w:r>
      <w:r w:rsidR="00927F5E">
        <w:rPr>
          <w:rFonts w:ascii="Trebuchet MS" w:hAnsi="Trebuchet MS"/>
          <w:sz w:val="27"/>
          <w:szCs w:val="27"/>
        </w:rPr>
        <w:t xml:space="preserve">: </w:t>
      </w:r>
      <w:r w:rsidR="00927F5E" w:rsidRPr="00927F5E">
        <w:rPr>
          <w:rFonts w:ascii="Trebuchet MS" w:hAnsi="Trebuchet MS"/>
          <w:sz w:val="27"/>
          <w:szCs w:val="27"/>
        </w:rPr>
        <w:t>un collegio di cinque giudici della sezione deve ritemere la domanda meritevole di accoglimento, in ragione della natura e delle caratteristiche della questione giuridica oggetto del ricorso.</w:t>
      </w:r>
      <w:r w:rsidR="00603179" w:rsidRPr="00137D1E">
        <w:rPr>
          <w:rFonts w:ascii="Trebuchet MS" w:hAnsi="Trebuchet MS"/>
          <w:sz w:val="27"/>
          <w:szCs w:val="27"/>
        </w:rPr>
        <w:t xml:space="preserve"> </w:t>
      </w:r>
    </w:p>
    <w:p w:rsidR="00E91A52" w:rsidRPr="00137D1E" w:rsidRDefault="00927F5E" w:rsidP="00780A65">
      <w:pPr>
        <w:jc w:val="both"/>
        <w:rPr>
          <w:rFonts w:ascii="Trebuchet MS" w:hAnsi="Trebuchet MS"/>
          <w:sz w:val="27"/>
          <w:szCs w:val="27"/>
        </w:rPr>
      </w:pPr>
      <w:r>
        <w:rPr>
          <w:rFonts w:ascii="Trebuchet MS" w:hAnsi="Trebuchet MS"/>
          <w:sz w:val="27"/>
          <w:szCs w:val="27"/>
        </w:rPr>
        <w:t>Incidentalmente deve precisarsi che l</w:t>
      </w:r>
      <w:r w:rsidRPr="00927F5E">
        <w:rPr>
          <w:rFonts w:ascii="Trebuchet MS" w:hAnsi="Trebuchet MS"/>
          <w:sz w:val="27"/>
          <w:szCs w:val="27"/>
        </w:rPr>
        <w:t xml:space="preserve">a Grande Camera può essere investita anche su richiesta di una Camera </w:t>
      </w:r>
      <w:r w:rsidR="00603179" w:rsidRPr="00137D1E">
        <w:rPr>
          <w:rFonts w:ascii="Trebuchet MS" w:hAnsi="Trebuchet MS"/>
          <w:sz w:val="27"/>
          <w:szCs w:val="27"/>
        </w:rPr>
        <w:t xml:space="preserve">ove vi siano </w:t>
      </w:r>
      <w:r w:rsidR="00603179" w:rsidRPr="00752838">
        <w:rPr>
          <w:rFonts w:ascii="Trebuchet MS" w:hAnsi="Trebuchet MS"/>
          <w:i/>
          <w:sz w:val="27"/>
          <w:szCs w:val="27"/>
        </w:rPr>
        <w:t xml:space="preserve">“gravi problemi di interpretazione o di applicazione della Convenzione o dei </w:t>
      </w:r>
      <w:r w:rsidR="00603179" w:rsidRPr="00752838">
        <w:rPr>
          <w:rFonts w:ascii="Trebuchet MS" w:hAnsi="Trebuchet MS"/>
          <w:i/>
          <w:sz w:val="27"/>
          <w:szCs w:val="27"/>
        </w:rPr>
        <w:lastRenderedPageBreak/>
        <w:t>suoi Protocolli, o comunque</w:t>
      </w:r>
      <w:r w:rsidR="00D425C3" w:rsidRPr="00752838">
        <w:rPr>
          <w:rFonts w:ascii="Trebuchet MS" w:hAnsi="Trebuchet MS"/>
          <w:i/>
          <w:sz w:val="27"/>
          <w:szCs w:val="27"/>
        </w:rPr>
        <w:t xml:space="preserve"> </w:t>
      </w:r>
      <w:r w:rsidR="00603179" w:rsidRPr="00752838">
        <w:rPr>
          <w:rFonts w:ascii="Trebuchet MS" w:hAnsi="Trebuchet MS"/>
          <w:i/>
          <w:sz w:val="27"/>
          <w:szCs w:val="27"/>
        </w:rPr>
        <w:t>un’importante questione di carattere generale</w:t>
      </w:r>
      <w:r w:rsidR="00D425C3" w:rsidRPr="00752838">
        <w:rPr>
          <w:rFonts w:ascii="Trebuchet MS" w:hAnsi="Trebuchet MS"/>
          <w:i/>
          <w:sz w:val="27"/>
          <w:szCs w:val="27"/>
        </w:rPr>
        <w:t>”</w:t>
      </w:r>
      <w:r w:rsidR="00D425C3" w:rsidRPr="00137D1E">
        <w:rPr>
          <w:rFonts w:ascii="Trebuchet MS" w:hAnsi="Trebuchet MS"/>
          <w:sz w:val="27"/>
          <w:szCs w:val="27"/>
        </w:rPr>
        <w:t xml:space="preserve"> (art. 43 Convenzione)</w:t>
      </w:r>
      <w:r w:rsidR="00E91A52" w:rsidRPr="00137D1E">
        <w:rPr>
          <w:rFonts w:ascii="Trebuchet MS" w:hAnsi="Trebuchet MS"/>
          <w:sz w:val="27"/>
          <w:szCs w:val="27"/>
        </w:rPr>
        <w:t>.</w:t>
      </w:r>
    </w:p>
    <w:p w:rsidR="00E91A52" w:rsidRPr="00137D1E" w:rsidRDefault="00927F5E" w:rsidP="00780A65">
      <w:pPr>
        <w:jc w:val="both"/>
        <w:rPr>
          <w:rFonts w:ascii="Trebuchet MS" w:hAnsi="Trebuchet MS"/>
          <w:sz w:val="27"/>
          <w:szCs w:val="27"/>
        </w:rPr>
      </w:pPr>
      <w:r>
        <w:rPr>
          <w:rFonts w:ascii="Trebuchet MS" w:hAnsi="Trebuchet MS"/>
          <w:sz w:val="27"/>
          <w:szCs w:val="27"/>
        </w:rPr>
        <w:t>Tornando al rinvio su istanza di parte, se esso</w:t>
      </w:r>
      <w:r w:rsidR="00E91A52" w:rsidRPr="00137D1E">
        <w:rPr>
          <w:rFonts w:ascii="Trebuchet MS" w:hAnsi="Trebuchet MS"/>
          <w:sz w:val="27"/>
          <w:szCs w:val="27"/>
        </w:rPr>
        <w:t xml:space="preserve"> </w:t>
      </w:r>
      <w:r w:rsidR="00603179" w:rsidRPr="00137D1E">
        <w:rPr>
          <w:rFonts w:ascii="Trebuchet MS" w:hAnsi="Trebuchet MS"/>
          <w:sz w:val="27"/>
          <w:szCs w:val="27"/>
        </w:rPr>
        <w:t xml:space="preserve">viene </w:t>
      </w:r>
      <w:r w:rsidR="00E91A52" w:rsidRPr="00137D1E">
        <w:rPr>
          <w:rFonts w:ascii="Trebuchet MS" w:hAnsi="Trebuchet MS"/>
          <w:sz w:val="27"/>
          <w:szCs w:val="27"/>
        </w:rPr>
        <w:t>accordato</w:t>
      </w:r>
      <w:r>
        <w:rPr>
          <w:rFonts w:ascii="Trebuchet MS" w:hAnsi="Trebuchet MS"/>
          <w:sz w:val="27"/>
          <w:szCs w:val="27"/>
        </w:rPr>
        <w:t>,</w:t>
      </w:r>
      <w:r w:rsidR="00E91A52" w:rsidRPr="00137D1E">
        <w:rPr>
          <w:rFonts w:ascii="Trebuchet MS" w:hAnsi="Trebuchet MS"/>
          <w:sz w:val="27"/>
          <w:szCs w:val="27"/>
        </w:rPr>
        <w:t xml:space="preserve"> </w:t>
      </w:r>
      <w:r w:rsidR="00603179" w:rsidRPr="00137D1E">
        <w:rPr>
          <w:rFonts w:ascii="Trebuchet MS" w:hAnsi="Trebuchet MS"/>
          <w:sz w:val="27"/>
          <w:szCs w:val="27"/>
        </w:rPr>
        <w:t>la</w:t>
      </w:r>
      <w:r w:rsidR="00E91A52" w:rsidRPr="00137D1E">
        <w:rPr>
          <w:rFonts w:ascii="Trebuchet MS" w:hAnsi="Trebuchet MS"/>
          <w:sz w:val="27"/>
          <w:szCs w:val="27"/>
        </w:rPr>
        <w:t xml:space="preserve"> pronuncia</w:t>
      </w:r>
      <w:r w:rsidR="00603179" w:rsidRPr="00137D1E">
        <w:rPr>
          <w:rFonts w:ascii="Trebuchet MS" w:hAnsi="Trebuchet MS"/>
          <w:sz w:val="27"/>
          <w:szCs w:val="27"/>
        </w:rPr>
        <w:t xml:space="preserve"> </w:t>
      </w:r>
      <w:r>
        <w:rPr>
          <w:rFonts w:ascii="Trebuchet MS" w:hAnsi="Trebuchet MS"/>
          <w:sz w:val="27"/>
          <w:szCs w:val="27"/>
        </w:rPr>
        <w:t>poi</w:t>
      </w:r>
      <w:r w:rsidR="00603179" w:rsidRPr="00137D1E">
        <w:rPr>
          <w:rFonts w:ascii="Trebuchet MS" w:hAnsi="Trebuchet MS"/>
          <w:sz w:val="27"/>
          <w:szCs w:val="27"/>
        </w:rPr>
        <w:t xml:space="preserve"> adottata </w:t>
      </w:r>
      <w:r w:rsidR="00E91A52" w:rsidRPr="00137D1E">
        <w:rPr>
          <w:rFonts w:ascii="Trebuchet MS" w:hAnsi="Trebuchet MS"/>
          <w:sz w:val="27"/>
          <w:szCs w:val="27"/>
        </w:rPr>
        <w:t>d</w:t>
      </w:r>
      <w:r w:rsidR="00603179" w:rsidRPr="00137D1E">
        <w:rPr>
          <w:rFonts w:ascii="Trebuchet MS" w:hAnsi="Trebuchet MS"/>
          <w:sz w:val="27"/>
          <w:szCs w:val="27"/>
        </w:rPr>
        <w:t>a</w:t>
      </w:r>
      <w:r w:rsidR="00E91A52" w:rsidRPr="00137D1E">
        <w:rPr>
          <w:rFonts w:ascii="Trebuchet MS" w:hAnsi="Trebuchet MS"/>
          <w:sz w:val="27"/>
          <w:szCs w:val="27"/>
        </w:rPr>
        <w:t xml:space="preserve">lla Grande Camera </w:t>
      </w:r>
      <w:r>
        <w:rPr>
          <w:rFonts w:ascii="Trebuchet MS" w:hAnsi="Trebuchet MS"/>
          <w:sz w:val="27"/>
          <w:szCs w:val="27"/>
        </w:rPr>
        <w:t>è</w:t>
      </w:r>
      <w:r w:rsidR="00603179" w:rsidRPr="00137D1E">
        <w:rPr>
          <w:rFonts w:ascii="Trebuchet MS" w:hAnsi="Trebuchet MS"/>
          <w:sz w:val="27"/>
          <w:szCs w:val="27"/>
        </w:rPr>
        <w:t xml:space="preserve"> </w:t>
      </w:r>
      <w:r w:rsidR="00E91A52" w:rsidRPr="00137D1E">
        <w:rPr>
          <w:rFonts w:ascii="Trebuchet MS" w:hAnsi="Trebuchet MS"/>
          <w:sz w:val="27"/>
          <w:szCs w:val="27"/>
        </w:rPr>
        <w:t>immediatamente</w:t>
      </w:r>
      <w:r w:rsidR="00603179" w:rsidRPr="00137D1E">
        <w:rPr>
          <w:rFonts w:ascii="Trebuchet MS" w:hAnsi="Trebuchet MS"/>
          <w:sz w:val="27"/>
          <w:szCs w:val="27"/>
        </w:rPr>
        <w:t xml:space="preserve"> </w:t>
      </w:r>
      <w:r w:rsidR="00E91A52" w:rsidRPr="00137D1E">
        <w:rPr>
          <w:rFonts w:ascii="Trebuchet MS" w:hAnsi="Trebuchet MS"/>
          <w:sz w:val="27"/>
          <w:szCs w:val="27"/>
        </w:rPr>
        <w:t>definitiva</w:t>
      </w:r>
      <w:r w:rsidR="00603179" w:rsidRPr="00137D1E">
        <w:rPr>
          <w:rFonts w:ascii="Trebuchet MS" w:hAnsi="Trebuchet MS"/>
          <w:sz w:val="27"/>
          <w:szCs w:val="27"/>
        </w:rPr>
        <w:t>.</w:t>
      </w:r>
    </w:p>
    <w:p w:rsidR="00E91A52" w:rsidRPr="00137D1E" w:rsidRDefault="00D425C3" w:rsidP="00780A65">
      <w:pPr>
        <w:jc w:val="both"/>
        <w:rPr>
          <w:rFonts w:ascii="Trebuchet MS" w:hAnsi="Trebuchet MS"/>
          <w:sz w:val="27"/>
          <w:szCs w:val="27"/>
        </w:rPr>
      </w:pPr>
      <w:r w:rsidRPr="00137D1E">
        <w:rPr>
          <w:rFonts w:ascii="Trebuchet MS" w:hAnsi="Trebuchet MS"/>
          <w:sz w:val="27"/>
          <w:szCs w:val="27"/>
        </w:rPr>
        <w:t>Le s</w:t>
      </w:r>
      <w:r w:rsidR="00E91A52" w:rsidRPr="00137D1E">
        <w:rPr>
          <w:rFonts w:ascii="Trebuchet MS" w:hAnsi="Trebuchet MS"/>
          <w:sz w:val="27"/>
          <w:szCs w:val="27"/>
        </w:rPr>
        <w:t xml:space="preserve">entenze di una </w:t>
      </w:r>
      <w:r w:rsidR="00CD3F04">
        <w:rPr>
          <w:rFonts w:ascii="Trebuchet MS" w:hAnsi="Trebuchet MS"/>
          <w:sz w:val="27"/>
          <w:szCs w:val="27"/>
        </w:rPr>
        <w:t>C</w:t>
      </w:r>
      <w:r w:rsidR="00E91A52" w:rsidRPr="00137D1E">
        <w:rPr>
          <w:rFonts w:ascii="Trebuchet MS" w:hAnsi="Trebuchet MS"/>
          <w:sz w:val="27"/>
          <w:szCs w:val="27"/>
        </w:rPr>
        <w:t>amera</w:t>
      </w:r>
      <w:r w:rsidRPr="00137D1E">
        <w:rPr>
          <w:rFonts w:ascii="Trebuchet MS" w:hAnsi="Trebuchet MS"/>
          <w:sz w:val="27"/>
          <w:szCs w:val="27"/>
        </w:rPr>
        <w:t xml:space="preserve"> sono definitive </w:t>
      </w:r>
      <w:r w:rsidR="00CD3F04">
        <w:rPr>
          <w:rFonts w:ascii="Trebuchet MS" w:hAnsi="Trebuchet MS"/>
          <w:sz w:val="27"/>
          <w:szCs w:val="27"/>
        </w:rPr>
        <w:t xml:space="preserve">anche </w:t>
      </w:r>
      <w:r w:rsidRPr="00137D1E">
        <w:rPr>
          <w:rFonts w:ascii="Trebuchet MS" w:hAnsi="Trebuchet MS"/>
          <w:sz w:val="27"/>
          <w:szCs w:val="27"/>
        </w:rPr>
        <w:t xml:space="preserve">prima dei tre mesi quando e dal momento in cui le </w:t>
      </w:r>
      <w:r w:rsidR="00E91A52" w:rsidRPr="00137D1E">
        <w:rPr>
          <w:rFonts w:ascii="Trebuchet MS" w:hAnsi="Trebuchet MS"/>
          <w:sz w:val="27"/>
          <w:szCs w:val="27"/>
        </w:rPr>
        <w:t xml:space="preserve">parti </w:t>
      </w:r>
      <w:r w:rsidRPr="00137D1E">
        <w:rPr>
          <w:rFonts w:ascii="Trebuchet MS" w:hAnsi="Trebuchet MS"/>
          <w:sz w:val="27"/>
          <w:szCs w:val="27"/>
        </w:rPr>
        <w:t xml:space="preserve">dichiarano </w:t>
      </w:r>
      <w:r w:rsidR="00E91A52" w:rsidRPr="00137D1E">
        <w:rPr>
          <w:rFonts w:ascii="Trebuchet MS" w:hAnsi="Trebuchet MS"/>
          <w:sz w:val="27"/>
          <w:szCs w:val="27"/>
        </w:rPr>
        <w:t>di non volere il rinvio</w:t>
      </w:r>
      <w:r w:rsidRPr="00137D1E">
        <w:rPr>
          <w:rFonts w:ascii="Trebuchet MS" w:hAnsi="Trebuchet MS"/>
          <w:sz w:val="27"/>
          <w:szCs w:val="27"/>
        </w:rPr>
        <w:t xml:space="preserve"> </w:t>
      </w:r>
      <w:r w:rsidR="00E91A52" w:rsidRPr="00137D1E">
        <w:rPr>
          <w:rFonts w:ascii="Trebuchet MS" w:hAnsi="Trebuchet MS"/>
          <w:sz w:val="27"/>
          <w:szCs w:val="27"/>
        </w:rPr>
        <w:t>alla Grande Camera o la richiesta</w:t>
      </w:r>
      <w:r w:rsidRPr="00137D1E">
        <w:rPr>
          <w:rFonts w:ascii="Trebuchet MS" w:hAnsi="Trebuchet MS"/>
          <w:sz w:val="27"/>
          <w:szCs w:val="27"/>
        </w:rPr>
        <w:t xml:space="preserve"> </w:t>
      </w:r>
      <w:r w:rsidR="00E91A52" w:rsidRPr="00137D1E">
        <w:rPr>
          <w:rFonts w:ascii="Trebuchet MS" w:hAnsi="Trebuchet MS"/>
          <w:sz w:val="27"/>
          <w:szCs w:val="27"/>
        </w:rPr>
        <w:t>di rinvio</w:t>
      </w:r>
      <w:r w:rsidRPr="00137D1E">
        <w:rPr>
          <w:rFonts w:ascii="Trebuchet MS" w:hAnsi="Trebuchet MS"/>
          <w:sz w:val="27"/>
          <w:szCs w:val="27"/>
        </w:rPr>
        <w:t xml:space="preserve"> viene respinta.</w:t>
      </w:r>
    </w:p>
    <w:p w:rsidR="00114FBC" w:rsidRPr="00137D1E" w:rsidRDefault="00D425C3" w:rsidP="00780A65">
      <w:pPr>
        <w:jc w:val="both"/>
        <w:rPr>
          <w:rFonts w:ascii="Trebuchet MS" w:hAnsi="Trebuchet MS"/>
          <w:sz w:val="27"/>
          <w:szCs w:val="27"/>
        </w:rPr>
      </w:pPr>
      <w:r w:rsidRPr="00137D1E">
        <w:rPr>
          <w:rFonts w:ascii="Trebuchet MS" w:hAnsi="Trebuchet MS"/>
          <w:sz w:val="27"/>
          <w:szCs w:val="27"/>
        </w:rPr>
        <w:t>I ricors</w:t>
      </w:r>
      <w:r w:rsidR="00CD3F04">
        <w:rPr>
          <w:rFonts w:ascii="Trebuchet MS" w:hAnsi="Trebuchet MS"/>
          <w:sz w:val="27"/>
          <w:szCs w:val="27"/>
        </w:rPr>
        <w:t xml:space="preserve">i, sia che vengano </w:t>
      </w:r>
      <w:r w:rsidRPr="00137D1E">
        <w:rPr>
          <w:rFonts w:ascii="Trebuchet MS" w:hAnsi="Trebuchet MS"/>
          <w:sz w:val="27"/>
          <w:szCs w:val="27"/>
        </w:rPr>
        <w:t>propost</w:t>
      </w:r>
      <w:r w:rsidR="00CD3F04">
        <w:rPr>
          <w:rFonts w:ascii="Trebuchet MS" w:hAnsi="Trebuchet MS"/>
          <w:sz w:val="27"/>
          <w:szCs w:val="27"/>
        </w:rPr>
        <w:t>i</w:t>
      </w:r>
      <w:r w:rsidRPr="00137D1E">
        <w:rPr>
          <w:rFonts w:ascii="Trebuchet MS" w:hAnsi="Trebuchet MS"/>
          <w:sz w:val="27"/>
          <w:szCs w:val="27"/>
        </w:rPr>
        <w:t xml:space="preserve"> </w:t>
      </w:r>
      <w:r w:rsidR="00CD3F04">
        <w:rPr>
          <w:rFonts w:ascii="Trebuchet MS" w:hAnsi="Trebuchet MS"/>
          <w:sz w:val="27"/>
          <w:szCs w:val="27"/>
        </w:rPr>
        <w:t>da uno</w:t>
      </w:r>
      <w:r w:rsidRPr="00137D1E">
        <w:rPr>
          <w:rFonts w:ascii="Trebuchet MS" w:hAnsi="Trebuchet MS"/>
          <w:sz w:val="27"/>
          <w:szCs w:val="27"/>
        </w:rPr>
        <w:t xml:space="preserve"> Stato contraente (c.d. ricorso interstatale) sia </w:t>
      </w:r>
      <w:r w:rsidR="00CD3F04">
        <w:rPr>
          <w:rFonts w:ascii="Trebuchet MS" w:hAnsi="Trebuchet MS"/>
          <w:sz w:val="27"/>
          <w:szCs w:val="27"/>
        </w:rPr>
        <w:t>che vengano invece proposti</w:t>
      </w:r>
      <w:r w:rsidRPr="00137D1E">
        <w:rPr>
          <w:rFonts w:ascii="Trebuchet MS" w:hAnsi="Trebuchet MS"/>
          <w:sz w:val="27"/>
          <w:szCs w:val="27"/>
        </w:rPr>
        <w:t xml:space="preserve"> da una persona fisica, da un’organizzazione non governativa o da un gruppo di individui (c.d. ricorso individuale)</w:t>
      </w:r>
      <w:r w:rsidR="00CD3F04">
        <w:rPr>
          <w:rFonts w:ascii="Trebuchet MS" w:hAnsi="Trebuchet MS"/>
          <w:sz w:val="27"/>
          <w:szCs w:val="27"/>
        </w:rPr>
        <w:t>, comunque sono</w:t>
      </w:r>
      <w:r w:rsidRPr="00137D1E">
        <w:rPr>
          <w:rFonts w:ascii="Trebuchet MS" w:hAnsi="Trebuchet MS"/>
          <w:sz w:val="27"/>
          <w:szCs w:val="27"/>
        </w:rPr>
        <w:t xml:space="preserve"> propost</w:t>
      </w:r>
      <w:r w:rsidR="00CD3F04">
        <w:rPr>
          <w:rFonts w:ascii="Trebuchet MS" w:hAnsi="Trebuchet MS"/>
          <w:sz w:val="27"/>
          <w:szCs w:val="27"/>
        </w:rPr>
        <w:t>i</w:t>
      </w:r>
      <w:r w:rsidRPr="00137D1E">
        <w:rPr>
          <w:rFonts w:ascii="Trebuchet MS" w:hAnsi="Trebuchet MS"/>
          <w:sz w:val="27"/>
          <w:szCs w:val="27"/>
        </w:rPr>
        <w:t xml:space="preserve"> nei confronti di un</w:t>
      </w:r>
      <w:r w:rsidR="00A67210">
        <w:rPr>
          <w:rFonts w:ascii="Trebuchet MS" w:hAnsi="Trebuchet MS"/>
          <w:sz w:val="27"/>
          <w:szCs w:val="27"/>
        </w:rPr>
        <w:t>o</w:t>
      </w:r>
      <w:r w:rsidRPr="00137D1E">
        <w:rPr>
          <w:rFonts w:ascii="Trebuchet MS" w:hAnsi="Trebuchet MS"/>
          <w:sz w:val="27"/>
          <w:szCs w:val="27"/>
        </w:rPr>
        <w:t xml:space="preserve"> Stato contraente</w:t>
      </w:r>
      <w:r w:rsidR="00CD3F04">
        <w:rPr>
          <w:rFonts w:ascii="Trebuchet MS" w:hAnsi="Trebuchet MS"/>
          <w:sz w:val="27"/>
          <w:szCs w:val="27"/>
        </w:rPr>
        <w:t>, che poi sarà eventualmente tenuto ad eseguire la sentenza;</w:t>
      </w:r>
      <w:r w:rsidRPr="00137D1E">
        <w:rPr>
          <w:rFonts w:ascii="Trebuchet MS" w:hAnsi="Trebuchet MS"/>
          <w:sz w:val="27"/>
          <w:szCs w:val="27"/>
        </w:rPr>
        <w:t xml:space="preserve"> non sono dunque ammessi atti diretti contro privati (persone fisiche od istituzioni).</w:t>
      </w:r>
    </w:p>
    <w:p w:rsidR="00455B40" w:rsidRPr="00137D1E" w:rsidRDefault="00455B40" w:rsidP="00780A65">
      <w:pPr>
        <w:jc w:val="both"/>
        <w:rPr>
          <w:rFonts w:ascii="Trebuchet MS" w:hAnsi="Trebuchet MS"/>
          <w:sz w:val="27"/>
          <w:szCs w:val="27"/>
        </w:rPr>
      </w:pPr>
      <w:r w:rsidRPr="00137D1E">
        <w:rPr>
          <w:rFonts w:ascii="Trebuchet MS" w:hAnsi="Trebuchet MS"/>
          <w:sz w:val="27"/>
          <w:szCs w:val="27"/>
        </w:rPr>
        <w:t>Questo si ricollega proprio alla natura della Convenzione, che obbliga unicamente gli Stati firmatari, ed agli effetti delle sentenze emesse dalla Corte di Strasburgo.</w:t>
      </w:r>
    </w:p>
    <w:p w:rsidR="005A1C4A" w:rsidRPr="00137D1E" w:rsidRDefault="00CD3F04" w:rsidP="00780A65">
      <w:pPr>
        <w:jc w:val="both"/>
        <w:rPr>
          <w:rFonts w:ascii="Trebuchet MS" w:hAnsi="Trebuchet MS"/>
          <w:sz w:val="27"/>
          <w:szCs w:val="27"/>
        </w:rPr>
      </w:pPr>
      <w:r>
        <w:rPr>
          <w:rFonts w:ascii="Trebuchet MS" w:hAnsi="Trebuchet MS"/>
          <w:sz w:val="27"/>
          <w:szCs w:val="27"/>
        </w:rPr>
        <w:t>E</w:t>
      </w:r>
      <w:r w:rsidR="005A1C4A" w:rsidRPr="00137D1E">
        <w:rPr>
          <w:rFonts w:ascii="Trebuchet MS" w:hAnsi="Trebuchet MS"/>
          <w:sz w:val="27"/>
          <w:szCs w:val="27"/>
        </w:rPr>
        <w:t xml:space="preserve">siste un organo specifico che si occupa della procedura relativa al controllo dell’esecuzione delle </w:t>
      </w:r>
      <w:r>
        <w:rPr>
          <w:rFonts w:ascii="Trebuchet MS" w:hAnsi="Trebuchet MS"/>
          <w:sz w:val="27"/>
          <w:szCs w:val="27"/>
        </w:rPr>
        <w:t>s</w:t>
      </w:r>
      <w:r w:rsidR="005A1C4A" w:rsidRPr="00137D1E">
        <w:rPr>
          <w:rFonts w:ascii="Trebuchet MS" w:hAnsi="Trebuchet MS"/>
          <w:sz w:val="27"/>
          <w:szCs w:val="27"/>
        </w:rPr>
        <w:t>entenze (ex art. 46 della Convenzione)</w:t>
      </w:r>
      <w:r>
        <w:rPr>
          <w:rFonts w:ascii="Trebuchet MS" w:hAnsi="Trebuchet MS"/>
          <w:sz w:val="27"/>
          <w:szCs w:val="27"/>
        </w:rPr>
        <w:t xml:space="preserve">: esso </w:t>
      </w:r>
      <w:r w:rsidR="005A1C4A" w:rsidRPr="00137D1E">
        <w:rPr>
          <w:rFonts w:ascii="Trebuchet MS" w:hAnsi="Trebuchet MS"/>
          <w:sz w:val="27"/>
          <w:szCs w:val="27"/>
        </w:rPr>
        <w:t>è il Comitato dei ministri, un organo politico intergovernativo.</w:t>
      </w:r>
    </w:p>
    <w:p w:rsidR="005A1C4A" w:rsidRDefault="00CD3F04" w:rsidP="00780A65">
      <w:pPr>
        <w:jc w:val="both"/>
        <w:rPr>
          <w:rFonts w:ascii="Trebuchet MS" w:hAnsi="Trebuchet MS"/>
          <w:sz w:val="27"/>
          <w:szCs w:val="27"/>
        </w:rPr>
      </w:pPr>
      <w:r>
        <w:rPr>
          <w:rFonts w:ascii="Trebuchet MS" w:hAnsi="Trebuchet MS"/>
          <w:sz w:val="27"/>
          <w:szCs w:val="27"/>
        </w:rPr>
        <w:t xml:space="preserve">Attraverso </w:t>
      </w:r>
      <w:r w:rsidR="005A1C4A" w:rsidRPr="00137D1E">
        <w:rPr>
          <w:rFonts w:ascii="Trebuchet MS" w:hAnsi="Trebuchet MS"/>
          <w:sz w:val="27"/>
          <w:szCs w:val="27"/>
        </w:rPr>
        <w:t>l’apposito Servizio incardinato presso il suo Segretariato e</w:t>
      </w:r>
      <w:r>
        <w:rPr>
          <w:rFonts w:ascii="Trebuchet MS" w:hAnsi="Trebuchet MS"/>
          <w:sz w:val="27"/>
          <w:szCs w:val="27"/>
        </w:rPr>
        <w:t xml:space="preserve"> per </w:t>
      </w:r>
      <w:r w:rsidR="005A1C4A" w:rsidRPr="00137D1E">
        <w:rPr>
          <w:rFonts w:ascii="Trebuchet MS" w:hAnsi="Trebuchet MS"/>
          <w:sz w:val="27"/>
          <w:szCs w:val="27"/>
        </w:rPr>
        <w:t xml:space="preserve">mezzo di specifiche Raccomandazioni ai Paesi membri, </w:t>
      </w:r>
      <w:r>
        <w:rPr>
          <w:rFonts w:ascii="Trebuchet MS" w:hAnsi="Trebuchet MS"/>
          <w:sz w:val="27"/>
          <w:szCs w:val="27"/>
        </w:rPr>
        <w:t xml:space="preserve">detto organo </w:t>
      </w:r>
      <w:r w:rsidR="005A1C4A" w:rsidRPr="00137D1E">
        <w:rPr>
          <w:rFonts w:ascii="Trebuchet MS" w:hAnsi="Trebuchet MS"/>
          <w:sz w:val="27"/>
          <w:szCs w:val="27"/>
        </w:rPr>
        <w:t xml:space="preserve">è chiamato a verificare che siano stati rimossi gli effetti della violazione persistenti sulla persona che li ha denunciati; che </w:t>
      </w:r>
      <w:r w:rsidR="005A1C4A" w:rsidRPr="00137D1E">
        <w:rPr>
          <w:rFonts w:ascii="Trebuchet MS" w:hAnsi="Trebuchet MS"/>
          <w:sz w:val="27"/>
          <w:szCs w:val="27"/>
        </w:rPr>
        <w:lastRenderedPageBreak/>
        <w:t>non si prospetti la possibilità che vengano ripetute violazioni analoghe da parte dello Stato condannato e, ove lo ritenga opportuno, può chiedere che quest’ultimo adotti misure finalizzate ad eliminare questo pericolo.</w:t>
      </w:r>
    </w:p>
    <w:p w:rsidR="00752838" w:rsidRPr="00752838" w:rsidRDefault="00752838" w:rsidP="00752838">
      <w:pPr>
        <w:jc w:val="both"/>
        <w:rPr>
          <w:rFonts w:ascii="Trebuchet MS" w:hAnsi="Trebuchet MS"/>
          <w:sz w:val="27"/>
          <w:szCs w:val="27"/>
        </w:rPr>
      </w:pPr>
      <w:r w:rsidRPr="00752838">
        <w:rPr>
          <w:rFonts w:ascii="Trebuchet MS" w:hAnsi="Trebuchet MS"/>
          <w:sz w:val="27"/>
          <w:szCs w:val="27"/>
        </w:rPr>
        <w:t xml:space="preserve">Il Dipartimento per l’esecuzione delle sentenze della Corte </w:t>
      </w:r>
      <w:proofErr w:type="spellStart"/>
      <w:r w:rsidRPr="00752838">
        <w:rPr>
          <w:rFonts w:ascii="Trebuchet MS" w:hAnsi="Trebuchet MS"/>
          <w:sz w:val="27"/>
          <w:szCs w:val="27"/>
        </w:rPr>
        <w:t>Edu</w:t>
      </w:r>
      <w:proofErr w:type="spellEnd"/>
      <w:r w:rsidRPr="00752838">
        <w:rPr>
          <w:rFonts w:ascii="Trebuchet MS" w:hAnsi="Trebuchet MS"/>
          <w:sz w:val="27"/>
          <w:szCs w:val="27"/>
        </w:rPr>
        <w:t xml:space="preserve"> assicura un follow-up stretto e continuo dei progressi nell’esecuzione di tutti i casi. </w:t>
      </w:r>
    </w:p>
    <w:p w:rsidR="00752838" w:rsidRPr="00137D1E" w:rsidRDefault="00752838" w:rsidP="00752838">
      <w:pPr>
        <w:jc w:val="both"/>
        <w:rPr>
          <w:rFonts w:ascii="Trebuchet MS" w:hAnsi="Trebuchet MS"/>
          <w:sz w:val="27"/>
          <w:szCs w:val="27"/>
        </w:rPr>
      </w:pPr>
      <w:r w:rsidRPr="00752838">
        <w:rPr>
          <w:rFonts w:ascii="Trebuchet MS" w:hAnsi="Trebuchet MS"/>
          <w:sz w:val="27"/>
          <w:szCs w:val="27"/>
        </w:rPr>
        <w:t xml:space="preserve">La sua attività del Dipartimento si rivolge, da un lato, al Comitato dei ministri assistendolo il Comitato, in particolare, nella valutazione delle misure adottate e/o previste dagli Stati per attuare le sentenze della Corte </w:t>
      </w:r>
      <w:proofErr w:type="spellStart"/>
      <w:r w:rsidRPr="00752838">
        <w:rPr>
          <w:rFonts w:ascii="Trebuchet MS" w:hAnsi="Trebuchet MS"/>
          <w:sz w:val="27"/>
          <w:szCs w:val="27"/>
        </w:rPr>
        <w:t>Edu</w:t>
      </w:r>
      <w:proofErr w:type="spellEnd"/>
      <w:r w:rsidRPr="00752838">
        <w:rPr>
          <w:rFonts w:ascii="Trebuchet MS" w:hAnsi="Trebuchet MS"/>
          <w:sz w:val="27"/>
          <w:szCs w:val="27"/>
        </w:rPr>
        <w:t xml:space="preserve"> e nell’individuazione delle risposte da dare e, dall’altro, ai governi degli Stati convenuti.</w:t>
      </w:r>
    </w:p>
    <w:p w:rsidR="005A1C4A" w:rsidRDefault="005A1C4A" w:rsidP="00780A65">
      <w:pPr>
        <w:jc w:val="both"/>
        <w:rPr>
          <w:rFonts w:ascii="Trebuchet MS" w:hAnsi="Trebuchet MS"/>
          <w:sz w:val="27"/>
          <w:szCs w:val="27"/>
        </w:rPr>
      </w:pPr>
      <w:r w:rsidRPr="00137D1E">
        <w:rPr>
          <w:rFonts w:ascii="Trebuchet MS" w:hAnsi="Trebuchet MS"/>
          <w:sz w:val="27"/>
          <w:szCs w:val="27"/>
        </w:rPr>
        <w:t xml:space="preserve">Il sistema di controllo del Comitato si fonda sul concetto della sorveglianza continua: lo Stato contro cui è emanata una </w:t>
      </w:r>
      <w:r w:rsidR="00CD3F04">
        <w:rPr>
          <w:rFonts w:ascii="Trebuchet MS" w:hAnsi="Trebuchet MS"/>
          <w:sz w:val="27"/>
          <w:szCs w:val="27"/>
        </w:rPr>
        <w:t>s</w:t>
      </w:r>
      <w:r w:rsidRPr="00137D1E">
        <w:rPr>
          <w:rFonts w:ascii="Trebuchet MS" w:hAnsi="Trebuchet MS"/>
          <w:sz w:val="27"/>
          <w:szCs w:val="27"/>
        </w:rPr>
        <w:t>entenza di condanna è tenuto costantemente sotto controllo dal Comitato fin tanto che esso – lo Stato - non adempia a quanto deciso dalla Corte.</w:t>
      </w:r>
    </w:p>
    <w:p w:rsidR="007D59E3" w:rsidRPr="007D59E3" w:rsidRDefault="007D59E3" w:rsidP="007D59E3">
      <w:pPr>
        <w:jc w:val="both"/>
        <w:rPr>
          <w:rFonts w:ascii="Trebuchet MS" w:hAnsi="Trebuchet MS"/>
          <w:sz w:val="27"/>
          <w:szCs w:val="27"/>
        </w:rPr>
      </w:pPr>
      <w:r w:rsidRPr="007D59E3">
        <w:rPr>
          <w:rFonts w:ascii="Trebuchet MS" w:hAnsi="Trebuchet MS"/>
          <w:sz w:val="27"/>
          <w:szCs w:val="27"/>
        </w:rPr>
        <w:t xml:space="preserve">Il principio di sussidiarietà, vigente fra lo Stato e la realtà stessa della Convenzione, è applicato anche alla fase dell’esecuzione. Invero, è lo Stato a dover individuare, </w:t>
      </w:r>
      <w:r w:rsidRPr="00752838">
        <w:rPr>
          <w:rFonts w:ascii="Trebuchet MS" w:hAnsi="Trebuchet MS"/>
          <w:i/>
          <w:sz w:val="27"/>
          <w:szCs w:val="27"/>
        </w:rPr>
        <w:t>in primis</w:t>
      </w:r>
      <w:r w:rsidRPr="007D59E3">
        <w:rPr>
          <w:rFonts w:ascii="Trebuchet MS" w:hAnsi="Trebuchet MS"/>
          <w:sz w:val="27"/>
          <w:szCs w:val="27"/>
        </w:rPr>
        <w:t xml:space="preserve">, le misure necessarie al fine di conformarsi a quanto stabilito dalla Corte. </w:t>
      </w:r>
      <w:r>
        <w:rPr>
          <w:rFonts w:ascii="Trebuchet MS" w:hAnsi="Trebuchet MS"/>
          <w:sz w:val="27"/>
          <w:szCs w:val="27"/>
        </w:rPr>
        <w:t>A</w:t>
      </w:r>
      <w:r w:rsidRPr="007D59E3">
        <w:rPr>
          <w:rFonts w:ascii="Trebuchet MS" w:hAnsi="Trebuchet MS"/>
          <w:sz w:val="27"/>
          <w:szCs w:val="27"/>
        </w:rPr>
        <w:t xml:space="preserve"> tal fine, infatti, lo stesso dovrà presentare dei piani e/o bilanci d’azione con i quali informerà il Comitato delle misure progettate e predisposte per dar piena esecuzione ed attuazione alle sentenze dei Giudici di Strasburgo.</w:t>
      </w:r>
    </w:p>
    <w:p w:rsidR="007D59E3" w:rsidRPr="007D59E3" w:rsidRDefault="007D59E3" w:rsidP="007D59E3">
      <w:pPr>
        <w:jc w:val="both"/>
        <w:rPr>
          <w:rFonts w:ascii="Trebuchet MS" w:hAnsi="Trebuchet MS"/>
          <w:sz w:val="27"/>
          <w:szCs w:val="27"/>
        </w:rPr>
      </w:pPr>
      <w:r w:rsidRPr="007D59E3">
        <w:rPr>
          <w:rFonts w:ascii="Trebuchet MS" w:hAnsi="Trebuchet MS"/>
          <w:sz w:val="27"/>
          <w:szCs w:val="27"/>
        </w:rPr>
        <w:lastRenderedPageBreak/>
        <w:t>Di contro, e solo qualora se ne presenti la necessità, il Comitato si impegnerà a prestare allo Stato una collaborazione sulla predisposizione e/o messa in pratica dei piani di azione (con anche, per esempio, pareri di esperti o programmi di cooperazione).</w:t>
      </w:r>
    </w:p>
    <w:p w:rsidR="007D59E3" w:rsidRPr="007D59E3" w:rsidRDefault="007D59E3" w:rsidP="007D59E3">
      <w:pPr>
        <w:jc w:val="both"/>
        <w:rPr>
          <w:rFonts w:ascii="Trebuchet MS" w:hAnsi="Trebuchet MS"/>
          <w:sz w:val="27"/>
          <w:szCs w:val="27"/>
        </w:rPr>
      </w:pPr>
      <w:r>
        <w:rPr>
          <w:rFonts w:ascii="Trebuchet MS" w:hAnsi="Trebuchet MS"/>
          <w:sz w:val="27"/>
          <w:szCs w:val="27"/>
        </w:rPr>
        <w:t>E</w:t>
      </w:r>
      <w:r w:rsidRPr="007D59E3">
        <w:rPr>
          <w:rFonts w:ascii="Trebuchet MS" w:hAnsi="Trebuchet MS"/>
          <w:sz w:val="27"/>
          <w:szCs w:val="27"/>
        </w:rPr>
        <w:t>ccezionalmente, per aiutare lo Stato convenuto ad assolvere alle sue obbligazioni ex art.</w:t>
      </w:r>
      <w:r>
        <w:rPr>
          <w:rFonts w:ascii="Trebuchet MS" w:hAnsi="Trebuchet MS"/>
          <w:sz w:val="27"/>
          <w:szCs w:val="27"/>
        </w:rPr>
        <w:t xml:space="preserve"> </w:t>
      </w:r>
      <w:r w:rsidRPr="007D59E3">
        <w:rPr>
          <w:rFonts w:ascii="Trebuchet MS" w:hAnsi="Trebuchet MS"/>
          <w:sz w:val="27"/>
          <w:szCs w:val="27"/>
        </w:rPr>
        <w:t xml:space="preserve">46 </w:t>
      </w:r>
      <w:proofErr w:type="spellStart"/>
      <w:r w:rsidR="00D12EAC">
        <w:rPr>
          <w:rFonts w:ascii="Trebuchet MS" w:hAnsi="Trebuchet MS"/>
          <w:sz w:val="27"/>
          <w:szCs w:val="27"/>
        </w:rPr>
        <w:t>Cedu</w:t>
      </w:r>
      <w:proofErr w:type="spellEnd"/>
      <w:r w:rsidRPr="007D59E3">
        <w:rPr>
          <w:rFonts w:ascii="Trebuchet MS" w:hAnsi="Trebuchet MS"/>
          <w:sz w:val="27"/>
          <w:szCs w:val="27"/>
        </w:rPr>
        <w:t>, la Corte può indicare i tipi di misure da adottare per far cessare la violazione strutturale che ha constatato. In questo contesto, può formulare una pluralità di opzioni la cui scelta e realizzazione restano affidate alla discrezionalità dello Stato</w:t>
      </w:r>
      <w:r>
        <w:rPr>
          <w:rFonts w:ascii="Trebuchet MS" w:hAnsi="Trebuchet MS"/>
          <w:sz w:val="27"/>
          <w:szCs w:val="27"/>
        </w:rPr>
        <w:t>.</w:t>
      </w:r>
    </w:p>
    <w:p w:rsidR="007D59E3" w:rsidRPr="007D59E3" w:rsidRDefault="007D59E3" w:rsidP="007D59E3">
      <w:pPr>
        <w:jc w:val="both"/>
        <w:rPr>
          <w:rFonts w:ascii="Trebuchet MS" w:hAnsi="Trebuchet MS"/>
          <w:sz w:val="27"/>
          <w:szCs w:val="27"/>
        </w:rPr>
      </w:pPr>
      <w:r w:rsidRPr="007D59E3">
        <w:rPr>
          <w:rFonts w:ascii="Trebuchet MS" w:hAnsi="Trebuchet MS"/>
          <w:sz w:val="27"/>
          <w:szCs w:val="27"/>
        </w:rPr>
        <w:t xml:space="preserve">Talora, però, </w:t>
      </w:r>
      <w:proofErr w:type="spellStart"/>
      <w:r w:rsidRPr="007D59E3">
        <w:rPr>
          <w:rFonts w:ascii="Trebuchet MS" w:hAnsi="Trebuchet MS"/>
          <w:sz w:val="27"/>
          <w:szCs w:val="27"/>
        </w:rPr>
        <w:t>allorchè</w:t>
      </w:r>
      <w:proofErr w:type="spellEnd"/>
      <w:r w:rsidRPr="007D59E3">
        <w:rPr>
          <w:rFonts w:ascii="Trebuchet MS" w:hAnsi="Trebuchet MS"/>
          <w:sz w:val="27"/>
          <w:szCs w:val="27"/>
        </w:rPr>
        <w:t xml:space="preserve"> la natura stessa della violazione constatata non offre in realtà alcuna scelta tra diverse misure astrattamente suscettibili di porvi rimedio, la Corte può decidere di indicare una sola misura.</w:t>
      </w:r>
    </w:p>
    <w:p w:rsidR="007D59E3" w:rsidRPr="007D59E3" w:rsidRDefault="007D59E3" w:rsidP="007D59E3">
      <w:pPr>
        <w:jc w:val="both"/>
        <w:rPr>
          <w:rFonts w:ascii="Trebuchet MS" w:hAnsi="Trebuchet MS"/>
          <w:sz w:val="27"/>
          <w:szCs w:val="27"/>
        </w:rPr>
      </w:pPr>
      <w:r w:rsidRPr="007D59E3">
        <w:rPr>
          <w:rFonts w:ascii="Trebuchet MS" w:hAnsi="Trebuchet MS"/>
          <w:sz w:val="27"/>
          <w:szCs w:val="27"/>
        </w:rPr>
        <w:t xml:space="preserve">Questo accade quando all’interno di una sentenza sono presenti, oltre che le c.d. misure individuali necessarie al caso concreto, anche le dovute c.d. misure generali. </w:t>
      </w:r>
    </w:p>
    <w:p w:rsidR="007D59E3" w:rsidRDefault="007D59E3" w:rsidP="007D59E3">
      <w:pPr>
        <w:jc w:val="both"/>
        <w:rPr>
          <w:rFonts w:ascii="Trebuchet MS" w:hAnsi="Trebuchet MS"/>
          <w:sz w:val="27"/>
          <w:szCs w:val="27"/>
        </w:rPr>
      </w:pPr>
      <w:r w:rsidRPr="007D59E3">
        <w:rPr>
          <w:rFonts w:ascii="Trebuchet MS" w:hAnsi="Trebuchet MS"/>
          <w:sz w:val="27"/>
          <w:szCs w:val="27"/>
        </w:rPr>
        <w:t>Nel dettaglio, le misure individuali mirano tanto a porre fine alla violazione della Convenzione constatata dalla Corte E.D.U.,</w:t>
      </w:r>
      <w:r w:rsidR="00D12EAC">
        <w:rPr>
          <w:rFonts w:ascii="Trebuchet MS" w:hAnsi="Trebuchet MS"/>
          <w:sz w:val="27"/>
          <w:szCs w:val="27"/>
        </w:rPr>
        <w:t xml:space="preserve"> </w:t>
      </w:r>
      <w:r w:rsidRPr="007D59E3">
        <w:rPr>
          <w:rFonts w:ascii="Trebuchet MS" w:hAnsi="Trebuchet MS"/>
          <w:sz w:val="27"/>
          <w:szCs w:val="27"/>
        </w:rPr>
        <w:t xml:space="preserve">quanto ad assicurare al ricorrente la </w:t>
      </w:r>
      <w:proofErr w:type="spellStart"/>
      <w:r w:rsidRPr="00D12EAC">
        <w:rPr>
          <w:rFonts w:ascii="Trebuchet MS" w:hAnsi="Trebuchet MS"/>
          <w:i/>
          <w:sz w:val="27"/>
          <w:szCs w:val="27"/>
        </w:rPr>
        <w:t>restitutio</w:t>
      </w:r>
      <w:proofErr w:type="spellEnd"/>
      <w:r w:rsidRPr="00D12EAC">
        <w:rPr>
          <w:rFonts w:ascii="Trebuchet MS" w:hAnsi="Trebuchet MS"/>
          <w:i/>
          <w:sz w:val="27"/>
          <w:szCs w:val="27"/>
        </w:rPr>
        <w:t xml:space="preserve"> in </w:t>
      </w:r>
      <w:proofErr w:type="spellStart"/>
      <w:r w:rsidRPr="00D12EAC">
        <w:rPr>
          <w:rFonts w:ascii="Trebuchet MS" w:hAnsi="Trebuchet MS"/>
          <w:i/>
          <w:sz w:val="27"/>
          <w:szCs w:val="27"/>
        </w:rPr>
        <w:t>integrum</w:t>
      </w:r>
      <w:proofErr w:type="spellEnd"/>
      <w:r w:rsidRPr="007D59E3">
        <w:rPr>
          <w:rFonts w:ascii="Trebuchet MS" w:hAnsi="Trebuchet MS"/>
          <w:sz w:val="27"/>
          <w:szCs w:val="27"/>
        </w:rPr>
        <w:t xml:space="preserve"> - attraverso l’eliminazione delle conseguenze di tale violazione. </w:t>
      </w:r>
    </w:p>
    <w:p w:rsidR="007D59E3" w:rsidRDefault="007D59E3" w:rsidP="007D59E3">
      <w:pPr>
        <w:jc w:val="both"/>
        <w:rPr>
          <w:rFonts w:ascii="Trebuchet MS" w:hAnsi="Trebuchet MS"/>
          <w:sz w:val="27"/>
          <w:szCs w:val="27"/>
        </w:rPr>
      </w:pPr>
      <w:r>
        <w:rPr>
          <w:rFonts w:ascii="Trebuchet MS" w:hAnsi="Trebuchet MS"/>
          <w:sz w:val="27"/>
          <w:szCs w:val="27"/>
        </w:rPr>
        <w:t>In proposito deve considerarsi che l</w:t>
      </w:r>
      <w:r w:rsidRPr="007D59E3">
        <w:rPr>
          <w:rFonts w:ascii="Trebuchet MS" w:hAnsi="Trebuchet MS"/>
          <w:sz w:val="27"/>
          <w:szCs w:val="27"/>
        </w:rPr>
        <w:t xml:space="preserve">'art. 46 va letto in combinazione con l'art. 41 della CEDU, a norma del quale, </w:t>
      </w:r>
      <w:r w:rsidRPr="003D395D">
        <w:rPr>
          <w:rFonts w:ascii="Trebuchet MS" w:hAnsi="Trebuchet MS"/>
          <w:i/>
          <w:sz w:val="27"/>
          <w:szCs w:val="27"/>
        </w:rPr>
        <w:t xml:space="preserve">“se la Corte dichiara che vi è stata violazione della Convenzione o dei suoi Protocolli e se il diritto interno dell'Alta parte contraente non permette che in modo imperfetto di rimuovere le conseguenze di tale violazione, la </w:t>
      </w:r>
      <w:r w:rsidRPr="003D395D">
        <w:rPr>
          <w:rFonts w:ascii="Trebuchet MS" w:hAnsi="Trebuchet MS"/>
          <w:i/>
          <w:sz w:val="27"/>
          <w:szCs w:val="27"/>
        </w:rPr>
        <w:lastRenderedPageBreak/>
        <w:t>Corte accorda, se del caso, un'equa soddisfazione alla parte lesa”</w:t>
      </w:r>
      <w:r>
        <w:rPr>
          <w:rFonts w:ascii="Trebuchet MS" w:hAnsi="Trebuchet MS"/>
          <w:sz w:val="27"/>
          <w:szCs w:val="27"/>
        </w:rPr>
        <w:t xml:space="preserve">. Dal richiamato </w:t>
      </w:r>
      <w:r w:rsidRPr="007D59E3">
        <w:rPr>
          <w:rFonts w:ascii="Trebuchet MS" w:hAnsi="Trebuchet MS"/>
          <w:sz w:val="27"/>
          <w:szCs w:val="27"/>
        </w:rPr>
        <w:t xml:space="preserve">art. 41 della Convenzione si ricava il favore per </w:t>
      </w:r>
      <w:proofErr w:type="gramStart"/>
      <w:r w:rsidRPr="007D59E3">
        <w:rPr>
          <w:rFonts w:ascii="Trebuchet MS" w:hAnsi="Trebuchet MS"/>
          <w:sz w:val="27"/>
          <w:szCs w:val="27"/>
        </w:rPr>
        <w:t>la</w:t>
      </w:r>
      <w:r w:rsidR="003D395D">
        <w:rPr>
          <w:rFonts w:ascii="Trebuchet MS" w:hAnsi="Trebuchet MS"/>
          <w:sz w:val="27"/>
          <w:szCs w:val="27"/>
        </w:rPr>
        <w:t xml:space="preserve"> </w:t>
      </w:r>
      <w:r w:rsidRPr="007D59E3">
        <w:rPr>
          <w:rFonts w:ascii="Trebuchet MS" w:hAnsi="Trebuchet MS"/>
          <w:i/>
          <w:sz w:val="27"/>
          <w:szCs w:val="27"/>
        </w:rPr>
        <w:t>restituito</w:t>
      </w:r>
      <w:proofErr w:type="gramEnd"/>
      <w:r w:rsidRPr="007D59E3">
        <w:rPr>
          <w:rFonts w:ascii="Trebuchet MS" w:hAnsi="Trebuchet MS"/>
          <w:i/>
          <w:sz w:val="27"/>
          <w:szCs w:val="27"/>
        </w:rPr>
        <w:t xml:space="preserve"> in </w:t>
      </w:r>
      <w:proofErr w:type="spellStart"/>
      <w:r w:rsidRPr="007D59E3">
        <w:rPr>
          <w:rFonts w:ascii="Trebuchet MS" w:hAnsi="Trebuchet MS"/>
          <w:i/>
          <w:sz w:val="27"/>
          <w:szCs w:val="27"/>
        </w:rPr>
        <w:t>integrum</w:t>
      </w:r>
      <w:proofErr w:type="spellEnd"/>
      <w:r w:rsidRPr="007D59E3">
        <w:rPr>
          <w:rFonts w:ascii="Trebuchet MS" w:hAnsi="Trebuchet MS"/>
          <w:sz w:val="27"/>
          <w:szCs w:val="27"/>
        </w:rPr>
        <w:t xml:space="preserve"> e quindi per la tutela reale, in luogo del pagamento dell’equivalente monetario.</w:t>
      </w:r>
      <w:r w:rsidRPr="007D59E3">
        <w:t xml:space="preserve"> </w:t>
      </w:r>
      <w:r w:rsidRPr="007D59E3">
        <w:rPr>
          <w:rFonts w:ascii="Trebuchet MS" w:hAnsi="Trebuchet MS"/>
          <w:sz w:val="27"/>
          <w:szCs w:val="27"/>
        </w:rPr>
        <w:t xml:space="preserve">Gli </w:t>
      </w:r>
      <w:r>
        <w:rPr>
          <w:rFonts w:ascii="Trebuchet MS" w:hAnsi="Trebuchet MS"/>
          <w:sz w:val="27"/>
          <w:szCs w:val="27"/>
        </w:rPr>
        <w:t xml:space="preserve">Stati </w:t>
      </w:r>
      <w:r w:rsidRPr="007D59E3">
        <w:rPr>
          <w:rFonts w:ascii="Trebuchet MS" w:hAnsi="Trebuchet MS"/>
          <w:sz w:val="27"/>
          <w:szCs w:val="27"/>
        </w:rPr>
        <w:t>devono porre</w:t>
      </w:r>
      <w:r>
        <w:rPr>
          <w:rFonts w:ascii="Trebuchet MS" w:hAnsi="Trebuchet MS"/>
          <w:sz w:val="27"/>
          <w:szCs w:val="27"/>
        </w:rPr>
        <w:t xml:space="preserve"> </w:t>
      </w:r>
      <w:r w:rsidRPr="00D12EAC">
        <w:rPr>
          <w:rFonts w:ascii="Trebuchet MS" w:hAnsi="Trebuchet MS"/>
          <w:i/>
          <w:sz w:val="27"/>
          <w:szCs w:val="27"/>
        </w:rPr>
        <w:t>“il ricorrente, per quanto possibile, in una situazione equivalente a quella in cui si troverebbe se non vi fosse stata una inosservanza delle esigenze della Convenzione”</w:t>
      </w:r>
      <w:r w:rsidRPr="007D59E3">
        <w:rPr>
          <w:rFonts w:ascii="Trebuchet MS" w:hAnsi="Trebuchet MS"/>
          <w:sz w:val="27"/>
          <w:szCs w:val="27"/>
        </w:rPr>
        <w:t xml:space="preserve">, giacché </w:t>
      </w:r>
      <w:r w:rsidR="00D12EAC" w:rsidRPr="00D12EAC">
        <w:rPr>
          <w:rFonts w:ascii="Trebuchet MS" w:hAnsi="Trebuchet MS"/>
          <w:i/>
          <w:sz w:val="27"/>
          <w:szCs w:val="27"/>
        </w:rPr>
        <w:t>“</w:t>
      </w:r>
      <w:r w:rsidRPr="00D12EAC">
        <w:rPr>
          <w:rFonts w:ascii="Trebuchet MS" w:hAnsi="Trebuchet MS"/>
          <w:i/>
          <w:sz w:val="27"/>
          <w:szCs w:val="27"/>
        </w:rPr>
        <w:t>una sentenza che constata una violazione comporta per lo Stato convenuto l'obbligo giuridico ai sensi dell'articolo 46 della Convenzione di porre fine alla violazione e di eliminarne le conseguenze in modo da ristabilire per quanto possibile la situazione anteriore a quest'ultima</w:t>
      </w:r>
      <w:r w:rsidR="00D12EAC" w:rsidRPr="00D12EAC">
        <w:rPr>
          <w:rFonts w:ascii="Trebuchet MS" w:hAnsi="Trebuchet MS"/>
          <w:i/>
          <w:sz w:val="27"/>
          <w:szCs w:val="27"/>
        </w:rPr>
        <w:t>”</w:t>
      </w:r>
      <w:r w:rsidRPr="007D59E3">
        <w:rPr>
          <w:rFonts w:ascii="Trebuchet MS" w:hAnsi="Trebuchet MS"/>
          <w:sz w:val="27"/>
          <w:szCs w:val="27"/>
        </w:rPr>
        <w:t xml:space="preserve"> (</w:t>
      </w:r>
      <w:r w:rsidRPr="00D12EAC">
        <w:rPr>
          <w:rFonts w:ascii="Trebuchet MS" w:hAnsi="Trebuchet MS"/>
          <w:i/>
          <w:sz w:val="27"/>
          <w:szCs w:val="27"/>
        </w:rPr>
        <w:t xml:space="preserve">ex </w:t>
      </w:r>
      <w:proofErr w:type="spellStart"/>
      <w:r w:rsidRPr="00D12EAC">
        <w:rPr>
          <w:rFonts w:ascii="Trebuchet MS" w:hAnsi="Trebuchet MS"/>
          <w:i/>
          <w:sz w:val="27"/>
          <w:szCs w:val="27"/>
        </w:rPr>
        <w:t>plurimis</w:t>
      </w:r>
      <w:proofErr w:type="spellEnd"/>
      <w:r w:rsidRPr="007D59E3">
        <w:rPr>
          <w:rFonts w:ascii="Trebuchet MS" w:hAnsi="Trebuchet MS"/>
          <w:sz w:val="27"/>
          <w:szCs w:val="27"/>
        </w:rPr>
        <w:t>, Corte EDU, Grande Camera, 17 settembre 2009, Scoppola contro Italia</w:t>
      </w:r>
      <w:r w:rsidR="005538C7">
        <w:rPr>
          <w:rFonts w:ascii="Trebuchet MS" w:hAnsi="Trebuchet MS"/>
          <w:sz w:val="27"/>
          <w:szCs w:val="27"/>
        </w:rPr>
        <w:t xml:space="preserve">: pena dell’ergastolo in violazione dell’art. 7 </w:t>
      </w:r>
      <w:proofErr w:type="spellStart"/>
      <w:r w:rsidR="005538C7">
        <w:rPr>
          <w:rFonts w:ascii="Trebuchet MS" w:hAnsi="Trebuchet MS"/>
          <w:sz w:val="27"/>
          <w:szCs w:val="27"/>
        </w:rPr>
        <w:t>C</w:t>
      </w:r>
      <w:r w:rsidR="00D45352">
        <w:rPr>
          <w:rFonts w:ascii="Trebuchet MS" w:hAnsi="Trebuchet MS"/>
          <w:sz w:val="27"/>
          <w:szCs w:val="27"/>
        </w:rPr>
        <w:t>ed</w:t>
      </w:r>
      <w:r w:rsidR="005538C7">
        <w:rPr>
          <w:rFonts w:ascii="Trebuchet MS" w:hAnsi="Trebuchet MS"/>
          <w:sz w:val="27"/>
          <w:szCs w:val="27"/>
        </w:rPr>
        <w:t>u</w:t>
      </w:r>
      <w:proofErr w:type="spellEnd"/>
      <w:r w:rsidR="00D12EAC">
        <w:rPr>
          <w:rFonts w:ascii="Trebuchet MS" w:hAnsi="Trebuchet MS"/>
          <w:sz w:val="27"/>
          <w:szCs w:val="27"/>
        </w:rPr>
        <w:t xml:space="preserve"> </w:t>
      </w:r>
      <w:r w:rsidR="005538C7">
        <w:rPr>
          <w:rFonts w:ascii="Trebuchet MS" w:hAnsi="Trebuchet MS"/>
          <w:sz w:val="27"/>
          <w:szCs w:val="27"/>
        </w:rPr>
        <w:t>- principio</w:t>
      </w:r>
      <w:r w:rsidR="00262040">
        <w:rPr>
          <w:rFonts w:ascii="Trebuchet MS" w:hAnsi="Trebuchet MS"/>
          <w:sz w:val="27"/>
          <w:szCs w:val="27"/>
        </w:rPr>
        <w:t xml:space="preserve"> di retroattività </w:t>
      </w:r>
      <w:r w:rsidR="00A67210">
        <w:rPr>
          <w:rFonts w:ascii="Trebuchet MS" w:hAnsi="Trebuchet MS"/>
          <w:sz w:val="27"/>
          <w:szCs w:val="27"/>
        </w:rPr>
        <w:t xml:space="preserve">della </w:t>
      </w:r>
      <w:r w:rsidR="00262040">
        <w:rPr>
          <w:rFonts w:ascii="Trebuchet MS" w:hAnsi="Trebuchet MS"/>
          <w:sz w:val="27"/>
          <w:szCs w:val="27"/>
        </w:rPr>
        <w:t>disciplina più favorevole- nelle more previsione della pena massima di 30 anni di reclusione in caso di rito abbreviato</w:t>
      </w:r>
      <w:r>
        <w:rPr>
          <w:rFonts w:ascii="Trebuchet MS" w:hAnsi="Trebuchet MS"/>
          <w:sz w:val="27"/>
          <w:szCs w:val="27"/>
        </w:rPr>
        <w:t>).</w:t>
      </w:r>
    </w:p>
    <w:p w:rsidR="007D59E3" w:rsidRDefault="00262040" w:rsidP="007D59E3">
      <w:pPr>
        <w:jc w:val="both"/>
        <w:rPr>
          <w:rFonts w:ascii="Trebuchet MS" w:hAnsi="Trebuchet MS"/>
          <w:sz w:val="27"/>
          <w:szCs w:val="27"/>
        </w:rPr>
      </w:pPr>
      <w:r>
        <w:rPr>
          <w:rFonts w:ascii="Trebuchet MS" w:hAnsi="Trebuchet MS"/>
          <w:sz w:val="27"/>
          <w:szCs w:val="27"/>
        </w:rPr>
        <w:t>S</w:t>
      </w:r>
      <w:r w:rsidR="007D59E3" w:rsidRPr="007D59E3">
        <w:rPr>
          <w:rFonts w:ascii="Trebuchet MS" w:hAnsi="Trebuchet MS"/>
          <w:sz w:val="27"/>
          <w:szCs w:val="27"/>
        </w:rPr>
        <w:t xml:space="preserve">i è </w:t>
      </w:r>
      <w:r>
        <w:rPr>
          <w:rFonts w:ascii="Trebuchet MS" w:hAnsi="Trebuchet MS"/>
          <w:sz w:val="27"/>
          <w:szCs w:val="27"/>
        </w:rPr>
        <w:t xml:space="preserve">poi </w:t>
      </w:r>
      <w:r w:rsidR="007D59E3" w:rsidRPr="007D59E3">
        <w:rPr>
          <w:rFonts w:ascii="Trebuchet MS" w:hAnsi="Trebuchet MS"/>
          <w:sz w:val="27"/>
          <w:szCs w:val="27"/>
        </w:rPr>
        <w:t>affermato il principio - ormai consolidato - in forza del quale, «quando la Corte constata una violazione, lo Stato convenuto ha l'obbligo giuridico non solo di versare agli interessati le somme attribuite a titolo dell'equa soddisfazione previste dall'articolo 41</w:t>
      </w:r>
      <w:r w:rsidR="007D59E3" w:rsidRPr="007369AC">
        <w:rPr>
          <w:rFonts w:ascii="Trebuchet MS" w:hAnsi="Trebuchet MS"/>
          <w:sz w:val="27"/>
          <w:szCs w:val="27"/>
        </w:rPr>
        <w:t>, ma anche di adottare le misure generali e/o, se del caso, individuali necessarie</w:t>
      </w:r>
      <w:r w:rsidR="00AE3396">
        <w:rPr>
          <w:rFonts w:ascii="Trebuchet MS" w:hAnsi="Trebuchet MS"/>
          <w:sz w:val="27"/>
          <w:szCs w:val="27"/>
        </w:rPr>
        <w:t>.</w:t>
      </w:r>
      <w:r w:rsidR="007D59E3" w:rsidRPr="007369AC">
        <w:rPr>
          <w:rFonts w:ascii="Trebuchet MS" w:hAnsi="Trebuchet MS"/>
          <w:sz w:val="27"/>
          <w:szCs w:val="27"/>
        </w:rPr>
        <w:t xml:space="preserve"> </w:t>
      </w:r>
    </w:p>
    <w:p w:rsidR="007D59E3" w:rsidRDefault="007D59E3" w:rsidP="007D59E3">
      <w:pPr>
        <w:jc w:val="both"/>
        <w:rPr>
          <w:rFonts w:ascii="Trebuchet MS" w:hAnsi="Trebuchet MS"/>
          <w:sz w:val="27"/>
          <w:szCs w:val="27"/>
        </w:rPr>
      </w:pPr>
      <w:r w:rsidRPr="007D59E3">
        <w:rPr>
          <w:rFonts w:ascii="Trebuchet MS" w:hAnsi="Trebuchet MS"/>
          <w:sz w:val="27"/>
          <w:szCs w:val="27"/>
        </w:rPr>
        <w:t xml:space="preserve">Le misure generali mirano </w:t>
      </w:r>
      <w:r>
        <w:rPr>
          <w:rFonts w:ascii="Trebuchet MS" w:hAnsi="Trebuchet MS"/>
          <w:sz w:val="27"/>
          <w:szCs w:val="27"/>
        </w:rPr>
        <w:t xml:space="preserve">perciò </w:t>
      </w:r>
      <w:r w:rsidRPr="007D59E3">
        <w:rPr>
          <w:rFonts w:ascii="Trebuchet MS" w:hAnsi="Trebuchet MS"/>
          <w:sz w:val="27"/>
          <w:szCs w:val="27"/>
        </w:rPr>
        <w:t xml:space="preserve">ad evitare che violazioni simili a quelle riscontrate nella sentenza in esecuzione possano </w:t>
      </w:r>
      <w:r w:rsidR="00AE3396">
        <w:rPr>
          <w:rFonts w:ascii="Trebuchet MS" w:hAnsi="Trebuchet MS"/>
          <w:sz w:val="27"/>
          <w:szCs w:val="27"/>
        </w:rPr>
        <w:t>reiterarsi</w:t>
      </w:r>
      <w:r w:rsidRPr="007D59E3">
        <w:rPr>
          <w:rFonts w:ascii="Trebuchet MS" w:hAnsi="Trebuchet MS"/>
          <w:sz w:val="27"/>
          <w:szCs w:val="27"/>
        </w:rPr>
        <w:t>, fornendo una soluzione al problema generale.</w:t>
      </w:r>
    </w:p>
    <w:p w:rsidR="007D59E3" w:rsidRDefault="0035398F" w:rsidP="00780A65">
      <w:pPr>
        <w:jc w:val="both"/>
        <w:rPr>
          <w:rFonts w:ascii="Trebuchet MS" w:hAnsi="Trebuchet MS"/>
          <w:sz w:val="27"/>
          <w:szCs w:val="27"/>
        </w:rPr>
      </w:pPr>
      <w:r w:rsidRPr="0035398F">
        <w:rPr>
          <w:rFonts w:ascii="Trebuchet MS" w:hAnsi="Trebuchet MS"/>
          <w:sz w:val="27"/>
          <w:szCs w:val="27"/>
        </w:rPr>
        <w:lastRenderedPageBreak/>
        <w:t xml:space="preserve">In una prospettiva più ampia, lo Stato convenuto è tenuto anche a rimuovere gli impedimenti che, nella legislazione nazionale, si frappongono al conseguimento dell'obiettivo: ratificando la Convenzione gli Stati contraenti si impegnano, infatti, a far sì che il loro diritto interno sia compatibile con quest'ultima, sicché </w:t>
      </w:r>
      <w:r>
        <w:rPr>
          <w:rFonts w:ascii="Trebuchet MS" w:hAnsi="Trebuchet MS"/>
          <w:sz w:val="27"/>
          <w:szCs w:val="27"/>
        </w:rPr>
        <w:t>è</w:t>
      </w:r>
      <w:r w:rsidRPr="0035398F">
        <w:rPr>
          <w:rFonts w:ascii="Trebuchet MS" w:hAnsi="Trebuchet MS"/>
          <w:sz w:val="27"/>
          <w:szCs w:val="27"/>
        </w:rPr>
        <w:t xml:space="preserve"> lo Stato convenuto a dover eliminare, nel proprio ordinamento giuridico interno, ogni eventuale ostacolo a un adeguato ripristino della situazione del ricorrente</w:t>
      </w:r>
      <w:r>
        <w:rPr>
          <w:rFonts w:ascii="Trebuchet MS" w:hAnsi="Trebuchet MS"/>
          <w:sz w:val="27"/>
          <w:szCs w:val="27"/>
        </w:rPr>
        <w:t>.</w:t>
      </w:r>
    </w:p>
    <w:p w:rsidR="00E00B88" w:rsidRDefault="00E00B88" w:rsidP="00780A65">
      <w:pPr>
        <w:jc w:val="both"/>
        <w:rPr>
          <w:rFonts w:ascii="Trebuchet MS" w:hAnsi="Trebuchet MS"/>
          <w:sz w:val="27"/>
          <w:szCs w:val="27"/>
        </w:rPr>
      </w:pPr>
      <w:r w:rsidRPr="00E00B88">
        <w:rPr>
          <w:rFonts w:ascii="Trebuchet MS" w:hAnsi="Trebuchet MS"/>
          <w:sz w:val="27"/>
          <w:szCs w:val="27"/>
        </w:rPr>
        <w:t xml:space="preserve">Per l’Italia si pensi all’introduzione della legge Pinto (la n. 89 del 2001) quale mezzo di riparazione alla violazione del diritto alla durata ragionevole del processo o alla disciplina sull’acquisizione sanante per chiudere con l’esperienza dell’accessione invertita di origine pretoria (art. 42 bis del </w:t>
      </w:r>
      <w:proofErr w:type="spellStart"/>
      <w:r w:rsidRPr="00E00B88">
        <w:rPr>
          <w:rFonts w:ascii="Trebuchet MS" w:hAnsi="Trebuchet MS"/>
          <w:sz w:val="27"/>
          <w:szCs w:val="27"/>
        </w:rPr>
        <w:t>t.u.</w:t>
      </w:r>
      <w:proofErr w:type="spellEnd"/>
      <w:r w:rsidRPr="00E00B88">
        <w:rPr>
          <w:rFonts w:ascii="Trebuchet MS" w:hAnsi="Trebuchet MS"/>
          <w:sz w:val="27"/>
          <w:szCs w:val="27"/>
        </w:rPr>
        <w:t xml:space="preserve"> espropriazioni).</w:t>
      </w:r>
    </w:p>
    <w:p w:rsidR="00752838" w:rsidRPr="00752838" w:rsidRDefault="00752838" w:rsidP="00752838">
      <w:pPr>
        <w:jc w:val="both"/>
        <w:rPr>
          <w:rFonts w:ascii="Trebuchet MS" w:hAnsi="Trebuchet MS"/>
          <w:sz w:val="27"/>
          <w:szCs w:val="27"/>
        </w:rPr>
      </w:pPr>
      <w:r w:rsidRPr="00752838">
        <w:rPr>
          <w:rFonts w:ascii="Trebuchet MS" w:hAnsi="Trebuchet MS"/>
          <w:sz w:val="27"/>
          <w:szCs w:val="27"/>
        </w:rPr>
        <w:t>Potrà essere l’Autorità amministrativa, qualora la causa della lesione sia da ricercare sul piano dell’organizzazione o in un atto amministrativo puntuale, anche nell’esercizio dei suoi poteri di autotutela.</w:t>
      </w:r>
    </w:p>
    <w:p w:rsidR="00752838" w:rsidRDefault="00752838" w:rsidP="00752838">
      <w:pPr>
        <w:jc w:val="both"/>
        <w:rPr>
          <w:rFonts w:ascii="Trebuchet MS" w:hAnsi="Trebuchet MS"/>
          <w:sz w:val="27"/>
          <w:szCs w:val="27"/>
        </w:rPr>
      </w:pPr>
      <w:r w:rsidRPr="00752838">
        <w:rPr>
          <w:rFonts w:ascii="Trebuchet MS" w:hAnsi="Trebuchet MS"/>
          <w:sz w:val="27"/>
          <w:szCs w:val="27"/>
        </w:rPr>
        <w:t>Infine, se la violazione è conseguenza della pronuncia di un organo giurisdizionale, l’obbligo di conformazione deve fare i conti con il giudicato nazionale.</w:t>
      </w:r>
    </w:p>
    <w:p w:rsidR="0035398F" w:rsidRDefault="00752838" w:rsidP="00780A65">
      <w:pPr>
        <w:jc w:val="both"/>
        <w:rPr>
          <w:rFonts w:ascii="Trebuchet MS" w:hAnsi="Trebuchet MS"/>
          <w:sz w:val="27"/>
          <w:szCs w:val="27"/>
        </w:rPr>
      </w:pPr>
      <w:r>
        <w:rPr>
          <w:rFonts w:ascii="Trebuchet MS" w:hAnsi="Trebuchet MS"/>
          <w:sz w:val="27"/>
          <w:szCs w:val="27"/>
        </w:rPr>
        <w:t>P</w:t>
      </w:r>
      <w:r w:rsidR="0035398F">
        <w:rPr>
          <w:rFonts w:ascii="Trebuchet MS" w:hAnsi="Trebuchet MS"/>
          <w:sz w:val="27"/>
          <w:szCs w:val="27"/>
        </w:rPr>
        <w:t xml:space="preserve">articolare menzione meritano le </w:t>
      </w:r>
      <w:r w:rsidR="0035398F" w:rsidRPr="0035398F">
        <w:rPr>
          <w:rFonts w:ascii="Trebuchet MS" w:hAnsi="Trebuchet MS"/>
          <w:sz w:val="27"/>
          <w:szCs w:val="27"/>
        </w:rPr>
        <w:t>cosiddette sentenze pilota</w:t>
      </w:r>
      <w:r w:rsidR="0035398F" w:rsidRPr="0035398F">
        <w:t xml:space="preserve"> </w:t>
      </w:r>
      <w:r w:rsidR="0035398F">
        <w:t>(</w:t>
      </w:r>
      <w:proofErr w:type="spellStart"/>
      <w:r w:rsidR="0035398F" w:rsidRPr="0035398F">
        <w:rPr>
          <w:rFonts w:ascii="Trebuchet MS" w:hAnsi="Trebuchet MS"/>
          <w:sz w:val="27"/>
          <w:szCs w:val="27"/>
        </w:rPr>
        <w:t>Rule</w:t>
      </w:r>
      <w:proofErr w:type="spellEnd"/>
      <w:r w:rsidR="0035398F" w:rsidRPr="0035398F">
        <w:rPr>
          <w:rFonts w:ascii="Trebuchet MS" w:hAnsi="Trebuchet MS"/>
          <w:sz w:val="27"/>
          <w:szCs w:val="27"/>
        </w:rPr>
        <w:t xml:space="preserve"> 61, comma 1 regolamento della Corte), le quali traggono origine dalla circostanza che spesso vengono presentati alla Corte numerosi ricorsi relativi alla stessa situazione giuridica interna all'ordinamento dello Stato convenuto. Normalmente questi ricorsi scaturiscono da un contesto interno di carattere generale (in quanto coin</w:t>
      </w:r>
      <w:r w:rsidR="0035398F" w:rsidRPr="0035398F">
        <w:rPr>
          <w:rFonts w:ascii="Trebuchet MS" w:hAnsi="Trebuchet MS"/>
          <w:sz w:val="27"/>
          <w:szCs w:val="27"/>
        </w:rPr>
        <w:lastRenderedPageBreak/>
        <w:t xml:space="preserve">volgente una pluralità di persone) in contrasto con la CEDU, e mettono in evidenza un problema di carattere strutturale nell'ordinamento dello Stato convenuto. In queste sentenze la Corte non si limita a individuare il problema che il caso presenta, ma si spinge sino a indicare le misure più idonee per risolverlo. Se lo Stato responsabile della violazione strutturale accertata dalla sentenza pilota adotta le misure generali necessarie, la Corte procede alla cancellazione dal ruolo degli altri ricorsi relativi alla medesima questione; in caso contrario, essa ne riprende l'esame. </w:t>
      </w:r>
    </w:p>
    <w:p w:rsidR="0035398F" w:rsidRPr="0035398F" w:rsidRDefault="0035398F" w:rsidP="0035398F">
      <w:pPr>
        <w:jc w:val="both"/>
        <w:rPr>
          <w:rFonts w:ascii="Trebuchet MS" w:hAnsi="Trebuchet MS"/>
          <w:sz w:val="27"/>
          <w:szCs w:val="27"/>
        </w:rPr>
      </w:pPr>
      <w:r>
        <w:rPr>
          <w:rFonts w:ascii="Trebuchet MS" w:hAnsi="Trebuchet MS"/>
          <w:sz w:val="27"/>
          <w:szCs w:val="27"/>
        </w:rPr>
        <w:t xml:space="preserve">Alla diversa tipologia di misure corrisponde </w:t>
      </w:r>
      <w:r w:rsidRPr="0035398F">
        <w:rPr>
          <w:rFonts w:ascii="Trebuchet MS" w:hAnsi="Trebuchet MS"/>
          <w:sz w:val="27"/>
          <w:szCs w:val="27"/>
        </w:rPr>
        <w:t xml:space="preserve">un sistema del doppio binario (Twin </w:t>
      </w:r>
      <w:proofErr w:type="spellStart"/>
      <w:r w:rsidRPr="0035398F">
        <w:rPr>
          <w:rFonts w:ascii="Trebuchet MS" w:hAnsi="Trebuchet MS"/>
          <w:sz w:val="27"/>
          <w:szCs w:val="27"/>
        </w:rPr>
        <w:t>Track</w:t>
      </w:r>
      <w:proofErr w:type="spellEnd"/>
      <w:r w:rsidRPr="0035398F">
        <w:rPr>
          <w:rFonts w:ascii="Trebuchet MS" w:hAnsi="Trebuchet MS"/>
          <w:sz w:val="27"/>
          <w:szCs w:val="27"/>
        </w:rPr>
        <w:t xml:space="preserve"> Procedure): due tip</w:t>
      </w:r>
      <w:r>
        <w:rPr>
          <w:rFonts w:ascii="Trebuchet MS" w:hAnsi="Trebuchet MS"/>
          <w:sz w:val="27"/>
          <w:szCs w:val="27"/>
        </w:rPr>
        <w:t>i diversi</w:t>
      </w:r>
      <w:r w:rsidRPr="0035398F">
        <w:rPr>
          <w:rFonts w:ascii="Trebuchet MS" w:hAnsi="Trebuchet MS"/>
          <w:sz w:val="27"/>
          <w:szCs w:val="27"/>
        </w:rPr>
        <w:t xml:space="preserve"> di programmi di controllo dell’esecuzione, a seconda che la sorveglianza richiesta (dipendente dalla tipologia di pronuncia emanata) sia standard o rafforzata.</w:t>
      </w:r>
    </w:p>
    <w:p w:rsidR="0035398F" w:rsidRPr="0035398F" w:rsidRDefault="0035398F" w:rsidP="0035398F">
      <w:pPr>
        <w:jc w:val="both"/>
        <w:rPr>
          <w:rFonts w:ascii="Trebuchet MS" w:hAnsi="Trebuchet MS"/>
          <w:sz w:val="27"/>
          <w:szCs w:val="27"/>
        </w:rPr>
      </w:pPr>
      <w:r w:rsidRPr="0035398F">
        <w:rPr>
          <w:rFonts w:ascii="Trebuchet MS" w:hAnsi="Trebuchet MS"/>
          <w:sz w:val="27"/>
          <w:szCs w:val="27"/>
        </w:rPr>
        <w:t>Quando la sorveglianza richiesta rimane standard, il Comitato si limita ad accertarsi che lo Stato provveda, per esempio qualora sia stata determinata una somma per equa soddisfazione, al versamento di quanto dovuto alla vittima della violazione accertata.</w:t>
      </w:r>
    </w:p>
    <w:p w:rsidR="0035398F" w:rsidRPr="0035398F" w:rsidRDefault="0035398F" w:rsidP="0035398F">
      <w:pPr>
        <w:jc w:val="both"/>
        <w:rPr>
          <w:rFonts w:ascii="Trebuchet MS" w:hAnsi="Trebuchet MS"/>
          <w:sz w:val="27"/>
          <w:szCs w:val="27"/>
        </w:rPr>
      </w:pPr>
      <w:r>
        <w:rPr>
          <w:rFonts w:ascii="Trebuchet MS" w:hAnsi="Trebuchet MS"/>
          <w:sz w:val="27"/>
          <w:szCs w:val="27"/>
        </w:rPr>
        <w:t xml:space="preserve">La </w:t>
      </w:r>
      <w:r w:rsidRPr="0035398F">
        <w:rPr>
          <w:rFonts w:ascii="Trebuchet MS" w:hAnsi="Trebuchet MS"/>
          <w:sz w:val="27"/>
          <w:szCs w:val="27"/>
        </w:rPr>
        <w:t xml:space="preserve">procedura rafforzata di controllo </w:t>
      </w:r>
      <w:r>
        <w:rPr>
          <w:rFonts w:ascii="Trebuchet MS" w:hAnsi="Trebuchet MS"/>
          <w:sz w:val="27"/>
          <w:szCs w:val="27"/>
        </w:rPr>
        <w:t xml:space="preserve">è invece </w:t>
      </w:r>
      <w:r w:rsidRPr="0035398F">
        <w:rPr>
          <w:rFonts w:ascii="Trebuchet MS" w:hAnsi="Trebuchet MS"/>
          <w:sz w:val="27"/>
          <w:szCs w:val="27"/>
        </w:rPr>
        <w:t>relativa all’esecuzione d</w:t>
      </w:r>
      <w:r>
        <w:rPr>
          <w:rFonts w:ascii="Trebuchet MS" w:hAnsi="Trebuchet MS"/>
          <w:sz w:val="27"/>
          <w:szCs w:val="27"/>
        </w:rPr>
        <w:t>i una</w:t>
      </w:r>
      <w:r w:rsidRPr="0035398F">
        <w:rPr>
          <w:rFonts w:ascii="Trebuchet MS" w:hAnsi="Trebuchet MS"/>
          <w:sz w:val="27"/>
          <w:szCs w:val="27"/>
        </w:rPr>
        <w:t xml:space="preserve"> sentenza finalizzata ad accertarsi, oltre che dell’esecuzione della sentenza in favore delle riconosciute vittime del caso concreto, della messa a punto, da parte dell’Italia stessa, di modifiche</w:t>
      </w:r>
      <w:r>
        <w:rPr>
          <w:rFonts w:ascii="Trebuchet MS" w:hAnsi="Trebuchet MS"/>
          <w:sz w:val="27"/>
          <w:szCs w:val="27"/>
        </w:rPr>
        <w:t xml:space="preserve"> strutturali</w:t>
      </w:r>
      <w:r w:rsidRPr="0035398F">
        <w:rPr>
          <w:rFonts w:ascii="Trebuchet MS" w:hAnsi="Trebuchet MS"/>
          <w:sz w:val="27"/>
          <w:szCs w:val="27"/>
        </w:rPr>
        <w:t>.</w:t>
      </w:r>
    </w:p>
    <w:p w:rsidR="0035398F" w:rsidRDefault="0035398F" w:rsidP="0035398F">
      <w:pPr>
        <w:jc w:val="both"/>
        <w:rPr>
          <w:rFonts w:ascii="Trebuchet MS" w:hAnsi="Trebuchet MS"/>
          <w:sz w:val="27"/>
          <w:szCs w:val="27"/>
        </w:rPr>
      </w:pPr>
      <w:r w:rsidRPr="0035398F">
        <w:rPr>
          <w:rFonts w:ascii="Trebuchet MS" w:hAnsi="Trebuchet MS"/>
          <w:sz w:val="27"/>
          <w:szCs w:val="27"/>
        </w:rPr>
        <w:t xml:space="preserve">Può </w:t>
      </w:r>
      <w:r>
        <w:rPr>
          <w:rFonts w:ascii="Trebuchet MS" w:hAnsi="Trebuchet MS"/>
          <w:sz w:val="27"/>
          <w:szCs w:val="27"/>
        </w:rPr>
        <w:t>poi</w:t>
      </w:r>
      <w:r w:rsidRPr="0035398F">
        <w:rPr>
          <w:rFonts w:ascii="Trebuchet MS" w:hAnsi="Trebuchet MS"/>
          <w:sz w:val="27"/>
          <w:szCs w:val="27"/>
        </w:rPr>
        <w:t xml:space="preserve"> accadere che, nell’esecuzione di una sentenza inizialmente seguita in procedura standard, insorgano ostacoli non preventivati ed imprevisti che mostrino la necessità di un intervento rafforzato del Comitato dei ministri.</w:t>
      </w:r>
    </w:p>
    <w:p w:rsidR="007D59E3" w:rsidRDefault="00CA7D2B" w:rsidP="00780A65">
      <w:pPr>
        <w:jc w:val="both"/>
        <w:rPr>
          <w:rFonts w:ascii="Trebuchet MS" w:hAnsi="Trebuchet MS"/>
          <w:sz w:val="27"/>
          <w:szCs w:val="27"/>
        </w:rPr>
      </w:pPr>
      <w:r w:rsidRPr="00CA7D2B">
        <w:rPr>
          <w:rFonts w:ascii="Trebuchet MS" w:hAnsi="Trebuchet MS"/>
          <w:sz w:val="27"/>
          <w:szCs w:val="27"/>
        </w:rPr>
        <w:lastRenderedPageBreak/>
        <w:t xml:space="preserve">Laddove lo Stato risulti gravemente inadempiente, il Comitato può, quale </w:t>
      </w:r>
      <w:proofErr w:type="spellStart"/>
      <w:r w:rsidRPr="00E00B88">
        <w:rPr>
          <w:rFonts w:ascii="Trebuchet MS" w:hAnsi="Trebuchet MS"/>
          <w:i/>
          <w:sz w:val="27"/>
          <w:szCs w:val="27"/>
        </w:rPr>
        <w:t>extrema</w:t>
      </w:r>
      <w:proofErr w:type="spellEnd"/>
      <w:r w:rsidRPr="00E00B88">
        <w:rPr>
          <w:rFonts w:ascii="Trebuchet MS" w:hAnsi="Trebuchet MS"/>
          <w:i/>
          <w:sz w:val="27"/>
          <w:szCs w:val="27"/>
        </w:rPr>
        <w:t xml:space="preserve"> ratio</w:t>
      </w:r>
      <w:r w:rsidRPr="00CA7D2B">
        <w:rPr>
          <w:rFonts w:ascii="Trebuchet MS" w:hAnsi="Trebuchet MS"/>
          <w:sz w:val="27"/>
          <w:szCs w:val="27"/>
        </w:rPr>
        <w:t>, decidere di sospenderlo dalla rappresentanza nel Consiglio d’Europa o di invitarlo a ritirarsi.</w:t>
      </w:r>
    </w:p>
    <w:p w:rsidR="003A410D" w:rsidRPr="003A410D" w:rsidRDefault="003A410D" w:rsidP="003A410D">
      <w:pPr>
        <w:jc w:val="both"/>
        <w:rPr>
          <w:rFonts w:ascii="Trebuchet MS" w:hAnsi="Trebuchet MS"/>
          <w:sz w:val="27"/>
          <w:szCs w:val="27"/>
        </w:rPr>
      </w:pPr>
      <w:r w:rsidRPr="003A410D">
        <w:rPr>
          <w:rFonts w:ascii="Trebuchet MS" w:hAnsi="Trebuchet MS"/>
          <w:sz w:val="27"/>
          <w:szCs w:val="27"/>
        </w:rPr>
        <w:t xml:space="preserve">Il Protocollo n. 14, entrato in vigore il 1°giugno 2010, ha modificato l’art. 46 </w:t>
      </w:r>
      <w:proofErr w:type="spellStart"/>
      <w:r w:rsidRPr="003A410D">
        <w:rPr>
          <w:rFonts w:ascii="Trebuchet MS" w:hAnsi="Trebuchet MS"/>
          <w:sz w:val="27"/>
          <w:szCs w:val="27"/>
        </w:rPr>
        <w:t>Cedu</w:t>
      </w:r>
      <w:proofErr w:type="spellEnd"/>
      <w:r w:rsidRPr="003A410D">
        <w:rPr>
          <w:rFonts w:ascii="Trebuchet MS" w:hAnsi="Trebuchet MS"/>
          <w:sz w:val="27"/>
          <w:szCs w:val="27"/>
        </w:rPr>
        <w:t>.</w:t>
      </w:r>
    </w:p>
    <w:p w:rsidR="003A410D" w:rsidRPr="003A410D" w:rsidRDefault="003A410D" w:rsidP="003A410D">
      <w:pPr>
        <w:jc w:val="both"/>
        <w:rPr>
          <w:rFonts w:ascii="Trebuchet MS" w:hAnsi="Trebuchet MS"/>
          <w:sz w:val="27"/>
          <w:szCs w:val="27"/>
        </w:rPr>
      </w:pPr>
      <w:r w:rsidRPr="003A410D">
        <w:rPr>
          <w:rFonts w:ascii="Trebuchet MS" w:hAnsi="Trebuchet MS"/>
          <w:sz w:val="27"/>
          <w:szCs w:val="27"/>
        </w:rPr>
        <w:t>Se in origine la fase di esecuzione era lasciata essenzialmente alla sfera politica, oggi quella stessa fase, almeno in una certa misura, risulta “</w:t>
      </w:r>
      <w:proofErr w:type="spellStart"/>
      <w:r w:rsidRPr="003A410D">
        <w:rPr>
          <w:rFonts w:ascii="Trebuchet MS" w:hAnsi="Trebuchet MS"/>
          <w:sz w:val="27"/>
          <w:szCs w:val="27"/>
        </w:rPr>
        <w:t>giurisdizionalizzata</w:t>
      </w:r>
      <w:proofErr w:type="spellEnd"/>
      <w:r w:rsidRPr="003A410D">
        <w:rPr>
          <w:rFonts w:ascii="Trebuchet MS" w:hAnsi="Trebuchet MS"/>
          <w:sz w:val="27"/>
          <w:szCs w:val="27"/>
        </w:rPr>
        <w:t>” sia con la possibilità, da parte del Comitato dei Ministri, di adire la Corte affinché si pronunci sull’interpretazione della propria sentenza, laddove sia sorta una difficoltà di interpretazione; sia, in caso di rifiuto di conformarsi, attraverso la previsione di una sorta di procedura d’infrazione, attivabile sempre dal Comitato dei Ministri.</w:t>
      </w:r>
    </w:p>
    <w:p w:rsidR="00CD3F04" w:rsidRPr="00CD3F04" w:rsidRDefault="003A410D" w:rsidP="00CD3F04">
      <w:pPr>
        <w:jc w:val="both"/>
        <w:rPr>
          <w:rFonts w:ascii="Trebuchet MS" w:hAnsi="Trebuchet MS"/>
          <w:sz w:val="27"/>
          <w:szCs w:val="27"/>
        </w:rPr>
      </w:pPr>
      <w:r>
        <w:rPr>
          <w:rFonts w:ascii="Trebuchet MS" w:hAnsi="Trebuchet MS"/>
          <w:sz w:val="27"/>
          <w:szCs w:val="27"/>
        </w:rPr>
        <w:t>Sempre c</w:t>
      </w:r>
      <w:r w:rsidR="00CD3F04" w:rsidRPr="00CA7D2B">
        <w:rPr>
          <w:rFonts w:ascii="Trebuchet MS" w:hAnsi="Trebuchet MS"/>
          <w:sz w:val="27"/>
          <w:szCs w:val="27"/>
        </w:rPr>
        <w:t>on</w:t>
      </w:r>
      <w:r w:rsidR="00CD3F04" w:rsidRPr="00CD3F04">
        <w:rPr>
          <w:rFonts w:ascii="Trebuchet MS" w:hAnsi="Trebuchet MS"/>
          <w:sz w:val="27"/>
          <w:szCs w:val="27"/>
        </w:rPr>
        <w:t xml:space="preserve"> l’entrata in vigore del Protocollo n. 14, il Comitato dei ministri è divenuto competente a supervisionare anche l’esecuzione delle decisioni della Corte </w:t>
      </w:r>
      <w:proofErr w:type="spellStart"/>
      <w:r w:rsidR="00CD3F04" w:rsidRPr="00CD3F04">
        <w:rPr>
          <w:rFonts w:ascii="Trebuchet MS" w:hAnsi="Trebuchet MS"/>
          <w:sz w:val="27"/>
          <w:szCs w:val="27"/>
        </w:rPr>
        <w:t>Edu</w:t>
      </w:r>
      <w:proofErr w:type="spellEnd"/>
      <w:r w:rsidR="00CD3F04" w:rsidRPr="00CD3F04">
        <w:rPr>
          <w:rFonts w:ascii="Trebuchet MS" w:hAnsi="Trebuchet MS"/>
          <w:sz w:val="27"/>
          <w:szCs w:val="27"/>
        </w:rPr>
        <w:t xml:space="preserve"> che hanno disposto la cancellazione della causa dal ruolo a seguito dell’accettazione, da parte del ricorrente e del governo convenuto, di una proposta di regolamento amichevole formulata dalla Corte stessa (art. 39 </w:t>
      </w:r>
      <w:proofErr w:type="spellStart"/>
      <w:r w:rsidR="00CD3F04" w:rsidRPr="00CD3F04">
        <w:rPr>
          <w:rFonts w:ascii="Trebuchet MS" w:hAnsi="Trebuchet MS"/>
          <w:sz w:val="27"/>
          <w:szCs w:val="27"/>
        </w:rPr>
        <w:t>Cedu</w:t>
      </w:r>
      <w:proofErr w:type="spellEnd"/>
      <w:r w:rsidR="00CD3F04" w:rsidRPr="00CD3F04">
        <w:rPr>
          <w:rFonts w:ascii="Trebuchet MS" w:hAnsi="Trebuchet MS"/>
          <w:sz w:val="27"/>
          <w:szCs w:val="27"/>
        </w:rPr>
        <w:t>).</w:t>
      </w:r>
    </w:p>
    <w:p w:rsidR="00CD3F04" w:rsidRPr="00CD3F04" w:rsidRDefault="00CD3F04" w:rsidP="00CD3F04">
      <w:pPr>
        <w:jc w:val="both"/>
        <w:rPr>
          <w:rFonts w:ascii="Trebuchet MS" w:hAnsi="Trebuchet MS"/>
          <w:sz w:val="27"/>
          <w:szCs w:val="27"/>
        </w:rPr>
      </w:pPr>
      <w:r w:rsidRPr="00CD3F04">
        <w:rPr>
          <w:rFonts w:ascii="Trebuchet MS" w:hAnsi="Trebuchet MS"/>
          <w:sz w:val="27"/>
          <w:szCs w:val="27"/>
        </w:rPr>
        <w:t>Tale procedura implica che il ricorrente accetti di rinunciare a ogni pretesa nei confronti dello Stato convenuto in merito ai fatti all’origine del ricorso e che il governo riconosca l’avvenuta violazione della Convenzione e si impegni a corrispondere una somma a titolo di equa soddisfazione e/o ad adottare delle misure specifiche. In questo caso il Comitato dei Ministri sorveglia l’esecuzione dei termini della composizione amichevole quali figurano nella decisione.</w:t>
      </w:r>
    </w:p>
    <w:p w:rsidR="00CD3F04" w:rsidRPr="00CD3F04" w:rsidRDefault="00CD3F04" w:rsidP="00CD3F04">
      <w:pPr>
        <w:jc w:val="both"/>
        <w:rPr>
          <w:rFonts w:ascii="Trebuchet MS" w:hAnsi="Trebuchet MS"/>
          <w:sz w:val="27"/>
          <w:szCs w:val="27"/>
        </w:rPr>
      </w:pPr>
      <w:r w:rsidRPr="00CD3F04">
        <w:rPr>
          <w:rFonts w:ascii="Trebuchet MS" w:hAnsi="Trebuchet MS"/>
          <w:sz w:val="27"/>
          <w:szCs w:val="27"/>
        </w:rPr>
        <w:lastRenderedPageBreak/>
        <w:t>Il Comitato dei ministri non segue</w:t>
      </w:r>
      <w:r w:rsidR="00CA7D2B">
        <w:rPr>
          <w:rFonts w:ascii="Trebuchet MS" w:hAnsi="Trebuchet MS"/>
          <w:sz w:val="27"/>
          <w:szCs w:val="27"/>
        </w:rPr>
        <w:t xml:space="preserve"> invece</w:t>
      </w:r>
      <w:r w:rsidRPr="00CD3F04">
        <w:rPr>
          <w:rFonts w:ascii="Trebuchet MS" w:hAnsi="Trebuchet MS"/>
          <w:sz w:val="27"/>
          <w:szCs w:val="27"/>
        </w:rPr>
        <w:t xml:space="preserve">, di regola, l’esecuzione delle dichiarazioni unilaterali (art. 37, </w:t>
      </w:r>
      <w:r w:rsidR="00D12EAC">
        <w:rPr>
          <w:rFonts w:ascii="Trebuchet MS" w:hAnsi="Trebuchet MS"/>
          <w:sz w:val="27"/>
          <w:szCs w:val="27"/>
        </w:rPr>
        <w:t>par.</w:t>
      </w:r>
      <w:r w:rsidR="00CA7D2B">
        <w:rPr>
          <w:rFonts w:ascii="Trebuchet MS" w:hAnsi="Trebuchet MS"/>
          <w:sz w:val="27"/>
          <w:szCs w:val="27"/>
        </w:rPr>
        <w:t xml:space="preserve"> </w:t>
      </w:r>
      <w:r w:rsidRPr="00CD3F04">
        <w:rPr>
          <w:rFonts w:ascii="Trebuchet MS" w:hAnsi="Trebuchet MS"/>
          <w:sz w:val="27"/>
          <w:szCs w:val="27"/>
        </w:rPr>
        <w:t xml:space="preserve">1, </w:t>
      </w:r>
      <w:proofErr w:type="spellStart"/>
      <w:r w:rsidRPr="00CD3F04">
        <w:rPr>
          <w:rFonts w:ascii="Trebuchet MS" w:hAnsi="Trebuchet MS"/>
          <w:sz w:val="27"/>
          <w:szCs w:val="27"/>
        </w:rPr>
        <w:t>lett</w:t>
      </w:r>
      <w:proofErr w:type="spellEnd"/>
      <w:r w:rsidRPr="00CD3F04">
        <w:rPr>
          <w:rFonts w:ascii="Trebuchet MS" w:hAnsi="Trebuchet MS"/>
          <w:sz w:val="27"/>
          <w:szCs w:val="27"/>
        </w:rPr>
        <w:t xml:space="preserve">. (b), </w:t>
      </w:r>
      <w:proofErr w:type="spellStart"/>
      <w:r w:rsidRPr="00CD3F04">
        <w:rPr>
          <w:rFonts w:ascii="Trebuchet MS" w:hAnsi="Trebuchet MS"/>
          <w:sz w:val="27"/>
          <w:szCs w:val="27"/>
        </w:rPr>
        <w:t>Cedu</w:t>
      </w:r>
      <w:proofErr w:type="spellEnd"/>
      <w:r w:rsidRPr="00CD3F04">
        <w:rPr>
          <w:rFonts w:ascii="Trebuchet MS" w:hAnsi="Trebuchet MS"/>
          <w:sz w:val="27"/>
          <w:szCs w:val="27"/>
        </w:rPr>
        <w:t xml:space="preserve">). Queste ultime riguardano i casi in cui la Corte </w:t>
      </w:r>
      <w:proofErr w:type="spellStart"/>
      <w:r w:rsidRPr="00CD3F04">
        <w:rPr>
          <w:rFonts w:ascii="Trebuchet MS" w:hAnsi="Trebuchet MS"/>
          <w:sz w:val="27"/>
          <w:szCs w:val="27"/>
        </w:rPr>
        <w:t>Edu</w:t>
      </w:r>
      <w:proofErr w:type="spellEnd"/>
      <w:r w:rsidRPr="00CD3F04">
        <w:rPr>
          <w:rFonts w:ascii="Trebuchet MS" w:hAnsi="Trebuchet MS"/>
          <w:sz w:val="27"/>
          <w:szCs w:val="27"/>
        </w:rPr>
        <w:t xml:space="preserve"> decide di cancellare la causa dal ruolo a seguito del rifiuto ingiustificato, da parte del ricorrente, di una proposta di regolamento amichevole, a fronte di una dichiarazione del governo convenuto di riconoscere la violazione della Convenzione indicando le misure che intende adottare per porvi rimedio.</w:t>
      </w:r>
    </w:p>
    <w:p w:rsidR="00CD3F04" w:rsidRPr="00137D1E" w:rsidRDefault="00CD3F04" w:rsidP="00CD3F04">
      <w:pPr>
        <w:jc w:val="both"/>
        <w:rPr>
          <w:rFonts w:ascii="Trebuchet MS" w:hAnsi="Trebuchet MS"/>
          <w:sz w:val="27"/>
          <w:szCs w:val="27"/>
        </w:rPr>
      </w:pPr>
      <w:r w:rsidRPr="00CD3F04">
        <w:rPr>
          <w:rFonts w:ascii="Trebuchet MS" w:hAnsi="Trebuchet MS"/>
          <w:sz w:val="27"/>
          <w:szCs w:val="27"/>
        </w:rPr>
        <w:t>La differenza principale tra regolamenti amichevoli e dichiarazioni unilaterali in fase esecutiva riguarda le conseguenze dell’eventuale non esecuzione. Mentre, infatti, nel caso dei regolamenti amichevoli spetta al Comitato dei ministri adottare le misure necessarie per assicurare che lo Stato ne rispetti i termini, in caso di mancata esecuzione di una dichiarazione unilaterale la causa sarà rimessa direttamente sul ruolo dalla Corte, su richiesta del ricorrente.</w:t>
      </w:r>
    </w:p>
    <w:p w:rsidR="00692138" w:rsidRPr="00692138" w:rsidRDefault="00692138" w:rsidP="00780A65">
      <w:pPr>
        <w:jc w:val="both"/>
        <w:rPr>
          <w:rFonts w:ascii="Trebuchet MS" w:eastAsia="Times New Roman" w:hAnsi="Trebuchet MS" w:cs="Times New Roman"/>
          <w:color w:val="0C0C0F"/>
          <w:sz w:val="27"/>
          <w:szCs w:val="27"/>
          <w:lang w:eastAsia="it-IT"/>
        </w:rPr>
      </w:pPr>
      <w:r w:rsidRPr="00692138">
        <w:rPr>
          <w:rFonts w:ascii="Trebuchet MS" w:eastAsia="Times New Roman" w:hAnsi="Trebuchet MS" w:cs="Times New Roman"/>
          <w:color w:val="0C0C0F"/>
          <w:sz w:val="27"/>
          <w:szCs w:val="27"/>
          <w:lang w:eastAsia="it-IT"/>
        </w:rPr>
        <w:t xml:space="preserve">Nel nostro ordinamento al Presidente del Consiglio dei Ministri  sono affidate le funzioni di “promuove[re] gli adempimenti di competenza governativa conseguenti alle pronunce della Corte europea dei diritti dell'uomo emanate nei confronti dello Stato italiano; comunica[re] tempestivamente alle Camere le medesime pronunce ai fini dell'esame da parte delle competenti Commissioni parlamentari permanenti e presenta[re] annualmente al Parlamento una relazione sullo stato di esecuzione delle suddette pronunce (art. 1 legge n. 12 del 2006, recante disposizioni in materia di pronunce della Corte europea dei diritti dell’uomo: ha introdotto la lettera a bis) al comma 3 dell’art. 5 della l. 400 del 1988). Al Dipartimento per </w:t>
      </w:r>
      <w:r w:rsidRPr="00692138">
        <w:rPr>
          <w:rFonts w:ascii="Trebuchet MS" w:eastAsia="Times New Roman" w:hAnsi="Trebuchet MS" w:cs="Times New Roman"/>
          <w:color w:val="0C0C0F"/>
          <w:sz w:val="27"/>
          <w:szCs w:val="27"/>
          <w:lang w:eastAsia="it-IT"/>
        </w:rPr>
        <w:lastRenderedPageBreak/>
        <w:t>gli affari giuridici e legislativi – Ufficio contenzioso e per la consulenza giuridica – è stata attribuita la cura di tutti gli adempimenti conseguenti alle pronunce stesse (D.P.C.M. 1° febbraio 2007).</w:t>
      </w:r>
    </w:p>
    <w:p w:rsidR="00692138" w:rsidRPr="00692138" w:rsidRDefault="00692138" w:rsidP="00780A65">
      <w:pPr>
        <w:jc w:val="both"/>
        <w:rPr>
          <w:rFonts w:ascii="Trebuchet MS" w:eastAsia="Times New Roman" w:hAnsi="Trebuchet MS" w:cs="Times New Roman"/>
          <w:color w:val="0C0C0F"/>
          <w:sz w:val="27"/>
          <w:szCs w:val="27"/>
          <w:lang w:eastAsia="it-IT"/>
        </w:rPr>
      </w:pPr>
      <w:r w:rsidRPr="00692138">
        <w:rPr>
          <w:rFonts w:ascii="Trebuchet MS" w:eastAsia="Times New Roman" w:hAnsi="Trebuchet MS" w:cs="Times New Roman"/>
          <w:color w:val="0C0C0F"/>
          <w:sz w:val="27"/>
          <w:szCs w:val="27"/>
          <w:lang w:eastAsia="it-IT"/>
        </w:rPr>
        <w:t>Ciò è in piena sintonia con il modello suggerito dal Comitato dei Ministri del Consiglio d’Europa che, con la Raccomandazione CM/</w:t>
      </w:r>
      <w:proofErr w:type="spellStart"/>
      <w:r w:rsidRPr="00692138">
        <w:rPr>
          <w:rFonts w:ascii="Trebuchet MS" w:eastAsia="Times New Roman" w:hAnsi="Trebuchet MS" w:cs="Times New Roman"/>
          <w:color w:val="0C0C0F"/>
          <w:sz w:val="27"/>
          <w:szCs w:val="27"/>
          <w:lang w:eastAsia="it-IT"/>
        </w:rPr>
        <w:t>Rec</w:t>
      </w:r>
      <w:proofErr w:type="spellEnd"/>
      <w:r w:rsidRPr="00692138">
        <w:rPr>
          <w:rFonts w:ascii="Trebuchet MS" w:eastAsia="Times New Roman" w:hAnsi="Trebuchet MS" w:cs="Times New Roman"/>
          <w:color w:val="0C0C0F"/>
          <w:sz w:val="27"/>
          <w:szCs w:val="27"/>
          <w:lang w:eastAsia="it-IT"/>
        </w:rPr>
        <w:t xml:space="preserve"> (2008)2 adottata in occasione della 1017ª riunione dei Delegati dei Ministri del 6 febbraio 2008, ha invitato gli Stati membri a designare un coordinatore – persona fisica o ufficio – per l’esecuzione delle sentenze a livello interno.</w:t>
      </w:r>
    </w:p>
    <w:p w:rsidR="00692138" w:rsidRPr="00692138" w:rsidRDefault="00692138" w:rsidP="00780A65">
      <w:pPr>
        <w:jc w:val="both"/>
        <w:rPr>
          <w:rFonts w:ascii="Trebuchet MS" w:eastAsia="Times New Roman" w:hAnsi="Trebuchet MS" w:cs="Times New Roman"/>
          <w:color w:val="0C0C0F"/>
          <w:sz w:val="27"/>
          <w:szCs w:val="27"/>
          <w:lang w:eastAsia="it-IT"/>
        </w:rPr>
      </w:pPr>
      <w:r w:rsidRPr="00692138">
        <w:rPr>
          <w:rFonts w:ascii="Trebuchet MS" w:eastAsia="Times New Roman" w:hAnsi="Trebuchet MS" w:cs="Times New Roman"/>
          <w:color w:val="0C0C0F"/>
          <w:sz w:val="27"/>
          <w:szCs w:val="27"/>
          <w:lang w:eastAsia="it-IT"/>
        </w:rPr>
        <w:t>La soluzione organizzativa indicata, strumentale all’azione di impulso e di coordinamento voluta dal legislatore, agevola la gestione di interventi più idonei a conformare l’azione del Governo alla giurisprudenza della Corte di Strasburgo – in stretta collaborazione con la Rappresentanza Permanente d’Italia presso il Consiglio d’Europa – finalizzata al conseguimento di risultati più costruttivi e più adeguati allo spirito delle norme convenzionali.</w:t>
      </w:r>
    </w:p>
    <w:p w:rsidR="00692138" w:rsidRDefault="00692138" w:rsidP="00780A65">
      <w:pPr>
        <w:jc w:val="both"/>
        <w:rPr>
          <w:rFonts w:ascii="Trebuchet MS" w:eastAsia="Times New Roman" w:hAnsi="Trebuchet MS" w:cs="Times New Roman"/>
          <w:color w:val="0C0C0F"/>
          <w:sz w:val="27"/>
          <w:szCs w:val="27"/>
          <w:lang w:eastAsia="it-IT"/>
        </w:rPr>
      </w:pPr>
      <w:r w:rsidRPr="00692138">
        <w:rPr>
          <w:rFonts w:ascii="Trebuchet MS" w:eastAsia="Times New Roman" w:hAnsi="Trebuchet MS" w:cs="Times New Roman"/>
          <w:color w:val="0C0C0F"/>
          <w:sz w:val="27"/>
          <w:szCs w:val="27"/>
          <w:lang w:eastAsia="it-IT"/>
        </w:rPr>
        <w:t>L’azione di rivalsa è uno degli interventi attuati in chiave europea dalla legge finanziaria 2007.</w:t>
      </w:r>
    </w:p>
    <w:p w:rsidR="003A410D" w:rsidRPr="003A410D" w:rsidRDefault="003A410D" w:rsidP="003A410D">
      <w:pPr>
        <w:jc w:val="both"/>
        <w:rPr>
          <w:rFonts w:ascii="Trebuchet MS" w:eastAsia="Times New Roman" w:hAnsi="Trebuchet MS" w:cs="Times New Roman"/>
          <w:color w:val="0C0C0F"/>
          <w:sz w:val="27"/>
          <w:szCs w:val="27"/>
          <w:lang w:eastAsia="it-IT"/>
        </w:rPr>
      </w:pPr>
      <w:r w:rsidRPr="003A410D">
        <w:rPr>
          <w:rFonts w:ascii="Trebuchet MS" w:eastAsia="Times New Roman" w:hAnsi="Trebuchet MS" w:cs="Times New Roman"/>
          <w:color w:val="0C0C0F"/>
          <w:sz w:val="27"/>
          <w:szCs w:val="27"/>
          <w:lang w:eastAsia="it-IT"/>
        </w:rPr>
        <w:t>L’esercizio del diritto di rivalsa è stato disciplinato dall’articolo 16 bis, comma 5 e seguenti, della legge 4 febbraio 2005, n. 11, nel testo introdotto dall’articolo 6 della legge comunitaria 2007.</w:t>
      </w:r>
    </w:p>
    <w:p w:rsidR="003A410D" w:rsidRPr="00692138" w:rsidRDefault="003A410D" w:rsidP="003A410D">
      <w:pPr>
        <w:jc w:val="both"/>
        <w:rPr>
          <w:rFonts w:ascii="Trebuchet MS" w:eastAsia="Times New Roman" w:hAnsi="Trebuchet MS" w:cs="Times New Roman"/>
          <w:color w:val="0C0C0F"/>
          <w:sz w:val="27"/>
          <w:szCs w:val="27"/>
          <w:lang w:eastAsia="it-IT"/>
        </w:rPr>
      </w:pPr>
      <w:r w:rsidRPr="003A410D">
        <w:rPr>
          <w:rFonts w:ascii="Trebuchet MS" w:eastAsia="Times New Roman" w:hAnsi="Trebuchet MS" w:cs="Times New Roman"/>
          <w:color w:val="0C0C0F"/>
          <w:sz w:val="27"/>
          <w:szCs w:val="27"/>
          <w:lang w:eastAsia="it-IT"/>
        </w:rPr>
        <w:t>Detta disposizione è stata abrogata dalla legge comunitaria n. 234 del 2012, che, tuttavia, all’art.</w:t>
      </w:r>
      <w:r w:rsidR="002E125C">
        <w:rPr>
          <w:rFonts w:ascii="Trebuchet MS" w:eastAsia="Times New Roman" w:hAnsi="Trebuchet MS" w:cs="Times New Roman"/>
          <w:color w:val="0C0C0F"/>
          <w:sz w:val="27"/>
          <w:szCs w:val="27"/>
          <w:lang w:eastAsia="it-IT"/>
        </w:rPr>
        <w:t xml:space="preserve"> 43,</w:t>
      </w:r>
      <w:r w:rsidRPr="003A410D">
        <w:rPr>
          <w:rFonts w:ascii="Trebuchet MS" w:eastAsia="Times New Roman" w:hAnsi="Trebuchet MS" w:cs="Times New Roman"/>
          <w:color w:val="0C0C0F"/>
          <w:sz w:val="27"/>
          <w:szCs w:val="27"/>
          <w:lang w:eastAsia="it-IT"/>
        </w:rPr>
        <w:t xml:space="preserve"> comma 10, ha previsto l’azione di rivalsa con le stesse modalità ivi indicate in relazione</w:t>
      </w:r>
      <w:r w:rsidR="00B4234E">
        <w:rPr>
          <w:rFonts w:ascii="Trebuchet MS" w:eastAsia="Times New Roman" w:hAnsi="Trebuchet MS" w:cs="Times New Roman"/>
          <w:color w:val="0C0C0F"/>
          <w:sz w:val="27"/>
          <w:szCs w:val="27"/>
          <w:lang w:eastAsia="it-IT"/>
        </w:rPr>
        <w:t xml:space="preserve"> alle procedure d’infrazione.</w:t>
      </w:r>
    </w:p>
    <w:p w:rsidR="00692138" w:rsidRPr="00692138" w:rsidRDefault="00B4234E" w:rsidP="00780A65">
      <w:pPr>
        <w:jc w:val="both"/>
        <w:rPr>
          <w:rFonts w:ascii="Trebuchet MS" w:eastAsia="Times New Roman" w:hAnsi="Trebuchet MS" w:cs="Times New Roman"/>
          <w:color w:val="0C0C0F"/>
          <w:sz w:val="27"/>
          <w:szCs w:val="27"/>
          <w:lang w:eastAsia="it-IT"/>
        </w:rPr>
      </w:pPr>
      <w:r>
        <w:rPr>
          <w:rFonts w:ascii="Trebuchet MS" w:eastAsia="Times New Roman" w:hAnsi="Trebuchet MS" w:cs="Times New Roman"/>
          <w:color w:val="0C0C0F"/>
          <w:sz w:val="27"/>
          <w:szCs w:val="27"/>
          <w:lang w:eastAsia="it-IT"/>
        </w:rPr>
        <w:lastRenderedPageBreak/>
        <w:t>L</w:t>
      </w:r>
      <w:r w:rsidR="00692138" w:rsidRPr="00692138">
        <w:rPr>
          <w:rFonts w:ascii="Trebuchet MS" w:eastAsia="Times New Roman" w:hAnsi="Trebuchet MS" w:cs="Times New Roman"/>
          <w:color w:val="0C0C0F"/>
          <w:sz w:val="27"/>
          <w:szCs w:val="27"/>
          <w:lang w:eastAsia="it-IT"/>
        </w:rPr>
        <w:t>o Stato ha diritto</w:t>
      </w:r>
      <w:r>
        <w:rPr>
          <w:rFonts w:ascii="Trebuchet MS" w:eastAsia="Times New Roman" w:hAnsi="Trebuchet MS" w:cs="Times New Roman"/>
          <w:color w:val="0C0C0F"/>
          <w:sz w:val="27"/>
          <w:szCs w:val="27"/>
          <w:lang w:eastAsia="it-IT"/>
        </w:rPr>
        <w:t xml:space="preserve"> </w:t>
      </w:r>
      <w:r w:rsidR="00692138" w:rsidRPr="00692138">
        <w:rPr>
          <w:rFonts w:ascii="Trebuchet MS" w:eastAsia="Times New Roman" w:hAnsi="Trebuchet MS" w:cs="Times New Roman"/>
          <w:color w:val="0C0C0F"/>
          <w:sz w:val="27"/>
          <w:szCs w:val="27"/>
          <w:lang w:eastAsia="it-IT"/>
        </w:rPr>
        <w:t>di rivalersi sulle regioni, sulle province autonome, sugli enti territoriali, sugli altri enti pubblici e sui soggetti equiparati, i quali si siano resi responsabili di violazioni delle disposizioni della Convenzione per la salvaguardia dei diritti dell'uomo e delle libertà fondamentali</w:t>
      </w:r>
      <w:r w:rsidR="00ED3DDB">
        <w:rPr>
          <w:rFonts w:ascii="Trebuchet MS" w:eastAsia="Times New Roman" w:hAnsi="Trebuchet MS" w:cs="Times New Roman"/>
          <w:color w:val="0C0C0F"/>
          <w:sz w:val="27"/>
          <w:szCs w:val="27"/>
          <w:lang w:eastAsia="it-IT"/>
        </w:rPr>
        <w:t xml:space="preserve"> </w:t>
      </w:r>
      <w:r w:rsidR="00692138" w:rsidRPr="00692138">
        <w:rPr>
          <w:rFonts w:ascii="Trebuchet MS" w:eastAsia="Times New Roman" w:hAnsi="Trebuchet MS" w:cs="Times New Roman"/>
          <w:color w:val="0C0C0F"/>
          <w:sz w:val="27"/>
          <w:szCs w:val="27"/>
          <w:lang w:eastAsia="it-IT"/>
        </w:rPr>
        <w:t>e dei relativi Protocolli addizionali, degli oneri finanziari sostenuti per dare esecuzione alle sentenze di condanna rese dalla Corte europea dei diritti dell'uomo nei confronti dello Stato in conseguenza delle suddette violazioni.</w:t>
      </w:r>
    </w:p>
    <w:p w:rsidR="0044711A" w:rsidRDefault="00692138" w:rsidP="00780A65">
      <w:pPr>
        <w:jc w:val="both"/>
        <w:rPr>
          <w:rFonts w:ascii="Trebuchet MS" w:eastAsia="Times New Roman" w:hAnsi="Trebuchet MS" w:cs="Times New Roman"/>
          <w:color w:val="0C0C0F"/>
          <w:sz w:val="27"/>
          <w:szCs w:val="27"/>
          <w:lang w:eastAsia="it-IT"/>
        </w:rPr>
      </w:pPr>
      <w:r w:rsidRPr="00D12EAC">
        <w:rPr>
          <w:rFonts w:ascii="Trebuchet MS" w:eastAsia="Times New Roman" w:hAnsi="Trebuchet MS" w:cs="Times New Roman"/>
          <w:color w:val="0C0C0F"/>
          <w:sz w:val="27"/>
          <w:szCs w:val="27"/>
          <w:lang w:eastAsia="it-IT"/>
        </w:rPr>
        <w:t>Fatto</w:t>
      </w:r>
      <w:r w:rsidRPr="00692138">
        <w:rPr>
          <w:rFonts w:ascii="Trebuchet MS" w:eastAsia="Times New Roman" w:hAnsi="Trebuchet MS" w:cs="Times New Roman"/>
          <w:color w:val="0C0C0F"/>
          <w:sz w:val="27"/>
          <w:szCs w:val="27"/>
          <w:lang w:eastAsia="it-IT"/>
        </w:rPr>
        <w:t xml:space="preserve"> l’inquadramento dell’esecuzione delle sentenze della Corte EDU secondo le modalità convenzionali, ci chiediamo in ordine alla possibilità di utilizzare il rimedio interno dell’ottemperanza per dare esecuzione alle sentenze della EDU pronunciate nei confronti del nostro stato.</w:t>
      </w:r>
    </w:p>
    <w:p w:rsidR="00D479F3" w:rsidRPr="00E21F64" w:rsidRDefault="00D479F3" w:rsidP="00780A65">
      <w:pPr>
        <w:jc w:val="both"/>
        <w:rPr>
          <w:rFonts w:ascii="Trebuchet MS" w:eastAsia="Times New Roman" w:hAnsi="Trebuchet MS" w:cs="Times New Roman"/>
          <w:color w:val="0C0C0F"/>
          <w:sz w:val="27"/>
          <w:szCs w:val="27"/>
          <w:lang w:eastAsia="it-IT"/>
        </w:rPr>
      </w:pPr>
      <w:r w:rsidRPr="00E21F64">
        <w:rPr>
          <w:rFonts w:ascii="Trebuchet MS" w:eastAsia="Times New Roman" w:hAnsi="Trebuchet MS" w:cs="Times New Roman"/>
          <w:color w:val="0C0C0F"/>
          <w:sz w:val="27"/>
          <w:szCs w:val="27"/>
          <w:lang w:eastAsia="it-IT"/>
        </w:rPr>
        <w:t>Per ciò che concerne l’ambito del contenzioso della Corte europea dei diritti dell’uomo, la legge prevede la possibilità per lo Stato di rivalersi nei confronti di regioni, enti locali ed enti pubblici in generale, al fine di recuperare le somme erogate per dare esecuzione alle sentenze di condanna della Corte di Strasburgo, in conseguenza di accertate violazioni delle disposizioni della Convenzione, cui abbia dato causa l’illegittima azione amministrativa dei suddetti enti.</w:t>
      </w:r>
    </w:p>
    <w:p w:rsidR="00D1412E" w:rsidRDefault="00D1412E" w:rsidP="00780A65">
      <w:pPr>
        <w:jc w:val="both"/>
        <w:rPr>
          <w:rFonts w:ascii="Trebuchet MS" w:eastAsia="Times New Roman" w:hAnsi="Trebuchet MS" w:cs="Times New Roman"/>
          <w:color w:val="0C0C0F"/>
          <w:sz w:val="27"/>
          <w:szCs w:val="27"/>
          <w:lang w:eastAsia="it-IT"/>
        </w:rPr>
      </w:pPr>
      <w:r>
        <w:rPr>
          <w:rFonts w:ascii="Trebuchet MS" w:eastAsia="Times New Roman" w:hAnsi="Trebuchet MS" w:cs="Times New Roman"/>
          <w:color w:val="0C0C0F"/>
          <w:sz w:val="27"/>
          <w:szCs w:val="27"/>
          <w:lang w:eastAsia="it-IT"/>
        </w:rPr>
        <w:t>La giurisprudenza è di segno contrario.</w:t>
      </w:r>
    </w:p>
    <w:p w:rsidR="00323AF2" w:rsidRDefault="000E6CD4" w:rsidP="00780A65">
      <w:pPr>
        <w:jc w:val="both"/>
        <w:rPr>
          <w:rFonts w:ascii="Trebuchet MS" w:eastAsia="Times New Roman" w:hAnsi="Trebuchet MS" w:cs="Times New Roman"/>
          <w:color w:val="0C0C0F"/>
          <w:sz w:val="27"/>
          <w:szCs w:val="27"/>
          <w:lang w:eastAsia="it-IT"/>
        </w:rPr>
      </w:pPr>
      <w:r>
        <w:rPr>
          <w:rFonts w:ascii="Trebuchet MS" w:eastAsia="Times New Roman" w:hAnsi="Trebuchet MS" w:cs="Times New Roman"/>
          <w:color w:val="0C0C0F"/>
          <w:sz w:val="27"/>
          <w:szCs w:val="27"/>
          <w:lang w:eastAsia="it-IT"/>
        </w:rPr>
        <w:lastRenderedPageBreak/>
        <w:t xml:space="preserve">Il </w:t>
      </w:r>
      <w:r w:rsidR="00323AF2">
        <w:rPr>
          <w:rFonts w:ascii="Trebuchet MS" w:eastAsia="Times New Roman" w:hAnsi="Trebuchet MS" w:cs="Times New Roman"/>
          <w:color w:val="0C0C0F"/>
          <w:sz w:val="27"/>
          <w:szCs w:val="27"/>
          <w:lang w:eastAsia="it-IT"/>
        </w:rPr>
        <w:t>Tar Lazio, Roma, I,</w:t>
      </w:r>
      <w:r>
        <w:rPr>
          <w:rFonts w:ascii="Trebuchet MS" w:eastAsia="Times New Roman" w:hAnsi="Trebuchet MS" w:cs="Times New Roman"/>
          <w:color w:val="0C0C0F"/>
          <w:sz w:val="27"/>
          <w:szCs w:val="27"/>
          <w:lang w:eastAsia="it-IT"/>
        </w:rPr>
        <w:t xml:space="preserve"> sezione, con sentenza </w:t>
      </w:r>
      <w:r w:rsidR="00323AF2">
        <w:rPr>
          <w:rFonts w:ascii="Trebuchet MS" w:eastAsia="Times New Roman" w:hAnsi="Trebuchet MS" w:cs="Times New Roman"/>
          <w:color w:val="0C0C0F"/>
          <w:sz w:val="27"/>
          <w:szCs w:val="27"/>
          <w:lang w:eastAsia="it-IT"/>
        </w:rPr>
        <w:t>n. 9564 del 2014</w:t>
      </w:r>
      <w:r>
        <w:rPr>
          <w:rFonts w:ascii="Trebuchet MS" w:eastAsia="Times New Roman" w:hAnsi="Trebuchet MS" w:cs="Times New Roman"/>
          <w:color w:val="0C0C0F"/>
          <w:sz w:val="27"/>
          <w:szCs w:val="27"/>
          <w:lang w:eastAsia="it-IT"/>
        </w:rPr>
        <w:t>, ha</w:t>
      </w:r>
      <w:r w:rsidR="00323AF2">
        <w:rPr>
          <w:rFonts w:ascii="Trebuchet MS" w:eastAsia="Times New Roman" w:hAnsi="Trebuchet MS" w:cs="Times New Roman"/>
          <w:color w:val="0C0C0F"/>
          <w:sz w:val="27"/>
          <w:szCs w:val="27"/>
          <w:lang w:eastAsia="it-IT"/>
        </w:rPr>
        <w:t xml:space="preserve"> </w:t>
      </w:r>
      <w:r>
        <w:rPr>
          <w:rFonts w:ascii="Trebuchet MS" w:eastAsia="Times New Roman" w:hAnsi="Trebuchet MS" w:cs="Times New Roman"/>
          <w:color w:val="0C0C0F"/>
          <w:sz w:val="27"/>
          <w:szCs w:val="27"/>
          <w:lang w:eastAsia="it-IT"/>
        </w:rPr>
        <w:t xml:space="preserve">dichiarato </w:t>
      </w:r>
      <w:r w:rsidR="00323AF2" w:rsidRPr="00323AF2">
        <w:rPr>
          <w:rFonts w:ascii="Trebuchet MS" w:eastAsia="Times New Roman" w:hAnsi="Trebuchet MS" w:cs="Times New Roman"/>
          <w:color w:val="0C0C0F"/>
          <w:sz w:val="27"/>
          <w:szCs w:val="27"/>
          <w:lang w:eastAsia="it-IT"/>
        </w:rPr>
        <w:t xml:space="preserve">l'inammissibilità del ricorso </w:t>
      </w:r>
      <w:r>
        <w:rPr>
          <w:rFonts w:ascii="Trebuchet MS" w:eastAsia="Times New Roman" w:hAnsi="Trebuchet MS" w:cs="Times New Roman"/>
          <w:color w:val="0C0C0F"/>
          <w:sz w:val="27"/>
          <w:szCs w:val="27"/>
          <w:lang w:eastAsia="it-IT"/>
        </w:rPr>
        <w:t xml:space="preserve">per l’ottemperanza di una sentenza della Corte </w:t>
      </w:r>
      <w:r w:rsidRPr="000E6CD4">
        <w:rPr>
          <w:rFonts w:ascii="Trebuchet MS" w:eastAsia="Times New Roman" w:hAnsi="Trebuchet MS" w:cs="Times New Roman"/>
          <w:color w:val="0C0C0F"/>
          <w:sz w:val="27"/>
          <w:szCs w:val="27"/>
          <w:lang w:eastAsia="it-IT"/>
        </w:rPr>
        <w:t>europea dei diritti dell'uomo</w:t>
      </w:r>
      <w:r>
        <w:rPr>
          <w:rFonts w:ascii="Trebuchet MS" w:eastAsia="Times New Roman" w:hAnsi="Trebuchet MS" w:cs="Times New Roman"/>
          <w:color w:val="0C0C0F"/>
          <w:sz w:val="27"/>
          <w:szCs w:val="27"/>
          <w:lang w:eastAsia="it-IT"/>
        </w:rPr>
        <w:t xml:space="preserve"> </w:t>
      </w:r>
      <w:r w:rsidR="00323AF2" w:rsidRPr="00323AF2">
        <w:rPr>
          <w:rFonts w:ascii="Trebuchet MS" w:eastAsia="Times New Roman" w:hAnsi="Trebuchet MS" w:cs="Times New Roman"/>
          <w:color w:val="0C0C0F"/>
          <w:sz w:val="27"/>
          <w:szCs w:val="27"/>
          <w:lang w:eastAsia="it-IT"/>
        </w:rPr>
        <w:t xml:space="preserve">sotto il profilo dell'incompatibilità dell'azione per l'ottemperanza con il sistema di esecuzione delle sentenze </w:t>
      </w:r>
      <w:r>
        <w:rPr>
          <w:rFonts w:ascii="Trebuchet MS" w:eastAsia="Times New Roman" w:hAnsi="Trebuchet MS" w:cs="Times New Roman"/>
          <w:color w:val="0C0C0F"/>
          <w:sz w:val="27"/>
          <w:szCs w:val="27"/>
          <w:lang w:eastAsia="it-IT"/>
        </w:rPr>
        <w:t xml:space="preserve">emesse dalla suddetta </w:t>
      </w:r>
      <w:r w:rsidR="00323AF2" w:rsidRPr="00323AF2">
        <w:rPr>
          <w:rFonts w:ascii="Trebuchet MS" w:eastAsia="Times New Roman" w:hAnsi="Trebuchet MS" w:cs="Times New Roman"/>
          <w:color w:val="0C0C0F"/>
          <w:sz w:val="27"/>
          <w:szCs w:val="27"/>
          <w:lang w:eastAsia="it-IT"/>
        </w:rPr>
        <w:t>Corte.</w:t>
      </w:r>
    </w:p>
    <w:p w:rsidR="00E43271" w:rsidRDefault="00E43271" w:rsidP="00780A65">
      <w:pPr>
        <w:jc w:val="both"/>
        <w:rPr>
          <w:rFonts w:ascii="Trebuchet MS" w:eastAsia="Times New Roman" w:hAnsi="Trebuchet MS" w:cs="Times New Roman"/>
          <w:color w:val="0C0C0F"/>
          <w:sz w:val="27"/>
          <w:szCs w:val="27"/>
          <w:lang w:eastAsia="it-IT"/>
        </w:rPr>
      </w:pPr>
      <w:r w:rsidRPr="00E43271">
        <w:rPr>
          <w:rFonts w:ascii="Trebuchet MS" w:eastAsia="Times New Roman" w:hAnsi="Trebuchet MS" w:cs="Times New Roman"/>
          <w:color w:val="0C0C0F"/>
          <w:sz w:val="27"/>
          <w:szCs w:val="27"/>
          <w:lang w:eastAsia="it-IT"/>
        </w:rPr>
        <w:t>La domanda di parte poggiava sulla considerazione</w:t>
      </w:r>
      <w:r>
        <w:rPr>
          <w:rFonts w:ascii="Trebuchet MS" w:eastAsia="Times New Roman" w:hAnsi="Trebuchet MS" w:cs="Times New Roman"/>
          <w:color w:val="0C0C0F"/>
          <w:sz w:val="27"/>
          <w:szCs w:val="27"/>
          <w:lang w:eastAsia="it-IT"/>
        </w:rPr>
        <w:t xml:space="preserve"> </w:t>
      </w:r>
      <w:r w:rsidRPr="00E43271">
        <w:rPr>
          <w:rFonts w:ascii="Trebuchet MS" w:eastAsia="Times New Roman" w:hAnsi="Trebuchet MS" w:cs="Times New Roman"/>
          <w:color w:val="0C0C0F"/>
          <w:sz w:val="27"/>
          <w:szCs w:val="27"/>
          <w:lang w:eastAsia="it-IT"/>
        </w:rPr>
        <w:t>che</w:t>
      </w:r>
      <w:r w:rsidR="00B8126B">
        <w:rPr>
          <w:rFonts w:ascii="Trebuchet MS" w:eastAsia="Times New Roman" w:hAnsi="Trebuchet MS" w:cs="Times New Roman"/>
          <w:color w:val="0C0C0F"/>
          <w:sz w:val="27"/>
          <w:szCs w:val="27"/>
          <w:lang w:eastAsia="it-IT"/>
        </w:rPr>
        <w:t>,</w:t>
      </w:r>
      <w:r w:rsidRPr="00E43271">
        <w:rPr>
          <w:rFonts w:ascii="Trebuchet MS" w:eastAsia="Times New Roman" w:hAnsi="Trebuchet MS" w:cs="Times New Roman"/>
          <w:color w:val="0C0C0F"/>
          <w:sz w:val="27"/>
          <w:szCs w:val="27"/>
          <w:lang w:eastAsia="it-IT"/>
        </w:rPr>
        <w:t xml:space="preserve"> nell</w:t>
      </w:r>
      <w:r w:rsidR="00032DB9">
        <w:rPr>
          <w:rFonts w:ascii="Trebuchet MS" w:eastAsia="Times New Roman" w:hAnsi="Trebuchet MS" w:cs="Times New Roman"/>
          <w:color w:val="0C0C0F"/>
          <w:sz w:val="27"/>
          <w:szCs w:val="27"/>
          <w:lang w:eastAsia="it-IT"/>
        </w:rPr>
        <w:t>a formula “altri provvedimenti”</w:t>
      </w:r>
      <w:r>
        <w:rPr>
          <w:rFonts w:ascii="Trebuchet MS" w:eastAsia="Times New Roman" w:hAnsi="Trebuchet MS" w:cs="Times New Roman"/>
          <w:color w:val="0C0C0F"/>
          <w:sz w:val="27"/>
          <w:szCs w:val="27"/>
          <w:lang w:eastAsia="it-IT"/>
        </w:rPr>
        <w:t xml:space="preserve"> </w:t>
      </w:r>
      <w:r w:rsidRPr="00E43271">
        <w:rPr>
          <w:rFonts w:ascii="Trebuchet MS" w:eastAsia="Times New Roman" w:hAnsi="Trebuchet MS" w:cs="Times New Roman"/>
          <w:color w:val="0C0C0F"/>
          <w:sz w:val="27"/>
          <w:szCs w:val="27"/>
          <w:lang w:eastAsia="it-IT"/>
        </w:rPr>
        <w:t xml:space="preserve">dell’art. 112, comma 2, </w:t>
      </w:r>
      <w:proofErr w:type="spellStart"/>
      <w:r w:rsidRPr="00E43271">
        <w:rPr>
          <w:rFonts w:ascii="Trebuchet MS" w:eastAsia="Times New Roman" w:hAnsi="Trebuchet MS" w:cs="Times New Roman"/>
          <w:color w:val="0C0C0F"/>
          <w:sz w:val="27"/>
          <w:szCs w:val="27"/>
          <w:lang w:eastAsia="it-IT"/>
        </w:rPr>
        <w:t>lett</w:t>
      </w:r>
      <w:proofErr w:type="spellEnd"/>
      <w:r w:rsidRPr="00E43271">
        <w:rPr>
          <w:rFonts w:ascii="Trebuchet MS" w:eastAsia="Times New Roman" w:hAnsi="Trebuchet MS" w:cs="Times New Roman"/>
          <w:color w:val="0C0C0F"/>
          <w:sz w:val="27"/>
          <w:szCs w:val="27"/>
          <w:lang w:eastAsia="it-IT"/>
        </w:rPr>
        <w:t xml:space="preserve">. d), </w:t>
      </w:r>
      <w:proofErr w:type="spellStart"/>
      <w:r w:rsidRPr="00E43271">
        <w:rPr>
          <w:rFonts w:ascii="Trebuchet MS" w:eastAsia="Times New Roman" w:hAnsi="Trebuchet MS" w:cs="Times New Roman"/>
          <w:color w:val="0C0C0F"/>
          <w:sz w:val="27"/>
          <w:szCs w:val="27"/>
          <w:lang w:eastAsia="it-IT"/>
        </w:rPr>
        <w:t>c.p.a</w:t>
      </w:r>
      <w:proofErr w:type="spellEnd"/>
      <w:r w:rsidRPr="00E43271">
        <w:rPr>
          <w:rFonts w:ascii="Trebuchet MS" w:eastAsia="Times New Roman" w:hAnsi="Trebuchet MS" w:cs="Times New Roman"/>
          <w:color w:val="0C0C0F"/>
          <w:sz w:val="27"/>
          <w:szCs w:val="27"/>
          <w:lang w:eastAsia="it-IT"/>
        </w:rPr>
        <w:t>., potessero essere</w:t>
      </w:r>
      <w:r>
        <w:rPr>
          <w:rFonts w:ascii="Trebuchet MS" w:eastAsia="Times New Roman" w:hAnsi="Trebuchet MS" w:cs="Times New Roman"/>
          <w:color w:val="0C0C0F"/>
          <w:sz w:val="27"/>
          <w:szCs w:val="27"/>
          <w:lang w:eastAsia="it-IT"/>
        </w:rPr>
        <w:t xml:space="preserve"> </w:t>
      </w:r>
      <w:r w:rsidRPr="00E43271">
        <w:rPr>
          <w:rFonts w:ascii="Trebuchet MS" w:eastAsia="Times New Roman" w:hAnsi="Trebuchet MS" w:cs="Times New Roman"/>
          <w:color w:val="0C0C0F"/>
          <w:sz w:val="27"/>
          <w:szCs w:val="27"/>
          <w:lang w:eastAsia="it-IT"/>
        </w:rPr>
        <w:t>ricomprese anche le pronunce della Corte di</w:t>
      </w:r>
      <w:r>
        <w:rPr>
          <w:rFonts w:ascii="Trebuchet MS" w:eastAsia="Times New Roman" w:hAnsi="Trebuchet MS" w:cs="Times New Roman"/>
          <w:color w:val="0C0C0F"/>
          <w:sz w:val="27"/>
          <w:szCs w:val="27"/>
          <w:lang w:eastAsia="it-IT"/>
        </w:rPr>
        <w:t xml:space="preserve"> </w:t>
      </w:r>
      <w:r w:rsidRPr="00E43271">
        <w:rPr>
          <w:rFonts w:ascii="Trebuchet MS" w:eastAsia="Times New Roman" w:hAnsi="Trebuchet MS" w:cs="Times New Roman"/>
          <w:color w:val="0C0C0F"/>
          <w:sz w:val="27"/>
          <w:szCs w:val="27"/>
          <w:lang w:eastAsia="it-IT"/>
        </w:rPr>
        <w:t>Strasburgo.</w:t>
      </w:r>
    </w:p>
    <w:p w:rsidR="000E6CD4" w:rsidRDefault="000E6CD4" w:rsidP="00780A65">
      <w:pPr>
        <w:jc w:val="both"/>
        <w:rPr>
          <w:rFonts w:ascii="Trebuchet MS" w:eastAsia="Times New Roman" w:hAnsi="Trebuchet MS" w:cs="Times New Roman"/>
          <w:color w:val="0C0C0F"/>
          <w:sz w:val="27"/>
          <w:szCs w:val="27"/>
          <w:lang w:eastAsia="it-IT"/>
        </w:rPr>
      </w:pPr>
      <w:r>
        <w:rPr>
          <w:rFonts w:ascii="Trebuchet MS" w:eastAsia="Times New Roman" w:hAnsi="Trebuchet MS" w:cs="Times New Roman"/>
          <w:color w:val="0C0C0F"/>
          <w:sz w:val="27"/>
          <w:szCs w:val="27"/>
          <w:lang w:eastAsia="it-IT"/>
        </w:rPr>
        <w:t>Occorre al riguardo esaminare brevemente la citata disposizione, la quale prevede che l</w:t>
      </w:r>
      <w:r w:rsidRPr="000E6CD4">
        <w:rPr>
          <w:rFonts w:ascii="Trebuchet MS" w:eastAsia="Times New Roman" w:hAnsi="Trebuchet MS" w:cs="Times New Roman"/>
          <w:color w:val="0C0C0F"/>
          <w:sz w:val="27"/>
          <w:szCs w:val="27"/>
          <w:lang w:eastAsia="it-IT"/>
        </w:rPr>
        <w:t>’azione di ottemperanza p</w:t>
      </w:r>
      <w:r>
        <w:rPr>
          <w:rFonts w:ascii="Trebuchet MS" w:eastAsia="Times New Roman" w:hAnsi="Trebuchet MS" w:cs="Times New Roman"/>
          <w:color w:val="0C0C0F"/>
          <w:sz w:val="27"/>
          <w:szCs w:val="27"/>
          <w:lang w:eastAsia="it-IT"/>
        </w:rPr>
        <w:t>ossa</w:t>
      </w:r>
      <w:r w:rsidRPr="000E6CD4">
        <w:rPr>
          <w:rFonts w:ascii="Trebuchet MS" w:eastAsia="Times New Roman" w:hAnsi="Trebuchet MS" w:cs="Times New Roman"/>
          <w:color w:val="0C0C0F"/>
          <w:sz w:val="27"/>
          <w:szCs w:val="27"/>
          <w:lang w:eastAsia="it-IT"/>
        </w:rPr>
        <w:t xml:space="preserve"> essere proposta per conseguire l’attuazione</w:t>
      </w:r>
      <w:r>
        <w:rPr>
          <w:rFonts w:ascii="Trebuchet MS" w:eastAsia="Times New Roman" w:hAnsi="Trebuchet MS" w:cs="Times New Roman"/>
          <w:color w:val="0C0C0F"/>
          <w:sz w:val="27"/>
          <w:szCs w:val="27"/>
          <w:lang w:eastAsia="it-IT"/>
        </w:rPr>
        <w:t xml:space="preserve"> di sentenze passate in giudicato o comunque esecutive ed altri provvedimenti esecutivi del Giudice amministrativo,</w:t>
      </w:r>
      <w:r w:rsidRPr="000E6CD4">
        <w:t xml:space="preserve"> </w:t>
      </w:r>
      <w:r>
        <w:t xml:space="preserve">di </w:t>
      </w:r>
      <w:r w:rsidRPr="000E6CD4">
        <w:rPr>
          <w:rFonts w:ascii="Trebuchet MS" w:eastAsia="Times New Roman" w:hAnsi="Trebuchet MS" w:cs="Times New Roman"/>
          <w:color w:val="0C0C0F"/>
          <w:sz w:val="27"/>
          <w:szCs w:val="27"/>
          <w:lang w:eastAsia="it-IT"/>
        </w:rPr>
        <w:t>sentenze passate in giudicato e degli altri provvedimenti ad esse equiparati del giudice ordinario</w:t>
      </w:r>
      <w:r>
        <w:rPr>
          <w:rFonts w:ascii="Trebuchet MS" w:eastAsia="Times New Roman" w:hAnsi="Trebuchet MS" w:cs="Times New Roman"/>
          <w:color w:val="0C0C0F"/>
          <w:sz w:val="27"/>
          <w:szCs w:val="27"/>
          <w:lang w:eastAsia="it-IT"/>
        </w:rPr>
        <w:t xml:space="preserve"> per far eseguire un obbligo per l’Amministrazione di provvedere, dei </w:t>
      </w:r>
      <w:r w:rsidRPr="000E6CD4">
        <w:rPr>
          <w:rFonts w:ascii="Trebuchet MS" w:eastAsia="Times New Roman" w:hAnsi="Trebuchet MS" w:cs="Times New Roman"/>
          <w:color w:val="0C0C0F"/>
          <w:sz w:val="27"/>
          <w:szCs w:val="27"/>
          <w:lang w:eastAsia="it-IT"/>
        </w:rPr>
        <w:t>lodi arbitrali esecutivi divenuti inoppugnabili al fine di ottenere l’adempimento dell’obbligo dell</w:t>
      </w:r>
      <w:r>
        <w:rPr>
          <w:rFonts w:ascii="Trebuchet MS" w:eastAsia="Times New Roman" w:hAnsi="Trebuchet MS" w:cs="Times New Roman"/>
          <w:color w:val="0C0C0F"/>
          <w:sz w:val="27"/>
          <w:szCs w:val="27"/>
          <w:lang w:eastAsia="it-IT"/>
        </w:rPr>
        <w:t>’A</w:t>
      </w:r>
      <w:r w:rsidRPr="000E6CD4">
        <w:rPr>
          <w:rFonts w:ascii="Trebuchet MS" w:eastAsia="Times New Roman" w:hAnsi="Trebuchet MS" w:cs="Times New Roman"/>
          <w:color w:val="0C0C0F"/>
          <w:sz w:val="27"/>
          <w:szCs w:val="27"/>
          <w:lang w:eastAsia="it-IT"/>
        </w:rPr>
        <w:t>mministrazione di conformars</w:t>
      </w:r>
      <w:r>
        <w:rPr>
          <w:rFonts w:ascii="Trebuchet MS" w:eastAsia="Times New Roman" w:hAnsi="Trebuchet MS" w:cs="Times New Roman"/>
          <w:color w:val="0C0C0F"/>
          <w:sz w:val="27"/>
          <w:szCs w:val="27"/>
          <w:lang w:eastAsia="it-IT"/>
        </w:rPr>
        <w:t>i e “d</w:t>
      </w:r>
      <w:r w:rsidRPr="000E6CD4">
        <w:rPr>
          <w:rFonts w:ascii="Trebuchet MS" w:eastAsia="Times New Roman" w:hAnsi="Trebuchet MS" w:cs="Times New Roman"/>
          <w:color w:val="0C0C0F"/>
          <w:sz w:val="27"/>
          <w:szCs w:val="27"/>
          <w:lang w:eastAsia="it-IT"/>
        </w:rPr>
        <w:t>elle sentenze passate in giudicato e degli altri provvedimenti ad esse equiparati per i quali non sia previsto il rimedio dell’ottemperanza, al fine di ottenere l’adempimento dell’obbligo della pubblica amministrazione di conformarsi</w:t>
      </w:r>
      <w:r>
        <w:rPr>
          <w:rFonts w:ascii="Trebuchet MS" w:eastAsia="Times New Roman" w:hAnsi="Trebuchet MS" w:cs="Times New Roman"/>
          <w:color w:val="0C0C0F"/>
          <w:sz w:val="27"/>
          <w:szCs w:val="27"/>
          <w:lang w:eastAsia="it-IT"/>
        </w:rPr>
        <w:t>”.</w:t>
      </w:r>
    </w:p>
    <w:p w:rsidR="005A2D4E" w:rsidRPr="005A2D4E" w:rsidRDefault="005A2D4E" w:rsidP="005A2D4E">
      <w:pPr>
        <w:jc w:val="both"/>
        <w:rPr>
          <w:rFonts w:ascii="Trebuchet MS" w:eastAsia="Times New Roman" w:hAnsi="Trebuchet MS" w:cs="Times New Roman"/>
          <w:color w:val="0C0C0F"/>
          <w:sz w:val="27"/>
          <w:szCs w:val="27"/>
          <w:lang w:eastAsia="it-IT"/>
        </w:rPr>
      </w:pPr>
      <w:r>
        <w:rPr>
          <w:rFonts w:ascii="Trebuchet MS" w:eastAsia="Times New Roman" w:hAnsi="Trebuchet MS" w:cs="Times New Roman"/>
          <w:color w:val="0C0C0F"/>
          <w:sz w:val="27"/>
          <w:szCs w:val="27"/>
          <w:lang w:eastAsia="it-IT"/>
        </w:rPr>
        <w:t xml:space="preserve">Il Tar prima e poi anche il Consiglio di Stato, sezione V, nella sentenza n. 2866 del 2015, che ha respinto l’appello avverso la menzionata sentenza di primo grado, ha evidenziato, per un verso, che le </w:t>
      </w:r>
      <w:r w:rsidRPr="005A2D4E">
        <w:rPr>
          <w:rFonts w:ascii="Trebuchet MS" w:eastAsia="Times New Roman" w:hAnsi="Trebuchet MS" w:cs="Times New Roman"/>
          <w:color w:val="0C0C0F"/>
          <w:sz w:val="27"/>
          <w:szCs w:val="27"/>
          <w:lang w:eastAsia="it-IT"/>
        </w:rPr>
        <w:t xml:space="preserve">pronunce della Corte europea dei diritti dell'uomo non </w:t>
      </w:r>
      <w:r>
        <w:rPr>
          <w:rFonts w:ascii="Trebuchet MS" w:eastAsia="Times New Roman" w:hAnsi="Trebuchet MS" w:cs="Times New Roman"/>
          <w:color w:val="0C0C0F"/>
          <w:sz w:val="27"/>
          <w:szCs w:val="27"/>
          <w:lang w:eastAsia="it-IT"/>
        </w:rPr>
        <w:t xml:space="preserve">sono espressamente </w:t>
      </w:r>
      <w:r w:rsidRPr="005A2D4E">
        <w:rPr>
          <w:rFonts w:ascii="Trebuchet MS" w:eastAsia="Times New Roman" w:hAnsi="Trebuchet MS" w:cs="Times New Roman"/>
          <w:color w:val="0C0C0F"/>
          <w:sz w:val="27"/>
          <w:szCs w:val="27"/>
          <w:lang w:eastAsia="it-IT"/>
        </w:rPr>
        <w:t xml:space="preserve">contemplate tra i titoli per l'esecuzione dei quali </w:t>
      </w:r>
      <w:r w:rsidRPr="005A2D4E">
        <w:rPr>
          <w:rFonts w:ascii="Trebuchet MS" w:eastAsia="Times New Roman" w:hAnsi="Trebuchet MS" w:cs="Times New Roman"/>
          <w:color w:val="0C0C0F"/>
          <w:sz w:val="27"/>
          <w:szCs w:val="27"/>
          <w:lang w:eastAsia="it-IT"/>
        </w:rPr>
        <w:lastRenderedPageBreak/>
        <w:t xml:space="preserve">può essere proposta, ai sensi dell'art. 112 </w:t>
      </w:r>
      <w:proofErr w:type="spellStart"/>
      <w:r w:rsidRPr="005A2D4E">
        <w:rPr>
          <w:rFonts w:ascii="Trebuchet MS" w:eastAsia="Times New Roman" w:hAnsi="Trebuchet MS" w:cs="Times New Roman"/>
          <w:color w:val="0C0C0F"/>
          <w:sz w:val="27"/>
          <w:szCs w:val="27"/>
          <w:lang w:eastAsia="it-IT"/>
        </w:rPr>
        <w:t>c.p.a</w:t>
      </w:r>
      <w:proofErr w:type="spellEnd"/>
      <w:r w:rsidRPr="005A2D4E">
        <w:rPr>
          <w:rFonts w:ascii="Trebuchet MS" w:eastAsia="Times New Roman" w:hAnsi="Trebuchet MS" w:cs="Times New Roman"/>
          <w:color w:val="0C0C0F"/>
          <w:sz w:val="27"/>
          <w:szCs w:val="27"/>
          <w:lang w:eastAsia="it-IT"/>
        </w:rPr>
        <w:t>., l'azione di ottemperanza</w:t>
      </w:r>
      <w:r>
        <w:rPr>
          <w:rFonts w:ascii="Trebuchet MS" w:eastAsia="Times New Roman" w:hAnsi="Trebuchet MS" w:cs="Times New Roman"/>
          <w:color w:val="0C0C0F"/>
          <w:sz w:val="27"/>
          <w:szCs w:val="27"/>
          <w:lang w:eastAsia="it-IT"/>
        </w:rPr>
        <w:t>, per altro verso, che</w:t>
      </w:r>
      <w:r w:rsidRPr="005A2D4E">
        <w:rPr>
          <w:rFonts w:ascii="Trebuchet MS" w:eastAsia="Times New Roman" w:hAnsi="Trebuchet MS" w:cs="Times New Roman"/>
          <w:color w:val="0C0C0F"/>
          <w:sz w:val="27"/>
          <w:szCs w:val="27"/>
          <w:lang w:eastAsia="it-IT"/>
        </w:rPr>
        <w:t xml:space="preserve"> non può dedursi un ampliamento della nozione evincibile dalla lettera d) del comma 2 del suddetto articolo (in riferimento alle sentenze passate in giudicato e altri provvedimenti ad essi equiparati per i quali non sia previsto il rimedio dell'ottemperanza) soprattutto perché gli strumenti di adeguamento a decisioni di giudici non nazionali trovano compiuta regolamentazione in altri settori dell'ordinamento (e in generale dalla legge n. 218</w:t>
      </w:r>
      <w:r w:rsidR="00D12EAC">
        <w:rPr>
          <w:rFonts w:ascii="Trebuchet MS" w:eastAsia="Times New Roman" w:hAnsi="Trebuchet MS" w:cs="Times New Roman"/>
          <w:color w:val="0C0C0F"/>
          <w:sz w:val="27"/>
          <w:szCs w:val="27"/>
          <w:lang w:eastAsia="it-IT"/>
        </w:rPr>
        <w:t xml:space="preserve"> del 1995:</w:t>
      </w:r>
      <w:r w:rsidRPr="005A2D4E">
        <w:rPr>
          <w:rFonts w:ascii="Trebuchet MS" w:eastAsia="Times New Roman" w:hAnsi="Trebuchet MS" w:cs="Times New Roman"/>
          <w:color w:val="0C0C0F"/>
          <w:sz w:val="27"/>
          <w:szCs w:val="27"/>
          <w:lang w:eastAsia="it-IT"/>
        </w:rPr>
        <w:t xml:space="preserve"> "Riforma del sistema italiano di diritto internazionale privato" che, all'art. 2, fa rinvio ai modi di applicazione delle diverse convenzioni internazionali).</w:t>
      </w:r>
    </w:p>
    <w:p w:rsidR="005A2D4E" w:rsidRDefault="005A2D4E" w:rsidP="005A2D4E">
      <w:pPr>
        <w:jc w:val="both"/>
        <w:rPr>
          <w:rFonts w:ascii="Trebuchet MS" w:eastAsia="Times New Roman" w:hAnsi="Trebuchet MS" w:cs="Times New Roman"/>
          <w:color w:val="0C0C0F"/>
          <w:sz w:val="27"/>
          <w:szCs w:val="27"/>
          <w:lang w:eastAsia="it-IT"/>
        </w:rPr>
      </w:pPr>
      <w:r>
        <w:rPr>
          <w:rFonts w:ascii="Trebuchet MS" w:eastAsia="Times New Roman" w:hAnsi="Trebuchet MS" w:cs="Times New Roman"/>
          <w:color w:val="0C0C0F"/>
          <w:sz w:val="27"/>
          <w:szCs w:val="27"/>
          <w:lang w:eastAsia="it-IT"/>
        </w:rPr>
        <w:t xml:space="preserve">Si legge ancora che </w:t>
      </w:r>
      <w:r w:rsidRPr="005A2D4E">
        <w:rPr>
          <w:rFonts w:ascii="Trebuchet MS" w:eastAsia="Times New Roman" w:hAnsi="Trebuchet MS" w:cs="Times New Roman"/>
          <w:color w:val="0C0C0F"/>
          <w:sz w:val="27"/>
          <w:szCs w:val="27"/>
          <w:lang w:eastAsia="it-IT"/>
        </w:rPr>
        <w:t xml:space="preserve">anche le sentenze della Corte di giustizia dell'Unione europea, decisioni caratterizzate da un effetto dai contenuti molto maggiori di quelle delle altre corti internazionali, diventano esecutive nel territorio nazionale a seguito dell'apposita procedura di cui al </w:t>
      </w:r>
      <w:proofErr w:type="spellStart"/>
      <w:r w:rsidRPr="005A2D4E">
        <w:rPr>
          <w:rFonts w:ascii="Trebuchet MS" w:eastAsia="Times New Roman" w:hAnsi="Trebuchet MS" w:cs="Times New Roman"/>
          <w:color w:val="0C0C0F"/>
          <w:sz w:val="27"/>
          <w:szCs w:val="27"/>
          <w:lang w:eastAsia="it-IT"/>
        </w:rPr>
        <w:t>d.P.R.</w:t>
      </w:r>
      <w:proofErr w:type="spellEnd"/>
      <w:r w:rsidRPr="005A2D4E">
        <w:rPr>
          <w:rFonts w:ascii="Trebuchet MS" w:eastAsia="Times New Roman" w:hAnsi="Trebuchet MS" w:cs="Times New Roman"/>
          <w:color w:val="0C0C0F"/>
          <w:sz w:val="27"/>
          <w:szCs w:val="27"/>
          <w:lang w:eastAsia="it-IT"/>
        </w:rPr>
        <w:t xml:space="preserve"> n. 1824</w:t>
      </w:r>
      <w:r>
        <w:rPr>
          <w:rFonts w:ascii="Trebuchet MS" w:eastAsia="Times New Roman" w:hAnsi="Trebuchet MS" w:cs="Times New Roman"/>
          <w:color w:val="0C0C0F"/>
          <w:sz w:val="27"/>
          <w:szCs w:val="27"/>
          <w:lang w:eastAsia="it-IT"/>
        </w:rPr>
        <w:t xml:space="preserve"> del 1960</w:t>
      </w:r>
      <w:r w:rsidRPr="005A2D4E">
        <w:rPr>
          <w:rFonts w:ascii="Trebuchet MS" w:eastAsia="Times New Roman" w:hAnsi="Trebuchet MS" w:cs="Times New Roman"/>
          <w:color w:val="0C0C0F"/>
          <w:sz w:val="27"/>
          <w:szCs w:val="27"/>
          <w:lang w:eastAsia="it-IT"/>
        </w:rPr>
        <w:t xml:space="preserve"> "Apposizione della formula esecutiva sulle sentenze della Corte di giustizia unica per le Comunità europee e sulle decisioni degli organi delle Comunità europee", che si colloca a valle dell'apposita norma del Trattato sul funzionamento dell'Unione europea, dove si prevede che le sentenze della Corte di giustizia dell'Unione europea (e quelle del Tribunale di prima istanza, a cui si estende la disciplina, giusta il rinvio dato dall'art. 254) hanno forza esecutiva (art. 280).</w:t>
      </w:r>
    </w:p>
    <w:p w:rsidR="005A2D4E" w:rsidRPr="005A2D4E" w:rsidRDefault="005A2D4E" w:rsidP="005A2D4E">
      <w:pPr>
        <w:jc w:val="both"/>
        <w:rPr>
          <w:rFonts w:ascii="Trebuchet MS" w:eastAsia="Times New Roman" w:hAnsi="Trebuchet MS" w:cs="Times New Roman"/>
          <w:color w:val="0C0C0F"/>
          <w:sz w:val="27"/>
          <w:szCs w:val="27"/>
          <w:lang w:eastAsia="it-IT"/>
        </w:rPr>
      </w:pPr>
      <w:r w:rsidRPr="005A2D4E">
        <w:rPr>
          <w:rFonts w:ascii="Trebuchet MS" w:eastAsia="Times New Roman" w:hAnsi="Trebuchet MS" w:cs="Times New Roman"/>
          <w:color w:val="0C0C0F"/>
          <w:sz w:val="27"/>
          <w:szCs w:val="27"/>
          <w:lang w:eastAsia="it-IT"/>
        </w:rPr>
        <w:t xml:space="preserve">Il meccanismo per l'esecuzione delle sentenze della Corte europea dei diritti dell'uomo </w:t>
      </w:r>
      <w:r>
        <w:rPr>
          <w:rFonts w:ascii="Trebuchet MS" w:eastAsia="Times New Roman" w:hAnsi="Trebuchet MS" w:cs="Times New Roman"/>
          <w:color w:val="0C0C0F"/>
          <w:sz w:val="27"/>
          <w:szCs w:val="27"/>
          <w:lang w:eastAsia="it-IT"/>
        </w:rPr>
        <w:t>è</w:t>
      </w:r>
      <w:r w:rsidRPr="005A2D4E">
        <w:rPr>
          <w:rFonts w:ascii="Trebuchet MS" w:eastAsia="Times New Roman" w:hAnsi="Trebuchet MS" w:cs="Times New Roman"/>
          <w:color w:val="0C0C0F"/>
          <w:sz w:val="27"/>
          <w:szCs w:val="27"/>
          <w:lang w:eastAsia="it-IT"/>
        </w:rPr>
        <w:t xml:space="preserve"> autonomamente costruito, secondo le regole valevoli nell'ambito dell'ordinamento internazionale, dallo stesso trattato istitutivo, </w:t>
      </w:r>
      <w:r>
        <w:rPr>
          <w:rFonts w:ascii="Trebuchet MS" w:eastAsia="Times New Roman" w:hAnsi="Trebuchet MS" w:cs="Times New Roman"/>
          <w:color w:val="0C0C0F"/>
          <w:sz w:val="27"/>
          <w:szCs w:val="27"/>
          <w:lang w:eastAsia="it-IT"/>
        </w:rPr>
        <w:t xml:space="preserve">come è stato già rappresentato nella presente disamina. </w:t>
      </w:r>
    </w:p>
    <w:p w:rsidR="00323AF2" w:rsidRDefault="00323AF2" w:rsidP="00780A65">
      <w:pPr>
        <w:pStyle w:val="NormaleWeb"/>
        <w:shd w:val="clear" w:color="auto" w:fill="FFFFFF"/>
        <w:spacing w:before="0" w:beforeAutospacing="0" w:after="150" w:afterAutospacing="0" w:line="360" w:lineRule="atLeast"/>
        <w:jc w:val="both"/>
        <w:rPr>
          <w:rFonts w:ascii="Trebuchet MS" w:hAnsi="Trebuchet MS"/>
          <w:color w:val="4A4A4A"/>
          <w:sz w:val="27"/>
          <w:szCs w:val="27"/>
        </w:rPr>
      </w:pPr>
      <w:r w:rsidRPr="008524EC">
        <w:rPr>
          <w:rFonts w:ascii="Trebuchet MS" w:hAnsi="Trebuchet MS"/>
          <w:color w:val="4A4A4A"/>
          <w:sz w:val="27"/>
          <w:szCs w:val="27"/>
        </w:rPr>
        <w:lastRenderedPageBreak/>
        <w:t>L'autonomia del sistema</w:t>
      </w:r>
      <w:r w:rsidR="005A2D4E">
        <w:rPr>
          <w:rFonts w:ascii="Trebuchet MS" w:hAnsi="Trebuchet MS"/>
          <w:color w:val="4A4A4A"/>
          <w:sz w:val="27"/>
          <w:szCs w:val="27"/>
        </w:rPr>
        <w:t xml:space="preserve"> </w:t>
      </w:r>
      <w:r w:rsidRPr="008524EC">
        <w:rPr>
          <w:rFonts w:ascii="Trebuchet MS" w:hAnsi="Trebuchet MS"/>
          <w:color w:val="4A4A4A"/>
          <w:sz w:val="27"/>
          <w:szCs w:val="27"/>
        </w:rPr>
        <w:t xml:space="preserve">è ribadita dalla giurisprudenza nazionale, sia essa costituzionale (dove si è espressamente affermato che le norme CEDU "vincolano lo Stato, ma non producono effetti diretti nell'ordinamento interno" -sentenze </w:t>
      </w:r>
      <w:proofErr w:type="spellStart"/>
      <w:r w:rsidRPr="008524EC">
        <w:rPr>
          <w:rFonts w:ascii="Trebuchet MS" w:hAnsi="Trebuchet MS"/>
          <w:color w:val="4A4A4A"/>
          <w:sz w:val="27"/>
          <w:szCs w:val="27"/>
        </w:rPr>
        <w:t>n</w:t>
      </w:r>
      <w:r w:rsidR="007707EE">
        <w:rPr>
          <w:rFonts w:ascii="Trebuchet MS" w:hAnsi="Trebuchet MS"/>
          <w:color w:val="4A4A4A"/>
          <w:sz w:val="27"/>
          <w:szCs w:val="27"/>
        </w:rPr>
        <w:t>n</w:t>
      </w:r>
      <w:proofErr w:type="spellEnd"/>
      <w:r w:rsidRPr="008524EC">
        <w:rPr>
          <w:rFonts w:ascii="Trebuchet MS" w:hAnsi="Trebuchet MS"/>
          <w:color w:val="4A4A4A"/>
          <w:sz w:val="27"/>
          <w:szCs w:val="27"/>
        </w:rPr>
        <w:t>.</w:t>
      </w:r>
      <w:r w:rsidR="00D12EAC">
        <w:rPr>
          <w:rFonts w:ascii="Trebuchet MS" w:hAnsi="Trebuchet MS"/>
          <w:color w:val="4A4A4A"/>
          <w:sz w:val="27"/>
          <w:szCs w:val="27"/>
        </w:rPr>
        <w:t xml:space="preserve"> </w:t>
      </w:r>
      <w:r w:rsidRPr="008524EC">
        <w:rPr>
          <w:rFonts w:ascii="Trebuchet MS" w:hAnsi="Trebuchet MS"/>
          <w:color w:val="4A4A4A"/>
          <w:sz w:val="27"/>
          <w:szCs w:val="27"/>
        </w:rPr>
        <w:t>348 e </w:t>
      </w:r>
      <w:hyperlink r:id="rId6" w:anchor="/ricerca/giurisprudenza_documento?idDatabank=4&amp;idDocMaster=2263770&amp;idUnitaDoc=0&amp;nVigUnitaDoc=1&amp;docIdx=1&amp;isCorrelazioniSearch=true&amp;correlatoA=Giurisprudenza" w:history="1">
        <w:r w:rsidRPr="007707EE">
          <w:rPr>
            <w:rStyle w:val="Collegamentoipertestuale"/>
            <w:rFonts w:ascii="Trebuchet MS" w:hAnsi="Trebuchet MS"/>
            <w:color w:val="auto"/>
            <w:sz w:val="27"/>
            <w:szCs w:val="27"/>
            <w:u w:val="none"/>
          </w:rPr>
          <w:t>349 del 2007</w:t>
        </w:r>
      </w:hyperlink>
      <w:r w:rsidRPr="008524EC">
        <w:rPr>
          <w:rFonts w:ascii="Trebuchet MS" w:hAnsi="Trebuchet MS"/>
          <w:color w:val="4A4A4A"/>
          <w:sz w:val="27"/>
          <w:szCs w:val="27"/>
        </w:rPr>
        <w:t>-, affermazione confermata anche successivamente all'entrata in vigore del Trattato di Lisbona -sentenza n. 80 del 2011- e che le decisioni della Corte europea dei diritti dell'uomo creino vincoli sul solo piano internazionale -sentenza n. 129 del 2008, sulla carenza nell'ordinamento nazionale di strumenti preordinati a garantire l'effettività del citato articolo 46 della Convenzione europea dei diritti dell'uomo), civile (in quanto le Sezioni unite della Corte di Cassazione hanno notato che "le sentenze definitive della Corte europea dei diritti dell'uomo, con le quali sono accertate e dichiarate violazioni della Convenzione e/o dei suoi Protocolli, non incidono direttamente nell'ordinamento giuridico dello Stato convenuto, vincolando invece, sul piano internazionale appunto, soltanto quest'ultimo a conformarvisi" - ordinanza 16 maggio 2013, n. 11826) ed</w:t>
      </w:r>
      <w:r w:rsidRPr="008524EC">
        <w:rPr>
          <w:rFonts w:ascii="Trebuchet MS" w:hAnsi="Trebuchet MS"/>
        </w:rPr>
        <w:t xml:space="preserve"> </w:t>
      </w:r>
      <w:r w:rsidRPr="008524EC">
        <w:rPr>
          <w:rFonts w:ascii="Trebuchet MS" w:hAnsi="Trebuchet MS"/>
          <w:color w:val="4A4A4A"/>
          <w:sz w:val="27"/>
          <w:szCs w:val="27"/>
        </w:rPr>
        <w:t xml:space="preserve">amministrativa ("le decisioni della Corte europea non sono assimilabili ad un titolo esecutivo giudiziale suscettibile di esecuzione forzata nei confronti dello Stato contraente condannato dalla Corte, poiché nessuna disposizione della Convenzione prevede meccanismi esecutivi diretti di tali provvedimenti. Esse, in altre parole, creano reciproci vincoli obbligatori tra gli Stati membri e non danno luogo ad obbligazioni di tipo privato nei confronti dei ricorrenti vittoriosi, ciò che urterebbe contro la lettera della Convenzione e i comuni principi di diritto internazionale riconosciuti dagli Stati contraenti" </w:t>
      </w:r>
      <w:r w:rsidR="007707EE">
        <w:rPr>
          <w:rFonts w:ascii="Trebuchet MS" w:hAnsi="Trebuchet MS"/>
          <w:color w:val="4A4A4A"/>
          <w:sz w:val="27"/>
          <w:szCs w:val="27"/>
        </w:rPr>
        <w:t>(</w:t>
      </w:r>
      <w:proofErr w:type="spellStart"/>
      <w:r w:rsidRPr="008524EC">
        <w:rPr>
          <w:rFonts w:ascii="Trebuchet MS" w:hAnsi="Trebuchet MS"/>
          <w:color w:val="4A4A4A"/>
          <w:sz w:val="27"/>
          <w:szCs w:val="27"/>
        </w:rPr>
        <w:t>T.</w:t>
      </w:r>
      <w:r w:rsidR="007707EE">
        <w:rPr>
          <w:rFonts w:ascii="Trebuchet MS" w:hAnsi="Trebuchet MS"/>
          <w:color w:val="4A4A4A"/>
          <w:sz w:val="27"/>
          <w:szCs w:val="27"/>
        </w:rPr>
        <w:t>a</w:t>
      </w:r>
      <w:r w:rsidRPr="008524EC">
        <w:rPr>
          <w:rFonts w:ascii="Trebuchet MS" w:hAnsi="Trebuchet MS"/>
          <w:color w:val="4A4A4A"/>
          <w:sz w:val="27"/>
          <w:szCs w:val="27"/>
        </w:rPr>
        <w:t>.</w:t>
      </w:r>
      <w:r w:rsidR="007707EE">
        <w:rPr>
          <w:rFonts w:ascii="Trebuchet MS" w:hAnsi="Trebuchet MS"/>
          <w:color w:val="4A4A4A"/>
          <w:sz w:val="27"/>
          <w:szCs w:val="27"/>
        </w:rPr>
        <w:t>r</w:t>
      </w:r>
      <w:proofErr w:type="spellEnd"/>
      <w:r w:rsidRPr="008524EC">
        <w:rPr>
          <w:rFonts w:ascii="Trebuchet MS" w:hAnsi="Trebuchet MS"/>
          <w:color w:val="4A4A4A"/>
          <w:sz w:val="27"/>
          <w:szCs w:val="27"/>
        </w:rPr>
        <w:t>. Sicilia, Catania, 6 febbraio 2014, n. 424).</w:t>
      </w:r>
    </w:p>
    <w:p w:rsidR="007707EE" w:rsidRPr="008524EC" w:rsidRDefault="007707EE" w:rsidP="00780A65">
      <w:pPr>
        <w:pStyle w:val="NormaleWeb"/>
        <w:shd w:val="clear" w:color="auto" w:fill="FFFFFF"/>
        <w:spacing w:before="0" w:beforeAutospacing="0" w:after="150" w:afterAutospacing="0" w:line="360" w:lineRule="atLeast"/>
        <w:jc w:val="both"/>
        <w:rPr>
          <w:rFonts w:ascii="Trebuchet MS" w:hAnsi="Trebuchet MS"/>
          <w:color w:val="4A4A4A"/>
          <w:sz w:val="27"/>
          <w:szCs w:val="27"/>
        </w:rPr>
      </w:pPr>
      <w:r w:rsidRPr="007707EE">
        <w:rPr>
          <w:rFonts w:ascii="Trebuchet MS" w:hAnsi="Trebuchet MS"/>
          <w:color w:val="4A4A4A"/>
          <w:sz w:val="27"/>
          <w:szCs w:val="27"/>
        </w:rPr>
        <w:lastRenderedPageBreak/>
        <w:t xml:space="preserve">In senso contrario si è peraltro osservato che il sistema di esecuzione delle sentenze EDU, per quanto rafforzato dalle recenti modifiche, non offre al singolo individuo una via di accesso diretta (che non sia un’istanza al Comitato dei ministri o, sul piano interno, la possibile attivazione della procedura del silenzio); che il dato testuale dell’art. 112 </w:t>
      </w:r>
      <w:proofErr w:type="spellStart"/>
      <w:r w:rsidRPr="007707EE">
        <w:rPr>
          <w:rFonts w:ascii="Trebuchet MS" w:hAnsi="Trebuchet MS"/>
          <w:color w:val="4A4A4A"/>
          <w:sz w:val="27"/>
          <w:szCs w:val="27"/>
        </w:rPr>
        <w:t>c.p.a</w:t>
      </w:r>
      <w:proofErr w:type="spellEnd"/>
      <w:r w:rsidRPr="007707EE">
        <w:rPr>
          <w:rFonts w:ascii="Trebuchet MS" w:hAnsi="Trebuchet MS"/>
          <w:color w:val="4A4A4A"/>
          <w:sz w:val="27"/>
          <w:szCs w:val="27"/>
        </w:rPr>
        <w:t xml:space="preserve">. non è determinante, se pensiamo come non sia stato determinante nel caso dell’esecuzione delle decisioni rese sul ricorso straordinario; che, su un piano più generale, il Sistema </w:t>
      </w:r>
      <w:proofErr w:type="spellStart"/>
      <w:r w:rsidRPr="007707EE">
        <w:rPr>
          <w:rFonts w:ascii="Trebuchet MS" w:hAnsi="Trebuchet MS"/>
          <w:color w:val="4A4A4A"/>
          <w:sz w:val="27"/>
          <w:szCs w:val="27"/>
        </w:rPr>
        <w:t>Cedu</w:t>
      </w:r>
      <w:proofErr w:type="spellEnd"/>
      <w:r w:rsidRPr="007707EE">
        <w:rPr>
          <w:rFonts w:ascii="Trebuchet MS" w:hAnsi="Trebuchet MS"/>
          <w:color w:val="4A4A4A"/>
          <w:sz w:val="27"/>
          <w:szCs w:val="27"/>
        </w:rPr>
        <w:t xml:space="preserve"> già fuoriesce, per molti aspetti, dalla tradizione del diritto internazionale.</w:t>
      </w:r>
    </w:p>
    <w:p w:rsidR="00B25F6E" w:rsidRDefault="007707EE" w:rsidP="00780A65">
      <w:pPr>
        <w:pStyle w:val="NormaleWeb"/>
        <w:shd w:val="clear" w:color="auto" w:fill="FFFFFF"/>
        <w:spacing w:before="0" w:beforeAutospacing="0" w:after="150" w:afterAutospacing="0" w:line="360" w:lineRule="atLeast"/>
        <w:jc w:val="both"/>
        <w:rPr>
          <w:rFonts w:ascii="Trebuchet MS" w:hAnsi="Trebuchet MS"/>
          <w:color w:val="4A4A4A"/>
          <w:sz w:val="27"/>
          <w:szCs w:val="27"/>
        </w:rPr>
      </w:pPr>
      <w:r>
        <w:rPr>
          <w:rFonts w:ascii="Trebuchet MS" w:hAnsi="Trebuchet MS"/>
          <w:color w:val="4A4A4A"/>
          <w:sz w:val="27"/>
          <w:szCs w:val="27"/>
        </w:rPr>
        <w:t xml:space="preserve">La </w:t>
      </w:r>
      <w:r w:rsidR="00E43271" w:rsidRPr="008524EC">
        <w:rPr>
          <w:rFonts w:ascii="Trebuchet MS" w:hAnsi="Trebuchet MS"/>
          <w:color w:val="4A4A4A"/>
          <w:sz w:val="27"/>
          <w:szCs w:val="27"/>
        </w:rPr>
        <w:t xml:space="preserve">Corte ha riconosciuto che essa non è, in teoria, tenuta a definire controversie di natura puramente privata, però immediatamente aggiungendo che </w:t>
      </w:r>
      <w:r w:rsidRPr="00B96D5D">
        <w:rPr>
          <w:rFonts w:ascii="Trebuchet MS" w:hAnsi="Trebuchet MS"/>
          <w:i/>
          <w:color w:val="4A4A4A"/>
          <w:sz w:val="27"/>
          <w:szCs w:val="27"/>
        </w:rPr>
        <w:t>“</w:t>
      </w:r>
      <w:r w:rsidR="00E43271" w:rsidRPr="00B96D5D">
        <w:rPr>
          <w:rFonts w:ascii="Trebuchet MS" w:hAnsi="Trebuchet MS"/>
          <w:i/>
          <w:color w:val="4A4A4A"/>
          <w:sz w:val="27"/>
          <w:szCs w:val="27"/>
        </w:rPr>
        <w:t>nell’esercizio del controllo europeo che le spetta, non può rimanere passiva laddove l’interpretazione da parte di un tribunale interno di un atto giuridico, sia esso una disposizione testamentaria, un contratto privato, un documento pubblico, una disposizione di legge o una prassi amministrativa, appaia illogica, arbitraria, discriminatoria o, più in generale, incompatibile con i principi sottostanti alla Convenzione</w:t>
      </w:r>
      <w:r w:rsidRPr="00B96D5D">
        <w:rPr>
          <w:rFonts w:ascii="Trebuchet MS" w:hAnsi="Trebuchet MS"/>
          <w:i/>
          <w:color w:val="4A4A4A"/>
          <w:sz w:val="27"/>
          <w:szCs w:val="27"/>
        </w:rPr>
        <w:t>”</w:t>
      </w:r>
      <w:r w:rsidR="00E43271" w:rsidRPr="008524EC">
        <w:rPr>
          <w:rFonts w:ascii="Trebuchet MS" w:hAnsi="Trebuchet MS"/>
          <w:color w:val="4A4A4A"/>
          <w:sz w:val="27"/>
          <w:szCs w:val="27"/>
        </w:rPr>
        <w:t xml:space="preserve"> (Corte </w:t>
      </w:r>
      <w:proofErr w:type="spellStart"/>
      <w:r w:rsidR="00E43271" w:rsidRPr="008524EC">
        <w:rPr>
          <w:rFonts w:ascii="Trebuchet MS" w:hAnsi="Trebuchet MS"/>
          <w:color w:val="4A4A4A"/>
          <w:sz w:val="27"/>
          <w:szCs w:val="27"/>
        </w:rPr>
        <w:t>Edu</w:t>
      </w:r>
      <w:proofErr w:type="spellEnd"/>
      <w:r w:rsidR="00E43271" w:rsidRPr="008524EC">
        <w:rPr>
          <w:rFonts w:ascii="Trebuchet MS" w:hAnsi="Trebuchet MS"/>
          <w:color w:val="4A4A4A"/>
          <w:sz w:val="27"/>
          <w:szCs w:val="27"/>
        </w:rPr>
        <w:t xml:space="preserve">, </w:t>
      </w:r>
      <w:proofErr w:type="spellStart"/>
      <w:r w:rsidR="00E43271" w:rsidRPr="008524EC">
        <w:rPr>
          <w:rFonts w:ascii="Trebuchet MS" w:hAnsi="Trebuchet MS"/>
          <w:color w:val="4A4A4A"/>
          <w:sz w:val="27"/>
          <w:szCs w:val="27"/>
        </w:rPr>
        <w:t>Pla</w:t>
      </w:r>
      <w:proofErr w:type="spellEnd"/>
      <w:r w:rsidR="00E43271" w:rsidRPr="008524EC">
        <w:rPr>
          <w:rFonts w:ascii="Trebuchet MS" w:hAnsi="Trebuchet MS"/>
          <w:color w:val="4A4A4A"/>
          <w:sz w:val="27"/>
          <w:szCs w:val="27"/>
        </w:rPr>
        <w:t xml:space="preserve"> e </w:t>
      </w:r>
      <w:proofErr w:type="spellStart"/>
      <w:r w:rsidR="00E43271" w:rsidRPr="008524EC">
        <w:rPr>
          <w:rFonts w:ascii="Trebuchet MS" w:hAnsi="Trebuchet MS"/>
          <w:color w:val="4A4A4A"/>
          <w:sz w:val="27"/>
          <w:szCs w:val="27"/>
        </w:rPr>
        <w:t>Puncernau</w:t>
      </w:r>
      <w:proofErr w:type="spellEnd"/>
      <w:r w:rsidR="00E43271" w:rsidRPr="008524EC">
        <w:rPr>
          <w:rFonts w:ascii="Trebuchet MS" w:hAnsi="Trebuchet MS"/>
          <w:color w:val="4A4A4A"/>
          <w:sz w:val="27"/>
          <w:szCs w:val="27"/>
        </w:rPr>
        <w:t xml:space="preserve"> c. Andorra, 13 luglio 2004, § 59 e </w:t>
      </w:r>
      <w:proofErr w:type="spellStart"/>
      <w:r w:rsidR="00E43271" w:rsidRPr="008524EC">
        <w:rPr>
          <w:rFonts w:ascii="Trebuchet MS" w:hAnsi="Trebuchet MS"/>
          <w:color w:val="4A4A4A"/>
          <w:sz w:val="27"/>
          <w:szCs w:val="27"/>
        </w:rPr>
        <w:t>Khurshid</w:t>
      </w:r>
      <w:proofErr w:type="spellEnd"/>
      <w:r w:rsidR="00E43271" w:rsidRPr="008524EC">
        <w:rPr>
          <w:rFonts w:ascii="Trebuchet MS" w:hAnsi="Trebuchet MS"/>
          <w:color w:val="4A4A4A"/>
          <w:sz w:val="27"/>
          <w:szCs w:val="27"/>
        </w:rPr>
        <w:t xml:space="preserve"> </w:t>
      </w:r>
      <w:proofErr w:type="spellStart"/>
      <w:r w:rsidR="00E43271" w:rsidRPr="008524EC">
        <w:rPr>
          <w:rFonts w:ascii="Trebuchet MS" w:hAnsi="Trebuchet MS"/>
          <w:color w:val="4A4A4A"/>
          <w:sz w:val="27"/>
          <w:szCs w:val="27"/>
        </w:rPr>
        <w:t>Mustafa</w:t>
      </w:r>
      <w:proofErr w:type="spellEnd"/>
      <w:r w:rsidR="00E43271" w:rsidRPr="008524EC">
        <w:rPr>
          <w:rFonts w:ascii="Trebuchet MS" w:hAnsi="Trebuchet MS"/>
          <w:color w:val="4A4A4A"/>
          <w:sz w:val="27"/>
          <w:szCs w:val="27"/>
        </w:rPr>
        <w:t xml:space="preserve"> e </w:t>
      </w:r>
      <w:proofErr w:type="spellStart"/>
      <w:r w:rsidR="00E43271" w:rsidRPr="008524EC">
        <w:rPr>
          <w:rFonts w:ascii="Trebuchet MS" w:hAnsi="Trebuchet MS"/>
          <w:color w:val="4A4A4A"/>
          <w:sz w:val="27"/>
          <w:szCs w:val="27"/>
        </w:rPr>
        <w:t>Tarzibachi</w:t>
      </w:r>
      <w:proofErr w:type="spellEnd"/>
      <w:r w:rsidR="00E43271" w:rsidRPr="008524EC">
        <w:rPr>
          <w:rFonts w:ascii="Trebuchet MS" w:hAnsi="Trebuchet MS"/>
          <w:color w:val="4A4A4A"/>
          <w:sz w:val="27"/>
          <w:szCs w:val="27"/>
        </w:rPr>
        <w:t xml:space="preserve"> c. Svezia, 16 dicembre 2008).</w:t>
      </w:r>
    </w:p>
    <w:p w:rsidR="00E43271" w:rsidRPr="008524EC" w:rsidRDefault="00FD7853" w:rsidP="00FD7853">
      <w:pPr>
        <w:pStyle w:val="NormaleWeb"/>
        <w:shd w:val="clear" w:color="auto" w:fill="FFFFFF"/>
        <w:spacing w:before="0" w:beforeAutospacing="0" w:after="150" w:afterAutospacing="0" w:line="360" w:lineRule="atLeast"/>
        <w:jc w:val="both"/>
        <w:rPr>
          <w:rFonts w:ascii="Trebuchet MS" w:hAnsi="Trebuchet MS"/>
          <w:color w:val="4A4A4A"/>
          <w:sz w:val="27"/>
          <w:szCs w:val="27"/>
        </w:rPr>
      </w:pPr>
      <w:r>
        <w:rPr>
          <w:rFonts w:ascii="Trebuchet MS" w:hAnsi="Trebuchet MS"/>
          <w:color w:val="4A4A4A"/>
          <w:sz w:val="27"/>
          <w:szCs w:val="27"/>
        </w:rPr>
        <w:t xml:space="preserve">Sotto altro profilo, con ordinanza n. 2 del 2015, l’Adunanza plenaria del Consiglio di Stato ha sollevato la questione di legittimità costituzionale degli artt. 106 </w:t>
      </w:r>
      <w:proofErr w:type="spellStart"/>
      <w:r>
        <w:rPr>
          <w:rFonts w:ascii="Trebuchet MS" w:hAnsi="Trebuchet MS"/>
          <w:color w:val="4A4A4A"/>
          <w:sz w:val="27"/>
          <w:szCs w:val="27"/>
        </w:rPr>
        <w:t>c.p.a</w:t>
      </w:r>
      <w:proofErr w:type="spellEnd"/>
      <w:r>
        <w:rPr>
          <w:rFonts w:ascii="Trebuchet MS" w:hAnsi="Trebuchet MS"/>
          <w:color w:val="4A4A4A"/>
          <w:sz w:val="27"/>
          <w:szCs w:val="27"/>
        </w:rPr>
        <w:t xml:space="preserve">. e 395 e 396 </w:t>
      </w:r>
      <w:proofErr w:type="spellStart"/>
      <w:r>
        <w:rPr>
          <w:rFonts w:ascii="Trebuchet MS" w:hAnsi="Trebuchet MS"/>
          <w:color w:val="4A4A4A"/>
          <w:sz w:val="27"/>
          <w:szCs w:val="27"/>
        </w:rPr>
        <w:t>c.p.c.</w:t>
      </w:r>
      <w:proofErr w:type="spellEnd"/>
      <w:r>
        <w:rPr>
          <w:rFonts w:ascii="Trebuchet MS" w:hAnsi="Trebuchet MS"/>
          <w:color w:val="4A4A4A"/>
          <w:sz w:val="27"/>
          <w:szCs w:val="27"/>
        </w:rPr>
        <w:t xml:space="preserve"> in relazione agli artt. 117, comma 1, 111 e 24 </w:t>
      </w:r>
      <w:proofErr w:type="spellStart"/>
      <w:r>
        <w:rPr>
          <w:rFonts w:ascii="Trebuchet MS" w:hAnsi="Trebuchet MS"/>
          <w:color w:val="4A4A4A"/>
          <w:sz w:val="27"/>
          <w:szCs w:val="27"/>
        </w:rPr>
        <w:t>Cost</w:t>
      </w:r>
      <w:proofErr w:type="spellEnd"/>
      <w:r>
        <w:rPr>
          <w:rFonts w:ascii="Trebuchet MS" w:hAnsi="Trebuchet MS"/>
          <w:color w:val="4A4A4A"/>
          <w:sz w:val="27"/>
          <w:szCs w:val="27"/>
        </w:rPr>
        <w:t xml:space="preserve">., nella parte in cui non prevedono un diverso caso di revocazione della sentenza quando ciò sia necessario per conformarsi ad una sentenza definitiva della Corte </w:t>
      </w:r>
      <w:proofErr w:type="spellStart"/>
      <w:r>
        <w:rPr>
          <w:rFonts w:ascii="Trebuchet MS" w:hAnsi="Trebuchet MS"/>
          <w:color w:val="4A4A4A"/>
          <w:sz w:val="27"/>
          <w:szCs w:val="27"/>
        </w:rPr>
        <w:t>Edu</w:t>
      </w:r>
      <w:proofErr w:type="spellEnd"/>
      <w:r>
        <w:rPr>
          <w:rFonts w:ascii="Trebuchet MS" w:hAnsi="Trebuchet MS"/>
          <w:color w:val="4A4A4A"/>
          <w:sz w:val="27"/>
          <w:szCs w:val="27"/>
        </w:rPr>
        <w:t xml:space="preserve">. </w:t>
      </w:r>
      <w:r>
        <w:rPr>
          <w:rFonts w:ascii="Trebuchet MS" w:hAnsi="Trebuchet MS"/>
          <w:color w:val="4A4A4A"/>
          <w:sz w:val="27"/>
          <w:szCs w:val="27"/>
        </w:rPr>
        <w:lastRenderedPageBreak/>
        <w:t xml:space="preserve">Essa è stata decisa con sentenza n. 123 del 2017, nella quale la Consulta ha affermato che </w:t>
      </w:r>
      <w:r w:rsidR="007707EE">
        <w:rPr>
          <w:rFonts w:ascii="Trebuchet MS" w:hAnsi="Trebuchet MS"/>
          <w:color w:val="4A4A4A"/>
          <w:sz w:val="27"/>
          <w:szCs w:val="27"/>
        </w:rPr>
        <w:t xml:space="preserve">mai </w:t>
      </w:r>
      <w:r w:rsidR="00E43271" w:rsidRPr="008524EC">
        <w:rPr>
          <w:rFonts w:ascii="Trebuchet MS" w:hAnsi="Trebuchet MS"/>
          <w:color w:val="4A4A4A"/>
          <w:sz w:val="27"/>
          <w:szCs w:val="27"/>
        </w:rPr>
        <w:t xml:space="preserve">era stata indicata dalla Corte </w:t>
      </w:r>
      <w:proofErr w:type="spellStart"/>
      <w:r w:rsidR="00E43271" w:rsidRPr="008524EC">
        <w:rPr>
          <w:rFonts w:ascii="Trebuchet MS" w:hAnsi="Trebuchet MS"/>
          <w:color w:val="4A4A4A"/>
          <w:sz w:val="27"/>
          <w:szCs w:val="27"/>
        </w:rPr>
        <w:t>Edu</w:t>
      </w:r>
      <w:proofErr w:type="spellEnd"/>
      <w:r w:rsidR="00E43271" w:rsidRPr="008524EC">
        <w:rPr>
          <w:rFonts w:ascii="Trebuchet MS" w:hAnsi="Trebuchet MS"/>
          <w:color w:val="4A4A4A"/>
          <w:sz w:val="27"/>
          <w:szCs w:val="27"/>
        </w:rPr>
        <w:t xml:space="preserve"> la misura della riapertura dei processi civili e amministrativi quando lo Stato destinatario della pronunzia di condanna non aveva già introdotto, nell’esercizio delle sue prerogative, strumenti normativi tesi alla revisione delle sentenze passate in giudicato.</w:t>
      </w:r>
    </w:p>
    <w:p w:rsidR="00E43271" w:rsidRPr="008524EC" w:rsidRDefault="00E43271" w:rsidP="00780A65">
      <w:pPr>
        <w:pStyle w:val="NormaleWeb"/>
        <w:shd w:val="clear" w:color="auto" w:fill="FFFFFF"/>
        <w:spacing w:after="150" w:line="360" w:lineRule="atLeast"/>
        <w:jc w:val="both"/>
        <w:rPr>
          <w:rFonts w:ascii="Trebuchet MS" w:hAnsi="Trebuchet MS"/>
          <w:color w:val="4A4A4A"/>
          <w:sz w:val="27"/>
          <w:szCs w:val="27"/>
        </w:rPr>
      </w:pPr>
      <w:r w:rsidRPr="008524EC">
        <w:rPr>
          <w:rFonts w:ascii="Trebuchet MS" w:hAnsi="Trebuchet MS"/>
          <w:color w:val="4A4A4A"/>
          <w:sz w:val="27"/>
          <w:szCs w:val="27"/>
        </w:rPr>
        <w:t xml:space="preserve">In definitiva, la riapertura del processo non penale, con il conseguente travolgimento del giudicato, compete alle scelte del legislatore, al quale spetta in via prioritaria il compito di addivenire ad una </w:t>
      </w:r>
      <w:r w:rsidR="007707EE">
        <w:rPr>
          <w:rFonts w:ascii="Trebuchet MS" w:hAnsi="Trebuchet MS"/>
          <w:color w:val="4A4A4A"/>
          <w:sz w:val="27"/>
          <w:szCs w:val="27"/>
        </w:rPr>
        <w:t>“</w:t>
      </w:r>
      <w:r w:rsidRPr="008524EC">
        <w:rPr>
          <w:rFonts w:ascii="Trebuchet MS" w:hAnsi="Trebuchet MS"/>
          <w:color w:val="4A4A4A"/>
          <w:sz w:val="27"/>
          <w:szCs w:val="27"/>
        </w:rPr>
        <w:t xml:space="preserve">delicata ponderazione, alla luce dell’art. 24 </w:t>
      </w:r>
      <w:proofErr w:type="spellStart"/>
      <w:r w:rsidRPr="008524EC">
        <w:rPr>
          <w:rFonts w:ascii="Trebuchet MS" w:hAnsi="Trebuchet MS"/>
          <w:color w:val="4A4A4A"/>
          <w:sz w:val="27"/>
          <w:szCs w:val="27"/>
        </w:rPr>
        <w:t>Cost</w:t>
      </w:r>
      <w:proofErr w:type="spellEnd"/>
      <w:r w:rsidRPr="008524EC">
        <w:rPr>
          <w:rFonts w:ascii="Trebuchet MS" w:hAnsi="Trebuchet MS"/>
          <w:color w:val="4A4A4A"/>
          <w:sz w:val="27"/>
          <w:szCs w:val="27"/>
        </w:rPr>
        <w:t>., fra il diritto di azione degli interessati e il diritto di difesa dei terzi</w:t>
      </w:r>
      <w:r w:rsidR="007707EE">
        <w:rPr>
          <w:rFonts w:ascii="Trebuchet MS" w:hAnsi="Trebuchet MS"/>
          <w:color w:val="4A4A4A"/>
          <w:sz w:val="27"/>
          <w:szCs w:val="27"/>
        </w:rPr>
        <w:t>”</w:t>
      </w:r>
      <w:r w:rsidRPr="008524EC">
        <w:rPr>
          <w:rFonts w:ascii="Trebuchet MS" w:hAnsi="Trebuchet MS"/>
          <w:color w:val="4A4A4A"/>
          <w:sz w:val="27"/>
          <w:szCs w:val="27"/>
        </w:rPr>
        <w:t>.</w:t>
      </w:r>
    </w:p>
    <w:p w:rsidR="00C938C0" w:rsidRDefault="00E43271" w:rsidP="00D12EAC">
      <w:pPr>
        <w:pStyle w:val="NormaleWeb"/>
        <w:shd w:val="clear" w:color="auto" w:fill="FFFFFF"/>
        <w:spacing w:line="360" w:lineRule="atLeast"/>
        <w:jc w:val="both"/>
        <w:rPr>
          <w:rFonts w:ascii="Trebuchet MS" w:hAnsi="Trebuchet MS"/>
          <w:color w:val="4A4A4A"/>
          <w:sz w:val="27"/>
          <w:szCs w:val="27"/>
        </w:rPr>
      </w:pPr>
      <w:r w:rsidRPr="008524EC">
        <w:rPr>
          <w:rFonts w:ascii="Trebuchet MS" w:hAnsi="Trebuchet MS"/>
          <w:color w:val="4A4A4A"/>
          <w:sz w:val="27"/>
          <w:szCs w:val="27"/>
        </w:rPr>
        <w:t>La Corte costituzionale, con la sentenza n. 123</w:t>
      </w:r>
      <w:r w:rsidR="00D12EAC">
        <w:rPr>
          <w:rFonts w:ascii="Trebuchet MS" w:hAnsi="Trebuchet MS"/>
          <w:color w:val="4A4A4A"/>
          <w:sz w:val="27"/>
          <w:szCs w:val="27"/>
        </w:rPr>
        <w:t xml:space="preserve"> del </w:t>
      </w:r>
      <w:r w:rsidRPr="008524EC">
        <w:rPr>
          <w:rFonts w:ascii="Trebuchet MS" w:hAnsi="Trebuchet MS"/>
          <w:color w:val="4A4A4A"/>
          <w:sz w:val="27"/>
          <w:szCs w:val="27"/>
        </w:rPr>
        <w:t>2017</w:t>
      </w:r>
      <w:r w:rsidR="00032DB9">
        <w:rPr>
          <w:rFonts w:ascii="Trebuchet MS" w:hAnsi="Trebuchet MS"/>
          <w:color w:val="4A4A4A"/>
          <w:sz w:val="27"/>
          <w:szCs w:val="27"/>
        </w:rPr>
        <w:t>,</w:t>
      </w:r>
      <w:r w:rsidRPr="008524EC">
        <w:rPr>
          <w:rFonts w:ascii="Trebuchet MS" w:hAnsi="Trebuchet MS"/>
          <w:color w:val="4A4A4A"/>
          <w:sz w:val="27"/>
          <w:szCs w:val="27"/>
        </w:rPr>
        <w:t xml:space="preserve"> </w:t>
      </w:r>
      <w:r w:rsidR="00C938C0">
        <w:rPr>
          <w:rFonts w:ascii="Trebuchet MS" w:hAnsi="Trebuchet MS"/>
          <w:color w:val="4A4A4A"/>
          <w:sz w:val="27"/>
          <w:szCs w:val="27"/>
        </w:rPr>
        <w:t xml:space="preserve">ha </w:t>
      </w:r>
      <w:r w:rsidRPr="008524EC">
        <w:rPr>
          <w:rFonts w:ascii="Trebuchet MS" w:hAnsi="Trebuchet MS"/>
          <w:color w:val="4A4A4A"/>
          <w:sz w:val="27"/>
          <w:szCs w:val="27"/>
        </w:rPr>
        <w:t>sottolinea</w:t>
      </w:r>
      <w:r w:rsidR="00C938C0">
        <w:rPr>
          <w:rFonts w:ascii="Trebuchet MS" w:hAnsi="Trebuchet MS"/>
          <w:color w:val="4A4A4A"/>
          <w:sz w:val="27"/>
          <w:szCs w:val="27"/>
        </w:rPr>
        <w:t>to</w:t>
      </w:r>
      <w:r w:rsidRPr="008524EC">
        <w:rPr>
          <w:rFonts w:ascii="Trebuchet MS" w:hAnsi="Trebuchet MS"/>
          <w:color w:val="4A4A4A"/>
          <w:sz w:val="27"/>
          <w:szCs w:val="27"/>
        </w:rPr>
        <w:t xml:space="preserve"> che gli effetti di cosa giudicata delle sentenze della Corte </w:t>
      </w:r>
      <w:proofErr w:type="spellStart"/>
      <w:r w:rsidRPr="008524EC">
        <w:rPr>
          <w:rFonts w:ascii="Trebuchet MS" w:hAnsi="Trebuchet MS"/>
          <w:color w:val="4A4A4A"/>
          <w:sz w:val="27"/>
          <w:szCs w:val="27"/>
        </w:rPr>
        <w:t>Edu</w:t>
      </w:r>
      <w:proofErr w:type="spellEnd"/>
      <w:r w:rsidRPr="008524EC">
        <w:rPr>
          <w:rFonts w:ascii="Trebuchet MS" w:hAnsi="Trebuchet MS"/>
          <w:color w:val="4A4A4A"/>
          <w:sz w:val="27"/>
          <w:szCs w:val="27"/>
        </w:rPr>
        <w:t xml:space="preserve"> rispetto ai processi civili e amministrativi, i cui esiti contrastano con la </w:t>
      </w:r>
      <w:proofErr w:type="spellStart"/>
      <w:r w:rsidRPr="008524EC">
        <w:rPr>
          <w:rFonts w:ascii="Trebuchet MS" w:hAnsi="Trebuchet MS"/>
          <w:color w:val="4A4A4A"/>
          <w:sz w:val="27"/>
          <w:szCs w:val="27"/>
        </w:rPr>
        <w:t>Cedu</w:t>
      </w:r>
      <w:proofErr w:type="spellEnd"/>
      <w:r w:rsidRPr="008524EC">
        <w:rPr>
          <w:rFonts w:ascii="Trebuchet MS" w:hAnsi="Trebuchet MS"/>
          <w:color w:val="4A4A4A"/>
          <w:sz w:val="27"/>
          <w:szCs w:val="27"/>
        </w:rPr>
        <w:t>, non possono essere trattati in modo omogeneo rispetto a quelli che promanano da sentenza del giudice europeo rese in ambito penale.</w:t>
      </w:r>
      <w:r w:rsidR="00C938C0">
        <w:rPr>
          <w:rFonts w:ascii="Trebuchet MS" w:hAnsi="Trebuchet MS"/>
          <w:color w:val="4A4A4A"/>
          <w:sz w:val="27"/>
          <w:szCs w:val="27"/>
        </w:rPr>
        <w:t xml:space="preserve"> Al riguardo </w:t>
      </w:r>
      <w:r w:rsidR="00C938C0" w:rsidRPr="00C938C0">
        <w:rPr>
          <w:rFonts w:ascii="Trebuchet MS" w:hAnsi="Trebuchet MS"/>
          <w:color w:val="4A4A4A"/>
          <w:sz w:val="27"/>
          <w:szCs w:val="27"/>
        </w:rPr>
        <w:t>ha evidenziato che nel processo amministrativo, così come nel processo civile, non si pone, al contrario di quanto avviene nel contesto penalistico, un problema di compressione della libertà personale che giustifichi il sacrificio della stabilità della res iudicata. Inoltre, nel processo amministrativo (e nel processo civile) è fisiologica la compresenza di una pluralità di soggetti portatori di diversi interessi, che non necessariamente sono coinvolti nel giudizio davanti alla Corte di Strasburgo. Di conseguenza, l’automatica caducazione del giudicato ammini</w:t>
      </w:r>
      <w:r w:rsidR="00C938C0" w:rsidRPr="00C938C0">
        <w:rPr>
          <w:rFonts w:ascii="Trebuchet MS" w:hAnsi="Trebuchet MS"/>
          <w:color w:val="4A4A4A"/>
          <w:sz w:val="27"/>
          <w:szCs w:val="27"/>
        </w:rPr>
        <w:lastRenderedPageBreak/>
        <w:t>strativo contrastante con i diritti assicurati dalla Convenzione europea dei Diritti dell’Uomo potrebbe comportare il sacrificio degli interessi di tali soggetti in assenza di un previo contraddittorio.</w:t>
      </w:r>
    </w:p>
    <w:p w:rsidR="00FD7853" w:rsidRPr="008524EC" w:rsidRDefault="00FD7853" w:rsidP="00FD7853">
      <w:pPr>
        <w:pStyle w:val="NormaleWeb"/>
        <w:shd w:val="clear" w:color="auto" w:fill="FFFFFF"/>
        <w:spacing w:line="360" w:lineRule="atLeast"/>
        <w:jc w:val="both"/>
        <w:rPr>
          <w:rFonts w:ascii="Trebuchet MS" w:hAnsi="Trebuchet MS"/>
          <w:color w:val="4A4A4A"/>
          <w:sz w:val="27"/>
          <w:szCs w:val="27"/>
        </w:rPr>
      </w:pPr>
      <w:r w:rsidRPr="00FD7853">
        <w:rPr>
          <w:rFonts w:ascii="Trebuchet MS" w:hAnsi="Trebuchet MS"/>
          <w:color w:val="4A4A4A"/>
          <w:sz w:val="27"/>
          <w:szCs w:val="27"/>
        </w:rPr>
        <w:t xml:space="preserve">La Corte costituzionale ha poi concluso nel senso che l’eventuale apertura della Corte </w:t>
      </w:r>
      <w:proofErr w:type="spellStart"/>
      <w:r w:rsidRPr="00FD7853">
        <w:rPr>
          <w:rFonts w:ascii="Trebuchet MS" w:hAnsi="Trebuchet MS"/>
          <w:color w:val="4A4A4A"/>
          <w:sz w:val="27"/>
          <w:szCs w:val="27"/>
        </w:rPr>
        <w:t>Edu</w:t>
      </w:r>
      <w:proofErr w:type="spellEnd"/>
      <w:r w:rsidRPr="00FD7853">
        <w:rPr>
          <w:rFonts w:ascii="Trebuchet MS" w:hAnsi="Trebuchet MS"/>
          <w:color w:val="4A4A4A"/>
          <w:sz w:val="27"/>
          <w:szCs w:val="27"/>
        </w:rPr>
        <w:t xml:space="preserve"> a una prassi capace di generalizzare l’intervento dei terzi nel processo innanzi a sé, attraverso la disposizione dell’art. 36, par</w:t>
      </w:r>
      <w:r w:rsidR="00D12EAC">
        <w:rPr>
          <w:rFonts w:ascii="Trebuchet MS" w:hAnsi="Trebuchet MS"/>
          <w:color w:val="4A4A4A"/>
          <w:sz w:val="27"/>
          <w:szCs w:val="27"/>
        </w:rPr>
        <w:t>.</w:t>
      </w:r>
      <w:r w:rsidRPr="00FD7853">
        <w:rPr>
          <w:rFonts w:ascii="Trebuchet MS" w:hAnsi="Trebuchet MS"/>
          <w:color w:val="4A4A4A"/>
          <w:sz w:val="27"/>
          <w:szCs w:val="27"/>
        </w:rPr>
        <w:t xml:space="preserve"> 2, </w:t>
      </w:r>
      <w:proofErr w:type="spellStart"/>
      <w:r w:rsidRPr="00FD7853">
        <w:rPr>
          <w:rFonts w:ascii="Trebuchet MS" w:hAnsi="Trebuchet MS"/>
          <w:color w:val="4A4A4A"/>
          <w:sz w:val="27"/>
          <w:szCs w:val="27"/>
        </w:rPr>
        <w:t>Cedu</w:t>
      </w:r>
      <w:proofErr w:type="spellEnd"/>
      <w:r w:rsidRPr="00FD7853">
        <w:rPr>
          <w:rFonts w:ascii="Trebuchet MS" w:hAnsi="Trebuchet MS"/>
          <w:color w:val="4A4A4A"/>
          <w:sz w:val="27"/>
          <w:szCs w:val="27"/>
        </w:rPr>
        <w:t xml:space="preserve"> o, comunque, la modifica dello strumento convenzionale nel senso di una maggiore tutela delle posizioni dei terzi, avrebbe potuto essere proficua</w:t>
      </w:r>
      <w:r>
        <w:rPr>
          <w:rFonts w:ascii="Trebuchet MS" w:hAnsi="Trebuchet MS"/>
          <w:color w:val="4A4A4A"/>
          <w:sz w:val="27"/>
          <w:szCs w:val="27"/>
        </w:rPr>
        <w:t xml:space="preserve">: </w:t>
      </w:r>
      <w:r w:rsidRPr="00FD7853">
        <w:rPr>
          <w:rFonts w:ascii="Trebuchet MS" w:hAnsi="Trebuchet MS"/>
          <w:color w:val="4A4A4A"/>
          <w:sz w:val="27"/>
          <w:szCs w:val="27"/>
        </w:rPr>
        <w:t xml:space="preserve">una sistematica apertura del processo convenzionale ai terzi – per mutamento delle fonti convenzionali o in forza di una loro interpretazione </w:t>
      </w:r>
      <w:proofErr w:type="spellStart"/>
      <w:r w:rsidRPr="00FD7853">
        <w:rPr>
          <w:rFonts w:ascii="Trebuchet MS" w:hAnsi="Trebuchet MS"/>
          <w:color w:val="4A4A4A"/>
          <w:sz w:val="27"/>
          <w:szCs w:val="27"/>
        </w:rPr>
        <w:t>adeguatrice</w:t>
      </w:r>
      <w:proofErr w:type="spellEnd"/>
      <w:r w:rsidRPr="00FD7853">
        <w:rPr>
          <w:rFonts w:ascii="Trebuchet MS" w:hAnsi="Trebuchet MS"/>
          <w:color w:val="4A4A4A"/>
          <w:sz w:val="27"/>
          <w:szCs w:val="27"/>
        </w:rPr>
        <w:t xml:space="preserve"> da parte della Corte </w:t>
      </w:r>
      <w:proofErr w:type="spellStart"/>
      <w:r w:rsidRPr="00FD7853">
        <w:rPr>
          <w:rFonts w:ascii="Trebuchet MS" w:hAnsi="Trebuchet MS"/>
          <w:color w:val="4A4A4A"/>
          <w:sz w:val="27"/>
          <w:szCs w:val="27"/>
        </w:rPr>
        <w:t>Edu</w:t>
      </w:r>
      <w:proofErr w:type="spellEnd"/>
      <w:r w:rsidRPr="00FD7853">
        <w:rPr>
          <w:rFonts w:ascii="Trebuchet MS" w:hAnsi="Trebuchet MS"/>
          <w:color w:val="4A4A4A"/>
          <w:sz w:val="27"/>
          <w:szCs w:val="27"/>
        </w:rPr>
        <w:t xml:space="preserve"> – avrebbe reso più agevole l’opera del legislatore nazionale.</w:t>
      </w:r>
    </w:p>
    <w:p w:rsidR="00E43271" w:rsidRPr="00780A65" w:rsidRDefault="00427F1F" w:rsidP="00780A65">
      <w:pPr>
        <w:pStyle w:val="NormaleWeb"/>
        <w:shd w:val="clear" w:color="auto" w:fill="FFFFFF"/>
        <w:spacing w:before="0" w:beforeAutospacing="0" w:after="150" w:afterAutospacing="0" w:line="360" w:lineRule="atLeast"/>
        <w:jc w:val="both"/>
        <w:rPr>
          <w:rFonts w:ascii="Trebuchet MS" w:hAnsi="Trebuchet MS"/>
          <w:color w:val="4A4A4A"/>
          <w:sz w:val="27"/>
          <w:szCs w:val="27"/>
        </w:rPr>
      </w:pPr>
      <w:r>
        <w:rPr>
          <w:rFonts w:ascii="Trebuchet MS" w:hAnsi="Trebuchet MS"/>
          <w:color w:val="4A4A4A"/>
          <w:sz w:val="27"/>
          <w:szCs w:val="27"/>
        </w:rPr>
        <w:t>L</w:t>
      </w:r>
      <w:r w:rsidR="00E43271" w:rsidRPr="008524EC">
        <w:rPr>
          <w:rFonts w:ascii="Trebuchet MS" w:hAnsi="Trebuchet MS"/>
          <w:color w:val="4A4A4A"/>
          <w:sz w:val="27"/>
          <w:szCs w:val="27"/>
        </w:rPr>
        <w:t xml:space="preserve">’adunanza plenaria del Consiglio di Stato, </w:t>
      </w:r>
      <w:r w:rsidR="00FD7853">
        <w:rPr>
          <w:rFonts w:ascii="Trebuchet MS" w:hAnsi="Trebuchet MS"/>
          <w:color w:val="4A4A4A"/>
          <w:sz w:val="27"/>
          <w:szCs w:val="27"/>
        </w:rPr>
        <w:t xml:space="preserve">dal canto suo, </w:t>
      </w:r>
      <w:r w:rsidR="00E43271" w:rsidRPr="008524EC">
        <w:rPr>
          <w:rFonts w:ascii="Trebuchet MS" w:hAnsi="Trebuchet MS"/>
          <w:color w:val="4A4A4A"/>
          <w:sz w:val="27"/>
          <w:szCs w:val="27"/>
        </w:rPr>
        <w:t xml:space="preserve">riesaminando il ricorso proposto dai soggetti vittoriosi a Strasburgo, </w:t>
      </w:r>
      <w:r>
        <w:rPr>
          <w:rFonts w:ascii="Trebuchet MS" w:hAnsi="Trebuchet MS"/>
          <w:color w:val="4A4A4A"/>
          <w:sz w:val="27"/>
          <w:szCs w:val="27"/>
        </w:rPr>
        <w:t xml:space="preserve">con decisione n. 12 del 2017, ha </w:t>
      </w:r>
      <w:r w:rsidR="00E43271" w:rsidRPr="008524EC">
        <w:rPr>
          <w:rFonts w:ascii="Trebuchet MS" w:hAnsi="Trebuchet MS"/>
          <w:color w:val="4A4A4A"/>
          <w:sz w:val="27"/>
          <w:szCs w:val="27"/>
        </w:rPr>
        <w:t>dichiar</w:t>
      </w:r>
      <w:r>
        <w:rPr>
          <w:rFonts w:ascii="Trebuchet MS" w:hAnsi="Trebuchet MS"/>
          <w:color w:val="4A4A4A"/>
          <w:sz w:val="27"/>
          <w:szCs w:val="27"/>
        </w:rPr>
        <w:t>ato</w:t>
      </w:r>
      <w:r w:rsidR="00E43271" w:rsidRPr="008524EC">
        <w:rPr>
          <w:rFonts w:ascii="Trebuchet MS" w:hAnsi="Trebuchet MS"/>
          <w:color w:val="4A4A4A"/>
          <w:sz w:val="27"/>
          <w:szCs w:val="27"/>
        </w:rPr>
        <w:t xml:space="preserve"> </w:t>
      </w:r>
      <w:r w:rsidR="00C938C0">
        <w:rPr>
          <w:rFonts w:ascii="Trebuchet MS" w:hAnsi="Trebuchet MS"/>
          <w:color w:val="4A4A4A"/>
          <w:sz w:val="27"/>
          <w:szCs w:val="27"/>
        </w:rPr>
        <w:t>inammissibile il ricorso per revocazione</w:t>
      </w:r>
      <w:r>
        <w:rPr>
          <w:rFonts w:ascii="Trebuchet MS" w:hAnsi="Trebuchet MS"/>
          <w:color w:val="4A4A4A"/>
          <w:sz w:val="27"/>
          <w:szCs w:val="27"/>
        </w:rPr>
        <w:t>,</w:t>
      </w:r>
      <w:r w:rsidR="00E43271" w:rsidRPr="008524EC">
        <w:rPr>
          <w:rFonts w:ascii="Trebuchet MS" w:hAnsi="Trebuchet MS"/>
          <w:color w:val="4A4A4A"/>
          <w:sz w:val="27"/>
          <w:szCs w:val="27"/>
        </w:rPr>
        <w:t xml:space="preserve"> </w:t>
      </w:r>
      <w:r w:rsidR="00E43271" w:rsidRPr="00780A65">
        <w:rPr>
          <w:rFonts w:ascii="Trebuchet MS" w:hAnsi="Trebuchet MS"/>
          <w:color w:val="4A4A4A"/>
          <w:sz w:val="27"/>
          <w:szCs w:val="27"/>
        </w:rPr>
        <w:t xml:space="preserve">in quanto proposto per una ipotesi non contemplata dall’ordinamento giuridico, ed è noto che per la costante giurisprudenza civile ed amministrativa, </w:t>
      </w:r>
      <w:r w:rsidR="00E43271" w:rsidRPr="00780A65">
        <w:rPr>
          <w:rFonts w:ascii="Trebuchet MS" w:hAnsi="Trebuchet MS" w:cs="Trebuchet MS"/>
          <w:color w:val="4A4A4A"/>
          <w:sz w:val="27"/>
          <w:szCs w:val="27"/>
        </w:rPr>
        <w:t>“</w:t>
      </w:r>
      <w:r w:rsidR="00E43271" w:rsidRPr="00780A65">
        <w:rPr>
          <w:rFonts w:ascii="Trebuchet MS" w:hAnsi="Trebuchet MS"/>
          <w:color w:val="4A4A4A"/>
          <w:sz w:val="27"/>
          <w:szCs w:val="27"/>
        </w:rPr>
        <w:t xml:space="preserve">attesa la loro </w:t>
      </w:r>
      <w:proofErr w:type="spellStart"/>
      <w:r w:rsidR="00E43271" w:rsidRPr="00780A65">
        <w:rPr>
          <w:rFonts w:ascii="Trebuchet MS" w:hAnsi="Trebuchet MS"/>
          <w:color w:val="4A4A4A"/>
          <w:sz w:val="27"/>
          <w:szCs w:val="27"/>
        </w:rPr>
        <w:t>eccezionalita</w:t>
      </w:r>
      <w:proofErr w:type="spellEnd"/>
      <w:r w:rsidR="00E43271" w:rsidRPr="00780A65">
        <w:rPr>
          <w:rFonts w:ascii="Trebuchet MS" w:hAnsi="Trebuchet MS"/>
          <w:color w:val="4A4A4A"/>
          <w:sz w:val="27"/>
          <w:szCs w:val="27"/>
        </w:rPr>
        <w:t>̀, i casi di revocazione della sentenza, tassativamente previsti dall</w:t>
      </w:r>
      <w:r w:rsidR="00E43271" w:rsidRPr="00780A65">
        <w:rPr>
          <w:rFonts w:ascii="Trebuchet MS" w:hAnsi="Trebuchet MS" w:cs="Trebuchet MS"/>
          <w:color w:val="4A4A4A"/>
          <w:sz w:val="27"/>
          <w:szCs w:val="27"/>
        </w:rPr>
        <w:t>’</w:t>
      </w:r>
      <w:r w:rsidR="00E43271" w:rsidRPr="00780A65">
        <w:rPr>
          <w:rFonts w:ascii="Trebuchet MS" w:hAnsi="Trebuchet MS"/>
          <w:color w:val="4A4A4A"/>
          <w:sz w:val="27"/>
          <w:szCs w:val="27"/>
        </w:rPr>
        <w:t xml:space="preserve">art. 395 cod. </w:t>
      </w:r>
      <w:proofErr w:type="spellStart"/>
      <w:r w:rsidR="00E43271" w:rsidRPr="00780A65">
        <w:rPr>
          <w:rFonts w:ascii="Trebuchet MS" w:hAnsi="Trebuchet MS"/>
          <w:color w:val="4A4A4A"/>
          <w:sz w:val="27"/>
          <w:szCs w:val="27"/>
        </w:rPr>
        <w:t>proc</w:t>
      </w:r>
      <w:proofErr w:type="spellEnd"/>
      <w:r w:rsidR="00E43271" w:rsidRPr="00780A65">
        <w:rPr>
          <w:rFonts w:ascii="Trebuchet MS" w:hAnsi="Trebuchet MS"/>
          <w:color w:val="4A4A4A"/>
          <w:sz w:val="27"/>
          <w:szCs w:val="27"/>
        </w:rPr>
        <w:t>. civ., sono di stretta interpretazione, ai sensi dell’art. 14 delle preleggi”».</w:t>
      </w:r>
    </w:p>
    <w:p w:rsidR="008524EC" w:rsidRPr="00780A65"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t>Nel processo penale, il nuovo rimedio, previsto dall’art. 628 bis c.p.p., introdotto dall’art. 36, d.lgs. n. 150</w:t>
      </w:r>
      <w:r w:rsidR="00D12EAC">
        <w:rPr>
          <w:rFonts w:ascii="Trebuchet MS" w:hAnsi="Trebuchet MS"/>
          <w:color w:val="4A4A4A"/>
          <w:sz w:val="27"/>
          <w:szCs w:val="27"/>
        </w:rPr>
        <w:t xml:space="preserve"> del 2022</w:t>
      </w:r>
      <w:r w:rsidRPr="00780A65">
        <w:rPr>
          <w:rFonts w:ascii="Trebuchet MS" w:hAnsi="Trebuchet MS"/>
          <w:color w:val="4A4A4A"/>
          <w:sz w:val="27"/>
          <w:szCs w:val="27"/>
        </w:rPr>
        <w:t xml:space="preserve">, si applica quando il condannato o la persona sottoposta a misura di sicurezza </w:t>
      </w:r>
      <w:r w:rsidRPr="00780A65">
        <w:rPr>
          <w:rFonts w:ascii="Trebuchet MS" w:hAnsi="Trebuchet MS"/>
          <w:color w:val="4A4A4A"/>
          <w:sz w:val="27"/>
          <w:szCs w:val="27"/>
        </w:rPr>
        <w:lastRenderedPageBreak/>
        <w:t xml:space="preserve">hanno proposto ricorso per l’accertamento di una violazione dei diritti riconosciuti dalla </w:t>
      </w:r>
      <w:proofErr w:type="spellStart"/>
      <w:r w:rsidRPr="00780A65">
        <w:rPr>
          <w:rFonts w:ascii="Trebuchet MS" w:hAnsi="Trebuchet MS"/>
          <w:color w:val="4A4A4A"/>
          <w:sz w:val="27"/>
          <w:szCs w:val="27"/>
        </w:rPr>
        <w:t>C</w:t>
      </w:r>
      <w:r w:rsidR="00FD7853">
        <w:rPr>
          <w:rFonts w:ascii="Trebuchet MS" w:hAnsi="Trebuchet MS"/>
          <w:color w:val="4A4A4A"/>
          <w:sz w:val="27"/>
          <w:szCs w:val="27"/>
        </w:rPr>
        <w:t>edu</w:t>
      </w:r>
      <w:proofErr w:type="spellEnd"/>
      <w:r w:rsidRPr="00780A65">
        <w:rPr>
          <w:rFonts w:ascii="Trebuchet MS" w:hAnsi="Trebuchet MS"/>
          <w:color w:val="4A4A4A"/>
          <w:sz w:val="27"/>
          <w:szCs w:val="27"/>
        </w:rPr>
        <w:t xml:space="preserve"> e la Corte europea ha accolto il ricorso con decisione definitiva oppure ha disposto la cancellazione dal ruolo del ricorso a seguito del riconoscimento unilaterale della violazione da parte dello Stato italiano. </w:t>
      </w:r>
    </w:p>
    <w:p w:rsidR="008524EC"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t>In tali casi, su richiesta del condannato, la Corte di Cassazione revoca la sentenza penale, dispone la riapertura del procedimento e, comunque, adotta</w:t>
      </w:r>
      <w:r w:rsidR="00032DB9">
        <w:rPr>
          <w:rFonts w:ascii="Trebuchet MS" w:hAnsi="Trebuchet MS"/>
          <w:color w:val="4A4A4A"/>
          <w:sz w:val="27"/>
          <w:szCs w:val="27"/>
        </w:rPr>
        <w:t xml:space="preserve"> provvedimenti</w:t>
      </w:r>
      <w:bookmarkStart w:id="0" w:name="_GoBack"/>
      <w:bookmarkEnd w:id="0"/>
      <w:r w:rsidRPr="00780A65">
        <w:rPr>
          <w:rFonts w:ascii="Trebuchet MS" w:hAnsi="Trebuchet MS"/>
          <w:color w:val="4A4A4A"/>
          <w:sz w:val="27"/>
          <w:szCs w:val="27"/>
        </w:rPr>
        <w:t xml:space="preserve"> necessari per eliminare gli effetti pregiudizievoli derivanti dalla violazione. </w:t>
      </w:r>
    </w:p>
    <w:p w:rsidR="008524EC"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t>Nel processo civile,</w:t>
      </w:r>
      <w:r w:rsidR="007A076C">
        <w:rPr>
          <w:rFonts w:ascii="Trebuchet MS" w:hAnsi="Trebuchet MS"/>
          <w:color w:val="4A4A4A"/>
          <w:sz w:val="27"/>
          <w:szCs w:val="27"/>
        </w:rPr>
        <w:t xml:space="preserve"> è stata introdotta una</w:t>
      </w:r>
      <w:r w:rsidRPr="00780A65">
        <w:rPr>
          <w:rFonts w:ascii="Trebuchet MS" w:hAnsi="Trebuchet MS"/>
          <w:color w:val="4A4A4A"/>
          <w:sz w:val="27"/>
          <w:szCs w:val="27"/>
        </w:rPr>
        <w:t xml:space="preserve"> nuova ipotesi di revocazione straordinaria nell’art. 391 quater </w:t>
      </w:r>
      <w:proofErr w:type="spellStart"/>
      <w:r w:rsidRPr="00780A65">
        <w:rPr>
          <w:rFonts w:ascii="Trebuchet MS" w:hAnsi="Trebuchet MS"/>
          <w:color w:val="4A4A4A"/>
          <w:sz w:val="27"/>
          <w:szCs w:val="27"/>
        </w:rPr>
        <w:t>c.p.c.</w:t>
      </w:r>
      <w:proofErr w:type="spellEnd"/>
      <w:r w:rsidR="007A076C">
        <w:rPr>
          <w:rFonts w:ascii="Trebuchet MS" w:hAnsi="Trebuchet MS"/>
          <w:color w:val="4A4A4A"/>
          <w:sz w:val="27"/>
          <w:szCs w:val="27"/>
        </w:rPr>
        <w:t xml:space="preserve">: si riferisce alle </w:t>
      </w:r>
      <w:r w:rsidR="007A076C" w:rsidRPr="007A076C">
        <w:rPr>
          <w:rFonts w:ascii="Trebuchet MS" w:hAnsi="Trebuchet MS"/>
          <w:color w:val="4A4A4A"/>
          <w:sz w:val="27"/>
          <w:szCs w:val="27"/>
        </w:rPr>
        <w:t xml:space="preserve">decisioni passate in giudicato il cui contenuto </w:t>
      </w:r>
      <w:r w:rsidR="007A076C">
        <w:rPr>
          <w:rFonts w:ascii="Trebuchet MS" w:hAnsi="Trebuchet MS"/>
          <w:color w:val="4A4A4A"/>
          <w:sz w:val="27"/>
          <w:szCs w:val="27"/>
        </w:rPr>
        <w:t>è</w:t>
      </w:r>
      <w:r w:rsidR="007A076C" w:rsidRPr="007A076C">
        <w:rPr>
          <w:rFonts w:ascii="Trebuchet MS" w:hAnsi="Trebuchet MS"/>
          <w:color w:val="4A4A4A"/>
          <w:sz w:val="27"/>
          <w:szCs w:val="27"/>
        </w:rPr>
        <w:t xml:space="preserve"> stato dichiarato dalla Corte europea dei diritti dell'uomo contrario alla Convenzione per la salvaguardia dei Diritti dell'Uomo e delle Libert</w:t>
      </w:r>
      <w:r w:rsidR="007A076C">
        <w:rPr>
          <w:rFonts w:ascii="Trebuchet MS" w:hAnsi="Trebuchet MS"/>
          <w:color w:val="4A4A4A"/>
          <w:sz w:val="27"/>
          <w:szCs w:val="27"/>
        </w:rPr>
        <w:t>à</w:t>
      </w:r>
      <w:r w:rsidR="007A076C" w:rsidRPr="007A076C">
        <w:rPr>
          <w:rFonts w:ascii="Trebuchet MS" w:hAnsi="Trebuchet MS"/>
          <w:color w:val="4A4A4A"/>
          <w:sz w:val="27"/>
          <w:szCs w:val="27"/>
        </w:rPr>
        <w:t xml:space="preserve"> fondamentali ovvero ad uno dei suoi Protocolli</w:t>
      </w:r>
      <w:r w:rsidR="007A076C">
        <w:rPr>
          <w:rFonts w:ascii="Trebuchet MS" w:hAnsi="Trebuchet MS"/>
          <w:color w:val="4A4A4A"/>
          <w:sz w:val="27"/>
          <w:szCs w:val="27"/>
        </w:rPr>
        <w:t>.</w:t>
      </w:r>
    </w:p>
    <w:p w:rsidR="008524EC" w:rsidRPr="00780A65" w:rsidRDefault="008524EC" w:rsidP="00B8126B">
      <w:pPr>
        <w:pStyle w:val="NormaleWeb"/>
        <w:shd w:val="clear" w:color="auto" w:fill="FFFFFF"/>
        <w:spacing w:line="360" w:lineRule="atLeast"/>
        <w:jc w:val="both"/>
        <w:rPr>
          <w:rFonts w:ascii="Trebuchet MS" w:hAnsi="Trebuchet MS"/>
          <w:color w:val="4A4A4A"/>
          <w:sz w:val="27"/>
          <w:szCs w:val="27"/>
        </w:rPr>
      </w:pPr>
      <w:r w:rsidRPr="00780A65">
        <w:rPr>
          <w:rFonts w:ascii="Trebuchet MS" w:hAnsi="Trebuchet MS"/>
          <w:color w:val="4A4A4A"/>
          <w:sz w:val="27"/>
          <w:szCs w:val="27"/>
        </w:rPr>
        <w:t xml:space="preserve">In realtà l’istituto trova applicazione anche al caso in cui il giudicato si sia formato senza che la causa sia stata trattata dalla Corte di Cassazione, giacché il nuovo comma 3 dell’art. 362 </w:t>
      </w:r>
      <w:proofErr w:type="spellStart"/>
      <w:r w:rsidRPr="00780A65">
        <w:rPr>
          <w:rFonts w:ascii="Trebuchet MS" w:hAnsi="Trebuchet MS"/>
          <w:color w:val="4A4A4A"/>
          <w:sz w:val="27"/>
          <w:szCs w:val="27"/>
        </w:rPr>
        <w:t>c.p.c.</w:t>
      </w:r>
      <w:proofErr w:type="spellEnd"/>
      <w:r w:rsidRPr="00780A65">
        <w:rPr>
          <w:rFonts w:ascii="Trebuchet MS" w:hAnsi="Trebuchet MS"/>
          <w:color w:val="4A4A4A"/>
          <w:sz w:val="27"/>
          <w:szCs w:val="27"/>
        </w:rPr>
        <w:t xml:space="preserve"> prevede che </w:t>
      </w:r>
      <w:r w:rsidR="007A076C" w:rsidRPr="00D12EAC">
        <w:rPr>
          <w:rFonts w:ascii="Trebuchet MS" w:hAnsi="Trebuchet MS"/>
          <w:i/>
          <w:color w:val="4A4A4A"/>
          <w:sz w:val="27"/>
          <w:szCs w:val="27"/>
        </w:rPr>
        <w:t>“</w:t>
      </w:r>
      <w:r w:rsidRPr="00D12EAC">
        <w:rPr>
          <w:rFonts w:ascii="Trebuchet MS" w:hAnsi="Trebuchet MS"/>
          <w:i/>
          <w:color w:val="4A4A4A"/>
          <w:sz w:val="27"/>
          <w:szCs w:val="27"/>
        </w:rPr>
        <w:t>le decisioni dei giudici ordinari passate in giudicato possono altresì essere impugnate per revocazione ai sensi dell’articolo 391-quater quando il loro contenuto è stato dichiarato dalla Corte europea dei diritti dell’uomo contrario alla Convenzione ovvero ad uno dei suoi Protocolli</w:t>
      </w:r>
      <w:r w:rsidR="00D12EAC" w:rsidRPr="00D12EAC">
        <w:rPr>
          <w:rFonts w:ascii="Trebuchet MS" w:hAnsi="Trebuchet MS"/>
          <w:i/>
          <w:color w:val="4A4A4A"/>
          <w:sz w:val="27"/>
          <w:szCs w:val="27"/>
        </w:rPr>
        <w:t>”</w:t>
      </w:r>
      <w:r w:rsidRPr="00780A65">
        <w:rPr>
          <w:rFonts w:ascii="Trebuchet MS" w:hAnsi="Trebuchet MS"/>
          <w:color w:val="4A4A4A"/>
          <w:sz w:val="27"/>
          <w:szCs w:val="27"/>
        </w:rPr>
        <w:t>.</w:t>
      </w:r>
    </w:p>
    <w:p w:rsidR="008524EC" w:rsidRPr="00780A65"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lastRenderedPageBreak/>
        <w:t>L’azione di revocazione può essere proposta quando ricorrano congiuntamente due condizioni</w:t>
      </w:r>
      <w:r w:rsidR="007A076C">
        <w:rPr>
          <w:rFonts w:ascii="Trebuchet MS" w:hAnsi="Trebuchet MS"/>
          <w:color w:val="4A4A4A"/>
          <w:sz w:val="27"/>
          <w:szCs w:val="27"/>
        </w:rPr>
        <w:t>: a)</w:t>
      </w:r>
      <w:r w:rsidRPr="00780A65">
        <w:rPr>
          <w:rFonts w:ascii="Trebuchet MS" w:hAnsi="Trebuchet MS"/>
          <w:color w:val="4A4A4A"/>
          <w:sz w:val="27"/>
          <w:szCs w:val="27"/>
        </w:rPr>
        <w:t xml:space="preserve"> la violazione accertata abbia pregiudicato un “diritto di stato della persona”</w:t>
      </w:r>
      <w:r w:rsidR="007A076C">
        <w:rPr>
          <w:rFonts w:ascii="Trebuchet MS" w:hAnsi="Trebuchet MS"/>
          <w:color w:val="4A4A4A"/>
          <w:sz w:val="27"/>
          <w:szCs w:val="27"/>
        </w:rPr>
        <w:t>; b)</w:t>
      </w:r>
      <w:r w:rsidRPr="00780A65">
        <w:rPr>
          <w:rFonts w:ascii="Trebuchet MS" w:hAnsi="Trebuchet MS"/>
          <w:color w:val="4A4A4A"/>
          <w:sz w:val="27"/>
          <w:szCs w:val="27"/>
        </w:rPr>
        <w:t xml:space="preserve"> l’equa indennità eventualmente accordata dalla Corte europea non sia idonea a compensare le conseguenze della violazione.</w:t>
      </w:r>
    </w:p>
    <w:p w:rsidR="008524EC" w:rsidRPr="00780A65"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t xml:space="preserve">In caso di accoglimento, si applica la previsione dell’art. 391 ter, comma </w:t>
      </w:r>
      <w:r w:rsidR="007A076C">
        <w:rPr>
          <w:rFonts w:ascii="Trebuchet MS" w:hAnsi="Trebuchet MS"/>
          <w:color w:val="4A4A4A"/>
          <w:sz w:val="27"/>
          <w:szCs w:val="27"/>
        </w:rPr>
        <w:t>2</w:t>
      </w:r>
      <w:r w:rsidRPr="00780A65">
        <w:rPr>
          <w:rFonts w:ascii="Trebuchet MS" w:hAnsi="Trebuchet MS"/>
          <w:color w:val="4A4A4A"/>
          <w:sz w:val="27"/>
          <w:szCs w:val="27"/>
        </w:rPr>
        <w:t xml:space="preserve">, </w:t>
      </w:r>
      <w:proofErr w:type="spellStart"/>
      <w:r w:rsidRPr="00780A65">
        <w:rPr>
          <w:rFonts w:ascii="Trebuchet MS" w:hAnsi="Trebuchet MS"/>
          <w:color w:val="4A4A4A"/>
          <w:sz w:val="27"/>
          <w:szCs w:val="27"/>
        </w:rPr>
        <w:t>c.p.c.</w:t>
      </w:r>
      <w:proofErr w:type="spellEnd"/>
      <w:r w:rsidRPr="00780A65">
        <w:rPr>
          <w:rFonts w:ascii="Trebuchet MS" w:hAnsi="Trebuchet MS"/>
          <w:color w:val="4A4A4A"/>
          <w:sz w:val="27"/>
          <w:szCs w:val="27"/>
        </w:rPr>
        <w:t>, e quindi la Corte decide la causa nel merito qualora non siano necessari ulteriori accertamenti di fatto; altrimenti, pronunciata la revocazione ovvero dichiarata ammissibile l'opposizione di terzo, rinvia la causa al giudice che ha pronunciato la sentenza cassata.</w:t>
      </w:r>
    </w:p>
    <w:p w:rsidR="008524EC" w:rsidRPr="00780A65"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t>Accogliendo le osservazioni della Corte costituzionale a proposito della tutela delle parti che non abbiano partecipato al giudizio d’innanzi alla Corte europea, la nuova norma prevede che l’accoglimento della revocazione non pregiudica i diritti acquisiti dai terzi di buona fede che non hanno partecipato al giudizio svoltosi in sede europea.</w:t>
      </w:r>
    </w:p>
    <w:p w:rsidR="008524EC" w:rsidRPr="00780A65"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t xml:space="preserve">Ciò posto, l’art. 391 quater </w:t>
      </w:r>
      <w:proofErr w:type="spellStart"/>
      <w:r w:rsidRPr="00780A65">
        <w:rPr>
          <w:rFonts w:ascii="Trebuchet MS" w:hAnsi="Trebuchet MS"/>
          <w:color w:val="4A4A4A"/>
          <w:sz w:val="27"/>
          <w:szCs w:val="27"/>
        </w:rPr>
        <w:t>c.p.c.</w:t>
      </w:r>
      <w:proofErr w:type="spellEnd"/>
      <w:r w:rsidRPr="00780A65">
        <w:rPr>
          <w:rFonts w:ascii="Trebuchet MS" w:hAnsi="Trebuchet MS"/>
          <w:color w:val="4A4A4A"/>
          <w:sz w:val="27"/>
          <w:szCs w:val="27"/>
        </w:rPr>
        <w:t xml:space="preserve"> è formalmente applicabile nel caso in cui contro una sentenza del Consiglio di Stato sia stato proposto ricorso per cassazione, allorché, all’esito della decisione della Corte Suprema, si sia formato il giudicato, o perché il ricorso sia stato respinto o dichiarato inammissibile, o perché esso abbia portato ad un annullamento della sentenza senza rinvio, non sussistendo la giurisdizione di alcun giudice sulla vicenda contenziosa.</w:t>
      </w:r>
    </w:p>
    <w:p w:rsidR="008524EC" w:rsidRPr="00780A65"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lastRenderedPageBreak/>
        <w:t>Vi è poi l’interrogativo se sia ammissibile anche nel processo amministrativo questa nuova ipotesi di revocazione.</w:t>
      </w:r>
    </w:p>
    <w:p w:rsidR="008524EC" w:rsidRPr="00780A65"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t xml:space="preserve">L’art. 106 </w:t>
      </w:r>
      <w:proofErr w:type="spellStart"/>
      <w:r w:rsidRPr="00780A65">
        <w:rPr>
          <w:rFonts w:ascii="Trebuchet MS" w:hAnsi="Trebuchet MS"/>
          <w:color w:val="4A4A4A"/>
          <w:sz w:val="27"/>
          <w:szCs w:val="27"/>
        </w:rPr>
        <w:t>c.p.a</w:t>
      </w:r>
      <w:proofErr w:type="spellEnd"/>
      <w:r w:rsidRPr="00780A65">
        <w:rPr>
          <w:rFonts w:ascii="Trebuchet MS" w:hAnsi="Trebuchet MS"/>
          <w:color w:val="4A4A4A"/>
          <w:sz w:val="27"/>
          <w:szCs w:val="27"/>
        </w:rPr>
        <w:t xml:space="preserve">., non interessato dalle modifiche operate dal d.lgs. n. 149 del 2022, continua ad individuare i casi di revocazione delle sentenze del giudice amministrativo facendo espresso rinvio agli artt. 395 e 396 </w:t>
      </w:r>
      <w:proofErr w:type="spellStart"/>
      <w:r w:rsidRPr="00780A65">
        <w:rPr>
          <w:rFonts w:ascii="Trebuchet MS" w:hAnsi="Trebuchet MS"/>
          <w:color w:val="4A4A4A"/>
          <w:sz w:val="27"/>
          <w:szCs w:val="27"/>
        </w:rPr>
        <w:t>c.p.c.</w:t>
      </w:r>
      <w:proofErr w:type="spellEnd"/>
    </w:p>
    <w:p w:rsidR="008524EC" w:rsidRPr="00780A65"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t xml:space="preserve">D’altra parte, l’ultimo comma dell’art. 362 </w:t>
      </w:r>
      <w:proofErr w:type="spellStart"/>
      <w:r w:rsidRPr="00780A65">
        <w:rPr>
          <w:rFonts w:ascii="Trebuchet MS" w:hAnsi="Trebuchet MS"/>
          <w:color w:val="4A4A4A"/>
          <w:sz w:val="27"/>
          <w:szCs w:val="27"/>
        </w:rPr>
        <w:t>c.p.c.</w:t>
      </w:r>
      <w:proofErr w:type="spellEnd"/>
      <w:r w:rsidRPr="00780A65">
        <w:rPr>
          <w:rFonts w:ascii="Trebuchet MS" w:hAnsi="Trebuchet MS"/>
          <w:color w:val="4A4A4A"/>
          <w:sz w:val="27"/>
          <w:szCs w:val="27"/>
        </w:rPr>
        <w:t xml:space="preserve"> prevede la possibilità di proporre ricorso per revocazione ai sensi dell’art. 391 quater </w:t>
      </w:r>
      <w:proofErr w:type="spellStart"/>
      <w:r w:rsidRPr="00780A65">
        <w:rPr>
          <w:rFonts w:ascii="Trebuchet MS" w:hAnsi="Trebuchet MS"/>
          <w:color w:val="4A4A4A"/>
          <w:sz w:val="27"/>
          <w:szCs w:val="27"/>
        </w:rPr>
        <w:t>c.p.c.</w:t>
      </w:r>
      <w:proofErr w:type="spellEnd"/>
      <w:r w:rsidRPr="00780A65">
        <w:rPr>
          <w:rFonts w:ascii="Trebuchet MS" w:hAnsi="Trebuchet MS"/>
          <w:color w:val="4A4A4A"/>
          <w:sz w:val="27"/>
          <w:szCs w:val="27"/>
        </w:rPr>
        <w:t xml:space="preserve"> solo per le decisioni dei giudici ordinari passate in giudicato.</w:t>
      </w:r>
    </w:p>
    <w:p w:rsidR="008524EC" w:rsidRPr="00780A65" w:rsidRDefault="008524EC" w:rsidP="00D715F6">
      <w:pPr>
        <w:pStyle w:val="NormaleWeb"/>
        <w:shd w:val="clear" w:color="auto" w:fill="FFFFFF"/>
        <w:spacing w:line="360" w:lineRule="atLeast"/>
        <w:jc w:val="both"/>
        <w:rPr>
          <w:rFonts w:ascii="Trebuchet MS" w:hAnsi="Trebuchet MS"/>
          <w:color w:val="4A4A4A"/>
          <w:sz w:val="27"/>
          <w:szCs w:val="27"/>
        </w:rPr>
      </w:pPr>
      <w:r w:rsidRPr="00780A65">
        <w:rPr>
          <w:rFonts w:ascii="Trebuchet MS" w:hAnsi="Trebuchet MS"/>
          <w:color w:val="4A4A4A"/>
          <w:sz w:val="27"/>
          <w:szCs w:val="27"/>
        </w:rPr>
        <w:t xml:space="preserve">Quindi, poiché il codice del processo amministrativo individua i casi revocazione, sicché non risulta integrato il presupposto per l’operatività del rinvio esterno di cui all’art. 39, comma 1 </w:t>
      </w:r>
      <w:proofErr w:type="spellStart"/>
      <w:r w:rsidRPr="00780A65">
        <w:rPr>
          <w:rFonts w:ascii="Trebuchet MS" w:hAnsi="Trebuchet MS"/>
          <w:color w:val="4A4A4A"/>
          <w:sz w:val="27"/>
          <w:szCs w:val="27"/>
        </w:rPr>
        <w:t>c.p.c.</w:t>
      </w:r>
      <w:proofErr w:type="spellEnd"/>
      <w:r w:rsidRPr="00780A65">
        <w:rPr>
          <w:rFonts w:ascii="Trebuchet MS" w:hAnsi="Trebuchet MS"/>
          <w:color w:val="4A4A4A"/>
          <w:sz w:val="27"/>
          <w:szCs w:val="27"/>
        </w:rPr>
        <w:t>, un’esegesi formalistica del tessuto normativo porterebbe ad escludere l’estensione dell’istituto alla giurisdizione amministrativa.</w:t>
      </w:r>
    </w:p>
    <w:p w:rsidR="008524EC" w:rsidRPr="00780A65"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t xml:space="preserve">In senso contrario, però, </w:t>
      </w:r>
      <w:r w:rsidR="007A076C">
        <w:rPr>
          <w:rFonts w:ascii="Trebuchet MS" w:hAnsi="Trebuchet MS"/>
          <w:color w:val="4A4A4A"/>
          <w:sz w:val="27"/>
          <w:szCs w:val="27"/>
        </w:rPr>
        <w:t>dovrebbe considerarsi</w:t>
      </w:r>
      <w:r w:rsidRPr="00780A65">
        <w:rPr>
          <w:rFonts w:ascii="Trebuchet MS" w:hAnsi="Trebuchet MS"/>
          <w:color w:val="4A4A4A"/>
          <w:sz w:val="27"/>
          <w:szCs w:val="27"/>
        </w:rPr>
        <w:t xml:space="preserve"> che, secondo il combinato disposto degli artt. 103, 111 </w:t>
      </w:r>
      <w:proofErr w:type="spellStart"/>
      <w:r w:rsidRPr="00780A65">
        <w:rPr>
          <w:rFonts w:ascii="Trebuchet MS" w:hAnsi="Trebuchet MS"/>
          <w:color w:val="4A4A4A"/>
          <w:sz w:val="27"/>
          <w:szCs w:val="27"/>
        </w:rPr>
        <w:t>u.c.</w:t>
      </w:r>
      <w:proofErr w:type="spellEnd"/>
      <w:r w:rsidRPr="00780A65">
        <w:rPr>
          <w:rFonts w:ascii="Trebuchet MS" w:hAnsi="Trebuchet MS"/>
          <w:color w:val="4A4A4A"/>
          <w:sz w:val="27"/>
          <w:szCs w:val="27"/>
        </w:rPr>
        <w:t xml:space="preserve"> e 125 </w:t>
      </w:r>
      <w:proofErr w:type="spellStart"/>
      <w:r w:rsidRPr="00780A65">
        <w:rPr>
          <w:rFonts w:ascii="Trebuchet MS" w:hAnsi="Trebuchet MS"/>
          <w:color w:val="4A4A4A"/>
          <w:sz w:val="27"/>
          <w:szCs w:val="27"/>
        </w:rPr>
        <w:t>Cost</w:t>
      </w:r>
      <w:proofErr w:type="spellEnd"/>
      <w:r w:rsidRPr="00780A65">
        <w:rPr>
          <w:rFonts w:ascii="Trebuchet MS" w:hAnsi="Trebuchet MS"/>
          <w:color w:val="4A4A4A"/>
          <w:sz w:val="27"/>
          <w:szCs w:val="27"/>
        </w:rPr>
        <w:t>., il Consiglio di Stato è l’organo di vertice del sistema di giustizia amministrativa, sistema che deve garantire, con riferimento ai diritti soggettivi ricadenti nell’area di giurisdizione, tutela di pari efficacia rispetto a quella assicurata dal giudice ordinario.</w:t>
      </w:r>
    </w:p>
    <w:p w:rsidR="008524EC" w:rsidRPr="00780A65" w:rsidRDefault="008524EC" w:rsidP="00780A65">
      <w:pPr>
        <w:pStyle w:val="NormaleWeb"/>
        <w:shd w:val="clear" w:color="auto" w:fill="FFFFFF"/>
        <w:spacing w:after="150" w:line="360" w:lineRule="atLeast"/>
        <w:jc w:val="both"/>
        <w:rPr>
          <w:rFonts w:ascii="Trebuchet MS" w:hAnsi="Trebuchet MS"/>
          <w:color w:val="4A4A4A"/>
          <w:sz w:val="27"/>
          <w:szCs w:val="27"/>
        </w:rPr>
      </w:pPr>
      <w:r w:rsidRPr="00780A65">
        <w:rPr>
          <w:rFonts w:ascii="Trebuchet MS" w:hAnsi="Trebuchet MS"/>
          <w:color w:val="4A4A4A"/>
          <w:sz w:val="27"/>
          <w:szCs w:val="27"/>
        </w:rPr>
        <w:t xml:space="preserve">Dunque, alle decisioni del giudice amministrativo passate in cosa giudicata non può non applicarsi, ove esse abbiano comportato una lesione di un «diritto di stato della persona» accertato dalla Corte </w:t>
      </w:r>
      <w:r w:rsidRPr="00780A65">
        <w:rPr>
          <w:rFonts w:ascii="Trebuchet MS" w:hAnsi="Trebuchet MS"/>
          <w:color w:val="4A4A4A"/>
          <w:sz w:val="27"/>
          <w:szCs w:val="27"/>
        </w:rPr>
        <w:lastRenderedPageBreak/>
        <w:t>di Strasburgo e non altrimenti rimediabile, l’istituto in commento, necessario per assicurare piena tutela ai diritti fondamentali.</w:t>
      </w:r>
    </w:p>
    <w:p w:rsidR="008524EC" w:rsidRDefault="008524EC" w:rsidP="00A142BC">
      <w:pPr>
        <w:pStyle w:val="NormaleWeb"/>
        <w:shd w:val="clear" w:color="auto" w:fill="FFFFFF"/>
        <w:spacing w:line="360" w:lineRule="atLeast"/>
        <w:jc w:val="both"/>
        <w:rPr>
          <w:rFonts w:ascii="Trebuchet MS" w:hAnsi="Trebuchet MS"/>
          <w:color w:val="4A4A4A"/>
          <w:sz w:val="27"/>
          <w:szCs w:val="27"/>
        </w:rPr>
      </w:pPr>
      <w:r w:rsidRPr="00780A65">
        <w:rPr>
          <w:rFonts w:ascii="Trebuchet MS" w:hAnsi="Trebuchet MS"/>
          <w:color w:val="4A4A4A"/>
          <w:sz w:val="27"/>
          <w:szCs w:val="27"/>
        </w:rPr>
        <w:t xml:space="preserve">Diversamente opinando, nelle controversie devolute alla giurisdizione amministrativa si verrebbe a creare un deficit di tutela, rispetto alle corrispondenti situazioni attribuite alla cognizione del giudice ordinario, che integrerebbe la violazione degli artt. 3, 24 e 113 </w:t>
      </w:r>
      <w:proofErr w:type="spellStart"/>
      <w:r w:rsidRPr="00780A65">
        <w:rPr>
          <w:rFonts w:ascii="Trebuchet MS" w:hAnsi="Trebuchet MS"/>
          <w:color w:val="4A4A4A"/>
          <w:sz w:val="27"/>
          <w:szCs w:val="27"/>
        </w:rPr>
        <w:t>Cost</w:t>
      </w:r>
      <w:proofErr w:type="spellEnd"/>
      <w:r w:rsidRPr="00780A65">
        <w:rPr>
          <w:rFonts w:ascii="Trebuchet MS" w:hAnsi="Trebuchet MS"/>
          <w:color w:val="4A4A4A"/>
          <w:sz w:val="27"/>
          <w:szCs w:val="27"/>
        </w:rPr>
        <w:t>.</w:t>
      </w:r>
    </w:p>
    <w:p w:rsidR="00A142BC" w:rsidRDefault="00A142BC" w:rsidP="00A142BC">
      <w:pPr>
        <w:pStyle w:val="NormaleWeb"/>
        <w:shd w:val="clear" w:color="auto" w:fill="FFFFFF"/>
        <w:spacing w:line="360" w:lineRule="atLeast"/>
        <w:jc w:val="both"/>
        <w:rPr>
          <w:rFonts w:ascii="Trebuchet MS" w:hAnsi="Trebuchet MS"/>
          <w:color w:val="4A4A4A"/>
          <w:sz w:val="27"/>
          <w:szCs w:val="27"/>
        </w:rPr>
      </w:pPr>
      <w:r>
        <w:rPr>
          <w:rFonts w:ascii="Trebuchet MS" w:hAnsi="Trebuchet MS"/>
          <w:color w:val="4A4A4A"/>
          <w:sz w:val="27"/>
          <w:szCs w:val="27"/>
        </w:rPr>
        <w:t xml:space="preserve">Interessante nel senso auspicato è l’apertura del Consiglio di Stato, sez. VII, </w:t>
      </w:r>
      <w:r w:rsidR="00A112BB">
        <w:rPr>
          <w:rFonts w:ascii="Trebuchet MS" w:hAnsi="Trebuchet MS"/>
          <w:color w:val="4A4A4A"/>
          <w:sz w:val="27"/>
          <w:szCs w:val="27"/>
        </w:rPr>
        <w:t xml:space="preserve">che, </w:t>
      </w:r>
      <w:r>
        <w:rPr>
          <w:rFonts w:ascii="Trebuchet MS" w:hAnsi="Trebuchet MS"/>
          <w:color w:val="4A4A4A"/>
          <w:sz w:val="27"/>
          <w:szCs w:val="27"/>
        </w:rPr>
        <w:t>con la recentissima sentenza n. 9308 del 19 novembre 2024</w:t>
      </w:r>
      <w:r w:rsidR="004F7B24">
        <w:rPr>
          <w:rFonts w:ascii="Trebuchet MS" w:hAnsi="Trebuchet MS"/>
          <w:color w:val="4A4A4A"/>
          <w:sz w:val="27"/>
          <w:szCs w:val="27"/>
        </w:rPr>
        <w:t xml:space="preserve">, in una sorta di </w:t>
      </w:r>
      <w:proofErr w:type="spellStart"/>
      <w:r w:rsidR="004F7B24" w:rsidRPr="00A112BB">
        <w:rPr>
          <w:rFonts w:ascii="Trebuchet MS" w:hAnsi="Trebuchet MS"/>
          <w:i/>
          <w:color w:val="4A4A4A"/>
          <w:sz w:val="27"/>
          <w:szCs w:val="27"/>
        </w:rPr>
        <w:t>obiter</w:t>
      </w:r>
      <w:proofErr w:type="spellEnd"/>
      <w:r w:rsidR="004F7B24" w:rsidRPr="00A112BB">
        <w:rPr>
          <w:rFonts w:ascii="Trebuchet MS" w:hAnsi="Trebuchet MS"/>
          <w:i/>
          <w:color w:val="4A4A4A"/>
          <w:sz w:val="27"/>
          <w:szCs w:val="27"/>
        </w:rPr>
        <w:t xml:space="preserve"> </w:t>
      </w:r>
      <w:proofErr w:type="spellStart"/>
      <w:r w:rsidR="004F7B24" w:rsidRPr="00A112BB">
        <w:rPr>
          <w:rFonts w:ascii="Trebuchet MS" w:hAnsi="Trebuchet MS"/>
          <w:i/>
          <w:color w:val="4A4A4A"/>
          <w:sz w:val="27"/>
          <w:szCs w:val="27"/>
        </w:rPr>
        <w:t>dictum</w:t>
      </w:r>
      <w:proofErr w:type="spellEnd"/>
      <w:r w:rsidR="004F7B24">
        <w:rPr>
          <w:rFonts w:ascii="Trebuchet MS" w:hAnsi="Trebuchet MS"/>
          <w:color w:val="4A4A4A"/>
          <w:sz w:val="27"/>
          <w:szCs w:val="27"/>
        </w:rPr>
        <w:t xml:space="preserve">, ha affermato che </w:t>
      </w:r>
      <w:r w:rsidR="004F7B24" w:rsidRPr="004F7B24">
        <w:rPr>
          <w:rFonts w:ascii="Trebuchet MS" w:hAnsi="Trebuchet MS"/>
          <w:i/>
          <w:color w:val="4A4A4A"/>
          <w:sz w:val="27"/>
          <w:szCs w:val="27"/>
        </w:rPr>
        <w:t xml:space="preserve">“non vi sono dubbi che l’art.391 quater </w:t>
      </w:r>
      <w:proofErr w:type="spellStart"/>
      <w:r w:rsidR="004F7B24" w:rsidRPr="004F7B24">
        <w:rPr>
          <w:rFonts w:ascii="Trebuchet MS" w:hAnsi="Trebuchet MS"/>
          <w:i/>
          <w:color w:val="4A4A4A"/>
          <w:sz w:val="27"/>
          <w:szCs w:val="27"/>
        </w:rPr>
        <w:t>c.p.c.</w:t>
      </w:r>
      <w:proofErr w:type="spellEnd"/>
      <w:r w:rsidR="004F7B24" w:rsidRPr="004F7B24">
        <w:rPr>
          <w:rFonts w:ascii="Trebuchet MS" w:hAnsi="Trebuchet MS"/>
          <w:i/>
          <w:color w:val="4A4A4A"/>
          <w:sz w:val="27"/>
          <w:szCs w:val="27"/>
        </w:rPr>
        <w:t xml:space="preserve"> sia estensibile anche alle sentenze del giudice amministrativo, per l’evidente analogia esistente fra queste ultime e quelle del giudice civile”</w:t>
      </w:r>
      <w:r w:rsidR="004F7B24">
        <w:rPr>
          <w:rFonts w:ascii="Trebuchet MS" w:hAnsi="Trebuchet MS"/>
          <w:color w:val="4A4A4A"/>
          <w:sz w:val="27"/>
          <w:szCs w:val="27"/>
        </w:rPr>
        <w:t>.</w:t>
      </w:r>
    </w:p>
    <w:p w:rsidR="004F7B24" w:rsidRDefault="004F7B24" w:rsidP="00A142BC">
      <w:pPr>
        <w:pStyle w:val="NormaleWeb"/>
        <w:shd w:val="clear" w:color="auto" w:fill="FFFFFF"/>
        <w:spacing w:line="360" w:lineRule="atLeast"/>
        <w:jc w:val="both"/>
        <w:rPr>
          <w:rFonts w:ascii="Trebuchet MS" w:hAnsi="Trebuchet MS"/>
          <w:color w:val="4A4A4A"/>
          <w:sz w:val="27"/>
          <w:szCs w:val="27"/>
        </w:rPr>
      </w:pPr>
      <w:r>
        <w:rPr>
          <w:rFonts w:ascii="Trebuchet MS" w:hAnsi="Trebuchet MS"/>
          <w:color w:val="4A4A4A"/>
          <w:sz w:val="27"/>
          <w:szCs w:val="27"/>
        </w:rPr>
        <w:t xml:space="preserve">In proposito si è rilevato </w:t>
      </w:r>
      <w:r w:rsidRPr="004F7B24">
        <w:rPr>
          <w:rFonts w:ascii="Trebuchet MS" w:hAnsi="Trebuchet MS"/>
          <w:i/>
          <w:color w:val="4A4A4A"/>
          <w:sz w:val="27"/>
          <w:szCs w:val="27"/>
        </w:rPr>
        <w:t>“che anche nelle controversie devolute alla giurisdizione del giudice amministrativo può venire in gioco un pregiudizio di un diritto di stato della persona”</w:t>
      </w:r>
      <w:r>
        <w:rPr>
          <w:rFonts w:ascii="Trebuchet MS" w:hAnsi="Trebuchet MS"/>
          <w:color w:val="4A4A4A"/>
          <w:sz w:val="27"/>
          <w:szCs w:val="27"/>
        </w:rPr>
        <w:t>.</w:t>
      </w:r>
    </w:p>
    <w:p w:rsidR="004F7B24" w:rsidRPr="00780A65" w:rsidRDefault="004F7B24" w:rsidP="00A142BC">
      <w:pPr>
        <w:pStyle w:val="NormaleWeb"/>
        <w:shd w:val="clear" w:color="auto" w:fill="FFFFFF"/>
        <w:spacing w:line="360" w:lineRule="atLeast"/>
        <w:jc w:val="both"/>
        <w:rPr>
          <w:rFonts w:ascii="Trebuchet MS" w:hAnsi="Trebuchet MS"/>
          <w:color w:val="4A4A4A"/>
          <w:sz w:val="27"/>
          <w:szCs w:val="27"/>
        </w:rPr>
      </w:pPr>
      <w:r>
        <w:rPr>
          <w:rFonts w:ascii="Trebuchet MS" w:hAnsi="Trebuchet MS"/>
          <w:color w:val="4A4A4A"/>
          <w:sz w:val="27"/>
          <w:szCs w:val="27"/>
        </w:rPr>
        <w:t>Per sorreggere l’estensione del</w:t>
      </w:r>
      <w:r w:rsidRPr="004F7B24">
        <w:rPr>
          <w:rFonts w:ascii="Trebuchet MS" w:hAnsi="Trebuchet MS"/>
          <w:color w:val="4A4A4A"/>
          <w:sz w:val="27"/>
          <w:szCs w:val="27"/>
        </w:rPr>
        <w:t xml:space="preserve">l’art. 391 </w:t>
      </w:r>
      <w:r w:rsidRPr="00A112BB">
        <w:rPr>
          <w:rFonts w:ascii="Trebuchet MS" w:hAnsi="Trebuchet MS"/>
          <w:i/>
          <w:color w:val="4A4A4A"/>
          <w:sz w:val="27"/>
          <w:szCs w:val="27"/>
        </w:rPr>
        <w:t>quater</w:t>
      </w:r>
      <w:r w:rsidRPr="004F7B24">
        <w:rPr>
          <w:rFonts w:ascii="Trebuchet MS" w:hAnsi="Trebuchet MS"/>
          <w:color w:val="4A4A4A"/>
          <w:sz w:val="27"/>
          <w:szCs w:val="27"/>
        </w:rPr>
        <w:t xml:space="preserve"> </w:t>
      </w:r>
      <w:proofErr w:type="spellStart"/>
      <w:r w:rsidRPr="004F7B24">
        <w:rPr>
          <w:rFonts w:ascii="Trebuchet MS" w:hAnsi="Trebuchet MS"/>
          <w:color w:val="4A4A4A"/>
          <w:sz w:val="27"/>
          <w:szCs w:val="27"/>
        </w:rPr>
        <w:t>c.p.c.</w:t>
      </w:r>
      <w:proofErr w:type="spellEnd"/>
      <w:r w:rsidR="00A112BB">
        <w:rPr>
          <w:rFonts w:ascii="Trebuchet MS" w:hAnsi="Trebuchet MS"/>
          <w:color w:val="4A4A4A"/>
          <w:sz w:val="27"/>
          <w:szCs w:val="27"/>
        </w:rPr>
        <w:t xml:space="preserve"> </w:t>
      </w:r>
      <w:r>
        <w:rPr>
          <w:rFonts w:ascii="Trebuchet MS" w:hAnsi="Trebuchet MS"/>
          <w:color w:val="4A4A4A"/>
          <w:sz w:val="27"/>
          <w:szCs w:val="27"/>
        </w:rPr>
        <w:t xml:space="preserve">al processo amministrativo si è ritenuto che, posto che </w:t>
      </w:r>
      <w:r w:rsidRPr="004F7B24">
        <w:rPr>
          <w:rFonts w:ascii="Trebuchet MS" w:hAnsi="Trebuchet MS"/>
          <w:i/>
          <w:color w:val="4A4A4A"/>
          <w:sz w:val="27"/>
          <w:szCs w:val="27"/>
        </w:rPr>
        <w:t xml:space="preserve">“il codice del processo amministrativo non contiene alcuna specifica disposizione che regola il caso di un giudicato amministrativo in contrasto con statuizioni sopravvenute del giudice convenzionale; ciò significa che nel codice esiste senz’altro una lacuna che va risolta con la conseguente applicazione del citato art. 39, comma 1, </w:t>
      </w:r>
      <w:proofErr w:type="spellStart"/>
      <w:r w:rsidRPr="004F7B24">
        <w:rPr>
          <w:rFonts w:ascii="Trebuchet MS" w:hAnsi="Trebuchet MS"/>
          <w:i/>
          <w:color w:val="4A4A4A"/>
          <w:sz w:val="27"/>
          <w:szCs w:val="27"/>
        </w:rPr>
        <w:t>c.p.a</w:t>
      </w:r>
      <w:proofErr w:type="spellEnd"/>
      <w:r w:rsidRPr="004F7B24">
        <w:rPr>
          <w:rFonts w:ascii="Trebuchet MS" w:hAnsi="Trebuchet MS"/>
          <w:i/>
          <w:color w:val="4A4A4A"/>
          <w:sz w:val="27"/>
          <w:szCs w:val="27"/>
        </w:rPr>
        <w:t xml:space="preserve">., che subordina il rinvio esterno alla coesistenza di due condizioni rappresentate dalla mancanza di una diversa disciplina </w:t>
      </w:r>
      <w:proofErr w:type="spellStart"/>
      <w:r w:rsidRPr="004F7B24">
        <w:rPr>
          <w:rFonts w:ascii="Trebuchet MS" w:hAnsi="Trebuchet MS"/>
          <w:i/>
          <w:color w:val="4A4A4A"/>
          <w:sz w:val="27"/>
          <w:szCs w:val="27"/>
        </w:rPr>
        <w:t>codicistica</w:t>
      </w:r>
      <w:proofErr w:type="spellEnd"/>
      <w:r w:rsidRPr="004F7B24">
        <w:rPr>
          <w:rFonts w:ascii="Trebuchet MS" w:hAnsi="Trebuchet MS"/>
          <w:i/>
          <w:color w:val="4A4A4A"/>
          <w:sz w:val="27"/>
          <w:szCs w:val="27"/>
        </w:rPr>
        <w:t xml:space="preserve"> e dalla </w:t>
      </w:r>
      <w:r w:rsidRPr="004F7B24">
        <w:rPr>
          <w:rFonts w:ascii="Trebuchet MS" w:hAnsi="Trebuchet MS"/>
          <w:i/>
          <w:color w:val="4A4A4A"/>
          <w:sz w:val="27"/>
          <w:szCs w:val="27"/>
        </w:rPr>
        <w:lastRenderedPageBreak/>
        <w:t>compatibilità ovvero dal fatto che la norma processuale sia espressione di un principio generale”</w:t>
      </w:r>
      <w:r w:rsidRPr="004F7B24">
        <w:rPr>
          <w:rFonts w:ascii="Trebuchet MS" w:hAnsi="Trebuchet MS"/>
          <w:color w:val="4A4A4A"/>
          <w:sz w:val="27"/>
          <w:szCs w:val="27"/>
        </w:rPr>
        <w:t>.</w:t>
      </w:r>
    </w:p>
    <w:p w:rsidR="00B25F6E" w:rsidRPr="00F122CA" w:rsidRDefault="004F7B24" w:rsidP="00F122CA">
      <w:pPr>
        <w:pStyle w:val="NormaleWeb"/>
        <w:shd w:val="clear" w:color="auto" w:fill="FFFFFF"/>
        <w:spacing w:before="0" w:beforeAutospacing="0" w:after="150" w:afterAutospacing="0" w:line="360" w:lineRule="atLeast"/>
        <w:jc w:val="both"/>
        <w:rPr>
          <w:rFonts w:ascii="Trebuchet MS" w:hAnsi="Trebuchet MS"/>
          <w:color w:val="4A4A4A"/>
          <w:sz w:val="27"/>
          <w:szCs w:val="27"/>
        </w:rPr>
      </w:pPr>
      <w:r w:rsidRPr="00F122CA">
        <w:rPr>
          <w:rFonts w:ascii="Trebuchet MS" w:hAnsi="Trebuchet MS"/>
          <w:color w:val="4A4A4A"/>
          <w:sz w:val="27"/>
          <w:szCs w:val="27"/>
        </w:rPr>
        <w:t xml:space="preserve">In tal modo si è superato il già ritenuto ostacolo rappresentato dal dato letterale e quindi dalla portata dell’art. 106 </w:t>
      </w:r>
      <w:proofErr w:type="spellStart"/>
      <w:r w:rsidRPr="00F122CA">
        <w:rPr>
          <w:rFonts w:ascii="Trebuchet MS" w:hAnsi="Trebuchet MS"/>
          <w:color w:val="4A4A4A"/>
          <w:sz w:val="27"/>
          <w:szCs w:val="27"/>
        </w:rPr>
        <w:t>c.p.a</w:t>
      </w:r>
      <w:proofErr w:type="spellEnd"/>
      <w:r w:rsidRPr="00F122CA">
        <w:rPr>
          <w:rFonts w:ascii="Trebuchet MS" w:hAnsi="Trebuchet MS"/>
          <w:color w:val="4A4A4A"/>
          <w:sz w:val="27"/>
          <w:szCs w:val="27"/>
        </w:rPr>
        <w:t>.</w:t>
      </w:r>
      <w:r w:rsidR="007D513B" w:rsidRPr="00F122CA">
        <w:rPr>
          <w:rFonts w:ascii="Trebuchet MS" w:hAnsi="Trebuchet MS"/>
          <w:color w:val="4A4A4A"/>
          <w:sz w:val="27"/>
          <w:szCs w:val="27"/>
        </w:rPr>
        <w:t xml:space="preserve">, affermandosi </w:t>
      </w:r>
      <w:r w:rsidR="00A112BB">
        <w:rPr>
          <w:rFonts w:ascii="Trebuchet MS" w:hAnsi="Trebuchet MS"/>
          <w:color w:val="4A4A4A"/>
          <w:sz w:val="27"/>
          <w:szCs w:val="27"/>
        </w:rPr>
        <w:t xml:space="preserve">altresì </w:t>
      </w:r>
      <w:r w:rsidR="007D513B" w:rsidRPr="00F122CA">
        <w:rPr>
          <w:rFonts w:ascii="Trebuchet MS" w:hAnsi="Trebuchet MS"/>
          <w:color w:val="4A4A4A"/>
          <w:sz w:val="27"/>
          <w:szCs w:val="27"/>
        </w:rPr>
        <w:t>che “</w:t>
      </w:r>
      <w:r w:rsidR="007D513B" w:rsidRPr="00F122CA">
        <w:rPr>
          <w:rFonts w:ascii="Trebuchet MS" w:hAnsi="Trebuchet MS"/>
          <w:i/>
          <w:color w:val="4A4A4A"/>
          <w:sz w:val="27"/>
          <w:szCs w:val="27"/>
        </w:rPr>
        <w:t xml:space="preserve">l’istituto in questione è al di là di ogni ragionevole dubbio, sicuramente compatibile con il nostro sistema giuridico e anzi, come </w:t>
      </w:r>
      <w:proofErr w:type="spellStart"/>
      <w:r w:rsidR="007D513B" w:rsidRPr="00F122CA">
        <w:rPr>
          <w:rFonts w:ascii="Trebuchet MS" w:hAnsi="Trebuchet MS"/>
          <w:i/>
          <w:color w:val="4A4A4A"/>
          <w:sz w:val="27"/>
          <w:szCs w:val="27"/>
        </w:rPr>
        <w:t>condivisibilmente</w:t>
      </w:r>
      <w:proofErr w:type="spellEnd"/>
      <w:r w:rsidR="007D513B" w:rsidRPr="00F122CA">
        <w:rPr>
          <w:rFonts w:ascii="Trebuchet MS" w:hAnsi="Trebuchet MS"/>
          <w:i/>
          <w:color w:val="4A4A4A"/>
          <w:sz w:val="27"/>
          <w:szCs w:val="27"/>
        </w:rPr>
        <w:t xml:space="preserve"> osservato dalla parte ricorrente, laddove non si accedesse a questa interpretazione, finirebbe per essere frustrato il principio di effettività della tutela, predicato dall’articolo 1 del </w:t>
      </w:r>
      <w:proofErr w:type="spellStart"/>
      <w:r w:rsidR="007D513B" w:rsidRPr="00F122CA">
        <w:rPr>
          <w:rFonts w:ascii="Trebuchet MS" w:hAnsi="Trebuchet MS"/>
          <w:i/>
          <w:color w:val="4A4A4A"/>
          <w:sz w:val="27"/>
          <w:szCs w:val="27"/>
        </w:rPr>
        <w:t>c.p.a</w:t>
      </w:r>
      <w:proofErr w:type="spellEnd"/>
      <w:r w:rsidR="007D513B" w:rsidRPr="00F122CA">
        <w:rPr>
          <w:rFonts w:ascii="Trebuchet MS" w:hAnsi="Trebuchet MS"/>
          <w:i/>
          <w:color w:val="4A4A4A"/>
          <w:sz w:val="27"/>
          <w:szCs w:val="27"/>
        </w:rPr>
        <w:t>.”</w:t>
      </w:r>
      <w:r w:rsidR="007D513B" w:rsidRPr="00F122CA">
        <w:rPr>
          <w:rFonts w:ascii="Trebuchet MS" w:hAnsi="Trebuchet MS"/>
          <w:color w:val="4A4A4A"/>
          <w:sz w:val="27"/>
          <w:szCs w:val="27"/>
        </w:rPr>
        <w:t>.</w:t>
      </w:r>
    </w:p>
    <w:p w:rsidR="00323AF2" w:rsidRDefault="00323AF2" w:rsidP="00D479F3">
      <w:pPr>
        <w:rPr>
          <w:rFonts w:ascii="Trebuchet MS" w:eastAsia="Times New Roman" w:hAnsi="Trebuchet MS" w:cs="Times New Roman"/>
          <w:color w:val="0C0C0F"/>
          <w:sz w:val="27"/>
          <w:szCs w:val="27"/>
          <w:lang w:eastAsia="it-IT"/>
        </w:rPr>
      </w:pPr>
    </w:p>
    <w:p w:rsidR="00D479F3" w:rsidRDefault="00D479F3" w:rsidP="00D479F3">
      <w:pPr>
        <w:rPr>
          <w:rFonts w:ascii="Trebuchet MS" w:eastAsia="Times New Roman" w:hAnsi="Trebuchet MS" w:cs="Times New Roman"/>
          <w:color w:val="0C0C0F"/>
          <w:sz w:val="27"/>
          <w:szCs w:val="27"/>
          <w:lang w:eastAsia="it-IT"/>
        </w:rPr>
      </w:pPr>
    </w:p>
    <w:p w:rsidR="0044711A" w:rsidRDefault="0044711A"/>
    <w:p w:rsidR="0044711A" w:rsidRDefault="0044711A"/>
    <w:p w:rsidR="008F78CE" w:rsidRDefault="008F78CE"/>
    <w:sectPr w:rsidR="008F78CE">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6AF" w:rsidRDefault="00A956AF" w:rsidP="00931A0C">
      <w:pPr>
        <w:spacing w:after="0" w:line="240" w:lineRule="auto"/>
      </w:pPr>
      <w:r>
        <w:separator/>
      </w:r>
    </w:p>
  </w:endnote>
  <w:endnote w:type="continuationSeparator" w:id="0">
    <w:p w:rsidR="00A956AF" w:rsidRDefault="00A956AF" w:rsidP="0093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472406"/>
      <w:docPartObj>
        <w:docPartGallery w:val="Page Numbers (Bottom of Page)"/>
        <w:docPartUnique/>
      </w:docPartObj>
    </w:sdtPr>
    <w:sdtEndPr/>
    <w:sdtContent>
      <w:p w:rsidR="00931A0C" w:rsidRDefault="00931A0C">
        <w:pPr>
          <w:pStyle w:val="Pidipagina"/>
          <w:jc w:val="center"/>
        </w:pPr>
        <w:r>
          <w:fldChar w:fldCharType="begin"/>
        </w:r>
        <w:r>
          <w:instrText>PAGE   \* MERGEFORMAT</w:instrText>
        </w:r>
        <w:r>
          <w:fldChar w:fldCharType="separate"/>
        </w:r>
        <w:r w:rsidR="00032DB9">
          <w:rPr>
            <w:noProof/>
          </w:rPr>
          <w:t>14</w:t>
        </w:r>
        <w:r>
          <w:fldChar w:fldCharType="end"/>
        </w:r>
      </w:p>
    </w:sdtContent>
  </w:sdt>
  <w:p w:rsidR="00931A0C" w:rsidRDefault="00931A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6AF" w:rsidRDefault="00A956AF" w:rsidP="00931A0C">
      <w:pPr>
        <w:spacing w:after="0" w:line="240" w:lineRule="auto"/>
      </w:pPr>
      <w:r>
        <w:separator/>
      </w:r>
    </w:p>
  </w:footnote>
  <w:footnote w:type="continuationSeparator" w:id="0">
    <w:p w:rsidR="00A956AF" w:rsidRDefault="00A956AF" w:rsidP="00931A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28"/>
    <w:rsid w:val="00032DB9"/>
    <w:rsid w:val="000442F1"/>
    <w:rsid w:val="0007122B"/>
    <w:rsid w:val="000C422E"/>
    <w:rsid w:val="000E6CD4"/>
    <w:rsid w:val="00114FBC"/>
    <w:rsid w:val="00131645"/>
    <w:rsid w:val="00137D1E"/>
    <w:rsid w:val="00142F15"/>
    <w:rsid w:val="0015716D"/>
    <w:rsid w:val="00207350"/>
    <w:rsid w:val="00262040"/>
    <w:rsid w:val="002E125C"/>
    <w:rsid w:val="002F4E34"/>
    <w:rsid w:val="00323AF2"/>
    <w:rsid w:val="003533B8"/>
    <w:rsid w:val="0035398F"/>
    <w:rsid w:val="003A410D"/>
    <w:rsid w:val="003D395D"/>
    <w:rsid w:val="00427F1F"/>
    <w:rsid w:val="0044711A"/>
    <w:rsid w:val="00455B40"/>
    <w:rsid w:val="004F7B24"/>
    <w:rsid w:val="005353A5"/>
    <w:rsid w:val="005538C7"/>
    <w:rsid w:val="00555993"/>
    <w:rsid w:val="005A1C4A"/>
    <w:rsid w:val="005A2D4E"/>
    <w:rsid w:val="00603179"/>
    <w:rsid w:val="00692138"/>
    <w:rsid w:val="007369AC"/>
    <w:rsid w:val="00750B2E"/>
    <w:rsid w:val="00752838"/>
    <w:rsid w:val="007707EE"/>
    <w:rsid w:val="00780A65"/>
    <w:rsid w:val="007A076C"/>
    <w:rsid w:val="007D513B"/>
    <w:rsid w:val="007D59E3"/>
    <w:rsid w:val="008524EC"/>
    <w:rsid w:val="008F78CE"/>
    <w:rsid w:val="00927F5E"/>
    <w:rsid w:val="00931A0C"/>
    <w:rsid w:val="00996F36"/>
    <w:rsid w:val="009F2D44"/>
    <w:rsid w:val="00A112BB"/>
    <w:rsid w:val="00A142BC"/>
    <w:rsid w:val="00A67210"/>
    <w:rsid w:val="00A956AF"/>
    <w:rsid w:val="00AE3396"/>
    <w:rsid w:val="00B25F6E"/>
    <w:rsid w:val="00B4234E"/>
    <w:rsid w:val="00B510CA"/>
    <w:rsid w:val="00B8126B"/>
    <w:rsid w:val="00B96D5D"/>
    <w:rsid w:val="00C11565"/>
    <w:rsid w:val="00C71D81"/>
    <w:rsid w:val="00C938C0"/>
    <w:rsid w:val="00CA7D2B"/>
    <w:rsid w:val="00CD3F04"/>
    <w:rsid w:val="00CE5024"/>
    <w:rsid w:val="00D12EAC"/>
    <w:rsid w:val="00D1412E"/>
    <w:rsid w:val="00D425C3"/>
    <w:rsid w:val="00D45352"/>
    <w:rsid w:val="00D479F3"/>
    <w:rsid w:val="00D715F6"/>
    <w:rsid w:val="00D76D28"/>
    <w:rsid w:val="00DC496F"/>
    <w:rsid w:val="00E00B88"/>
    <w:rsid w:val="00E36949"/>
    <w:rsid w:val="00E43271"/>
    <w:rsid w:val="00E91A52"/>
    <w:rsid w:val="00ED3DDB"/>
    <w:rsid w:val="00F122CA"/>
    <w:rsid w:val="00FD78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E1BD"/>
  <w15:chartTrackingRefBased/>
  <w15:docId w15:val="{6B371943-CC80-434C-ADB3-0E614A90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31A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1A0C"/>
  </w:style>
  <w:style w:type="paragraph" w:styleId="Pidipagina">
    <w:name w:val="footer"/>
    <w:basedOn w:val="Normale"/>
    <w:link w:val="PidipaginaCarattere"/>
    <w:uiPriority w:val="99"/>
    <w:unhideWhenUsed/>
    <w:rsid w:val="00931A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1A0C"/>
  </w:style>
  <w:style w:type="paragraph" w:styleId="NormaleWeb">
    <w:name w:val="Normal (Web)"/>
    <w:basedOn w:val="Normale"/>
    <w:uiPriority w:val="99"/>
    <w:semiHidden/>
    <w:unhideWhenUsed/>
    <w:rsid w:val="00323AF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23AF2"/>
    <w:rPr>
      <w:color w:val="0000FF"/>
      <w:u w:val="single"/>
    </w:rPr>
  </w:style>
  <w:style w:type="paragraph" w:styleId="Testofumetto">
    <w:name w:val="Balloon Text"/>
    <w:basedOn w:val="Normale"/>
    <w:link w:val="TestofumettoCarattere"/>
    <w:uiPriority w:val="99"/>
    <w:semiHidden/>
    <w:unhideWhenUsed/>
    <w:rsid w:val="00D715F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15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3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jure.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5486</Words>
  <Characters>31272</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TRICARICO Rita</dc:creator>
  <cp:keywords/>
  <dc:description/>
  <cp:lastModifiedBy>COZZOLI Pamela</cp:lastModifiedBy>
  <cp:revision>4</cp:revision>
  <cp:lastPrinted>2025-01-09T19:10:00Z</cp:lastPrinted>
  <dcterms:created xsi:type="dcterms:W3CDTF">2025-01-20T11:52:00Z</dcterms:created>
  <dcterms:modified xsi:type="dcterms:W3CDTF">2025-01-20T12:05:00Z</dcterms:modified>
</cp:coreProperties>
</file>