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CEEE6" w14:textId="77777777" w:rsidR="009556D3" w:rsidRDefault="00C22675">
      <w:pPr>
        <w:spacing w:line="423" w:lineRule="exact"/>
        <w:ind w:left="1368" w:hanging="1368"/>
        <w:textAlignment w:val="baseline"/>
        <w:rPr>
          <w:rFonts w:ascii="Bookman Old Style" w:eastAsia="Bookman Old Style" w:hAnsi="Bookman Old Style"/>
          <w:b/>
          <w:i/>
          <w:color w:val="000000"/>
          <w:sz w:val="28"/>
          <w:lang w:val="it-IT"/>
        </w:rPr>
      </w:pPr>
      <w:r>
        <w:rPr>
          <w:rFonts w:ascii="Bookman Old Style" w:eastAsia="Bookman Old Style" w:hAnsi="Bookman Old Style"/>
          <w:b/>
          <w:i/>
          <w:color w:val="000000"/>
          <w:sz w:val="28"/>
          <w:lang w:val="it-IT"/>
        </w:rPr>
        <w:t xml:space="preserve">I servizi </w:t>
      </w:r>
      <w:proofErr w:type="gramStart"/>
      <w:r>
        <w:rPr>
          <w:rFonts w:ascii="Bookman Old Style" w:eastAsia="Bookman Old Style" w:hAnsi="Bookman Old Style"/>
          <w:b/>
          <w:i/>
          <w:color w:val="000000"/>
          <w:sz w:val="28"/>
          <w:lang w:val="it-IT"/>
        </w:rPr>
        <w:t>socio assistenziali</w:t>
      </w:r>
      <w:proofErr w:type="gramEnd"/>
      <w:r>
        <w:rPr>
          <w:rFonts w:ascii="Bookman Old Style" w:eastAsia="Bookman Old Style" w:hAnsi="Bookman Old Style"/>
          <w:b/>
          <w:i/>
          <w:color w:val="000000"/>
          <w:sz w:val="28"/>
          <w:lang w:val="it-IT"/>
        </w:rPr>
        <w:t>: controllo di legittimità, tutela dei diritti sociali e bilanciamento degli interessi</w:t>
      </w:r>
    </w:p>
    <w:p w14:paraId="39359BB6" w14:textId="054B6BC4" w:rsidR="009556D3" w:rsidRDefault="00C22675">
      <w:pPr>
        <w:spacing w:before="921" w:line="264" w:lineRule="exact"/>
        <w:textAlignment w:val="baseline"/>
        <w:rPr>
          <w:rFonts w:ascii="Verdana" w:eastAsia="Verdana" w:hAnsi="Verdana"/>
          <w:b/>
          <w:color w:val="000000"/>
          <w:spacing w:val="-7"/>
          <w:sz w:val="20"/>
          <w:lang w:val="it-IT"/>
        </w:rPr>
      </w:pPr>
      <w:r>
        <w:rPr>
          <w:rFonts w:ascii="Verdana" w:eastAsia="Verdana" w:hAnsi="Verdana"/>
          <w:b/>
          <w:color w:val="000000"/>
          <w:spacing w:val="-7"/>
          <w:sz w:val="20"/>
          <w:lang w:val="it-IT"/>
        </w:rPr>
        <w:t xml:space="preserve">Siracusa, 4 </w:t>
      </w:r>
      <w:r w:rsidR="00043CC8">
        <w:rPr>
          <w:rFonts w:ascii="Verdana" w:eastAsia="Verdana" w:hAnsi="Verdana"/>
          <w:b/>
          <w:color w:val="000000"/>
          <w:spacing w:val="-7"/>
          <w:sz w:val="20"/>
          <w:lang w:val="it-IT"/>
        </w:rPr>
        <w:t>ottobre</w:t>
      </w:r>
      <w:r>
        <w:rPr>
          <w:rFonts w:ascii="Verdana" w:eastAsia="Verdana" w:hAnsi="Verdana"/>
          <w:b/>
          <w:color w:val="000000"/>
          <w:spacing w:val="-7"/>
          <w:sz w:val="20"/>
          <w:lang w:val="it-IT"/>
        </w:rPr>
        <w:t xml:space="preserve"> 2025</w:t>
      </w:r>
    </w:p>
    <w:p w14:paraId="58A36AC2" w14:textId="77777777" w:rsidR="009556D3" w:rsidRDefault="00C22675">
      <w:pPr>
        <w:spacing w:before="992" w:line="323" w:lineRule="exact"/>
        <w:textAlignment w:val="baseline"/>
        <w:rPr>
          <w:rFonts w:ascii="Verdana" w:eastAsia="Verdana" w:hAnsi="Verdana"/>
          <w:b/>
          <w:i/>
          <w:color w:val="000000"/>
          <w:spacing w:val="-15"/>
          <w:sz w:val="25"/>
          <w:lang w:val="it-IT"/>
        </w:rPr>
      </w:pPr>
      <w:r>
        <w:rPr>
          <w:rFonts w:ascii="Verdana" w:eastAsia="Verdana" w:hAnsi="Verdana"/>
          <w:b/>
          <w:i/>
          <w:color w:val="000000"/>
          <w:spacing w:val="-15"/>
          <w:sz w:val="25"/>
          <w:lang w:val="it-IT"/>
        </w:rPr>
        <w:t>Introduzione: L’universalità necessaria</w:t>
      </w:r>
    </w:p>
    <w:p w14:paraId="104385EC" w14:textId="77777777" w:rsidR="009556D3" w:rsidRDefault="00C22675">
      <w:pPr>
        <w:spacing w:before="206" w:line="422" w:lineRule="exact"/>
        <w:jc w:val="both"/>
        <w:textAlignment w:val="baseline"/>
        <w:rPr>
          <w:rFonts w:ascii="Bookman Old Style" w:eastAsia="Bookman Old Style" w:hAnsi="Bookman Old Style"/>
          <w:color w:val="000000"/>
          <w:spacing w:val="-3"/>
          <w:sz w:val="24"/>
          <w:lang w:val="it-IT"/>
        </w:rPr>
      </w:pPr>
      <w:r>
        <w:rPr>
          <w:rFonts w:ascii="Bookman Old Style" w:eastAsia="Bookman Old Style" w:hAnsi="Bookman Old Style"/>
          <w:color w:val="000000"/>
          <w:spacing w:val="-3"/>
          <w:sz w:val="24"/>
          <w:lang w:val="it-IT"/>
        </w:rPr>
        <w:t xml:space="preserve">Le politiche sociali e il sistema del welfare in senso lato, analogamente a quanto accade in relazione al pianeta salute e al tema previdenza a cui esse sono strettamente connesse, conservano degli aspetti peculiari. Innanzitutto, se utilizziamo il termine welfare nel suo significato generale va detto che in esso sono comprese la sanità, la previdenza e i servizi sociali; se lo intendiamo in senso stretto, come avverrà nel corso di questo contributo, stiamo circoscrivendo il riferimento alle attività e prestazioni sociali. Il tratto che contraddistingue questa tipologia di attività, servizi, prestazioni e interventi è il carattere della c.d. “universalità necessaria”. </w:t>
      </w:r>
      <w:proofErr w:type="gramStart"/>
      <w:r>
        <w:rPr>
          <w:rFonts w:ascii="Bookman Old Style" w:eastAsia="Bookman Old Style" w:hAnsi="Bookman Old Style"/>
          <w:color w:val="000000"/>
          <w:spacing w:val="-3"/>
          <w:sz w:val="24"/>
          <w:lang w:val="it-IT"/>
        </w:rPr>
        <w:t>E’</w:t>
      </w:r>
      <w:proofErr w:type="gramEnd"/>
      <w:r>
        <w:rPr>
          <w:rFonts w:ascii="Bookman Old Style" w:eastAsia="Bookman Old Style" w:hAnsi="Bookman Old Style"/>
          <w:color w:val="000000"/>
          <w:spacing w:val="-3"/>
          <w:sz w:val="24"/>
          <w:lang w:val="it-IT"/>
        </w:rPr>
        <w:t xml:space="preserve"> importante partire da questa definizione. Infatti, mentre l’attuazione di alcuni diritti e il soddisfacimento di determinati interessi riguarda una parte della popolazione – anche quando questa parte può essere consistente o numerosa – prestazioni sociali, sanità e previdenza riguardano inevitabilmente e necessariamente tutti noi potenzialmente. Il diritto di proprietà o l’iniziativa economica privata sono ad esempio diritti che trovano una precisa collocazione nella nostra Costituzione e sono riconosciuti a tutti: ma trovano attuazione solo in chi è nella possibilità di realizzarli. Salute, prestazioni sociali e pensioni non sono solo riconosciuti a tutti ma devono essere necessariamente realizzati in favore di tutti e senza discriminazioni nell’accesso. Tanto è vero che tutti hanno diritto alle prestazioni sociali, tutti hanno diritto a prestazioni ospedaliere a prescindere dalle loro condizioni economiche, e tutti hanno diritto a una pensione, non fosse anche solo un assegno sociale.</w:t>
      </w:r>
    </w:p>
    <w:p w14:paraId="0975625D" w14:textId="77777777" w:rsidR="009556D3" w:rsidRDefault="00C22675">
      <w:pPr>
        <w:spacing w:before="732" w:after="653" w:line="323" w:lineRule="exact"/>
        <w:jc w:val="center"/>
        <w:textAlignment w:val="baseline"/>
        <w:rPr>
          <w:rFonts w:ascii="Verdana" w:eastAsia="Verdana" w:hAnsi="Verdana"/>
          <w:b/>
          <w:i/>
          <w:color w:val="000000"/>
          <w:spacing w:val="-15"/>
          <w:sz w:val="25"/>
          <w:lang w:val="it-IT"/>
        </w:rPr>
      </w:pPr>
      <w:r>
        <w:rPr>
          <w:rFonts w:ascii="Verdana" w:eastAsia="Verdana" w:hAnsi="Verdana"/>
          <w:b/>
          <w:i/>
          <w:color w:val="000000"/>
          <w:spacing w:val="-15"/>
          <w:sz w:val="25"/>
          <w:lang w:val="it-IT"/>
        </w:rPr>
        <w:t>La tutela sociale: Strumento giuridico e strumento attuativo</w:t>
      </w:r>
    </w:p>
    <w:p w14:paraId="774B4307" w14:textId="77777777" w:rsidR="009556D3" w:rsidRPr="00043CC8" w:rsidRDefault="009556D3">
      <w:pPr>
        <w:spacing w:before="732" w:after="653" w:line="323" w:lineRule="exact"/>
        <w:rPr>
          <w:lang w:val="it-IT"/>
        </w:rPr>
        <w:sectPr w:rsidR="009556D3" w:rsidRPr="00043CC8">
          <w:pgSz w:w="11909" w:h="16838"/>
          <w:pgMar w:top="1400" w:right="562" w:bottom="582" w:left="1987" w:header="720" w:footer="720" w:gutter="0"/>
          <w:cols w:space="720"/>
        </w:sectPr>
      </w:pPr>
    </w:p>
    <w:p w14:paraId="1D575B0E" w14:textId="77777777" w:rsidR="009556D3" w:rsidRDefault="00C22675">
      <w:pPr>
        <w:spacing w:line="277" w:lineRule="exact"/>
        <w:jc w:val="center"/>
        <w:textAlignment w:val="baseline"/>
        <w:rPr>
          <w:rFonts w:ascii="Symbol" w:eastAsia="Symbol" w:hAnsi="Symbol"/>
          <w:color w:val="000000"/>
          <w:sz w:val="26"/>
          <w:lang w:val="it-IT"/>
        </w:rPr>
      </w:pPr>
      <w:r>
        <w:rPr>
          <w:rFonts w:ascii="Symbol" w:eastAsia="Symbol" w:hAnsi="Symbol"/>
          <w:color w:val="000000"/>
          <w:sz w:val="26"/>
          <w:lang w:val="it-IT"/>
        </w:rPr>
        <w:t>1</w:t>
      </w:r>
    </w:p>
    <w:p w14:paraId="3B4CF723" w14:textId="77777777" w:rsidR="009556D3" w:rsidRPr="00043CC8" w:rsidRDefault="009556D3">
      <w:pPr>
        <w:rPr>
          <w:lang w:val="it-IT"/>
        </w:rPr>
        <w:sectPr w:rsidR="009556D3" w:rsidRPr="00043CC8">
          <w:type w:val="continuous"/>
          <w:pgSz w:w="11909" w:h="16838"/>
          <w:pgMar w:top="1400" w:right="562" w:bottom="582" w:left="1987" w:header="720" w:footer="720" w:gutter="0"/>
          <w:cols w:space="720"/>
        </w:sectPr>
      </w:pPr>
    </w:p>
    <w:p w14:paraId="12B1C565" w14:textId="77777777" w:rsidR="009556D3" w:rsidRDefault="00C22675">
      <w:pPr>
        <w:spacing w:before="17"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lastRenderedPageBreak/>
        <w:t xml:space="preserve">Ciò premesso possiamo entrare nel merito del tema, la tutela dei dritti sociali, i welfare in senso stretto come dicevamo. Essa, nel corso della storia repubblicana, si è articolata in due direzioni che hanno, peraltro, avuto uno sviluppo e un compimento piuttosto recente. Il legislatore ha voluto, </w:t>
      </w:r>
      <w:proofErr w:type="gramStart"/>
      <w:r>
        <w:rPr>
          <w:rFonts w:ascii="Bookman Old Style" w:eastAsia="Bookman Old Style" w:hAnsi="Bookman Old Style"/>
          <w:color w:val="000000"/>
          <w:sz w:val="24"/>
          <w:lang w:val="it-IT"/>
        </w:rPr>
        <w:t>cioè</w:t>
      </w:r>
      <w:proofErr w:type="gramEnd"/>
      <w:r>
        <w:rPr>
          <w:rFonts w:ascii="Bookman Old Style" w:eastAsia="Bookman Old Style" w:hAnsi="Bookman Old Style"/>
          <w:color w:val="000000"/>
          <w:sz w:val="24"/>
          <w:lang w:val="it-IT"/>
        </w:rPr>
        <w:t xml:space="preserve"> dare attuazione all’impalcatura costituzionale che riguarda i diritti sociali – e che si fonda principalmente sugli artt. 2, 3 e 38 della Costituzione – secondo due direttrici, una che si può definire come fondamento del diritto e l’altra come modalità di attuazione: il primo è uno strumento giuridico, il secondo uno strumento attuativo. Ciò è avvenuto innanzitutto riconoscendo che tutte le tipologie di prestazione sociale devono avere un nucleo standard di offerta dignitoso e omogeneo sul tutto il territorio italiano in omaggio al dettato costituzionale; in secondo luogo creando uno strumento di attuazione delle stesse prestazioni sociali alternativo al mercato, al concetto di concorrenza e competitività e quindi costruendo da zero il concetto di sussidiarietà orizzontale che ha come obiettivo la c.d. amministrazione condivisa. Parlavo di sviluppo recente perché tutto ciò inizia con la riforma quadro della legislazione sociale (328/2000), prosegue con la riforma del Tit. V della Costituzione e approda al d.lgs. n. 117/2017, ovvero la riforma quadro del terzo settore. Governi diversi, quindi, che hanno però seguito, sorprendentemente per il nostro paese, un cammino coerente, potenzialmente in grado di dare frutti straordinari. Peraltro, l’evoluzione della giurisprudenza della Consulta sul tema è stato un formidabile fattore propulsivo per le conquiste ottenute sotto il profilo ordinamentale: attualmente, almeno in astratto, l’ordinamento italiano, è molto avanzato sul piano della tutela del concetto di socialità, assistenza, accoglienza e progettualità. E vediamo perché.</w:t>
      </w:r>
    </w:p>
    <w:p w14:paraId="48EE78B3" w14:textId="77777777" w:rsidR="009556D3" w:rsidRDefault="00C22675">
      <w:pPr>
        <w:spacing w:before="732" w:line="323" w:lineRule="exact"/>
        <w:ind w:left="720"/>
        <w:textAlignment w:val="baseline"/>
        <w:rPr>
          <w:rFonts w:ascii="Verdana" w:eastAsia="Verdana" w:hAnsi="Verdana"/>
          <w:b/>
          <w:i/>
          <w:color w:val="000000"/>
          <w:spacing w:val="-16"/>
          <w:sz w:val="25"/>
          <w:lang w:val="it-IT"/>
        </w:rPr>
      </w:pPr>
      <w:r>
        <w:rPr>
          <w:rFonts w:ascii="Verdana" w:eastAsia="Verdana" w:hAnsi="Verdana"/>
          <w:b/>
          <w:i/>
          <w:color w:val="000000"/>
          <w:spacing w:val="-16"/>
          <w:sz w:val="25"/>
          <w:lang w:val="it-IT"/>
        </w:rPr>
        <w:t>Il quadro costituzionale</w:t>
      </w:r>
    </w:p>
    <w:p w14:paraId="7F995007" w14:textId="77777777" w:rsidR="009556D3" w:rsidRDefault="00C22675">
      <w:pPr>
        <w:spacing w:before="194" w:after="369" w:line="422" w:lineRule="exact"/>
        <w:jc w:val="both"/>
        <w:textAlignment w:val="baseline"/>
        <w:rPr>
          <w:rFonts w:ascii="Bookman Old Style" w:eastAsia="Bookman Old Style" w:hAnsi="Bookman Old Style"/>
          <w:color w:val="000000"/>
          <w:spacing w:val="-3"/>
          <w:sz w:val="24"/>
          <w:lang w:val="it-IT"/>
        </w:rPr>
      </w:pPr>
      <w:r>
        <w:rPr>
          <w:rFonts w:ascii="Bookman Old Style" w:eastAsia="Bookman Old Style" w:hAnsi="Bookman Old Style"/>
          <w:color w:val="000000"/>
          <w:spacing w:val="-3"/>
          <w:sz w:val="24"/>
          <w:lang w:val="it-IT"/>
        </w:rPr>
        <w:t>L’art. 2 della Costituzione</w:t>
      </w:r>
      <w:r>
        <w:rPr>
          <w:rFonts w:ascii="Bookman Old Style" w:eastAsia="Bookman Old Style" w:hAnsi="Bookman Old Style"/>
          <w:color w:val="000000"/>
          <w:spacing w:val="-3"/>
          <w:sz w:val="24"/>
          <w:vertAlign w:val="superscript"/>
          <w:lang w:val="it-IT"/>
        </w:rPr>
        <w:t>1</w:t>
      </w:r>
      <w:r>
        <w:rPr>
          <w:rFonts w:ascii="Bookman Old Style" w:eastAsia="Bookman Old Style" w:hAnsi="Bookman Old Style"/>
          <w:color w:val="000000"/>
          <w:spacing w:val="-3"/>
          <w:sz w:val="24"/>
          <w:lang w:val="it-IT"/>
        </w:rPr>
        <w:t xml:space="preserve"> pone la persona e i gruppi sociali al centro del sistema giuridico creato dal Costituente, affermando così il principio personalistico come cardine di un impegno a costruire una collettività che assicuri uguaglianza e</w:t>
      </w:r>
    </w:p>
    <w:p w14:paraId="37A0170D" w14:textId="77777777" w:rsidR="009556D3" w:rsidRDefault="00162321">
      <w:pPr>
        <w:spacing w:line="245" w:lineRule="exact"/>
        <w:jc w:val="both"/>
        <w:textAlignment w:val="baseline"/>
        <w:rPr>
          <w:rFonts w:ascii="Verdana" w:eastAsia="Verdana" w:hAnsi="Verdana"/>
          <w:color w:val="000000"/>
          <w:sz w:val="12"/>
          <w:vertAlign w:val="superscript"/>
          <w:lang w:val="it-IT"/>
        </w:rPr>
      </w:pPr>
      <w:r>
        <w:pict w14:anchorId="714934C1">
          <v:line id="_x0000_s1038" style="position:absolute;left:0;text-align:left;z-index:251651584;mso-position-horizontal-relative:page;mso-position-vertical-relative:page" from="97.8pt,737.5pt" to="243.4pt,737.5pt" strokeweight=".95pt">
            <w10:wrap anchorx="page" anchory="page"/>
          </v:line>
        </w:pict>
      </w:r>
      <w:r w:rsidR="00C22675">
        <w:rPr>
          <w:rFonts w:ascii="Verdana" w:eastAsia="Verdana" w:hAnsi="Verdana"/>
          <w:color w:val="000000"/>
          <w:sz w:val="12"/>
          <w:vertAlign w:val="superscript"/>
          <w:lang w:val="it-IT"/>
        </w:rPr>
        <w:t>1</w:t>
      </w:r>
      <w:r w:rsidR="00C22675">
        <w:rPr>
          <w:rFonts w:ascii="Verdana" w:eastAsia="Verdana" w:hAnsi="Verdana"/>
          <w:color w:val="000000"/>
          <w:sz w:val="17"/>
          <w:lang w:val="it-IT"/>
        </w:rPr>
        <w:t xml:space="preserve"> Art. 2, Costituzione: </w:t>
      </w:r>
      <w:r w:rsidR="00C22675">
        <w:rPr>
          <w:rFonts w:ascii="Verdana" w:eastAsia="Verdana" w:hAnsi="Verdana"/>
          <w:i/>
          <w:color w:val="000000"/>
          <w:sz w:val="17"/>
          <w:lang w:val="it-IT"/>
        </w:rPr>
        <w:t>La Repubblica riconosce e garantisce i diritti inviolabili dell'uomo, sia come singolo, sia nelle formazioni sociali ove si svolge la sua personalità, e richiede l'adempimento dei doveri inderogabili di solidarietà politica, economica e sociale.</w:t>
      </w:r>
    </w:p>
    <w:p w14:paraId="13A126F7" w14:textId="77777777" w:rsidR="009556D3" w:rsidRDefault="00C22675">
      <w:pPr>
        <w:spacing w:before="40" w:line="217" w:lineRule="exact"/>
        <w:jc w:val="center"/>
        <w:textAlignment w:val="baseline"/>
        <w:rPr>
          <w:rFonts w:ascii="Verdana" w:eastAsia="Verdana" w:hAnsi="Verdana"/>
          <w:color w:val="000000"/>
          <w:sz w:val="17"/>
          <w:lang w:val="it-IT"/>
        </w:rPr>
      </w:pPr>
      <w:r>
        <w:rPr>
          <w:rFonts w:ascii="Verdana" w:eastAsia="Verdana" w:hAnsi="Verdana"/>
          <w:color w:val="000000"/>
          <w:sz w:val="17"/>
          <w:lang w:val="it-IT"/>
        </w:rPr>
        <w:t>2</w:t>
      </w:r>
    </w:p>
    <w:p w14:paraId="28609205" w14:textId="77777777" w:rsidR="009556D3" w:rsidRPr="00043CC8" w:rsidRDefault="009556D3">
      <w:pPr>
        <w:rPr>
          <w:lang w:val="it-IT"/>
        </w:rPr>
        <w:sectPr w:rsidR="009556D3" w:rsidRPr="00043CC8">
          <w:pgSz w:w="11909" w:h="16838"/>
          <w:pgMar w:top="1280" w:right="545" w:bottom="602" w:left="1956" w:header="720" w:footer="720" w:gutter="0"/>
          <w:cols w:space="720"/>
        </w:sectPr>
      </w:pPr>
    </w:p>
    <w:p w14:paraId="1BCE9DD0" w14:textId="6099D12E" w:rsidR="009556D3" w:rsidRDefault="00C22675">
      <w:pPr>
        <w:spacing w:before="9"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lastRenderedPageBreak/>
        <w:t xml:space="preserve">benessere sociale. Per questo motivo, la disposizione parla di </w:t>
      </w:r>
      <w:r>
        <w:rPr>
          <w:rFonts w:ascii="Bookman Old Style" w:eastAsia="Bookman Old Style" w:hAnsi="Bookman Old Style"/>
          <w:i/>
          <w:color w:val="000000"/>
          <w:sz w:val="24"/>
          <w:lang w:val="it-IT"/>
        </w:rPr>
        <w:t>diritti inviolabili dell’uomo, sia come singolo, sia come inserito nelle formazion</w:t>
      </w:r>
      <w:r w:rsidR="00043CC8">
        <w:rPr>
          <w:rFonts w:ascii="Bookman Old Style" w:eastAsia="Bookman Old Style" w:hAnsi="Bookman Old Style"/>
          <w:i/>
          <w:color w:val="000000"/>
          <w:sz w:val="24"/>
          <w:lang w:val="it-IT"/>
        </w:rPr>
        <w:t>i</w:t>
      </w:r>
      <w:r>
        <w:rPr>
          <w:rFonts w:ascii="Bookman Old Style" w:eastAsia="Bookman Old Style" w:hAnsi="Bookman Old Style"/>
          <w:i/>
          <w:color w:val="000000"/>
          <w:sz w:val="24"/>
          <w:lang w:val="it-IT"/>
        </w:rPr>
        <w:t xml:space="preserve"> sociali., </w:t>
      </w:r>
      <w:r>
        <w:rPr>
          <w:rFonts w:ascii="Bookman Old Style" w:eastAsia="Bookman Old Style" w:hAnsi="Bookman Old Style"/>
          <w:color w:val="000000"/>
          <w:sz w:val="24"/>
          <w:lang w:val="it-IT"/>
        </w:rPr>
        <w:t>riconoscendo così un catalogo di diritti fondamentali e basici che appartengono alla persona cui corrisponde, specularmente, un catalogo di doveri inderogabili finalizzato a garantire l’attuazione dei primi, sia nei singoli sia nella collettività. L’assunto si completa con una norma programmatica quale è il comma 2 del successivo art. 3</w:t>
      </w:r>
      <w:r>
        <w:rPr>
          <w:rFonts w:ascii="Bookman Old Style" w:eastAsia="Bookman Old Style" w:hAnsi="Bookman Old Style"/>
          <w:color w:val="000000"/>
          <w:sz w:val="24"/>
          <w:vertAlign w:val="superscript"/>
          <w:lang w:val="it-IT"/>
        </w:rPr>
        <w:t>2</w:t>
      </w:r>
      <w:r>
        <w:rPr>
          <w:rFonts w:ascii="Bookman Old Style" w:eastAsia="Bookman Old Style" w:hAnsi="Bookman Old Style"/>
          <w:color w:val="000000"/>
          <w:sz w:val="24"/>
          <w:lang w:val="it-IT"/>
        </w:rPr>
        <w:t xml:space="preserve"> nella quale esso assegna alla Repubblica l’impegno e la responsabilità di rimuovere gli ostacoli di carattere economico e sociale che si frappongono all’effettivo godimento delle libertà civili e politiche. E, fra le libertà e i diritti civili che le disposizioni fondamentali intendono assicurare rientra certamente la sicurezza sociale richiamata nell’art. 38</w:t>
      </w:r>
      <w:r>
        <w:rPr>
          <w:rFonts w:ascii="Bookman Old Style" w:eastAsia="Bookman Old Style" w:hAnsi="Bookman Old Style"/>
          <w:color w:val="000000"/>
          <w:sz w:val="24"/>
          <w:vertAlign w:val="superscript"/>
          <w:lang w:val="it-IT"/>
        </w:rPr>
        <w:t>3</w:t>
      </w:r>
      <w:r>
        <w:rPr>
          <w:rFonts w:ascii="Bookman Old Style" w:eastAsia="Bookman Old Style" w:hAnsi="Bookman Old Style"/>
          <w:color w:val="000000"/>
          <w:sz w:val="24"/>
          <w:lang w:val="it-IT"/>
        </w:rPr>
        <w:t xml:space="preserve"> nel quale si riconosce il diritto al sostentamento, all’assistenza sociale, all’educazione, all’avviamento professionale a tutti coloro che si trovino in una o più condizioni di fragilità o vulnerabilità.</w:t>
      </w:r>
    </w:p>
    <w:p w14:paraId="6088FFCA" w14:textId="77777777" w:rsidR="009556D3" w:rsidRDefault="00C22675">
      <w:pPr>
        <w:spacing w:before="167" w:after="766"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 xml:space="preserve">Si viene a delineare, in tal modo, un primo concetto di </w:t>
      </w:r>
      <w:r>
        <w:rPr>
          <w:rFonts w:ascii="Bookman Old Style" w:eastAsia="Bookman Old Style" w:hAnsi="Bookman Old Style"/>
          <w:i/>
          <w:color w:val="000000"/>
          <w:sz w:val="24"/>
          <w:lang w:val="it-IT"/>
        </w:rPr>
        <w:t xml:space="preserve">nocciolo duro dello Stato sociale </w:t>
      </w:r>
      <w:r>
        <w:rPr>
          <w:rFonts w:ascii="Bookman Old Style" w:eastAsia="Bookman Old Style" w:hAnsi="Bookman Old Style"/>
          <w:color w:val="000000"/>
          <w:sz w:val="24"/>
          <w:lang w:val="it-IT"/>
        </w:rPr>
        <w:t>che necessita dell’intervento pubblico per prevenire o eleminare le situazioni di bisogno nonché le condizioni che impediscono di fatto all’uomo di usufruire delle libertà garantite dalla Costituzione, si come singolo sia come individuo sia come facente parte di organismi sociali. Il senso del nocciolo duro, come lo definivamo, è evidenziato dall’evoluzione della dottrina e della giurisprudenza che ha condotto a una interpretazione estensiva del termine cittadino, in virtù dell’approccio universalistico e solidaristico dell’assistenza sociale: l’assistenza sociale, come la salute e la previdenza, è riconosciuta alla persona in quanto tale, a prescindere dalla sua condizione di cittadinanza nel nostro paese.</w:t>
      </w:r>
    </w:p>
    <w:p w14:paraId="02C9D050" w14:textId="77777777" w:rsidR="009556D3" w:rsidRPr="00043CC8" w:rsidRDefault="00162321" w:rsidP="00043CC8">
      <w:pPr>
        <w:spacing w:before="104" w:line="244" w:lineRule="exact"/>
        <w:jc w:val="both"/>
        <w:textAlignment w:val="baseline"/>
        <w:rPr>
          <w:rFonts w:ascii="Verdana" w:eastAsia="Verdana" w:hAnsi="Verdana"/>
          <w:i/>
          <w:color w:val="000000"/>
          <w:sz w:val="16"/>
          <w:szCs w:val="16"/>
          <w:vertAlign w:val="superscript"/>
          <w:lang w:val="it-IT"/>
        </w:rPr>
      </w:pPr>
      <w:r>
        <w:rPr>
          <w:sz w:val="16"/>
          <w:szCs w:val="16"/>
        </w:rPr>
        <w:pict w14:anchorId="2079C1DB">
          <v:line id="_x0000_s1037" style="position:absolute;left:0;text-align:left;z-index:251652608;mso-position-horizontal-relative:page;mso-position-vertical-relative:page" from="97.95pt,639.85pt" to="243.4pt,639.85pt" strokeweight=".95pt">
            <w10:wrap anchorx="page" anchory="page"/>
          </v:line>
        </w:pict>
      </w:r>
      <w:r w:rsidR="00C22675" w:rsidRPr="00043CC8">
        <w:rPr>
          <w:rFonts w:ascii="Verdana" w:eastAsia="Verdana" w:hAnsi="Verdana"/>
          <w:i/>
          <w:color w:val="000000"/>
          <w:sz w:val="16"/>
          <w:szCs w:val="16"/>
          <w:vertAlign w:val="superscript"/>
          <w:lang w:val="it-IT"/>
        </w:rPr>
        <w:t>2</w:t>
      </w:r>
      <w:r w:rsidR="00C22675" w:rsidRPr="00043CC8">
        <w:rPr>
          <w:rFonts w:ascii="Verdana" w:eastAsia="Verdana" w:hAnsi="Verdana"/>
          <w:i/>
          <w:color w:val="000000"/>
          <w:sz w:val="16"/>
          <w:szCs w:val="16"/>
          <w:lang w:val="it-IT"/>
        </w:rPr>
        <w:t xml:space="preserve"> Art. 3, c.2, Cost.: È compito della Repubblica rimuovere gli ostacoli di ordine economico e sociale, che, limitando di fatto la libertà e l'eguaglianza dei cittadini, impediscono il pieno sviluppo della persona umana e l'effettiva partecipazione di tutti i lavoratori all'organizzazione politica, economica e sociale del Paese.</w:t>
      </w:r>
    </w:p>
    <w:p w14:paraId="13493E12" w14:textId="77777777" w:rsidR="009556D3" w:rsidRPr="00043CC8" w:rsidRDefault="00C22675" w:rsidP="00043CC8">
      <w:pPr>
        <w:spacing w:before="41" w:line="202" w:lineRule="exact"/>
        <w:ind w:left="2664"/>
        <w:jc w:val="both"/>
        <w:textAlignment w:val="baseline"/>
        <w:rPr>
          <w:rFonts w:ascii="Verdana" w:eastAsia="Verdana" w:hAnsi="Verdana"/>
          <w:i/>
          <w:color w:val="000000"/>
          <w:sz w:val="16"/>
          <w:szCs w:val="16"/>
          <w:lang w:val="it-IT"/>
        </w:rPr>
      </w:pPr>
      <w:r w:rsidRPr="00043CC8">
        <w:rPr>
          <w:rFonts w:ascii="Verdana" w:eastAsia="Verdana" w:hAnsi="Verdana"/>
          <w:i/>
          <w:color w:val="000000"/>
          <w:sz w:val="16"/>
          <w:szCs w:val="16"/>
          <w:lang w:val="it-IT"/>
        </w:rPr>
        <w:t>*</w:t>
      </w:r>
    </w:p>
    <w:p w14:paraId="7BDEE412" w14:textId="77777777" w:rsidR="009556D3" w:rsidRPr="00043CC8" w:rsidRDefault="00C22675" w:rsidP="00043CC8">
      <w:pPr>
        <w:spacing w:before="42" w:line="205" w:lineRule="exact"/>
        <w:jc w:val="both"/>
        <w:textAlignment w:val="baseline"/>
        <w:rPr>
          <w:rFonts w:ascii="Verdana" w:eastAsia="Verdana" w:hAnsi="Verdana"/>
          <w:i/>
          <w:color w:val="000000"/>
          <w:spacing w:val="-7"/>
          <w:sz w:val="16"/>
          <w:szCs w:val="16"/>
          <w:vertAlign w:val="superscript"/>
          <w:lang w:val="it-IT"/>
        </w:rPr>
      </w:pPr>
      <w:r w:rsidRPr="00043CC8">
        <w:rPr>
          <w:rFonts w:ascii="Verdana" w:eastAsia="Verdana" w:hAnsi="Verdana"/>
          <w:i/>
          <w:color w:val="000000"/>
          <w:spacing w:val="-7"/>
          <w:sz w:val="16"/>
          <w:szCs w:val="16"/>
          <w:vertAlign w:val="superscript"/>
          <w:lang w:val="it-IT"/>
        </w:rPr>
        <w:t>3</w:t>
      </w:r>
      <w:r w:rsidRPr="00043CC8">
        <w:rPr>
          <w:rFonts w:ascii="Verdana" w:eastAsia="Verdana" w:hAnsi="Verdana"/>
          <w:i/>
          <w:color w:val="000000"/>
          <w:spacing w:val="-7"/>
          <w:sz w:val="16"/>
          <w:szCs w:val="16"/>
          <w:lang w:val="it-IT"/>
        </w:rPr>
        <w:t xml:space="preserve"> Art. 38, Cost.: Ogni cittadino inabile al lavoro e sprovvisto dei mezzi necessari per vivere ha diritto al mantenimento</w:t>
      </w:r>
    </w:p>
    <w:p w14:paraId="30E08BD6" w14:textId="77777777" w:rsidR="009556D3" w:rsidRPr="00043CC8" w:rsidRDefault="00C22675" w:rsidP="00043CC8">
      <w:pPr>
        <w:spacing w:before="36" w:line="202" w:lineRule="exact"/>
        <w:jc w:val="both"/>
        <w:textAlignment w:val="baseline"/>
        <w:rPr>
          <w:rFonts w:ascii="Verdana" w:eastAsia="Verdana" w:hAnsi="Verdana"/>
          <w:i/>
          <w:color w:val="000000"/>
          <w:spacing w:val="-5"/>
          <w:sz w:val="16"/>
          <w:szCs w:val="16"/>
          <w:lang w:val="it-IT"/>
        </w:rPr>
      </w:pPr>
      <w:r w:rsidRPr="00043CC8">
        <w:rPr>
          <w:rFonts w:ascii="Verdana" w:eastAsia="Verdana" w:hAnsi="Verdana"/>
          <w:i/>
          <w:color w:val="000000"/>
          <w:spacing w:val="-5"/>
          <w:sz w:val="16"/>
          <w:szCs w:val="16"/>
          <w:lang w:val="it-IT"/>
        </w:rPr>
        <w:t>e all'assistenza sociale.</w:t>
      </w:r>
    </w:p>
    <w:p w14:paraId="31616FFA" w14:textId="77777777" w:rsidR="009556D3" w:rsidRPr="00043CC8" w:rsidRDefault="00C22675" w:rsidP="00043CC8">
      <w:pPr>
        <w:spacing w:before="42" w:line="205" w:lineRule="exact"/>
        <w:jc w:val="both"/>
        <w:textAlignment w:val="baseline"/>
        <w:rPr>
          <w:rFonts w:ascii="Verdana" w:eastAsia="Verdana" w:hAnsi="Verdana"/>
          <w:i/>
          <w:color w:val="000000"/>
          <w:sz w:val="16"/>
          <w:szCs w:val="16"/>
          <w:lang w:val="it-IT"/>
        </w:rPr>
      </w:pPr>
      <w:r w:rsidRPr="00043CC8">
        <w:rPr>
          <w:rFonts w:ascii="Verdana" w:eastAsia="Verdana" w:hAnsi="Verdana"/>
          <w:i/>
          <w:color w:val="000000"/>
          <w:sz w:val="16"/>
          <w:szCs w:val="16"/>
          <w:lang w:val="it-IT"/>
        </w:rPr>
        <w:t>I lavoratori hanno diritto che siano preveduti ed assicurati mezzi adeguati alle loro esigenze di vita in caso di</w:t>
      </w:r>
    </w:p>
    <w:p w14:paraId="02119E7E" w14:textId="77777777" w:rsidR="009556D3" w:rsidRPr="00043CC8" w:rsidRDefault="00C22675" w:rsidP="00043CC8">
      <w:pPr>
        <w:spacing w:before="40" w:line="205" w:lineRule="exact"/>
        <w:jc w:val="both"/>
        <w:textAlignment w:val="baseline"/>
        <w:rPr>
          <w:rFonts w:ascii="Verdana" w:eastAsia="Verdana" w:hAnsi="Verdana"/>
          <w:i/>
          <w:color w:val="000000"/>
          <w:spacing w:val="-3"/>
          <w:sz w:val="16"/>
          <w:szCs w:val="16"/>
          <w:lang w:val="it-IT"/>
        </w:rPr>
      </w:pPr>
      <w:r w:rsidRPr="00043CC8">
        <w:rPr>
          <w:rFonts w:ascii="Verdana" w:eastAsia="Verdana" w:hAnsi="Verdana"/>
          <w:i/>
          <w:color w:val="000000"/>
          <w:spacing w:val="-3"/>
          <w:sz w:val="16"/>
          <w:szCs w:val="16"/>
          <w:lang w:val="it-IT"/>
        </w:rPr>
        <w:t>infortunio, malattia, invalidità e vecchiaia, disoccupazione involontaria.</w:t>
      </w:r>
    </w:p>
    <w:p w14:paraId="78FA04FD" w14:textId="77777777" w:rsidR="009556D3" w:rsidRPr="00043CC8" w:rsidRDefault="00C22675" w:rsidP="00043CC8">
      <w:pPr>
        <w:spacing w:before="40" w:line="204" w:lineRule="exact"/>
        <w:jc w:val="both"/>
        <w:textAlignment w:val="baseline"/>
        <w:rPr>
          <w:rFonts w:ascii="Verdana" w:eastAsia="Verdana" w:hAnsi="Verdana"/>
          <w:i/>
          <w:color w:val="000000"/>
          <w:spacing w:val="-4"/>
          <w:sz w:val="16"/>
          <w:szCs w:val="16"/>
          <w:lang w:val="it-IT"/>
        </w:rPr>
      </w:pPr>
      <w:r w:rsidRPr="00043CC8">
        <w:rPr>
          <w:rFonts w:ascii="Verdana" w:eastAsia="Verdana" w:hAnsi="Verdana"/>
          <w:i/>
          <w:color w:val="000000"/>
          <w:spacing w:val="-4"/>
          <w:sz w:val="16"/>
          <w:szCs w:val="16"/>
          <w:lang w:val="it-IT"/>
        </w:rPr>
        <w:t>Gli inabili ed i minorati hanno diritto all'educazione e all'avviamento professionale.</w:t>
      </w:r>
    </w:p>
    <w:p w14:paraId="2A9E471D" w14:textId="77777777" w:rsidR="009556D3" w:rsidRPr="00043CC8" w:rsidRDefault="00C22675" w:rsidP="00043CC8">
      <w:pPr>
        <w:spacing w:before="41" w:line="204" w:lineRule="exact"/>
        <w:jc w:val="both"/>
        <w:textAlignment w:val="baseline"/>
        <w:rPr>
          <w:rFonts w:ascii="Verdana" w:eastAsia="Verdana" w:hAnsi="Verdana"/>
          <w:i/>
          <w:color w:val="000000"/>
          <w:spacing w:val="-4"/>
          <w:sz w:val="16"/>
          <w:szCs w:val="16"/>
          <w:lang w:val="it-IT"/>
        </w:rPr>
      </w:pPr>
      <w:r w:rsidRPr="00043CC8">
        <w:rPr>
          <w:rFonts w:ascii="Verdana" w:eastAsia="Verdana" w:hAnsi="Verdana"/>
          <w:i/>
          <w:color w:val="000000"/>
          <w:spacing w:val="-4"/>
          <w:sz w:val="16"/>
          <w:szCs w:val="16"/>
          <w:lang w:val="it-IT"/>
        </w:rPr>
        <w:t>Ai compiti previsti in questo articolo provvedono organi ed istituti predisposti o integrati dallo Stato.</w:t>
      </w:r>
    </w:p>
    <w:p w14:paraId="151AEEFE" w14:textId="77777777" w:rsidR="009556D3" w:rsidRPr="00043CC8" w:rsidRDefault="00C22675" w:rsidP="00043CC8">
      <w:pPr>
        <w:spacing w:before="41" w:line="204" w:lineRule="exact"/>
        <w:jc w:val="both"/>
        <w:textAlignment w:val="baseline"/>
        <w:rPr>
          <w:rFonts w:ascii="Verdana" w:eastAsia="Verdana" w:hAnsi="Verdana"/>
          <w:i/>
          <w:color w:val="000000"/>
          <w:spacing w:val="-5"/>
          <w:sz w:val="16"/>
          <w:szCs w:val="16"/>
          <w:lang w:val="it-IT"/>
        </w:rPr>
      </w:pPr>
      <w:r w:rsidRPr="00043CC8">
        <w:rPr>
          <w:rFonts w:ascii="Verdana" w:eastAsia="Verdana" w:hAnsi="Verdana"/>
          <w:i/>
          <w:color w:val="000000"/>
          <w:spacing w:val="-5"/>
          <w:sz w:val="16"/>
          <w:szCs w:val="16"/>
          <w:lang w:val="it-IT"/>
        </w:rPr>
        <w:t>L'assistenza privata è libera.</w:t>
      </w:r>
    </w:p>
    <w:p w14:paraId="454F3661" w14:textId="77777777" w:rsidR="009556D3" w:rsidRDefault="00C22675">
      <w:pPr>
        <w:spacing w:before="40" w:line="217" w:lineRule="exact"/>
        <w:jc w:val="center"/>
        <w:textAlignment w:val="baseline"/>
        <w:rPr>
          <w:rFonts w:ascii="Verdana" w:eastAsia="Verdana" w:hAnsi="Verdana"/>
          <w:i/>
          <w:color w:val="000000"/>
          <w:sz w:val="17"/>
          <w:lang w:val="it-IT"/>
        </w:rPr>
      </w:pPr>
      <w:r>
        <w:rPr>
          <w:rFonts w:ascii="Verdana" w:eastAsia="Verdana" w:hAnsi="Verdana"/>
          <w:i/>
          <w:color w:val="000000"/>
          <w:sz w:val="17"/>
          <w:lang w:val="it-IT"/>
        </w:rPr>
        <w:t>3</w:t>
      </w:r>
    </w:p>
    <w:p w14:paraId="0AE5F23F" w14:textId="77777777" w:rsidR="009556D3" w:rsidRPr="00043CC8" w:rsidRDefault="009556D3">
      <w:pPr>
        <w:rPr>
          <w:lang w:val="it-IT"/>
        </w:rPr>
        <w:sectPr w:rsidR="009556D3" w:rsidRPr="00043CC8">
          <w:pgSz w:w="11909" w:h="16838"/>
          <w:pgMar w:top="1280" w:right="542" w:bottom="602" w:left="1959" w:header="720" w:footer="720" w:gutter="0"/>
          <w:cols w:space="720"/>
        </w:sectPr>
      </w:pPr>
    </w:p>
    <w:p w14:paraId="328B078C" w14:textId="77777777" w:rsidR="009556D3" w:rsidRDefault="00C22675">
      <w:pPr>
        <w:spacing w:before="5"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lastRenderedPageBreak/>
        <w:t>L’assistenza sociale di cui parla l’art. 38 è un sistema di protezione sociale capace di elargire prestazioni, sostegni economici e servizi idonei ad assicurare un tenore di vita dignitoso anche alle persone in stato di bisogno e cioè in presenza di talune loro fragilità, che possono essere transitorie (nella maggior parte dei casi) o permanenti.</w:t>
      </w:r>
    </w:p>
    <w:p w14:paraId="1AAD433A" w14:textId="26A15648" w:rsidR="009556D3" w:rsidRDefault="00C22675">
      <w:pPr>
        <w:spacing w:before="536" w:line="499" w:lineRule="exact"/>
        <w:ind w:left="720"/>
        <w:jc w:val="both"/>
        <w:textAlignment w:val="baseline"/>
        <w:rPr>
          <w:rFonts w:ascii="Verdana" w:eastAsia="Verdana" w:hAnsi="Verdana"/>
          <w:b/>
          <w:i/>
          <w:color w:val="000000"/>
          <w:sz w:val="25"/>
          <w:lang w:val="it-IT"/>
        </w:rPr>
      </w:pPr>
      <w:r>
        <w:rPr>
          <w:rFonts w:ascii="Verdana" w:eastAsia="Verdana" w:hAnsi="Verdana"/>
          <w:b/>
          <w:i/>
          <w:color w:val="000000"/>
          <w:sz w:val="25"/>
          <w:lang w:val="it-IT"/>
        </w:rPr>
        <w:t>La visione di sistema della riforma 328/2000 e la fine dell’assistenzialismo</w:t>
      </w:r>
    </w:p>
    <w:p w14:paraId="03F8D8D9" w14:textId="7DF5232C" w:rsidR="009556D3" w:rsidRDefault="00C22675">
      <w:pPr>
        <w:spacing w:before="223"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 xml:space="preserve">Ora – ed entriamo nel merito della trattazione – il concetto di servizi sociali in cui ricomprendere le attività, le prestazioni e i sostegni di cui parla l’art. 38, ha iniziato a prendere forma con il DPR n. 616/1977: si trattava di un tentativo non compiuto ma rispetto al quale si è sviluppata una giurisprudenza della Consulta, come la </w:t>
      </w:r>
      <w:proofErr w:type="spellStart"/>
      <w:r>
        <w:rPr>
          <w:rFonts w:ascii="Bookman Old Style" w:eastAsia="Bookman Old Style" w:hAnsi="Bookman Old Style"/>
          <w:color w:val="000000"/>
          <w:sz w:val="24"/>
          <w:lang w:val="it-IT"/>
        </w:rPr>
        <w:t>sent</w:t>
      </w:r>
      <w:proofErr w:type="spellEnd"/>
      <w:r>
        <w:rPr>
          <w:rFonts w:ascii="Bookman Old Style" w:eastAsia="Bookman Old Style" w:hAnsi="Bookman Old Style"/>
          <w:color w:val="000000"/>
          <w:sz w:val="24"/>
          <w:lang w:val="it-IT"/>
        </w:rPr>
        <w:t xml:space="preserve">. n. 174/1981, che supera la contrapposizione emersa negli anni precedenti tra </w:t>
      </w:r>
      <w:r w:rsidR="00871ECE">
        <w:rPr>
          <w:rFonts w:ascii="Bookman Old Style" w:eastAsia="Bookman Old Style" w:hAnsi="Bookman Old Style"/>
          <w:color w:val="000000"/>
          <w:sz w:val="24"/>
          <w:lang w:val="it-IT"/>
        </w:rPr>
        <w:t>beneficenza</w:t>
      </w:r>
      <w:r>
        <w:rPr>
          <w:rFonts w:ascii="Bookman Old Style" w:eastAsia="Bookman Old Style" w:hAnsi="Bookman Old Style"/>
          <w:color w:val="000000"/>
          <w:sz w:val="24"/>
          <w:lang w:val="it-IT"/>
        </w:rPr>
        <w:t xml:space="preserve"> pubblica (insieme di interventi spot sui vari ambiti impostato sui bisogni) e assistenza sociale (sistema di prestazioni basato sulla persona). Il d.lgs. 118/1998, attuativo della riforma Bassanini n. 59/1997, è finalmente un punto di partenza quando, nella attribuzione delle funzioni ai vari livelli di governo, all’art. 128, definisce i servizi sociali come </w:t>
      </w:r>
      <w:r>
        <w:rPr>
          <w:rFonts w:ascii="Bookman Old Style" w:eastAsia="Bookman Old Style" w:hAnsi="Bookman Old Style"/>
          <w:i/>
          <w:color w:val="000000"/>
          <w:sz w:val="24"/>
          <w:lang w:val="it-IT"/>
        </w:rPr>
        <w:t xml:space="preserve">tutte le attività destinate a rimuovere le situazioni di bisogno e di difficoltà che la persona umana incontra nel corso della sua vita. </w:t>
      </w:r>
      <w:r>
        <w:rPr>
          <w:rFonts w:ascii="Bookman Old Style" w:eastAsia="Bookman Old Style" w:hAnsi="Bookman Old Style"/>
          <w:color w:val="000000"/>
          <w:sz w:val="24"/>
          <w:lang w:val="it-IT"/>
        </w:rPr>
        <w:t>È questo il primo tentativo di dare al tema dei servizi sociali una visione di sistema.</w:t>
      </w:r>
    </w:p>
    <w:p w14:paraId="7CA3A8F6" w14:textId="77777777" w:rsidR="009556D3" w:rsidRDefault="00C22675">
      <w:pPr>
        <w:spacing w:before="168" w:after="554" w:line="422" w:lineRule="exact"/>
        <w:jc w:val="both"/>
        <w:textAlignment w:val="baseline"/>
        <w:rPr>
          <w:rFonts w:ascii="Bookman Old Style" w:eastAsia="Bookman Old Style" w:hAnsi="Bookman Old Style"/>
          <w:color w:val="000000"/>
          <w:spacing w:val="-2"/>
          <w:sz w:val="24"/>
          <w:lang w:val="it-IT"/>
        </w:rPr>
      </w:pPr>
      <w:r>
        <w:rPr>
          <w:rFonts w:ascii="Bookman Old Style" w:eastAsia="Bookman Old Style" w:hAnsi="Bookman Old Style"/>
          <w:color w:val="000000"/>
          <w:spacing w:val="-2"/>
          <w:sz w:val="24"/>
          <w:lang w:val="it-IT"/>
        </w:rPr>
        <w:t xml:space="preserve">Ci sono dunque tutti i presupposti, dall’autonomia concettuale alla visione di insieme del settore dell’assistenza sociale, per arrivare alla rivoluzione costituita dalla legge quadro di riforma dei servizi sociali n. 328/2000. </w:t>
      </w:r>
      <w:proofErr w:type="gramStart"/>
      <w:r>
        <w:rPr>
          <w:rFonts w:ascii="Bookman Old Style" w:eastAsia="Bookman Old Style" w:hAnsi="Bookman Old Style"/>
          <w:color w:val="000000"/>
          <w:spacing w:val="-2"/>
          <w:sz w:val="24"/>
          <w:lang w:val="it-IT"/>
        </w:rPr>
        <w:t>E’</w:t>
      </w:r>
      <w:proofErr w:type="gramEnd"/>
      <w:r>
        <w:rPr>
          <w:rFonts w:ascii="Bookman Old Style" w:eastAsia="Bookman Old Style" w:hAnsi="Bookman Old Style"/>
          <w:color w:val="000000"/>
          <w:spacing w:val="-2"/>
          <w:sz w:val="24"/>
          <w:lang w:val="it-IT"/>
        </w:rPr>
        <w:t xml:space="preserve"> il primo provvedimento che detta una disciplina organica dei servizi sociali superando l’antica concezione frammentata e categorizzante. Anzi, la legge va al di là di una semplice unitarietà e autonomia concettuale poiché riesce a creare un sistema integrato di servizi e interventi basato su un modello a rete: i livelli di governo sono responsabili di azioni ed interventi fra loro complementari; e gli operatori intervengono nel sistema in modalità reciprocamente integrate. Un esempio per tutti, in Puglia e in altre regioni, il sistema delle ASL e degli ATS.</w:t>
      </w:r>
    </w:p>
    <w:p w14:paraId="2D95E50C" w14:textId="77777777" w:rsidR="009556D3" w:rsidRPr="00043CC8" w:rsidRDefault="009556D3">
      <w:pPr>
        <w:spacing w:before="168" w:after="554" w:line="422" w:lineRule="exact"/>
        <w:rPr>
          <w:lang w:val="it-IT"/>
        </w:rPr>
        <w:sectPr w:rsidR="009556D3" w:rsidRPr="00043CC8">
          <w:pgSz w:w="11909" w:h="16838"/>
          <w:pgMar w:top="1280" w:right="537" w:bottom="582" w:left="1964" w:header="720" w:footer="720" w:gutter="0"/>
          <w:cols w:space="720"/>
        </w:sectPr>
      </w:pPr>
    </w:p>
    <w:p w14:paraId="6A80C49D" w14:textId="77777777" w:rsidR="009556D3" w:rsidRDefault="00C22675">
      <w:pPr>
        <w:spacing w:before="6" w:line="251" w:lineRule="exact"/>
        <w:jc w:val="center"/>
        <w:textAlignment w:val="baseline"/>
        <w:rPr>
          <w:rFonts w:ascii="Symbol" w:eastAsia="Symbol" w:hAnsi="Symbol"/>
          <w:color w:val="000000"/>
          <w:sz w:val="21"/>
          <w:lang w:val="it-IT"/>
        </w:rPr>
      </w:pPr>
      <w:r>
        <w:rPr>
          <w:rFonts w:ascii="Symbol" w:eastAsia="Symbol" w:hAnsi="Symbol"/>
          <w:color w:val="000000"/>
          <w:sz w:val="21"/>
          <w:lang w:val="it-IT"/>
        </w:rPr>
        <w:t>4</w:t>
      </w:r>
    </w:p>
    <w:p w14:paraId="6903B145" w14:textId="77777777" w:rsidR="009556D3" w:rsidRPr="00043CC8" w:rsidRDefault="009556D3">
      <w:pPr>
        <w:rPr>
          <w:lang w:val="it-IT"/>
        </w:rPr>
        <w:sectPr w:rsidR="009556D3" w:rsidRPr="00043CC8">
          <w:type w:val="continuous"/>
          <w:pgSz w:w="11909" w:h="16838"/>
          <w:pgMar w:top="1280" w:right="542" w:bottom="582" w:left="1959" w:header="720" w:footer="720" w:gutter="0"/>
          <w:cols w:space="720"/>
        </w:sectPr>
      </w:pPr>
    </w:p>
    <w:p w14:paraId="4DB49608" w14:textId="744D466E" w:rsidR="009556D3" w:rsidRDefault="00C22675">
      <w:pPr>
        <w:spacing w:before="10" w:line="422" w:lineRule="exact"/>
        <w:ind w:right="72"/>
        <w:jc w:val="both"/>
        <w:textAlignment w:val="baseline"/>
        <w:rPr>
          <w:rFonts w:ascii="Bookman Old Style" w:eastAsia="Bookman Old Style" w:hAnsi="Bookman Old Style"/>
          <w:color w:val="000000"/>
          <w:spacing w:val="-2"/>
          <w:sz w:val="24"/>
          <w:lang w:val="it-IT"/>
        </w:rPr>
      </w:pPr>
      <w:r>
        <w:rPr>
          <w:rFonts w:ascii="Bookman Old Style" w:eastAsia="Bookman Old Style" w:hAnsi="Bookman Old Style"/>
          <w:color w:val="000000"/>
          <w:spacing w:val="-2"/>
          <w:sz w:val="24"/>
          <w:lang w:val="it-IT"/>
        </w:rPr>
        <w:lastRenderedPageBreak/>
        <w:t>Ma l’innovazione maggiormente rilevante della 328 è l’oggetto del sistema dei servizi sociali e il diverso approccio rispetto al passato: il sistema non si rivolge più all’utente quale mero portatore di un bisogno, bensì alla persona quale titolare di diritti e considerata nel complesso delle sue condizioni di fragilità e delle sue potenzialità di riscatto. Si tratta di un grande passo in avanti grazie al quale si realizza in modo compiuto il principio personalista di cui agli artt. 2, 3 e 38 della Costituzione poiché ai servizi sociali è richiesto di intervenire sulla cura delle vulnerabilità e condizioni di fragilità di cui è portatore il soggetto, ma anche sulla valorizzazione delle sue capacità residue e delle risorse dell’individuo e della propria rete di protezione familiare, territoriale o sociale. Ad es., non esistono prese in carico di persone senza dimora con il loro ricovero presso strutture di accoglienza notturna senza che sia strutturato per esse un percorso di fuoriuscita da quella situazione, di successiva responsabilizzazione e di autonomia. Con la legge 328 finisce così l’assistenzialismo ed inizia la vera e propria attività sociale di promozione della persona.</w:t>
      </w:r>
    </w:p>
    <w:p w14:paraId="23EC9550" w14:textId="77777777" w:rsidR="009556D3" w:rsidRDefault="00C22675">
      <w:pPr>
        <w:spacing w:before="167" w:line="422" w:lineRule="exact"/>
        <w:ind w:right="72"/>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Possiamo quindi dire che la strategia della visione personalista propria della 328, dall’approccio globale - e non più settoriale - al disagio sociale, della considerazione della persona nella sua complessità, della creazione di un sistema integrato di intervento basato sulla sussidiarietà (orizzontale e verticale) ha determinato un cambiamento epocale di prospettiva: da quella assistenzialistica basata sulla mera riparazione di un disagio e che interviene sul bisogno contingente a quella globale e personalista che crea i presupposti per prevenire lo stato di fragilità e realizzare condizioni di vita dignitose. Da qui: a) la presa in carico; b) la valutazione multidimensionale; c) la definizione di progetti individualizzati.</w:t>
      </w:r>
    </w:p>
    <w:p w14:paraId="4628E0D3" w14:textId="77777777" w:rsidR="009556D3" w:rsidRDefault="00C22675">
      <w:pPr>
        <w:spacing w:before="160" w:line="422" w:lineRule="exact"/>
        <w:ind w:right="72"/>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Dal canone personalista deriva poi la logica dell’accesso universale ai servizi di assistenza sociale, che riconosce l’individuo come destinatario, indipendentemente dalla sua appartenenza ad una particolare comunità politica.</w:t>
      </w:r>
    </w:p>
    <w:p w14:paraId="2945D26D" w14:textId="77777777" w:rsidR="009556D3" w:rsidRDefault="00C22675">
      <w:pPr>
        <w:spacing w:before="735" w:after="652" w:line="324" w:lineRule="exact"/>
        <w:ind w:right="72"/>
        <w:jc w:val="right"/>
        <w:textAlignment w:val="baseline"/>
        <w:rPr>
          <w:rFonts w:ascii="Verdana" w:eastAsia="Verdana" w:hAnsi="Verdana"/>
          <w:b/>
          <w:i/>
          <w:color w:val="000000"/>
          <w:spacing w:val="-14"/>
          <w:sz w:val="25"/>
          <w:lang w:val="it-IT"/>
        </w:rPr>
      </w:pPr>
      <w:r>
        <w:rPr>
          <w:rFonts w:ascii="Verdana" w:eastAsia="Verdana" w:hAnsi="Verdana"/>
          <w:b/>
          <w:i/>
          <w:color w:val="000000"/>
          <w:spacing w:val="-14"/>
          <w:sz w:val="25"/>
          <w:lang w:val="it-IT"/>
        </w:rPr>
        <w:t>Il concetto di LEPS nella 328 come premessa per la riforma del Tit. V</w:t>
      </w:r>
    </w:p>
    <w:p w14:paraId="76A655EB" w14:textId="77777777" w:rsidR="009556D3" w:rsidRPr="00043CC8" w:rsidRDefault="009556D3">
      <w:pPr>
        <w:spacing w:before="735" w:after="652" w:line="324" w:lineRule="exact"/>
        <w:rPr>
          <w:lang w:val="it-IT"/>
        </w:rPr>
        <w:sectPr w:rsidR="009556D3" w:rsidRPr="00043CC8">
          <w:pgSz w:w="11909" w:h="16838"/>
          <w:pgMar w:top="1280" w:right="516" w:bottom="582" w:left="1985" w:header="720" w:footer="720" w:gutter="0"/>
          <w:cols w:space="720"/>
        </w:sectPr>
      </w:pPr>
    </w:p>
    <w:p w14:paraId="663B0CA8" w14:textId="77777777" w:rsidR="009556D3" w:rsidRDefault="00C22675">
      <w:pPr>
        <w:spacing w:before="13" w:line="256" w:lineRule="exact"/>
        <w:jc w:val="center"/>
        <w:textAlignment w:val="baseline"/>
        <w:rPr>
          <w:rFonts w:ascii="Symbol" w:eastAsia="Symbol" w:hAnsi="Symbol"/>
          <w:color w:val="000000"/>
          <w:lang w:val="it-IT"/>
        </w:rPr>
      </w:pPr>
      <w:r>
        <w:rPr>
          <w:rFonts w:ascii="Symbol" w:eastAsia="Symbol" w:hAnsi="Symbol"/>
          <w:color w:val="000000"/>
          <w:lang w:val="it-IT"/>
        </w:rPr>
        <w:t>5</w:t>
      </w:r>
    </w:p>
    <w:p w14:paraId="026185A4" w14:textId="77777777" w:rsidR="009556D3" w:rsidRPr="00043CC8" w:rsidRDefault="009556D3">
      <w:pPr>
        <w:rPr>
          <w:lang w:val="it-IT"/>
        </w:rPr>
        <w:sectPr w:rsidR="009556D3" w:rsidRPr="00043CC8">
          <w:type w:val="continuous"/>
          <w:pgSz w:w="11909" w:h="16838"/>
          <w:pgMar w:top="1280" w:right="543" w:bottom="582" w:left="1958" w:header="720" w:footer="720" w:gutter="0"/>
          <w:cols w:space="720"/>
        </w:sectPr>
      </w:pPr>
    </w:p>
    <w:p w14:paraId="72509AAC" w14:textId="34A61219" w:rsidR="009556D3" w:rsidRDefault="00C22675">
      <w:pPr>
        <w:spacing w:before="6"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lastRenderedPageBreak/>
        <w:t xml:space="preserve">Il discorso sviluppato sinora era importante perché ci introduce finalmente al concetto dei Livelli Essenziali di Prestazione nel campo della assistenza sociale, già presente in ambito sanitario con il d.lgs. n. 229/1999. </w:t>
      </w:r>
      <w:r>
        <w:rPr>
          <w:rFonts w:ascii="Bookman Old Style" w:eastAsia="Bookman Old Style" w:hAnsi="Bookman Old Style"/>
          <w:color w:val="000000"/>
          <w:sz w:val="24"/>
          <w:vertAlign w:val="superscript"/>
          <w:lang w:val="it-IT"/>
        </w:rPr>
        <w:t>4</w:t>
      </w:r>
      <w:r>
        <w:rPr>
          <w:rFonts w:ascii="Bookman Old Style" w:eastAsia="Bookman Old Style" w:hAnsi="Bookman Old Style"/>
          <w:color w:val="000000"/>
          <w:sz w:val="24"/>
          <w:lang w:val="it-IT"/>
        </w:rPr>
        <w:t xml:space="preserve"> Perché comprendiamo bene come, se per LEPS intendiamo il livello di attenzione che lo Stato e le sue articolazioni territoriali, ciascuna in base alla propria competenza, devono riservare a un’area di intervento, occorreva che vi fosse una disciplina organica dei servizi sociali che mettesse insieme queste aree di intervento e che si superasse finalmente la visione frammentaria, discontinua e disorganica del concetto di </w:t>
      </w:r>
      <w:r w:rsidR="00043CC8">
        <w:rPr>
          <w:rFonts w:ascii="Bookman Old Style" w:eastAsia="Bookman Old Style" w:hAnsi="Bookman Old Style"/>
          <w:color w:val="000000"/>
          <w:sz w:val="24"/>
          <w:lang w:val="it-IT"/>
        </w:rPr>
        <w:t>beneficenza</w:t>
      </w:r>
      <w:r>
        <w:rPr>
          <w:rFonts w:ascii="Bookman Old Style" w:eastAsia="Bookman Old Style" w:hAnsi="Bookman Old Style"/>
          <w:color w:val="000000"/>
          <w:sz w:val="24"/>
          <w:lang w:val="it-IT"/>
        </w:rPr>
        <w:t xml:space="preserve"> pubblica. E così la 328/2000 delinea, per la prima volta, il concetto di livelli essenziali distinguendo, almeno in teoria, tra livelli di erogazione e livelli di processo:</w:t>
      </w:r>
    </w:p>
    <w:p w14:paraId="194ABE3D" w14:textId="77777777" w:rsidR="009556D3" w:rsidRDefault="00C22675">
      <w:pPr>
        <w:spacing w:before="165" w:line="422" w:lineRule="exact"/>
        <w:ind w:left="1512" w:hanging="360"/>
        <w:jc w:val="both"/>
        <w:textAlignment w:val="baseline"/>
        <w:rPr>
          <w:rFonts w:ascii="Lucida Console" w:eastAsia="Lucida Console" w:hAnsi="Lucida Console"/>
          <w:color w:val="000000"/>
          <w:w w:val="85"/>
          <w:sz w:val="31"/>
          <w:lang w:val="it-IT"/>
        </w:rPr>
      </w:pPr>
      <w:r>
        <w:rPr>
          <w:rFonts w:ascii="Lucida Console" w:eastAsia="Lucida Console" w:hAnsi="Lucida Console"/>
          <w:color w:val="000000"/>
          <w:w w:val="85"/>
          <w:sz w:val="31"/>
          <w:lang w:val="it-IT"/>
        </w:rPr>
        <w:t xml:space="preserve">&gt; </w:t>
      </w:r>
      <w:r>
        <w:rPr>
          <w:rFonts w:ascii="Bookman Old Style" w:eastAsia="Bookman Old Style" w:hAnsi="Bookman Old Style"/>
          <w:color w:val="000000"/>
          <w:sz w:val="24"/>
          <w:lang w:val="it-IT"/>
        </w:rPr>
        <w:t xml:space="preserve">sono LEPS di </w:t>
      </w:r>
      <w:r>
        <w:rPr>
          <w:rFonts w:ascii="Bookman Old Style" w:eastAsia="Bookman Old Style" w:hAnsi="Bookman Old Style"/>
          <w:i/>
          <w:color w:val="000000"/>
          <w:sz w:val="24"/>
          <w:lang w:val="it-IT"/>
        </w:rPr>
        <w:t xml:space="preserve">erogazione </w:t>
      </w:r>
      <w:r>
        <w:rPr>
          <w:rFonts w:ascii="Bookman Old Style" w:eastAsia="Bookman Old Style" w:hAnsi="Bookman Old Style"/>
          <w:color w:val="000000"/>
          <w:sz w:val="24"/>
          <w:lang w:val="it-IT"/>
        </w:rPr>
        <w:t>il contrasto alle povertà, le misure di sostegno al reddito, la disabilità, la tutela dei minori, il sostegno alle famiglie e alle donne in difficoltà; la tutela degli anziani; la prevenzione delle dipendenze, il PIS; l’assistenza domiciliare e l’educativa, le strutture residenziali e di accoglienza.</w:t>
      </w:r>
    </w:p>
    <w:p w14:paraId="6370D70A" w14:textId="77777777" w:rsidR="009556D3" w:rsidRDefault="00C22675">
      <w:pPr>
        <w:spacing w:before="1" w:line="422" w:lineRule="exact"/>
        <w:ind w:left="1512" w:hanging="360"/>
        <w:jc w:val="both"/>
        <w:textAlignment w:val="baseline"/>
        <w:rPr>
          <w:rFonts w:ascii="Lucida Console" w:eastAsia="Lucida Console" w:hAnsi="Lucida Console"/>
          <w:color w:val="000000"/>
          <w:w w:val="85"/>
          <w:sz w:val="31"/>
          <w:lang w:val="it-IT"/>
        </w:rPr>
      </w:pPr>
      <w:r>
        <w:rPr>
          <w:rFonts w:ascii="Lucida Console" w:eastAsia="Lucida Console" w:hAnsi="Lucida Console"/>
          <w:color w:val="000000"/>
          <w:w w:val="85"/>
          <w:sz w:val="31"/>
          <w:lang w:val="it-IT"/>
        </w:rPr>
        <w:t xml:space="preserve">&gt; </w:t>
      </w:r>
      <w:r>
        <w:rPr>
          <w:rFonts w:ascii="Bookman Old Style" w:eastAsia="Bookman Old Style" w:hAnsi="Bookman Old Style"/>
          <w:color w:val="000000"/>
          <w:sz w:val="24"/>
          <w:lang w:val="it-IT"/>
        </w:rPr>
        <w:t xml:space="preserve">sono LEPS di </w:t>
      </w:r>
      <w:r>
        <w:rPr>
          <w:rFonts w:ascii="Bookman Old Style" w:eastAsia="Bookman Old Style" w:hAnsi="Bookman Old Style"/>
          <w:i/>
          <w:color w:val="000000"/>
          <w:sz w:val="24"/>
          <w:lang w:val="it-IT"/>
        </w:rPr>
        <w:t xml:space="preserve">processo </w:t>
      </w:r>
      <w:r>
        <w:rPr>
          <w:rFonts w:ascii="Bookman Old Style" w:eastAsia="Bookman Old Style" w:hAnsi="Bookman Old Style"/>
          <w:color w:val="000000"/>
          <w:sz w:val="24"/>
          <w:lang w:val="it-IT"/>
        </w:rPr>
        <w:t>l’informazione e l’orientamento per agevolare la fruizione dei servizi sul territorio di processo (e verranno dopo il rafforzamento del servizio sociale professionale, la presa in carico e la valutazione multidimensionale del bisogno).</w:t>
      </w:r>
    </w:p>
    <w:p w14:paraId="7AF69344" w14:textId="382EDB22" w:rsidR="009556D3" w:rsidRDefault="00C22675">
      <w:pPr>
        <w:spacing w:before="166" w:after="427"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 xml:space="preserve">Come è evidente, il legislatore della 328 non ha </w:t>
      </w:r>
      <w:r>
        <w:rPr>
          <w:rFonts w:ascii="Bookman Old Style" w:eastAsia="Bookman Old Style" w:hAnsi="Bookman Old Style"/>
          <w:i/>
          <w:color w:val="000000"/>
          <w:sz w:val="24"/>
          <w:lang w:val="it-IT"/>
        </w:rPr>
        <w:t xml:space="preserve">quantificato e qualificato </w:t>
      </w:r>
      <w:r>
        <w:rPr>
          <w:rFonts w:ascii="Bookman Old Style" w:eastAsia="Bookman Old Style" w:hAnsi="Bookman Old Style"/>
          <w:color w:val="000000"/>
          <w:sz w:val="24"/>
          <w:lang w:val="it-IT"/>
        </w:rPr>
        <w:t xml:space="preserve">i livelli ma ne ha solo delineato il concetto, descrivendo gli ambiti delle materie di intervento, come è consono a una legge quadro. </w:t>
      </w:r>
      <w:r w:rsidR="00871ECE">
        <w:rPr>
          <w:rFonts w:ascii="Bookman Old Style" w:eastAsia="Bookman Old Style" w:hAnsi="Bookman Old Style"/>
          <w:color w:val="000000"/>
          <w:sz w:val="24"/>
          <w:lang w:val="it-IT"/>
        </w:rPr>
        <w:t>Infatti,</w:t>
      </w:r>
      <w:r>
        <w:rPr>
          <w:rFonts w:ascii="Bookman Old Style" w:eastAsia="Bookman Old Style" w:hAnsi="Bookman Old Style"/>
          <w:color w:val="000000"/>
          <w:sz w:val="24"/>
          <w:lang w:val="it-IT"/>
        </w:rPr>
        <w:t xml:space="preserve"> la riforma assegna al Piano nazionale triennale degli interventi e dei servizi sociali – e dunque a un atto di programmazione che si attua con la previsione di uno specifico Fondo Nazionale delle Politiche Sociali – il compito di determinare le caratteristiche e i</w:t>
      </w:r>
    </w:p>
    <w:p w14:paraId="607C8279" w14:textId="77777777" w:rsidR="009556D3" w:rsidRPr="00043CC8" w:rsidRDefault="00162321" w:rsidP="00043CC8">
      <w:pPr>
        <w:spacing w:line="245" w:lineRule="exact"/>
        <w:ind w:right="72"/>
        <w:jc w:val="both"/>
        <w:textAlignment w:val="baseline"/>
        <w:rPr>
          <w:rFonts w:ascii="Arial" w:eastAsia="Arial" w:hAnsi="Arial"/>
          <w:bCs/>
          <w:color w:val="000000"/>
          <w:spacing w:val="-4"/>
          <w:sz w:val="16"/>
          <w:szCs w:val="16"/>
          <w:vertAlign w:val="superscript"/>
          <w:lang w:val="it-IT"/>
        </w:rPr>
      </w:pPr>
      <w:r>
        <w:rPr>
          <w:bCs/>
          <w:sz w:val="16"/>
          <w:szCs w:val="16"/>
        </w:rPr>
        <w:pict w14:anchorId="7A0EBE34">
          <v:line id="_x0000_s1036" style="position:absolute;left:0;text-align:left;z-index:251653632;mso-position-horizontal-relative:page;mso-position-vertical-relative:page" from="98.05pt,651.85pt" to="243.4pt,651.85pt" strokeweight=".7pt">
            <w10:wrap anchorx="page" anchory="page"/>
          </v:line>
        </w:pict>
      </w:r>
      <w:r w:rsidR="00C22675" w:rsidRPr="00043CC8">
        <w:rPr>
          <w:rFonts w:ascii="Arial" w:eastAsia="Arial" w:hAnsi="Arial"/>
          <w:bCs/>
          <w:color w:val="000000"/>
          <w:spacing w:val="-4"/>
          <w:sz w:val="16"/>
          <w:szCs w:val="16"/>
          <w:vertAlign w:val="superscript"/>
          <w:lang w:val="it-IT"/>
        </w:rPr>
        <w:t>4</w:t>
      </w:r>
      <w:r w:rsidR="00C22675" w:rsidRPr="00043CC8">
        <w:rPr>
          <w:rFonts w:ascii="Arial" w:eastAsia="Arial" w:hAnsi="Arial"/>
          <w:bCs/>
          <w:color w:val="000000"/>
          <w:spacing w:val="-4"/>
          <w:sz w:val="16"/>
          <w:szCs w:val="16"/>
          <w:lang w:val="it-IT"/>
        </w:rPr>
        <w:t xml:space="preserve"> La previsione e definizione di livelli essenziali ai fini dell’erogazione di prestazioni da parte dello Stato avviene per la prima volta con la legge n. 833/1978, istitutiva del SSN. Gli artt. 3 e 53 della legge in parola configuravano i livelli uniformi di assistenza (LEA) da perseguire nella erogazione delle prestazioni e dei servizi sanitari, rispondendo così all’esigenza di dare piena attuazione al diritto alla salute di cui all’art. 32 della Costituzione.</w:t>
      </w:r>
    </w:p>
    <w:p w14:paraId="23A65604" w14:textId="77777777" w:rsidR="009556D3" w:rsidRPr="00043CC8" w:rsidRDefault="00C22675" w:rsidP="00043CC8">
      <w:pPr>
        <w:spacing w:before="239" w:line="245" w:lineRule="exact"/>
        <w:ind w:right="72"/>
        <w:jc w:val="both"/>
        <w:textAlignment w:val="baseline"/>
        <w:rPr>
          <w:rFonts w:ascii="Arial" w:eastAsia="Arial" w:hAnsi="Arial"/>
          <w:bCs/>
          <w:color w:val="000000"/>
          <w:spacing w:val="-4"/>
          <w:sz w:val="16"/>
          <w:szCs w:val="16"/>
          <w:lang w:val="it-IT"/>
        </w:rPr>
      </w:pPr>
      <w:r w:rsidRPr="00043CC8">
        <w:rPr>
          <w:rFonts w:ascii="Arial" w:eastAsia="Arial" w:hAnsi="Arial"/>
          <w:bCs/>
          <w:color w:val="000000"/>
          <w:spacing w:val="-4"/>
          <w:sz w:val="16"/>
          <w:szCs w:val="16"/>
          <w:lang w:val="it-IT"/>
        </w:rPr>
        <w:t>Successivamente, il d. lgs. n. 502/1992, come modificato ed integrato dal d. lgs. n. 229/1999, specificava la nozione di LEA, disponendo che il SSN assicura “i livelli essenziali e uniformi di assistenza definiti dal Piano sanitario nazionale nel rispetto dei principi della dignità della persona umana, del bisogno di salute, dell’equità nell’accesso all’assistenza, della qualità delle cure e della loro appropriatezza riguardo alle specifiche esigenze, nonché dell’economicità nell’impiego delle risorse”.</w:t>
      </w:r>
    </w:p>
    <w:p w14:paraId="3F3EAD2C" w14:textId="77777777" w:rsidR="009556D3" w:rsidRPr="00043CC8" w:rsidRDefault="00C22675">
      <w:pPr>
        <w:spacing w:before="46" w:line="214" w:lineRule="exact"/>
        <w:jc w:val="center"/>
        <w:textAlignment w:val="baseline"/>
        <w:rPr>
          <w:rFonts w:ascii="Arial" w:eastAsia="Arial" w:hAnsi="Arial"/>
          <w:bCs/>
          <w:color w:val="000000"/>
          <w:sz w:val="18"/>
          <w:lang w:val="it-IT"/>
        </w:rPr>
      </w:pPr>
      <w:r w:rsidRPr="00043CC8">
        <w:rPr>
          <w:rFonts w:ascii="Arial" w:eastAsia="Arial" w:hAnsi="Arial"/>
          <w:bCs/>
          <w:color w:val="000000"/>
          <w:sz w:val="18"/>
          <w:lang w:val="it-IT"/>
        </w:rPr>
        <w:t>6</w:t>
      </w:r>
    </w:p>
    <w:p w14:paraId="62864307" w14:textId="77777777" w:rsidR="009556D3" w:rsidRPr="00043CC8" w:rsidRDefault="009556D3">
      <w:pPr>
        <w:rPr>
          <w:lang w:val="it-IT"/>
        </w:rPr>
        <w:sectPr w:rsidR="009556D3" w:rsidRPr="00043CC8">
          <w:pgSz w:w="11909" w:h="16838"/>
          <w:pgMar w:top="1280" w:right="540" w:bottom="582" w:left="1961" w:header="720" w:footer="720" w:gutter="0"/>
          <w:cols w:space="720"/>
        </w:sectPr>
      </w:pPr>
    </w:p>
    <w:p w14:paraId="53C65FC6" w14:textId="314945A4" w:rsidR="009556D3" w:rsidRDefault="00C22675">
      <w:pPr>
        <w:spacing w:before="4"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lastRenderedPageBreak/>
        <w:t xml:space="preserve">requisiti delle prestazioni sociali comprese nei livelli essenziali. </w:t>
      </w:r>
      <w:proofErr w:type="gramStart"/>
      <w:r>
        <w:rPr>
          <w:rFonts w:ascii="Bookman Old Style" w:eastAsia="Bookman Old Style" w:hAnsi="Bookman Old Style"/>
          <w:color w:val="000000"/>
          <w:sz w:val="24"/>
          <w:lang w:val="it-IT"/>
        </w:rPr>
        <w:t>E’</w:t>
      </w:r>
      <w:proofErr w:type="gramEnd"/>
      <w:r>
        <w:rPr>
          <w:rFonts w:ascii="Bookman Old Style" w:eastAsia="Bookman Old Style" w:hAnsi="Bookman Old Style"/>
          <w:color w:val="000000"/>
          <w:sz w:val="24"/>
          <w:lang w:val="it-IT"/>
        </w:rPr>
        <w:t xml:space="preserve"> questo il cuore della 328/2000 che è rimasto però, seppur in parte incompiuto e questa incompiutezza ha determinato la necessità degli interventi da parte della </w:t>
      </w:r>
      <w:r w:rsidR="00871ECE">
        <w:rPr>
          <w:rFonts w:ascii="Bookman Old Style" w:eastAsia="Bookman Old Style" w:hAnsi="Bookman Old Style"/>
          <w:color w:val="000000"/>
          <w:sz w:val="24"/>
          <w:lang w:val="it-IT"/>
        </w:rPr>
        <w:t>Corte costituzionale</w:t>
      </w:r>
      <w:r>
        <w:rPr>
          <w:rFonts w:ascii="Bookman Old Style" w:eastAsia="Bookman Old Style" w:hAnsi="Bookman Old Style"/>
          <w:color w:val="000000"/>
          <w:sz w:val="24"/>
          <w:lang w:val="it-IT"/>
        </w:rPr>
        <w:t xml:space="preserve"> che vedremo a breve.</w:t>
      </w:r>
    </w:p>
    <w:p w14:paraId="7C550EE9" w14:textId="77777777" w:rsidR="009556D3" w:rsidRDefault="00C22675">
      <w:pPr>
        <w:spacing w:before="162"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 xml:space="preserve">Sta di fatto, comunque, che un anno dopo la legge quadro interviene addirittura una riforma della Costituzione – precisamente la riforma del </w:t>
      </w:r>
      <w:proofErr w:type="spellStart"/>
      <w:r>
        <w:rPr>
          <w:rFonts w:ascii="Bookman Old Style" w:eastAsia="Bookman Old Style" w:hAnsi="Bookman Old Style"/>
          <w:color w:val="000000"/>
          <w:sz w:val="24"/>
          <w:lang w:val="it-IT"/>
        </w:rPr>
        <w:t>Tit</w:t>
      </w:r>
      <w:proofErr w:type="spellEnd"/>
      <w:r>
        <w:rPr>
          <w:rFonts w:ascii="Bookman Old Style" w:eastAsia="Bookman Old Style" w:hAnsi="Bookman Old Style"/>
          <w:color w:val="000000"/>
          <w:sz w:val="24"/>
          <w:lang w:val="it-IT"/>
        </w:rPr>
        <w:t xml:space="preserve"> V, con legge costituzionale n. 3/2001- a “costituzionalizzare” una serie di principi già affermati dalla 328: così il riconoscimento dei LEPS, la valorizzazione del decentramento istituzionale e della necessità di coesione con una nuova interpretazione dell’art. 5, direttamente collegata all’art. 114, la sussidiarietà orizzontale e verticale dell’art. 118, la funzione perequativa dello Stato di cui all’art. 119, il potere sostitutivo del governo di cui all’art. 120: tutti principi in sintonia con la tutela e promozione dei diritti fondamentali della persona e, dunque, con la tutela dei diritti sociali.</w:t>
      </w:r>
    </w:p>
    <w:p w14:paraId="6629F4A2" w14:textId="77777777" w:rsidR="009556D3" w:rsidRDefault="00C22675">
      <w:pPr>
        <w:spacing w:before="903" w:line="323" w:lineRule="exact"/>
        <w:ind w:left="720"/>
        <w:textAlignment w:val="baseline"/>
        <w:rPr>
          <w:rFonts w:ascii="Arial" w:eastAsia="Arial" w:hAnsi="Arial"/>
          <w:b/>
          <w:i/>
          <w:color w:val="000000"/>
          <w:spacing w:val="-12"/>
          <w:sz w:val="29"/>
          <w:lang w:val="it-IT"/>
        </w:rPr>
      </w:pPr>
      <w:r>
        <w:rPr>
          <w:rFonts w:ascii="Arial" w:eastAsia="Arial" w:hAnsi="Arial"/>
          <w:b/>
          <w:i/>
          <w:color w:val="000000"/>
          <w:spacing w:val="-12"/>
          <w:sz w:val="29"/>
          <w:lang w:val="it-IT"/>
        </w:rPr>
        <w:t>La costituzionalizzazione dei LEPS</w:t>
      </w:r>
    </w:p>
    <w:p w14:paraId="729ACB95" w14:textId="77777777" w:rsidR="009556D3" w:rsidRDefault="00C22675">
      <w:pPr>
        <w:spacing w:before="189" w:line="422" w:lineRule="exact"/>
        <w:jc w:val="both"/>
        <w:textAlignment w:val="baseline"/>
        <w:rPr>
          <w:rFonts w:ascii="Bookman Old Style" w:eastAsia="Bookman Old Style" w:hAnsi="Bookman Old Style"/>
          <w:color w:val="000000"/>
          <w:spacing w:val="-2"/>
          <w:sz w:val="24"/>
          <w:lang w:val="it-IT"/>
        </w:rPr>
      </w:pPr>
      <w:r>
        <w:rPr>
          <w:rFonts w:ascii="Bookman Old Style" w:eastAsia="Bookman Old Style" w:hAnsi="Bookman Old Style"/>
          <w:color w:val="000000"/>
          <w:spacing w:val="-2"/>
          <w:sz w:val="24"/>
          <w:lang w:val="it-IT"/>
        </w:rPr>
        <w:t xml:space="preserve">Costituzionalizzazione dei LEPS, dicevamo. Infatti, nel nuovo art. 117, al comma 2, lett. m), viene previsto che lo Stato gode di legislazione esclusiva sulla </w:t>
      </w:r>
      <w:r>
        <w:rPr>
          <w:rFonts w:ascii="Bookman Old Style" w:eastAsia="Bookman Old Style" w:hAnsi="Bookman Old Style"/>
          <w:i/>
          <w:color w:val="000000"/>
          <w:spacing w:val="-2"/>
          <w:sz w:val="24"/>
          <w:lang w:val="it-IT"/>
        </w:rPr>
        <w:t>determinazione dei livelli essenziali delle prestazioni concernenti i diritti civili e sociali che devono essere garantiti su tutto il territorio nazionale.</w:t>
      </w:r>
      <w:r>
        <w:rPr>
          <w:rFonts w:ascii="Bookman Old Style" w:eastAsia="Bookman Old Style" w:hAnsi="Bookman Old Style"/>
          <w:i/>
          <w:color w:val="000000"/>
          <w:spacing w:val="-2"/>
          <w:sz w:val="24"/>
          <w:vertAlign w:val="superscript"/>
          <w:lang w:val="it-IT"/>
        </w:rPr>
        <w:t>5</w:t>
      </w:r>
      <w:r>
        <w:rPr>
          <w:rFonts w:ascii="Bookman Old Style" w:eastAsia="Bookman Old Style" w:hAnsi="Bookman Old Style"/>
          <w:color w:val="000000"/>
          <w:spacing w:val="-2"/>
          <w:sz w:val="24"/>
          <w:lang w:val="it-IT"/>
        </w:rPr>
        <w:t xml:space="preserve"> Il legislatore costituente è intransigente sul punto poiché eleva a specifica competenza dello Stato il ruolo di garante degli standard essenziali di tutela dei diritti fondamentali e assegna alle regioni il compito di progettare autonomamente politiche sociali adeguate ai bisogni del proprio territorio, ma sempre rispettando quegli standard. Con questa operazione il Costituente persegue tre obiettivi:</w:t>
      </w:r>
    </w:p>
    <w:p w14:paraId="37810013" w14:textId="77777777" w:rsidR="009556D3" w:rsidRDefault="00C22675">
      <w:pPr>
        <w:tabs>
          <w:tab w:val="right" w:pos="9432"/>
        </w:tabs>
        <w:spacing w:before="316" w:line="270" w:lineRule="exact"/>
        <w:ind w:left="1080"/>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a)</w:t>
      </w:r>
      <w:r>
        <w:rPr>
          <w:rFonts w:ascii="Bookman Old Style" w:eastAsia="Bookman Old Style" w:hAnsi="Bookman Old Style"/>
          <w:color w:val="000000"/>
          <w:sz w:val="24"/>
          <w:lang w:val="it-IT"/>
        </w:rPr>
        <w:tab/>
        <w:t>Definire un livello essenziale di dignità nella delineazione di un</w:t>
      </w:r>
    </w:p>
    <w:p w14:paraId="6AECB6EF" w14:textId="77777777" w:rsidR="009556D3" w:rsidRDefault="00C22675">
      <w:pPr>
        <w:spacing w:before="152" w:after="421" w:line="270" w:lineRule="exact"/>
        <w:ind w:left="1800"/>
        <w:textAlignment w:val="baseline"/>
        <w:rPr>
          <w:rFonts w:ascii="Bookman Old Style" w:eastAsia="Bookman Old Style" w:hAnsi="Bookman Old Style"/>
          <w:color w:val="000000"/>
          <w:spacing w:val="-2"/>
          <w:sz w:val="24"/>
          <w:lang w:val="it-IT"/>
        </w:rPr>
      </w:pPr>
      <w:r>
        <w:rPr>
          <w:rFonts w:ascii="Bookman Old Style" w:eastAsia="Bookman Old Style" w:hAnsi="Bookman Old Style"/>
          <w:color w:val="000000"/>
          <w:spacing w:val="-2"/>
          <w:sz w:val="24"/>
          <w:lang w:val="it-IT"/>
        </w:rPr>
        <w:t>servizio;</w:t>
      </w:r>
    </w:p>
    <w:p w14:paraId="1632ED75" w14:textId="77777777" w:rsidR="009556D3" w:rsidRDefault="00162321">
      <w:pPr>
        <w:spacing w:before="153" w:line="197" w:lineRule="exact"/>
        <w:textAlignment w:val="baseline"/>
        <w:rPr>
          <w:rFonts w:ascii="Arial" w:eastAsia="Arial" w:hAnsi="Arial"/>
          <w:b/>
          <w:color w:val="000000"/>
          <w:sz w:val="12"/>
          <w:vertAlign w:val="superscript"/>
          <w:lang w:val="it-IT"/>
        </w:rPr>
      </w:pPr>
      <w:r>
        <w:rPr>
          <w:sz w:val="16"/>
          <w:szCs w:val="16"/>
        </w:rPr>
        <w:pict w14:anchorId="22A3D451">
          <v:line id="_x0000_s1035" style="position:absolute;z-index:251654656;mso-position-horizontal-relative:page;mso-position-vertical-relative:page" from="98.3pt,700.8pt" to="243.4pt,700.8pt" strokeweight=".95pt">
            <w10:wrap anchorx="page" anchory="page"/>
          </v:line>
        </w:pict>
      </w:r>
      <w:r w:rsidR="00C22675" w:rsidRPr="00871ECE">
        <w:rPr>
          <w:rFonts w:ascii="Arial" w:eastAsia="Arial" w:hAnsi="Arial"/>
          <w:b/>
          <w:color w:val="000000"/>
          <w:sz w:val="16"/>
          <w:szCs w:val="16"/>
          <w:vertAlign w:val="superscript"/>
          <w:lang w:val="it-IT"/>
        </w:rPr>
        <w:t>5</w:t>
      </w:r>
      <w:r w:rsidR="00C22675" w:rsidRPr="00871ECE">
        <w:rPr>
          <w:rFonts w:ascii="Arial" w:eastAsia="Arial" w:hAnsi="Arial"/>
          <w:b/>
          <w:color w:val="000000"/>
          <w:sz w:val="16"/>
          <w:szCs w:val="16"/>
          <w:lang w:val="it-IT"/>
        </w:rPr>
        <w:t xml:space="preserve"> </w:t>
      </w:r>
      <w:r w:rsidR="00C22675">
        <w:rPr>
          <w:rFonts w:ascii="Arial" w:eastAsia="Arial" w:hAnsi="Arial"/>
          <w:b/>
          <w:color w:val="000000"/>
          <w:sz w:val="17"/>
          <w:lang w:val="it-IT"/>
        </w:rPr>
        <w:t>Art. 117: La potestà legislativa è esercitata dallo Stato [70 e segg.] e dalle Regioni nel rispetto della Costituzione,</w:t>
      </w:r>
    </w:p>
    <w:p w14:paraId="3ACC5415" w14:textId="74230910" w:rsidR="009556D3" w:rsidRDefault="00043CC8">
      <w:pPr>
        <w:spacing w:before="48" w:line="197" w:lineRule="exact"/>
        <w:textAlignment w:val="baseline"/>
        <w:rPr>
          <w:rFonts w:ascii="Arial" w:eastAsia="Arial" w:hAnsi="Arial"/>
          <w:b/>
          <w:color w:val="000000"/>
          <w:sz w:val="17"/>
          <w:lang w:val="it-IT"/>
        </w:rPr>
      </w:pPr>
      <w:r>
        <w:rPr>
          <w:rFonts w:ascii="Arial" w:eastAsia="Arial" w:hAnsi="Arial"/>
          <w:b/>
          <w:color w:val="000000"/>
          <w:sz w:val="17"/>
          <w:lang w:val="it-IT"/>
        </w:rPr>
        <w:t>nonché</w:t>
      </w:r>
      <w:r w:rsidR="00C22675">
        <w:rPr>
          <w:rFonts w:ascii="Arial" w:eastAsia="Arial" w:hAnsi="Arial"/>
          <w:b/>
          <w:color w:val="000000"/>
          <w:sz w:val="17"/>
          <w:lang w:val="it-IT"/>
        </w:rPr>
        <w:t xml:space="preserve"> dei vincoli derivanti dall'ordinamento comunitario e dagli obblighi internazionali.</w:t>
      </w:r>
    </w:p>
    <w:p w14:paraId="4BC27468" w14:textId="77777777" w:rsidR="009556D3" w:rsidRDefault="00C22675">
      <w:pPr>
        <w:spacing w:before="48" w:after="174" w:line="197" w:lineRule="exact"/>
        <w:textAlignment w:val="baseline"/>
        <w:rPr>
          <w:rFonts w:ascii="Arial" w:eastAsia="Arial" w:hAnsi="Arial"/>
          <w:b/>
          <w:color w:val="000000"/>
          <w:spacing w:val="-1"/>
          <w:sz w:val="17"/>
          <w:lang w:val="it-IT"/>
        </w:rPr>
      </w:pPr>
      <w:r>
        <w:rPr>
          <w:rFonts w:ascii="Arial" w:eastAsia="Arial" w:hAnsi="Arial"/>
          <w:b/>
          <w:color w:val="000000"/>
          <w:spacing w:val="-1"/>
          <w:sz w:val="17"/>
          <w:lang w:val="it-IT"/>
        </w:rPr>
        <w:t>Lo Stato ha legislazione esclusiva nelle seguenti materie:</w:t>
      </w:r>
    </w:p>
    <w:p w14:paraId="7DF89E42" w14:textId="77777777" w:rsidR="009556D3" w:rsidRDefault="00162321">
      <w:pPr>
        <w:spacing w:before="68" w:line="245" w:lineRule="exact"/>
        <w:ind w:right="648"/>
        <w:textAlignment w:val="baseline"/>
        <w:rPr>
          <w:rFonts w:ascii="Arial" w:eastAsia="Arial" w:hAnsi="Arial"/>
          <w:b/>
          <w:color w:val="000000"/>
          <w:sz w:val="17"/>
          <w:lang w:val="it-IT"/>
        </w:rPr>
      </w:pPr>
      <w:r>
        <w:pict w14:anchorId="0214F1FC">
          <v:line id="_x0000_s1034" style="position:absolute;z-index:251655680;mso-position-horizontal-relative:page;mso-position-vertical-relative:page" from="98.3pt,751.9pt" to="121.75pt,751.9pt" strokeweight="1.45pt">
            <v:stroke dashstyle="1 1"/>
            <w10:wrap anchorx="page" anchory="page"/>
          </v:line>
        </w:pict>
      </w:r>
      <w:r w:rsidR="00C22675">
        <w:rPr>
          <w:rFonts w:ascii="Arial" w:eastAsia="Arial" w:hAnsi="Arial"/>
          <w:b/>
          <w:color w:val="000000"/>
          <w:sz w:val="17"/>
          <w:lang w:val="it-IT"/>
        </w:rPr>
        <w:t>m) determinazione dei livelli essenziali delle prestazioni concernenti i diritti civili e sociali che devono essere garantiti su tutto il territorio nazionale;</w:t>
      </w:r>
    </w:p>
    <w:p w14:paraId="45DC3A12" w14:textId="77777777" w:rsidR="009556D3" w:rsidRDefault="00C22675">
      <w:pPr>
        <w:spacing w:before="42" w:line="224" w:lineRule="exact"/>
        <w:jc w:val="center"/>
        <w:textAlignment w:val="baseline"/>
        <w:rPr>
          <w:rFonts w:ascii="Arial" w:eastAsia="Arial" w:hAnsi="Arial"/>
          <w:b/>
          <w:color w:val="000000"/>
          <w:sz w:val="20"/>
          <w:lang w:val="it-IT"/>
        </w:rPr>
      </w:pPr>
      <w:r>
        <w:rPr>
          <w:rFonts w:ascii="Arial" w:eastAsia="Arial" w:hAnsi="Arial"/>
          <w:b/>
          <w:color w:val="000000"/>
          <w:sz w:val="20"/>
          <w:lang w:val="it-IT"/>
        </w:rPr>
        <w:t>7</w:t>
      </w:r>
    </w:p>
    <w:p w14:paraId="2CAC9430" w14:textId="77777777" w:rsidR="009556D3" w:rsidRDefault="009556D3">
      <w:pPr>
        <w:sectPr w:rsidR="009556D3">
          <w:pgSz w:w="11909" w:h="16838"/>
          <w:pgMar w:top="1280" w:right="535" w:bottom="582" w:left="1966" w:header="720" w:footer="720" w:gutter="0"/>
          <w:cols w:space="720"/>
        </w:sectPr>
      </w:pPr>
    </w:p>
    <w:p w14:paraId="73BDD27F" w14:textId="77777777" w:rsidR="009556D3" w:rsidRDefault="00C22675">
      <w:pPr>
        <w:numPr>
          <w:ilvl w:val="0"/>
          <w:numId w:val="1"/>
        </w:numPr>
        <w:tabs>
          <w:tab w:val="clear" w:pos="720"/>
          <w:tab w:val="left" w:pos="1800"/>
        </w:tabs>
        <w:spacing w:before="3" w:line="422" w:lineRule="exact"/>
        <w:ind w:left="1800" w:hanging="720"/>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lastRenderedPageBreak/>
        <w:t>Individuare quindi uno standard di prestazione minima sotto la quale non scendere;</w:t>
      </w:r>
    </w:p>
    <w:p w14:paraId="544142E7" w14:textId="77777777" w:rsidR="009556D3" w:rsidRDefault="00C22675">
      <w:pPr>
        <w:numPr>
          <w:ilvl w:val="0"/>
          <w:numId w:val="1"/>
        </w:numPr>
        <w:tabs>
          <w:tab w:val="clear" w:pos="720"/>
          <w:tab w:val="left" w:pos="1800"/>
        </w:tabs>
        <w:spacing w:before="1" w:line="422" w:lineRule="exact"/>
        <w:ind w:left="1800" w:hanging="720"/>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Omologare e uniformare i livelli di prestazione su tutto il territorio nazionale.</w:t>
      </w:r>
    </w:p>
    <w:p w14:paraId="66B07FFE" w14:textId="77777777" w:rsidR="009556D3" w:rsidRDefault="00C22675">
      <w:pPr>
        <w:spacing w:before="161"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Per ciò che concerne gli obiettivi a) e b) si è aperto da tempo il dibattito circa l’interpretazione del termine essenziale, approfondito in seguito alla riforma del Tit. V dalla Consulta che è arrivata alla conclusione che vedremo. Premesso che per standard di prestazione minima si intende un livello minimo di quantità e qualità del servizio, la dottrina ha subito dato due diverse interpretazioni del concetto essenziale:</w:t>
      </w:r>
    </w:p>
    <w:p w14:paraId="1C2B1894" w14:textId="77777777" w:rsidR="009556D3" w:rsidRDefault="00C22675">
      <w:pPr>
        <w:numPr>
          <w:ilvl w:val="0"/>
          <w:numId w:val="2"/>
        </w:numPr>
        <w:tabs>
          <w:tab w:val="clear" w:pos="288"/>
          <w:tab w:val="left" w:pos="1080"/>
        </w:tabs>
        <w:spacing w:before="166" w:line="422" w:lineRule="exact"/>
        <w:ind w:left="1080" w:hanging="288"/>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È da ritenersi essenziale il livello minimo di prestazioni che deve essere assicurato in ragione della dotazione finanziaria del sistema erogatore dei servizi, a prescindere dalla intensità del bisogno cui è destinata la prestazione: tale orientamento, sostanzialmente, anticipava i contenuti e il senso della riforma dell’art. 81 della Costituzione (L.C. n. 1/2102), che avrebbe introdotto in Costituzione il principio di pareggio di bilancio;</w:t>
      </w:r>
    </w:p>
    <w:p w14:paraId="3C5AAF6C" w14:textId="20AFAE9F" w:rsidR="009556D3" w:rsidRDefault="00C22675">
      <w:pPr>
        <w:numPr>
          <w:ilvl w:val="0"/>
          <w:numId w:val="2"/>
        </w:numPr>
        <w:tabs>
          <w:tab w:val="clear" w:pos="288"/>
          <w:tab w:val="left" w:pos="1080"/>
        </w:tabs>
        <w:spacing w:before="2" w:line="422" w:lineRule="exact"/>
        <w:ind w:left="1080" w:hanging="288"/>
        <w:jc w:val="both"/>
        <w:textAlignment w:val="baseline"/>
        <w:rPr>
          <w:rFonts w:ascii="Bookman Old Style" w:eastAsia="Bookman Old Style" w:hAnsi="Bookman Old Style"/>
          <w:color w:val="000000"/>
          <w:spacing w:val="-2"/>
          <w:sz w:val="24"/>
          <w:lang w:val="it-IT"/>
        </w:rPr>
      </w:pPr>
      <w:proofErr w:type="gramStart"/>
      <w:r>
        <w:rPr>
          <w:rFonts w:ascii="Bookman Old Style" w:eastAsia="Bookman Old Style" w:hAnsi="Bookman Old Style"/>
          <w:color w:val="000000"/>
          <w:spacing w:val="-2"/>
          <w:sz w:val="24"/>
          <w:lang w:val="it-IT"/>
        </w:rPr>
        <w:t>E’</w:t>
      </w:r>
      <w:proofErr w:type="gramEnd"/>
      <w:r>
        <w:rPr>
          <w:rFonts w:ascii="Bookman Old Style" w:eastAsia="Bookman Old Style" w:hAnsi="Bookman Old Style"/>
          <w:color w:val="000000"/>
          <w:spacing w:val="-2"/>
          <w:sz w:val="24"/>
          <w:lang w:val="it-IT"/>
        </w:rPr>
        <w:t xml:space="preserve"> da ritenersi essenziale il livello di prestazione necessario per ritenere soddisfatto un bisogno in funzione delle condizioni del soggetto a cui la prestazione stessa si rivolge: questo orientamento, invece, ha anticipato quello che sarebbe stato il punto di arrivo della </w:t>
      </w:r>
      <w:r w:rsidR="00871ECE">
        <w:rPr>
          <w:rFonts w:ascii="Bookman Old Style" w:eastAsia="Bookman Old Style" w:hAnsi="Bookman Old Style"/>
          <w:color w:val="000000"/>
          <w:spacing w:val="-2"/>
          <w:sz w:val="24"/>
          <w:lang w:val="it-IT"/>
        </w:rPr>
        <w:t>Corte costituzionale</w:t>
      </w:r>
      <w:r>
        <w:rPr>
          <w:rFonts w:ascii="Bookman Old Style" w:eastAsia="Bookman Old Style" w:hAnsi="Bookman Old Style"/>
          <w:color w:val="000000"/>
          <w:spacing w:val="-2"/>
          <w:sz w:val="24"/>
          <w:lang w:val="it-IT"/>
        </w:rPr>
        <w:t>, come vedremo.</w:t>
      </w:r>
    </w:p>
    <w:p w14:paraId="7E088AE9" w14:textId="77777777" w:rsidR="009556D3" w:rsidRDefault="00C22675">
      <w:pPr>
        <w:spacing w:before="167" w:line="422" w:lineRule="exact"/>
        <w:jc w:val="both"/>
        <w:textAlignment w:val="baseline"/>
        <w:rPr>
          <w:rFonts w:ascii="Bookman Old Style" w:eastAsia="Bookman Old Style" w:hAnsi="Bookman Old Style"/>
          <w:color w:val="000000"/>
          <w:spacing w:val="-3"/>
          <w:sz w:val="24"/>
          <w:lang w:val="it-IT"/>
        </w:rPr>
      </w:pPr>
      <w:r>
        <w:rPr>
          <w:rFonts w:ascii="Bookman Old Style" w:eastAsia="Bookman Old Style" w:hAnsi="Bookman Old Style"/>
          <w:color w:val="000000"/>
          <w:spacing w:val="-3"/>
          <w:sz w:val="24"/>
          <w:lang w:val="it-IT"/>
        </w:rPr>
        <w:t>Per quanto riguarda l’obiettivo c) è evidente l’intento di assicurare l’unità giuridica ed economica del Paese e la conseguente coesione sociale nel pieno rispetto dell’art. 5 e, quindi, lasciando alla competenza delle Regioni un margine di autonomia: lo Stato determina uno standard di essenzialità del diritto e la Regione decide come il diritto debba essere attuato sul territorio e se, eventualmente, finanziarlo ulteriormente. Questa impostazione delinea i diritti sociali a rilevanza costituzionale secondo una struttura composita articolata in due dimensioni attuative: una prima, considerata il nucleo essenziale del diritto, ossia quella sostanza minima la cui attuazione è necessaria a considerare il diritto sussistente ed effettivo; una seconda, rappresentativa della soglia di tutela</w:t>
      </w:r>
    </w:p>
    <w:p w14:paraId="28C61431" w14:textId="77777777" w:rsidR="009556D3" w:rsidRDefault="00C22675">
      <w:pPr>
        <w:spacing w:before="302" w:line="262" w:lineRule="exact"/>
        <w:jc w:val="center"/>
        <w:textAlignment w:val="baseline"/>
        <w:rPr>
          <w:rFonts w:ascii="Symbol" w:eastAsia="Symbol" w:hAnsi="Symbol"/>
          <w:color w:val="000000"/>
          <w:sz w:val="23"/>
          <w:lang w:val="it-IT"/>
        </w:rPr>
      </w:pPr>
      <w:r>
        <w:rPr>
          <w:rFonts w:ascii="Symbol" w:eastAsia="Symbol" w:hAnsi="Symbol"/>
          <w:color w:val="000000"/>
          <w:sz w:val="23"/>
          <w:lang w:val="it-IT"/>
        </w:rPr>
        <w:t>8</w:t>
      </w:r>
    </w:p>
    <w:p w14:paraId="520165E7" w14:textId="77777777" w:rsidR="009556D3" w:rsidRPr="00043CC8" w:rsidRDefault="009556D3">
      <w:pPr>
        <w:rPr>
          <w:lang w:val="it-IT"/>
        </w:rPr>
        <w:sectPr w:rsidR="009556D3" w:rsidRPr="00043CC8">
          <w:pgSz w:w="11909" w:h="16838"/>
          <w:pgMar w:top="1280" w:right="538" w:bottom="582" w:left="1963" w:header="720" w:footer="720" w:gutter="0"/>
          <w:cols w:space="720"/>
        </w:sectPr>
      </w:pPr>
    </w:p>
    <w:p w14:paraId="1AAF4169" w14:textId="1798E77C" w:rsidR="009556D3" w:rsidRDefault="00C22675">
      <w:pPr>
        <w:spacing w:before="26" w:after="348" w:line="422" w:lineRule="exact"/>
        <w:jc w:val="both"/>
        <w:textAlignment w:val="baseline"/>
        <w:rPr>
          <w:rFonts w:ascii="Bookman Old Style" w:eastAsia="Bookman Old Style" w:hAnsi="Bookman Old Style"/>
          <w:color w:val="000000"/>
          <w:spacing w:val="-2"/>
          <w:sz w:val="24"/>
          <w:lang w:val="it-IT"/>
        </w:rPr>
      </w:pPr>
      <w:r>
        <w:rPr>
          <w:rFonts w:ascii="Bookman Old Style" w:eastAsia="Bookman Old Style" w:hAnsi="Bookman Old Style"/>
          <w:color w:val="000000"/>
          <w:spacing w:val="-2"/>
          <w:sz w:val="24"/>
          <w:lang w:val="it-IT"/>
        </w:rPr>
        <w:lastRenderedPageBreak/>
        <w:t xml:space="preserve">la cui attuazione viene lasciata all’istituzione territoriale che può anche intervenire con proprie risorse aggiuntive. Si tratta di una impostazione in linea con l’indirizzo precedentemente espresso dalla </w:t>
      </w:r>
      <w:r w:rsidR="00871ECE">
        <w:rPr>
          <w:rFonts w:ascii="Bookman Old Style" w:eastAsia="Bookman Old Style" w:hAnsi="Bookman Old Style"/>
          <w:color w:val="000000"/>
          <w:spacing w:val="-2"/>
          <w:sz w:val="24"/>
          <w:lang w:val="it-IT"/>
        </w:rPr>
        <w:t>Corte costituzionale</w:t>
      </w:r>
      <w:r>
        <w:rPr>
          <w:rFonts w:ascii="Bookman Old Style" w:eastAsia="Bookman Old Style" w:hAnsi="Bookman Old Style"/>
          <w:color w:val="000000"/>
          <w:spacing w:val="-2"/>
          <w:sz w:val="24"/>
          <w:lang w:val="it-IT"/>
        </w:rPr>
        <w:t xml:space="preserve"> nella </w:t>
      </w:r>
      <w:proofErr w:type="spellStart"/>
      <w:r>
        <w:rPr>
          <w:rFonts w:ascii="Bookman Old Style" w:eastAsia="Bookman Old Style" w:hAnsi="Bookman Old Style"/>
          <w:color w:val="000000"/>
          <w:spacing w:val="-2"/>
          <w:sz w:val="24"/>
          <w:lang w:val="it-IT"/>
        </w:rPr>
        <w:t>sent</w:t>
      </w:r>
      <w:proofErr w:type="spellEnd"/>
      <w:r>
        <w:rPr>
          <w:rFonts w:ascii="Bookman Old Style" w:eastAsia="Bookman Old Style" w:hAnsi="Bookman Old Style"/>
          <w:color w:val="000000"/>
          <w:spacing w:val="-2"/>
          <w:sz w:val="24"/>
          <w:lang w:val="it-IT"/>
        </w:rPr>
        <w:t xml:space="preserve">. n. 509/2000 la quale sottolinea che </w:t>
      </w:r>
      <w:r>
        <w:rPr>
          <w:rFonts w:ascii="Bookman Old Style" w:eastAsia="Bookman Old Style" w:hAnsi="Bookman Old Style"/>
          <w:i/>
          <w:color w:val="000000"/>
          <w:spacing w:val="-2"/>
          <w:sz w:val="24"/>
          <w:lang w:val="it-IT"/>
        </w:rPr>
        <w:t xml:space="preserve">il nucleo irriducibile di un diritto protetto dalla Costituzione costituisce l’ambito inviolabile della dignità umana. </w:t>
      </w:r>
      <w:r>
        <w:rPr>
          <w:rFonts w:ascii="Bookman Old Style" w:eastAsia="Bookman Old Style" w:hAnsi="Bookman Old Style"/>
          <w:color w:val="000000"/>
          <w:spacing w:val="-2"/>
          <w:sz w:val="24"/>
          <w:lang w:val="it-IT"/>
        </w:rPr>
        <w:t xml:space="preserve">Di tal che abbiamo un diritto basico, fissato dallo Stato che deve essere garantito in modo uniforme su tutto il territorio nazionale cui corrisponde in capo alle Regioni l’obbligo della sua attuazione e concretizzazione; e solo al di sopra di questa soglia minima si può muovere il legislatore regionale incidendo sul livello essenziale, cioè una volta che è stata garantita la dignità umana: solo quando si raggiunge quel livello minimo di uniformità necessario a garantire una esistenza dignitosa per tutti si può parlare di diritti effettivamente esigibili e solo da questo momento in poi si espande l’autonomia delle Regioni con la possibilità di predisporre interventi capaci di offrire un più elevato grado di tutela dei bisogni dell’individuo. Sono tutte in tal senso le </w:t>
      </w:r>
      <w:proofErr w:type="spellStart"/>
      <w:r>
        <w:rPr>
          <w:rFonts w:ascii="Bookman Old Style" w:eastAsia="Bookman Old Style" w:hAnsi="Bookman Old Style"/>
          <w:color w:val="000000"/>
          <w:spacing w:val="-2"/>
          <w:sz w:val="24"/>
          <w:lang w:val="it-IT"/>
        </w:rPr>
        <w:t>sent</w:t>
      </w:r>
      <w:proofErr w:type="spellEnd"/>
      <w:r>
        <w:rPr>
          <w:rFonts w:ascii="Bookman Old Style" w:eastAsia="Bookman Old Style" w:hAnsi="Bookman Old Style"/>
          <w:color w:val="000000"/>
          <w:spacing w:val="-2"/>
          <w:sz w:val="24"/>
          <w:lang w:val="it-IT"/>
        </w:rPr>
        <w:t xml:space="preserve">. della Consulta, n. 383/2005, 8/2011, 222/2013, tutte successive alla riforma del Tit. V. Tuttavia, in modo isolato ma puntuale, soprattutto tenendo conto di quanto emerso in seguito alla introduzione in Costituzione del principio di pareggio di bilancio, si posizionano le </w:t>
      </w:r>
      <w:proofErr w:type="spellStart"/>
      <w:r>
        <w:rPr>
          <w:rFonts w:ascii="Bookman Old Style" w:eastAsia="Bookman Old Style" w:hAnsi="Bookman Old Style"/>
          <w:color w:val="000000"/>
          <w:spacing w:val="-2"/>
          <w:sz w:val="24"/>
          <w:lang w:val="it-IT"/>
        </w:rPr>
        <w:t>sent</w:t>
      </w:r>
      <w:proofErr w:type="spellEnd"/>
      <w:r>
        <w:rPr>
          <w:rFonts w:ascii="Bookman Old Style" w:eastAsia="Bookman Old Style" w:hAnsi="Bookman Old Style"/>
          <w:color w:val="000000"/>
          <w:spacing w:val="-2"/>
          <w:sz w:val="24"/>
          <w:lang w:val="it-IT"/>
        </w:rPr>
        <w:t xml:space="preserve">. n. 28/2013, n. 104/2013 e n. 219/2013. In questi casi, in un clima di crisi economica, l’esigenza di preservare la sostenibilità finanziaria dei bilanci pubblici attraverso le manovre economiche del governo, ha indotto la Consulta a dichiarare l’illegittimità costituzionale delle leggi regionali che in abito sanitario prevedevano soglie di prestazioni eccedenti lo standard; ciò in quanto il dovere solidaristico che grava su tutti i territori della Repubblica e che persegue la tutela dell’unità economica e della coesione del Paese deve prevalere, soprattutto in situazioni di criticità della finanza pubblica, sulla potestà decisionale riconosciuta agli stessi territori. Dunque, quando i principi volti al coordinamento della finanza pubblica comportano l’obbligo di contenere la spesa, la Regione che si sottrae a tale obbligo, seppur nell’ottica di incrementare le potenzialità di un livello minimo di prestazione </w:t>
      </w:r>
      <w:r w:rsidR="00043CC8">
        <w:rPr>
          <w:rFonts w:ascii="Bookman Old Style" w:eastAsia="Bookman Old Style" w:hAnsi="Bookman Old Style"/>
          <w:color w:val="000000"/>
          <w:spacing w:val="-2"/>
          <w:sz w:val="24"/>
          <w:lang w:val="it-IT"/>
        </w:rPr>
        <w:t>sociosanitaria</w:t>
      </w:r>
      <w:r>
        <w:rPr>
          <w:rFonts w:ascii="Bookman Old Style" w:eastAsia="Bookman Old Style" w:hAnsi="Bookman Old Style"/>
          <w:color w:val="000000"/>
          <w:spacing w:val="-2"/>
          <w:sz w:val="24"/>
          <w:lang w:val="it-IT"/>
        </w:rPr>
        <w:t xml:space="preserve">, </w:t>
      </w:r>
      <w:r>
        <w:rPr>
          <w:rFonts w:ascii="Bookman Old Style" w:eastAsia="Bookman Old Style" w:hAnsi="Bookman Old Style"/>
          <w:i/>
          <w:color w:val="000000"/>
          <w:spacing w:val="-2"/>
          <w:sz w:val="24"/>
          <w:lang w:val="it-IT"/>
        </w:rPr>
        <w:t xml:space="preserve">viene sostanzialmente meno all’obbligo solidaristico, avvantaggiando indebitamente i propri residenti </w:t>
      </w:r>
      <w:r>
        <w:rPr>
          <w:rFonts w:ascii="Bookman Old Style" w:eastAsia="Bookman Old Style" w:hAnsi="Bookman Old Style"/>
          <w:color w:val="000000"/>
          <w:spacing w:val="-2"/>
          <w:sz w:val="24"/>
          <w:lang w:val="it-IT"/>
        </w:rPr>
        <w:t>(</w:t>
      </w:r>
      <w:proofErr w:type="spellStart"/>
      <w:r>
        <w:rPr>
          <w:rFonts w:ascii="Bookman Old Style" w:eastAsia="Bookman Old Style" w:hAnsi="Bookman Old Style"/>
          <w:color w:val="000000"/>
          <w:spacing w:val="-2"/>
          <w:sz w:val="24"/>
          <w:lang w:val="it-IT"/>
        </w:rPr>
        <w:t>sent</w:t>
      </w:r>
      <w:proofErr w:type="spellEnd"/>
      <w:r>
        <w:rPr>
          <w:rFonts w:ascii="Bookman Old Style" w:eastAsia="Bookman Old Style" w:hAnsi="Bookman Old Style"/>
          <w:color w:val="000000"/>
          <w:spacing w:val="-2"/>
          <w:sz w:val="24"/>
          <w:lang w:val="it-IT"/>
        </w:rPr>
        <w:t>. C.C. n. 104/2013). In sostanza, la Consulta evidenzia che sostenere con ulteriori risorse una prestazione che è già garantita nel suo livello</w:t>
      </w:r>
    </w:p>
    <w:p w14:paraId="506D2199" w14:textId="77777777" w:rsidR="009556D3" w:rsidRPr="00043CC8" w:rsidRDefault="009556D3">
      <w:pPr>
        <w:spacing w:before="26" w:after="348" w:line="422" w:lineRule="exact"/>
        <w:rPr>
          <w:lang w:val="it-IT"/>
        </w:rPr>
        <w:sectPr w:rsidR="009556D3" w:rsidRPr="00043CC8">
          <w:pgSz w:w="11909" w:h="16838"/>
          <w:pgMar w:top="1280" w:right="535" w:bottom="582" w:left="1966" w:header="720" w:footer="720" w:gutter="0"/>
          <w:cols w:space="720"/>
        </w:sectPr>
      </w:pPr>
    </w:p>
    <w:p w14:paraId="05AEDD3A" w14:textId="77777777" w:rsidR="009556D3" w:rsidRDefault="00C22675">
      <w:pPr>
        <w:spacing w:line="251" w:lineRule="exact"/>
        <w:jc w:val="center"/>
        <w:textAlignment w:val="baseline"/>
        <w:rPr>
          <w:rFonts w:ascii="Symbol" w:eastAsia="Symbol" w:hAnsi="Symbol"/>
          <w:color w:val="000000"/>
          <w:sz w:val="21"/>
          <w:lang w:val="it-IT"/>
        </w:rPr>
      </w:pPr>
      <w:r>
        <w:rPr>
          <w:rFonts w:ascii="Symbol" w:eastAsia="Symbol" w:hAnsi="Symbol"/>
          <w:color w:val="000000"/>
          <w:sz w:val="21"/>
          <w:lang w:val="it-IT"/>
        </w:rPr>
        <w:t>9</w:t>
      </w:r>
    </w:p>
    <w:p w14:paraId="2069AA1A" w14:textId="77777777" w:rsidR="009556D3" w:rsidRPr="00043CC8" w:rsidRDefault="009556D3">
      <w:pPr>
        <w:rPr>
          <w:lang w:val="it-IT"/>
        </w:rPr>
        <w:sectPr w:rsidR="009556D3" w:rsidRPr="00043CC8">
          <w:type w:val="continuous"/>
          <w:pgSz w:w="11909" w:h="16838"/>
          <w:pgMar w:top="1280" w:right="545" w:bottom="582" w:left="1956" w:header="720" w:footer="720" w:gutter="0"/>
          <w:cols w:space="720"/>
        </w:sectPr>
      </w:pPr>
    </w:p>
    <w:p w14:paraId="10AF6B7C" w14:textId="385B3EB5" w:rsidR="009556D3" w:rsidRDefault="00C22675">
      <w:pPr>
        <w:spacing w:before="6"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lastRenderedPageBreak/>
        <w:t xml:space="preserve">standard di tutela della dignità umana compromette, in un quadro di crisi economica, l’attenzione alla salvaguardia delle poche risorse economiche esistenti ed anche questo va classificato come la violazione di un obbligo solidaristico. </w:t>
      </w:r>
      <w:r w:rsidR="00043CC8">
        <w:rPr>
          <w:rFonts w:ascii="Bookman Old Style" w:eastAsia="Bookman Old Style" w:hAnsi="Bookman Old Style"/>
          <w:color w:val="000000"/>
          <w:sz w:val="24"/>
          <w:lang w:val="it-IT"/>
        </w:rPr>
        <w:t>Tuttavia,</w:t>
      </w:r>
      <w:r>
        <w:rPr>
          <w:rFonts w:ascii="Bookman Old Style" w:eastAsia="Bookman Old Style" w:hAnsi="Bookman Old Style"/>
          <w:color w:val="000000"/>
          <w:sz w:val="24"/>
          <w:lang w:val="it-IT"/>
        </w:rPr>
        <w:t xml:space="preserve"> questo assunto finisce con il minare una discrezionalità politica di indirizzo di cui il legislatore regionale dovrebbe continuare a disporre, visto che le risorse aggiunte rimangono nella disponibilità della medesima regione che aveva deciso di destinarle in quel modo.</w:t>
      </w:r>
    </w:p>
    <w:p w14:paraId="34BB24D4" w14:textId="77777777" w:rsidR="009556D3" w:rsidRDefault="00C22675">
      <w:pPr>
        <w:spacing w:before="161"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Abbiamo comunque constatato che la giurisprudenza costituzionale prevalente è orientata in altra direzione, seppur non contrapposta alla precedente: e, in questo, è confortata da quella impalcatura costituzionale che assegna allo stato un ruolo di garante della effettiva attuazione dei LEPS. Infatti, prima con l’art. 119, commi 3 e 5; poi con l’art. 120, comma 2, lo Stato diventa protagonista di tre funzioni:</w:t>
      </w:r>
    </w:p>
    <w:p w14:paraId="0A809603" w14:textId="77777777" w:rsidR="009556D3" w:rsidRDefault="00C22675">
      <w:pPr>
        <w:numPr>
          <w:ilvl w:val="0"/>
          <w:numId w:val="3"/>
        </w:numPr>
        <w:tabs>
          <w:tab w:val="clear" w:pos="360"/>
          <w:tab w:val="left" w:pos="1080"/>
        </w:tabs>
        <w:spacing w:before="168" w:line="422" w:lineRule="exact"/>
        <w:ind w:left="1080" w:hanging="360"/>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Una funzione perequativa, per cui viene prevista l’istituzione con legge dello stato di un fondo perequativo di intervento per i territori con minore capacità fiscale: si tratta di una norma virtuosissima perché va a sostenere proprio quelle parti di territorio dove essendoci maggiore povertà ci sono minori entrate fiscali e minori possibilità di finanziare i servizi pubblici essenziali (art. 119, c. 3);</w:t>
      </w:r>
      <w:r>
        <w:rPr>
          <w:rFonts w:ascii="Bookman Old Style" w:eastAsia="Bookman Old Style" w:hAnsi="Bookman Old Style"/>
          <w:color w:val="000000"/>
          <w:sz w:val="24"/>
          <w:vertAlign w:val="superscript"/>
          <w:lang w:val="it-IT"/>
        </w:rPr>
        <w:t>6</w:t>
      </w:r>
      <w:r>
        <w:rPr>
          <w:rFonts w:ascii="Bookman Old Style" w:eastAsia="Bookman Old Style" w:hAnsi="Bookman Old Style"/>
          <w:color w:val="000000"/>
          <w:sz w:val="18"/>
          <w:lang w:val="it-IT"/>
        </w:rPr>
        <w:t xml:space="preserve"> </w:t>
      </w:r>
    </w:p>
    <w:p w14:paraId="02079F06" w14:textId="77777777" w:rsidR="009556D3" w:rsidRDefault="00C22675">
      <w:pPr>
        <w:numPr>
          <w:ilvl w:val="0"/>
          <w:numId w:val="3"/>
        </w:numPr>
        <w:tabs>
          <w:tab w:val="clear" w:pos="360"/>
          <w:tab w:val="left" w:pos="1080"/>
        </w:tabs>
        <w:spacing w:before="3" w:line="422" w:lineRule="exact"/>
        <w:ind w:left="1080" w:hanging="360"/>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Una funzione suppletiva, per cui, al fine di favorire l’effettivo esercizio delle funzioni, lo Stato destina risorse aggiuntive e speciali in favore di determinate zone del Paese: è una norma che permette interventi peculiari dove emergono bisogni particolari e specifici (art. 119, c. 5);</w:t>
      </w:r>
      <w:r>
        <w:rPr>
          <w:rFonts w:ascii="Bookman Old Style" w:eastAsia="Bookman Old Style" w:hAnsi="Bookman Old Style"/>
          <w:color w:val="000000"/>
          <w:sz w:val="24"/>
          <w:vertAlign w:val="superscript"/>
          <w:lang w:val="it-IT"/>
        </w:rPr>
        <w:t>7</w:t>
      </w:r>
      <w:r>
        <w:rPr>
          <w:rFonts w:ascii="Bookman Old Style" w:eastAsia="Bookman Old Style" w:hAnsi="Bookman Old Style"/>
          <w:color w:val="000000"/>
          <w:sz w:val="18"/>
          <w:lang w:val="it-IT"/>
        </w:rPr>
        <w:t xml:space="preserve"> </w:t>
      </w:r>
    </w:p>
    <w:p w14:paraId="796C69EA" w14:textId="77777777" w:rsidR="009556D3" w:rsidRDefault="00C22675">
      <w:pPr>
        <w:numPr>
          <w:ilvl w:val="0"/>
          <w:numId w:val="3"/>
        </w:numPr>
        <w:tabs>
          <w:tab w:val="clear" w:pos="360"/>
          <w:tab w:val="left" w:pos="1080"/>
        </w:tabs>
        <w:spacing w:before="2" w:after="1160" w:line="422" w:lineRule="exact"/>
        <w:ind w:left="1080" w:hanging="360"/>
        <w:jc w:val="both"/>
        <w:textAlignment w:val="baseline"/>
        <w:rPr>
          <w:rFonts w:ascii="Bookman Old Style" w:eastAsia="Bookman Old Style" w:hAnsi="Bookman Old Style"/>
          <w:color w:val="000000"/>
          <w:spacing w:val="-1"/>
          <w:sz w:val="24"/>
          <w:lang w:val="it-IT"/>
        </w:rPr>
      </w:pPr>
      <w:r>
        <w:rPr>
          <w:rFonts w:ascii="Bookman Old Style" w:eastAsia="Bookman Old Style" w:hAnsi="Bookman Old Style"/>
          <w:color w:val="000000"/>
          <w:spacing w:val="-1"/>
          <w:sz w:val="24"/>
          <w:lang w:val="it-IT"/>
        </w:rPr>
        <w:t>Una funzione sostitutiva, per cui è previsto che il Governo possa sostituirsi alle Regioni quando questo sia reso necessario dalla opportunità di tutelare i livelli essenziali delle prestazioni concernenti i</w:t>
      </w:r>
    </w:p>
    <w:p w14:paraId="4F2833D0" w14:textId="77777777" w:rsidR="009556D3" w:rsidRPr="00043CC8" w:rsidRDefault="00162321">
      <w:pPr>
        <w:spacing w:before="104" w:line="244" w:lineRule="exact"/>
        <w:jc w:val="both"/>
        <w:textAlignment w:val="baseline"/>
        <w:rPr>
          <w:rFonts w:ascii="Arial" w:eastAsia="Arial" w:hAnsi="Arial"/>
          <w:bCs/>
          <w:color w:val="000000"/>
          <w:sz w:val="12"/>
          <w:vertAlign w:val="superscript"/>
          <w:lang w:val="it-IT"/>
        </w:rPr>
      </w:pPr>
      <w:r>
        <w:rPr>
          <w:bCs/>
        </w:rPr>
        <w:pict w14:anchorId="7893F9C1">
          <v:line id="_x0000_s1033" style="position:absolute;left:0;text-align:left;z-index:251656704;mso-position-horizontal-relative:page;mso-position-vertical-relative:page" from="98.15pt,688.55pt" to="243.4pt,688.55pt" strokeweight=".7pt">
            <w10:wrap anchorx="page" anchory="page"/>
          </v:line>
        </w:pict>
      </w:r>
      <w:r w:rsidR="00C22675" w:rsidRPr="00043CC8">
        <w:rPr>
          <w:rFonts w:ascii="Arial" w:eastAsia="Arial" w:hAnsi="Arial"/>
          <w:bCs/>
          <w:color w:val="000000"/>
          <w:sz w:val="12"/>
          <w:vertAlign w:val="superscript"/>
          <w:lang w:val="it-IT"/>
        </w:rPr>
        <w:t>6</w:t>
      </w:r>
      <w:r w:rsidR="00C22675" w:rsidRPr="00043CC8">
        <w:rPr>
          <w:rFonts w:ascii="Arial" w:eastAsia="Arial" w:hAnsi="Arial"/>
          <w:bCs/>
          <w:color w:val="000000"/>
          <w:sz w:val="18"/>
          <w:lang w:val="it-IT"/>
        </w:rPr>
        <w:t xml:space="preserve"> Art. 119, c. 3: La legge dello Stato istituisce un fondo perequativo, senza vincoli di destinazione, per i territori con minore capacità fiscale per abitante.</w:t>
      </w:r>
    </w:p>
    <w:p w14:paraId="5458A26E" w14:textId="77777777" w:rsidR="009556D3" w:rsidRPr="00043CC8" w:rsidRDefault="00C22675">
      <w:pPr>
        <w:spacing w:before="3" w:line="244" w:lineRule="exact"/>
        <w:jc w:val="both"/>
        <w:textAlignment w:val="baseline"/>
        <w:rPr>
          <w:rFonts w:ascii="Arial" w:eastAsia="Arial" w:hAnsi="Arial"/>
          <w:bCs/>
          <w:color w:val="000000"/>
          <w:spacing w:val="-4"/>
          <w:sz w:val="12"/>
          <w:vertAlign w:val="superscript"/>
          <w:lang w:val="it-IT"/>
        </w:rPr>
      </w:pPr>
      <w:r w:rsidRPr="00043CC8">
        <w:rPr>
          <w:rFonts w:ascii="Arial" w:eastAsia="Arial" w:hAnsi="Arial"/>
          <w:bCs/>
          <w:color w:val="000000"/>
          <w:spacing w:val="-4"/>
          <w:sz w:val="12"/>
          <w:vertAlign w:val="superscript"/>
          <w:lang w:val="it-IT"/>
        </w:rPr>
        <w:t>7</w:t>
      </w:r>
      <w:r w:rsidRPr="00043CC8">
        <w:rPr>
          <w:rFonts w:ascii="Arial" w:eastAsia="Arial" w:hAnsi="Arial"/>
          <w:bCs/>
          <w:color w:val="000000"/>
          <w:spacing w:val="-4"/>
          <w:sz w:val="18"/>
          <w:lang w:val="it-IT"/>
        </w:rPr>
        <w:t xml:space="preserve"> Art. 119, c. 5: Per promuovere lo sviluppo economico, la coesione e la solidarietà sociale, per rimuovere gli squilibri economici e sociali, per favorire l'effettivo esercizio dei diritti della persona, o per provvedere a scopi diversi dal normale esercizio delle loro funzioni, lo Stato destina risorse aggiuntive ed effettua interventi speciali in favore di determinati Comuni, Province, Città metropolitane e Regioni.</w:t>
      </w:r>
    </w:p>
    <w:p w14:paraId="675C3711" w14:textId="77777777" w:rsidR="009556D3" w:rsidRPr="00043CC8" w:rsidRDefault="00C22675" w:rsidP="00043CC8">
      <w:pPr>
        <w:spacing w:line="251" w:lineRule="exact"/>
        <w:jc w:val="center"/>
        <w:textAlignment w:val="baseline"/>
        <w:rPr>
          <w:rFonts w:ascii="Symbol" w:eastAsia="Symbol" w:hAnsi="Symbol"/>
          <w:color w:val="000000"/>
          <w:sz w:val="21"/>
          <w:lang w:val="it-IT"/>
        </w:rPr>
      </w:pPr>
      <w:r w:rsidRPr="00043CC8">
        <w:rPr>
          <w:rFonts w:ascii="Symbol" w:eastAsia="Symbol" w:hAnsi="Symbol"/>
          <w:color w:val="000000"/>
          <w:sz w:val="21"/>
          <w:lang w:val="it-IT"/>
        </w:rPr>
        <w:t>10</w:t>
      </w:r>
    </w:p>
    <w:p w14:paraId="57B97099" w14:textId="77777777" w:rsidR="009556D3" w:rsidRPr="00043CC8" w:rsidRDefault="009556D3">
      <w:pPr>
        <w:rPr>
          <w:lang w:val="it-IT"/>
        </w:rPr>
        <w:sectPr w:rsidR="009556D3" w:rsidRPr="00043CC8">
          <w:pgSz w:w="11909" w:h="16838"/>
          <w:pgMar w:top="1280" w:right="538" w:bottom="582" w:left="1963" w:header="720" w:footer="720" w:gutter="0"/>
          <w:cols w:space="720"/>
        </w:sectPr>
      </w:pPr>
    </w:p>
    <w:p w14:paraId="00218D3B" w14:textId="77777777" w:rsidR="009556D3" w:rsidRDefault="00C22675">
      <w:pPr>
        <w:spacing w:before="155" w:line="271" w:lineRule="exact"/>
        <w:ind w:left="1080"/>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lastRenderedPageBreak/>
        <w:t>diritti civili e sociali delle persone, nonché di tutelare l’unità giuridica</w:t>
      </w:r>
    </w:p>
    <w:p w14:paraId="2233B646" w14:textId="77777777" w:rsidR="009556D3" w:rsidRDefault="00C22675">
      <w:pPr>
        <w:spacing w:before="149" w:line="271" w:lineRule="exact"/>
        <w:ind w:left="1080"/>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ed economica dello Stato, in altre parole la coesione sociale.</w:t>
      </w:r>
      <w:r>
        <w:rPr>
          <w:rFonts w:ascii="Bookman Old Style" w:eastAsia="Bookman Old Style" w:hAnsi="Bookman Old Style"/>
          <w:color w:val="000000"/>
          <w:sz w:val="24"/>
          <w:vertAlign w:val="superscript"/>
          <w:lang w:val="it-IT"/>
        </w:rPr>
        <w:t>8</w:t>
      </w:r>
      <w:r>
        <w:rPr>
          <w:rFonts w:ascii="Bookman Old Style" w:eastAsia="Bookman Old Style" w:hAnsi="Bookman Old Style"/>
          <w:color w:val="000000"/>
          <w:sz w:val="19"/>
          <w:lang w:val="it-IT"/>
        </w:rPr>
        <w:t xml:space="preserve"> </w:t>
      </w:r>
    </w:p>
    <w:p w14:paraId="34E46ADB" w14:textId="77777777" w:rsidR="009556D3" w:rsidRDefault="00C22675">
      <w:pPr>
        <w:spacing w:before="312" w:line="271" w:lineRule="exact"/>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Cui se ne aggiunge una quarta che è più una competenza che una funzione:</w:t>
      </w:r>
    </w:p>
    <w:p w14:paraId="39E42A1A" w14:textId="6A159B40" w:rsidR="009556D3" w:rsidRDefault="00C22675">
      <w:pPr>
        <w:spacing w:before="169" w:line="422" w:lineRule="exact"/>
        <w:ind w:left="1080" w:hanging="360"/>
        <w:jc w:val="both"/>
        <w:textAlignment w:val="baseline"/>
        <w:rPr>
          <w:rFonts w:ascii="Bookman Old Style" w:eastAsia="Bookman Old Style" w:hAnsi="Bookman Old Style"/>
          <w:color w:val="000000"/>
          <w:spacing w:val="-1"/>
          <w:sz w:val="24"/>
          <w:lang w:val="it-IT"/>
        </w:rPr>
      </w:pPr>
      <w:r>
        <w:rPr>
          <w:rFonts w:ascii="Bookman Old Style" w:eastAsia="Bookman Old Style" w:hAnsi="Bookman Old Style"/>
          <w:color w:val="000000"/>
          <w:spacing w:val="-1"/>
          <w:sz w:val="24"/>
          <w:lang w:val="it-IT"/>
        </w:rPr>
        <w:t xml:space="preserve">d) Già la </w:t>
      </w:r>
      <w:proofErr w:type="spellStart"/>
      <w:r>
        <w:rPr>
          <w:rFonts w:ascii="Bookman Old Style" w:eastAsia="Bookman Old Style" w:hAnsi="Bookman Old Style"/>
          <w:color w:val="000000"/>
          <w:spacing w:val="-1"/>
          <w:sz w:val="24"/>
          <w:lang w:val="it-IT"/>
        </w:rPr>
        <w:t>sent</w:t>
      </w:r>
      <w:proofErr w:type="spellEnd"/>
      <w:r>
        <w:rPr>
          <w:rFonts w:ascii="Bookman Old Style" w:eastAsia="Bookman Old Style" w:hAnsi="Bookman Old Style"/>
          <w:color w:val="000000"/>
          <w:spacing w:val="-1"/>
          <w:sz w:val="24"/>
          <w:lang w:val="it-IT"/>
        </w:rPr>
        <w:t xml:space="preserve">. n. 282/2002 aveva precisato che in tema di LEP lo Stato aveva una competenza </w:t>
      </w:r>
      <w:r>
        <w:rPr>
          <w:rFonts w:ascii="Bookman Old Style" w:eastAsia="Bookman Old Style" w:hAnsi="Bookman Old Style"/>
          <w:i/>
          <w:color w:val="000000"/>
          <w:spacing w:val="-1"/>
          <w:sz w:val="24"/>
          <w:lang w:val="it-IT"/>
        </w:rPr>
        <w:t>trasversale</w:t>
      </w:r>
      <w:r>
        <w:rPr>
          <w:rFonts w:ascii="Bookman Old Style" w:eastAsia="Bookman Old Style" w:hAnsi="Bookman Old Style"/>
          <w:color w:val="000000"/>
          <w:spacing w:val="-1"/>
          <w:sz w:val="24"/>
          <w:lang w:val="it-IT"/>
        </w:rPr>
        <w:t xml:space="preserve">: lo </w:t>
      </w:r>
      <w:r w:rsidR="00043CC8">
        <w:rPr>
          <w:rFonts w:ascii="Bookman Old Style" w:eastAsia="Bookman Old Style" w:hAnsi="Bookman Old Style"/>
          <w:color w:val="000000"/>
          <w:spacing w:val="-1"/>
          <w:sz w:val="24"/>
          <w:lang w:val="it-IT"/>
        </w:rPr>
        <w:t>stato, cioè,</w:t>
      </w:r>
      <w:r>
        <w:rPr>
          <w:rFonts w:ascii="Bookman Old Style" w:eastAsia="Bookman Old Style" w:hAnsi="Bookman Old Style"/>
          <w:color w:val="000000"/>
          <w:spacing w:val="-1"/>
          <w:sz w:val="24"/>
          <w:lang w:val="it-IT"/>
        </w:rPr>
        <w:t xml:space="preserve"> interviene in tutte le materie, a prescindere dal fatto che esse rientrino nella competenza esclusiva, concorrente o residuale delle regioni, al fine di assicurare a tutti il godimento di prestazioni garantite sull’intero territorio nazionale. Così, con </w:t>
      </w:r>
      <w:proofErr w:type="spellStart"/>
      <w:r>
        <w:rPr>
          <w:rFonts w:ascii="Bookman Old Style" w:eastAsia="Bookman Old Style" w:hAnsi="Bookman Old Style"/>
          <w:color w:val="000000"/>
          <w:spacing w:val="-1"/>
          <w:sz w:val="24"/>
          <w:lang w:val="it-IT"/>
        </w:rPr>
        <w:t>sent</w:t>
      </w:r>
      <w:proofErr w:type="spellEnd"/>
      <w:r>
        <w:rPr>
          <w:rFonts w:ascii="Bookman Old Style" w:eastAsia="Bookman Old Style" w:hAnsi="Bookman Old Style"/>
          <w:color w:val="000000"/>
          <w:spacing w:val="-1"/>
          <w:sz w:val="24"/>
          <w:lang w:val="it-IT"/>
        </w:rPr>
        <w:t>. n. 10/2010</w:t>
      </w:r>
      <w:r>
        <w:rPr>
          <w:rFonts w:ascii="Bookman Old Style" w:eastAsia="Bookman Old Style" w:hAnsi="Bookman Old Style"/>
          <w:color w:val="000000"/>
          <w:spacing w:val="-1"/>
          <w:sz w:val="24"/>
          <w:vertAlign w:val="superscript"/>
          <w:lang w:val="it-IT"/>
        </w:rPr>
        <w:t>9</w:t>
      </w:r>
      <w:r>
        <w:rPr>
          <w:rFonts w:ascii="Bookman Old Style" w:eastAsia="Bookman Old Style" w:hAnsi="Bookman Old Style"/>
          <w:color w:val="000000"/>
          <w:spacing w:val="-1"/>
          <w:sz w:val="24"/>
          <w:lang w:val="it-IT"/>
        </w:rPr>
        <w:t>, il giudice costituzionale rigetta il ricorso di alcune regioni sulla disciplina statale della social card trattandosi di una normativa posta a salvaguardia degli stati più indigenti della popolazione, benché specificamente la materia incidesse sui servizi sociali e di assistenza di competenza residuale regionale. Si nota dunque una trasversalità in quanto affermare questo significa radicare un LEP e riconoscere allo stato la possibilità di legiferare quando ciò sia ritenuto necessario per il rispetto e la piena attuazione degli artt. 2, 3 e 38 della Costituzione. La situazione concreta oggetto di intervento con l’istituzione della social card era, in effetti, quella di alleviare situazioni di estremo bisogno, in particolare alimentari.</w:t>
      </w:r>
    </w:p>
    <w:p w14:paraId="012FF96C" w14:textId="77777777" w:rsidR="009556D3" w:rsidRDefault="00C22675">
      <w:pPr>
        <w:spacing w:before="164" w:after="435"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Torniamo quindi alla vicenda del rapporto intercorrente tra l’esigenza di promuovere e attuare il LEP e quella di rispettare l’equilibrio di bilancio, profilo</w:t>
      </w:r>
    </w:p>
    <w:p w14:paraId="28804CC6" w14:textId="77777777" w:rsidR="009556D3" w:rsidRDefault="00162321">
      <w:pPr>
        <w:spacing w:before="96" w:line="245" w:lineRule="exact"/>
        <w:jc w:val="both"/>
        <w:textAlignment w:val="baseline"/>
        <w:rPr>
          <w:rFonts w:ascii="Verdana" w:eastAsia="Verdana" w:hAnsi="Verdana"/>
          <w:color w:val="000000"/>
          <w:spacing w:val="-4"/>
          <w:sz w:val="11"/>
          <w:vertAlign w:val="superscript"/>
          <w:lang w:val="it-IT"/>
        </w:rPr>
      </w:pPr>
      <w:r>
        <w:pict w14:anchorId="5FE15D92">
          <v:line id="_x0000_s1032" style="position:absolute;left:0;text-align:left;z-index:251657728;mso-position-horizontal-relative:page;mso-position-vertical-relative:page" from="98.15pt,554.4pt" to="243.4pt,554.4pt" strokeweight=".95pt">
            <w10:wrap anchorx="page" anchory="page"/>
          </v:line>
        </w:pict>
      </w:r>
      <w:r w:rsidR="00C22675">
        <w:rPr>
          <w:rFonts w:ascii="Verdana" w:eastAsia="Verdana" w:hAnsi="Verdana"/>
          <w:color w:val="000000"/>
          <w:spacing w:val="-4"/>
          <w:sz w:val="11"/>
          <w:vertAlign w:val="superscript"/>
          <w:lang w:val="it-IT"/>
        </w:rPr>
        <w:t>8</w:t>
      </w:r>
      <w:r w:rsidR="00C22675">
        <w:rPr>
          <w:rFonts w:ascii="Verdana" w:eastAsia="Verdana" w:hAnsi="Verdana"/>
          <w:color w:val="000000"/>
          <w:spacing w:val="-4"/>
          <w:sz w:val="17"/>
          <w:lang w:val="it-IT"/>
        </w:rPr>
        <w:t xml:space="preserve"> Art. 120, c. 2: Il Governo può sostituirsi a organi delle Regioni, delle Città metropolitane, delle Province e dei Comuni nel caso di mancato rispetto di norme e trattati internazionali o della normativa comunitaria oppure di pericolo grave per l'incolumità e la sicurezza pubblica, ovvero quando lo richiedono la tutela dell'unità giuridica o dell'unità economica e in particolare la tutela dei livelli essenziali delle prestazioni concernenti i diritti civili e sociali, prescindendo dai confini territoriali dei governi locali. La legge definisce le procedure atte a garantire che i poteri sostitutivi siano esercitati nel rispetto del principio di sussidiarietà e del principio di leale collaborazione.</w:t>
      </w:r>
    </w:p>
    <w:p w14:paraId="5D0E05AC" w14:textId="77777777" w:rsidR="009556D3" w:rsidRDefault="00C22675">
      <w:pPr>
        <w:spacing w:before="4" w:line="244" w:lineRule="exact"/>
        <w:jc w:val="both"/>
        <w:textAlignment w:val="baseline"/>
        <w:rPr>
          <w:rFonts w:ascii="Verdana" w:eastAsia="Verdana" w:hAnsi="Verdana"/>
          <w:color w:val="000000"/>
          <w:spacing w:val="-6"/>
          <w:sz w:val="11"/>
          <w:vertAlign w:val="superscript"/>
          <w:lang w:val="it-IT"/>
        </w:rPr>
      </w:pPr>
      <w:r>
        <w:rPr>
          <w:rFonts w:ascii="Verdana" w:eastAsia="Verdana" w:hAnsi="Verdana"/>
          <w:color w:val="000000"/>
          <w:spacing w:val="-6"/>
          <w:sz w:val="11"/>
          <w:vertAlign w:val="superscript"/>
          <w:lang w:val="it-IT"/>
        </w:rPr>
        <w:t>9</w:t>
      </w:r>
      <w:r>
        <w:rPr>
          <w:rFonts w:ascii="Verdana" w:eastAsia="Verdana" w:hAnsi="Verdana"/>
          <w:color w:val="000000"/>
          <w:spacing w:val="-6"/>
          <w:sz w:val="17"/>
          <w:lang w:val="it-IT"/>
        </w:rPr>
        <w:t xml:space="preserve"> Stabilisce la Corte che </w:t>
      </w:r>
      <w:r>
        <w:rPr>
          <w:rFonts w:ascii="Verdana" w:eastAsia="Verdana" w:hAnsi="Verdana"/>
          <w:i/>
          <w:color w:val="000000"/>
          <w:spacing w:val="-6"/>
          <w:sz w:val="17"/>
          <w:lang w:val="it-IT"/>
        </w:rPr>
        <w:t>in applicazione di tali principi, va osservato che una normativa posta a protezione delle situazioni di estrema debolezza della persona umana, qual è quella oggetto delle disposizioni impugnate, benché incida sulla materia dei servizi sociali e di assistenza di competenza residuale regionale, deve essere ricostruita anche alla luce dei principi fondamentali degli artt. 2 e 3, secondo comma, Cost., dell’art. 38 Cost. e dell’art. 117, secondo comma, lettera m), Cost</w:t>
      </w:r>
      <w:r>
        <w:rPr>
          <w:rFonts w:ascii="Verdana" w:eastAsia="Verdana" w:hAnsi="Verdana"/>
          <w:color w:val="000000"/>
          <w:spacing w:val="-6"/>
          <w:sz w:val="17"/>
          <w:lang w:val="it-IT"/>
        </w:rPr>
        <w:t>. (il nocciolo duro dello Stato sociale, come poc’anzi definito).</w:t>
      </w:r>
    </w:p>
    <w:p w14:paraId="7DFC703C" w14:textId="77777777" w:rsidR="009556D3" w:rsidRDefault="00C22675">
      <w:pPr>
        <w:spacing w:before="1" w:line="244" w:lineRule="exact"/>
        <w:jc w:val="both"/>
        <w:textAlignment w:val="baseline"/>
        <w:rPr>
          <w:rFonts w:ascii="Verdana" w:eastAsia="Verdana" w:hAnsi="Verdana"/>
          <w:i/>
          <w:color w:val="000000"/>
          <w:spacing w:val="-5"/>
          <w:sz w:val="17"/>
          <w:lang w:val="it-IT"/>
        </w:rPr>
      </w:pPr>
      <w:r>
        <w:rPr>
          <w:rFonts w:ascii="Verdana" w:eastAsia="Verdana" w:hAnsi="Verdana"/>
          <w:i/>
          <w:color w:val="000000"/>
          <w:spacing w:val="-5"/>
          <w:sz w:val="17"/>
          <w:lang w:val="it-IT"/>
        </w:rPr>
        <w:t>Il complesso di queste norme costituzionali permette, anzitutto, di ricondurre tra i «diritti sociali» di cui deve farsi carico il legislatore nazionale il diritto a conseguire le prestazioni imprescindibili per alleviare situazioni di estremo bisogno – in particolare, alimentare – e di affermare il dovere dello Stato di stabilirne le caratteristiche qualitative e quantitative, nel caso in cui la mancanza di una tale previsione possa pregiudicarlo. Inoltre, consente di ritenere che la finalità di garantire il nucleo irriducibile di questo diritto fondamentale legittima un intervento dello Stato che comprende anche la previsione della appropriata e pronta erogazione di una determinata provvidenza in favore dei singoli.</w:t>
      </w:r>
    </w:p>
    <w:p w14:paraId="586AA0BC" w14:textId="77777777" w:rsidR="009556D3" w:rsidRDefault="00C22675">
      <w:pPr>
        <w:spacing w:before="33" w:line="230" w:lineRule="exact"/>
        <w:jc w:val="center"/>
        <w:textAlignment w:val="baseline"/>
        <w:rPr>
          <w:rFonts w:ascii="Verdana" w:eastAsia="Verdana" w:hAnsi="Verdana"/>
          <w:color w:val="000000"/>
          <w:sz w:val="20"/>
          <w:lang w:val="it-IT"/>
        </w:rPr>
      </w:pPr>
      <w:r>
        <w:rPr>
          <w:rFonts w:ascii="Verdana" w:eastAsia="Verdana" w:hAnsi="Verdana"/>
          <w:color w:val="000000"/>
          <w:sz w:val="20"/>
          <w:lang w:val="it-IT"/>
        </w:rPr>
        <w:t>11</w:t>
      </w:r>
    </w:p>
    <w:p w14:paraId="0DA53EB7" w14:textId="77777777" w:rsidR="009556D3" w:rsidRPr="00043CC8" w:rsidRDefault="009556D3">
      <w:pPr>
        <w:rPr>
          <w:lang w:val="it-IT"/>
        </w:rPr>
        <w:sectPr w:rsidR="009556D3" w:rsidRPr="00043CC8">
          <w:pgSz w:w="11909" w:h="16838"/>
          <w:pgMar w:top="1280" w:right="538" w:bottom="602" w:left="1963" w:header="720" w:footer="720" w:gutter="0"/>
          <w:cols w:space="720"/>
        </w:sectPr>
      </w:pPr>
    </w:p>
    <w:p w14:paraId="1763B3F8" w14:textId="77777777" w:rsidR="009556D3" w:rsidRDefault="00C22675">
      <w:pPr>
        <w:spacing w:before="17" w:line="422" w:lineRule="exact"/>
        <w:jc w:val="both"/>
        <w:textAlignment w:val="baseline"/>
        <w:rPr>
          <w:rFonts w:ascii="Bookman Old Style" w:eastAsia="Bookman Old Style" w:hAnsi="Bookman Old Style"/>
          <w:color w:val="000000"/>
          <w:spacing w:val="-1"/>
          <w:sz w:val="24"/>
          <w:lang w:val="it-IT"/>
        </w:rPr>
      </w:pPr>
      <w:r>
        <w:rPr>
          <w:rFonts w:ascii="Bookman Old Style" w:eastAsia="Bookman Old Style" w:hAnsi="Bookman Old Style"/>
          <w:color w:val="000000"/>
          <w:spacing w:val="-1"/>
          <w:sz w:val="24"/>
          <w:lang w:val="it-IT"/>
        </w:rPr>
        <w:lastRenderedPageBreak/>
        <w:t>che diventa estremamente delicato in seguito alla crisi economica del 2008 e alla introduzione in Costituzione del principio di pareggio del bilancio di cui al nuovo art. 81 della Costituzione.</w:t>
      </w:r>
      <w:r>
        <w:rPr>
          <w:rFonts w:ascii="Bookman Old Style" w:eastAsia="Bookman Old Style" w:hAnsi="Bookman Old Style"/>
          <w:color w:val="000000"/>
          <w:spacing w:val="-1"/>
          <w:sz w:val="24"/>
          <w:vertAlign w:val="superscript"/>
          <w:lang w:val="it-IT"/>
        </w:rPr>
        <w:t>10</w:t>
      </w:r>
      <w:r>
        <w:rPr>
          <w:rFonts w:ascii="Bookman Old Style" w:eastAsia="Bookman Old Style" w:hAnsi="Bookman Old Style"/>
          <w:color w:val="000000"/>
          <w:spacing w:val="-1"/>
          <w:sz w:val="24"/>
          <w:lang w:val="it-IT"/>
        </w:rPr>
        <w:t xml:space="preserve"> La dottrina prevalente e la giurisprudenza consolidata della Consulta – perché anche le pronunce del 2013 colpiscono la parte di servizio superiore allo standard finanziato dalle regioni in una fase di crisi – sono concordi nell’affermare che l’aver sancito nella Carta Costituzionale l’obbligo di assicurare i LEP abbia affrancato la loro concreta realizzazione dall’obbligo del pareggio di bilancio, sganciando la tutela della quota che costituisce il cd. nocciolo duro o nucleo essenziale di diritti civili e sociali dal condizionamento della disponibilità di risorse finanziarie. In questo senso si muove la </w:t>
      </w:r>
      <w:proofErr w:type="spellStart"/>
      <w:r>
        <w:rPr>
          <w:rFonts w:ascii="Bookman Old Style" w:eastAsia="Bookman Old Style" w:hAnsi="Bookman Old Style"/>
          <w:color w:val="000000"/>
          <w:spacing w:val="-1"/>
          <w:sz w:val="24"/>
          <w:lang w:val="it-IT"/>
        </w:rPr>
        <w:t>sent</w:t>
      </w:r>
      <w:proofErr w:type="spellEnd"/>
      <w:r>
        <w:rPr>
          <w:rFonts w:ascii="Bookman Old Style" w:eastAsia="Bookman Old Style" w:hAnsi="Bookman Old Style"/>
          <w:color w:val="000000"/>
          <w:spacing w:val="-1"/>
          <w:sz w:val="24"/>
          <w:lang w:val="it-IT"/>
        </w:rPr>
        <w:t xml:space="preserve">. 248/2011 che pur riconoscendo la natura </w:t>
      </w:r>
      <w:r>
        <w:rPr>
          <w:rFonts w:ascii="Bookman Old Style" w:eastAsia="Bookman Old Style" w:hAnsi="Bookman Old Style"/>
          <w:i/>
          <w:color w:val="000000"/>
          <w:spacing w:val="-1"/>
          <w:sz w:val="24"/>
          <w:lang w:val="it-IT"/>
        </w:rPr>
        <w:t xml:space="preserve">finanziariamente condizionata </w:t>
      </w:r>
      <w:r>
        <w:rPr>
          <w:rFonts w:ascii="Bookman Old Style" w:eastAsia="Bookman Old Style" w:hAnsi="Bookman Old Style"/>
          <w:color w:val="000000"/>
          <w:spacing w:val="-1"/>
          <w:sz w:val="24"/>
          <w:lang w:val="it-IT"/>
        </w:rPr>
        <w:t>dei diritti sociali, ha espressamente escluso che tale elemento possa inficiare il contenuto minimo degli stessi: quindi alla esigenza di bilanciare la distribuzione delle risorse per salvaguardare la sostenibilità del sistema di welfare in modo omogeneo nel Paese si contrappone e deve essere considerata prevalente l’esigenza di garantire comunque il contenuto minimo delle pretese di tutela sociale in cui si sostanzia l’obbligo dello Stato di garantire la dignità umana: in una parola, il LEP. E così la sentenza 248, che costituisce una pietra miliare sul tema, ha sancito l’irragionevolezza di scelte legislative (e di indirizzi politici) che, orientate al risparmio, andassero a incidere su istituti e prestazioni essenziali a definire la protezione basica di un diritto sociale.</w:t>
      </w:r>
    </w:p>
    <w:p w14:paraId="66FC017D" w14:textId="77777777" w:rsidR="009556D3" w:rsidRDefault="00C22675">
      <w:pPr>
        <w:spacing w:before="160"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 xml:space="preserve">La 248 si pone in continuità con pronunce come la 80/2010 e in anticipo a </w:t>
      </w:r>
      <w:proofErr w:type="spellStart"/>
      <w:r>
        <w:rPr>
          <w:rFonts w:ascii="Bookman Old Style" w:eastAsia="Bookman Old Style" w:hAnsi="Bookman Old Style"/>
          <w:color w:val="000000"/>
          <w:sz w:val="24"/>
          <w:lang w:val="it-IT"/>
        </w:rPr>
        <w:t>sent</w:t>
      </w:r>
      <w:proofErr w:type="spellEnd"/>
      <w:r>
        <w:rPr>
          <w:rFonts w:ascii="Bookman Old Style" w:eastAsia="Bookman Old Style" w:hAnsi="Bookman Old Style"/>
          <w:color w:val="000000"/>
          <w:sz w:val="24"/>
          <w:lang w:val="it-IT"/>
        </w:rPr>
        <w:t xml:space="preserve">. come la 275/2016 che fissavano limiti massimi alla assunzione a </w:t>
      </w:r>
      <w:proofErr w:type="spellStart"/>
      <w:r>
        <w:rPr>
          <w:rFonts w:ascii="Bookman Old Style" w:eastAsia="Bookman Old Style" w:hAnsi="Bookman Old Style"/>
          <w:color w:val="000000"/>
          <w:sz w:val="24"/>
          <w:lang w:val="it-IT"/>
        </w:rPr>
        <w:t>t.d</w:t>
      </w:r>
      <w:proofErr w:type="spellEnd"/>
      <w:r>
        <w:rPr>
          <w:rFonts w:ascii="Bookman Old Style" w:eastAsia="Bookman Old Style" w:hAnsi="Bookman Old Style"/>
          <w:color w:val="000000"/>
          <w:sz w:val="24"/>
          <w:lang w:val="it-IT"/>
        </w:rPr>
        <w:t>. di insegnanti di sostegno a supporto dei bambini disabili.</w:t>
      </w:r>
    </w:p>
    <w:p w14:paraId="6CD214CA" w14:textId="77777777" w:rsidR="009556D3" w:rsidRDefault="00C22675">
      <w:pPr>
        <w:spacing w:before="166" w:after="693"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 xml:space="preserve">Possiamo dunque concludere affermando che la struttura e il meccanismo dei LEP che si ricavano dall’impianto costituzionale sono congegnati proprio al fine di disancorare da qualsiasi fattore di condizionamento, sia esso anche di carattere economico e determinato da momenti critici delle contingenze del paese, quei presupposti concreti di uniformità della tutela della persona che consentono di mantenere lo stato sociale italiano ancorato alle sue </w:t>
      </w:r>
      <w:proofErr w:type="spellStart"/>
      <w:r>
        <w:rPr>
          <w:rFonts w:ascii="Bookman Old Style" w:eastAsia="Bookman Old Style" w:hAnsi="Bookman Old Style"/>
          <w:color w:val="000000"/>
          <w:sz w:val="24"/>
          <w:lang w:val="it-IT"/>
        </w:rPr>
        <w:t>irrivedibili</w:t>
      </w:r>
      <w:proofErr w:type="spellEnd"/>
    </w:p>
    <w:p w14:paraId="5274774D" w14:textId="77777777" w:rsidR="009556D3" w:rsidRDefault="00162321">
      <w:pPr>
        <w:spacing w:line="207" w:lineRule="exact"/>
        <w:textAlignment w:val="baseline"/>
        <w:rPr>
          <w:rFonts w:ascii="Tahoma" w:eastAsia="Tahoma" w:hAnsi="Tahoma"/>
          <w:color w:val="000000"/>
          <w:spacing w:val="1"/>
          <w:sz w:val="12"/>
          <w:vertAlign w:val="superscript"/>
          <w:lang w:val="it-IT"/>
        </w:rPr>
      </w:pPr>
      <w:r>
        <w:pict w14:anchorId="63CF8F91">
          <v:line id="_x0000_s1031" style="position:absolute;z-index:251658752;mso-position-horizontal-relative:page;mso-position-vertical-relative:page" from="98.15pt,749.5pt" to="243.4pt,749.5pt" strokeweight=".7pt">
            <w10:wrap anchorx="page" anchory="page"/>
          </v:line>
        </w:pict>
      </w:r>
      <w:r w:rsidR="00C22675">
        <w:rPr>
          <w:rFonts w:ascii="Tahoma" w:eastAsia="Tahoma" w:hAnsi="Tahoma"/>
          <w:color w:val="000000"/>
          <w:spacing w:val="1"/>
          <w:sz w:val="12"/>
          <w:vertAlign w:val="superscript"/>
          <w:lang w:val="it-IT"/>
        </w:rPr>
        <w:t>10</w:t>
      </w:r>
      <w:r w:rsidR="00C22675">
        <w:rPr>
          <w:rFonts w:ascii="Tahoma" w:eastAsia="Tahoma" w:hAnsi="Tahoma"/>
          <w:color w:val="000000"/>
          <w:spacing w:val="1"/>
          <w:sz w:val="18"/>
          <w:lang w:val="it-IT"/>
        </w:rPr>
        <w:t xml:space="preserve"> Art. 81, c. 1: Lo Stato assicura l'equilibrio tra le entrate e le spese del proprio bilancio, tenendo conto delle fasi</w:t>
      </w:r>
    </w:p>
    <w:p w14:paraId="5911B0CB" w14:textId="77777777" w:rsidR="009556D3" w:rsidRDefault="00C22675">
      <w:pPr>
        <w:spacing w:before="40" w:line="202" w:lineRule="exact"/>
        <w:textAlignment w:val="baseline"/>
        <w:rPr>
          <w:rFonts w:ascii="Tahoma" w:eastAsia="Tahoma" w:hAnsi="Tahoma"/>
          <w:color w:val="000000"/>
          <w:sz w:val="18"/>
          <w:lang w:val="it-IT"/>
        </w:rPr>
      </w:pPr>
      <w:r>
        <w:rPr>
          <w:rFonts w:ascii="Tahoma" w:eastAsia="Tahoma" w:hAnsi="Tahoma"/>
          <w:color w:val="000000"/>
          <w:sz w:val="18"/>
          <w:lang w:val="it-IT"/>
        </w:rPr>
        <w:t>avverse e delle fasi favorevoli del ciclo economico.</w:t>
      </w:r>
    </w:p>
    <w:p w14:paraId="16B84433" w14:textId="77777777" w:rsidR="009556D3" w:rsidRDefault="00C22675">
      <w:pPr>
        <w:spacing w:before="42" w:line="219" w:lineRule="exact"/>
        <w:jc w:val="center"/>
        <w:textAlignment w:val="baseline"/>
        <w:rPr>
          <w:rFonts w:ascii="Tahoma" w:eastAsia="Tahoma" w:hAnsi="Tahoma"/>
          <w:color w:val="000000"/>
          <w:sz w:val="18"/>
          <w:lang w:val="it-IT"/>
        </w:rPr>
      </w:pPr>
      <w:r>
        <w:rPr>
          <w:rFonts w:ascii="Tahoma" w:eastAsia="Tahoma" w:hAnsi="Tahoma"/>
          <w:color w:val="000000"/>
          <w:sz w:val="18"/>
          <w:lang w:val="it-IT"/>
        </w:rPr>
        <w:t>12</w:t>
      </w:r>
    </w:p>
    <w:p w14:paraId="361D13F2" w14:textId="77777777" w:rsidR="009556D3" w:rsidRPr="00043CC8" w:rsidRDefault="009556D3">
      <w:pPr>
        <w:rPr>
          <w:lang w:val="it-IT"/>
        </w:rPr>
        <w:sectPr w:rsidR="009556D3" w:rsidRPr="00043CC8">
          <w:pgSz w:w="11909" w:h="16838"/>
          <w:pgMar w:top="1280" w:right="538" w:bottom="602" w:left="1963" w:header="720" w:footer="720" w:gutter="0"/>
          <w:cols w:space="720"/>
        </w:sectPr>
      </w:pPr>
    </w:p>
    <w:p w14:paraId="14930654" w14:textId="77777777" w:rsidR="009556D3" w:rsidRDefault="00C22675">
      <w:pPr>
        <w:spacing w:before="8"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lastRenderedPageBreak/>
        <w:t>basi fondative, ossia glia artt. 2 e 3 della Costituzione. E tutto ciò che abbiamo visto – ovvero la costituzionalizzazione dei LEP, la funzione perequativa, la funzione suppletiva, la funzione sostitutiva, la competenza trasversale nella individuazione dei diritti civili e sociali che necessitano di tutela rinforzata – fanno emergere come le dinamiche costituzionali del federalismo fiscale siano congegnate per evitare che la maggiore autonomia riconosciuta agli enti territoriali nell’approvvigionamento e utilizzo delle proprie risorse sia foriero di scompensi nella implementazione di un modello di welfare che deve avere necessariamente natura unitaria.</w:t>
      </w:r>
    </w:p>
    <w:p w14:paraId="67668F11" w14:textId="77777777" w:rsidR="009556D3" w:rsidRDefault="00C22675">
      <w:pPr>
        <w:spacing w:before="893" w:line="323" w:lineRule="exact"/>
        <w:textAlignment w:val="baseline"/>
        <w:rPr>
          <w:rFonts w:ascii="Verdana" w:eastAsia="Verdana" w:hAnsi="Verdana"/>
          <w:b/>
          <w:i/>
          <w:color w:val="000000"/>
          <w:spacing w:val="-15"/>
          <w:sz w:val="25"/>
          <w:lang w:val="it-IT"/>
        </w:rPr>
      </w:pPr>
      <w:r>
        <w:rPr>
          <w:rFonts w:ascii="Verdana" w:eastAsia="Verdana" w:hAnsi="Verdana"/>
          <w:b/>
          <w:i/>
          <w:color w:val="000000"/>
          <w:spacing w:val="-15"/>
          <w:sz w:val="25"/>
          <w:lang w:val="it-IT"/>
        </w:rPr>
        <w:t>LEP: individuazione e determinazione degli standard</w:t>
      </w:r>
    </w:p>
    <w:p w14:paraId="648B751C" w14:textId="2D570204" w:rsidR="009556D3" w:rsidRDefault="00C22675">
      <w:pPr>
        <w:spacing w:before="195" w:line="422" w:lineRule="exact"/>
        <w:jc w:val="both"/>
        <w:textAlignment w:val="baseline"/>
        <w:rPr>
          <w:rFonts w:ascii="Bookman Old Style" w:eastAsia="Bookman Old Style" w:hAnsi="Bookman Old Style"/>
          <w:color w:val="000000"/>
          <w:spacing w:val="-1"/>
          <w:sz w:val="24"/>
          <w:lang w:val="it-IT"/>
        </w:rPr>
      </w:pPr>
      <w:r>
        <w:rPr>
          <w:rFonts w:ascii="Bookman Old Style" w:eastAsia="Bookman Old Style" w:hAnsi="Bookman Old Style"/>
          <w:color w:val="000000"/>
          <w:spacing w:val="-1"/>
          <w:sz w:val="24"/>
          <w:lang w:val="it-IT"/>
        </w:rPr>
        <w:t>Assodato l’orientamento della Consulta sul tema dei LEP – di sicuro impegnativo per la politica - rimane un punto importante e dirimente da chiarire. Per comprendere la dimensione quantitativa e qualitativa di un servizio da considerare basica e quindi adeguata a soddisfare quelle esigenze di tutela della dignità umana così come richiesto dalla Costituzione nell’articolato schema composto dagli artt. 2, 3 e 38 è necessario sapere di che servizio si tratta e in quale quantità minima esso deve essere erogato. Cioè, se l’art. 117, c. 2, lett. M) affida allo stato il compito di determinare i livelli essenziali delle prestazioni concernenti i diritti civili e sociali che devono essere garantiti su tutto il territorio nazionale servono due cose: a) individuare quali sono le prestazioni essenziali, come già in parte abbiamo visto; b) determinare il livello minimo di erogazione di ciascuno di essi.</w:t>
      </w:r>
    </w:p>
    <w:p w14:paraId="5518AFA0" w14:textId="77777777" w:rsidR="009556D3" w:rsidRDefault="00C22675">
      <w:pPr>
        <w:spacing w:before="166"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Il legislatore del primo federalismo fiscale – quello della legge delega n. 42/2009 rimasto poi largamente inattuato – con il d.lgs. n. 68/2011 (art. 13) era stato lungimirante e aveva disegnato un sistema graduale e progressivo che avrebbe portato a un assetto organico dei LEP. Ma non era stato coraggioso perché la norma contenuta nel decreto aveva un contenuto programmatico e non immediatamente cogente.</w:t>
      </w:r>
    </w:p>
    <w:p w14:paraId="2F168204" w14:textId="77777777" w:rsidR="009556D3" w:rsidRDefault="00C22675">
      <w:pPr>
        <w:spacing w:before="164" w:line="422" w:lineRule="exact"/>
        <w:jc w:val="both"/>
        <w:textAlignment w:val="baseline"/>
        <w:rPr>
          <w:rFonts w:ascii="Bookman Old Style" w:eastAsia="Bookman Old Style" w:hAnsi="Bookman Old Style"/>
          <w:color w:val="000000"/>
          <w:spacing w:val="-2"/>
          <w:sz w:val="24"/>
          <w:lang w:val="it-IT"/>
        </w:rPr>
      </w:pPr>
      <w:r>
        <w:rPr>
          <w:rFonts w:ascii="Bookman Old Style" w:eastAsia="Bookman Old Style" w:hAnsi="Bookman Old Style"/>
          <w:color w:val="000000"/>
          <w:spacing w:val="-2"/>
          <w:sz w:val="24"/>
          <w:lang w:val="it-IT"/>
        </w:rPr>
        <w:t>Ora, chiuso quel tentativo, l’individuazione delle tipologie di prestazione da inserire nel concetto di prestazione essenziale è stata piuttosto faticosa e alla fine</w:t>
      </w:r>
    </w:p>
    <w:p w14:paraId="0D8694B8" w14:textId="77777777" w:rsidR="009556D3" w:rsidRDefault="00C22675">
      <w:pPr>
        <w:spacing w:before="316" w:line="267" w:lineRule="exact"/>
        <w:jc w:val="center"/>
        <w:textAlignment w:val="baseline"/>
        <w:rPr>
          <w:rFonts w:ascii="Symbol" w:eastAsia="Symbol" w:hAnsi="Symbol"/>
          <w:color w:val="000000"/>
          <w:sz w:val="24"/>
          <w:lang w:val="it-IT"/>
        </w:rPr>
      </w:pPr>
      <w:r>
        <w:rPr>
          <w:rFonts w:ascii="Symbol" w:eastAsia="Symbol" w:hAnsi="Symbol"/>
          <w:color w:val="000000"/>
          <w:sz w:val="24"/>
          <w:lang w:val="it-IT"/>
        </w:rPr>
        <w:t>13</w:t>
      </w:r>
    </w:p>
    <w:p w14:paraId="7F041255" w14:textId="77777777" w:rsidR="009556D3" w:rsidRPr="00043CC8" w:rsidRDefault="009556D3">
      <w:pPr>
        <w:rPr>
          <w:lang w:val="it-IT"/>
        </w:rPr>
        <w:sectPr w:rsidR="009556D3" w:rsidRPr="00043CC8">
          <w:pgSz w:w="11909" w:h="16838"/>
          <w:pgMar w:top="1280" w:right="535" w:bottom="582" w:left="1966" w:header="720" w:footer="720" w:gutter="0"/>
          <w:cols w:space="720"/>
        </w:sectPr>
      </w:pPr>
    </w:p>
    <w:p w14:paraId="5A404F9F" w14:textId="77777777" w:rsidR="009556D3" w:rsidRDefault="00C22675">
      <w:pPr>
        <w:spacing w:before="6" w:line="422" w:lineRule="exact"/>
        <w:jc w:val="both"/>
        <w:textAlignment w:val="baseline"/>
        <w:rPr>
          <w:rFonts w:ascii="Bookman Old Style" w:eastAsia="Bookman Old Style" w:hAnsi="Bookman Old Style"/>
          <w:color w:val="000000"/>
          <w:spacing w:val="-1"/>
          <w:sz w:val="24"/>
          <w:lang w:val="it-IT"/>
        </w:rPr>
      </w:pPr>
      <w:r>
        <w:rPr>
          <w:rFonts w:ascii="Bookman Old Style" w:eastAsia="Bookman Old Style" w:hAnsi="Bookman Old Style"/>
          <w:color w:val="000000"/>
          <w:spacing w:val="-1"/>
          <w:sz w:val="24"/>
          <w:lang w:val="it-IT"/>
        </w:rPr>
        <w:lastRenderedPageBreak/>
        <w:t>disponiamo di un combinato disposto di norme aventi forza di legge e provvedimenti programmatici che vanno a caratterizzare, senza una logica di insieme, i servizi ritenuti essenziali: così la normativa che ha istituito il sostegno al reddito – che sia il REI, l’RDC, o l’attuale ADI – e così il Piano nazionale degli interventi e dei servizi sociali. L’auspicio è che una linearità sistemica convinca il legislatore a varare finalmente un documento legislativo che elenchi, in modo motivato, quali sono nel nostro Paese i livelli essenziali di prestazione.</w:t>
      </w:r>
    </w:p>
    <w:p w14:paraId="703B73A1" w14:textId="77777777" w:rsidR="009556D3" w:rsidRDefault="00C22675">
      <w:pPr>
        <w:spacing w:before="168"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La determinazione dello standard minimo è, invece, una operazione del tutto in fieri e si capisce come la sua indeterminatezza minacci seriamente l’intera attuazione del sistema descritto dall’art. 117 e rischi di compromettere la coesione sociale. Se non è lo stato a individuare il livello minimo in senso quantitativo su tutto il territorio nazionale è anche logico che le regioni con una economia robusta lo facciano per i propri cittadini determinando una inevitabile disomogeneità e discriminazione territoriale. Si pensi a ciò che accade, in varie parti del paese, in tema di diritto alla salute, dove nessun governo riesce ad evitare i viaggi della speranza e le regioni più povere riescono a intervenire al massimo con contributi economici per finanziare le trasferte in luoghi del paese più attrezzati. Il problema in oggetto si risolve con la determinazione di indicatori o anche di obiettivo di servizio intermedi e questo è stato fatto per alcune prestazioni essenziali, come ad esempio:</w:t>
      </w:r>
    </w:p>
    <w:p w14:paraId="33CFE4C5" w14:textId="77777777" w:rsidR="009556D3" w:rsidRDefault="00C22675">
      <w:pPr>
        <w:tabs>
          <w:tab w:val="left" w:pos="1152"/>
        </w:tabs>
        <w:spacing w:before="165" w:line="422" w:lineRule="exact"/>
        <w:ind w:left="1080" w:hanging="360"/>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w:t>
      </w:r>
      <w:r>
        <w:rPr>
          <w:rFonts w:ascii="Bookman Old Style" w:eastAsia="Bookman Old Style" w:hAnsi="Bookman Old Style"/>
          <w:color w:val="000000"/>
          <w:sz w:val="24"/>
          <w:lang w:val="it-IT"/>
        </w:rPr>
        <w:tab/>
        <w:t>1 assistente sociale ogni 5.000 ab. in tema di rafforzamento del servizio sociale professionale come obiettivo di servizio e 1/4000 come obiettivo/indicatore finale;</w:t>
      </w:r>
    </w:p>
    <w:p w14:paraId="49882804" w14:textId="77777777" w:rsidR="009556D3" w:rsidRDefault="00C22675">
      <w:pPr>
        <w:spacing w:before="1" w:line="422" w:lineRule="exact"/>
        <w:ind w:left="1080" w:hanging="360"/>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- 1 Pronto Intervento Sociale in ogni comune capoluogo e comunque in ogni ambito territoriale con più di 50.000 ab., aperti 7 gg su 7 e 24h;</w:t>
      </w:r>
    </w:p>
    <w:p w14:paraId="0774021D" w14:textId="77777777" w:rsidR="009556D3" w:rsidRDefault="00C22675">
      <w:pPr>
        <w:tabs>
          <w:tab w:val="left" w:pos="1152"/>
        </w:tabs>
        <w:spacing w:before="146" w:line="271" w:lineRule="exact"/>
        <w:ind w:left="720"/>
        <w:textAlignment w:val="baseline"/>
        <w:rPr>
          <w:rFonts w:ascii="Bookman Old Style" w:eastAsia="Bookman Old Style" w:hAnsi="Bookman Old Style"/>
          <w:color w:val="000000"/>
          <w:spacing w:val="-1"/>
          <w:sz w:val="24"/>
          <w:lang w:val="it-IT"/>
        </w:rPr>
      </w:pPr>
      <w:r>
        <w:rPr>
          <w:rFonts w:ascii="Bookman Old Style" w:eastAsia="Bookman Old Style" w:hAnsi="Bookman Old Style"/>
          <w:color w:val="000000"/>
          <w:spacing w:val="-1"/>
          <w:sz w:val="24"/>
          <w:lang w:val="it-IT"/>
        </w:rPr>
        <w:t>-</w:t>
      </w:r>
      <w:r>
        <w:rPr>
          <w:rFonts w:ascii="Bookman Old Style" w:eastAsia="Bookman Old Style" w:hAnsi="Bookman Old Style"/>
          <w:color w:val="000000"/>
          <w:spacing w:val="-1"/>
          <w:sz w:val="24"/>
          <w:lang w:val="it-IT"/>
        </w:rPr>
        <w:tab/>
        <w:t>1 segretariato sociale in ogni ATS.</w:t>
      </w:r>
    </w:p>
    <w:p w14:paraId="53477853" w14:textId="71C659DD" w:rsidR="00043CC8" w:rsidRDefault="00C22675" w:rsidP="00043CC8">
      <w:pPr>
        <w:spacing w:before="166" w:line="422" w:lineRule="exact"/>
        <w:jc w:val="both"/>
        <w:textAlignment w:val="baseline"/>
        <w:rPr>
          <w:rFonts w:ascii="Bookman Old Style" w:eastAsia="Bookman Old Style" w:hAnsi="Bookman Old Style"/>
          <w:color w:val="000000"/>
          <w:spacing w:val="-3"/>
          <w:sz w:val="24"/>
          <w:lang w:val="it-IT"/>
        </w:rPr>
      </w:pPr>
      <w:r>
        <w:rPr>
          <w:rFonts w:ascii="Bookman Old Style" w:eastAsia="Bookman Old Style" w:hAnsi="Bookman Old Style"/>
          <w:color w:val="000000"/>
          <w:spacing w:val="-3"/>
          <w:sz w:val="24"/>
          <w:lang w:val="it-IT"/>
        </w:rPr>
        <w:t xml:space="preserve">Per altri, come l’assistenza domiciliare agli anziani o i progetti di vita indipendente, manca. E ciò è accaduto anche qui perché è mancato un provvedimento organico: anzi, tutti gli indicatori sono individuati a spot., principalmente con il DM 23 </w:t>
      </w:r>
      <w:proofErr w:type="gramStart"/>
      <w:r>
        <w:rPr>
          <w:rFonts w:ascii="Bookman Old Style" w:eastAsia="Bookman Old Style" w:hAnsi="Bookman Old Style"/>
          <w:color w:val="000000"/>
          <w:spacing w:val="-3"/>
          <w:sz w:val="24"/>
          <w:lang w:val="it-IT"/>
        </w:rPr>
        <w:t>Dicembre</w:t>
      </w:r>
      <w:proofErr w:type="gramEnd"/>
      <w:r>
        <w:rPr>
          <w:rFonts w:ascii="Bookman Old Style" w:eastAsia="Bookman Old Style" w:hAnsi="Bookman Old Style"/>
          <w:color w:val="000000"/>
          <w:spacing w:val="-3"/>
          <w:sz w:val="24"/>
          <w:lang w:val="it-IT"/>
        </w:rPr>
        <w:t xml:space="preserve"> 2021 ma anche con provvedimenti programmatici, come si diceva prima; o anche con le annuali manovre di bilancio che hanno come elemento positivo quello di stanziare anche le risorse. </w:t>
      </w:r>
    </w:p>
    <w:p w14:paraId="7767DDCF" w14:textId="50973134" w:rsidR="009556D3" w:rsidRDefault="00C22675" w:rsidP="00043CC8">
      <w:pPr>
        <w:spacing w:before="166" w:line="422" w:lineRule="exact"/>
        <w:jc w:val="center"/>
        <w:textAlignment w:val="baseline"/>
        <w:rPr>
          <w:rFonts w:ascii="Symbol" w:eastAsia="Symbol" w:hAnsi="Symbol"/>
          <w:color w:val="000000"/>
          <w:sz w:val="24"/>
          <w:lang w:val="it-IT"/>
        </w:rPr>
      </w:pPr>
      <w:r>
        <w:rPr>
          <w:rFonts w:ascii="Symbol" w:eastAsia="Symbol" w:hAnsi="Symbol"/>
          <w:color w:val="000000"/>
          <w:sz w:val="24"/>
          <w:lang w:val="it-IT"/>
        </w:rPr>
        <w:t>14</w:t>
      </w:r>
    </w:p>
    <w:p w14:paraId="66B53E84" w14:textId="77777777" w:rsidR="009556D3" w:rsidRPr="00043CC8" w:rsidRDefault="009556D3">
      <w:pPr>
        <w:rPr>
          <w:lang w:val="it-IT"/>
        </w:rPr>
        <w:sectPr w:rsidR="009556D3" w:rsidRPr="00043CC8">
          <w:pgSz w:w="11909" w:h="16838"/>
          <w:pgMar w:top="1280" w:right="533" w:bottom="582" w:left="1968" w:header="720" w:footer="720" w:gutter="0"/>
          <w:cols w:space="720"/>
        </w:sectPr>
      </w:pPr>
    </w:p>
    <w:p w14:paraId="522C3295" w14:textId="7D2A4692" w:rsidR="009556D3" w:rsidRDefault="00043CC8">
      <w:pPr>
        <w:spacing w:before="4" w:line="422" w:lineRule="exact"/>
        <w:jc w:val="both"/>
        <w:textAlignment w:val="baseline"/>
        <w:rPr>
          <w:rFonts w:ascii="Bookman Old Style" w:eastAsia="Bookman Old Style" w:hAnsi="Bookman Old Style"/>
          <w:color w:val="000000"/>
          <w:sz w:val="24"/>
          <w:lang w:val="it-IT"/>
        </w:rPr>
      </w:pPr>
      <w:proofErr w:type="gramStart"/>
      <w:r>
        <w:rPr>
          <w:rFonts w:ascii="Bookman Old Style" w:eastAsia="Bookman Old Style" w:hAnsi="Bookman Old Style"/>
          <w:color w:val="000000"/>
          <w:spacing w:val="-3"/>
          <w:sz w:val="24"/>
          <w:lang w:val="it-IT"/>
        </w:rPr>
        <w:lastRenderedPageBreak/>
        <w:t>E’</w:t>
      </w:r>
      <w:proofErr w:type="gramEnd"/>
      <w:r>
        <w:rPr>
          <w:rFonts w:ascii="Bookman Old Style" w:eastAsia="Bookman Old Style" w:hAnsi="Bookman Old Style"/>
          <w:color w:val="000000"/>
          <w:spacing w:val="-3"/>
          <w:sz w:val="24"/>
          <w:lang w:val="it-IT"/>
        </w:rPr>
        <w:t xml:space="preserve"> chiaro</w:t>
      </w:r>
      <w:r>
        <w:rPr>
          <w:rFonts w:ascii="Bookman Old Style" w:eastAsia="Bookman Old Style" w:hAnsi="Bookman Old Style"/>
          <w:color w:val="000000"/>
          <w:sz w:val="24"/>
          <w:lang w:val="it-IT"/>
        </w:rPr>
        <w:t xml:space="preserve"> </w:t>
      </w:r>
      <w:r w:rsidR="00C22675">
        <w:rPr>
          <w:rFonts w:ascii="Bookman Old Style" w:eastAsia="Bookman Old Style" w:hAnsi="Bookman Old Style"/>
          <w:color w:val="000000"/>
          <w:sz w:val="24"/>
          <w:lang w:val="it-IT"/>
        </w:rPr>
        <w:t>che questo è un problema che dovrà essere risolto anche se comporta dei rischi in termini di sostenibilità finanziaria. Ma ne va della dignità della persona umana, come abbiamo visto nei punti precedenti.</w:t>
      </w:r>
    </w:p>
    <w:p w14:paraId="049D55CD" w14:textId="77777777" w:rsidR="009556D3" w:rsidRDefault="00C22675">
      <w:pPr>
        <w:spacing w:before="890" w:line="299" w:lineRule="exact"/>
        <w:ind w:left="720"/>
        <w:textAlignment w:val="baseline"/>
        <w:rPr>
          <w:rFonts w:ascii="Verdana" w:eastAsia="Verdana" w:hAnsi="Verdana"/>
          <w:b/>
          <w:i/>
          <w:color w:val="000000"/>
          <w:spacing w:val="-19"/>
          <w:sz w:val="25"/>
          <w:lang w:val="it-IT"/>
        </w:rPr>
      </w:pPr>
      <w:r>
        <w:rPr>
          <w:rFonts w:ascii="Verdana" w:eastAsia="Verdana" w:hAnsi="Verdana"/>
          <w:b/>
          <w:i/>
          <w:color w:val="000000"/>
          <w:spacing w:val="-19"/>
          <w:sz w:val="25"/>
          <w:lang w:val="it-IT"/>
        </w:rPr>
        <w:t xml:space="preserve">L’autonomia differenziata e la </w:t>
      </w:r>
      <w:proofErr w:type="spellStart"/>
      <w:r>
        <w:rPr>
          <w:rFonts w:ascii="Verdana" w:eastAsia="Verdana" w:hAnsi="Verdana"/>
          <w:b/>
          <w:i/>
          <w:color w:val="000000"/>
          <w:spacing w:val="-19"/>
          <w:sz w:val="25"/>
          <w:lang w:val="it-IT"/>
        </w:rPr>
        <w:t>sent</w:t>
      </w:r>
      <w:proofErr w:type="spellEnd"/>
      <w:r>
        <w:rPr>
          <w:rFonts w:ascii="Verdana" w:eastAsia="Verdana" w:hAnsi="Verdana"/>
          <w:b/>
          <w:i/>
          <w:color w:val="000000"/>
          <w:spacing w:val="-19"/>
          <w:sz w:val="25"/>
          <w:lang w:val="it-IT"/>
        </w:rPr>
        <w:t>. 192/2024</w:t>
      </w:r>
    </w:p>
    <w:p w14:paraId="22F13A85" w14:textId="1973CE70" w:rsidR="009556D3" w:rsidRDefault="00C22675">
      <w:pPr>
        <w:spacing w:before="223" w:line="422" w:lineRule="exact"/>
        <w:jc w:val="both"/>
        <w:textAlignment w:val="baseline"/>
        <w:rPr>
          <w:rFonts w:ascii="Bookman Old Style" w:eastAsia="Bookman Old Style" w:hAnsi="Bookman Old Style"/>
          <w:color w:val="000000"/>
          <w:spacing w:val="-1"/>
          <w:sz w:val="24"/>
          <w:lang w:val="it-IT"/>
        </w:rPr>
      </w:pPr>
      <w:r>
        <w:rPr>
          <w:rFonts w:ascii="Bookman Old Style" w:eastAsia="Bookman Old Style" w:hAnsi="Bookman Old Style"/>
          <w:color w:val="000000"/>
          <w:spacing w:val="-1"/>
          <w:sz w:val="24"/>
          <w:lang w:val="it-IT"/>
        </w:rPr>
        <w:t xml:space="preserve">E arriviamo così alla vicenda dell’autonomia differenziata, della legge Calderoli n. 86/2024 e della conseguente Sent. </w:t>
      </w:r>
      <w:r w:rsidR="00871ECE">
        <w:rPr>
          <w:rFonts w:ascii="Bookman Old Style" w:eastAsia="Bookman Old Style" w:hAnsi="Bookman Old Style"/>
          <w:color w:val="000000"/>
          <w:spacing w:val="-1"/>
          <w:sz w:val="24"/>
          <w:lang w:val="it-IT"/>
        </w:rPr>
        <w:t>Corte costituzionale</w:t>
      </w:r>
      <w:r>
        <w:rPr>
          <w:rFonts w:ascii="Bookman Old Style" w:eastAsia="Bookman Old Style" w:hAnsi="Bookman Old Style"/>
          <w:color w:val="000000"/>
          <w:spacing w:val="-1"/>
          <w:sz w:val="24"/>
          <w:lang w:val="it-IT"/>
        </w:rPr>
        <w:t xml:space="preserve"> n. 192/2024. Va fatta una premessa importante: il legislatore dell’autonomia differenziata è stato sempre consapevole dei rischi derivanti dalla introduzione del c.d. “regionalismo asimmetrico” e, per questo motivo, ha voluto imprimere una spinta forte alla questione della individuazione dei LEP e alla determinazione del loro contenuto di minima dignità. Si può dire che, paradossalmente, è stata proprio l’autonomia differenziata ad accelerare l’evoluzione dei LEPS. Si è </w:t>
      </w:r>
      <w:r w:rsidR="00043CC8">
        <w:rPr>
          <w:rFonts w:ascii="Bookman Old Style" w:eastAsia="Bookman Old Style" w:hAnsi="Bookman Old Style"/>
          <w:color w:val="000000"/>
          <w:spacing w:val="-1"/>
          <w:sz w:val="24"/>
          <w:lang w:val="it-IT"/>
        </w:rPr>
        <w:t>capito, cioè,</w:t>
      </w:r>
      <w:r>
        <w:rPr>
          <w:rFonts w:ascii="Bookman Old Style" w:eastAsia="Bookman Old Style" w:hAnsi="Bookman Old Style"/>
          <w:color w:val="000000"/>
          <w:spacing w:val="-1"/>
          <w:sz w:val="24"/>
          <w:lang w:val="it-IT"/>
        </w:rPr>
        <w:t xml:space="preserve"> che il raggiungimento dei LEP è il passaggio ineludibile per aprire a un allargamento delle competenze delle regioni: esso costituisce il necessario contrappeso per mantenere una rete di protezione a salvaguardia di condizioni di vita omogenee. La riscoperta dell’art. 116, c. 3, varato nella </w:t>
      </w:r>
      <w:proofErr w:type="spellStart"/>
      <w:r>
        <w:rPr>
          <w:rFonts w:ascii="Bookman Old Style" w:eastAsia="Bookman Old Style" w:hAnsi="Bookman Old Style"/>
          <w:color w:val="000000"/>
          <w:spacing w:val="-1"/>
          <w:sz w:val="24"/>
          <w:lang w:val="it-IT"/>
        </w:rPr>
        <w:t>rif.</w:t>
      </w:r>
      <w:proofErr w:type="spellEnd"/>
      <w:r>
        <w:rPr>
          <w:rFonts w:ascii="Bookman Old Style" w:eastAsia="Bookman Old Style" w:hAnsi="Bookman Old Style"/>
          <w:color w:val="000000"/>
          <w:spacing w:val="-1"/>
          <w:sz w:val="24"/>
          <w:lang w:val="it-IT"/>
        </w:rPr>
        <w:t xml:space="preserve"> </w:t>
      </w:r>
      <w:r w:rsidR="00871ECE">
        <w:rPr>
          <w:rFonts w:ascii="Bookman Old Style" w:eastAsia="Bookman Old Style" w:hAnsi="Bookman Old Style"/>
          <w:color w:val="000000"/>
          <w:spacing w:val="-1"/>
          <w:sz w:val="24"/>
          <w:lang w:val="it-IT"/>
        </w:rPr>
        <w:t>d</w:t>
      </w:r>
      <w:r>
        <w:rPr>
          <w:rFonts w:ascii="Bookman Old Style" w:eastAsia="Bookman Old Style" w:hAnsi="Bookman Old Style"/>
          <w:color w:val="000000"/>
          <w:spacing w:val="-1"/>
          <w:sz w:val="24"/>
          <w:lang w:val="it-IT"/>
        </w:rPr>
        <w:t>el Tit. V del 2001, ha operato quindi, paradossalmente, come fattore di accelerazione del processo di sviluppo dei LEP.</w:t>
      </w:r>
    </w:p>
    <w:p w14:paraId="1B5EB7C4" w14:textId="77777777" w:rsidR="009556D3" w:rsidRDefault="00C22675">
      <w:pPr>
        <w:spacing w:before="164" w:after="477"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 xml:space="preserve">Sono queste le parole della stessa </w:t>
      </w:r>
      <w:proofErr w:type="spellStart"/>
      <w:r>
        <w:rPr>
          <w:rFonts w:ascii="Bookman Old Style" w:eastAsia="Bookman Old Style" w:hAnsi="Bookman Old Style"/>
          <w:color w:val="000000"/>
          <w:sz w:val="24"/>
          <w:lang w:val="it-IT"/>
        </w:rPr>
        <w:t>sent</w:t>
      </w:r>
      <w:proofErr w:type="spellEnd"/>
      <w:r>
        <w:rPr>
          <w:rFonts w:ascii="Bookman Old Style" w:eastAsia="Bookman Old Style" w:hAnsi="Bookman Old Style"/>
          <w:color w:val="000000"/>
          <w:sz w:val="24"/>
          <w:lang w:val="it-IT"/>
        </w:rPr>
        <w:t xml:space="preserve">. 192: infatti, lo sforzo del legislatore della 86/2024 è stato insufficiente e la decisione ha riguardato proprio alcune questioni di legittimità sollevate nei confronti della disciplina dei LEP, rimarcando che la differenziazione asimmetrica deve avere il </w:t>
      </w:r>
      <w:r>
        <w:rPr>
          <w:rFonts w:ascii="Bookman Old Style" w:eastAsia="Bookman Old Style" w:hAnsi="Bookman Old Style"/>
          <w:i/>
          <w:color w:val="000000"/>
          <w:sz w:val="24"/>
          <w:lang w:val="it-IT"/>
        </w:rPr>
        <w:t xml:space="preserve">fine </w:t>
      </w:r>
      <w:r>
        <w:rPr>
          <w:rFonts w:ascii="Bookman Old Style" w:eastAsia="Bookman Old Style" w:hAnsi="Bookman Old Style"/>
          <w:color w:val="000000"/>
          <w:sz w:val="24"/>
          <w:lang w:val="it-IT"/>
        </w:rPr>
        <w:t xml:space="preserve">ultimo </w:t>
      </w:r>
      <w:r>
        <w:rPr>
          <w:rFonts w:ascii="Bookman Old Style" w:eastAsia="Bookman Old Style" w:hAnsi="Bookman Old Style"/>
          <w:i/>
          <w:color w:val="000000"/>
          <w:sz w:val="24"/>
          <w:lang w:val="it-IT"/>
        </w:rPr>
        <w:t xml:space="preserve">di concorrere alla attuazione dei principi costituzionali e dei diritti che su di essi si radicano ed essere quindi, innanzitutto, strumento al servizio del bene comune della società. </w:t>
      </w:r>
      <w:r>
        <w:rPr>
          <w:rFonts w:ascii="Bookman Old Style" w:eastAsia="Bookman Old Style" w:hAnsi="Bookman Old Style"/>
          <w:color w:val="000000"/>
          <w:sz w:val="24"/>
          <w:lang w:val="it-IT"/>
        </w:rPr>
        <w:t xml:space="preserve">Afferma la Consulta che nel pluralismo istituzionale perseguito dalla Costituzione </w:t>
      </w:r>
      <w:r>
        <w:rPr>
          <w:rFonts w:ascii="Bookman Old Style" w:eastAsia="Bookman Old Style" w:hAnsi="Bookman Old Style"/>
          <w:i/>
          <w:color w:val="000000"/>
          <w:sz w:val="24"/>
          <w:lang w:val="it-IT"/>
        </w:rPr>
        <w:t>i LEP servono a impedire che l’autonomia si traduca in disgregazione e operi, al contrario, come fattore di promozione della coesione e della giustizia sociale.</w:t>
      </w:r>
      <w:r>
        <w:rPr>
          <w:rFonts w:ascii="Bookman Old Style" w:eastAsia="Bookman Old Style" w:hAnsi="Bookman Old Style"/>
          <w:i/>
          <w:color w:val="000000"/>
          <w:sz w:val="24"/>
          <w:vertAlign w:val="superscript"/>
          <w:lang w:val="it-IT"/>
        </w:rPr>
        <w:t>11</w:t>
      </w:r>
      <w:r>
        <w:rPr>
          <w:rFonts w:ascii="Bookman Old Style" w:eastAsia="Bookman Old Style" w:hAnsi="Bookman Old Style"/>
          <w:i/>
          <w:color w:val="000000"/>
          <w:sz w:val="16"/>
          <w:lang w:val="it-IT"/>
        </w:rPr>
        <w:t xml:space="preserve"> </w:t>
      </w:r>
    </w:p>
    <w:p w14:paraId="1BBC9D91" w14:textId="77777777" w:rsidR="009556D3" w:rsidRDefault="00162321">
      <w:pPr>
        <w:spacing w:before="99" w:line="246" w:lineRule="exact"/>
        <w:jc w:val="both"/>
        <w:textAlignment w:val="baseline"/>
        <w:rPr>
          <w:rFonts w:ascii="Verdana" w:eastAsia="Verdana" w:hAnsi="Verdana"/>
          <w:color w:val="000000"/>
          <w:spacing w:val="-7"/>
          <w:sz w:val="12"/>
          <w:vertAlign w:val="superscript"/>
          <w:lang w:val="it-IT"/>
        </w:rPr>
      </w:pPr>
      <w:r>
        <w:pict w14:anchorId="2CC38C3D">
          <v:line id="_x0000_s1030" style="position:absolute;left:0;text-align:left;z-index:251659776;mso-position-horizontal-relative:page;mso-position-vertical-relative:page" from="98.4pt,737.5pt" to="243.4pt,737.5pt" strokeweight=".95pt">
            <w10:wrap anchorx="page" anchory="page"/>
          </v:line>
        </w:pict>
      </w:r>
      <w:r w:rsidR="00C22675">
        <w:rPr>
          <w:rFonts w:ascii="Verdana" w:eastAsia="Verdana" w:hAnsi="Verdana"/>
          <w:color w:val="000000"/>
          <w:spacing w:val="-7"/>
          <w:sz w:val="12"/>
          <w:vertAlign w:val="superscript"/>
          <w:lang w:val="it-IT"/>
        </w:rPr>
        <w:t>11</w:t>
      </w:r>
      <w:r w:rsidR="00C22675">
        <w:rPr>
          <w:rFonts w:ascii="Verdana" w:eastAsia="Verdana" w:hAnsi="Verdana"/>
          <w:color w:val="000000"/>
          <w:spacing w:val="-7"/>
          <w:sz w:val="17"/>
          <w:lang w:val="it-IT"/>
        </w:rPr>
        <w:t xml:space="preserve"> Proprio sui concetti di disgregazione e promozione della coesione sociale la Corte, nella sentenza n. 192, è rigorosa arrivando ad affermare che </w:t>
      </w:r>
      <w:r w:rsidR="00C22675">
        <w:rPr>
          <w:rFonts w:ascii="Verdana" w:eastAsia="Verdana" w:hAnsi="Verdana"/>
          <w:i/>
          <w:color w:val="000000"/>
          <w:spacing w:val="-7"/>
          <w:sz w:val="17"/>
          <w:lang w:val="it-IT"/>
        </w:rPr>
        <w:t>il popolo e la nazione sono unità non frammentabili. Esiste una sola nazione così come vi è solamente un popolo italiano, senza che siano in alcun modo configurabili dei “popoli regionali” che siano titolari</w:t>
      </w:r>
    </w:p>
    <w:p w14:paraId="2DF58278" w14:textId="77777777" w:rsidR="009556D3" w:rsidRDefault="00C22675">
      <w:pPr>
        <w:spacing w:before="36" w:line="225" w:lineRule="exact"/>
        <w:jc w:val="center"/>
        <w:textAlignment w:val="baseline"/>
        <w:rPr>
          <w:rFonts w:ascii="Verdana" w:eastAsia="Verdana" w:hAnsi="Verdana"/>
          <w:color w:val="000000"/>
          <w:sz w:val="19"/>
          <w:lang w:val="it-IT"/>
        </w:rPr>
      </w:pPr>
      <w:r>
        <w:rPr>
          <w:rFonts w:ascii="Verdana" w:eastAsia="Verdana" w:hAnsi="Verdana"/>
          <w:color w:val="000000"/>
          <w:sz w:val="19"/>
          <w:lang w:val="it-IT"/>
        </w:rPr>
        <w:t>15</w:t>
      </w:r>
    </w:p>
    <w:p w14:paraId="3E9AF150" w14:textId="77777777" w:rsidR="009556D3" w:rsidRPr="00043CC8" w:rsidRDefault="009556D3">
      <w:pPr>
        <w:rPr>
          <w:lang w:val="it-IT"/>
        </w:rPr>
        <w:sectPr w:rsidR="009556D3" w:rsidRPr="00043CC8">
          <w:pgSz w:w="11909" w:h="16838"/>
          <w:pgMar w:top="1280" w:right="533" w:bottom="602" w:left="1968" w:header="720" w:footer="720" w:gutter="0"/>
          <w:cols w:space="720"/>
        </w:sectPr>
      </w:pPr>
    </w:p>
    <w:p w14:paraId="59285AFC" w14:textId="77777777" w:rsidR="009556D3" w:rsidRDefault="00C22675">
      <w:pPr>
        <w:spacing w:before="9" w:line="422" w:lineRule="exact"/>
        <w:jc w:val="both"/>
        <w:textAlignment w:val="baseline"/>
        <w:rPr>
          <w:rFonts w:ascii="Bookman Old Style" w:eastAsia="Bookman Old Style" w:hAnsi="Bookman Old Style"/>
          <w:color w:val="000000"/>
          <w:spacing w:val="-2"/>
          <w:sz w:val="24"/>
          <w:lang w:val="it-IT"/>
        </w:rPr>
      </w:pPr>
      <w:r>
        <w:rPr>
          <w:rFonts w:ascii="Bookman Old Style" w:eastAsia="Bookman Old Style" w:hAnsi="Bookman Old Style"/>
          <w:color w:val="000000"/>
          <w:spacing w:val="-2"/>
          <w:sz w:val="24"/>
          <w:lang w:val="it-IT"/>
        </w:rPr>
        <w:lastRenderedPageBreak/>
        <w:t xml:space="preserve">Innanzitutto, la Corte ha confermato la assoluta riserva di legge in materia di determinazione dei LEP, richiamando l’art. 76: e ha dichiarato incostituzionale l’art. 3, c. 1, della legge Calderoli nella parte in cui la legge delega attribuisce a successivi decreti legislativi la fissazione dei LEP ricorrendo ai principi e ai criteri direttivi stabiliti dalla legge di bilancio per il 2023 (197/2022). In cui però, questi criteri erano tutt’altro che specifici poiché la normativa in oggetto effettuava una determinazione plurisettoriale di criteri direttivi, valida per tutte le operazioni di definizione dei LEP. Per cui afferma la Corte, va bene l’individuazione per </w:t>
      </w:r>
      <w:proofErr w:type="spellStart"/>
      <w:r w:rsidRPr="00043CC8">
        <w:rPr>
          <w:rFonts w:ascii="Bookman Old Style" w:eastAsia="Bookman Old Style" w:hAnsi="Bookman Old Style"/>
          <w:i/>
          <w:iCs/>
          <w:color w:val="000000"/>
          <w:spacing w:val="-2"/>
          <w:sz w:val="24"/>
          <w:lang w:val="it-IT"/>
        </w:rPr>
        <w:t>relationem</w:t>
      </w:r>
      <w:proofErr w:type="spellEnd"/>
      <w:r>
        <w:rPr>
          <w:rFonts w:ascii="Bookman Old Style" w:eastAsia="Bookman Old Style" w:hAnsi="Bookman Old Style"/>
          <w:color w:val="000000"/>
          <w:spacing w:val="-2"/>
          <w:sz w:val="24"/>
          <w:lang w:val="it-IT"/>
        </w:rPr>
        <w:t xml:space="preserve">, ma si deve trattare di atti aventi natura normativa e che, soprattutto, siano specifici nella fissazione delle regole: non sono da ritenersi adeguati criteri generalizzati poiché la </w:t>
      </w:r>
      <w:r>
        <w:rPr>
          <w:rFonts w:ascii="Bookman Old Style" w:eastAsia="Bookman Old Style" w:hAnsi="Bookman Old Style"/>
          <w:i/>
          <w:color w:val="000000"/>
          <w:spacing w:val="-2"/>
          <w:sz w:val="24"/>
          <w:lang w:val="it-IT"/>
        </w:rPr>
        <w:t xml:space="preserve">materia dei LEP richiede un rilevazione puntuale, per singole e specifiche funzioni e non per ambiti o settori di materie, affinché anche l’operazione di bilanciamento degli interessi per calcolare il grado di effettività della tutela sia altrettanto specifica. </w:t>
      </w:r>
      <w:r>
        <w:rPr>
          <w:rFonts w:ascii="Bookman Old Style" w:eastAsia="Bookman Old Style" w:hAnsi="Bookman Old Style"/>
          <w:color w:val="000000"/>
          <w:spacing w:val="-2"/>
          <w:sz w:val="24"/>
          <w:lang w:val="it-IT"/>
        </w:rPr>
        <w:t>Allo stesso modo, la Consulta ha dichiarato l’incostituzionalità delle disposizioni della 86/2024 nella parte in cui prevedono che il negoziato tra stato e regione vertente i LEP si possa svolgere su ambiti di materie e non su specifiche e ben circoscritte funzioni.</w:t>
      </w:r>
    </w:p>
    <w:p w14:paraId="7C3755FA" w14:textId="77777777" w:rsidR="009556D3" w:rsidRDefault="00C22675">
      <w:pPr>
        <w:spacing w:before="166"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In secondo luogo, con il giudizio sulla questione della specificità nella determinazione, la Corte ha inteso anche dare un giudizio valoriale sulla legge di bilancio n. 197/2022, invitando il parlamento a intervenire nuovamente sulla materia poiché, di fronte al regionalismo asimmetrico delineato dalla 86/2024, è necessario ora, come si è appena detto, rivedere i principi e criteri direttivi troppo generici e generalizzati.</w:t>
      </w:r>
    </w:p>
    <w:p w14:paraId="71EA4F41" w14:textId="77777777" w:rsidR="009556D3" w:rsidRDefault="00C22675">
      <w:pPr>
        <w:spacing w:before="165" w:after="628" w:line="422" w:lineRule="exact"/>
        <w:jc w:val="both"/>
        <w:textAlignment w:val="baseline"/>
        <w:rPr>
          <w:rFonts w:ascii="Bookman Old Style" w:eastAsia="Bookman Old Style" w:hAnsi="Bookman Old Style"/>
          <w:color w:val="000000"/>
          <w:spacing w:val="-1"/>
          <w:sz w:val="24"/>
          <w:lang w:val="it-IT"/>
        </w:rPr>
      </w:pPr>
      <w:r>
        <w:rPr>
          <w:rFonts w:ascii="Bookman Old Style" w:eastAsia="Bookman Old Style" w:hAnsi="Bookman Old Style"/>
          <w:color w:val="000000"/>
          <w:spacing w:val="-1"/>
          <w:sz w:val="24"/>
          <w:lang w:val="it-IT"/>
        </w:rPr>
        <w:t>In terzo luogo, la Corte è molto chiara nel riservare al parlamento e non al governo</w:t>
      </w:r>
      <w:r>
        <w:rPr>
          <w:rFonts w:ascii="Courier New" w:eastAsia="Courier New" w:hAnsi="Courier New"/>
          <w:color w:val="000000"/>
          <w:spacing w:val="-1"/>
          <w:sz w:val="28"/>
          <w:lang w:val="it-IT"/>
        </w:rPr>
        <w:t xml:space="preserve">, </w:t>
      </w:r>
      <w:r>
        <w:rPr>
          <w:rFonts w:ascii="Bookman Old Style" w:eastAsia="Bookman Old Style" w:hAnsi="Bookman Old Style"/>
          <w:color w:val="000000"/>
          <w:spacing w:val="-1"/>
          <w:sz w:val="24"/>
          <w:lang w:val="it-IT"/>
        </w:rPr>
        <w:t xml:space="preserve">una volta per tutte, la competenza in materia: nella </w:t>
      </w:r>
      <w:proofErr w:type="spellStart"/>
      <w:r>
        <w:rPr>
          <w:rFonts w:ascii="Bookman Old Style" w:eastAsia="Bookman Old Style" w:hAnsi="Bookman Old Style"/>
          <w:color w:val="000000"/>
          <w:spacing w:val="-1"/>
          <w:sz w:val="24"/>
          <w:lang w:val="it-IT"/>
        </w:rPr>
        <w:t>sent</w:t>
      </w:r>
      <w:proofErr w:type="spellEnd"/>
      <w:r>
        <w:rPr>
          <w:rFonts w:ascii="Bookman Old Style" w:eastAsia="Bookman Old Style" w:hAnsi="Bookman Old Style"/>
          <w:color w:val="000000"/>
          <w:spacing w:val="-1"/>
          <w:sz w:val="24"/>
          <w:lang w:val="it-IT"/>
        </w:rPr>
        <w:t>. 192 la corte ha smantellato anche la modalità di determinazione di alcuni aspetti dei LEP, seppur dettati in modo provvisorio, con DPCM, così come è previsto nella L. 197/2022, poiché l’art. 116, c. 3, è molto preciso nel radicare la riserva di legge. Infatti, la 86/2024, all’art. 3, c. 9, prevede che nelle more della adozione dei</w:t>
      </w:r>
    </w:p>
    <w:p w14:paraId="44EF5F22" w14:textId="77777777" w:rsidR="009556D3" w:rsidRDefault="00162321">
      <w:pPr>
        <w:spacing w:line="245" w:lineRule="exact"/>
        <w:jc w:val="both"/>
        <w:textAlignment w:val="baseline"/>
        <w:rPr>
          <w:rFonts w:ascii="Verdana" w:eastAsia="Verdana" w:hAnsi="Verdana"/>
          <w:i/>
          <w:color w:val="000000"/>
          <w:spacing w:val="-7"/>
          <w:sz w:val="17"/>
          <w:lang w:val="it-IT"/>
        </w:rPr>
      </w:pPr>
      <w:r>
        <w:pict w14:anchorId="64E7BC7A">
          <v:line id="_x0000_s1029" style="position:absolute;left:0;text-align:left;z-index:251660800;mso-position-horizontal-relative:page;mso-position-vertical-relative:page" from="98.5pt,725.3pt" to="243.4pt,725.3pt" strokeweight=".95pt">
            <w10:wrap anchorx="page" anchory="page"/>
          </v:line>
        </w:pict>
      </w:r>
      <w:r w:rsidR="00C22675">
        <w:rPr>
          <w:rFonts w:ascii="Verdana" w:eastAsia="Verdana" w:hAnsi="Verdana"/>
          <w:i/>
          <w:color w:val="000000"/>
          <w:spacing w:val="-7"/>
          <w:sz w:val="17"/>
          <w:lang w:val="it-IT"/>
        </w:rPr>
        <w:t>di una porzione di sovranità (sentenza n. 365 del 2007). L’unità del popolo e della nazione postula l’unicità della rappresentanza politica nazionale. Sul piano istituzionale, questa stessa rappresentanza e la conseguenziale cura delle esigenze unitarie sono affidate esclusivamente al Parlamento e in nessun caso possono essere riferite ai consigli regionali (sentenza n. 106 del 2002).</w:t>
      </w:r>
    </w:p>
    <w:p w14:paraId="2E217232" w14:textId="77777777" w:rsidR="009556D3" w:rsidRDefault="00C22675">
      <w:pPr>
        <w:spacing w:before="7" w:line="267" w:lineRule="exact"/>
        <w:jc w:val="center"/>
        <w:textAlignment w:val="baseline"/>
        <w:rPr>
          <w:rFonts w:ascii="Symbol" w:eastAsia="Symbol" w:hAnsi="Symbol"/>
          <w:color w:val="000000"/>
          <w:sz w:val="24"/>
          <w:lang w:val="it-IT"/>
        </w:rPr>
      </w:pPr>
      <w:r>
        <w:rPr>
          <w:rFonts w:ascii="Symbol" w:eastAsia="Symbol" w:hAnsi="Symbol"/>
          <w:color w:val="000000"/>
          <w:sz w:val="24"/>
          <w:lang w:val="it-IT"/>
        </w:rPr>
        <w:t>16</w:t>
      </w:r>
    </w:p>
    <w:p w14:paraId="5426AFA5" w14:textId="77777777" w:rsidR="009556D3" w:rsidRPr="00043CC8" w:rsidRDefault="009556D3">
      <w:pPr>
        <w:rPr>
          <w:lang w:val="it-IT"/>
        </w:rPr>
        <w:sectPr w:rsidR="009556D3" w:rsidRPr="00043CC8">
          <w:pgSz w:w="11909" w:h="16838"/>
          <w:pgMar w:top="1280" w:right="531" w:bottom="582" w:left="1970" w:header="720" w:footer="720" w:gutter="0"/>
          <w:cols w:space="720"/>
        </w:sectPr>
      </w:pPr>
    </w:p>
    <w:p w14:paraId="6B2D31B8" w14:textId="77777777" w:rsidR="009556D3" w:rsidRDefault="00C22675">
      <w:pPr>
        <w:spacing w:before="5"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lastRenderedPageBreak/>
        <w:t>decreti legislativi di determinazione dei LEP (quelli che si sarebbero dovuti informare ai criteri generici della L. 197/2022 e che quindi sono stati dichiarati incostituzionali), i LEP possono essere individuati con DPCM, appunto reiterando la norma della 197 che permetteva questo: l’art. 3, c. 9 è stato dichiarato incostituzionale per questo motivo.</w:t>
      </w:r>
    </w:p>
    <w:p w14:paraId="3FD94572" w14:textId="77777777" w:rsidR="009556D3" w:rsidRDefault="00C22675">
      <w:pPr>
        <w:spacing w:before="161"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In quarto luogo, la Consulta conferma anche sotto un profilo meno impattante il proprio orientamento: e così dichiara l’illegittimità della legge Calderoli, art. 3, c. 7, nella parte in cui prevede che l’aggiornamento dei LEP possa avvenire con DPCM: i giudici tacciano di irragionevolezza una norma che consente di modificare con una fonte secondaria quanto stabilito dalla fonte primaria.</w:t>
      </w:r>
    </w:p>
    <w:p w14:paraId="0D4A0BF2" w14:textId="77777777" w:rsidR="009556D3" w:rsidRDefault="00C22675">
      <w:pPr>
        <w:spacing w:before="168" w:line="422" w:lineRule="exact"/>
        <w:jc w:val="both"/>
        <w:textAlignment w:val="baseline"/>
        <w:rPr>
          <w:rFonts w:ascii="Bookman Old Style" w:eastAsia="Bookman Old Style" w:hAnsi="Bookman Old Style"/>
          <w:color w:val="000000"/>
          <w:spacing w:val="-1"/>
          <w:sz w:val="24"/>
          <w:lang w:val="it-IT"/>
        </w:rPr>
      </w:pPr>
      <w:r>
        <w:rPr>
          <w:rFonts w:ascii="Bookman Old Style" w:eastAsia="Bookman Old Style" w:hAnsi="Bookman Old Style"/>
          <w:color w:val="000000"/>
          <w:spacing w:val="-1"/>
          <w:sz w:val="24"/>
          <w:lang w:val="it-IT"/>
        </w:rPr>
        <w:t>In quinto luogo, con particolare riferimento al sistema di finanziamento del regionalismo asimmetrico ideato dalla legge Calderoli, la Corte non accoglie le eccezioni di incostituzionalità presentate dai ricorrenti, giudicando il sistema coerente con i principi della Costituzione e ritenendo, in astratto, che la logica seguita dalla riforma non sia necessariamente punitiva rispetto al finanziamento dei LEP. Ma fra le righe la Consulta evidenzia una lacuna importantissima le cui responsabilità non sono da addebitare naturalmente al governo che ha varato la L. 86/2024 ma che ha origini ben più risalenti: si tratta della mancata attuazione del fondo perequativo di cui all’art. 15 del d.lgs. n. 68/2011, decreto attuativo della legge delega n. 42/2009, sulla scorta della applicazione della funzione perequativa che il Costituente riconosce allo Stato nell’art. 119, c. 3. Si tratta di un vuoto che impedisce di appianare i divari di capacità fiscale fra i territori e che mina alla base l’applicazione concreta della 86/2024 e, in generale, di ogni forma di federalismo.</w:t>
      </w:r>
    </w:p>
    <w:p w14:paraId="6CB8FB1C" w14:textId="31C8646E" w:rsidR="009556D3" w:rsidRDefault="00C22675">
      <w:pPr>
        <w:spacing w:before="167"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 xml:space="preserve">In ultimo, rimanendo in tema di finanziamento e di reperimento delle risorse, la </w:t>
      </w:r>
      <w:proofErr w:type="spellStart"/>
      <w:r>
        <w:rPr>
          <w:rFonts w:ascii="Bookman Old Style" w:eastAsia="Bookman Old Style" w:hAnsi="Bookman Old Style"/>
          <w:color w:val="000000"/>
          <w:sz w:val="24"/>
          <w:lang w:val="it-IT"/>
        </w:rPr>
        <w:t>sent</w:t>
      </w:r>
      <w:proofErr w:type="spellEnd"/>
      <w:r>
        <w:rPr>
          <w:rFonts w:ascii="Bookman Old Style" w:eastAsia="Bookman Old Style" w:hAnsi="Bookman Old Style"/>
          <w:color w:val="000000"/>
          <w:sz w:val="24"/>
          <w:lang w:val="it-IT"/>
        </w:rPr>
        <w:t xml:space="preserve">. 192/2024 è assolutamente innovativa nel delineare un ragionamento originale. La </w:t>
      </w:r>
      <w:r w:rsidR="00043CC8">
        <w:rPr>
          <w:rFonts w:ascii="Bookman Old Style" w:eastAsia="Bookman Old Style" w:hAnsi="Bookman Old Style"/>
          <w:color w:val="000000"/>
          <w:sz w:val="24"/>
          <w:lang w:val="it-IT"/>
        </w:rPr>
        <w:t>Corte, infatti,</w:t>
      </w:r>
      <w:r>
        <w:rPr>
          <w:rFonts w:ascii="Bookman Old Style" w:eastAsia="Bookman Old Style" w:hAnsi="Bookman Old Style"/>
          <w:color w:val="000000"/>
          <w:sz w:val="24"/>
          <w:lang w:val="it-IT"/>
        </w:rPr>
        <w:t xml:space="preserve"> ritiene che il LEP, così come concettualmente ricostruito dall’art. 117, c. 2, lett. m), della Costituzione, rappresenti un </w:t>
      </w:r>
      <w:r w:rsidRPr="00871ECE">
        <w:rPr>
          <w:rFonts w:ascii="Bookman Old Style" w:eastAsia="Bookman Old Style" w:hAnsi="Bookman Old Style"/>
          <w:i/>
          <w:iCs/>
          <w:color w:val="000000"/>
          <w:sz w:val="24"/>
          <w:lang w:val="it-IT"/>
        </w:rPr>
        <w:t xml:space="preserve">quid </w:t>
      </w:r>
      <w:proofErr w:type="spellStart"/>
      <w:r w:rsidRPr="00871ECE">
        <w:rPr>
          <w:rFonts w:ascii="Bookman Old Style" w:eastAsia="Bookman Old Style" w:hAnsi="Bookman Old Style"/>
          <w:i/>
          <w:iCs/>
          <w:color w:val="000000"/>
          <w:sz w:val="24"/>
          <w:lang w:val="it-IT"/>
        </w:rPr>
        <w:t>pluris</w:t>
      </w:r>
      <w:proofErr w:type="spellEnd"/>
      <w:r>
        <w:rPr>
          <w:rFonts w:ascii="Bookman Old Style" w:eastAsia="Bookman Old Style" w:hAnsi="Bookman Old Style"/>
          <w:color w:val="000000"/>
          <w:sz w:val="24"/>
          <w:lang w:val="it-IT"/>
        </w:rPr>
        <w:t xml:space="preserve"> rispetto al c.d. nocciolo duro dei diritti civili e sociali. Dice la sentenza, cioè, che la dignità di ogni persona era garantita già dalla Costituzione in base al combinato disposto di cui agli artt. 2 e 3 e all’art. 38 in tema di assistenza sociale. Sotto questo aspetto, la costituzionalizzazione dei LEP è dunque</w:t>
      </w:r>
    </w:p>
    <w:p w14:paraId="0F8643DB" w14:textId="77777777" w:rsidR="009556D3" w:rsidRDefault="00C22675">
      <w:pPr>
        <w:spacing w:before="298" w:line="267" w:lineRule="exact"/>
        <w:jc w:val="center"/>
        <w:textAlignment w:val="baseline"/>
        <w:rPr>
          <w:rFonts w:ascii="Symbol" w:eastAsia="Symbol" w:hAnsi="Symbol"/>
          <w:color w:val="000000"/>
          <w:sz w:val="24"/>
          <w:lang w:val="it-IT"/>
        </w:rPr>
      </w:pPr>
      <w:r>
        <w:rPr>
          <w:rFonts w:ascii="Symbol" w:eastAsia="Symbol" w:hAnsi="Symbol"/>
          <w:color w:val="000000"/>
          <w:sz w:val="24"/>
          <w:lang w:val="it-IT"/>
        </w:rPr>
        <w:t>17</w:t>
      </w:r>
    </w:p>
    <w:p w14:paraId="2CE5E494" w14:textId="77777777" w:rsidR="009556D3" w:rsidRPr="00043CC8" w:rsidRDefault="009556D3">
      <w:pPr>
        <w:rPr>
          <w:lang w:val="it-IT"/>
        </w:rPr>
        <w:sectPr w:rsidR="009556D3" w:rsidRPr="00043CC8">
          <w:pgSz w:w="11909" w:h="16838"/>
          <w:pgMar w:top="1280" w:right="535" w:bottom="582" w:left="1966" w:header="720" w:footer="720" w:gutter="0"/>
          <w:cols w:space="720"/>
        </w:sectPr>
      </w:pPr>
    </w:p>
    <w:p w14:paraId="0A7EC834" w14:textId="4D48BBE9" w:rsidR="009556D3" w:rsidRDefault="00C22675">
      <w:pPr>
        <w:spacing w:before="8"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lastRenderedPageBreak/>
        <w:t xml:space="preserve">funzionale a un impegno di più ampio respiro: se il diritto basico è già garantito dalla Costituzione, il LEP serve ad aumentare la soglia di tutela, a migliorare la qualità del servizio rispetto al nocciolo duro garantito. </w:t>
      </w:r>
      <w:r w:rsidR="00871ECE">
        <w:rPr>
          <w:rFonts w:ascii="Bookman Old Style" w:eastAsia="Bookman Old Style" w:hAnsi="Bookman Old Style"/>
          <w:color w:val="000000"/>
          <w:sz w:val="24"/>
          <w:lang w:val="it-IT"/>
        </w:rPr>
        <w:t>È</w:t>
      </w:r>
      <w:r>
        <w:rPr>
          <w:rFonts w:ascii="Bookman Old Style" w:eastAsia="Bookman Old Style" w:hAnsi="Bookman Old Style"/>
          <w:color w:val="000000"/>
          <w:sz w:val="24"/>
          <w:lang w:val="it-IT"/>
        </w:rPr>
        <w:t xml:space="preserve"> solo oltre tale soglia che si può parlare di </w:t>
      </w:r>
      <w:r w:rsidR="00043CC8">
        <w:rPr>
          <w:rFonts w:ascii="Bookman Old Style" w:eastAsia="Bookman Old Style" w:hAnsi="Bookman Old Style"/>
          <w:color w:val="000000"/>
          <w:sz w:val="24"/>
          <w:lang w:val="it-IT"/>
        </w:rPr>
        <w:t>un bilanciamento</w:t>
      </w:r>
      <w:r>
        <w:rPr>
          <w:rFonts w:ascii="Bookman Old Style" w:eastAsia="Bookman Old Style" w:hAnsi="Bookman Old Style"/>
          <w:color w:val="000000"/>
          <w:sz w:val="24"/>
          <w:lang w:val="it-IT"/>
        </w:rPr>
        <w:t xml:space="preserve"> con il principio di equilibrio di bilancio di cui all’art. 81 della Costituzione poiché, in definitiva, questo bilanciamento a sua volta è posto per assicurare condizioni di vita uniformi e omogenee in tutto il territorio nazionale. Cioè, se nell’innalzamento della soglia di qualità superiore al diritto base di minima dignità ci sono cause di compromissione degli altri territori, allora bisogna considerare l’art. 81. Si tratta di una valorizzazione delle sentenze del 2013 che avevano dato una lettura analoga a determinate fattispecie di diritti al fine di preservare, da quel lato di osservazione, l’unità giuridica ed economica del Paese.</w:t>
      </w:r>
    </w:p>
    <w:p w14:paraId="3CD31C7A" w14:textId="77777777" w:rsidR="009556D3" w:rsidRDefault="00C22675">
      <w:pPr>
        <w:spacing w:before="168"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In definitiva i LEP, inseriti nella riforma del Tit. V della Costituzione furono ideati proprio per conciliare l’uguaglianza delle persone con l’autonomia dei territori: essi si atteggiano a naturale contraltare del regionalismo asimmetrico, identificando la costante ricerca di un punto di equilibrio che garantisca un adeguato rapporto fra la definizione di una determinata soglia di tutela dei diritti e la sostenibilità del regionalismo che si vuole introdurre. I LEP presidiano lo sviluppo di un regionalismo informato a criteri di equità e fondato sul valore della persona. Va aggiunto che il sistema ideato dal Costituente è, in astratto, assolutamente in grado di contemperare la dignità di ogni singolo cittadino con le esigenze di autonomia locale: basti pensare a una compiuta applicazione, accanto ai LEP, delle funzioni che abbiamo visto assegnate allo Stato centrale: funzione perequativa, funzione suppletiva, funzione sostitutiva.</w:t>
      </w:r>
    </w:p>
    <w:p w14:paraId="09F846E5" w14:textId="77777777" w:rsidR="009556D3" w:rsidRDefault="00C22675">
      <w:pPr>
        <w:spacing w:before="731" w:line="313" w:lineRule="exact"/>
        <w:jc w:val="center"/>
        <w:textAlignment w:val="baseline"/>
        <w:rPr>
          <w:rFonts w:ascii="Verdana" w:eastAsia="Verdana" w:hAnsi="Verdana"/>
          <w:b/>
          <w:i/>
          <w:color w:val="000000"/>
          <w:spacing w:val="-14"/>
          <w:sz w:val="25"/>
          <w:lang w:val="it-IT"/>
        </w:rPr>
      </w:pPr>
      <w:r>
        <w:rPr>
          <w:rFonts w:ascii="Verdana" w:eastAsia="Verdana" w:hAnsi="Verdana"/>
          <w:b/>
          <w:i/>
          <w:color w:val="000000"/>
          <w:spacing w:val="-14"/>
          <w:sz w:val="25"/>
          <w:lang w:val="it-IT"/>
        </w:rPr>
        <w:t>Lo strumento attuativo della sussidiarietà orizzontale</w:t>
      </w:r>
    </w:p>
    <w:p w14:paraId="14C4791D" w14:textId="33BC7142" w:rsidR="009556D3" w:rsidRDefault="00C22675">
      <w:pPr>
        <w:spacing w:before="206" w:after="593"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 xml:space="preserve">Come dicevamo all’inizio, il legislatore ha inteso apprestare una tutela forte ai diritti sociali e civili con uno strumento giuridico – che è quello dei LEP – e con uno strumento che possiamo definire attuativo che è quello della sussidiarietà orizzontale: il Costituente </w:t>
      </w:r>
      <w:r w:rsidR="00871ECE">
        <w:rPr>
          <w:rFonts w:ascii="Bookman Old Style" w:eastAsia="Bookman Old Style" w:hAnsi="Bookman Old Style"/>
          <w:color w:val="000000"/>
          <w:sz w:val="24"/>
          <w:lang w:val="it-IT"/>
        </w:rPr>
        <w:t>ha, cioè,</w:t>
      </w:r>
      <w:r>
        <w:rPr>
          <w:rFonts w:ascii="Bookman Old Style" w:eastAsia="Bookman Old Style" w:hAnsi="Bookman Old Style"/>
          <w:color w:val="000000"/>
          <w:sz w:val="24"/>
          <w:lang w:val="it-IT"/>
        </w:rPr>
        <w:t xml:space="preserve"> individuato una peculiarità che bisogna considerare quando si parla di tutela sociale della persona proprio perché</w:t>
      </w:r>
    </w:p>
    <w:p w14:paraId="506710AC" w14:textId="77777777" w:rsidR="009556D3" w:rsidRPr="00043CC8" w:rsidRDefault="009556D3">
      <w:pPr>
        <w:spacing w:before="206" w:after="593" w:line="422" w:lineRule="exact"/>
        <w:rPr>
          <w:lang w:val="it-IT"/>
        </w:rPr>
        <w:sectPr w:rsidR="009556D3" w:rsidRPr="00043CC8">
          <w:pgSz w:w="11909" w:h="16838"/>
          <w:pgMar w:top="1280" w:right="535" w:bottom="582" w:left="1966" w:header="720" w:footer="720" w:gutter="0"/>
          <w:cols w:space="720"/>
        </w:sectPr>
      </w:pPr>
    </w:p>
    <w:p w14:paraId="1CF766BC" w14:textId="77777777" w:rsidR="009556D3" w:rsidRDefault="00C22675">
      <w:pPr>
        <w:spacing w:line="272" w:lineRule="exact"/>
        <w:jc w:val="center"/>
        <w:textAlignment w:val="baseline"/>
        <w:rPr>
          <w:rFonts w:ascii="Symbol" w:eastAsia="Symbol" w:hAnsi="Symbol"/>
          <w:color w:val="000000"/>
          <w:sz w:val="25"/>
          <w:lang w:val="it-IT"/>
        </w:rPr>
      </w:pPr>
      <w:r>
        <w:rPr>
          <w:rFonts w:ascii="Symbol" w:eastAsia="Symbol" w:hAnsi="Symbol"/>
          <w:color w:val="000000"/>
          <w:sz w:val="25"/>
          <w:lang w:val="it-IT"/>
        </w:rPr>
        <w:t>18</w:t>
      </w:r>
    </w:p>
    <w:p w14:paraId="5A2D0260" w14:textId="77777777" w:rsidR="009556D3" w:rsidRPr="00043CC8" w:rsidRDefault="009556D3">
      <w:pPr>
        <w:rPr>
          <w:lang w:val="it-IT"/>
        </w:rPr>
        <w:sectPr w:rsidR="009556D3" w:rsidRPr="00043CC8">
          <w:type w:val="continuous"/>
          <w:pgSz w:w="11909" w:h="16838"/>
          <w:pgMar w:top="1280" w:right="535" w:bottom="582" w:left="1966" w:header="720" w:footer="720" w:gutter="0"/>
          <w:cols w:space="720"/>
        </w:sectPr>
      </w:pPr>
    </w:p>
    <w:p w14:paraId="0BC1130A" w14:textId="77777777" w:rsidR="009556D3" w:rsidRDefault="00C22675">
      <w:pPr>
        <w:spacing w:before="3"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lastRenderedPageBreak/>
        <w:t>entrano in gioco beni primari e fondamentali della persona umana e del suo livello di dignità.</w:t>
      </w:r>
    </w:p>
    <w:p w14:paraId="09042B45" w14:textId="77777777" w:rsidR="009556D3" w:rsidRDefault="00C22675">
      <w:pPr>
        <w:spacing w:before="161"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 xml:space="preserve">Lo strumento attuativo di cui parliamo è la sussidiarietà orizzontale, il cui il fondamento costituzionale è da individuarsi negli artt. 38, c. 5 – </w:t>
      </w:r>
      <w:r>
        <w:rPr>
          <w:rFonts w:ascii="Bookman Old Style" w:eastAsia="Bookman Old Style" w:hAnsi="Bookman Old Style"/>
          <w:i/>
          <w:color w:val="000000"/>
          <w:sz w:val="24"/>
          <w:lang w:val="it-IT"/>
        </w:rPr>
        <w:t xml:space="preserve">L’assistenza privata è libera - </w:t>
      </w:r>
      <w:r>
        <w:rPr>
          <w:rFonts w:ascii="Bookman Old Style" w:eastAsia="Bookman Old Style" w:hAnsi="Bookman Old Style"/>
          <w:color w:val="000000"/>
          <w:sz w:val="24"/>
          <w:lang w:val="it-IT"/>
        </w:rPr>
        <w:t xml:space="preserve">e nell’art. 118, c. 4 – </w:t>
      </w:r>
      <w:r>
        <w:rPr>
          <w:rFonts w:ascii="Bookman Old Style" w:eastAsia="Bookman Old Style" w:hAnsi="Bookman Old Style"/>
          <w:i/>
          <w:color w:val="000000"/>
          <w:sz w:val="24"/>
          <w:lang w:val="it-IT"/>
        </w:rPr>
        <w:t>Stato, Regioni, ecc. favoriscono l’autonoma iniziativa dei cittadini, singoli e associati, per lo svolgimento di attività di interesse generale, sulla base del principio di sussidiarietà.</w:t>
      </w:r>
    </w:p>
    <w:p w14:paraId="7FFCB839" w14:textId="607CB57C" w:rsidR="009556D3" w:rsidRDefault="00C22675">
      <w:pPr>
        <w:spacing w:before="169"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 xml:space="preserve">Trattandosi di un concetto molto evoluto di partecipazione – anzi che è potenzialmente in grado di superare il concetto stesso di partecipazione – si è dovuto attendere il 1998 per arrivare a una idea di attuazione del principio: il D.lgs. n. 112/1998, in esecuzione delle riforme Bassanini, delinea un modello di esercizio delle funzioni pubbliche che si apre alla comunità, attribuendo la responsabilità di compiti di rilevanza sociale anche ai membri della società civile (singoli, famiglie, associazioni, collettività). Il 112 mutua l’indirizzo espresso dalla </w:t>
      </w:r>
      <w:r w:rsidR="00871ECE">
        <w:rPr>
          <w:rFonts w:ascii="Bookman Old Style" w:eastAsia="Bookman Old Style" w:hAnsi="Bookman Old Style"/>
          <w:color w:val="000000"/>
          <w:sz w:val="24"/>
          <w:lang w:val="it-IT"/>
        </w:rPr>
        <w:t>Corte costituzionale</w:t>
      </w:r>
      <w:r>
        <w:rPr>
          <w:rFonts w:ascii="Bookman Old Style" w:eastAsia="Bookman Old Style" w:hAnsi="Bookman Old Style"/>
          <w:color w:val="000000"/>
          <w:sz w:val="24"/>
          <w:lang w:val="it-IT"/>
        </w:rPr>
        <w:t xml:space="preserve"> che nella </w:t>
      </w:r>
      <w:proofErr w:type="spellStart"/>
      <w:r>
        <w:rPr>
          <w:rFonts w:ascii="Bookman Old Style" w:eastAsia="Bookman Old Style" w:hAnsi="Bookman Old Style"/>
          <w:color w:val="000000"/>
          <w:sz w:val="24"/>
          <w:lang w:val="it-IT"/>
        </w:rPr>
        <w:t>sent</w:t>
      </w:r>
      <w:proofErr w:type="spellEnd"/>
      <w:r>
        <w:rPr>
          <w:rFonts w:ascii="Bookman Old Style" w:eastAsia="Bookman Old Style" w:hAnsi="Bookman Old Style"/>
          <w:color w:val="000000"/>
          <w:sz w:val="24"/>
          <w:lang w:val="it-IT"/>
        </w:rPr>
        <w:t xml:space="preserve">. n. 75/1992 parlava di </w:t>
      </w:r>
      <w:r>
        <w:rPr>
          <w:rFonts w:ascii="Bookman Old Style" w:eastAsia="Bookman Old Style" w:hAnsi="Bookman Old Style"/>
          <w:i/>
          <w:color w:val="000000"/>
          <w:sz w:val="24"/>
          <w:lang w:val="it-IT"/>
        </w:rPr>
        <w:t>innata socialità dell’uomo</w:t>
      </w:r>
      <w:r>
        <w:rPr>
          <w:rFonts w:ascii="Bookman Old Style" w:eastAsia="Bookman Old Style" w:hAnsi="Bookman Old Style"/>
          <w:color w:val="000000"/>
          <w:sz w:val="24"/>
          <w:lang w:val="it-IT"/>
        </w:rPr>
        <w:t xml:space="preserve">: la sussidiarietà orizzontale si fonda sull’idea che il perseguimento dell’interesse generale non sia esclusiva competenza dei poteri pubblici e che, quindi, attività utili per la collettività possano essere realizzate dall’iniziativa autonoma dei cittadini, proprio nello spirito di reciprocità e di cooperazione alla </w:t>
      </w:r>
      <w:r>
        <w:rPr>
          <w:rFonts w:ascii="Bookman Old Style" w:eastAsia="Bookman Old Style" w:hAnsi="Bookman Old Style"/>
          <w:i/>
          <w:color w:val="000000"/>
          <w:sz w:val="24"/>
          <w:lang w:val="it-IT"/>
        </w:rPr>
        <w:t xml:space="preserve">base della convivenza sociale normativamente prefigurata dal Costituente </w:t>
      </w:r>
      <w:r>
        <w:rPr>
          <w:rFonts w:ascii="Bookman Old Style" w:eastAsia="Bookman Old Style" w:hAnsi="Bookman Old Style"/>
          <w:color w:val="000000"/>
          <w:sz w:val="24"/>
          <w:lang w:val="it-IT"/>
        </w:rPr>
        <w:t>(</w:t>
      </w:r>
      <w:proofErr w:type="spellStart"/>
      <w:r>
        <w:rPr>
          <w:rFonts w:ascii="Bookman Old Style" w:eastAsia="Bookman Old Style" w:hAnsi="Bookman Old Style"/>
          <w:color w:val="000000"/>
          <w:sz w:val="24"/>
          <w:lang w:val="it-IT"/>
        </w:rPr>
        <w:t>sent</w:t>
      </w:r>
      <w:proofErr w:type="spellEnd"/>
      <w:r>
        <w:rPr>
          <w:rFonts w:ascii="Bookman Old Style" w:eastAsia="Bookman Old Style" w:hAnsi="Bookman Old Style"/>
          <w:color w:val="000000"/>
          <w:sz w:val="24"/>
          <w:lang w:val="it-IT"/>
        </w:rPr>
        <w:t>. 309/2013)</w:t>
      </w:r>
      <w:r>
        <w:rPr>
          <w:rFonts w:ascii="Bookman Old Style" w:eastAsia="Bookman Old Style" w:hAnsi="Bookman Old Style"/>
          <w:i/>
          <w:color w:val="000000"/>
          <w:sz w:val="24"/>
          <w:lang w:val="it-IT"/>
        </w:rPr>
        <w:t>.</w:t>
      </w:r>
    </w:p>
    <w:p w14:paraId="1D3471D3" w14:textId="77777777" w:rsidR="009556D3" w:rsidRDefault="00C22675">
      <w:pPr>
        <w:spacing w:before="166" w:after="1203" w:line="422" w:lineRule="exact"/>
        <w:jc w:val="both"/>
        <w:textAlignment w:val="baseline"/>
        <w:rPr>
          <w:rFonts w:ascii="Bookman Old Style" w:eastAsia="Bookman Old Style" w:hAnsi="Bookman Old Style"/>
          <w:color w:val="000000"/>
          <w:spacing w:val="-1"/>
          <w:sz w:val="24"/>
          <w:lang w:val="it-IT"/>
        </w:rPr>
      </w:pPr>
      <w:r>
        <w:rPr>
          <w:rFonts w:ascii="Bookman Old Style" w:eastAsia="Bookman Old Style" w:hAnsi="Bookman Old Style"/>
          <w:color w:val="000000"/>
          <w:spacing w:val="-1"/>
          <w:sz w:val="24"/>
          <w:lang w:val="it-IT"/>
        </w:rPr>
        <w:t>Nel campo dell’assistenza, tale modello si rivela come risorsa estremamente importante, favorendo un sistema di erogazione dei servizi sociali la cui gestione può essere affidata anche a privati, ovvero ai soggetti del terzo settore, enormemente valorizzati dal d.lgs. n. 117/2017</w:t>
      </w:r>
      <w:r>
        <w:rPr>
          <w:rFonts w:ascii="Bookman Old Style" w:eastAsia="Bookman Old Style" w:hAnsi="Bookman Old Style"/>
          <w:color w:val="000000"/>
          <w:spacing w:val="-1"/>
          <w:sz w:val="24"/>
          <w:vertAlign w:val="superscript"/>
          <w:lang w:val="it-IT"/>
        </w:rPr>
        <w:t>12</w:t>
      </w:r>
      <w:r>
        <w:rPr>
          <w:rFonts w:ascii="Bookman Old Style" w:eastAsia="Bookman Old Style" w:hAnsi="Bookman Old Style"/>
          <w:color w:val="000000"/>
          <w:spacing w:val="-1"/>
          <w:sz w:val="24"/>
          <w:lang w:val="it-IT"/>
        </w:rPr>
        <w:t xml:space="preserve"> che poi vedremo, denominati tutti insieme “privato sociale”. Questi affidamenti avvengono mediante modelli organizzativi semplificati, potenzialmente in grado di favorire un risparmio di spesa, in cui il potere pubblico, tutt’altro che esautorato, mantiene compiti essenziali di indirizzo, coordinamento e controllo che non possono che rimanere</w:t>
      </w:r>
    </w:p>
    <w:p w14:paraId="7FFF5CBA" w14:textId="77777777" w:rsidR="009556D3" w:rsidRDefault="00162321">
      <w:pPr>
        <w:spacing w:line="200" w:lineRule="exact"/>
        <w:textAlignment w:val="baseline"/>
        <w:rPr>
          <w:rFonts w:ascii="Arial" w:eastAsia="Arial" w:hAnsi="Arial"/>
          <w:b/>
          <w:color w:val="000000"/>
          <w:sz w:val="13"/>
          <w:vertAlign w:val="superscript"/>
          <w:lang w:val="it-IT"/>
        </w:rPr>
      </w:pPr>
      <w:r>
        <w:pict w14:anchorId="293676A1">
          <v:line id="_x0000_s1028" style="position:absolute;z-index:251661824;mso-position-horizontal-relative:page;mso-position-vertical-relative:page" from="98.3pt,761.75pt" to="243.4pt,761.75pt" strokeweight=".7pt">
            <w10:wrap anchorx="page" anchory="page"/>
          </v:line>
        </w:pict>
      </w:r>
      <w:r w:rsidR="00C22675">
        <w:rPr>
          <w:rFonts w:ascii="Arial" w:eastAsia="Arial" w:hAnsi="Arial"/>
          <w:b/>
          <w:color w:val="000000"/>
          <w:sz w:val="13"/>
          <w:vertAlign w:val="superscript"/>
          <w:lang w:val="it-IT"/>
        </w:rPr>
        <w:t>12</w:t>
      </w:r>
      <w:r w:rsidR="00C22675">
        <w:rPr>
          <w:rFonts w:ascii="Arial" w:eastAsia="Arial" w:hAnsi="Arial"/>
          <w:b/>
          <w:color w:val="000000"/>
          <w:sz w:val="17"/>
          <w:lang w:val="it-IT"/>
        </w:rPr>
        <w:t xml:space="preserve"> Prima riforma quadro del Terzo Settore nella storia giuridica italiana.</w:t>
      </w:r>
    </w:p>
    <w:p w14:paraId="02954ACD" w14:textId="77777777" w:rsidR="009556D3" w:rsidRPr="00043CC8" w:rsidRDefault="00C22675">
      <w:pPr>
        <w:spacing w:before="41" w:line="229" w:lineRule="exact"/>
        <w:jc w:val="center"/>
        <w:textAlignment w:val="baseline"/>
        <w:rPr>
          <w:rFonts w:ascii="Arial" w:eastAsia="Arial" w:hAnsi="Arial"/>
          <w:bCs/>
          <w:color w:val="000000"/>
          <w:sz w:val="21"/>
          <w:lang w:val="it-IT"/>
        </w:rPr>
      </w:pPr>
      <w:r w:rsidRPr="00043CC8">
        <w:rPr>
          <w:rFonts w:ascii="Arial" w:eastAsia="Arial" w:hAnsi="Arial"/>
          <w:bCs/>
          <w:color w:val="000000"/>
          <w:sz w:val="21"/>
          <w:lang w:val="it-IT"/>
        </w:rPr>
        <w:t>19</w:t>
      </w:r>
    </w:p>
    <w:p w14:paraId="34635E6F" w14:textId="77777777" w:rsidR="009556D3" w:rsidRPr="00043CC8" w:rsidRDefault="009556D3">
      <w:pPr>
        <w:rPr>
          <w:lang w:val="it-IT"/>
        </w:rPr>
        <w:sectPr w:rsidR="009556D3" w:rsidRPr="00043CC8">
          <w:pgSz w:w="11909" w:h="16838"/>
          <w:pgMar w:top="1280" w:right="535" w:bottom="582" w:left="1966" w:header="720" w:footer="720" w:gutter="0"/>
          <w:cols w:space="720"/>
        </w:sectPr>
      </w:pPr>
    </w:p>
    <w:p w14:paraId="632A987F" w14:textId="77777777" w:rsidR="009556D3" w:rsidRDefault="00C22675">
      <w:pPr>
        <w:spacing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lastRenderedPageBreak/>
        <w:t>in capo al soggetto sul quale grave, in ultima istanza, la responsabilità di garantire a tutte le persone i diritti di cittadinanza sociale.</w:t>
      </w:r>
    </w:p>
    <w:p w14:paraId="74293E9D" w14:textId="77777777" w:rsidR="009556D3" w:rsidRDefault="00C22675">
      <w:pPr>
        <w:spacing w:before="160"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Come si può ben immaginare, il percorso trova il suo compimento normativo con la 328/2000 che già nell’art. 1, c. 4, 5 e 6 riconosce il ruolo importante del privato sociale disponendo che:</w:t>
      </w:r>
    </w:p>
    <w:p w14:paraId="6D53FE40" w14:textId="77777777" w:rsidR="009556D3" w:rsidRDefault="00C22675">
      <w:pPr>
        <w:numPr>
          <w:ilvl w:val="0"/>
          <w:numId w:val="4"/>
        </w:numPr>
        <w:tabs>
          <w:tab w:val="clear" w:pos="360"/>
          <w:tab w:val="left" w:pos="1152"/>
        </w:tabs>
        <w:spacing w:before="165" w:line="422" w:lineRule="exact"/>
        <w:ind w:left="1152" w:hanging="360"/>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enti locali, regioni e Stato riconoscono e agevolano il ruolo degli organismi non lucrativi di utilità sociale e quindi del volontariato e degli organismi della cooperazione nella programmazione, nella organizzazione e nella gestione del sistema integrato di interventi e servizi sociali.</w:t>
      </w:r>
    </w:p>
    <w:p w14:paraId="4A4DC8C6" w14:textId="77777777" w:rsidR="009556D3" w:rsidRDefault="00C22675">
      <w:pPr>
        <w:numPr>
          <w:ilvl w:val="0"/>
          <w:numId w:val="4"/>
        </w:numPr>
        <w:tabs>
          <w:tab w:val="clear" w:pos="360"/>
          <w:tab w:val="left" w:pos="1152"/>
        </w:tabs>
        <w:spacing w:before="1" w:line="422" w:lineRule="exact"/>
        <w:ind w:left="1152" w:hanging="360"/>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gli stessi soggetti del privato sociale partecipano alla gestione e alla offerta dei servizi;</w:t>
      </w:r>
    </w:p>
    <w:p w14:paraId="251C2095" w14:textId="77777777" w:rsidR="009556D3" w:rsidRDefault="00C22675">
      <w:pPr>
        <w:numPr>
          <w:ilvl w:val="0"/>
          <w:numId w:val="4"/>
        </w:numPr>
        <w:tabs>
          <w:tab w:val="clear" w:pos="360"/>
          <w:tab w:val="left" w:pos="1152"/>
        </w:tabs>
        <w:spacing w:before="1" w:line="422" w:lineRule="exact"/>
        <w:ind w:left="1152" w:hanging="360"/>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Che il sistema integrato di interventi e servizi sociali ha tra gli scopi anche la promozione della solidarietà sociale, con la valorizzazione delle iniziative delle persone, dei nuclei familiari, delle forme di auto-aiuto e di reciprocità e della solidarietà organizzata;</w:t>
      </w:r>
    </w:p>
    <w:p w14:paraId="431AC700" w14:textId="77777777" w:rsidR="009556D3" w:rsidRDefault="00C22675">
      <w:pPr>
        <w:numPr>
          <w:ilvl w:val="0"/>
          <w:numId w:val="4"/>
        </w:numPr>
        <w:tabs>
          <w:tab w:val="clear" w:pos="360"/>
          <w:tab w:val="left" w:pos="1152"/>
        </w:tabs>
        <w:spacing w:before="2" w:line="422" w:lineRule="exact"/>
        <w:ind w:left="1152" w:hanging="360"/>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Che nella funzione di programmazione, l’ente pubblico deve promuovere la partecipazione attiva dei cittadini, il contributo delle organizzazioni sindacali, delle associazioni sociali e di tutela degli utenti.</w:t>
      </w:r>
    </w:p>
    <w:p w14:paraId="755120CA" w14:textId="4DEE3198" w:rsidR="009556D3" w:rsidRDefault="00043CC8">
      <w:pPr>
        <w:spacing w:before="166"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Dunque,</w:t>
      </w:r>
      <w:r w:rsidR="00C22675">
        <w:rPr>
          <w:rFonts w:ascii="Bookman Old Style" w:eastAsia="Bookman Old Style" w:hAnsi="Bookman Old Style"/>
          <w:color w:val="000000"/>
          <w:sz w:val="24"/>
          <w:lang w:val="it-IT"/>
        </w:rPr>
        <w:t xml:space="preserve"> la sussidiarietà orizzontale offre uno spazio fondamentale al ruolo del privato sociale, attraverso cui il principio di solidarietà di cui all’art. 2, quale valore alla base della convivenza civile, alimenta e chiude il circuito di programmazione e gestione </w:t>
      </w:r>
      <w:r>
        <w:rPr>
          <w:rFonts w:ascii="Bookman Old Style" w:eastAsia="Bookman Old Style" w:hAnsi="Bookman Old Style"/>
          <w:color w:val="000000"/>
          <w:sz w:val="24"/>
          <w:lang w:val="it-IT"/>
        </w:rPr>
        <w:t>del sistema</w:t>
      </w:r>
      <w:r w:rsidR="00C22675">
        <w:rPr>
          <w:rFonts w:ascii="Bookman Old Style" w:eastAsia="Bookman Old Style" w:hAnsi="Bookman Old Style"/>
          <w:color w:val="000000"/>
          <w:sz w:val="24"/>
          <w:lang w:val="it-IT"/>
        </w:rPr>
        <w:t xml:space="preserve"> integrato dei servizi sociali. Sostanzialmente, esponenti della società civile entrano a far parte della rete dell’assistenza sociale e sono così impegnati nella progettazione e realizzazione di interventi diretti a rimuovere le situazioni di disagio sociale.</w:t>
      </w:r>
    </w:p>
    <w:p w14:paraId="4463E4C3" w14:textId="77777777" w:rsidR="009556D3" w:rsidRDefault="00C22675">
      <w:pPr>
        <w:spacing w:before="165"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In questo contesto i comuni, cioè gli enti a stretto contatto con la comunità locale, hanno il compito di stimolare una partecipazione solidaristica dal basso a favore delle categorie più bisognose, anche conformandosi agli artt. 2 e 18 della Costituzione. Da ciò si desume la collocazione strategica dell’ente locale nella implementazione del welfare, non solo come soggetto responsabile della</w:t>
      </w:r>
    </w:p>
    <w:p w14:paraId="474BDE96" w14:textId="77777777" w:rsidR="009556D3" w:rsidRDefault="00C22675">
      <w:pPr>
        <w:spacing w:before="144" w:line="251" w:lineRule="exact"/>
        <w:ind w:left="4536"/>
        <w:jc w:val="both"/>
        <w:textAlignment w:val="baseline"/>
        <w:rPr>
          <w:rFonts w:ascii="Symbol" w:eastAsia="Symbol" w:hAnsi="Symbol"/>
          <w:color w:val="000000"/>
          <w:sz w:val="21"/>
          <w:lang w:val="it-IT"/>
        </w:rPr>
      </w:pPr>
      <w:r>
        <w:rPr>
          <w:rFonts w:ascii="Symbol" w:eastAsia="Symbol" w:hAnsi="Symbol"/>
          <w:color w:val="000000"/>
          <w:sz w:val="21"/>
          <w:lang w:val="it-IT"/>
        </w:rPr>
        <w:t>20</w:t>
      </w:r>
    </w:p>
    <w:p w14:paraId="44A700DA" w14:textId="77777777" w:rsidR="009556D3" w:rsidRPr="00043CC8" w:rsidRDefault="009556D3">
      <w:pPr>
        <w:rPr>
          <w:lang w:val="it-IT"/>
        </w:rPr>
        <w:sectPr w:rsidR="009556D3" w:rsidRPr="00043CC8">
          <w:pgSz w:w="11909" w:h="16838"/>
          <w:pgMar w:top="1280" w:right="535" w:bottom="582" w:left="1966" w:header="720" w:footer="720" w:gutter="0"/>
          <w:cols w:space="720"/>
        </w:sectPr>
      </w:pPr>
    </w:p>
    <w:p w14:paraId="55D8754C" w14:textId="77777777" w:rsidR="009556D3" w:rsidRDefault="00C22675">
      <w:pPr>
        <w:spacing w:before="8"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lastRenderedPageBreak/>
        <w:t>erogazione di servizi, ma anche nel ruolo di attore del coinvolgimento nella rete integrata dell’assistenza sociale di tutti i soggetti, pubblici e privati, che compongono la realtà locale, nonché per il monitoraggio e la vigilanza sugli interventi al fine di garantire qualità, efficacia ed efficienza dei servizi. Sotto questo aspetto è possibile cogliere un collegamento diretto con il tema dei controlli in materia di servizi e prestazioni sociali che, generalmente, hanno il loro punto di ricaduta in un concetto di “controllo diffuso”. Di tal che, il comune ha il dovere di individuare, promuovere e “generare” le risorse della collettività sociale e di valorizzare il proprio territorio per finalizzare tutto ciò alla progettazione ed erogazione dei servizi alla persona; in maniera tale da generare una solidarietà condivisa e attiva per sviluppare modelli funzionali alla riduzione delle situazioni di fragilità e alla promozione del benessere individuale e collettivo.</w:t>
      </w:r>
    </w:p>
    <w:p w14:paraId="6C18D719" w14:textId="77777777" w:rsidR="009556D3" w:rsidRDefault="00C22675">
      <w:pPr>
        <w:spacing w:before="166"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Lo strumento con cui trova pieno compimento il principio di sussidiarietà orizzontale è il codice del terzo settore, d.lgs. n. 117/2017 in attuazione della legge delega n. 106/2016, che “crea” negli artt. 55 – 57, due fattispecie nel campo del welfare: la co-programmazione e la co-progettazione. Una terza, il convenzionamento con soggetti accreditati esisteva già ma viene disciplinata in modo organico dalla riforma.</w:t>
      </w:r>
    </w:p>
    <w:p w14:paraId="1000C8E7" w14:textId="77777777" w:rsidR="009556D3" w:rsidRDefault="00C22675">
      <w:pPr>
        <w:spacing w:before="161"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Sostanzialmente, viene previsto che in attuazione della sussidiarietà orizzontale, gli enti locali, nell'esercizio delle proprie funzioni di programmazione e organizzazione a livello territoriale degli interventi e dei servizi sociali, devono assicurare il coinvolgimento attivo degli enti del Terzo settore: e ciò deve accade mediante gli istituti della co-programmazione, co-progettazione e convenzionamento.</w:t>
      </w:r>
    </w:p>
    <w:p w14:paraId="09281246" w14:textId="77777777" w:rsidR="009556D3" w:rsidRDefault="00C22675">
      <w:pPr>
        <w:spacing w:before="165" w:after="690" w:line="422" w:lineRule="exact"/>
        <w:jc w:val="both"/>
        <w:textAlignment w:val="baseline"/>
        <w:rPr>
          <w:rFonts w:ascii="Bookman Old Style" w:eastAsia="Bookman Old Style" w:hAnsi="Bookman Old Style"/>
          <w:color w:val="000000"/>
          <w:spacing w:val="-1"/>
          <w:sz w:val="24"/>
          <w:lang w:val="it-IT"/>
        </w:rPr>
      </w:pPr>
      <w:r>
        <w:rPr>
          <w:rFonts w:ascii="Bookman Old Style" w:eastAsia="Bookman Old Style" w:hAnsi="Bookman Old Style"/>
          <w:color w:val="000000"/>
          <w:spacing w:val="-1"/>
          <w:sz w:val="24"/>
          <w:lang w:val="it-IT"/>
        </w:rPr>
        <w:t>La co-programmazione è finalizzata all'individuazione, da parte della pubblica amministrazione procedente, dei bisogni da soddisfare, degli interventi a tal fine necessari, delle modalità di realizzazione degli stessi e delle risorse disponibili e viene effettuata creando tavoli cui partecipano parti sociali e quindi OOSS, terzo settore, ASL e, possibilmente scuola e centri dell’impiego. In questi tavoli viene ideata e decisa la programmazione sociale di zona, nel quadro tracciato dalla</w:t>
      </w:r>
    </w:p>
    <w:p w14:paraId="6151BE6D" w14:textId="77777777" w:rsidR="009556D3" w:rsidRPr="00043CC8" w:rsidRDefault="009556D3">
      <w:pPr>
        <w:spacing w:before="165" w:after="690" w:line="422" w:lineRule="exact"/>
        <w:rPr>
          <w:lang w:val="it-IT"/>
        </w:rPr>
        <w:sectPr w:rsidR="009556D3" w:rsidRPr="00043CC8">
          <w:pgSz w:w="11909" w:h="16838"/>
          <w:pgMar w:top="1280" w:right="535" w:bottom="582" w:left="1966" w:header="720" w:footer="720" w:gutter="0"/>
          <w:cols w:space="720"/>
        </w:sectPr>
      </w:pPr>
    </w:p>
    <w:p w14:paraId="180341E1" w14:textId="77777777" w:rsidR="009556D3" w:rsidRDefault="00C22675">
      <w:pPr>
        <w:spacing w:before="20" w:line="262" w:lineRule="exact"/>
        <w:jc w:val="center"/>
        <w:textAlignment w:val="baseline"/>
        <w:rPr>
          <w:rFonts w:ascii="Symbol" w:eastAsia="Symbol" w:hAnsi="Symbol"/>
          <w:color w:val="000000"/>
          <w:sz w:val="23"/>
          <w:lang w:val="it-IT"/>
        </w:rPr>
      </w:pPr>
      <w:r>
        <w:rPr>
          <w:rFonts w:ascii="Symbol" w:eastAsia="Symbol" w:hAnsi="Symbol"/>
          <w:color w:val="000000"/>
          <w:sz w:val="23"/>
          <w:lang w:val="it-IT"/>
        </w:rPr>
        <w:t>21</w:t>
      </w:r>
    </w:p>
    <w:p w14:paraId="500305E4" w14:textId="77777777" w:rsidR="009556D3" w:rsidRPr="00043CC8" w:rsidRDefault="009556D3">
      <w:pPr>
        <w:rPr>
          <w:lang w:val="it-IT"/>
        </w:rPr>
        <w:sectPr w:rsidR="009556D3" w:rsidRPr="00043CC8">
          <w:type w:val="continuous"/>
          <w:pgSz w:w="11909" w:h="16838"/>
          <w:pgMar w:top="1280" w:right="540" w:bottom="582" w:left="1961" w:header="720" w:footer="720" w:gutter="0"/>
          <w:cols w:space="720"/>
        </w:sectPr>
      </w:pPr>
    </w:p>
    <w:p w14:paraId="1F05DBAA" w14:textId="77777777" w:rsidR="009556D3" w:rsidRDefault="00C22675">
      <w:pPr>
        <w:spacing w:before="5"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lastRenderedPageBreak/>
        <w:t>programmazione sociale regionale, che normalmente ha un arco di sviluppo triennale, tenendo presente che i soggetti intervenuti hanno pari dignità.</w:t>
      </w:r>
    </w:p>
    <w:p w14:paraId="3EC8C872" w14:textId="77777777" w:rsidR="009556D3" w:rsidRDefault="00C22675">
      <w:pPr>
        <w:spacing w:before="162"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 xml:space="preserve">La co-progettazione è finalizzata alla definizione ed eventualmente alla realizzazione di specifici progetti di servizio o di intervento finalizzati a soddisfare bisogni definiti, alla luce degli strumenti di programmazione: che significa che con il ricorso alla co-progettazione possono essere svolti esattamente tutti i servizi pubblici locali che abbiano rilevanza sociale e che siano compresi nell’art. 5 del codice. Si faccia attenzione al fatto che l’art. 55 stabilisce che gli enti pubblici </w:t>
      </w:r>
      <w:r>
        <w:rPr>
          <w:rFonts w:ascii="Bookman Old Style" w:eastAsia="Bookman Old Style" w:hAnsi="Bookman Old Style"/>
          <w:i/>
          <w:color w:val="000000"/>
          <w:sz w:val="24"/>
          <w:lang w:val="it-IT"/>
        </w:rPr>
        <w:t xml:space="preserve">assicurano il coinvolgimento </w:t>
      </w:r>
      <w:r>
        <w:rPr>
          <w:rFonts w:ascii="Bookman Old Style" w:eastAsia="Bookman Old Style" w:hAnsi="Bookman Old Style"/>
          <w:color w:val="000000"/>
          <w:sz w:val="24"/>
          <w:lang w:val="it-IT"/>
        </w:rPr>
        <w:t>non che possono assicurare il coinvolgimento.</w:t>
      </w:r>
    </w:p>
    <w:p w14:paraId="37BEA664" w14:textId="77777777" w:rsidR="009556D3" w:rsidRDefault="00C22675">
      <w:pPr>
        <w:spacing w:before="166"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Infine, i comuni possono sottoscrivere con le organizzazioni di volontariato e le associazioni di promozione sociale convenzioni finalizzate allo svolgimento in favore di terzi di attività o servizi sociali di interesse generale, se più favorevoli rispetto al ricorso al mercato: e, dal momento che gli ETS per antonomasia non perseguono fini di lucro la competitività rispetto al mercato è evidente anche perché questi accordi convenzionali possono prevedere esclusivamente il rimborso delle spese effettivamente sostenute e documentate.</w:t>
      </w:r>
    </w:p>
    <w:p w14:paraId="2802102A" w14:textId="77777777" w:rsidR="009556D3" w:rsidRDefault="00C22675">
      <w:pPr>
        <w:spacing w:before="160"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In altri termini, la scelta della modalità di organizzazione e di affidamento di un servizio sociale è in primo luogo la scelta fra le diverse tipologie di relazioni fra PA ed ETS per poi scegliere la disciplina ritenuta più funzionale. Si risolve così in una scelta di apprezzamento discrezionale che ha un contenuto politico.</w:t>
      </w:r>
    </w:p>
    <w:p w14:paraId="7232D9D2" w14:textId="77777777" w:rsidR="009556D3" w:rsidRDefault="00C22675">
      <w:pPr>
        <w:spacing w:before="164"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Come scontato, subito dopo l’approvazione del CTS, è seguito un dibattito focalizzato non già sulla novità (ratio e portata) del diritto del Terzo settore, bensì della riconduzione di quel diritto al diritto dei contratti pubblici considerando l’inevitabile operatività nella materia di un principio di specialità.</w:t>
      </w:r>
    </w:p>
    <w:p w14:paraId="23DB40D5" w14:textId="77777777" w:rsidR="009556D3" w:rsidRDefault="00C22675">
      <w:pPr>
        <w:spacing w:before="166" w:after="410"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È noto che il Consiglio di Stato nel parere n. 2052 del 2018 aveva dato un’interpretazione restrittiva del Codice del Terzo Settore e, dunque, sostenuto la residualità degli istituti collaborativi in esso previsti, in conseguenza dell’affermata supremazia del diritto euro-unitario a tutela della concorrenza, costituito - a livello interno - dal Codice dei contratti pubblici. Seguivano varie vicende giuridiche che culminavano – come vedremo - nel parere interlocutorio</w:t>
      </w:r>
    </w:p>
    <w:p w14:paraId="2D52E274" w14:textId="77777777" w:rsidR="009556D3" w:rsidRPr="00043CC8" w:rsidRDefault="009556D3">
      <w:pPr>
        <w:spacing w:before="166" w:after="410" w:line="422" w:lineRule="exact"/>
        <w:rPr>
          <w:lang w:val="it-IT"/>
        </w:rPr>
        <w:sectPr w:rsidR="009556D3" w:rsidRPr="00043CC8">
          <w:pgSz w:w="11909" w:h="16838"/>
          <w:pgMar w:top="1280" w:right="535" w:bottom="582" w:left="1966" w:header="720" w:footer="720" w:gutter="0"/>
          <w:cols w:space="720"/>
        </w:sectPr>
      </w:pPr>
    </w:p>
    <w:p w14:paraId="5FC64305" w14:textId="77777777" w:rsidR="009556D3" w:rsidRPr="00043CC8" w:rsidRDefault="00C22675" w:rsidP="00043CC8">
      <w:pPr>
        <w:spacing w:before="20" w:line="262" w:lineRule="exact"/>
        <w:jc w:val="center"/>
        <w:textAlignment w:val="baseline"/>
        <w:rPr>
          <w:rFonts w:ascii="Symbol" w:eastAsia="Symbol" w:hAnsi="Symbol"/>
          <w:color w:val="000000"/>
          <w:sz w:val="23"/>
          <w:lang w:val="it-IT"/>
        </w:rPr>
      </w:pPr>
      <w:r w:rsidRPr="00043CC8">
        <w:rPr>
          <w:rFonts w:ascii="Symbol" w:eastAsia="Symbol" w:hAnsi="Symbol"/>
          <w:color w:val="000000"/>
          <w:sz w:val="23"/>
          <w:lang w:val="it-IT"/>
        </w:rPr>
        <w:t>22</w:t>
      </w:r>
    </w:p>
    <w:p w14:paraId="54061093" w14:textId="77777777" w:rsidR="009556D3" w:rsidRPr="00043CC8" w:rsidRDefault="009556D3">
      <w:pPr>
        <w:rPr>
          <w:lang w:val="it-IT"/>
        </w:rPr>
        <w:sectPr w:rsidR="009556D3" w:rsidRPr="00043CC8">
          <w:type w:val="continuous"/>
          <w:pgSz w:w="11909" w:h="16838"/>
          <w:pgMar w:top="1280" w:right="540" w:bottom="582" w:left="1961" w:header="720" w:footer="720" w:gutter="0"/>
          <w:cols w:space="720"/>
        </w:sectPr>
      </w:pPr>
    </w:p>
    <w:p w14:paraId="130BDF8B" w14:textId="67033A4C" w:rsidR="00577B18" w:rsidRDefault="00C22675">
      <w:pPr>
        <w:spacing w:before="9"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lastRenderedPageBreak/>
        <w:t xml:space="preserve">n. 802/2022 del CdS, reso sulla bozza di linee guida dell’ANAC sull’affidamento dei servizi sociali. Il primo evento, non in ordine cronologico, riguarda le modifiche </w:t>
      </w:r>
      <w:r w:rsidR="00577B18" w:rsidRPr="000D6E23">
        <w:rPr>
          <w:rFonts w:ascii="Bookman Old Style" w:eastAsia="Bookman Old Style" w:hAnsi="Bookman Old Style"/>
          <w:color w:val="000000"/>
          <w:sz w:val="24"/>
          <w:lang w:val="it-IT"/>
        </w:rPr>
        <w:t>apportate al Codice dei contratti vigente nel 2020 (d.lgs. n. 50/2016</w:t>
      </w:r>
      <w:r w:rsidR="00CE3E60" w:rsidRPr="000D6E23">
        <w:rPr>
          <w:rStyle w:val="Rimandonotaapidipagina"/>
          <w:rFonts w:ascii="Bookman Old Style" w:eastAsia="Bookman Old Style" w:hAnsi="Bookman Old Style"/>
          <w:color w:val="000000"/>
          <w:sz w:val="24"/>
          <w:lang w:val="it-IT"/>
        </w:rPr>
        <w:footnoteReference w:id="1"/>
      </w:r>
      <w:r w:rsidR="00577B18" w:rsidRPr="000D6E23">
        <w:rPr>
          <w:rFonts w:ascii="Bookman Old Style" w:eastAsia="Bookman Old Style" w:hAnsi="Bookman Old Style"/>
          <w:color w:val="000000"/>
          <w:sz w:val="24"/>
          <w:lang w:val="it-IT"/>
        </w:rPr>
        <w:t>). In particolare, si tratta dell’art. 8, c. 5, lett. c/bis della legge n. 120/2020 che modifica l’art. 140, del. D.lgs. n. 50/2016, intitolato “Norme applicabili ai servizi sociali e ad altri servizi specifici dei settori speciali”. Al c. 1 dell’art. 140 viene stabilito che “Gli appalti di servizi sociali e di altri servizi specifici di cui all'allegato IX sono aggiudicati in applicazione degli articoli 142, 143, 144, salvo quanto disposto nel presente articolo e fermo restando quanto previsto dal titolo VII del decreto legislativo 3 luglio 2017, n. 117.” La dottrina ha interpretato questo fermo rinvio alla disciplina del d.lgs. n. 117/2017 come una volontà del legislatore di evidenziare la peculiarità e la specialità della normativa del Terzo Settore in materia di affidamento di servizi.</w:t>
      </w:r>
      <w:r>
        <w:rPr>
          <w:rFonts w:ascii="Bookman Old Style" w:eastAsia="Bookman Old Style" w:hAnsi="Bookman Old Style"/>
          <w:color w:val="000000"/>
          <w:sz w:val="24"/>
          <w:lang w:val="it-IT"/>
        </w:rPr>
        <w:t xml:space="preserve"> </w:t>
      </w:r>
    </w:p>
    <w:p w14:paraId="07B6B79D" w14:textId="51CF26AF" w:rsidR="009556D3" w:rsidRDefault="00C22675">
      <w:pPr>
        <w:spacing w:before="9"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 xml:space="preserve">Arriva poi la sentenza </w:t>
      </w:r>
      <w:proofErr w:type="gramStart"/>
      <w:r>
        <w:rPr>
          <w:rFonts w:ascii="Bookman Old Style" w:eastAsia="Bookman Old Style" w:hAnsi="Bookman Old Style"/>
          <w:color w:val="000000"/>
          <w:sz w:val="24"/>
          <w:lang w:val="it-IT"/>
        </w:rPr>
        <w:t>Corte Costituzionale</w:t>
      </w:r>
      <w:proofErr w:type="gramEnd"/>
      <w:r>
        <w:rPr>
          <w:rFonts w:ascii="Bookman Old Style" w:eastAsia="Bookman Old Style" w:hAnsi="Bookman Old Style"/>
          <w:color w:val="000000"/>
          <w:sz w:val="24"/>
          <w:lang w:val="it-IT"/>
        </w:rPr>
        <w:t xml:space="preserve"> n. 131/2020, la quale recita testualmente che l’art. 55 del Codice del terzo settore </w:t>
      </w:r>
      <w:r>
        <w:rPr>
          <w:rFonts w:ascii="Bookman Old Style" w:eastAsia="Bookman Old Style" w:hAnsi="Bookman Old Style"/>
          <w:i/>
          <w:color w:val="000000"/>
          <w:sz w:val="24"/>
          <w:lang w:val="it-IT"/>
        </w:rPr>
        <w:t xml:space="preserve">realizza per la prima volta in termini generali una vera e propria procedimentalizzazione dell’azione sussidiaria, </w:t>
      </w:r>
      <w:r>
        <w:rPr>
          <w:rFonts w:ascii="Bookman Old Style" w:eastAsia="Bookman Old Style" w:hAnsi="Bookman Old Style"/>
          <w:color w:val="000000"/>
          <w:sz w:val="24"/>
          <w:lang w:val="it-IT"/>
        </w:rPr>
        <w:t xml:space="preserve">integrando </w:t>
      </w:r>
      <w:r>
        <w:rPr>
          <w:rFonts w:ascii="Bookman Old Style" w:eastAsia="Bookman Old Style" w:hAnsi="Bookman Old Style"/>
          <w:i/>
          <w:color w:val="000000"/>
          <w:sz w:val="24"/>
          <w:lang w:val="it-IT"/>
        </w:rPr>
        <w:t xml:space="preserve">una delle più significative attuazioni del principio di sussidiarietà orizzontale valorizzato dall’art. 118, quarto comma, </w:t>
      </w:r>
      <w:proofErr w:type="gramStart"/>
      <w:r>
        <w:rPr>
          <w:rFonts w:ascii="Bookman Old Style" w:eastAsia="Bookman Old Style" w:hAnsi="Bookman Old Style"/>
          <w:i/>
          <w:color w:val="000000"/>
          <w:sz w:val="24"/>
          <w:lang w:val="it-IT"/>
        </w:rPr>
        <w:t>Cost..</w:t>
      </w:r>
      <w:proofErr w:type="gramEnd"/>
      <w:r>
        <w:rPr>
          <w:rFonts w:ascii="Bookman Old Style" w:eastAsia="Bookman Old Style" w:hAnsi="Bookman Old Style"/>
          <w:i/>
          <w:color w:val="000000"/>
          <w:sz w:val="24"/>
          <w:lang w:val="it-IT"/>
        </w:rPr>
        <w:t xml:space="preserve"> </w:t>
      </w:r>
      <w:proofErr w:type="gramStart"/>
      <w:r>
        <w:rPr>
          <w:rFonts w:ascii="Bookman Old Style" w:eastAsia="Bookman Old Style" w:hAnsi="Bookman Old Style"/>
          <w:color w:val="000000"/>
          <w:sz w:val="24"/>
          <w:lang w:val="it-IT"/>
        </w:rPr>
        <w:t>E’</w:t>
      </w:r>
      <w:proofErr w:type="gramEnd"/>
      <w:r>
        <w:rPr>
          <w:rFonts w:ascii="Bookman Old Style" w:eastAsia="Bookman Old Style" w:hAnsi="Bookman Old Style"/>
          <w:color w:val="000000"/>
          <w:sz w:val="24"/>
          <w:lang w:val="it-IT"/>
        </w:rPr>
        <w:t xml:space="preserve"> un modo per sugellare l’alternatività al mercato della metodologia di affidamento dei servizi secondo lo schema della disciplina del terzo settore. La Corte sostiene anche la compatibilità con il diritto euro unitario di questo schema ritenendo </w:t>
      </w:r>
      <w:r>
        <w:rPr>
          <w:rFonts w:ascii="Bookman Old Style" w:eastAsia="Bookman Old Style" w:hAnsi="Bookman Old Style"/>
          <w:i/>
          <w:color w:val="000000"/>
          <w:sz w:val="24"/>
          <w:lang w:val="it-IT"/>
        </w:rPr>
        <w:t>che lo stesso diritto dell’Unione ... mantiene, a ben vedere, in capo agli Stati membri la possibilità di apprestare, in relazione ad attività a spiccata valenza sociale, un modello organizzativo ispirato non al principio di concorrenza ma a quello di solidarietà.</w:t>
      </w:r>
    </w:p>
    <w:p w14:paraId="07AEBE35" w14:textId="77777777" w:rsidR="009556D3" w:rsidRDefault="00C22675">
      <w:pPr>
        <w:spacing w:before="169" w:after="1280" w:line="422" w:lineRule="exact"/>
        <w:jc w:val="both"/>
        <w:textAlignment w:val="baseline"/>
        <w:rPr>
          <w:rFonts w:ascii="Bookman Old Style" w:eastAsia="Bookman Old Style" w:hAnsi="Bookman Old Style"/>
          <w:color w:val="000000"/>
          <w:spacing w:val="-1"/>
          <w:sz w:val="24"/>
          <w:lang w:val="it-IT"/>
        </w:rPr>
      </w:pPr>
      <w:r>
        <w:rPr>
          <w:rFonts w:ascii="Bookman Old Style" w:eastAsia="Bookman Old Style" w:hAnsi="Bookman Old Style"/>
          <w:color w:val="000000"/>
          <w:spacing w:val="-1"/>
          <w:sz w:val="24"/>
          <w:lang w:val="it-IT"/>
        </w:rPr>
        <w:t xml:space="preserve">La </w:t>
      </w:r>
      <w:proofErr w:type="spellStart"/>
      <w:r>
        <w:rPr>
          <w:rFonts w:ascii="Bookman Old Style" w:eastAsia="Bookman Old Style" w:hAnsi="Bookman Old Style"/>
          <w:color w:val="000000"/>
          <w:spacing w:val="-1"/>
          <w:sz w:val="24"/>
          <w:lang w:val="it-IT"/>
        </w:rPr>
        <w:t>sent</w:t>
      </w:r>
      <w:proofErr w:type="spellEnd"/>
      <w:r>
        <w:rPr>
          <w:rFonts w:ascii="Bookman Old Style" w:eastAsia="Bookman Old Style" w:hAnsi="Bookman Old Style"/>
          <w:color w:val="000000"/>
          <w:spacing w:val="-1"/>
          <w:sz w:val="24"/>
          <w:lang w:val="it-IT"/>
        </w:rPr>
        <w:t xml:space="preserve">. 131/2020 rappresenta una vera e propria pietra miliare sulla strada della reale attuazione del principio costituzionale di sussidiarietà. La Corte parla espressamente ed evolutivamente di un </w:t>
      </w:r>
      <w:r>
        <w:rPr>
          <w:rFonts w:ascii="Bookman Old Style" w:eastAsia="Bookman Old Style" w:hAnsi="Bookman Old Style"/>
          <w:i/>
          <w:color w:val="000000"/>
          <w:spacing w:val="-1"/>
          <w:sz w:val="24"/>
          <w:lang w:val="it-IT"/>
        </w:rPr>
        <w:t>canale di collaborazione tra PA e ETS che può definirsi amministrazione condivisa</w:t>
      </w:r>
      <w:r>
        <w:rPr>
          <w:rFonts w:ascii="Bookman Old Style" w:eastAsia="Bookman Old Style" w:hAnsi="Bookman Old Style"/>
          <w:color w:val="000000"/>
          <w:spacing w:val="-1"/>
          <w:sz w:val="24"/>
          <w:lang w:val="it-IT"/>
        </w:rPr>
        <w:t xml:space="preserve">, alternativo a quello del profitto e del mercato, in cui la co-programmazione, la co-progettazione e il partenariato (che può condurre anche a forme di accreditamento) si configurano come espressione di un diverso rapporto tra pubblico e privato sociale, non fondato semplicemente sul rapporto sinallagmatico, bensì soprattutto sulla “convergenza di obiettivi e </w:t>
      </w:r>
      <w:r>
        <w:rPr>
          <w:rFonts w:ascii="Bookman Old Style" w:eastAsia="Bookman Old Style" w:hAnsi="Bookman Old Style"/>
          <w:color w:val="000000"/>
          <w:spacing w:val="-1"/>
          <w:sz w:val="24"/>
          <w:lang w:val="it-IT"/>
        </w:rPr>
        <w:lastRenderedPageBreak/>
        <w:t>sulla “aggregazione di risorse” pubbliche e private per la programmazione di servizi diretti ad elevare i livelli di cittadinanza attiva, di coesione e protezione sociale, secondo una sfera dimensionale che si colloca al di là dei meri interessi utilitaristici e del concetto di corrispettivo.</w:t>
      </w:r>
    </w:p>
    <w:p w14:paraId="37F276AE" w14:textId="77777777" w:rsidR="009556D3" w:rsidRPr="00043CC8" w:rsidRDefault="00C22675" w:rsidP="00043CC8">
      <w:pPr>
        <w:spacing w:before="43" w:line="251" w:lineRule="exact"/>
        <w:jc w:val="center"/>
        <w:textAlignment w:val="baseline"/>
        <w:rPr>
          <w:rFonts w:ascii="Symbol" w:eastAsia="Symbol" w:hAnsi="Symbol"/>
          <w:color w:val="000000"/>
          <w:sz w:val="21"/>
          <w:lang w:val="it-IT"/>
        </w:rPr>
      </w:pPr>
      <w:r w:rsidRPr="00043CC8">
        <w:rPr>
          <w:rFonts w:ascii="Symbol" w:eastAsia="Symbol" w:hAnsi="Symbol"/>
          <w:color w:val="000000"/>
          <w:sz w:val="21"/>
          <w:lang w:val="it-IT"/>
        </w:rPr>
        <w:t>23</w:t>
      </w:r>
    </w:p>
    <w:p w14:paraId="17B3452A" w14:textId="77777777" w:rsidR="009556D3" w:rsidRDefault="009556D3">
      <w:pPr>
        <w:rPr>
          <w:lang w:val="it-IT"/>
        </w:rPr>
      </w:pPr>
    </w:p>
    <w:p w14:paraId="6BBFCA73" w14:textId="01E05F43" w:rsidR="00CE3E60" w:rsidRPr="00043CC8" w:rsidRDefault="00CE3E60">
      <w:pPr>
        <w:rPr>
          <w:lang w:val="it-IT"/>
        </w:rPr>
        <w:sectPr w:rsidR="00CE3E60" w:rsidRPr="00043CC8">
          <w:pgSz w:w="11909" w:h="16838"/>
          <w:pgMar w:top="1280" w:right="535" w:bottom="582" w:left="1966" w:header="720" w:footer="720" w:gutter="0"/>
          <w:cols w:space="720"/>
        </w:sectPr>
      </w:pPr>
    </w:p>
    <w:p w14:paraId="37C6846E" w14:textId="64A3B7BB" w:rsidR="009556D3" w:rsidRDefault="00C22675">
      <w:pPr>
        <w:spacing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lastRenderedPageBreak/>
        <w:t xml:space="preserve">Per effetto di tali novità il Consiglio di Stato, rivedendo e superando il proprio precedente orientamento interpretativo del </w:t>
      </w:r>
      <w:r w:rsidRPr="000D6E23">
        <w:rPr>
          <w:rFonts w:ascii="Bookman Old Style" w:eastAsia="Bookman Old Style" w:hAnsi="Bookman Old Style"/>
          <w:color w:val="000000"/>
          <w:sz w:val="24"/>
          <w:lang w:val="it-IT"/>
        </w:rPr>
        <w:t>2018</w:t>
      </w:r>
      <w:r w:rsidR="00A56B9C" w:rsidRPr="000D6E23">
        <w:rPr>
          <w:rFonts w:ascii="Bookman Old Style" w:eastAsia="Bookman Old Style" w:hAnsi="Bookman Old Style"/>
          <w:color w:val="000000"/>
          <w:sz w:val="24"/>
          <w:lang w:val="it-IT"/>
        </w:rPr>
        <w:t xml:space="preserve"> con il parere n. 802/2022</w:t>
      </w:r>
      <w:r w:rsidRPr="000D6E23">
        <w:rPr>
          <w:rFonts w:ascii="Bookman Old Style" w:eastAsia="Bookman Old Style" w:hAnsi="Bookman Old Style"/>
          <w:color w:val="000000"/>
          <w:sz w:val="24"/>
          <w:lang w:val="it-IT"/>
        </w:rPr>
        <w:t>, mette</w:t>
      </w:r>
      <w:r>
        <w:rPr>
          <w:rFonts w:ascii="Bookman Old Style" w:eastAsia="Bookman Old Style" w:hAnsi="Bookman Old Style"/>
          <w:color w:val="000000"/>
          <w:sz w:val="24"/>
          <w:lang w:val="it-IT"/>
        </w:rPr>
        <w:t xml:space="preserve"> “in dialogo” i due Codici sulla base di una coerenza rispetto all’ordinamento europeo e alla nostra Costituzione evidenziando gli aspetti di complessità della vicenda poiché alla base di tutte le considerazioni bisogna prendere atto della esistenza di due diversi principi ispiratori delle due discipline. Il CdS osserva che sia in sede legislativa sia in sede di interpretazione giurisprudenziale emerge chiaramente una linea evolutiva della disciplina degli affidamenti dei servizi sociali che, rispetto a una fase iniziale di forte attrazione nel sistema della concorrenza e del mercato, sembra ormai chiaramente orientata nella direzione del riconoscimento di ampi spazi di sottrazione a quell’ambito di disciplina.</w:t>
      </w:r>
    </w:p>
    <w:p w14:paraId="55D3441B" w14:textId="77777777" w:rsidR="009556D3" w:rsidRDefault="00C22675">
      <w:pPr>
        <w:spacing w:before="166"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 xml:space="preserve">Il parere suddetto viene rilasciato sulla Delibera ANAC n. 382 del 27 luglio 2022, recante le Linee Guida n. 17 intitolate </w:t>
      </w:r>
      <w:r>
        <w:rPr>
          <w:rFonts w:ascii="Bookman Old Style" w:eastAsia="Bookman Old Style" w:hAnsi="Bookman Old Style"/>
          <w:i/>
          <w:color w:val="000000"/>
          <w:sz w:val="24"/>
          <w:lang w:val="it-IT"/>
        </w:rPr>
        <w:t xml:space="preserve">Indicazioni in materia di affidamenti di servizi sociali </w:t>
      </w:r>
      <w:r>
        <w:rPr>
          <w:rFonts w:ascii="Bookman Old Style" w:eastAsia="Bookman Old Style" w:hAnsi="Bookman Old Style"/>
          <w:color w:val="000000"/>
          <w:sz w:val="24"/>
          <w:lang w:val="it-IT"/>
        </w:rPr>
        <w:t>e riconosce l’affermazione di una riduzione dell’ambito di applicazione del codice dei contratti pubblici alle sole fattispecie ivi espressamente previste e ai soli casi in cui le stazioni appaltanti non ritengano di organizzare detti servizi ricorrendo a forme di co-programmazione e/o co-progettazione, alla stipula di convenzioni con le Organizzazioni di volontariato o le Associazioni di promozione sociale.</w:t>
      </w:r>
    </w:p>
    <w:p w14:paraId="24E898FA" w14:textId="5056894B" w:rsidR="009556D3" w:rsidRDefault="00C22675">
      <w:pPr>
        <w:spacing w:before="169" w:line="422" w:lineRule="exact"/>
        <w:jc w:val="both"/>
        <w:textAlignment w:val="baseline"/>
        <w:rPr>
          <w:rFonts w:ascii="Bookman Old Style" w:eastAsia="Bookman Old Style" w:hAnsi="Bookman Old Style"/>
          <w:color w:val="000000"/>
          <w:spacing w:val="-2"/>
          <w:sz w:val="24"/>
          <w:lang w:val="it-IT"/>
        </w:rPr>
      </w:pPr>
      <w:r>
        <w:rPr>
          <w:rFonts w:ascii="Bookman Old Style" w:eastAsia="Bookman Old Style" w:hAnsi="Bookman Old Style"/>
          <w:color w:val="000000"/>
          <w:spacing w:val="-2"/>
          <w:sz w:val="24"/>
          <w:lang w:val="it-IT"/>
        </w:rPr>
        <w:t xml:space="preserve">In definitiva la </w:t>
      </w:r>
      <w:proofErr w:type="spellStart"/>
      <w:r>
        <w:rPr>
          <w:rFonts w:ascii="Bookman Old Style" w:eastAsia="Bookman Old Style" w:hAnsi="Bookman Old Style"/>
          <w:color w:val="000000"/>
          <w:spacing w:val="-2"/>
          <w:sz w:val="24"/>
          <w:lang w:val="it-IT"/>
        </w:rPr>
        <w:t>sent</w:t>
      </w:r>
      <w:proofErr w:type="spellEnd"/>
      <w:r>
        <w:rPr>
          <w:rFonts w:ascii="Bookman Old Style" w:eastAsia="Bookman Old Style" w:hAnsi="Bookman Old Style"/>
          <w:color w:val="000000"/>
          <w:spacing w:val="-2"/>
          <w:sz w:val="24"/>
          <w:lang w:val="it-IT"/>
        </w:rPr>
        <w:t>. 131 è dirompente poiché non si limita ad affermare la piena legittimità dell’art. 55</w:t>
      </w:r>
      <w:r w:rsidR="00A56B9C" w:rsidRPr="000D6E23">
        <w:rPr>
          <w:rFonts w:ascii="Bookman Old Style" w:eastAsia="Bookman Old Style" w:hAnsi="Bookman Old Style"/>
          <w:color w:val="000000"/>
          <w:spacing w:val="-2"/>
          <w:sz w:val="24"/>
          <w:lang w:val="it-IT"/>
        </w:rPr>
        <w:t>, del d.lgs. n. 117/2017,</w:t>
      </w:r>
      <w:r w:rsidRPr="000D6E23">
        <w:rPr>
          <w:rFonts w:ascii="Bookman Old Style" w:eastAsia="Bookman Old Style" w:hAnsi="Bookman Old Style"/>
          <w:color w:val="000000"/>
          <w:spacing w:val="-2"/>
          <w:sz w:val="24"/>
          <w:lang w:val="it-IT"/>
        </w:rPr>
        <w:t xml:space="preserve"> e la possibilità</w:t>
      </w:r>
      <w:r>
        <w:rPr>
          <w:rFonts w:ascii="Bookman Old Style" w:eastAsia="Bookman Old Style" w:hAnsi="Bookman Old Style"/>
          <w:color w:val="000000"/>
          <w:spacing w:val="-2"/>
          <w:sz w:val="24"/>
          <w:lang w:val="it-IT"/>
        </w:rPr>
        <w:t xml:space="preserve"> di utilizzare quel modello in alternativa al mercato senza alcun limite in termini di tipologia di servizi (purché siano sociali o di interesse generale) e di importo, ma ritiene ormai superata l’idea per cui solo l’azione del sistema pubblico è intrinsecamente idonea allo svolgimento di attività di interesse generale poiché queste possono essere perseguite anche da una autonoma iniziativa dei cittadini, conseguenza del riconoscimento della profonda socialità che connota la persona umana e della sua possibilità di realizzare una azione positiva e responsabile. Si tratta di addentrarsi in uno scenario governato da regole e responsabilità diverse da quelle del mercato che si basano sulla valorizzazione delle energie migliori del territorio: è un richiamo, anche se non esplicito, alla teoria delle politiche generative, ovvero a quelle politiche che trovano la loro genesi nei bisogni del territorio e che trovano la loro soluzione nelle risorse esistenti nel contesto sociale di quel territorio. </w:t>
      </w:r>
    </w:p>
    <w:p w14:paraId="0A416825" w14:textId="77777777" w:rsidR="009556D3" w:rsidRDefault="00C22675">
      <w:pPr>
        <w:spacing w:before="43" w:line="251" w:lineRule="exact"/>
        <w:jc w:val="center"/>
        <w:textAlignment w:val="baseline"/>
        <w:rPr>
          <w:rFonts w:ascii="Symbol" w:eastAsia="Symbol" w:hAnsi="Symbol"/>
          <w:color w:val="000000"/>
          <w:sz w:val="21"/>
          <w:lang w:val="it-IT"/>
        </w:rPr>
      </w:pPr>
      <w:r>
        <w:rPr>
          <w:rFonts w:ascii="Symbol" w:eastAsia="Symbol" w:hAnsi="Symbol"/>
          <w:color w:val="000000"/>
          <w:sz w:val="21"/>
          <w:lang w:val="it-IT"/>
        </w:rPr>
        <w:t>24</w:t>
      </w:r>
    </w:p>
    <w:p w14:paraId="0A450533" w14:textId="77777777" w:rsidR="009556D3" w:rsidRPr="00043CC8" w:rsidRDefault="009556D3">
      <w:pPr>
        <w:rPr>
          <w:lang w:val="it-IT"/>
        </w:rPr>
        <w:sectPr w:rsidR="009556D3" w:rsidRPr="00043CC8">
          <w:pgSz w:w="11909" w:h="16838"/>
          <w:pgMar w:top="1280" w:right="530" w:bottom="582" w:left="1971" w:header="720" w:footer="720" w:gutter="0"/>
          <w:cols w:space="720"/>
        </w:sectPr>
      </w:pPr>
    </w:p>
    <w:p w14:paraId="14E51A05" w14:textId="66CBB150" w:rsidR="009556D3" w:rsidRDefault="00871ECE">
      <w:pPr>
        <w:spacing w:before="4"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pacing w:val="-2"/>
          <w:sz w:val="24"/>
          <w:lang w:val="it-IT"/>
        </w:rPr>
        <w:lastRenderedPageBreak/>
        <w:t>Risorse che</w:t>
      </w:r>
      <w:r>
        <w:rPr>
          <w:rFonts w:ascii="Bookman Old Style" w:eastAsia="Bookman Old Style" w:hAnsi="Bookman Old Style"/>
          <w:color w:val="000000"/>
          <w:sz w:val="24"/>
          <w:lang w:val="it-IT"/>
        </w:rPr>
        <w:t xml:space="preserve"> </w:t>
      </w:r>
      <w:r w:rsidR="00C22675">
        <w:rPr>
          <w:rFonts w:ascii="Bookman Old Style" w:eastAsia="Bookman Old Style" w:hAnsi="Bookman Old Style"/>
          <w:color w:val="000000"/>
          <w:sz w:val="24"/>
          <w:lang w:val="it-IT"/>
        </w:rPr>
        <w:t>diventano agenti costruttori e realizzatori delle scelte politiche e della loro conseguente attuazione e gestione.</w:t>
      </w:r>
    </w:p>
    <w:p w14:paraId="3423F6E7" w14:textId="77777777" w:rsidR="009556D3" w:rsidRDefault="00C22675">
      <w:pPr>
        <w:spacing w:before="889" w:line="313" w:lineRule="exact"/>
        <w:textAlignment w:val="baseline"/>
        <w:rPr>
          <w:rFonts w:ascii="Verdana" w:eastAsia="Verdana" w:hAnsi="Verdana"/>
          <w:b/>
          <w:i/>
          <w:color w:val="000000"/>
          <w:spacing w:val="-12"/>
          <w:sz w:val="25"/>
          <w:lang w:val="it-IT"/>
        </w:rPr>
      </w:pPr>
      <w:r>
        <w:rPr>
          <w:rFonts w:ascii="Verdana" w:eastAsia="Verdana" w:hAnsi="Verdana"/>
          <w:b/>
          <w:i/>
          <w:color w:val="000000"/>
          <w:spacing w:val="-12"/>
          <w:sz w:val="25"/>
          <w:lang w:val="it-IT"/>
        </w:rPr>
        <w:t>I controlli</w:t>
      </w:r>
    </w:p>
    <w:p w14:paraId="62C3C186" w14:textId="77777777" w:rsidR="009556D3" w:rsidRDefault="00C22675">
      <w:pPr>
        <w:spacing w:before="209"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Co-programmazione e co-programmazione, come dicevamo, possono anche essere considerate forme di controllo sulla attività amministrativa. Ciò accade perché in un processo di naturale parificazione tra pubblico e privato il processo partecipativo assume automaticamente un carattere di oggettiva sorveglianza sull’attività svolta dai poteri pubblici: se il privato sociale è protagonista dei processi di programmazione, progettazione e gestione degli interventi e prestazioni sociali occupa una posizione privilegiata per poter esercitare controlli e verifiche. L’interesse diffuso perseguito dai soggetti collettivi e dalle parti sociali si identifica così con l’interesse pubblico alla efficienza ed efficacia dell’azione amministrativa, condividendo l’ispirazione del principio di buona amministrazione.</w:t>
      </w:r>
    </w:p>
    <w:p w14:paraId="0AE42812" w14:textId="719E919C" w:rsidR="009556D3" w:rsidRDefault="00C22675">
      <w:pPr>
        <w:spacing w:before="168" w:line="422" w:lineRule="exact"/>
        <w:jc w:val="both"/>
        <w:textAlignment w:val="baseline"/>
        <w:rPr>
          <w:rFonts w:ascii="Bookman Old Style" w:eastAsia="Bookman Old Style" w:hAnsi="Bookman Old Style"/>
          <w:color w:val="000000"/>
          <w:spacing w:val="-1"/>
          <w:sz w:val="24"/>
          <w:lang w:val="it-IT"/>
        </w:rPr>
      </w:pPr>
      <w:r>
        <w:rPr>
          <w:rFonts w:ascii="Bookman Old Style" w:eastAsia="Bookman Old Style" w:hAnsi="Bookman Old Style"/>
          <w:color w:val="000000"/>
          <w:spacing w:val="-1"/>
          <w:sz w:val="24"/>
          <w:lang w:val="it-IT"/>
        </w:rPr>
        <w:t xml:space="preserve">La materia è molto originale, poiché al di là dei tradizionali controlli di legittimità che in base al TUEL sono esercitabili sugli atti amministrativi in generale, l’art. 6, c. 3, della legge di riforma n. 328/2000 delinea </w:t>
      </w:r>
      <w:r w:rsidR="00043CC8">
        <w:rPr>
          <w:rFonts w:ascii="Bookman Old Style" w:eastAsia="Bookman Old Style" w:hAnsi="Bookman Old Style"/>
          <w:color w:val="000000"/>
          <w:spacing w:val="-1"/>
          <w:sz w:val="24"/>
          <w:lang w:val="it-IT"/>
        </w:rPr>
        <w:t>un’attività</w:t>
      </w:r>
      <w:r>
        <w:rPr>
          <w:rFonts w:ascii="Bookman Old Style" w:eastAsia="Bookman Old Style" w:hAnsi="Bookman Old Style"/>
          <w:color w:val="000000"/>
          <w:spacing w:val="-1"/>
          <w:sz w:val="24"/>
          <w:lang w:val="it-IT"/>
        </w:rPr>
        <w:t xml:space="preserve"> di controllo che si basa sugli istituti di partecipazione. Infatti, prescrive gli enti locali devono adottare strumenti per il controllo di gestione idonei a valutare l'efficienza, l'efficacia ed i risultati delle prestazioni rispetto alla programmazione; ma devono anche implementare forme di consultazione dei soggetti del terzo settore, dei soggetti sindacali, delle associazioni di tutela degli utenti per valutare la qualità e l'efficacia dei servizi e formulare proposte ai fini della predisposizione dei programmi; e devono garantire ai cittadini i diritti di partecipazione al controllo di qualità dei servizi, secondo le modalità previste dagli statuti comunali.</w:t>
      </w:r>
    </w:p>
    <w:p w14:paraId="6DE1EDB6" w14:textId="77777777" w:rsidR="009556D3" w:rsidRDefault="00C22675">
      <w:pPr>
        <w:spacing w:before="159"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Anche i cittadini, dunque, non necessariamente inseriti negli organismi del privato sociale, diventano attori dell’attività di monitoraggio e controllo.</w:t>
      </w:r>
    </w:p>
    <w:p w14:paraId="0F6961A5" w14:textId="77777777" w:rsidR="009556D3" w:rsidRDefault="00C22675">
      <w:pPr>
        <w:spacing w:before="164"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t>Il legislatore, in questo modo, coglie nel segno il principio ispiratore dell’istituto della sussidiarietà orizzontale: è stata una precisa volontà del Costituente della</w:t>
      </w:r>
    </w:p>
    <w:p w14:paraId="58D3BA9A" w14:textId="77777777" w:rsidR="009556D3" w:rsidRDefault="00C22675">
      <w:pPr>
        <w:spacing w:before="168" w:line="251" w:lineRule="exact"/>
        <w:jc w:val="center"/>
        <w:textAlignment w:val="baseline"/>
        <w:rPr>
          <w:rFonts w:ascii="Symbol" w:eastAsia="Symbol" w:hAnsi="Symbol"/>
          <w:color w:val="000000"/>
          <w:sz w:val="21"/>
          <w:lang w:val="it-IT"/>
        </w:rPr>
      </w:pPr>
      <w:r>
        <w:rPr>
          <w:rFonts w:ascii="Symbol" w:eastAsia="Symbol" w:hAnsi="Symbol"/>
          <w:color w:val="000000"/>
          <w:sz w:val="21"/>
          <w:lang w:val="it-IT"/>
        </w:rPr>
        <w:t>25</w:t>
      </w:r>
    </w:p>
    <w:p w14:paraId="4DAA809C" w14:textId="77777777" w:rsidR="009556D3" w:rsidRPr="00043CC8" w:rsidRDefault="009556D3">
      <w:pPr>
        <w:rPr>
          <w:lang w:val="it-IT"/>
        </w:rPr>
        <w:sectPr w:rsidR="009556D3" w:rsidRPr="00043CC8">
          <w:pgSz w:w="11909" w:h="16838"/>
          <w:pgMar w:top="1280" w:right="535" w:bottom="582" w:left="1966" w:header="720" w:footer="720" w:gutter="0"/>
          <w:cols w:space="720"/>
        </w:sectPr>
      </w:pPr>
    </w:p>
    <w:p w14:paraId="2114B245" w14:textId="77777777" w:rsidR="009556D3" w:rsidRDefault="00C22675">
      <w:pPr>
        <w:spacing w:before="3" w:line="422" w:lineRule="exact"/>
        <w:jc w:val="both"/>
        <w:textAlignment w:val="baseline"/>
        <w:rPr>
          <w:rFonts w:ascii="Bookman Old Style" w:eastAsia="Bookman Old Style" w:hAnsi="Bookman Old Style"/>
          <w:color w:val="000000"/>
          <w:sz w:val="24"/>
          <w:lang w:val="it-IT"/>
        </w:rPr>
      </w:pPr>
      <w:r>
        <w:rPr>
          <w:rFonts w:ascii="Bookman Old Style" w:eastAsia="Bookman Old Style" w:hAnsi="Bookman Old Style"/>
          <w:color w:val="000000"/>
          <w:sz w:val="24"/>
          <w:lang w:val="it-IT"/>
        </w:rPr>
        <w:lastRenderedPageBreak/>
        <w:t>riforma del Titolo V, mutuata da altre esperienze del recente passato (prima fra tutte la legge n. 241/1990 sul procedimento amministrativo), quella di mettere sullo stesso piano azione pubblica e impegno del privato garantendo il pluralismo e la coesione tra istituzioni, associazioni e cittadini.</w:t>
      </w:r>
    </w:p>
    <w:p w14:paraId="3207D37D" w14:textId="77777777" w:rsidR="009556D3" w:rsidRDefault="00162321">
      <w:pPr>
        <w:spacing w:before="896" w:line="226" w:lineRule="exact"/>
        <w:jc w:val="right"/>
        <w:textAlignment w:val="baseline"/>
        <w:rPr>
          <w:rFonts w:ascii="Bookman Old Style" w:eastAsia="Bookman Old Style" w:hAnsi="Bookman Old Style"/>
          <w:i/>
          <w:color w:val="000000"/>
          <w:sz w:val="20"/>
          <w:lang w:val="it-IT"/>
        </w:rPr>
      </w:pPr>
      <w:r>
        <w:pict w14:anchorId="0B910DB7">
          <v:shapetype id="_x0000_t202" coordsize="21600,21600" o:spt="202" path="m,l,21600r21600,l21600,xe">
            <v:stroke joinstyle="miter"/>
            <v:path gradientshapeok="t" o:connecttype="rect"/>
          </v:shapetype>
          <v:shape id="_x0000_s0" o:spid="_x0000_s1026" type="#_x0000_t202" style="position:absolute;left:0;text-align:left;margin-left:323.15pt;margin-top:779.3pt;width:20.2pt;height:12.85pt;z-index:-251652608;mso-wrap-distance-left:0;mso-wrap-distance-right:0;mso-position-horizontal-relative:page;mso-position-vertical-relative:page" filled="f" stroked="f">
            <v:textbox inset="0,0,0,0">
              <w:txbxContent>
                <w:p w14:paraId="5A1E1359" w14:textId="77777777" w:rsidR="009556D3" w:rsidRDefault="00C22675">
                  <w:pPr>
                    <w:spacing w:before="6" w:line="248" w:lineRule="exact"/>
                    <w:textAlignment w:val="baseline"/>
                    <w:rPr>
                      <w:rFonts w:ascii="Symbol" w:eastAsia="Symbol" w:hAnsi="Symbol"/>
                      <w:color w:val="000000"/>
                      <w:sz w:val="21"/>
                      <w:lang w:val="it-IT"/>
                    </w:rPr>
                  </w:pPr>
                  <w:r>
                    <w:rPr>
                      <w:rFonts w:ascii="Symbol" w:eastAsia="Symbol" w:hAnsi="Symbol"/>
                      <w:color w:val="000000"/>
                      <w:sz w:val="21"/>
                      <w:lang w:val="it-IT"/>
                    </w:rPr>
                    <w:t>26</w:t>
                  </w:r>
                </w:p>
              </w:txbxContent>
            </v:textbox>
            <w10:wrap type="square" anchorx="page" anchory="page"/>
          </v:shape>
        </w:pict>
      </w:r>
      <w:r w:rsidR="00C22675">
        <w:rPr>
          <w:rFonts w:ascii="Bookman Old Style" w:eastAsia="Bookman Old Style" w:hAnsi="Bookman Old Style"/>
          <w:i/>
          <w:color w:val="000000"/>
          <w:sz w:val="20"/>
          <w:lang w:val="it-IT"/>
        </w:rPr>
        <w:t>Salvatore Maurizio Moscara</w:t>
      </w:r>
    </w:p>
    <w:sectPr w:rsidR="009556D3">
      <w:pgSz w:w="11909" w:h="16838"/>
      <w:pgMar w:top="1280" w:right="533" w:bottom="856" w:left="19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9A1EE" w14:textId="77777777" w:rsidR="00B70898" w:rsidRDefault="00B70898">
      <w:r>
        <w:separator/>
      </w:r>
    </w:p>
  </w:endnote>
  <w:endnote w:type="continuationSeparator" w:id="0">
    <w:p w14:paraId="39122785" w14:textId="77777777" w:rsidR="00B70898" w:rsidRDefault="00B70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Bookman Old Style">
    <w:charset w:val="00"/>
    <w:pitch w:val="variable"/>
    <w:family w:val="roman"/>
    <w:panose1 w:val="02020603050405020304"/>
  </w:font>
  <w:font w:name="Courier New">
    <w:charset w:val="00"/>
    <w:pitch w:val="fixed"/>
    <w:family w:val="modern"/>
    <w:panose1 w:val="02020603050405020304"/>
  </w:font>
  <w:font w:name="Lucida Console">
    <w:charset w:val="00"/>
    <w:pitch w:val="fixed"/>
    <w:family w:val="modern"/>
    <w:panose1 w:val="02020603050405020304"/>
  </w:font>
  <w:font w:name="Symbol">
    <w:charset w:val="00"/>
    <w:pitch w:val="variable"/>
    <w:family w:val="swiss"/>
    <w:panose1 w:val="02020603050405020304"/>
  </w:font>
  <w:font w:name="Tahoma">
    <w:charset w:val="00"/>
    <w:pitch w:val="variable"/>
    <w:family w:val="swiss"/>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B2B86" w14:textId="77777777" w:rsidR="00B70898" w:rsidRDefault="00B70898"/>
  </w:footnote>
  <w:footnote w:type="continuationSeparator" w:id="0">
    <w:p w14:paraId="3E19F617" w14:textId="77777777" w:rsidR="00B70898" w:rsidRDefault="00B70898">
      <w:r>
        <w:continuationSeparator/>
      </w:r>
    </w:p>
  </w:footnote>
  <w:footnote w:id="1">
    <w:p w14:paraId="739C9B1B" w14:textId="163BC717" w:rsidR="00CE3E60" w:rsidRPr="00CE3E60" w:rsidRDefault="00CE3E60">
      <w:pPr>
        <w:pStyle w:val="Testonotaapidipagina"/>
        <w:rPr>
          <w:lang w:val="it-IT"/>
        </w:rPr>
      </w:pPr>
      <w:r w:rsidRPr="000D6E23">
        <w:rPr>
          <w:rStyle w:val="Rimandonotaapidipagina"/>
        </w:rPr>
        <w:footnoteRef/>
      </w:r>
      <w:r w:rsidRPr="000D6E23">
        <w:rPr>
          <w:lang w:val="it-IT"/>
        </w:rPr>
        <w:t xml:space="preserve"> ora superato dalla legge delega n. 78/2022 e dal relativo decreto attuativo n. 36/2023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9040C"/>
    <w:multiLevelType w:val="multilevel"/>
    <w:tmpl w:val="EE3C0274"/>
    <w:lvl w:ilvl="0">
      <w:start w:val="1"/>
      <w:numFmt w:val="lowerLetter"/>
      <w:lvlText w:val="%1)"/>
      <w:lvlJc w:val="left"/>
      <w:pPr>
        <w:tabs>
          <w:tab w:val="left" w:pos="360"/>
        </w:tabs>
      </w:pPr>
      <w:rPr>
        <w:rFonts w:ascii="Bookman Old Style" w:eastAsia="Bookman Old Style" w:hAnsi="Bookman Old Style"/>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8619EA"/>
    <w:multiLevelType w:val="multilevel"/>
    <w:tmpl w:val="952E983C"/>
    <w:lvl w:ilvl="0">
      <w:start w:val="1"/>
      <w:numFmt w:val="decimal"/>
      <w:lvlText w:val="%1)"/>
      <w:lvlJc w:val="left"/>
      <w:pPr>
        <w:tabs>
          <w:tab w:val="left" w:pos="360"/>
        </w:tabs>
      </w:pPr>
      <w:rPr>
        <w:rFonts w:ascii="Bookman Old Style" w:eastAsia="Bookman Old Style" w:hAnsi="Bookman Old Style"/>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C77144"/>
    <w:multiLevelType w:val="multilevel"/>
    <w:tmpl w:val="2D2A0924"/>
    <w:lvl w:ilvl="0">
      <w:start w:val="1"/>
      <w:numFmt w:val="decimal"/>
      <w:lvlText w:val="%1)"/>
      <w:lvlJc w:val="left"/>
      <w:pPr>
        <w:tabs>
          <w:tab w:val="left" w:pos="288"/>
        </w:tabs>
      </w:pPr>
      <w:rPr>
        <w:rFonts w:ascii="Bookman Old Style" w:eastAsia="Bookman Old Style" w:hAnsi="Bookman Old Style"/>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B9280A"/>
    <w:multiLevelType w:val="multilevel"/>
    <w:tmpl w:val="B9F8F6F6"/>
    <w:lvl w:ilvl="0">
      <w:start w:val="2"/>
      <w:numFmt w:val="lowerLetter"/>
      <w:lvlText w:val="%1)"/>
      <w:lvlJc w:val="left"/>
      <w:pPr>
        <w:tabs>
          <w:tab w:val="left" w:pos="720"/>
        </w:tabs>
      </w:pPr>
      <w:rPr>
        <w:rFonts w:ascii="Bookman Old Style" w:eastAsia="Bookman Old Style" w:hAnsi="Bookman Old Style"/>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93938880">
    <w:abstractNumId w:val="3"/>
  </w:num>
  <w:num w:numId="2" w16cid:durableId="774520574">
    <w:abstractNumId w:val="2"/>
  </w:num>
  <w:num w:numId="3" w16cid:durableId="58335225">
    <w:abstractNumId w:val="0"/>
  </w:num>
  <w:num w:numId="4" w16cid:durableId="19582456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6D3"/>
    <w:rsid w:val="00043CC8"/>
    <w:rsid w:val="000811ED"/>
    <w:rsid w:val="000D6E23"/>
    <w:rsid w:val="00162321"/>
    <w:rsid w:val="001C4B39"/>
    <w:rsid w:val="00577B18"/>
    <w:rsid w:val="007B20C2"/>
    <w:rsid w:val="00871ECE"/>
    <w:rsid w:val="009556D3"/>
    <w:rsid w:val="00A56B9C"/>
    <w:rsid w:val="00B70898"/>
    <w:rsid w:val="00C22675"/>
    <w:rsid w:val="00C613ED"/>
    <w:rsid w:val="00CE3E6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334FF751"/>
  <w15:docId w15:val="{4F5FC03F-3FAD-4F40-AD6E-931E40C8A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577B18"/>
    <w:rPr>
      <w:sz w:val="20"/>
      <w:szCs w:val="20"/>
    </w:rPr>
  </w:style>
  <w:style w:type="character" w:customStyle="1" w:styleId="TestonotaapidipaginaCarattere">
    <w:name w:val="Testo nota a piè di pagina Carattere"/>
    <w:basedOn w:val="Carpredefinitoparagrafo"/>
    <w:link w:val="Testonotaapidipagina"/>
    <w:uiPriority w:val="99"/>
    <w:semiHidden/>
    <w:rsid w:val="00577B18"/>
    <w:rPr>
      <w:sz w:val="20"/>
      <w:szCs w:val="20"/>
    </w:rPr>
  </w:style>
  <w:style w:type="character" w:styleId="Rimandonotaapidipagina">
    <w:name w:val="footnote reference"/>
    <w:basedOn w:val="Carpredefinitoparagrafo"/>
    <w:uiPriority w:val="99"/>
    <w:semiHidden/>
    <w:unhideWhenUsed/>
    <w:rsid w:val="00577B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fId" Type="http://schemas.openxmlformats.org/wordprocessingml/2006/fontTable" Target="fontTable0.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DF4A0-FE0F-4581-B695-9835F2D41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9198</Words>
  <Characters>52435</Characters>
  <Application>Microsoft Office Word</Application>
  <DocSecurity>4</DocSecurity>
  <Lines>436</Lines>
  <Paragraphs>123</Paragraphs>
  <ScaleCrop>false</ScaleCrop>
  <HeadingPairs>
    <vt:vector size="2" baseType="variant">
      <vt:variant>
        <vt:lpstr>Titolo</vt:lpstr>
      </vt:variant>
      <vt:variant>
        <vt:i4>1</vt:i4>
      </vt:variant>
    </vt:vector>
  </HeadingPairs>
  <TitlesOfParts>
    <vt:vector size="1" baseType="lpstr">
      <vt:lpstr>Microsoft Word - Relazione 4 Ottobre</vt:lpstr>
    </vt:vector>
  </TitlesOfParts>
  <Company/>
  <LinksUpToDate>false</LinksUpToDate>
  <CharactersWithSpaces>61510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Relazione 4 Ottobre</dc:title>
  <dc:creator>COZZOLI Pamela</dc:creator>
  <cp:lastModifiedBy>COZZOLI Pamela</cp:lastModifiedBy>
  <cp:revision>2</cp:revision>
  <dcterms:created xsi:type="dcterms:W3CDTF">2025-11-04T09:18:00Z</dcterms:created>
  <dcterms:modified xsi:type="dcterms:W3CDTF">2025-11-04T09:18:00Z</dcterms:modified>
</cp:coreProperties>
</file>