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7EDF" w14:textId="1ECBE056" w:rsidR="00EC784B" w:rsidRPr="00F23D90" w:rsidRDefault="00EC784B" w:rsidP="00EC784B">
      <w:pPr>
        <w:spacing w:line="360" w:lineRule="auto"/>
        <w:jc w:val="both"/>
        <w:rPr>
          <w:rFonts w:ascii="Times New Roman" w:hAnsi="Times New Roman" w:cs="Times New Roman"/>
          <w:b/>
          <w:bCs/>
          <w:sz w:val="32"/>
          <w:szCs w:val="32"/>
        </w:rPr>
      </w:pPr>
      <w:r w:rsidRPr="00F23D90">
        <w:rPr>
          <w:rFonts w:ascii="Times New Roman" w:hAnsi="Times New Roman" w:cs="Times New Roman"/>
          <w:b/>
          <w:bCs/>
          <w:sz w:val="32"/>
          <w:szCs w:val="32"/>
        </w:rPr>
        <w:t>Le trasformazioni del diritto amministrativo da Sandulli a oggi (Palazzo Spada, 5 febbraio 2025, in occasione della presentazione del Manuale di De Felice e Gerardo)</w:t>
      </w:r>
    </w:p>
    <w:p w14:paraId="3A17B990" w14:textId="36D0F87C" w:rsidR="00333804" w:rsidRPr="00F23D90" w:rsidRDefault="00333804" w:rsidP="00F23D90">
      <w:pPr>
        <w:spacing w:line="360" w:lineRule="auto"/>
        <w:jc w:val="both"/>
        <w:rPr>
          <w:rFonts w:ascii="Times New Roman" w:hAnsi="Times New Roman" w:cs="Times New Roman"/>
          <w:sz w:val="32"/>
          <w:szCs w:val="32"/>
          <w:u w:val="single"/>
        </w:rPr>
      </w:pPr>
      <w:r w:rsidRPr="00F23D90">
        <w:rPr>
          <w:rFonts w:ascii="Times New Roman" w:hAnsi="Times New Roman" w:cs="Times New Roman"/>
          <w:sz w:val="32"/>
          <w:szCs w:val="32"/>
          <w:u w:val="single"/>
        </w:rPr>
        <w:t>1- Uno sguardo all’indietro alla cultura amministrativistica.</w:t>
      </w:r>
    </w:p>
    <w:p w14:paraId="7E993490" w14:textId="484E1E8A" w:rsidR="008707DE" w:rsidRPr="00F23D90" w:rsidRDefault="00E62669" w:rsidP="00F23D90">
      <w:pPr>
        <w:spacing w:line="360" w:lineRule="auto"/>
        <w:jc w:val="both"/>
        <w:rPr>
          <w:rFonts w:ascii="Times New Roman" w:hAnsi="Times New Roman" w:cs="Times New Roman"/>
          <w:sz w:val="32"/>
          <w:szCs w:val="32"/>
        </w:rPr>
      </w:pPr>
      <w:proofErr w:type="gramStart"/>
      <w:r w:rsidRPr="00F23D90">
        <w:rPr>
          <w:rFonts w:ascii="Times New Roman" w:hAnsi="Times New Roman" w:cs="Times New Roman"/>
          <w:sz w:val="32"/>
          <w:szCs w:val="32"/>
        </w:rPr>
        <w:t xml:space="preserve">La presentazione di un libro </w:t>
      </w:r>
      <w:r w:rsidR="007C3758">
        <w:rPr>
          <w:rFonts w:ascii="Times New Roman" w:hAnsi="Times New Roman" w:cs="Times New Roman"/>
          <w:sz w:val="32"/>
          <w:szCs w:val="32"/>
        </w:rPr>
        <w:t xml:space="preserve">− </w:t>
      </w:r>
      <w:r w:rsidRPr="00F23D90">
        <w:rPr>
          <w:rFonts w:ascii="Times New Roman" w:hAnsi="Times New Roman" w:cs="Times New Roman"/>
          <w:sz w:val="32"/>
          <w:szCs w:val="32"/>
        </w:rPr>
        <w:t xml:space="preserve">anche di un’opera consistente come i tre volumi del </w:t>
      </w:r>
      <w:r w:rsidRPr="00F23D90">
        <w:rPr>
          <w:rFonts w:ascii="Times New Roman" w:hAnsi="Times New Roman" w:cs="Times New Roman"/>
          <w:i/>
          <w:iCs/>
          <w:sz w:val="32"/>
          <w:szCs w:val="32"/>
        </w:rPr>
        <w:t>Manuale</w:t>
      </w:r>
      <w:r w:rsidRPr="00F23D90">
        <w:rPr>
          <w:rFonts w:ascii="Times New Roman" w:hAnsi="Times New Roman" w:cs="Times New Roman"/>
          <w:sz w:val="32"/>
          <w:szCs w:val="32"/>
        </w:rPr>
        <w:t xml:space="preserve"> di De Felice e Gerardo, che</w:t>
      </w:r>
      <w:r w:rsidR="00094416" w:rsidRPr="00F23D90">
        <w:rPr>
          <w:rFonts w:ascii="Times New Roman" w:hAnsi="Times New Roman" w:cs="Times New Roman"/>
          <w:sz w:val="32"/>
          <w:szCs w:val="32"/>
        </w:rPr>
        <w:t xml:space="preserve"> </w:t>
      </w:r>
      <w:r w:rsidR="00333804" w:rsidRPr="00F23D90">
        <w:rPr>
          <w:rFonts w:ascii="Times New Roman" w:hAnsi="Times New Roman" w:cs="Times New Roman"/>
          <w:sz w:val="32"/>
          <w:szCs w:val="32"/>
        </w:rPr>
        <w:t xml:space="preserve">già </w:t>
      </w:r>
      <w:r w:rsidR="00094416" w:rsidRPr="00F23D90">
        <w:rPr>
          <w:rFonts w:ascii="Times New Roman" w:hAnsi="Times New Roman" w:cs="Times New Roman"/>
          <w:sz w:val="32"/>
          <w:szCs w:val="32"/>
        </w:rPr>
        <w:t>di per sé</w:t>
      </w:r>
      <w:r w:rsidRPr="00F23D90">
        <w:rPr>
          <w:rFonts w:ascii="Times New Roman" w:hAnsi="Times New Roman" w:cs="Times New Roman"/>
          <w:sz w:val="32"/>
          <w:szCs w:val="32"/>
        </w:rPr>
        <w:t xml:space="preserve"> consentirebbe un discorso dedicato</w:t>
      </w:r>
      <w:r w:rsidR="007C3758">
        <w:rPr>
          <w:rFonts w:ascii="Times New Roman" w:hAnsi="Times New Roman" w:cs="Times New Roman"/>
          <w:sz w:val="32"/>
          <w:szCs w:val="32"/>
        </w:rPr>
        <w:t xml:space="preserve"> −,</w:t>
      </w:r>
      <w:proofErr w:type="gramEnd"/>
      <w:r w:rsidRPr="00F23D90">
        <w:rPr>
          <w:rFonts w:ascii="Times New Roman" w:hAnsi="Times New Roman" w:cs="Times New Roman"/>
          <w:sz w:val="32"/>
          <w:szCs w:val="32"/>
        </w:rPr>
        <w:t xml:space="preserve"> costituisce, anche nell’encomiabile intenzione degli autori e degli organizzatori del convegno, un’occasione di incontro e di riflessione</w:t>
      </w:r>
      <w:r w:rsidR="001A247B" w:rsidRPr="00F23D90">
        <w:rPr>
          <w:rFonts w:ascii="Times New Roman" w:hAnsi="Times New Roman" w:cs="Times New Roman"/>
          <w:sz w:val="32"/>
          <w:szCs w:val="32"/>
        </w:rPr>
        <w:t xml:space="preserve"> sullo “stato” del d</w:t>
      </w:r>
      <w:r w:rsidR="00333804" w:rsidRPr="00F23D90">
        <w:rPr>
          <w:rFonts w:ascii="Times New Roman" w:hAnsi="Times New Roman" w:cs="Times New Roman"/>
          <w:sz w:val="32"/>
          <w:szCs w:val="32"/>
        </w:rPr>
        <w:t>i</w:t>
      </w:r>
      <w:r w:rsidR="001A247B" w:rsidRPr="00F23D90">
        <w:rPr>
          <w:rFonts w:ascii="Times New Roman" w:hAnsi="Times New Roman" w:cs="Times New Roman"/>
          <w:sz w:val="32"/>
          <w:szCs w:val="32"/>
        </w:rPr>
        <w:t>ritto amministrativo oggi, in una prospettiva futura, che muova però dal ripercorrere gli sviluppi che lo stesso ha avuto nel tempo. Per fare ciò è necessario assumere a parametro con cui confrontarsi un momento, al limite anche arbitrario, della storia del diritto amministrativo: della storia della disciplina di diritto positivo, della cultura giuridica amministrativista, della giurisprudenza amministrativa, per procedere a un’analisi contestualizzata di questa storia, che va necessariamente calata nella complessità della società che questo diritto è chiamato a regolare.</w:t>
      </w:r>
    </w:p>
    <w:p w14:paraId="18C19E1B" w14:textId="5749F64B" w:rsidR="00094416" w:rsidRPr="00F23D90" w:rsidRDefault="00094416" w:rsidP="00EC784B">
      <w:pPr>
        <w:spacing w:line="360" w:lineRule="auto"/>
        <w:jc w:val="both"/>
        <w:rPr>
          <w:rFonts w:ascii="Times New Roman" w:hAnsi="Times New Roman" w:cs="Times New Roman"/>
          <w:sz w:val="32"/>
          <w:szCs w:val="32"/>
        </w:rPr>
      </w:pPr>
      <w:r w:rsidRPr="00F23D90">
        <w:rPr>
          <w:rFonts w:ascii="Times New Roman" w:hAnsi="Times New Roman" w:cs="Times New Roman"/>
          <w:iCs/>
          <w:sz w:val="32"/>
          <w:szCs w:val="32"/>
        </w:rPr>
        <w:t xml:space="preserve">Se diamo un breve sguardo a ritroso alla cultura amministrativistica, vediamo </w:t>
      </w:r>
      <w:r w:rsidR="0073513D" w:rsidRPr="00F23D90">
        <w:rPr>
          <w:rFonts w:ascii="Times New Roman" w:hAnsi="Times New Roman" w:cs="Times New Roman"/>
          <w:iCs/>
          <w:sz w:val="32"/>
          <w:szCs w:val="32"/>
        </w:rPr>
        <w:t>in</w:t>
      </w:r>
      <w:r w:rsidRPr="00F23D90">
        <w:rPr>
          <w:rFonts w:ascii="Times New Roman" w:hAnsi="Times New Roman" w:cs="Times New Roman"/>
          <w:iCs/>
          <w:sz w:val="32"/>
          <w:szCs w:val="32"/>
        </w:rPr>
        <w:t xml:space="preserve"> tre dei suoi maggiori esponenti, Orlando</w:t>
      </w:r>
      <w:r w:rsidR="007C3758">
        <w:rPr>
          <w:rFonts w:ascii="Times New Roman" w:hAnsi="Times New Roman" w:cs="Times New Roman"/>
          <w:iCs/>
          <w:sz w:val="32"/>
          <w:szCs w:val="32"/>
        </w:rPr>
        <w:t>,</w:t>
      </w:r>
      <w:r w:rsidRPr="00F23D90">
        <w:rPr>
          <w:rFonts w:ascii="Times New Roman" w:hAnsi="Times New Roman" w:cs="Times New Roman"/>
          <w:iCs/>
          <w:sz w:val="32"/>
          <w:szCs w:val="32"/>
        </w:rPr>
        <w:t xml:space="preserve"> </w:t>
      </w:r>
      <w:proofErr w:type="spellStart"/>
      <w:r w:rsidRPr="00F23D90">
        <w:rPr>
          <w:rFonts w:ascii="Times New Roman" w:hAnsi="Times New Roman" w:cs="Times New Roman"/>
          <w:iCs/>
          <w:sz w:val="32"/>
          <w:szCs w:val="32"/>
        </w:rPr>
        <w:t>Ranelletti</w:t>
      </w:r>
      <w:proofErr w:type="spellEnd"/>
      <w:r w:rsidRPr="00F23D90">
        <w:rPr>
          <w:rFonts w:ascii="Times New Roman" w:hAnsi="Times New Roman" w:cs="Times New Roman"/>
          <w:iCs/>
          <w:sz w:val="32"/>
          <w:szCs w:val="32"/>
        </w:rPr>
        <w:t xml:space="preserve"> e Cammeo, </w:t>
      </w:r>
      <w:r w:rsidRPr="00F23D90">
        <w:rPr>
          <w:rFonts w:ascii="Times New Roman" w:hAnsi="Times New Roman" w:cs="Times New Roman"/>
          <w:sz w:val="32"/>
          <w:szCs w:val="32"/>
        </w:rPr>
        <w:t xml:space="preserve">un diritto amministrativo concepito esclusivamente come vivente </w:t>
      </w:r>
      <w:r w:rsidR="007C3758">
        <w:rPr>
          <w:rFonts w:ascii="Times New Roman" w:hAnsi="Times New Roman" w:cs="Times New Roman"/>
          <w:sz w:val="32"/>
          <w:szCs w:val="32"/>
        </w:rPr>
        <w:t>«</w:t>
      </w:r>
      <w:r w:rsidRPr="00F23D90">
        <w:rPr>
          <w:rFonts w:ascii="Times New Roman" w:hAnsi="Times New Roman" w:cs="Times New Roman"/>
          <w:sz w:val="32"/>
          <w:szCs w:val="32"/>
        </w:rPr>
        <w:t>nella sfera dell’esplicazione della potestà pubblica</w:t>
      </w:r>
      <w:r w:rsidR="007C3758">
        <w:rPr>
          <w:rFonts w:ascii="Times New Roman" w:hAnsi="Times New Roman" w:cs="Times New Roman"/>
          <w:sz w:val="32"/>
          <w:szCs w:val="32"/>
        </w:rPr>
        <w:t>»</w:t>
      </w:r>
      <w:r w:rsidRPr="00F23D90">
        <w:rPr>
          <w:rFonts w:ascii="Times New Roman" w:hAnsi="Times New Roman" w:cs="Times New Roman"/>
          <w:sz w:val="32"/>
          <w:szCs w:val="32"/>
          <w:vertAlign w:val="superscript"/>
        </w:rPr>
        <w:footnoteReference w:id="1"/>
      </w:r>
      <w:r w:rsidRPr="00F23D90">
        <w:rPr>
          <w:rFonts w:ascii="Times New Roman" w:hAnsi="Times New Roman" w:cs="Times New Roman"/>
          <w:sz w:val="32"/>
          <w:szCs w:val="32"/>
        </w:rPr>
        <w:t xml:space="preserve"> e</w:t>
      </w:r>
      <w:r w:rsidR="0073513D" w:rsidRPr="00F23D90">
        <w:rPr>
          <w:rFonts w:ascii="Times New Roman" w:hAnsi="Times New Roman" w:cs="Times New Roman"/>
          <w:sz w:val="32"/>
          <w:szCs w:val="32"/>
        </w:rPr>
        <w:t xml:space="preserve"> vediamo che</w:t>
      </w:r>
      <w:r w:rsidRPr="00F23D90">
        <w:rPr>
          <w:rFonts w:ascii="Times New Roman" w:hAnsi="Times New Roman" w:cs="Times New Roman"/>
          <w:sz w:val="32"/>
          <w:szCs w:val="32"/>
        </w:rPr>
        <w:t xml:space="preserve"> l’interesse pubblico</w:t>
      </w:r>
      <w:r w:rsidR="0073513D" w:rsidRPr="00F23D90">
        <w:rPr>
          <w:rFonts w:ascii="Times New Roman" w:hAnsi="Times New Roman" w:cs="Times New Roman"/>
          <w:sz w:val="32"/>
          <w:szCs w:val="32"/>
        </w:rPr>
        <w:t xml:space="preserve"> era concepito</w:t>
      </w:r>
      <w:r w:rsidRPr="00F23D90">
        <w:rPr>
          <w:rFonts w:ascii="Times New Roman" w:hAnsi="Times New Roman" w:cs="Times New Roman"/>
          <w:sz w:val="32"/>
          <w:szCs w:val="32"/>
        </w:rPr>
        <w:t xml:space="preserve"> come </w:t>
      </w:r>
      <w:r w:rsidR="0073513D" w:rsidRPr="00F23D90">
        <w:rPr>
          <w:rFonts w:ascii="Times New Roman" w:hAnsi="Times New Roman" w:cs="Times New Roman"/>
          <w:sz w:val="32"/>
          <w:szCs w:val="32"/>
        </w:rPr>
        <w:t>semplice</w:t>
      </w:r>
      <w:r w:rsidRPr="00F23D90">
        <w:rPr>
          <w:rFonts w:ascii="Times New Roman" w:hAnsi="Times New Roman" w:cs="Times New Roman"/>
          <w:sz w:val="32"/>
          <w:szCs w:val="32"/>
        </w:rPr>
        <w:t xml:space="preserve"> causa di giustificazione dell’esistenza dello Stato e del potere di cui è dotato</w:t>
      </w:r>
      <w:r w:rsidRPr="00F23D90">
        <w:rPr>
          <w:rFonts w:ascii="Times New Roman" w:hAnsi="Times New Roman" w:cs="Times New Roman"/>
          <w:sz w:val="32"/>
          <w:szCs w:val="32"/>
          <w:vertAlign w:val="superscript"/>
        </w:rPr>
        <w:footnoteReference w:id="2"/>
      </w:r>
      <w:r w:rsidRPr="00F23D90">
        <w:rPr>
          <w:rFonts w:ascii="Times New Roman" w:hAnsi="Times New Roman" w:cs="Times New Roman"/>
          <w:sz w:val="32"/>
          <w:szCs w:val="32"/>
        </w:rPr>
        <w:t xml:space="preserve">, </w:t>
      </w:r>
      <w:r w:rsidRPr="00F23D90">
        <w:rPr>
          <w:rFonts w:ascii="Times New Roman" w:hAnsi="Times New Roman" w:cs="Times New Roman"/>
          <w:sz w:val="32"/>
          <w:szCs w:val="32"/>
        </w:rPr>
        <w:lastRenderedPageBreak/>
        <w:t>senza vincolarne concretamente l’esercizio. L’amministrato era sì riconosciuto soggetto di diritti oltre che di obblighi</w:t>
      </w:r>
      <w:r w:rsidRPr="00F23D90">
        <w:rPr>
          <w:rFonts w:ascii="Times New Roman" w:hAnsi="Times New Roman" w:cs="Times New Roman"/>
          <w:sz w:val="32"/>
          <w:szCs w:val="32"/>
          <w:vertAlign w:val="superscript"/>
        </w:rPr>
        <w:footnoteReference w:id="3"/>
      </w:r>
      <w:r w:rsidRPr="00F23D90">
        <w:rPr>
          <w:rFonts w:ascii="Times New Roman" w:hAnsi="Times New Roman" w:cs="Times New Roman"/>
          <w:sz w:val="32"/>
          <w:szCs w:val="32"/>
        </w:rPr>
        <w:t>, ma, grazie alla ricostruzione della legge in termine di limite</w:t>
      </w:r>
      <w:r w:rsidRPr="00F23D90">
        <w:rPr>
          <w:rFonts w:ascii="Times New Roman" w:hAnsi="Times New Roman" w:cs="Times New Roman"/>
          <w:sz w:val="32"/>
          <w:szCs w:val="32"/>
          <w:vertAlign w:val="superscript"/>
        </w:rPr>
        <w:footnoteReference w:id="4"/>
      </w:r>
      <w:r w:rsidRPr="00F23D90">
        <w:rPr>
          <w:rFonts w:ascii="Times New Roman" w:hAnsi="Times New Roman" w:cs="Times New Roman"/>
          <w:sz w:val="32"/>
          <w:szCs w:val="32"/>
        </w:rPr>
        <w:t xml:space="preserve"> all’attività della p.a., l’attenzione all’amministrato era volta essenzialmente a preservarne la sfera di libertà piuttosto che a riconoscergli diritti</w:t>
      </w:r>
      <w:r w:rsidR="0073513D" w:rsidRPr="00F23D90">
        <w:rPr>
          <w:rFonts w:ascii="Times New Roman" w:hAnsi="Times New Roman" w:cs="Times New Roman"/>
          <w:sz w:val="32"/>
          <w:szCs w:val="32"/>
        </w:rPr>
        <w:t xml:space="preserve"> o anche semplici pretese (o “interessi pretensivi”, come poi di dirà)</w:t>
      </w:r>
      <w:r w:rsidRPr="00F23D90">
        <w:rPr>
          <w:rFonts w:ascii="Times New Roman" w:hAnsi="Times New Roman" w:cs="Times New Roman"/>
          <w:sz w:val="32"/>
          <w:szCs w:val="32"/>
        </w:rPr>
        <w:t xml:space="preserve">. Di </w:t>
      </w:r>
      <w:proofErr w:type="spellStart"/>
      <w:r w:rsidRPr="00F23D90">
        <w:rPr>
          <w:rFonts w:ascii="Times New Roman" w:hAnsi="Times New Roman" w:cs="Times New Roman"/>
          <w:sz w:val="32"/>
          <w:szCs w:val="32"/>
        </w:rPr>
        <w:t>Ranelletti</w:t>
      </w:r>
      <w:proofErr w:type="spellEnd"/>
      <w:r w:rsidRPr="00F23D90">
        <w:rPr>
          <w:rFonts w:ascii="Times New Roman" w:hAnsi="Times New Roman" w:cs="Times New Roman"/>
          <w:sz w:val="32"/>
          <w:szCs w:val="32"/>
        </w:rPr>
        <w:t xml:space="preserve"> è la definizione dell’interesse legittimo come interesse occasionalmente </w:t>
      </w:r>
      <w:r w:rsidR="0073513D" w:rsidRPr="00F23D90">
        <w:rPr>
          <w:rFonts w:ascii="Times New Roman" w:hAnsi="Times New Roman" w:cs="Times New Roman"/>
          <w:sz w:val="32"/>
          <w:szCs w:val="32"/>
        </w:rPr>
        <w:t>protetto (</w:t>
      </w:r>
      <w:r w:rsidRPr="00F23D90">
        <w:rPr>
          <w:rFonts w:ascii="Times New Roman" w:hAnsi="Times New Roman" w:cs="Times New Roman"/>
          <w:sz w:val="32"/>
          <w:szCs w:val="32"/>
        </w:rPr>
        <w:t>non posta in discussione sino agli anni successivi all’entrata in vigore della Costituzione). Tanto che Cammeo</w:t>
      </w:r>
      <w:r w:rsidRPr="00F23D90">
        <w:rPr>
          <w:rFonts w:ascii="Times New Roman" w:hAnsi="Times New Roman" w:cs="Times New Roman"/>
          <w:sz w:val="32"/>
          <w:szCs w:val="32"/>
          <w:vertAlign w:val="superscript"/>
        </w:rPr>
        <w:footnoteReference w:id="5"/>
      </w:r>
      <w:r w:rsidRPr="00F23D90">
        <w:rPr>
          <w:rFonts w:ascii="Times New Roman" w:hAnsi="Times New Roman" w:cs="Times New Roman"/>
          <w:sz w:val="32"/>
          <w:szCs w:val="32"/>
        </w:rPr>
        <w:t xml:space="preserve">, trattando dei diritti a prestazioni positive dell’amministrazione, negava espressamente la sussistenza di un </w:t>
      </w:r>
      <w:r w:rsidR="007C3758">
        <w:rPr>
          <w:rFonts w:ascii="Times New Roman" w:hAnsi="Times New Roman" w:cs="Times New Roman"/>
          <w:sz w:val="32"/>
          <w:szCs w:val="32"/>
        </w:rPr>
        <w:t>«</w:t>
      </w:r>
      <w:r w:rsidRPr="00F23D90">
        <w:rPr>
          <w:rFonts w:ascii="Times New Roman" w:hAnsi="Times New Roman" w:cs="Times New Roman"/>
          <w:sz w:val="32"/>
          <w:szCs w:val="32"/>
        </w:rPr>
        <w:t>obbligo generale di compiere tutte le possibili prestazioni utili per il cittadino stesso</w:t>
      </w:r>
      <w:r w:rsidR="007C3758">
        <w:rPr>
          <w:rFonts w:ascii="Times New Roman" w:hAnsi="Times New Roman" w:cs="Times New Roman"/>
          <w:sz w:val="32"/>
          <w:szCs w:val="32"/>
        </w:rPr>
        <w:t>»</w:t>
      </w:r>
      <w:r w:rsidRPr="00F23D90">
        <w:rPr>
          <w:rFonts w:ascii="Times New Roman" w:hAnsi="Times New Roman" w:cs="Times New Roman"/>
          <w:sz w:val="32"/>
          <w:szCs w:val="32"/>
        </w:rPr>
        <w:t>.</w:t>
      </w:r>
    </w:p>
    <w:p w14:paraId="342979F9" w14:textId="4532769F" w:rsidR="00094416" w:rsidRPr="00F23D90" w:rsidRDefault="00094416"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Solo con Santi Romano prima e Zanobini poi, la prospettiva comincia a mutare: il primo attenua l’impostazione autoritativa presente negli studi tradizionali sul potere, grazie all’elaborazione della teorica</w:t>
      </w:r>
      <w:r w:rsidR="0073513D" w:rsidRPr="00F23D90">
        <w:rPr>
          <w:rFonts w:ascii="Times New Roman" w:hAnsi="Times New Roman" w:cs="Times New Roman"/>
          <w:sz w:val="32"/>
          <w:szCs w:val="32"/>
        </w:rPr>
        <w:t>, di derivazione tedesca,</w:t>
      </w:r>
      <w:r w:rsidRPr="00F23D90">
        <w:rPr>
          <w:rFonts w:ascii="Times New Roman" w:hAnsi="Times New Roman" w:cs="Times New Roman"/>
          <w:sz w:val="32"/>
          <w:szCs w:val="32"/>
        </w:rPr>
        <w:t xml:space="preserve"> dei diritti pubblici</w:t>
      </w:r>
      <w:r w:rsidRPr="00F23D90">
        <w:rPr>
          <w:rFonts w:ascii="Times New Roman" w:hAnsi="Times New Roman" w:cs="Times New Roman"/>
          <w:sz w:val="32"/>
          <w:szCs w:val="32"/>
          <w:vertAlign w:val="superscript"/>
        </w:rPr>
        <w:footnoteReference w:id="6"/>
      </w:r>
      <w:r w:rsidRPr="00F23D90">
        <w:rPr>
          <w:rFonts w:ascii="Times New Roman" w:hAnsi="Times New Roman" w:cs="Times New Roman"/>
          <w:sz w:val="32"/>
          <w:szCs w:val="32"/>
        </w:rPr>
        <w:t xml:space="preserve"> soggettivi verso il potere pubblico, che richiedeva di approfondire anche le posizioni passive della pubblica amministrazione, tanto quelle consistenti in astensione, quanto quelle aventi ad oggetto le prestazioni; il secondo ribalta il ruolo tra  potere amministrativo e legge (che individua non i limiti del primo, ma gli scopi, guidandone così l’azione). </w:t>
      </w:r>
    </w:p>
    <w:p w14:paraId="769A870D" w14:textId="0363F2F7" w:rsidR="00AA1215" w:rsidRPr="00F23D90" w:rsidRDefault="00AA1215"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lastRenderedPageBreak/>
        <w:t>Il secondo dopoguerra è un peri</w:t>
      </w:r>
      <w:r w:rsidR="000927B5" w:rsidRPr="00F23D90">
        <w:rPr>
          <w:rFonts w:ascii="Times New Roman" w:hAnsi="Times New Roman" w:cs="Times New Roman"/>
          <w:sz w:val="32"/>
          <w:szCs w:val="32"/>
        </w:rPr>
        <w:t>o</w:t>
      </w:r>
      <w:r w:rsidRPr="00F23D90">
        <w:rPr>
          <w:rFonts w:ascii="Times New Roman" w:hAnsi="Times New Roman" w:cs="Times New Roman"/>
          <w:sz w:val="32"/>
          <w:szCs w:val="32"/>
        </w:rPr>
        <w:t>do di fervore per la scienza amministrativistica: giovani studiosi (Benvenuti, Giannini e Sandulli erano tutti del 1915) sottolineano la rilevanza del procedimento prima che dell’atto, la ponderazione nella decisione amministrativa di plurimi interessi pubblici (e non dell’unico interesse pubblico) e di quello del cittadino, il collegamento tra azione amministrativa e processo</w:t>
      </w:r>
      <w:r w:rsidRPr="00F23D90">
        <w:rPr>
          <w:rFonts w:ascii="Times New Roman" w:hAnsi="Times New Roman" w:cs="Times New Roman"/>
          <w:sz w:val="32"/>
          <w:szCs w:val="32"/>
          <w:vertAlign w:val="superscript"/>
        </w:rPr>
        <w:footnoteReference w:id="7"/>
      </w:r>
      <w:r w:rsidRPr="00F23D90">
        <w:rPr>
          <w:rFonts w:ascii="Times New Roman" w:hAnsi="Times New Roman" w:cs="Times New Roman"/>
          <w:sz w:val="32"/>
          <w:szCs w:val="32"/>
        </w:rPr>
        <w:t xml:space="preserve">.  </w:t>
      </w:r>
    </w:p>
    <w:p w14:paraId="3E4F489C" w14:textId="711739F0" w:rsidR="00AA1215" w:rsidRPr="002066E5" w:rsidRDefault="00AA1215"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Bisognerà poi attendere Giovanni Miele per una consapevole elaborazione dell’interesse legittimo come situazione sostanziale</w:t>
      </w:r>
      <w:r w:rsidR="0073513D" w:rsidRPr="00F23D90">
        <w:rPr>
          <w:rFonts w:ascii="Times New Roman" w:hAnsi="Times New Roman" w:cs="Times New Roman"/>
          <w:sz w:val="32"/>
          <w:szCs w:val="32"/>
        </w:rPr>
        <w:t>,</w:t>
      </w:r>
      <w:r w:rsidRPr="00F23D90">
        <w:rPr>
          <w:rFonts w:ascii="Times New Roman" w:hAnsi="Times New Roman" w:cs="Times New Roman"/>
          <w:sz w:val="32"/>
          <w:szCs w:val="32"/>
          <w:vertAlign w:val="superscript"/>
        </w:rPr>
        <w:footnoteReference w:id="8"/>
      </w:r>
      <w:r w:rsidRPr="00F23D90">
        <w:rPr>
          <w:rFonts w:ascii="Times New Roman" w:hAnsi="Times New Roman" w:cs="Times New Roman"/>
          <w:sz w:val="32"/>
          <w:szCs w:val="32"/>
        </w:rPr>
        <w:t xml:space="preserve"> peraltro in un’ottica volta a utilizzare, nei </w:t>
      </w:r>
      <w:r w:rsidRPr="00F23D90">
        <w:rPr>
          <w:rFonts w:ascii="Times New Roman" w:hAnsi="Times New Roman" w:cs="Times New Roman"/>
          <w:i/>
          <w:sz w:val="32"/>
          <w:szCs w:val="32"/>
        </w:rPr>
        <w:t>Princìpi</w:t>
      </w:r>
      <w:r w:rsidRPr="00F23D90">
        <w:rPr>
          <w:rFonts w:ascii="Times New Roman" w:hAnsi="Times New Roman" w:cs="Times New Roman"/>
          <w:sz w:val="32"/>
          <w:szCs w:val="32"/>
        </w:rPr>
        <w:t>, le categorie del diritto privato per una dommatica degli istituti del diritto amministrativo. Vi è</w:t>
      </w:r>
      <w:r w:rsidR="0073513D" w:rsidRPr="00F23D90">
        <w:rPr>
          <w:rFonts w:ascii="Times New Roman" w:hAnsi="Times New Roman" w:cs="Times New Roman"/>
          <w:sz w:val="32"/>
          <w:szCs w:val="32"/>
        </w:rPr>
        <w:t>, ancora,</w:t>
      </w:r>
      <w:r w:rsidRPr="00F23D90">
        <w:rPr>
          <w:rFonts w:ascii="Times New Roman" w:hAnsi="Times New Roman" w:cs="Times New Roman"/>
          <w:sz w:val="32"/>
          <w:szCs w:val="32"/>
        </w:rPr>
        <w:t xml:space="preserve"> un importante interesse per gli studi sull’organizzazione amministrativa, che si riflettono nella politica con il cd. Rapporto Giannini. E Mario Nigro, studioso di organizzazione</w:t>
      </w:r>
      <w:r w:rsidR="0073513D" w:rsidRPr="00F23D90">
        <w:rPr>
          <w:rStyle w:val="Rimandonotaapidipagina"/>
          <w:rFonts w:ascii="Times New Roman" w:hAnsi="Times New Roman" w:cs="Times New Roman"/>
          <w:sz w:val="32"/>
          <w:szCs w:val="32"/>
        </w:rPr>
        <w:footnoteReference w:id="9"/>
      </w:r>
      <w:r w:rsidRPr="00F23D90">
        <w:rPr>
          <w:rFonts w:ascii="Times New Roman" w:hAnsi="Times New Roman" w:cs="Times New Roman"/>
          <w:sz w:val="32"/>
          <w:szCs w:val="32"/>
        </w:rPr>
        <w:t xml:space="preserve"> ma anche dei rapporti tra procedimento e processo, riconsidera il processo amministrativo come garanzia e tutela di tutte le parti, e l’interesse legittimo diviene «</w:t>
      </w:r>
      <w:r w:rsidRPr="00F23D90">
        <w:rPr>
          <w:rFonts w:ascii="Times New Roman" w:hAnsi="Times New Roman" w:cs="Times New Roman"/>
          <w:i/>
          <w:sz w:val="32"/>
          <w:szCs w:val="32"/>
        </w:rPr>
        <w:t xml:space="preserve">posizione di vantaggio fatta ad un soggetto </w:t>
      </w:r>
      <w:r w:rsidRPr="002066E5">
        <w:rPr>
          <w:rFonts w:ascii="Times New Roman" w:hAnsi="Times New Roman" w:cs="Times New Roman"/>
          <w:i/>
          <w:sz w:val="32"/>
          <w:szCs w:val="32"/>
        </w:rPr>
        <w:t>dell’ordinamento in ordine ad una utilità oggetto di potere amministrativo e consistente nell’attribuzione al medesimo soggetto di poteri atti ad influire sul corretto esercizio del potere, in modo da rendere possibile la realizzazione della pretesa all’utilità</w:t>
      </w:r>
      <w:r w:rsidRPr="002066E5">
        <w:rPr>
          <w:rFonts w:ascii="Times New Roman" w:hAnsi="Times New Roman" w:cs="Times New Roman"/>
          <w:sz w:val="32"/>
          <w:szCs w:val="32"/>
        </w:rPr>
        <w:t>»</w:t>
      </w:r>
      <w:r w:rsidRPr="002066E5">
        <w:rPr>
          <w:rFonts w:ascii="Times New Roman" w:hAnsi="Times New Roman" w:cs="Times New Roman"/>
          <w:sz w:val="32"/>
          <w:szCs w:val="32"/>
          <w:vertAlign w:val="superscript"/>
        </w:rPr>
        <w:footnoteReference w:id="10"/>
      </w:r>
      <w:r w:rsidRPr="002066E5">
        <w:rPr>
          <w:rFonts w:ascii="Times New Roman" w:hAnsi="Times New Roman" w:cs="Times New Roman"/>
          <w:sz w:val="32"/>
          <w:szCs w:val="32"/>
        </w:rPr>
        <w:t>.</w:t>
      </w:r>
    </w:p>
    <w:p w14:paraId="7F6D8120" w14:textId="71123C10" w:rsidR="00AA1215" w:rsidRPr="00F23D90" w:rsidRDefault="0073513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lastRenderedPageBreak/>
        <w:t xml:space="preserve">Con questa frase di Nigro siamo all’edizione del 1983 della sua </w:t>
      </w:r>
      <w:r w:rsidRPr="00F23D90">
        <w:rPr>
          <w:rFonts w:ascii="Times New Roman" w:hAnsi="Times New Roman" w:cs="Times New Roman"/>
          <w:i/>
          <w:iCs/>
          <w:sz w:val="32"/>
          <w:szCs w:val="32"/>
        </w:rPr>
        <w:t>Giustizia</w:t>
      </w:r>
      <w:r w:rsidR="00560EA2" w:rsidRPr="00F23D90">
        <w:rPr>
          <w:rFonts w:ascii="Times New Roman" w:hAnsi="Times New Roman" w:cs="Times New Roman"/>
          <w:sz w:val="32"/>
          <w:szCs w:val="32"/>
        </w:rPr>
        <w:t>;</w:t>
      </w:r>
      <w:r w:rsidR="00AA1215" w:rsidRPr="00F23D90">
        <w:rPr>
          <w:rFonts w:ascii="Times New Roman" w:hAnsi="Times New Roman" w:cs="Times New Roman"/>
          <w:sz w:val="32"/>
          <w:szCs w:val="32"/>
        </w:rPr>
        <w:t xml:space="preserve"> Aldo Sandulli ci lascerà nel 1984.</w:t>
      </w:r>
    </w:p>
    <w:p w14:paraId="1C45BB19" w14:textId="50450BA2" w:rsidR="00AA1215" w:rsidRPr="00F23D90" w:rsidRDefault="000927B5"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Dicevo all’inizio che, per valutare le trasformazioni del diritto amministrativo, occorre porsi un parametro temporale di riferimento, anche soggettivo e, quindi, in certa misura arbitrario. Ma oggi il punto di partenza prescelto non è affatto arbitrario: perché con Sandulli </w:t>
      </w:r>
      <w:r w:rsidR="004A4351">
        <w:rPr>
          <w:rFonts w:ascii="Times New Roman" w:hAnsi="Times New Roman" w:cs="Times New Roman"/>
          <w:sz w:val="32"/>
          <w:szCs w:val="32"/>
        </w:rPr>
        <w:t xml:space="preserve">− </w:t>
      </w:r>
      <w:r w:rsidRPr="00F23D90">
        <w:rPr>
          <w:rFonts w:ascii="Times New Roman" w:hAnsi="Times New Roman" w:cs="Times New Roman"/>
          <w:sz w:val="32"/>
          <w:szCs w:val="32"/>
        </w:rPr>
        <w:t>e, in certa misura, ma diversamente, con Giannini</w:t>
      </w:r>
      <w:r w:rsidR="004A4351">
        <w:rPr>
          <w:rFonts w:ascii="Times New Roman" w:hAnsi="Times New Roman" w:cs="Times New Roman"/>
          <w:sz w:val="32"/>
          <w:szCs w:val="32"/>
        </w:rPr>
        <w:t xml:space="preserve"> −</w:t>
      </w:r>
      <w:r w:rsidRPr="00F23D90">
        <w:rPr>
          <w:rFonts w:ascii="Times New Roman" w:hAnsi="Times New Roman" w:cs="Times New Roman"/>
          <w:sz w:val="32"/>
          <w:szCs w:val="32"/>
        </w:rPr>
        <w:t xml:space="preserve"> la cultura del diritto amministrativo di questo Paese cambia. E cambia, perché nel diritto amministrativo irrompe l’amministrato, non più mero soggetto predestinato a un </w:t>
      </w:r>
      <w:proofErr w:type="spellStart"/>
      <w:r w:rsidRPr="00F23D90">
        <w:rPr>
          <w:rFonts w:ascii="Times New Roman" w:hAnsi="Times New Roman" w:cs="Times New Roman"/>
          <w:i/>
          <w:iCs/>
          <w:sz w:val="32"/>
          <w:szCs w:val="32"/>
        </w:rPr>
        <w:t>pati</w:t>
      </w:r>
      <w:proofErr w:type="spellEnd"/>
      <w:r w:rsidRPr="00F23D90">
        <w:rPr>
          <w:rFonts w:ascii="Times New Roman" w:hAnsi="Times New Roman" w:cs="Times New Roman"/>
          <w:sz w:val="32"/>
          <w:szCs w:val="32"/>
        </w:rPr>
        <w:t xml:space="preserve"> (quando gli andava bene), ma come protagonista di una democrazia amministrativa che costituisce oramai un’acquisizione della società moderna regolata (ancora) dal diritto pubblico, di una democrazia, cioè, in cui i diritti e i doveri delle persone vi</w:t>
      </w:r>
      <w:r w:rsidR="00560EA2" w:rsidRPr="00F23D90">
        <w:rPr>
          <w:rFonts w:ascii="Times New Roman" w:hAnsi="Times New Roman" w:cs="Times New Roman"/>
          <w:sz w:val="32"/>
          <w:szCs w:val="32"/>
        </w:rPr>
        <w:t>v</w:t>
      </w:r>
      <w:r w:rsidRPr="00F23D90">
        <w:rPr>
          <w:rFonts w:ascii="Times New Roman" w:hAnsi="Times New Roman" w:cs="Times New Roman"/>
          <w:sz w:val="32"/>
          <w:szCs w:val="32"/>
        </w:rPr>
        <w:t>ono un complesso rapporto con l’esercizio del potere pubblico, un potere che è riconosciuto in quanto strumentale all’ordine e al benessere della comunità.</w:t>
      </w:r>
    </w:p>
    <w:p w14:paraId="58EFEB7B" w14:textId="3616AFA3" w:rsidR="0067617B" w:rsidRPr="00F23D90" w:rsidRDefault="0067617B"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Vari fattori determinano, o quanto meno accompagnano, questa sorta di rivoluzione cope</w:t>
      </w:r>
      <w:r w:rsidR="00BE721E" w:rsidRPr="00F23D90">
        <w:rPr>
          <w:rFonts w:ascii="Times New Roman" w:hAnsi="Times New Roman" w:cs="Times New Roman"/>
          <w:sz w:val="32"/>
          <w:szCs w:val="32"/>
        </w:rPr>
        <w:t xml:space="preserve">rnicana. Io mi soffermerò, schematicamente e problematicamente, su </w:t>
      </w:r>
      <w:r w:rsidR="00490125" w:rsidRPr="00F23D90">
        <w:rPr>
          <w:rFonts w:ascii="Times New Roman" w:hAnsi="Times New Roman" w:cs="Times New Roman"/>
          <w:sz w:val="32"/>
          <w:szCs w:val="32"/>
        </w:rPr>
        <w:t>tre</w:t>
      </w:r>
      <w:r w:rsidR="00333804" w:rsidRPr="00F23D90">
        <w:rPr>
          <w:rFonts w:ascii="Times New Roman" w:hAnsi="Times New Roman" w:cs="Times New Roman"/>
          <w:sz w:val="32"/>
          <w:szCs w:val="32"/>
        </w:rPr>
        <w:t xml:space="preserve"> </w:t>
      </w:r>
      <w:r w:rsidRPr="00F23D90">
        <w:rPr>
          <w:rFonts w:ascii="Times New Roman" w:hAnsi="Times New Roman" w:cs="Times New Roman"/>
          <w:sz w:val="32"/>
          <w:szCs w:val="32"/>
        </w:rPr>
        <w:t>aspetti, perché mi paiono più significativi e perché ben posti in luce dagli Autori</w:t>
      </w:r>
      <w:r w:rsidR="00560EA2" w:rsidRPr="00F23D90">
        <w:rPr>
          <w:rFonts w:ascii="Times New Roman" w:hAnsi="Times New Roman" w:cs="Times New Roman"/>
          <w:sz w:val="32"/>
          <w:szCs w:val="32"/>
        </w:rPr>
        <w:t xml:space="preserve"> del </w:t>
      </w:r>
      <w:r w:rsidR="00560EA2" w:rsidRPr="00F23D90">
        <w:rPr>
          <w:rFonts w:ascii="Times New Roman" w:hAnsi="Times New Roman" w:cs="Times New Roman"/>
          <w:i/>
          <w:iCs/>
          <w:sz w:val="32"/>
          <w:szCs w:val="32"/>
        </w:rPr>
        <w:t>Manuale</w:t>
      </w:r>
      <w:r w:rsidR="00560EA2" w:rsidRPr="00F23D90">
        <w:rPr>
          <w:rFonts w:ascii="Times New Roman" w:hAnsi="Times New Roman" w:cs="Times New Roman"/>
          <w:sz w:val="32"/>
          <w:szCs w:val="32"/>
        </w:rPr>
        <w:t xml:space="preserve"> che presentiamo</w:t>
      </w:r>
      <w:r w:rsidRPr="00F23D90">
        <w:rPr>
          <w:rFonts w:ascii="Times New Roman" w:hAnsi="Times New Roman" w:cs="Times New Roman"/>
          <w:sz w:val="32"/>
          <w:szCs w:val="32"/>
        </w:rPr>
        <w:t xml:space="preserve">: </w:t>
      </w:r>
      <w:r w:rsidR="00C74A4E" w:rsidRPr="00F23D90">
        <w:rPr>
          <w:rFonts w:ascii="Times New Roman" w:hAnsi="Times New Roman" w:cs="Times New Roman"/>
          <w:sz w:val="32"/>
          <w:szCs w:val="32"/>
        </w:rPr>
        <w:t xml:space="preserve">il rapporto, nel sistema delle fonti, tra legge e regolamento, la cui evoluzione segue una parabola ascendente fino alla riforma del titolo V, per poi, ma forse solo sul piano formale e non anche dei rapporti tra governo e parlamento, discendere precipitosamente; </w:t>
      </w:r>
      <w:r w:rsidRPr="00F23D90">
        <w:rPr>
          <w:rFonts w:ascii="Times New Roman" w:hAnsi="Times New Roman" w:cs="Times New Roman"/>
          <w:sz w:val="32"/>
          <w:szCs w:val="32"/>
        </w:rPr>
        <w:t xml:space="preserve">la nuova vita del procedimento amministrativo, in assoluta linea con gli sviluppi della </w:t>
      </w:r>
      <w:r w:rsidRPr="00F23D90">
        <w:rPr>
          <w:rFonts w:ascii="Times New Roman" w:hAnsi="Times New Roman" w:cs="Times New Roman"/>
          <w:sz w:val="32"/>
          <w:szCs w:val="32"/>
        </w:rPr>
        <w:lastRenderedPageBreak/>
        <w:t>dottrina amministrativistica che parte da Sandulli</w:t>
      </w:r>
      <w:r w:rsidR="00C74A4E" w:rsidRPr="00F23D90">
        <w:rPr>
          <w:rFonts w:ascii="Times New Roman" w:hAnsi="Times New Roman" w:cs="Times New Roman"/>
          <w:sz w:val="32"/>
          <w:szCs w:val="32"/>
        </w:rPr>
        <w:t>, che consente l’emersione delle relazioni sostanziali tra potere e persona all’interno di una vicenda che ci conduce alla rielaborazione delle categorie tradizionali, quanto meno, dell’interesse legittimo e del principio di legalità</w:t>
      </w:r>
      <w:r w:rsidR="000927B5" w:rsidRPr="00F23D90">
        <w:rPr>
          <w:rFonts w:ascii="Times New Roman" w:hAnsi="Times New Roman" w:cs="Times New Roman"/>
          <w:sz w:val="32"/>
          <w:szCs w:val="32"/>
        </w:rPr>
        <w:t xml:space="preserve"> (penso soprattutto agli studi di Cassese sulla partecipazione e di </w:t>
      </w:r>
      <w:proofErr w:type="spellStart"/>
      <w:r w:rsidR="000927B5" w:rsidRPr="00F23D90">
        <w:rPr>
          <w:rFonts w:ascii="Times New Roman" w:hAnsi="Times New Roman" w:cs="Times New Roman"/>
          <w:sz w:val="32"/>
          <w:szCs w:val="32"/>
        </w:rPr>
        <w:t>Scoca</w:t>
      </w:r>
      <w:proofErr w:type="spellEnd"/>
      <w:r w:rsidR="000927B5" w:rsidRPr="00F23D90">
        <w:rPr>
          <w:rFonts w:ascii="Times New Roman" w:hAnsi="Times New Roman" w:cs="Times New Roman"/>
          <w:sz w:val="32"/>
          <w:szCs w:val="32"/>
        </w:rPr>
        <w:t xml:space="preserve"> sull’interesse legittimo)</w:t>
      </w:r>
      <w:r w:rsidR="00C74A4E" w:rsidRPr="00F23D90">
        <w:rPr>
          <w:rFonts w:ascii="Times New Roman" w:hAnsi="Times New Roman" w:cs="Times New Roman"/>
          <w:sz w:val="32"/>
          <w:szCs w:val="32"/>
        </w:rPr>
        <w:t>; l</w:t>
      </w:r>
      <w:r w:rsidR="00490125" w:rsidRPr="00F23D90">
        <w:rPr>
          <w:rFonts w:ascii="Times New Roman" w:hAnsi="Times New Roman" w:cs="Times New Roman"/>
          <w:sz w:val="32"/>
          <w:szCs w:val="32"/>
        </w:rPr>
        <w:t xml:space="preserve">a </w:t>
      </w:r>
      <w:r w:rsidR="00C74A4E" w:rsidRPr="00F23D90">
        <w:rPr>
          <w:rFonts w:ascii="Times New Roman" w:hAnsi="Times New Roman" w:cs="Times New Roman"/>
          <w:sz w:val="32"/>
          <w:szCs w:val="32"/>
        </w:rPr>
        <w:t xml:space="preserve">evoluzione </w:t>
      </w:r>
      <w:r w:rsidR="00490125" w:rsidRPr="00F23D90">
        <w:rPr>
          <w:rFonts w:ascii="Times New Roman" w:hAnsi="Times New Roman" w:cs="Times New Roman"/>
          <w:sz w:val="32"/>
          <w:szCs w:val="32"/>
        </w:rPr>
        <w:t xml:space="preserve">che ne consegue </w:t>
      </w:r>
      <w:r w:rsidR="00C74A4E" w:rsidRPr="00F23D90">
        <w:rPr>
          <w:rFonts w:ascii="Times New Roman" w:hAnsi="Times New Roman" w:cs="Times New Roman"/>
          <w:sz w:val="32"/>
          <w:szCs w:val="32"/>
        </w:rPr>
        <w:t xml:space="preserve">nella giustizia amministrativa. </w:t>
      </w:r>
      <w:r w:rsidR="00333804" w:rsidRPr="00F23D90">
        <w:rPr>
          <w:rFonts w:ascii="Times New Roman" w:hAnsi="Times New Roman" w:cs="Times New Roman"/>
          <w:sz w:val="32"/>
          <w:szCs w:val="32"/>
        </w:rPr>
        <w:t>Il tutto in un mutamento di contesto delineato dalla costituzionalizzazione e dall’europeizzazione del diritto amministrativo.</w:t>
      </w:r>
    </w:p>
    <w:p w14:paraId="6A8561DC" w14:textId="77777777" w:rsidR="001A247B" w:rsidRPr="00F23D90" w:rsidRDefault="001A247B" w:rsidP="00EC784B">
      <w:pPr>
        <w:spacing w:line="360" w:lineRule="auto"/>
        <w:jc w:val="both"/>
        <w:rPr>
          <w:rFonts w:ascii="Times New Roman" w:hAnsi="Times New Roman" w:cs="Times New Roman"/>
          <w:sz w:val="32"/>
          <w:szCs w:val="32"/>
        </w:rPr>
      </w:pPr>
    </w:p>
    <w:p w14:paraId="4828AB8E" w14:textId="6FCC9F33" w:rsidR="001A247B" w:rsidRPr="00F23D90" w:rsidRDefault="00560EA2"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E</w:t>
      </w:r>
      <w:r w:rsidR="001A247B" w:rsidRPr="00F23D90">
        <w:rPr>
          <w:rFonts w:ascii="Times New Roman" w:hAnsi="Times New Roman" w:cs="Times New Roman"/>
          <w:sz w:val="32"/>
          <w:szCs w:val="32"/>
        </w:rPr>
        <w:t xml:space="preserve"> – ne va fin d’ora dato atto</w:t>
      </w:r>
      <w:r w:rsidR="004A4351">
        <w:rPr>
          <w:rFonts w:ascii="Times New Roman" w:hAnsi="Times New Roman" w:cs="Times New Roman"/>
          <w:sz w:val="32"/>
          <w:szCs w:val="32"/>
        </w:rPr>
        <w:t xml:space="preserve"> −</w:t>
      </w:r>
      <w:r w:rsidR="001A247B" w:rsidRPr="00F23D90">
        <w:rPr>
          <w:rFonts w:ascii="Times New Roman" w:hAnsi="Times New Roman" w:cs="Times New Roman"/>
          <w:sz w:val="32"/>
          <w:szCs w:val="32"/>
        </w:rPr>
        <w:t xml:space="preserve"> </w:t>
      </w:r>
      <w:r w:rsidR="00490125" w:rsidRPr="00F23D90">
        <w:rPr>
          <w:rFonts w:ascii="Times New Roman" w:hAnsi="Times New Roman" w:cs="Times New Roman"/>
          <w:sz w:val="32"/>
          <w:szCs w:val="32"/>
        </w:rPr>
        <w:t>il</w:t>
      </w:r>
      <w:r w:rsidR="001A247B" w:rsidRPr="00F23D90">
        <w:rPr>
          <w:rFonts w:ascii="Times New Roman" w:hAnsi="Times New Roman" w:cs="Times New Roman"/>
          <w:sz w:val="32"/>
          <w:szCs w:val="32"/>
        </w:rPr>
        <w:t xml:space="preserve"> </w:t>
      </w:r>
      <w:r w:rsidR="001A247B" w:rsidRPr="00F23D90">
        <w:rPr>
          <w:rFonts w:ascii="Times New Roman" w:hAnsi="Times New Roman" w:cs="Times New Roman"/>
          <w:i/>
          <w:iCs/>
          <w:sz w:val="32"/>
          <w:szCs w:val="32"/>
        </w:rPr>
        <w:t>Manuale</w:t>
      </w:r>
      <w:r w:rsidR="001A247B" w:rsidRPr="00F23D90">
        <w:rPr>
          <w:rFonts w:ascii="Times New Roman" w:hAnsi="Times New Roman" w:cs="Times New Roman"/>
          <w:sz w:val="32"/>
          <w:szCs w:val="32"/>
        </w:rPr>
        <w:t xml:space="preserve"> di questa evoluzione tiene ampiamente conto, ripercorrendo la storia di istituti e di realtà che si sono trasformate</w:t>
      </w:r>
      <w:r w:rsidRPr="00F23D90">
        <w:rPr>
          <w:rFonts w:ascii="Times New Roman" w:hAnsi="Times New Roman" w:cs="Times New Roman"/>
          <w:sz w:val="32"/>
          <w:szCs w:val="32"/>
        </w:rPr>
        <w:t xml:space="preserve"> o</w:t>
      </w:r>
      <w:r w:rsidR="001A247B" w:rsidRPr="00F23D90">
        <w:rPr>
          <w:rFonts w:ascii="Times New Roman" w:hAnsi="Times New Roman" w:cs="Times New Roman"/>
          <w:sz w:val="32"/>
          <w:szCs w:val="32"/>
        </w:rPr>
        <w:t xml:space="preserve"> che in taluni casi sono venuti meno per far posto a discipline diverse che tenessero conto delle trasformazioni della società. </w:t>
      </w:r>
      <w:r w:rsidR="008E4AE5">
        <w:rPr>
          <w:rFonts w:ascii="Times New Roman" w:hAnsi="Times New Roman" w:cs="Times New Roman"/>
          <w:sz w:val="32"/>
          <w:szCs w:val="32"/>
        </w:rPr>
        <w:t>N</w:t>
      </w:r>
      <w:r w:rsidR="001A247B" w:rsidRPr="00F23D90">
        <w:rPr>
          <w:rFonts w:ascii="Times New Roman" w:hAnsi="Times New Roman" w:cs="Times New Roman"/>
          <w:sz w:val="32"/>
          <w:szCs w:val="32"/>
        </w:rPr>
        <w:t xml:space="preserve">e esce un quadro di insieme profondamente diverso da quello che molti </w:t>
      </w:r>
      <w:r w:rsidR="000927B5" w:rsidRPr="00F23D90">
        <w:rPr>
          <w:rFonts w:ascii="Times New Roman" w:hAnsi="Times New Roman" w:cs="Times New Roman"/>
          <w:sz w:val="32"/>
          <w:szCs w:val="32"/>
        </w:rPr>
        <w:t>d</w:t>
      </w:r>
      <w:r w:rsidR="001A247B" w:rsidRPr="00F23D90">
        <w:rPr>
          <w:rFonts w:ascii="Times New Roman" w:hAnsi="Times New Roman" w:cs="Times New Roman"/>
          <w:sz w:val="32"/>
          <w:szCs w:val="32"/>
        </w:rPr>
        <w:t>i noi avevano studiato, senza però che si perda il senso di continuità di questa trasformazione che raramente ha portato a rotture radicali. Per fare un solo esempio, lo studio degli enti pubblici</w:t>
      </w:r>
      <w:r w:rsidR="0067617B" w:rsidRPr="00F23D90">
        <w:rPr>
          <w:rFonts w:ascii="Times New Roman" w:hAnsi="Times New Roman" w:cs="Times New Roman"/>
          <w:sz w:val="32"/>
          <w:szCs w:val="32"/>
        </w:rPr>
        <w:t>, ancora centrale nella dottrina giuridica degli anni a cavallo tra la fine del 70 e la prima parte degli anni 80 (penso agli studi specialistici di Galgano e</w:t>
      </w:r>
      <w:r w:rsidR="00E0670F">
        <w:rPr>
          <w:rFonts w:ascii="Times New Roman" w:hAnsi="Times New Roman" w:cs="Times New Roman"/>
          <w:sz w:val="32"/>
          <w:szCs w:val="32"/>
        </w:rPr>
        <w:t xml:space="preserve"> G. Rossi</w:t>
      </w:r>
      <w:r w:rsidR="0067617B" w:rsidRPr="00F23D90">
        <w:rPr>
          <w:rFonts w:ascii="Times New Roman" w:hAnsi="Times New Roman" w:cs="Times New Roman"/>
          <w:sz w:val="32"/>
          <w:szCs w:val="32"/>
        </w:rPr>
        <w:t>, ancor prima, di Ottaviano), muove dalla problematica della individuazione dell’ente pubblico, ne ricorda la classificazione (enti ausiliari, enti strumentali, e co</w:t>
      </w:r>
      <w:r w:rsidR="000927B5" w:rsidRPr="00F23D90">
        <w:rPr>
          <w:rFonts w:ascii="Times New Roman" w:hAnsi="Times New Roman" w:cs="Times New Roman"/>
          <w:sz w:val="32"/>
          <w:szCs w:val="32"/>
        </w:rPr>
        <w:t>s</w:t>
      </w:r>
      <w:r w:rsidR="0067617B" w:rsidRPr="00F23D90">
        <w:rPr>
          <w:rFonts w:ascii="Times New Roman" w:hAnsi="Times New Roman" w:cs="Times New Roman"/>
          <w:sz w:val="32"/>
          <w:szCs w:val="32"/>
        </w:rPr>
        <w:t xml:space="preserve">ì via), ma poi perviene alle più moderne caratterizzazioni dell’ente pubblico, funzionali soprattutto a pur esse stesse mutate forme di intervento pubblico nell’economia o di sostegno ad attività culturali o </w:t>
      </w:r>
      <w:r w:rsidR="0067617B" w:rsidRPr="00F23D90">
        <w:rPr>
          <w:rFonts w:ascii="Times New Roman" w:hAnsi="Times New Roman" w:cs="Times New Roman"/>
          <w:sz w:val="32"/>
          <w:szCs w:val="32"/>
        </w:rPr>
        <w:lastRenderedPageBreak/>
        <w:t>assistenziali</w:t>
      </w:r>
      <w:r w:rsidRPr="00F23D90">
        <w:rPr>
          <w:rFonts w:ascii="Times New Roman" w:hAnsi="Times New Roman" w:cs="Times New Roman"/>
          <w:sz w:val="32"/>
          <w:szCs w:val="32"/>
        </w:rPr>
        <w:t>:</w:t>
      </w:r>
      <w:r w:rsidR="0067617B" w:rsidRPr="00F23D90">
        <w:rPr>
          <w:rFonts w:ascii="Times New Roman" w:hAnsi="Times New Roman" w:cs="Times New Roman"/>
          <w:sz w:val="32"/>
          <w:szCs w:val="32"/>
        </w:rPr>
        <w:t xml:space="preserve"> e penso alle svariare tipologie di società pubbliche o al variegato mondo delle fondazioni di diritto pubblico.</w:t>
      </w:r>
    </w:p>
    <w:p w14:paraId="64B56486" w14:textId="1167EED6" w:rsidR="008707DE" w:rsidRPr="00F23D90" w:rsidRDefault="00333804" w:rsidP="00EC784B">
      <w:pPr>
        <w:spacing w:line="360" w:lineRule="auto"/>
        <w:jc w:val="both"/>
        <w:rPr>
          <w:rFonts w:ascii="Times New Roman" w:hAnsi="Times New Roman" w:cs="Times New Roman"/>
          <w:sz w:val="32"/>
          <w:szCs w:val="32"/>
          <w:u w:val="single"/>
        </w:rPr>
      </w:pPr>
      <w:r w:rsidRPr="00F23D90">
        <w:rPr>
          <w:rFonts w:ascii="Times New Roman" w:hAnsi="Times New Roman" w:cs="Times New Roman"/>
          <w:sz w:val="32"/>
          <w:szCs w:val="32"/>
          <w:u w:val="single"/>
        </w:rPr>
        <w:t xml:space="preserve">2 - </w:t>
      </w:r>
      <w:r w:rsidR="00C74A4E" w:rsidRPr="00F23D90">
        <w:rPr>
          <w:rFonts w:ascii="Times New Roman" w:hAnsi="Times New Roman" w:cs="Times New Roman"/>
          <w:sz w:val="32"/>
          <w:szCs w:val="32"/>
          <w:u w:val="single"/>
        </w:rPr>
        <w:t>Legge e regolamento</w:t>
      </w:r>
      <w:r w:rsidRPr="00F23D90">
        <w:rPr>
          <w:rFonts w:ascii="Times New Roman" w:hAnsi="Times New Roman" w:cs="Times New Roman"/>
          <w:sz w:val="32"/>
          <w:szCs w:val="32"/>
          <w:u w:val="single"/>
        </w:rPr>
        <w:t xml:space="preserve"> nel sistema delle fonti.</w:t>
      </w:r>
    </w:p>
    <w:p w14:paraId="1AA9F5C5" w14:textId="673F50D4" w:rsidR="008707DE" w:rsidRPr="00F23D90" w:rsidRDefault="008707DE"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Il tema </w:t>
      </w:r>
      <w:r w:rsidR="00560EA2" w:rsidRPr="00F23D90">
        <w:rPr>
          <w:rFonts w:ascii="Times New Roman" w:hAnsi="Times New Roman" w:cs="Times New Roman"/>
          <w:sz w:val="32"/>
          <w:szCs w:val="32"/>
        </w:rPr>
        <w:t>fu</w:t>
      </w:r>
      <w:r w:rsidRPr="00F23D90">
        <w:rPr>
          <w:rFonts w:ascii="Times New Roman" w:hAnsi="Times New Roman" w:cs="Times New Roman"/>
          <w:sz w:val="32"/>
          <w:szCs w:val="32"/>
        </w:rPr>
        <w:t xml:space="preserve"> sviluppato </w:t>
      </w:r>
      <w:proofErr w:type="gramStart"/>
      <w:r w:rsidRPr="00F23D90">
        <w:rPr>
          <w:rFonts w:ascii="Times New Roman" w:hAnsi="Times New Roman" w:cs="Times New Roman"/>
          <w:sz w:val="32"/>
          <w:szCs w:val="32"/>
        </w:rPr>
        <w:t xml:space="preserve">ne </w:t>
      </w:r>
      <w:r w:rsidRPr="00F23D90">
        <w:rPr>
          <w:rFonts w:ascii="Times New Roman" w:hAnsi="Times New Roman" w:cs="Times New Roman"/>
          <w:i/>
          <w:sz w:val="32"/>
          <w:szCs w:val="32"/>
        </w:rPr>
        <w:t>L’Attività</w:t>
      </w:r>
      <w:proofErr w:type="gramEnd"/>
      <w:r w:rsidRPr="00F23D90">
        <w:rPr>
          <w:rFonts w:ascii="Times New Roman" w:hAnsi="Times New Roman" w:cs="Times New Roman"/>
          <w:i/>
          <w:sz w:val="32"/>
          <w:szCs w:val="32"/>
        </w:rPr>
        <w:t xml:space="preserve"> normativa della pubblica amministrazione</w:t>
      </w:r>
      <w:r w:rsidRPr="00F23D90">
        <w:rPr>
          <w:rFonts w:ascii="Times New Roman" w:hAnsi="Times New Roman" w:cs="Times New Roman"/>
          <w:iCs/>
          <w:sz w:val="32"/>
          <w:szCs w:val="32"/>
          <w:vertAlign w:val="superscript"/>
        </w:rPr>
        <w:footnoteReference w:id="11"/>
      </w:r>
      <w:r w:rsidRPr="00F23D90">
        <w:rPr>
          <w:rFonts w:ascii="Times New Roman" w:hAnsi="Times New Roman" w:cs="Times New Roman"/>
          <w:sz w:val="32"/>
          <w:szCs w:val="32"/>
        </w:rPr>
        <w:t xml:space="preserve">. Sandulli è costantemente preoccupato, nelle alterne vicende storiche che connotano il piano dei rapporti tra Legislativo ed Esecutivo nella produzione delle norme, di assicurare il primato del Parlamento come espressione di democrazia e uguaglianza. Ma il giurista pratico non si rifugia in uno sterile arroccamento sulla supremazia della legge, ma coglie l’interazione dei rapporti tra legge e </w:t>
      </w:r>
      <w:r w:rsidR="00560EA2" w:rsidRPr="00F23D90">
        <w:rPr>
          <w:rFonts w:ascii="Times New Roman" w:hAnsi="Times New Roman" w:cs="Times New Roman"/>
          <w:sz w:val="32"/>
          <w:szCs w:val="32"/>
        </w:rPr>
        <w:t>norm</w:t>
      </w:r>
      <w:r w:rsidRPr="00F23D90">
        <w:rPr>
          <w:rFonts w:ascii="Times New Roman" w:hAnsi="Times New Roman" w:cs="Times New Roman"/>
          <w:sz w:val="32"/>
          <w:szCs w:val="32"/>
        </w:rPr>
        <w:t>azione secondaria</w:t>
      </w:r>
      <w:r w:rsidR="008E4AE5">
        <w:rPr>
          <w:rFonts w:ascii="Times New Roman" w:hAnsi="Times New Roman" w:cs="Times New Roman"/>
          <w:b/>
          <w:sz w:val="32"/>
          <w:szCs w:val="32"/>
        </w:rPr>
        <w:t xml:space="preserve"> </w:t>
      </w:r>
      <w:r w:rsidRPr="00F23D90">
        <w:rPr>
          <w:rFonts w:ascii="Times New Roman" w:hAnsi="Times New Roman" w:cs="Times New Roman"/>
          <w:sz w:val="32"/>
          <w:szCs w:val="32"/>
        </w:rPr>
        <w:t>–</w:t>
      </w:r>
      <w:r w:rsidR="008E4AE5">
        <w:rPr>
          <w:rFonts w:ascii="Times New Roman" w:hAnsi="Times New Roman" w:cs="Times New Roman"/>
          <w:sz w:val="32"/>
          <w:szCs w:val="32"/>
        </w:rPr>
        <w:t xml:space="preserve"> </w:t>
      </w:r>
      <w:r w:rsidRPr="00F23D90">
        <w:rPr>
          <w:rFonts w:ascii="Times New Roman" w:hAnsi="Times New Roman" w:cs="Times New Roman"/>
          <w:sz w:val="32"/>
          <w:szCs w:val="32"/>
        </w:rPr>
        <w:t>che pur sempre “rappresenta una componente del sistema normativo della comunità nazionale”</w:t>
      </w:r>
      <w:r w:rsidRPr="00F23D90">
        <w:rPr>
          <w:rFonts w:ascii="Times New Roman" w:hAnsi="Times New Roman" w:cs="Times New Roman"/>
          <w:sz w:val="32"/>
          <w:szCs w:val="32"/>
          <w:vertAlign w:val="superscript"/>
        </w:rPr>
        <w:footnoteReference w:id="12"/>
      </w:r>
      <w:r w:rsidR="008E4AE5">
        <w:rPr>
          <w:rFonts w:ascii="Times New Roman" w:hAnsi="Times New Roman" w:cs="Times New Roman"/>
          <w:sz w:val="32"/>
          <w:szCs w:val="32"/>
        </w:rPr>
        <w:t>−</w:t>
      </w:r>
      <w:r w:rsidRPr="00F23D90">
        <w:rPr>
          <w:rFonts w:ascii="Times New Roman" w:hAnsi="Times New Roman" w:cs="Times New Roman"/>
          <w:sz w:val="32"/>
          <w:szCs w:val="32"/>
        </w:rPr>
        <w:t xml:space="preserve"> e si preoccupa piuttosto di rafforzare la garanzia di legalità nelle ipotesi di esercizio del potere normativo da parte del Governo. Egli osserva il fenomeno obiettivo della costante dilatazione del potere normativo del Governo pur nel passaggio dal sistema dualistico della monarchia limitata al sistema monistico dello Stato parlamentare; sottolinea l’accezione ampia con cui fu intesa la potestà di emanare norme “per l’esecuzione delle leggi”; registra il fenomeno dei regolamenti indipendenti e della delegificazione, soprattutto in materia di organizzazione, precisando la fondamentale differenza tra delega legislativa e autorizzazione (legislativa) alla emanazione di regolamenti (donde la preferenza, non solo lessicale, per il termine regolamenti autorizzati piuttosto che non regolamenti delegati). Il bilanciamento tra lo zoccolo duro del principio di sovranità e della </w:t>
      </w:r>
      <w:r w:rsidRPr="00F23D90">
        <w:rPr>
          <w:rFonts w:ascii="Times New Roman" w:hAnsi="Times New Roman" w:cs="Times New Roman"/>
          <w:sz w:val="32"/>
          <w:szCs w:val="32"/>
        </w:rPr>
        <w:lastRenderedPageBreak/>
        <w:t>“superiorità” della legge, da una parte, e la dilatazione del potere normativo, dall’altra, si traduce in ciò: esiste, in ordine alla produzione normativa, una ripartizione di aree tra potere legislativo e potere “governativo”, tendenzialmente stabile pur non risolvendosi in alcuna “riserva”; però –</w:t>
      </w:r>
      <w:r w:rsidR="008E4AE5">
        <w:rPr>
          <w:rFonts w:ascii="Times New Roman" w:hAnsi="Times New Roman" w:cs="Times New Roman"/>
          <w:sz w:val="32"/>
          <w:szCs w:val="32"/>
        </w:rPr>
        <w:t xml:space="preserve"> </w:t>
      </w:r>
      <w:r w:rsidRPr="00F23D90">
        <w:rPr>
          <w:rFonts w:ascii="Times New Roman" w:hAnsi="Times New Roman" w:cs="Times New Roman"/>
          <w:sz w:val="32"/>
          <w:szCs w:val="32"/>
        </w:rPr>
        <w:t>rileva l’Autore</w:t>
      </w:r>
      <w:r w:rsidR="008E4AE5">
        <w:rPr>
          <w:rFonts w:ascii="Times New Roman" w:hAnsi="Times New Roman" w:cs="Times New Roman"/>
          <w:sz w:val="32"/>
          <w:szCs w:val="32"/>
        </w:rPr>
        <w:t xml:space="preserve"> −</w:t>
      </w:r>
      <w:r w:rsidRPr="00F23D90">
        <w:rPr>
          <w:rFonts w:ascii="Times New Roman" w:hAnsi="Times New Roman" w:cs="Times New Roman"/>
          <w:sz w:val="32"/>
          <w:szCs w:val="32"/>
        </w:rPr>
        <w:t xml:space="preserve"> è pur sempre la legge a “spostare la frontiera mobile tra potestà legislativa e potestà normativa </w:t>
      </w:r>
      <w:proofErr w:type="spellStart"/>
      <w:r w:rsidRPr="00F23D90">
        <w:rPr>
          <w:rFonts w:ascii="Times New Roman" w:hAnsi="Times New Roman" w:cs="Times New Roman"/>
          <w:sz w:val="32"/>
          <w:szCs w:val="32"/>
        </w:rPr>
        <w:t>extralegislativa</w:t>
      </w:r>
      <w:proofErr w:type="spellEnd"/>
      <w:r w:rsidRPr="00F23D90">
        <w:rPr>
          <w:rFonts w:ascii="Times New Roman" w:hAnsi="Times New Roman" w:cs="Times New Roman"/>
          <w:sz w:val="32"/>
          <w:szCs w:val="32"/>
        </w:rPr>
        <w:t>”</w:t>
      </w:r>
      <w:r w:rsidRPr="00F23D90">
        <w:rPr>
          <w:rFonts w:ascii="Times New Roman" w:hAnsi="Times New Roman" w:cs="Times New Roman"/>
          <w:sz w:val="32"/>
          <w:szCs w:val="32"/>
          <w:vertAlign w:val="superscript"/>
        </w:rPr>
        <w:footnoteReference w:id="13"/>
      </w:r>
      <w:r w:rsidRPr="00F23D90">
        <w:rPr>
          <w:rFonts w:ascii="Times New Roman" w:hAnsi="Times New Roman" w:cs="Times New Roman"/>
          <w:sz w:val="32"/>
          <w:szCs w:val="32"/>
        </w:rPr>
        <w:t xml:space="preserve">. </w:t>
      </w:r>
    </w:p>
    <w:p w14:paraId="05463999" w14:textId="77777777" w:rsidR="008707DE" w:rsidRPr="00F23D90" w:rsidRDefault="008707DE"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Le teorie del Sandulli trovano sviluppo, nel corso degli anni 90, sia sul piano dottrinario, sia sul piano legislativo e della sua attuazione.</w:t>
      </w:r>
    </w:p>
    <w:p w14:paraId="721C4A71" w14:textId="030CBE4B" w:rsidR="008707DE" w:rsidRPr="00F23D90" w:rsidRDefault="008707DE"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La dottrina, muovendo dall’analisi della legge n.</w:t>
      </w:r>
      <w:r w:rsidR="008E4AE5">
        <w:rPr>
          <w:rFonts w:ascii="Times New Roman" w:hAnsi="Times New Roman" w:cs="Times New Roman"/>
          <w:sz w:val="32"/>
          <w:szCs w:val="32"/>
        </w:rPr>
        <w:t xml:space="preserve"> </w:t>
      </w:r>
      <w:r w:rsidRPr="00F23D90">
        <w:rPr>
          <w:rFonts w:ascii="Times New Roman" w:hAnsi="Times New Roman" w:cs="Times New Roman"/>
          <w:sz w:val="32"/>
          <w:szCs w:val="32"/>
        </w:rPr>
        <w:t>400 del 1988 e segnatamente dell’articolo 17 sulla potestà regolamentare del Governo, individua in essa la formalizzazione di un riparto di attribuzioni della potestà normativa tendenzialmente stabile, e non episodico, tra Governo e Parlamento</w:t>
      </w:r>
      <w:r w:rsidRPr="00F23D90">
        <w:rPr>
          <w:rFonts w:ascii="Times New Roman" w:hAnsi="Times New Roman" w:cs="Times New Roman"/>
          <w:sz w:val="32"/>
          <w:szCs w:val="32"/>
          <w:vertAlign w:val="superscript"/>
        </w:rPr>
        <w:footnoteReference w:id="14"/>
      </w:r>
      <w:r w:rsidRPr="00F23D90">
        <w:rPr>
          <w:rFonts w:ascii="Times New Roman" w:hAnsi="Times New Roman" w:cs="Times New Roman"/>
          <w:sz w:val="32"/>
          <w:szCs w:val="32"/>
        </w:rPr>
        <w:t>.</w:t>
      </w:r>
    </w:p>
    <w:p w14:paraId="4260C32B" w14:textId="77777777" w:rsidR="008707DE" w:rsidRPr="00F23D90" w:rsidRDefault="008707DE"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La giurisprudenza consultiva del Consiglio di Stato</w:t>
      </w:r>
      <w:r w:rsidRPr="00F23D90">
        <w:rPr>
          <w:rFonts w:ascii="Times New Roman" w:hAnsi="Times New Roman" w:cs="Times New Roman"/>
          <w:sz w:val="32"/>
          <w:szCs w:val="32"/>
          <w:vertAlign w:val="superscript"/>
        </w:rPr>
        <w:footnoteReference w:id="15"/>
      </w:r>
      <w:r w:rsidRPr="00F23D90">
        <w:rPr>
          <w:rFonts w:ascii="Times New Roman" w:hAnsi="Times New Roman" w:cs="Times New Roman"/>
          <w:sz w:val="32"/>
          <w:szCs w:val="32"/>
        </w:rPr>
        <w:t xml:space="preserve">, in sede di parere sui regolamenti di organizzazione dei ministeri ai sensi del richiamato articolo 17 e soprattutto nei pareri relativi alle prime leggi di semplificazione dei procedimenti amministrativi, muovendo dal carattere generale di “norma sulla normazione” della legge 400, sottolinea la complementarietà della fonte primaria e della fonte regolamentare nella produzione dell’ordine giuridico, secondo un sistema “a cascata”, in cui </w:t>
      </w:r>
      <w:r w:rsidRPr="00F23D90">
        <w:rPr>
          <w:rFonts w:ascii="Times New Roman" w:hAnsi="Times New Roman" w:cs="Times New Roman"/>
          <w:sz w:val="32"/>
          <w:szCs w:val="32"/>
        </w:rPr>
        <w:lastRenderedPageBreak/>
        <w:t>il primato della legge e il rispetto quindi del principio di legalità sono assicurati nell’ambito di un ordinamento giuridico unitario in cui la legge tende a porre i princìpi e il regolamento la disciplina “di dettaglio” necessaria al completamento dell’ordine giuridico. Quella stagione della giurisprudenza consultiva del Consiglio di Stato, che ha accompagnato l’attuazione della legge n. 400, quanto all’organizzazione dei ministeri, della legge n. 241 del 1990 sui termini e il responsabile dei procedimento e delle leggi 537 del 1993 e 59 del 1997 sulla semplificazione procedimentale, si caratterizza, oltre che per la individuazione della portata applicativa del meccanismo della delegificazione, per un altro aspetto di notevole rilevanza, che pure ritroviamo analizzata da Sandulli nel saggio sull’attività normativa: la ricerca degli elementi sostanziali e contenutistici perché, indipendentemente dalla forma, un atto possa essere qualificato come normativo</w:t>
      </w:r>
      <w:r w:rsidRPr="00F23D90">
        <w:rPr>
          <w:rFonts w:ascii="Times New Roman" w:hAnsi="Times New Roman" w:cs="Times New Roman"/>
          <w:sz w:val="32"/>
          <w:szCs w:val="32"/>
          <w:vertAlign w:val="superscript"/>
        </w:rPr>
        <w:footnoteReference w:id="16"/>
      </w:r>
      <w:r w:rsidRPr="00F23D90">
        <w:rPr>
          <w:rFonts w:ascii="Times New Roman" w:hAnsi="Times New Roman" w:cs="Times New Roman"/>
          <w:sz w:val="32"/>
          <w:szCs w:val="32"/>
        </w:rPr>
        <w:t xml:space="preserve">. In particolare, sul presupposto che il regolamento “completa” l’ordine normativo delineato dalla legge, il Consiglio di Stato attribuisce carattere </w:t>
      </w:r>
      <w:r w:rsidRPr="00F23D90">
        <w:rPr>
          <w:rFonts w:ascii="Times New Roman" w:hAnsi="Times New Roman" w:cs="Times New Roman"/>
          <w:i/>
          <w:sz w:val="32"/>
          <w:szCs w:val="32"/>
        </w:rPr>
        <w:t>intrinsecamente e quindi necessariamente</w:t>
      </w:r>
      <w:r w:rsidRPr="00F23D90">
        <w:rPr>
          <w:rFonts w:ascii="Times New Roman" w:hAnsi="Times New Roman" w:cs="Times New Roman"/>
          <w:sz w:val="32"/>
          <w:szCs w:val="32"/>
        </w:rPr>
        <w:t xml:space="preserve"> regolamentare agli atti del Governo che abbiano il carattere della </w:t>
      </w:r>
      <w:r w:rsidRPr="00F23D90">
        <w:rPr>
          <w:rFonts w:ascii="Times New Roman" w:hAnsi="Times New Roman" w:cs="Times New Roman"/>
          <w:i/>
          <w:sz w:val="32"/>
          <w:szCs w:val="32"/>
        </w:rPr>
        <w:t>innovatività,</w:t>
      </w:r>
      <w:r w:rsidRPr="00F23D90">
        <w:rPr>
          <w:rFonts w:ascii="Times New Roman" w:hAnsi="Times New Roman" w:cs="Times New Roman"/>
          <w:sz w:val="32"/>
          <w:szCs w:val="32"/>
        </w:rPr>
        <w:t xml:space="preserve"> cioè della capacità, attribuita dalla legge, di innovare l’ordinamento giuridico. La tesi del carattere innovativo della norma è centrale nella riflessione del Sandulli</w:t>
      </w:r>
      <w:r w:rsidRPr="00F23D90">
        <w:rPr>
          <w:rFonts w:ascii="Times New Roman" w:hAnsi="Times New Roman" w:cs="Times New Roman"/>
          <w:sz w:val="32"/>
          <w:szCs w:val="32"/>
          <w:vertAlign w:val="superscript"/>
        </w:rPr>
        <w:footnoteReference w:id="17"/>
      </w:r>
      <w:r w:rsidRPr="00F23D90">
        <w:rPr>
          <w:rFonts w:ascii="Times New Roman" w:hAnsi="Times New Roman" w:cs="Times New Roman"/>
          <w:sz w:val="32"/>
          <w:szCs w:val="32"/>
        </w:rPr>
        <w:t xml:space="preserve">; e diventa centrale nella giurisprudenza del Consiglio di Stato, in una fase storica in cui la produzione regolamentare  disciplina i procedimenti amministrativi e quindi i rapporti tra cittadino e potere, per contrastare la “fuga dal regolamento”, e dalle connesse garanzie formali e procedimentali, di cui </w:t>
      </w:r>
      <w:r w:rsidRPr="00F23D90">
        <w:rPr>
          <w:rFonts w:ascii="Times New Roman" w:hAnsi="Times New Roman" w:cs="Times New Roman"/>
          <w:sz w:val="32"/>
          <w:szCs w:val="32"/>
        </w:rPr>
        <w:lastRenderedPageBreak/>
        <w:t xml:space="preserve">alcune amministrazioni si rendono protagoniste: il Consiglio di Stato, in sede di parere sugli schemi di regolamento e quindi nella fase di produzione della norma, evidenzia l’insufficienza o l’inadeguatezza degli indici rivelatori del carattere normativo di un atto elaborati dalla dottrina e spesso utilizzati dalla giurisprudenza, sia sul piano sostanziale (generalità e astrattezza), sia sul piano formale (forma utilizzata per l’emanazione dell’atto), proprio perché, soprattutto quello formale, riferiti a un atto già formato, a un regolamento emanato; e ricorre al canone della innovatività per qualificare come intrinsecamente normativo un atto: questo perché il completamento dell’ordine normativo posto da una legge, in certe materie e alla luce dell’autorizzazione legislativa, non può che avvenire per atto regolamentare e mai per atto meramente amministrativo.  </w:t>
      </w:r>
    </w:p>
    <w:p w14:paraId="152C14AD" w14:textId="7DEF5B58" w:rsidR="008707DE" w:rsidRPr="00F23D90" w:rsidRDefault="008707DE"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Tirando le fila di questo complesso discorso, due aspetti mi sembrano significativi: come Sandulli declina il principio di legalità nei rapporti tra Parlamento e Governo; il carattere “ciclico”, le continue “fluttuazioni” per dirla con il Maestro, della ripartizione di attribuzioni tra Governo e Parlamento. Tale ultima considerazione ci suggerisce una riflessione: la tendenza alla configurazione del sistema legge-regolamento come tendenziale riparto di attribuzioni tra Governo e Parlamento –come si è visto</w:t>
      </w:r>
      <w:r w:rsidR="004A4351">
        <w:rPr>
          <w:rFonts w:ascii="Times New Roman" w:hAnsi="Times New Roman" w:cs="Times New Roman"/>
          <w:sz w:val="32"/>
          <w:szCs w:val="32"/>
        </w:rPr>
        <w:t xml:space="preserve"> −</w:t>
      </w:r>
      <w:r w:rsidRPr="00F23D90">
        <w:rPr>
          <w:rFonts w:ascii="Times New Roman" w:hAnsi="Times New Roman" w:cs="Times New Roman"/>
          <w:sz w:val="32"/>
          <w:szCs w:val="32"/>
        </w:rPr>
        <w:t xml:space="preserve"> dura fino alla fine degli anni 90 e consente di governare fenomeni complessi come le riforme amministrative di quegli anni, che utilizzano lo strumento regolamentare, e in particolare quello “autorizzato”, per realizzare, con norme snelle di rango secondario, la riorganizzazione degli apparati amministrativi e la semplificazione delle procedure; poi, con la riforma del titolo V, la potestà regolamentare si contrae bruscamente e si </w:t>
      </w:r>
      <w:proofErr w:type="spellStart"/>
      <w:r w:rsidRPr="00F23D90">
        <w:rPr>
          <w:rFonts w:ascii="Times New Roman" w:hAnsi="Times New Roman" w:cs="Times New Roman"/>
          <w:sz w:val="32"/>
          <w:szCs w:val="32"/>
        </w:rPr>
        <w:t>riespande</w:t>
      </w:r>
      <w:proofErr w:type="spellEnd"/>
      <w:r w:rsidRPr="00F23D90">
        <w:rPr>
          <w:rFonts w:ascii="Times New Roman" w:hAnsi="Times New Roman" w:cs="Times New Roman"/>
          <w:sz w:val="32"/>
          <w:szCs w:val="32"/>
        </w:rPr>
        <w:t xml:space="preserve"> la potestà legislativa del Parlamento, in quanto è solo la legge </w:t>
      </w:r>
      <w:r w:rsidRPr="00F23D90">
        <w:rPr>
          <w:rFonts w:ascii="Times New Roman" w:hAnsi="Times New Roman" w:cs="Times New Roman"/>
          <w:sz w:val="32"/>
          <w:szCs w:val="32"/>
        </w:rPr>
        <w:lastRenderedPageBreak/>
        <w:t>che può assicurare il dialogo con le autonomie regionali nell’esercizio della potestà legislativa concorrente. C’è però da chiedersi: il ritrovato primato del Parlamento sul Governo è effettivo? Oppure il primato della legge si inserisce in un mutato –</w:t>
      </w:r>
      <w:r w:rsidR="004A4351">
        <w:rPr>
          <w:rFonts w:ascii="Times New Roman" w:hAnsi="Times New Roman" w:cs="Times New Roman"/>
          <w:sz w:val="32"/>
          <w:szCs w:val="32"/>
        </w:rPr>
        <w:t xml:space="preserve"> </w:t>
      </w:r>
      <w:r w:rsidRPr="00F23D90">
        <w:rPr>
          <w:rFonts w:ascii="Times New Roman" w:hAnsi="Times New Roman" w:cs="Times New Roman"/>
          <w:sz w:val="32"/>
          <w:szCs w:val="32"/>
        </w:rPr>
        <w:t>e in corso di evoluzione</w:t>
      </w:r>
      <w:r w:rsidR="004A4351">
        <w:rPr>
          <w:rFonts w:ascii="Times New Roman" w:hAnsi="Times New Roman" w:cs="Times New Roman"/>
          <w:sz w:val="32"/>
          <w:szCs w:val="32"/>
        </w:rPr>
        <w:t xml:space="preserve"> −</w:t>
      </w:r>
      <w:r w:rsidRPr="00F23D90">
        <w:rPr>
          <w:rFonts w:ascii="Times New Roman" w:hAnsi="Times New Roman" w:cs="Times New Roman"/>
          <w:sz w:val="32"/>
          <w:szCs w:val="32"/>
        </w:rPr>
        <w:t xml:space="preserve"> assetto dei rapporti costituzionali tra parlamento e governo, che potrebbe, col rafforzamento del vincolo politico maggioritario, delineare un primato del </w:t>
      </w:r>
      <w:r w:rsidR="00DA47CE">
        <w:rPr>
          <w:rFonts w:ascii="Times New Roman" w:hAnsi="Times New Roman" w:cs="Times New Roman"/>
          <w:sz w:val="32"/>
          <w:szCs w:val="32"/>
        </w:rPr>
        <w:t>G</w:t>
      </w:r>
      <w:r w:rsidRPr="00F23D90">
        <w:rPr>
          <w:rFonts w:ascii="Times New Roman" w:hAnsi="Times New Roman" w:cs="Times New Roman"/>
          <w:sz w:val="32"/>
          <w:szCs w:val="32"/>
        </w:rPr>
        <w:t xml:space="preserve">overno sul </w:t>
      </w:r>
      <w:r w:rsidR="00DA47CE">
        <w:rPr>
          <w:rFonts w:ascii="Times New Roman" w:hAnsi="Times New Roman" w:cs="Times New Roman"/>
          <w:sz w:val="32"/>
          <w:szCs w:val="32"/>
        </w:rPr>
        <w:t>P</w:t>
      </w:r>
      <w:r w:rsidRPr="00F23D90">
        <w:rPr>
          <w:rFonts w:ascii="Times New Roman" w:hAnsi="Times New Roman" w:cs="Times New Roman"/>
          <w:sz w:val="32"/>
          <w:szCs w:val="32"/>
        </w:rPr>
        <w:t xml:space="preserve">arlamento che potrebbe andare in contraddizione con il primato della legge sul regolamento? In realtà, sembra che fenomeni quali il sistematico ricorso alla decretazione d’urgenza, assistita dal voto di fiducia, e alla delega sulla base di leggi di delegazione talvolta generiche al punto da lasciare più opzioni “attuative” al legislatore delegato rivelino una realtà istituzionale “vivente” in cui il primato della legge sulla normazione secondaria sia significativamente ridimensionato, se non addirittura capovolto, dal primato, raggiunto per la via degli assetti politico-istituzionali, del </w:t>
      </w:r>
      <w:r w:rsidR="00DA47CE">
        <w:rPr>
          <w:rFonts w:ascii="Times New Roman" w:hAnsi="Times New Roman" w:cs="Times New Roman"/>
          <w:sz w:val="32"/>
          <w:szCs w:val="32"/>
        </w:rPr>
        <w:t>G</w:t>
      </w:r>
      <w:r w:rsidRPr="00F23D90">
        <w:rPr>
          <w:rFonts w:ascii="Times New Roman" w:hAnsi="Times New Roman" w:cs="Times New Roman"/>
          <w:sz w:val="32"/>
          <w:szCs w:val="32"/>
        </w:rPr>
        <w:t xml:space="preserve">overno sul </w:t>
      </w:r>
      <w:r w:rsidR="00DA47CE">
        <w:rPr>
          <w:rFonts w:ascii="Times New Roman" w:hAnsi="Times New Roman" w:cs="Times New Roman"/>
          <w:sz w:val="32"/>
          <w:szCs w:val="32"/>
        </w:rPr>
        <w:t>P</w:t>
      </w:r>
      <w:r w:rsidRPr="00F23D90">
        <w:rPr>
          <w:rFonts w:ascii="Times New Roman" w:hAnsi="Times New Roman" w:cs="Times New Roman"/>
          <w:sz w:val="32"/>
          <w:szCs w:val="32"/>
        </w:rPr>
        <w:t>arlamento.</w:t>
      </w:r>
    </w:p>
    <w:p w14:paraId="01A61A1F" w14:textId="47286DA7" w:rsidR="006020DD" w:rsidRPr="00F23D90" w:rsidRDefault="00333804" w:rsidP="00EC784B">
      <w:pPr>
        <w:spacing w:line="360" w:lineRule="auto"/>
        <w:jc w:val="both"/>
        <w:rPr>
          <w:rFonts w:ascii="Times New Roman" w:hAnsi="Times New Roman" w:cs="Times New Roman"/>
          <w:sz w:val="32"/>
          <w:szCs w:val="32"/>
          <w:u w:val="single"/>
        </w:rPr>
      </w:pPr>
      <w:r w:rsidRPr="00F23D90">
        <w:rPr>
          <w:rFonts w:ascii="Times New Roman" w:hAnsi="Times New Roman" w:cs="Times New Roman"/>
          <w:sz w:val="32"/>
          <w:szCs w:val="32"/>
          <w:u w:val="single"/>
        </w:rPr>
        <w:t xml:space="preserve">3 - </w:t>
      </w:r>
      <w:r w:rsidR="00C74A4E" w:rsidRPr="00F23D90">
        <w:rPr>
          <w:rFonts w:ascii="Times New Roman" w:hAnsi="Times New Roman" w:cs="Times New Roman"/>
          <w:sz w:val="32"/>
          <w:szCs w:val="32"/>
          <w:u w:val="single"/>
        </w:rPr>
        <w:t>Procedimento amministrativo</w:t>
      </w:r>
      <w:r w:rsidR="00560EA2" w:rsidRPr="00F23D90">
        <w:rPr>
          <w:rFonts w:ascii="Times New Roman" w:hAnsi="Times New Roman" w:cs="Times New Roman"/>
          <w:sz w:val="32"/>
          <w:szCs w:val="32"/>
          <w:u w:val="single"/>
        </w:rPr>
        <w:t xml:space="preserve"> e giustizia</w:t>
      </w:r>
      <w:r w:rsidRPr="00F23D90">
        <w:rPr>
          <w:rFonts w:ascii="Times New Roman" w:hAnsi="Times New Roman" w:cs="Times New Roman"/>
          <w:sz w:val="32"/>
          <w:szCs w:val="32"/>
          <w:u w:val="single"/>
        </w:rPr>
        <w:t>.</w:t>
      </w:r>
    </w:p>
    <w:p w14:paraId="1DE5E986" w14:textId="540A7819" w:rsidR="002A68EF" w:rsidRPr="00F23D90" w:rsidRDefault="00333804"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La</w:t>
      </w:r>
      <w:r w:rsidR="002A68EF" w:rsidRPr="00F23D90">
        <w:rPr>
          <w:rFonts w:ascii="Times New Roman" w:hAnsi="Times New Roman" w:cs="Times New Roman"/>
          <w:sz w:val="32"/>
          <w:szCs w:val="32"/>
        </w:rPr>
        <w:t xml:space="preserve"> trasformazione del diritto amministrativo è</w:t>
      </w:r>
      <w:r w:rsidRPr="00F23D90">
        <w:rPr>
          <w:rFonts w:ascii="Times New Roman" w:hAnsi="Times New Roman" w:cs="Times New Roman"/>
          <w:sz w:val="32"/>
          <w:szCs w:val="32"/>
        </w:rPr>
        <w:t xml:space="preserve"> altresì</w:t>
      </w:r>
      <w:r w:rsidR="002A68EF" w:rsidRPr="00F23D90">
        <w:rPr>
          <w:rFonts w:ascii="Times New Roman" w:hAnsi="Times New Roman" w:cs="Times New Roman"/>
          <w:sz w:val="32"/>
          <w:szCs w:val="32"/>
        </w:rPr>
        <w:t xml:space="preserve"> connotata dal passaggio dall’atto al procedimento e, attraverso di esso, al rapporto.</w:t>
      </w:r>
      <w:r w:rsidR="00560EA2" w:rsidRPr="00F23D90">
        <w:rPr>
          <w:rFonts w:ascii="Times New Roman" w:hAnsi="Times New Roman" w:cs="Times New Roman"/>
          <w:sz w:val="32"/>
          <w:szCs w:val="32"/>
        </w:rPr>
        <w:t xml:space="preserve"> Con con</w:t>
      </w:r>
      <w:r w:rsidR="00315794" w:rsidRPr="00F23D90">
        <w:rPr>
          <w:rFonts w:ascii="Times New Roman" w:hAnsi="Times New Roman" w:cs="Times New Roman"/>
          <w:sz w:val="32"/>
          <w:szCs w:val="32"/>
        </w:rPr>
        <w:t>s</w:t>
      </w:r>
      <w:r w:rsidR="00560EA2" w:rsidRPr="00F23D90">
        <w:rPr>
          <w:rFonts w:ascii="Times New Roman" w:hAnsi="Times New Roman" w:cs="Times New Roman"/>
          <w:sz w:val="32"/>
          <w:szCs w:val="32"/>
        </w:rPr>
        <w:t>eguenti ricadute sul sistema delle tutele.</w:t>
      </w:r>
    </w:p>
    <w:p w14:paraId="5042756C" w14:textId="34CC5501" w:rsidR="001C427D" w:rsidRPr="00F23D90" w:rsidRDefault="001C427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Come è noto, la teoria formale del procedimento si caratterizza per svincolare il procedimento dall’atto giuridico finale, inteso come realtà sostanziale. La categoria del </w:t>
      </w:r>
      <w:r w:rsidRPr="00F23D90">
        <w:rPr>
          <w:rFonts w:ascii="Times New Roman" w:hAnsi="Times New Roman" w:cs="Times New Roman"/>
          <w:i/>
          <w:sz w:val="32"/>
          <w:szCs w:val="32"/>
        </w:rPr>
        <w:t>procedere</w:t>
      </w:r>
      <w:r w:rsidRPr="00F23D90">
        <w:rPr>
          <w:rFonts w:ascii="Times New Roman" w:hAnsi="Times New Roman" w:cs="Times New Roman"/>
          <w:sz w:val="32"/>
          <w:szCs w:val="32"/>
        </w:rPr>
        <w:t xml:space="preserve"> designa lo svolgersi di un fenomeno verso la sua conclusione, rappresentando non tanto la serie dei singoli fatti, quanto il </w:t>
      </w:r>
      <w:r w:rsidRPr="00F23D90">
        <w:rPr>
          <w:rFonts w:ascii="Times New Roman" w:hAnsi="Times New Roman" w:cs="Times New Roman"/>
          <w:i/>
          <w:iCs/>
          <w:sz w:val="32"/>
          <w:szCs w:val="32"/>
        </w:rPr>
        <w:t xml:space="preserve">modo </w:t>
      </w:r>
      <w:r w:rsidRPr="00F23D90">
        <w:rPr>
          <w:rFonts w:ascii="Times New Roman" w:hAnsi="Times New Roman" w:cs="Times New Roman"/>
          <w:sz w:val="32"/>
          <w:szCs w:val="32"/>
        </w:rPr>
        <w:t xml:space="preserve">del loro susseguirsi. La descrizione delle diverse fasi del procedimento, il ruolo degli atti preparatori, la </w:t>
      </w:r>
      <w:r w:rsidRPr="00F23D90">
        <w:rPr>
          <w:rFonts w:ascii="Times New Roman" w:hAnsi="Times New Roman" w:cs="Times New Roman"/>
          <w:sz w:val="32"/>
          <w:szCs w:val="32"/>
        </w:rPr>
        <w:lastRenderedPageBreak/>
        <w:t xml:space="preserve">combinazione strutturale e temporale fra i diversi atti attorno ad un nucleo costitutivo costituiscono le strutture essenziali di questo </w:t>
      </w:r>
      <w:r w:rsidRPr="00F23D90">
        <w:rPr>
          <w:rFonts w:ascii="Times New Roman" w:hAnsi="Times New Roman" w:cs="Times New Roman"/>
          <w:i/>
          <w:sz w:val="32"/>
          <w:szCs w:val="32"/>
        </w:rPr>
        <w:t>disegno</w:t>
      </w:r>
      <w:r w:rsidRPr="00F23D90">
        <w:rPr>
          <w:rFonts w:ascii="Times New Roman" w:hAnsi="Times New Roman" w:cs="Times New Roman"/>
          <w:sz w:val="32"/>
          <w:szCs w:val="32"/>
        </w:rPr>
        <w:t>.</w:t>
      </w:r>
    </w:p>
    <w:p w14:paraId="209F96E3" w14:textId="77777777" w:rsidR="001C427D" w:rsidRPr="00F23D90" w:rsidRDefault="001C427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Sandulli ha spiegato </w:t>
      </w:r>
      <w:r w:rsidRPr="00F23D90">
        <w:rPr>
          <w:rFonts w:ascii="Times New Roman" w:hAnsi="Times New Roman" w:cs="Times New Roman"/>
          <w:i/>
          <w:sz w:val="32"/>
          <w:szCs w:val="32"/>
        </w:rPr>
        <w:t xml:space="preserve">cosa era </w:t>
      </w:r>
      <w:r w:rsidRPr="00F23D90">
        <w:rPr>
          <w:rFonts w:ascii="Times New Roman" w:hAnsi="Times New Roman" w:cs="Times New Roman"/>
          <w:sz w:val="32"/>
          <w:szCs w:val="32"/>
        </w:rPr>
        <w:t xml:space="preserve">il procedimento, gli Autori venuti dopo (soprattutto Benvenuti, Giannini, Nigro, Cassese) hanno spiegato a </w:t>
      </w:r>
      <w:r w:rsidRPr="00F23D90">
        <w:rPr>
          <w:rFonts w:ascii="Times New Roman" w:hAnsi="Times New Roman" w:cs="Times New Roman"/>
          <w:i/>
          <w:sz w:val="32"/>
          <w:szCs w:val="32"/>
        </w:rPr>
        <w:t>cosa serve</w:t>
      </w:r>
      <w:r w:rsidRPr="00F23D90">
        <w:rPr>
          <w:rFonts w:ascii="Times New Roman" w:hAnsi="Times New Roman" w:cs="Times New Roman"/>
          <w:sz w:val="32"/>
          <w:szCs w:val="32"/>
        </w:rPr>
        <w:t xml:space="preserve">. La concezione </w:t>
      </w:r>
      <w:r w:rsidRPr="00F23D90">
        <w:rPr>
          <w:rFonts w:ascii="Times New Roman" w:hAnsi="Times New Roman" w:cs="Times New Roman"/>
          <w:i/>
          <w:iCs/>
          <w:sz w:val="32"/>
          <w:szCs w:val="32"/>
        </w:rPr>
        <w:t xml:space="preserve">funzionale </w:t>
      </w:r>
      <w:r w:rsidRPr="00F23D90">
        <w:rPr>
          <w:rFonts w:ascii="Times New Roman" w:hAnsi="Times New Roman" w:cs="Times New Roman"/>
          <w:sz w:val="32"/>
          <w:szCs w:val="32"/>
        </w:rPr>
        <w:t>del procedimento non avrebbe mai potuto affermarsi senza l’analisi strutturale di Aldo M. Sandulli.</w:t>
      </w:r>
      <w:r w:rsidRPr="00F23D90">
        <w:rPr>
          <w:rFonts w:ascii="Times New Roman" w:hAnsi="Times New Roman" w:cs="Times New Roman"/>
          <w:iCs/>
          <w:sz w:val="32"/>
          <w:szCs w:val="32"/>
        </w:rPr>
        <w:t xml:space="preserve"> </w:t>
      </w:r>
    </w:p>
    <w:p w14:paraId="256C5676" w14:textId="77777777" w:rsidR="001C427D" w:rsidRPr="00F23D90" w:rsidRDefault="001C427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La Sua riflessione ‒ ispirata a quella sistematica di tipo ordinante che opera come metodo </w:t>
      </w:r>
      <w:r w:rsidRPr="00F23D90">
        <w:rPr>
          <w:rFonts w:ascii="Times New Roman" w:hAnsi="Times New Roman" w:cs="Times New Roman"/>
          <w:i/>
          <w:sz w:val="32"/>
          <w:szCs w:val="32"/>
        </w:rPr>
        <w:t>pratico</w:t>
      </w:r>
      <w:r w:rsidRPr="00F23D90">
        <w:rPr>
          <w:rFonts w:ascii="Times New Roman" w:hAnsi="Times New Roman" w:cs="Times New Roman"/>
          <w:sz w:val="32"/>
          <w:szCs w:val="32"/>
        </w:rPr>
        <w:t xml:space="preserve"> di comprensione della realtà e che rifugge dallo sterile dogmatismo ‒ costituisce una delle </w:t>
      </w:r>
      <w:r w:rsidRPr="00F23D90">
        <w:rPr>
          <w:rFonts w:ascii="Times New Roman" w:hAnsi="Times New Roman" w:cs="Times New Roman"/>
          <w:i/>
          <w:sz w:val="32"/>
          <w:szCs w:val="32"/>
        </w:rPr>
        <w:t>radici</w:t>
      </w:r>
      <w:r w:rsidRPr="00F23D90">
        <w:rPr>
          <w:rFonts w:ascii="Times New Roman" w:hAnsi="Times New Roman" w:cs="Times New Roman"/>
          <w:sz w:val="32"/>
          <w:szCs w:val="32"/>
        </w:rPr>
        <w:t xml:space="preserve"> più significative degli sviluppi normativi successivi e del diritto giurisprudenziale che ne ha fatto applicazione.</w:t>
      </w:r>
    </w:p>
    <w:p w14:paraId="483DB818" w14:textId="77777777" w:rsidR="001C427D" w:rsidRPr="00F23D90" w:rsidRDefault="001C427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Ricordo alcuni degli elementi che si pongono in continuità </w:t>
      </w:r>
      <w:r w:rsidRPr="00F23D90">
        <w:rPr>
          <w:rFonts w:ascii="Times New Roman" w:hAnsi="Times New Roman" w:cs="Times New Roman"/>
          <w:iCs/>
          <w:sz w:val="32"/>
          <w:szCs w:val="32"/>
        </w:rPr>
        <w:t>con</w:t>
      </w:r>
      <w:r w:rsidRPr="00F23D90">
        <w:rPr>
          <w:rFonts w:ascii="Times New Roman" w:hAnsi="Times New Roman" w:cs="Times New Roman"/>
          <w:i/>
          <w:iCs/>
          <w:sz w:val="32"/>
          <w:szCs w:val="32"/>
        </w:rPr>
        <w:t xml:space="preserve"> </w:t>
      </w:r>
      <w:r w:rsidRPr="00F23D90">
        <w:rPr>
          <w:rFonts w:ascii="Times New Roman" w:hAnsi="Times New Roman" w:cs="Times New Roman"/>
          <w:sz w:val="32"/>
          <w:szCs w:val="32"/>
        </w:rPr>
        <w:t>il suo pensiero:</w:t>
      </w:r>
    </w:p>
    <w:p w14:paraId="02CC58A6" w14:textId="77777777" w:rsidR="001C427D" w:rsidRPr="00F23D90" w:rsidRDefault="001C427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 il procedimento come meccanismo che attribuisce rilevanza giuridica all’attività amministrativa, consentendo al giudice di ricostruire la </w:t>
      </w:r>
      <w:r w:rsidRPr="00F23D90">
        <w:rPr>
          <w:rFonts w:ascii="Times New Roman" w:hAnsi="Times New Roman" w:cs="Times New Roman"/>
          <w:i/>
          <w:sz w:val="32"/>
          <w:szCs w:val="32"/>
        </w:rPr>
        <w:t>giustificazione</w:t>
      </w:r>
      <w:r w:rsidRPr="00F23D90">
        <w:rPr>
          <w:rFonts w:ascii="Times New Roman" w:hAnsi="Times New Roman" w:cs="Times New Roman"/>
          <w:sz w:val="32"/>
          <w:szCs w:val="32"/>
        </w:rPr>
        <w:t xml:space="preserve"> dell’azione pubblica oltre la </w:t>
      </w:r>
      <w:r w:rsidRPr="00F23D90">
        <w:rPr>
          <w:rFonts w:ascii="Times New Roman" w:hAnsi="Times New Roman" w:cs="Times New Roman"/>
          <w:i/>
          <w:sz w:val="32"/>
          <w:szCs w:val="32"/>
        </w:rPr>
        <w:t>motivazione</w:t>
      </w:r>
      <w:r w:rsidRPr="00F23D90">
        <w:rPr>
          <w:rFonts w:ascii="Times New Roman" w:hAnsi="Times New Roman" w:cs="Times New Roman"/>
          <w:sz w:val="32"/>
          <w:szCs w:val="32"/>
        </w:rPr>
        <w:t xml:space="preserve"> del provvedimento finale;</w:t>
      </w:r>
    </w:p>
    <w:p w14:paraId="7471894E" w14:textId="77777777" w:rsidR="001C427D" w:rsidRPr="00F23D90" w:rsidRDefault="001C427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 il procedimento come </w:t>
      </w:r>
      <w:r w:rsidRPr="00F23D90">
        <w:rPr>
          <w:rFonts w:ascii="Times New Roman" w:hAnsi="Times New Roman" w:cs="Times New Roman"/>
          <w:i/>
          <w:sz w:val="32"/>
          <w:szCs w:val="32"/>
        </w:rPr>
        <w:t xml:space="preserve">contenitore </w:t>
      </w:r>
      <w:r w:rsidRPr="00F23D90">
        <w:rPr>
          <w:rFonts w:ascii="Times New Roman" w:hAnsi="Times New Roman" w:cs="Times New Roman"/>
          <w:sz w:val="32"/>
          <w:szCs w:val="32"/>
        </w:rPr>
        <w:t xml:space="preserve">del </w:t>
      </w:r>
      <w:r w:rsidRPr="00F23D90">
        <w:rPr>
          <w:rFonts w:ascii="Times New Roman" w:hAnsi="Times New Roman" w:cs="Times New Roman"/>
          <w:i/>
          <w:sz w:val="32"/>
          <w:szCs w:val="32"/>
        </w:rPr>
        <w:t xml:space="preserve">rapporto </w:t>
      </w:r>
      <w:r w:rsidRPr="00F23D90">
        <w:rPr>
          <w:rFonts w:ascii="Times New Roman" w:hAnsi="Times New Roman" w:cs="Times New Roman"/>
          <w:sz w:val="32"/>
          <w:szCs w:val="32"/>
        </w:rPr>
        <w:t>giuridico che intercorre tra amministrazione e cittadino</w:t>
      </w:r>
      <w:r w:rsidRPr="00F23D90">
        <w:rPr>
          <w:rFonts w:ascii="Times New Roman" w:hAnsi="Times New Roman" w:cs="Times New Roman"/>
          <w:b/>
          <w:sz w:val="32"/>
          <w:szCs w:val="32"/>
        </w:rPr>
        <w:t xml:space="preserve">, </w:t>
      </w:r>
      <w:r w:rsidRPr="00F23D90">
        <w:rPr>
          <w:rFonts w:ascii="Times New Roman" w:hAnsi="Times New Roman" w:cs="Times New Roman"/>
          <w:sz w:val="32"/>
          <w:szCs w:val="32"/>
        </w:rPr>
        <w:t>facendo emergere gli interessi che in esso si muovono;</w:t>
      </w:r>
    </w:p>
    <w:p w14:paraId="42AD6D99" w14:textId="77777777" w:rsidR="001C427D" w:rsidRPr="00F23D90" w:rsidRDefault="001C427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il collegamento tra organizzazione dell'ente e organizzazione della sequenza procedimentale;</w:t>
      </w:r>
    </w:p>
    <w:p w14:paraId="12526585" w14:textId="77777777" w:rsidR="001C427D" w:rsidRPr="00F23D90" w:rsidRDefault="001C427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 la valorizzazione del procedimento quale struttura normativa che ha consentito di superare una visione elitaria ed autoritaria </w:t>
      </w:r>
      <w:r w:rsidRPr="00F23D90">
        <w:rPr>
          <w:rFonts w:ascii="Times New Roman" w:hAnsi="Times New Roman" w:cs="Times New Roman"/>
          <w:sz w:val="32"/>
          <w:szCs w:val="32"/>
        </w:rPr>
        <w:lastRenderedPageBreak/>
        <w:t>dell’amministrazione, che compie in solitudine scelte che il cittadino è destinato a subire;</w:t>
      </w:r>
    </w:p>
    <w:p w14:paraId="7E0D581C" w14:textId="77777777" w:rsidR="001C427D" w:rsidRPr="00F23D90" w:rsidRDefault="001C427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 il procedimento come tutela anticipata rispetto a quella giurisdizionale. </w:t>
      </w:r>
    </w:p>
    <w:p w14:paraId="60FA1E3C" w14:textId="77777777" w:rsidR="001C427D" w:rsidRPr="00F23D90" w:rsidRDefault="001C427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Per converso, alcuni sviluppi normativi si collocano semplicemente </w:t>
      </w:r>
      <w:r w:rsidRPr="00F23D90">
        <w:rPr>
          <w:rFonts w:ascii="Times New Roman" w:hAnsi="Times New Roman" w:cs="Times New Roman"/>
          <w:i/>
          <w:iCs/>
          <w:sz w:val="32"/>
          <w:szCs w:val="32"/>
        </w:rPr>
        <w:t>oltre</w:t>
      </w:r>
      <w:r w:rsidRPr="00F23D90">
        <w:rPr>
          <w:rFonts w:ascii="Times New Roman" w:hAnsi="Times New Roman" w:cs="Times New Roman"/>
          <w:sz w:val="32"/>
          <w:szCs w:val="32"/>
        </w:rPr>
        <w:t xml:space="preserve">, altri (forse) in </w:t>
      </w:r>
      <w:r w:rsidRPr="00F23D90">
        <w:rPr>
          <w:rFonts w:ascii="Times New Roman" w:hAnsi="Times New Roman" w:cs="Times New Roman"/>
          <w:i/>
          <w:sz w:val="32"/>
          <w:szCs w:val="32"/>
        </w:rPr>
        <w:t>dissonanza</w:t>
      </w:r>
      <w:r w:rsidRPr="00F23D90">
        <w:rPr>
          <w:rFonts w:ascii="Times New Roman" w:hAnsi="Times New Roman" w:cs="Times New Roman"/>
          <w:sz w:val="32"/>
          <w:szCs w:val="32"/>
        </w:rPr>
        <w:t xml:space="preserve"> rispetto al pensiero di A.M. Sandulli. </w:t>
      </w:r>
    </w:p>
    <w:p w14:paraId="7666CB92" w14:textId="62903E1F" w:rsidR="001C427D" w:rsidRPr="00F23D90" w:rsidRDefault="001C427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Si pensi alla </w:t>
      </w:r>
      <w:proofErr w:type="spellStart"/>
      <w:r w:rsidRPr="00F23D90">
        <w:rPr>
          <w:rFonts w:ascii="Times New Roman" w:hAnsi="Times New Roman" w:cs="Times New Roman"/>
          <w:sz w:val="32"/>
          <w:szCs w:val="32"/>
        </w:rPr>
        <w:t>dequotazione</w:t>
      </w:r>
      <w:proofErr w:type="spellEnd"/>
      <w:r w:rsidRPr="00F23D90">
        <w:rPr>
          <w:rFonts w:ascii="Times New Roman" w:hAnsi="Times New Roman" w:cs="Times New Roman"/>
          <w:sz w:val="32"/>
          <w:szCs w:val="32"/>
        </w:rPr>
        <w:t xml:space="preserve"> dei vizi formali (l’art. 21-</w:t>
      </w:r>
      <w:r w:rsidRPr="00F23D90">
        <w:rPr>
          <w:rFonts w:ascii="Times New Roman" w:hAnsi="Times New Roman" w:cs="Times New Roman"/>
          <w:i/>
          <w:iCs/>
          <w:sz w:val="32"/>
          <w:szCs w:val="32"/>
        </w:rPr>
        <w:t>octies</w:t>
      </w:r>
      <w:r w:rsidRPr="00F23D90">
        <w:rPr>
          <w:rFonts w:ascii="Times New Roman" w:hAnsi="Times New Roman" w:cs="Times New Roman"/>
          <w:iCs/>
          <w:sz w:val="32"/>
          <w:szCs w:val="32"/>
        </w:rPr>
        <w:t>)</w:t>
      </w:r>
      <w:r w:rsidRPr="00F23D90">
        <w:rPr>
          <w:rFonts w:ascii="Times New Roman" w:hAnsi="Times New Roman" w:cs="Times New Roman"/>
          <w:sz w:val="32"/>
          <w:szCs w:val="32"/>
        </w:rPr>
        <w:t>; alle riforme del 2005 e del 2009 che ha comportato un parziale riposizionamento del baricentro dal procedimento al provvedimento; alla controversa e complessa stagione della semplificazione; al passaggio dalla trasparenza procedimentale all’accessibilità totale e poi all’accesso civico; alla nuova e marcata rilevanza del rapporto fra tempo e procedimento.</w:t>
      </w:r>
    </w:p>
    <w:p w14:paraId="437A31AE" w14:textId="41B0077D" w:rsidR="00315794" w:rsidRPr="00F23D90" w:rsidRDefault="001C427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Ma, se va riconosciuto che oggi il procedimento evidenzia una capacità esplicativa ridotta rispetto ad alcuni fenomeni, mi sembra di poter dire che il valore ordinante del procedimento sia tutt’altro che in declino. Anzi, esso è esaltato dalla </w:t>
      </w:r>
      <w:proofErr w:type="gramStart"/>
      <w:r w:rsidRPr="00F23D90">
        <w:rPr>
          <w:rFonts w:ascii="Times New Roman" w:hAnsi="Times New Roman" w:cs="Times New Roman"/>
          <w:sz w:val="32"/>
          <w:szCs w:val="32"/>
        </w:rPr>
        <w:t>predetta</w:t>
      </w:r>
      <w:proofErr w:type="gramEnd"/>
      <w:r w:rsidRPr="00F23D90">
        <w:rPr>
          <w:rFonts w:ascii="Times New Roman" w:hAnsi="Times New Roman" w:cs="Times New Roman"/>
          <w:sz w:val="32"/>
          <w:szCs w:val="32"/>
        </w:rPr>
        <w:t xml:space="preserve"> configurazione come struttura formale in cui trovano spazio non solo la ponderazione ma anche lo “scambio” di interessi; esso si pone come il “luogo del confronto”, in un sistema in cui sempre più spesso la legge non definisce puntualmente l’assetto degli interessi, né fa prevalere l’interesse pubblico su quello privato, ma pone solo alcune regole procedimentali per definire quell’assetto.</w:t>
      </w:r>
      <w:r w:rsidR="00964B55" w:rsidRPr="00F23D90">
        <w:rPr>
          <w:rFonts w:ascii="Times New Roman" w:hAnsi="Times New Roman" w:cs="Times New Roman"/>
          <w:sz w:val="32"/>
          <w:szCs w:val="32"/>
        </w:rPr>
        <w:t xml:space="preserve"> </w:t>
      </w:r>
      <w:r w:rsidR="00315794" w:rsidRPr="00F23D90">
        <w:rPr>
          <w:rFonts w:ascii="Times New Roman" w:hAnsi="Times New Roman" w:cs="Times New Roman"/>
          <w:sz w:val="32"/>
          <w:szCs w:val="32"/>
        </w:rPr>
        <w:t xml:space="preserve">Come rileva </w:t>
      </w:r>
      <w:proofErr w:type="spellStart"/>
      <w:r w:rsidR="00315794" w:rsidRPr="00F23D90">
        <w:rPr>
          <w:rFonts w:ascii="Times New Roman" w:hAnsi="Times New Roman" w:cs="Times New Roman"/>
          <w:sz w:val="32"/>
          <w:szCs w:val="32"/>
        </w:rPr>
        <w:t>Scoca</w:t>
      </w:r>
      <w:proofErr w:type="spellEnd"/>
      <w:r w:rsidR="00315794" w:rsidRPr="00F23D90">
        <w:rPr>
          <w:rFonts w:ascii="Times New Roman" w:hAnsi="Times New Roman" w:cs="Times New Roman"/>
          <w:sz w:val="32"/>
          <w:szCs w:val="32"/>
        </w:rPr>
        <w:t>, nel procedimento assume centralità la tematica degli interessi nei rapporti col potere e nella ponderazione tra loro.</w:t>
      </w:r>
    </w:p>
    <w:p w14:paraId="7146B884" w14:textId="4491F795" w:rsidR="001C427D" w:rsidRPr="00F23D90" w:rsidRDefault="00315794"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Da qui la nota mutazione genetica del principio di legalità.</w:t>
      </w:r>
    </w:p>
    <w:p w14:paraId="51BE7DD0" w14:textId="54611C54" w:rsidR="00560EA2" w:rsidRPr="00F23D90" w:rsidRDefault="00560EA2"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lastRenderedPageBreak/>
        <w:t>Ma anche la trasformazione del processo amministrativo, come l</w:t>
      </w:r>
      <w:r w:rsidR="009D7899" w:rsidRPr="00F23D90">
        <w:rPr>
          <w:rFonts w:ascii="Times New Roman" w:hAnsi="Times New Roman" w:cs="Times New Roman"/>
          <w:sz w:val="32"/>
          <w:szCs w:val="32"/>
        </w:rPr>
        <w:t>u</w:t>
      </w:r>
      <w:r w:rsidRPr="00F23D90">
        <w:rPr>
          <w:rFonts w:ascii="Times New Roman" w:hAnsi="Times New Roman" w:cs="Times New Roman"/>
          <w:sz w:val="32"/>
          <w:szCs w:val="32"/>
        </w:rPr>
        <w:t xml:space="preserve">ogo del conflitto, delle istanze che non hanno trovato composizione nella sede del confronto del procedimento. </w:t>
      </w:r>
      <w:r w:rsidR="009D7899" w:rsidRPr="00F23D90">
        <w:rPr>
          <w:rFonts w:ascii="Times New Roman" w:hAnsi="Times New Roman" w:cs="Times New Roman"/>
          <w:sz w:val="32"/>
          <w:szCs w:val="32"/>
        </w:rPr>
        <w:t xml:space="preserve">Prima e dopo il codice del processo amministrativo, la giurisdizione amministrativa si afferma progressivamente, ma in manera sempre più netta, come giurisdizione soggettiva, volta cioè alla tutela di situazioni soggettive, e in taluni casi anche degli interessi pubblici che costituiscano </w:t>
      </w:r>
      <w:r w:rsidR="000D5119">
        <w:rPr>
          <w:rFonts w:ascii="Times New Roman" w:hAnsi="Times New Roman" w:cs="Times New Roman"/>
          <w:sz w:val="32"/>
          <w:szCs w:val="32"/>
        </w:rPr>
        <w:t>c</w:t>
      </w:r>
      <w:r w:rsidR="009D7899" w:rsidRPr="00F23D90">
        <w:rPr>
          <w:rFonts w:ascii="Times New Roman" w:hAnsi="Times New Roman" w:cs="Times New Roman"/>
          <w:sz w:val="32"/>
          <w:szCs w:val="32"/>
        </w:rPr>
        <w:t>ausa della funzione, o d</w:t>
      </w:r>
      <w:r w:rsidR="000D5119">
        <w:rPr>
          <w:rFonts w:ascii="Times New Roman" w:hAnsi="Times New Roman" w:cs="Times New Roman"/>
          <w:sz w:val="32"/>
          <w:szCs w:val="32"/>
        </w:rPr>
        <w:t>e</w:t>
      </w:r>
      <w:r w:rsidR="009D7899" w:rsidRPr="00F23D90">
        <w:rPr>
          <w:rFonts w:ascii="Times New Roman" w:hAnsi="Times New Roman" w:cs="Times New Roman"/>
          <w:sz w:val="32"/>
          <w:szCs w:val="32"/>
        </w:rPr>
        <w:t xml:space="preserve">l potere, perdendo quasi ogni traccia degli originari connotati di mero controllo della legalità dell’azione amministrativa, di cui la tutela dell’interesse legittimo costituiva mero riflesso, quasi un accidente. </w:t>
      </w:r>
      <w:proofErr w:type="gramStart"/>
      <w:r w:rsidR="009D7899" w:rsidRPr="00F23D90">
        <w:rPr>
          <w:rFonts w:ascii="Times New Roman" w:hAnsi="Times New Roman" w:cs="Times New Roman"/>
          <w:sz w:val="32"/>
          <w:szCs w:val="32"/>
        </w:rPr>
        <w:t>E’</w:t>
      </w:r>
      <w:proofErr w:type="gramEnd"/>
      <w:r w:rsidR="009D7899" w:rsidRPr="00F23D90">
        <w:rPr>
          <w:rFonts w:ascii="Times New Roman" w:hAnsi="Times New Roman" w:cs="Times New Roman"/>
          <w:sz w:val="32"/>
          <w:szCs w:val="32"/>
        </w:rPr>
        <w:t xml:space="preserve"> probabilmente proprio dalla concezione soggettiva della giurisdizione che discendono: l’espandersi dell’ambito della cognizione, con la conseguente mobilità della frontiera tra legittimità e merito, e tra cognizione ed ottemperanza; il sindacato sulla discrezionalità tecnica dell’amministrazione, spinto fino alla valutazione sulla maggiore attendibilità delle scelte; la messa in discussione del principio di inesauribilità del potere amministrativo.</w:t>
      </w:r>
    </w:p>
    <w:p w14:paraId="6C2C5CAE" w14:textId="698755FF" w:rsidR="00C74A4E" w:rsidRPr="00F23D90" w:rsidRDefault="00333804" w:rsidP="00EC784B">
      <w:pPr>
        <w:spacing w:line="360" w:lineRule="auto"/>
        <w:jc w:val="both"/>
        <w:rPr>
          <w:rFonts w:ascii="Times New Roman" w:hAnsi="Times New Roman" w:cs="Times New Roman"/>
          <w:sz w:val="32"/>
          <w:szCs w:val="32"/>
          <w:u w:val="single"/>
        </w:rPr>
      </w:pPr>
      <w:r w:rsidRPr="00F23D90">
        <w:rPr>
          <w:rFonts w:ascii="Times New Roman" w:hAnsi="Times New Roman" w:cs="Times New Roman"/>
          <w:sz w:val="32"/>
          <w:szCs w:val="32"/>
          <w:u w:val="single"/>
        </w:rPr>
        <w:t xml:space="preserve">4 – </w:t>
      </w:r>
      <w:r w:rsidR="00C74A4E" w:rsidRPr="00F23D90">
        <w:rPr>
          <w:rFonts w:ascii="Times New Roman" w:hAnsi="Times New Roman" w:cs="Times New Roman"/>
          <w:sz w:val="32"/>
          <w:szCs w:val="32"/>
          <w:u w:val="single"/>
        </w:rPr>
        <w:t>Conclusione</w:t>
      </w:r>
      <w:r w:rsidRPr="00F23D90">
        <w:rPr>
          <w:rFonts w:ascii="Times New Roman" w:hAnsi="Times New Roman" w:cs="Times New Roman"/>
          <w:sz w:val="32"/>
          <w:szCs w:val="32"/>
          <w:u w:val="single"/>
        </w:rPr>
        <w:t>.</w:t>
      </w:r>
    </w:p>
    <w:p w14:paraId="72EC6214" w14:textId="191C14B7" w:rsidR="00C74A4E" w:rsidRPr="00F23D90" w:rsidRDefault="002A68EF"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Vorrei concludere ritornando a Sandulli</w:t>
      </w:r>
      <w:r w:rsidR="00C74A4E" w:rsidRPr="00F23D90">
        <w:rPr>
          <w:rFonts w:ascii="Times New Roman" w:hAnsi="Times New Roman" w:cs="Times New Roman"/>
          <w:sz w:val="32"/>
          <w:szCs w:val="32"/>
        </w:rPr>
        <w:t xml:space="preserve">, senza mancare di rinnovare i complimenti agli Autori, per il </w:t>
      </w:r>
      <w:r w:rsidR="00C74A4E" w:rsidRPr="00F23D90">
        <w:rPr>
          <w:rFonts w:ascii="Times New Roman" w:hAnsi="Times New Roman" w:cs="Times New Roman"/>
          <w:i/>
          <w:iCs/>
          <w:sz w:val="32"/>
          <w:szCs w:val="32"/>
        </w:rPr>
        <w:t xml:space="preserve">Manuale </w:t>
      </w:r>
      <w:r w:rsidR="00C74A4E" w:rsidRPr="00F23D90">
        <w:rPr>
          <w:rFonts w:ascii="Times New Roman" w:hAnsi="Times New Roman" w:cs="Times New Roman"/>
          <w:sz w:val="32"/>
          <w:szCs w:val="32"/>
        </w:rPr>
        <w:t>che ci offrono e per questo incontro che ci hanno regalato</w:t>
      </w:r>
      <w:r w:rsidR="00315794" w:rsidRPr="00F23D90">
        <w:rPr>
          <w:rFonts w:ascii="Times New Roman" w:hAnsi="Times New Roman" w:cs="Times New Roman"/>
          <w:sz w:val="32"/>
          <w:szCs w:val="32"/>
        </w:rPr>
        <w:t>.</w:t>
      </w:r>
    </w:p>
    <w:p w14:paraId="07E6EAA1" w14:textId="6698ACAF" w:rsidR="002A68EF" w:rsidRPr="00F23D90" w:rsidRDefault="001C427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Tutto il</w:t>
      </w:r>
      <w:r w:rsidR="002A68EF" w:rsidRPr="00F23D90">
        <w:rPr>
          <w:rFonts w:ascii="Times New Roman" w:hAnsi="Times New Roman" w:cs="Times New Roman"/>
          <w:sz w:val="32"/>
          <w:szCs w:val="32"/>
        </w:rPr>
        <w:t xml:space="preserve"> suo</w:t>
      </w:r>
      <w:r w:rsidRPr="00F23D90">
        <w:rPr>
          <w:rFonts w:ascii="Times New Roman" w:hAnsi="Times New Roman" w:cs="Times New Roman"/>
          <w:sz w:val="32"/>
          <w:szCs w:val="32"/>
        </w:rPr>
        <w:t xml:space="preserve"> pensiero è permeato dalla costante attenzione al tema della legalità, </w:t>
      </w:r>
      <w:r w:rsidR="002A68EF" w:rsidRPr="00F23D90">
        <w:rPr>
          <w:rFonts w:ascii="Times New Roman" w:hAnsi="Times New Roman" w:cs="Times New Roman"/>
          <w:sz w:val="32"/>
          <w:szCs w:val="32"/>
        </w:rPr>
        <w:t xml:space="preserve">in cui si mescolano per lo Studioso l’analisi giuridica e la passione civile. Tema che è sotteso </w:t>
      </w:r>
      <w:r w:rsidR="00315794" w:rsidRPr="00F23D90">
        <w:rPr>
          <w:rFonts w:ascii="Times New Roman" w:hAnsi="Times New Roman" w:cs="Times New Roman"/>
          <w:sz w:val="32"/>
          <w:szCs w:val="32"/>
        </w:rPr>
        <w:t>agli argomenti</w:t>
      </w:r>
      <w:r w:rsidR="002A68EF" w:rsidRPr="00F23D90">
        <w:rPr>
          <w:rFonts w:ascii="Times New Roman" w:hAnsi="Times New Roman" w:cs="Times New Roman"/>
          <w:sz w:val="32"/>
          <w:szCs w:val="32"/>
        </w:rPr>
        <w:t xml:space="preserve"> trattati oggi e di cui ovviamente risente l’impostazione generale del </w:t>
      </w:r>
      <w:r w:rsidR="002A68EF" w:rsidRPr="00F23D90">
        <w:rPr>
          <w:rFonts w:ascii="Times New Roman" w:hAnsi="Times New Roman" w:cs="Times New Roman"/>
          <w:i/>
          <w:iCs/>
          <w:sz w:val="32"/>
          <w:szCs w:val="32"/>
        </w:rPr>
        <w:t>Manuale</w:t>
      </w:r>
      <w:r w:rsidR="002A68EF" w:rsidRPr="00F23D90">
        <w:rPr>
          <w:rFonts w:ascii="Times New Roman" w:hAnsi="Times New Roman" w:cs="Times New Roman"/>
          <w:sz w:val="32"/>
          <w:szCs w:val="32"/>
        </w:rPr>
        <w:t xml:space="preserve"> di De Felice e </w:t>
      </w:r>
      <w:r w:rsidR="002A68EF" w:rsidRPr="00F23D90">
        <w:rPr>
          <w:rFonts w:ascii="Times New Roman" w:hAnsi="Times New Roman" w:cs="Times New Roman"/>
          <w:sz w:val="32"/>
          <w:szCs w:val="32"/>
        </w:rPr>
        <w:lastRenderedPageBreak/>
        <w:t>Gerardo. Tema che costituisce una costante nella pur significativa evoluzione del diritto amministrativo e nella trasformazione dei suoi istituti: c’è alla base dell’attività normativa secondaria, c’è nella teorica e nella pratica del procedimento, pervade ovviamente tutta l’area della giustizia amministrativa.</w:t>
      </w:r>
    </w:p>
    <w:p w14:paraId="4FD9953F" w14:textId="44163F56" w:rsidR="001C427D" w:rsidRPr="00F23D90" w:rsidRDefault="002A68EF"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C’è soprattutto nella costituzionalizzazione dell’attività amministrativa </w:t>
      </w:r>
      <w:r w:rsidR="007C3A97">
        <w:rPr>
          <w:rFonts w:ascii="Times New Roman" w:hAnsi="Times New Roman" w:cs="Times New Roman"/>
          <w:sz w:val="32"/>
          <w:szCs w:val="32"/>
        </w:rPr>
        <w:t xml:space="preserve">− </w:t>
      </w:r>
      <w:r w:rsidRPr="00F23D90">
        <w:rPr>
          <w:rFonts w:ascii="Times New Roman" w:hAnsi="Times New Roman" w:cs="Times New Roman"/>
          <w:sz w:val="32"/>
          <w:szCs w:val="32"/>
        </w:rPr>
        <w:t>di cui si è detto</w:t>
      </w:r>
      <w:r w:rsidR="007C3A97">
        <w:rPr>
          <w:rFonts w:ascii="Times New Roman" w:hAnsi="Times New Roman" w:cs="Times New Roman"/>
          <w:sz w:val="32"/>
          <w:szCs w:val="32"/>
        </w:rPr>
        <w:t xml:space="preserve"> −</w:t>
      </w:r>
      <w:r w:rsidRPr="00F23D90">
        <w:rPr>
          <w:rFonts w:ascii="Times New Roman" w:hAnsi="Times New Roman" w:cs="Times New Roman"/>
          <w:sz w:val="32"/>
          <w:szCs w:val="32"/>
        </w:rPr>
        <w:t xml:space="preserve"> e quindi nella considerazione dei “princìpi costituzionali dell’attività amministrativa”, che collocano l’azione dei pubblici poteri, e in generale lo studio complessivo del diritto amministrativo, sotto l’egida della Costituzione: i valori fondanti della C</w:t>
      </w:r>
      <w:r w:rsidR="001C3FF4">
        <w:rPr>
          <w:rFonts w:ascii="Times New Roman" w:hAnsi="Times New Roman" w:cs="Times New Roman"/>
          <w:sz w:val="32"/>
          <w:szCs w:val="32"/>
        </w:rPr>
        <w:t>arta</w:t>
      </w:r>
      <w:r w:rsidRPr="00F23D90">
        <w:rPr>
          <w:rFonts w:ascii="Times New Roman" w:hAnsi="Times New Roman" w:cs="Times New Roman"/>
          <w:sz w:val="32"/>
          <w:szCs w:val="32"/>
        </w:rPr>
        <w:t xml:space="preserve"> regolano i rapporti tra cittadino e potere pubblico</w:t>
      </w:r>
      <w:r w:rsidR="00315794" w:rsidRPr="00F23D90">
        <w:rPr>
          <w:rFonts w:ascii="Times New Roman" w:hAnsi="Times New Roman" w:cs="Times New Roman"/>
          <w:sz w:val="32"/>
          <w:szCs w:val="32"/>
        </w:rPr>
        <w:t>. E</w:t>
      </w:r>
      <w:r w:rsidRPr="00F23D90">
        <w:rPr>
          <w:rFonts w:ascii="Times New Roman" w:hAnsi="Times New Roman" w:cs="Times New Roman"/>
          <w:sz w:val="32"/>
          <w:szCs w:val="32"/>
        </w:rPr>
        <w:t xml:space="preserve"> questa è a mio avviso l’idea portante di Sandulli, insieme costituzionalista e amministrativista; ed è anche l’approccio oramai largamente diffuso al diritto amministrativo di oggi, che attribuisce rilievo centrale a quello che è stato definito l’ancoraggio del diritto amministrativo alla Costituzione</w:t>
      </w:r>
      <w:r w:rsidR="00315794" w:rsidRPr="00F23D90">
        <w:rPr>
          <w:rFonts w:ascii="Times New Roman" w:hAnsi="Times New Roman" w:cs="Times New Roman"/>
          <w:sz w:val="32"/>
          <w:szCs w:val="32"/>
        </w:rPr>
        <w:t xml:space="preserve">. E nella Costituzione c’è anche l’Europa. Costituzionalizzazione ed europeizzazione del diritto amministrativo, vanno di pari passo. Il che non smentisce la risalente affermazione di un diritto geneticamente e intrinsecamente nazionale: perché oggi anche il diritto europeo è un diritto nazionale, che ha permeato di sé molti istituti, sostanziali e processuali, del diritto amministrativo. </w:t>
      </w:r>
    </w:p>
    <w:p w14:paraId="69B7F331" w14:textId="418D272F" w:rsidR="00315794" w:rsidRPr="00F23D90" w:rsidRDefault="00315794"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La costituzionalizzazione e l’europeizzazione del diritto amministrativo costituisc</w:t>
      </w:r>
      <w:r w:rsidR="00CC1B29">
        <w:rPr>
          <w:rFonts w:ascii="Times New Roman" w:hAnsi="Times New Roman" w:cs="Times New Roman"/>
          <w:sz w:val="32"/>
          <w:szCs w:val="32"/>
        </w:rPr>
        <w:t>ono</w:t>
      </w:r>
      <w:r w:rsidRPr="00F23D90">
        <w:rPr>
          <w:rFonts w:ascii="Times New Roman" w:hAnsi="Times New Roman" w:cs="Times New Roman"/>
          <w:sz w:val="32"/>
          <w:szCs w:val="32"/>
        </w:rPr>
        <w:t xml:space="preserve"> oggi forse la cifra </w:t>
      </w:r>
      <w:r w:rsidR="00333804" w:rsidRPr="00F23D90">
        <w:rPr>
          <w:rFonts w:ascii="Times New Roman" w:hAnsi="Times New Roman" w:cs="Times New Roman"/>
          <w:sz w:val="32"/>
          <w:szCs w:val="32"/>
        </w:rPr>
        <w:t xml:space="preserve">più rilevante </w:t>
      </w:r>
      <w:r w:rsidRPr="00F23D90">
        <w:rPr>
          <w:rFonts w:ascii="Times New Roman" w:hAnsi="Times New Roman" w:cs="Times New Roman"/>
          <w:sz w:val="32"/>
          <w:szCs w:val="32"/>
        </w:rPr>
        <w:t>di contest</w:t>
      </w:r>
      <w:r w:rsidR="00333804" w:rsidRPr="00F23D90">
        <w:rPr>
          <w:rFonts w:ascii="Times New Roman" w:hAnsi="Times New Roman" w:cs="Times New Roman"/>
          <w:sz w:val="32"/>
          <w:szCs w:val="32"/>
        </w:rPr>
        <w:t>o del diritto amministrativo. Ad esso si accompagna la trasformazione del principio di legalità, il cui</w:t>
      </w:r>
      <w:r w:rsidRPr="00F23D90">
        <w:rPr>
          <w:rFonts w:ascii="Times New Roman" w:hAnsi="Times New Roman" w:cs="Times New Roman"/>
          <w:sz w:val="32"/>
          <w:szCs w:val="32"/>
        </w:rPr>
        <w:t xml:space="preserve"> rispetto, </w:t>
      </w:r>
      <w:r w:rsidR="00333804" w:rsidRPr="00F23D90">
        <w:rPr>
          <w:rFonts w:ascii="Times New Roman" w:hAnsi="Times New Roman" w:cs="Times New Roman"/>
          <w:sz w:val="32"/>
          <w:szCs w:val="32"/>
        </w:rPr>
        <w:t>sotto il</w:t>
      </w:r>
      <w:r w:rsidRPr="00F23D90">
        <w:rPr>
          <w:rFonts w:ascii="Times New Roman" w:hAnsi="Times New Roman" w:cs="Times New Roman"/>
          <w:sz w:val="32"/>
          <w:szCs w:val="32"/>
        </w:rPr>
        <w:t xml:space="preserve"> duplice profilo sostanziale e </w:t>
      </w:r>
      <w:r w:rsidRPr="00F23D90">
        <w:rPr>
          <w:rFonts w:ascii="Times New Roman" w:hAnsi="Times New Roman" w:cs="Times New Roman"/>
          <w:sz w:val="32"/>
          <w:szCs w:val="32"/>
        </w:rPr>
        <w:lastRenderedPageBreak/>
        <w:t xml:space="preserve">procedimentale </w:t>
      </w:r>
      <w:r w:rsidR="007C3A97">
        <w:rPr>
          <w:rFonts w:ascii="Times New Roman" w:hAnsi="Times New Roman" w:cs="Times New Roman"/>
          <w:sz w:val="32"/>
          <w:szCs w:val="32"/>
        </w:rPr>
        <w:t>−</w:t>
      </w:r>
      <w:r w:rsidR="00CC1B29">
        <w:rPr>
          <w:rFonts w:ascii="Times New Roman" w:hAnsi="Times New Roman" w:cs="Times New Roman"/>
          <w:sz w:val="32"/>
          <w:szCs w:val="32"/>
        </w:rPr>
        <w:t xml:space="preserve"> </w:t>
      </w:r>
      <w:r w:rsidRPr="00F23D90">
        <w:rPr>
          <w:rFonts w:ascii="Times New Roman" w:hAnsi="Times New Roman" w:cs="Times New Roman"/>
          <w:sz w:val="32"/>
          <w:szCs w:val="32"/>
        </w:rPr>
        <w:t>nonché dei suoi corollari: ragionevolezza, imparzialità ed effettività della tutela</w:t>
      </w:r>
      <w:r w:rsidR="007C3A97">
        <w:rPr>
          <w:rFonts w:ascii="Times New Roman" w:hAnsi="Times New Roman" w:cs="Times New Roman"/>
          <w:sz w:val="32"/>
          <w:szCs w:val="32"/>
        </w:rPr>
        <w:t xml:space="preserve"> −</w:t>
      </w:r>
      <w:r w:rsidRPr="00F23D90">
        <w:rPr>
          <w:rFonts w:ascii="Times New Roman" w:hAnsi="Times New Roman" w:cs="Times New Roman"/>
          <w:sz w:val="32"/>
          <w:szCs w:val="32"/>
        </w:rPr>
        <w:t xml:space="preserve"> è comunque garantito dal vaglio finale del giudice.</w:t>
      </w:r>
    </w:p>
    <w:p w14:paraId="693F6DAC" w14:textId="0EE000B8" w:rsidR="001C427D" w:rsidRPr="00F23D90" w:rsidRDefault="001C427D" w:rsidP="00EC784B">
      <w:pPr>
        <w:spacing w:line="360" w:lineRule="auto"/>
        <w:jc w:val="both"/>
        <w:rPr>
          <w:rFonts w:ascii="Times New Roman" w:hAnsi="Times New Roman" w:cs="Times New Roman"/>
          <w:sz w:val="32"/>
          <w:szCs w:val="32"/>
        </w:rPr>
      </w:pPr>
      <w:r w:rsidRPr="00F23D90">
        <w:rPr>
          <w:rFonts w:ascii="Times New Roman" w:hAnsi="Times New Roman" w:cs="Times New Roman"/>
          <w:sz w:val="32"/>
          <w:szCs w:val="32"/>
        </w:rPr>
        <w:t xml:space="preserve">E se non vogliamo tradire l’insegnamento, giuridico ed etico, del Maestro, noi giudici dobbiamo caricarci senza remore di questa responsabilità: responsabilità del giudicare, che è il nostro mestiere, avendo piena ed esauriente cognizione dei fatti su cui giudichiamo. Più Maestri hanno richiamato l’importanza del “fatto” nel processo di formazione della decisione del giudice. Me lo ripeteva Giuseppe Abbamonte, quando ero ragazzo. Ricordo che un grande presidente, Giovanni Paleologo, amava ripeterci “In diritto possiamo dire quasi tutto; </w:t>
      </w:r>
      <w:r w:rsidR="007C3A97" w:rsidRPr="00F23D90">
        <w:rPr>
          <w:rFonts w:ascii="Times New Roman" w:hAnsi="Times New Roman" w:cs="Times New Roman"/>
          <w:sz w:val="32"/>
          <w:szCs w:val="32"/>
        </w:rPr>
        <w:t>infatti,</w:t>
      </w:r>
      <w:r w:rsidRPr="00F23D90">
        <w:rPr>
          <w:rFonts w:ascii="Times New Roman" w:hAnsi="Times New Roman" w:cs="Times New Roman"/>
          <w:sz w:val="32"/>
          <w:szCs w:val="32"/>
        </w:rPr>
        <w:t xml:space="preserve"> quasi tutto è opinabile. Ma in punto di fatto dobbiamo essere precisi fino in fondo ed essere sicuri del fatto </w:t>
      </w:r>
      <w:r w:rsidRPr="00F23D90">
        <w:rPr>
          <w:rFonts w:ascii="Times New Roman" w:hAnsi="Times New Roman" w:cs="Times New Roman"/>
          <w:i/>
          <w:iCs/>
          <w:sz w:val="32"/>
          <w:szCs w:val="32"/>
        </w:rPr>
        <w:t>come è</w:t>
      </w:r>
      <w:r w:rsidRPr="00F23D90">
        <w:rPr>
          <w:rFonts w:ascii="Times New Roman" w:hAnsi="Times New Roman" w:cs="Times New Roman"/>
          <w:sz w:val="32"/>
          <w:szCs w:val="32"/>
        </w:rPr>
        <w:t xml:space="preserve"> e non di come ce lo prospetta l’amministrazione”. Nessuno di questi studiosi e giudici avrebbe compreso la stagione, che pure ha avuto il suo senso come tappa intermedia nell’evoluzione del sindacato, del sindacato debole o forte, estrinseco o intrinseco. Stagione che spero sia oramai superata, in favore di un sindacato, rispettoso sì delle scelte di merito dell’amministrazione, ma effettivo e soprattutto “pieno”, comprensivo del fatto e delle valutazioni tecniche, che sappia individuare senza remore</w:t>
      </w:r>
      <w:r w:rsidR="002A68EF" w:rsidRPr="00F23D90">
        <w:rPr>
          <w:rFonts w:ascii="Times New Roman" w:hAnsi="Times New Roman" w:cs="Times New Roman"/>
          <w:sz w:val="32"/>
          <w:szCs w:val="32"/>
        </w:rPr>
        <w:t>, nel giudicare il potere,</w:t>
      </w:r>
      <w:r w:rsidRPr="00F23D90">
        <w:rPr>
          <w:rFonts w:ascii="Times New Roman" w:hAnsi="Times New Roman" w:cs="Times New Roman"/>
          <w:sz w:val="32"/>
          <w:szCs w:val="32"/>
        </w:rPr>
        <w:t xml:space="preserve"> il “giusto e legittimo” punto di equilibrio tra autorità e libertà. Perché questo credo sia ancora oggi il senso del diritto amministrativo</w:t>
      </w:r>
      <w:r w:rsidR="00B15AC7" w:rsidRPr="00F23D90">
        <w:rPr>
          <w:rFonts w:ascii="Times New Roman" w:hAnsi="Times New Roman" w:cs="Times New Roman"/>
          <w:sz w:val="32"/>
          <w:szCs w:val="32"/>
        </w:rPr>
        <w:t>.</w:t>
      </w:r>
      <w:r w:rsidRPr="00F23D90">
        <w:rPr>
          <w:rFonts w:ascii="Times New Roman" w:hAnsi="Times New Roman" w:cs="Times New Roman"/>
          <w:sz w:val="32"/>
          <w:szCs w:val="32"/>
        </w:rPr>
        <w:t xml:space="preserve"> </w:t>
      </w:r>
      <w:r w:rsidR="00B15AC7" w:rsidRPr="00F23D90">
        <w:rPr>
          <w:rFonts w:ascii="Times New Roman" w:hAnsi="Times New Roman" w:cs="Times New Roman"/>
          <w:sz w:val="32"/>
          <w:szCs w:val="32"/>
        </w:rPr>
        <w:t>E</w:t>
      </w:r>
      <w:r w:rsidRPr="00F23D90">
        <w:rPr>
          <w:rFonts w:ascii="Times New Roman" w:hAnsi="Times New Roman" w:cs="Times New Roman"/>
          <w:sz w:val="32"/>
          <w:szCs w:val="32"/>
        </w:rPr>
        <w:t xml:space="preserve"> sicuramente è il senso del giudice amministrativo.</w:t>
      </w:r>
    </w:p>
    <w:p w14:paraId="64A7D426" w14:textId="35D24C6D" w:rsidR="00B15AC7" w:rsidRPr="00F23D90" w:rsidRDefault="00B15AC7" w:rsidP="00B15AC7">
      <w:pPr>
        <w:spacing w:line="360" w:lineRule="auto"/>
        <w:jc w:val="right"/>
        <w:rPr>
          <w:rFonts w:ascii="Times New Roman" w:hAnsi="Times New Roman" w:cs="Times New Roman"/>
          <w:sz w:val="32"/>
          <w:szCs w:val="32"/>
        </w:rPr>
      </w:pPr>
      <w:r w:rsidRPr="00F23D90">
        <w:rPr>
          <w:rFonts w:ascii="Times New Roman" w:hAnsi="Times New Roman" w:cs="Times New Roman"/>
          <w:sz w:val="32"/>
          <w:szCs w:val="32"/>
        </w:rPr>
        <w:t>Filippo Patroni Griffi</w:t>
      </w:r>
    </w:p>
    <w:p w14:paraId="5F01A13F" w14:textId="77777777" w:rsidR="00C40EF1" w:rsidRPr="00F23D90" w:rsidRDefault="00C40EF1" w:rsidP="00EC784B">
      <w:pPr>
        <w:spacing w:line="360" w:lineRule="auto"/>
        <w:jc w:val="both"/>
        <w:rPr>
          <w:rFonts w:ascii="Times New Roman" w:hAnsi="Times New Roman" w:cs="Times New Roman"/>
          <w:sz w:val="32"/>
          <w:szCs w:val="32"/>
        </w:rPr>
      </w:pPr>
    </w:p>
    <w:sectPr w:rsidR="00C40EF1" w:rsidRPr="00F23D90" w:rsidSect="00A32408">
      <w:footerReference w:type="default" r:id="rId8"/>
      <w:pgSz w:w="11906" w:h="16838" w:code="9"/>
      <w:pgMar w:top="1134" w:right="1134" w:bottom="1134"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9C7F" w14:textId="77777777" w:rsidR="004C5DA7" w:rsidRDefault="004C5DA7" w:rsidP="008707DE">
      <w:pPr>
        <w:spacing w:after="0" w:line="240" w:lineRule="auto"/>
      </w:pPr>
      <w:r>
        <w:separator/>
      </w:r>
    </w:p>
  </w:endnote>
  <w:endnote w:type="continuationSeparator" w:id="0">
    <w:p w14:paraId="5C259D7B" w14:textId="77777777" w:rsidR="004C5DA7" w:rsidRDefault="004C5DA7" w:rsidP="0087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975195"/>
      <w:docPartObj>
        <w:docPartGallery w:val="Page Numbers (Bottom of Page)"/>
        <w:docPartUnique/>
      </w:docPartObj>
    </w:sdtPr>
    <w:sdtContent>
      <w:p w14:paraId="457AB325" w14:textId="3C25078E" w:rsidR="000927B5" w:rsidRDefault="000927B5">
        <w:pPr>
          <w:pStyle w:val="Pidipagina"/>
          <w:jc w:val="right"/>
        </w:pPr>
        <w:r>
          <w:fldChar w:fldCharType="begin"/>
        </w:r>
        <w:r>
          <w:instrText>PAGE   \* MERGEFORMAT</w:instrText>
        </w:r>
        <w:r>
          <w:fldChar w:fldCharType="separate"/>
        </w:r>
        <w:r w:rsidR="00964B55">
          <w:rPr>
            <w:noProof/>
          </w:rPr>
          <w:t>7</w:t>
        </w:r>
        <w:r>
          <w:fldChar w:fldCharType="end"/>
        </w:r>
      </w:p>
    </w:sdtContent>
  </w:sdt>
  <w:p w14:paraId="35431B27" w14:textId="77777777" w:rsidR="000927B5" w:rsidRDefault="000927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B56B" w14:textId="77777777" w:rsidR="004C5DA7" w:rsidRDefault="004C5DA7" w:rsidP="008707DE">
      <w:pPr>
        <w:spacing w:after="0" w:line="240" w:lineRule="auto"/>
      </w:pPr>
      <w:r>
        <w:separator/>
      </w:r>
    </w:p>
  </w:footnote>
  <w:footnote w:type="continuationSeparator" w:id="0">
    <w:p w14:paraId="7C33CD1F" w14:textId="77777777" w:rsidR="004C5DA7" w:rsidRDefault="004C5DA7" w:rsidP="008707DE">
      <w:pPr>
        <w:spacing w:after="0" w:line="240" w:lineRule="auto"/>
      </w:pPr>
      <w:r>
        <w:continuationSeparator/>
      </w:r>
    </w:p>
  </w:footnote>
  <w:footnote w:id="1">
    <w:p w14:paraId="324BBB02" w14:textId="3496B47F" w:rsidR="00094416" w:rsidRDefault="00094416" w:rsidP="00094416">
      <w:pPr>
        <w:pStyle w:val="Testonotaapidipagina"/>
        <w:jc w:val="both"/>
        <w:rPr>
          <w:sz w:val="18"/>
        </w:rPr>
      </w:pPr>
      <w:r>
        <w:rPr>
          <w:rStyle w:val="Rimandonotaapidipagina"/>
          <w:rFonts w:eastAsiaTheme="majorEastAsia"/>
          <w:sz w:val="18"/>
        </w:rPr>
        <w:footnoteRef/>
      </w:r>
      <w:r>
        <w:rPr>
          <w:sz w:val="18"/>
        </w:rPr>
        <w:t xml:space="preserve"> O. </w:t>
      </w:r>
      <w:proofErr w:type="spellStart"/>
      <w:r>
        <w:rPr>
          <w:smallCaps/>
          <w:sz w:val="18"/>
        </w:rPr>
        <w:t>Ranelletti</w:t>
      </w:r>
      <w:proofErr w:type="spellEnd"/>
      <w:r>
        <w:rPr>
          <w:sz w:val="18"/>
        </w:rPr>
        <w:t xml:space="preserve">, </w:t>
      </w:r>
      <w:r>
        <w:rPr>
          <w:i/>
          <w:sz w:val="18"/>
        </w:rPr>
        <w:t>Della responsabilità degli enti pubblici per atti dei loro dipendenti</w:t>
      </w:r>
      <w:r>
        <w:rPr>
          <w:sz w:val="18"/>
        </w:rPr>
        <w:t xml:space="preserve">, in </w:t>
      </w:r>
      <w:r>
        <w:rPr>
          <w:i/>
          <w:sz w:val="18"/>
        </w:rPr>
        <w:t xml:space="preserve">Foro </w:t>
      </w:r>
      <w:proofErr w:type="spellStart"/>
      <w:r>
        <w:rPr>
          <w:i/>
          <w:sz w:val="18"/>
        </w:rPr>
        <w:t>it</w:t>
      </w:r>
      <w:proofErr w:type="spellEnd"/>
      <w:r>
        <w:rPr>
          <w:i/>
          <w:sz w:val="18"/>
        </w:rPr>
        <w:t>.</w:t>
      </w:r>
      <w:r>
        <w:rPr>
          <w:sz w:val="18"/>
        </w:rPr>
        <w:t>, 1898, I, 88.</w:t>
      </w:r>
    </w:p>
  </w:footnote>
  <w:footnote w:id="2">
    <w:p w14:paraId="1E5211BF" w14:textId="539F7213" w:rsidR="00094416" w:rsidRDefault="00094416" w:rsidP="00094416">
      <w:pPr>
        <w:pStyle w:val="Testonotaapidipagina"/>
        <w:jc w:val="both"/>
        <w:rPr>
          <w:sz w:val="18"/>
        </w:rPr>
      </w:pPr>
      <w:r>
        <w:rPr>
          <w:rStyle w:val="Rimandonotaapidipagina"/>
          <w:rFonts w:eastAsiaTheme="majorEastAsia"/>
          <w:sz w:val="18"/>
        </w:rPr>
        <w:footnoteRef/>
      </w:r>
      <w:r>
        <w:rPr>
          <w:sz w:val="18"/>
        </w:rPr>
        <w:t xml:space="preserve"> O. </w:t>
      </w:r>
      <w:proofErr w:type="spellStart"/>
      <w:r>
        <w:rPr>
          <w:smallCaps/>
          <w:sz w:val="18"/>
        </w:rPr>
        <w:t>Ranelletti</w:t>
      </w:r>
      <w:proofErr w:type="spellEnd"/>
      <w:r>
        <w:rPr>
          <w:sz w:val="18"/>
        </w:rPr>
        <w:t xml:space="preserve">, </w:t>
      </w:r>
      <w:r>
        <w:rPr>
          <w:i/>
          <w:sz w:val="18"/>
        </w:rPr>
        <w:t>Per la distinzione degli atti di imperio e di gestione</w:t>
      </w:r>
      <w:r>
        <w:rPr>
          <w:sz w:val="18"/>
        </w:rPr>
        <w:t xml:space="preserve">, in </w:t>
      </w:r>
      <w:r>
        <w:rPr>
          <w:i/>
          <w:sz w:val="18"/>
        </w:rPr>
        <w:t>Studi di diritto romano, di diritto moderno e di storia del diritto pubblico in onore di V. Scialoja</w:t>
      </w:r>
      <w:r>
        <w:rPr>
          <w:sz w:val="18"/>
        </w:rPr>
        <w:t>, I, Milano, 1905, 724.</w:t>
      </w:r>
    </w:p>
  </w:footnote>
  <w:footnote w:id="3">
    <w:p w14:paraId="4D7F93F1" w14:textId="77777777" w:rsidR="00094416" w:rsidRDefault="00094416" w:rsidP="00094416">
      <w:pPr>
        <w:pStyle w:val="Testonotaapidipagina"/>
        <w:jc w:val="both"/>
        <w:rPr>
          <w:sz w:val="18"/>
        </w:rPr>
      </w:pPr>
      <w:r>
        <w:rPr>
          <w:rStyle w:val="Rimandonotaapidipagina"/>
          <w:rFonts w:eastAsiaTheme="majorEastAsia"/>
          <w:sz w:val="18"/>
        </w:rPr>
        <w:footnoteRef/>
      </w:r>
      <w:r>
        <w:rPr>
          <w:sz w:val="18"/>
        </w:rPr>
        <w:t xml:space="preserve"> </w:t>
      </w:r>
      <w:r>
        <w:rPr>
          <w:i/>
          <w:iCs/>
          <w:sz w:val="18"/>
        </w:rPr>
        <w:t>Ibidem</w:t>
      </w:r>
      <w:r>
        <w:rPr>
          <w:sz w:val="18"/>
        </w:rPr>
        <w:t>, I, p. 455.</w:t>
      </w:r>
    </w:p>
  </w:footnote>
  <w:footnote w:id="4">
    <w:p w14:paraId="325B704C" w14:textId="4D53A1CC" w:rsidR="00094416" w:rsidRDefault="00094416" w:rsidP="00094416">
      <w:pPr>
        <w:pStyle w:val="Testonotaapidipagina"/>
        <w:jc w:val="both"/>
        <w:rPr>
          <w:sz w:val="18"/>
        </w:rPr>
      </w:pPr>
      <w:r>
        <w:rPr>
          <w:rStyle w:val="Rimandonotaapidipagina"/>
          <w:rFonts w:eastAsiaTheme="majorEastAsia"/>
          <w:sz w:val="18"/>
        </w:rPr>
        <w:footnoteRef/>
      </w:r>
      <w:r>
        <w:rPr>
          <w:sz w:val="18"/>
        </w:rPr>
        <w:t xml:space="preserve"> O. </w:t>
      </w:r>
      <w:proofErr w:type="spellStart"/>
      <w:r>
        <w:rPr>
          <w:smallCaps/>
          <w:sz w:val="18"/>
        </w:rPr>
        <w:t>Ranelletti</w:t>
      </w:r>
      <w:proofErr w:type="spellEnd"/>
      <w:r>
        <w:rPr>
          <w:sz w:val="18"/>
        </w:rPr>
        <w:t xml:space="preserve">, </w:t>
      </w:r>
      <w:r>
        <w:rPr>
          <w:i/>
          <w:sz w:val="18"/>
        </w:rPr>
        <w:t xml:space="preserve">Principi di diritto amministrativo, </w:t>
      </w:r>
      <w:r w:rsidR="008E4AE5">
        <w:rPr>
          <w:iCs/>
          <w:sz w:val="18"/>
        </w:rPr>
        <w:t>Napoli, 1912</w:t>
      </w:r>
      <w:r>
        <w:rPr>
          <w:sz w:val="18"/>
        </w:rPr>
        <w:t xml:space="preserve">, I, p. 272, deve “l’amministratore apprezzare le esigenze degli interessi collettivi, valutare in rapporto a questi la utilità, l’opportunità, la bontà dell’agire proprio e altrui fino a che una norma giuridica non restringa o tolga a lui tale potere, cioè nei limiti del diritto”. Ed ancora, “il diritto… è solo la norma secondo o nei limiti della quale essa si deve svolgere, per raggiungere gli scopi pratici della vita dello Stato. Questa attività, perciò, fino a che una norma giuridica non le restringa o tolga tale potere, cioè nei limiti del diritto, è anch’essa essenzialmente libera.”, </w:t>
      </w:r>
      <w:proofErr w:type="gramStart"/>
      <w:r>
        <w:rPr>
          <w:i/>
          <w:iCs/>
          <w:sz w:val="18"/>
        </w:rPr>
        <w:t>ibidem</w:t>
      </w:r>
      <w:r>
        <w:rPr>
          <w:sz w:val="18"/>
        </w:rPr>
        <w:t>,  I</w:t>
      </w:r>
      <w:proofErr w:type="gramEnd"/>
      <w:r>
        <w:rPr>
          <w:sz w:val="18"/>
        </w:rPr>
        <w:t>, p. 365.</w:t>
      </w:r>
    </w:p>
  </w:footnote>
  <w:footnote w:id="5">
    <w:p w14:paraId="78EFF517" w14:textId="77777777" w:rsidR="00094416" w:rsidRDefault="00094416" w:rsidP="00094416">
      <w:pPr>
        <w:pStyle w:val="Testonotaapidipagina"/>
        <w:jc w:val="both"/>
        <w:rPr>
          <w:sz w:val="18"/>
        </w:rPr>
      </w:pPr>
      <w:r>
        <w:rPr>
          <w:rStyle w:val="Rimandonotaapidipagina"/>
          <w:rFonts w:eastAsiaTheme="majorEastAsia"/>
          <w:sz w:val="18"/>
        </w:rPr>
        <w:footnoteRef/>
      </w:r>
      <w:r>
        <w:rPr>
          <w:sz w:val="18"/>
        </w:rPr>
        <w:t xml:space="preserve"> F. </w:t>
      </w:r>
      <w:r>
        <w:rPr>
          <w:smallCaps/>
          <w:sz w:val="18"/>
        </w:rPr>
        <w:t>Cammeo</w:t>
      </w:r>
      <w:r>
        <w:rPr>
          <w:sz w:val="18"/>
        </w:rPr>
        <w:t xml:space="preserve">, </w:t>
      </w:r>
      <w:r>
        <w:rPr>
          <w:i/>
          <w:sz w:val="18"/>
        </w:rPr>
        <w:t>Corso di diritto amministrativo</w:t>
      </w:r>
      <w:r>
        <w:rPr>
          <w:sz w:val="18"/>
        </w:rPr>
        <w:t>, Padova, 1914.</w:t>
      </w:r>
    </w:p>
  </w:footnote>
  <w:footnote w:id="6">
    <w:p w14:paraId="69B82E4A" w14:textId="6E1AF046" w:rsidR="00094416" w:rsidRDefault="00094416" w:rsidP="00094416">
      <w:pPr>
        <w:pStyle w:val="Testonotaapidipagina"/>
        <w:jc w:val="both"/>
        <w:rPr>
          <w:sz w:val="18"/>
        </w:rPr>
      </w:pPr>
      <w:r>
        <w:rPr>
          <w:rStyle w:val="Rimandonotaapidipagina"/>
          <w:rFonts w:eastAsiaTheme="majorEastAsia"/>
          <w:sz w:val="18"/>
        </w:rPr>
        <w:footnoteRef/>
      </w:r>
      <w:r>
        <w:rPr>
          <w:sz w:val="18"/>
        </w:rPr>
        <w:t xml:space="preserve"> “…basta guardare a ciò che ogni giorno avviene, per vedere come lo Stato, non solo limiti sé stesso, ma si obblighi in molte relazioni ad agire positivamente nell’interesse dei sudditi”, </w:t>
      </w:r>
      <w:r>
        <w:rPr>
          <w:smallCaps/>
          <w:sz w:val="18"/>
        </w:rPr>
        <w:t>Santi Romano</w:t>
      </w:r>
      <w:r>
        <w:rPr>
          <w:sz w:val="18"/>
        </w:rPr>
        <w:t xml:space="preserve">, </w:t>
      </w:r>
      <w:r>
        <w:rPr>
          <w:i/>
          <w:sz w:val="18"/>
        </w:rPr>
        <w:t>Teoria dei diritti pubblici soggettivi</w:t>
      </w:r>
      <w:r>
        <w:rPr>
          <w:sz w:val="18"/>
        </w:rPr>
        <w:t xml:space="preserve">, in </w:t>
      </w:r>
      <w:r>
        <w:rPr>
          <w:i/>
          <w:sz w:val="18"/>
        </w:rPr>
        <w:t>Primo trattato completo di diritto amministrativo</w:t>
      </w:r>
      <w:r>
        <w:rPr>
          <w:sz w:val="18"/>
        </w:rPr>
        <w:t xml:space="preserve">, a cura di V.E. </w:t>
      </w:r>
      <w:r>
        <w:rPr>
          <w:smallCaps/>
          <w:sz w:val="18"/>
        </w:rPr>
        <w:t>Orlando</w:t>
      </w:r>
      <w:r>
        <w:rPr>
          <w:sz w:val="18"/>
        </w:rPr>
        <w:t xml:space="preserve">, </w:t>
      </w:r>
      <w:r w:rsidR="008E4AE5">
        <w:rPr>
          <w:sz w:val="18"/>
        </w:rPr>
        <w:t>Milano, 1900,</w:t>
      </w:r>
      <w:r>
        <w:rPr>
          <w:sz w:val="18"/>
        </w:rPr>
        <w:t xml:space="preserve"> p. 139.</w:t>
      </w:r>
    </w:p>
  </w:footnote>
  <w:footnote w:id="7">
    <w:p w14:paraId="2475239C" w14:textId="578AD13A" w:rsidR="00AA1215" w:rsidRDefault="00AA1215" w:rsidP="00AA1215">
      <w:pPr>
        <w:pStyle w:val="Testonotaapidipagina"/>
      </w:pPr>
      <w:r>
        <w:rPr>
          <w:rStyle w:val="Rimandonotaapidipagina"/>
          <w:rFonts w:eastAsiaTheme="majorEastAsia"/>
        </w:rPr>
        <w:footnoteRef/>
      </w:r>
      <w:r>
        <w:t xml:space="preserve"> Benvenuti scrive negli anni a seguire </w:t>
      </w:r>
      <w:r w:rsidRPr="00A524CC">
        <w:rPr>
          <w:rStyle w:val="Enfasicorsivo"/>
          <w:rFonts w:eastAsiaTheme="majorEastAsia"/>
          <w:color w:val="000000"/>
        </w:rPr>
        <w:t>Eccesso di potere amministrativo per vizio della funzione</w:t>
      </w:r>
      <w:r w:rsidRPr="00A524CC">
        <w:rPr>
          <w:color w:val="000000"/>
        </w:rPr>
        <w:t> </w:t>
      </w:r>
      <w:r w:rsidR="00490125">
        <w:rPr>
          <w:color w:val="000000"/>
        </w:rPr>
        <w:t xml:space="preserve">(in </w:t>
      </w:r>
      <w:r w:rsidRPr="00490125">
        <w:rPr>
          <w:i/>
          <w:iCs/>
          <w:color w:val="000000"/>
        </w:rPr>
        <w:t>Rassegna di diritto pubblico</w:t>
      </w:r>
      <w:r w:rsidRPr="00A524CC">
        <w:rPr>
          <w:color w:val="000000"/>
        </w:rPr>
        <w:t xml:space="preserve">, 1950, 1, 1 e segg.), </w:t>
      </w:r>
      <w:r w:rsidRPr="00A524CC">
        <w:rPr>
          <w:rStyle w:val="Enfasicorsivo"/>
          <w:rFonts w:eastAsiaTheme="majorEastAsia"/>
          <w:color w:val="000000"/>
        </w:rPr>
        <w:t>L’istruzione nel processo amministrativo</w:t>
      </w:r>
      <w:r w:rsidRPr="00A524CC">
        <w:rPr>
          <w:color w:val="000000"/>
        </w:rPr>
        <w:t> (1953), </w:t>
      </w:r>
      <w:r w:rsidRPr="00A524CC">
        <w:rPr>
          <w:rStyle w:val="Enfasicorsivo"/>
          <w:rFonts w:eastAsiaTheme="majorEastAsia"/>
          <w:color w:val="000000"/>
        </w:rPr>
        <w:t>Funzione amministrativa, procedimento, processo</w:t>
      </w:r>
      <w:r w:rsidRPr="00A524CC">
        <w:rPr>
          <w:color w:val="000000"/>
        </w:rPr>
        <w:t> (</w:t>
      </w:r>
      <w:r w:rsidR="00490125">
        <w:rPr>
          <w:color w:val="000000"/>
        </w:rPr>
        <w:t xml:space="preserve">in </w:t>
      </w:r>
      <w:r w:rsidRPr="00A524CC">
        <w:rPr>
          <w:i/>
          <w:color w:val="000000"/>
        </w:rPr>
        <w:t xml:space="preserve">Rivista trimestrale di </w:t>
      </w:r>
      <w:r w:rsidR="00490125" w:rsidRPr="00A524CC">
        <w:rPr>
          <w:i/>
          <w:color w:val="000000"/>
        </w:rPr>
        <w:t>diritto</w:t>
      </w:r>
      <w:r w:rsidRPr="00A524CC">
        <w:rPr>
          <w:i/>
          <w:color w:val="000000"/>
        </w:rPr>
        <w:t xml:space="preserve"> pubblico</w:t>
      </w:r>
      <w:r w:rsidRPr="00A524CC">
        <w:rPr>
          <w:color w:val="000000"/>
        </w:rPr>
        <w:t xml:space="preserve">, 1952, 1, 118 e segg.), </w:t>
      </w:r>
      <w:r w:rsidR="00490125">
        <w:rPr>
          <w:color w:val="000000"/>
        </w:rPr>
        <w:t>delineando</w:t>
      </w:r>
      <w:r w:rsidR="00490125" w:rsidRPr="00A524CC">
        <w:rPr>
          <w:color w:val="000000"/>
        </w:rPr>
        <w:t xml:space="preserve"> il</w:t>
      </w:r>
      <w:r w:rsidRPr="00A524CC">
        <w:rPr>
          <w:color w:val="000000"/>
        </w:rPr>
        <w:t xml:space="preserve"> procedimento come forma della funzione amministrativa.</w:t>
      </w:r>
    </w:p>
  </w:footnote>
  <w:footnote w:id="8">
    <w:p w14:paraId="0247A48B" w14:textId="159596D5" w:rsidR="00AA1215" w:rsidRPr="00314D12" w:rsidRDefault="00AA1215" w:rsidP="00AA1215">
      <w:pPr>
        <w:pStyle w:val="Testonotaapidipagina"/>
      </w:pPr>
      <w:r w:rsidRPr="00314D12">
        <w:rPr>
          <w:rStyle w:val="Rimandonotaapidipagina"/>
          <w:rFonts w:eastAsiaTheme="majorEastAsia"/>
        </w:rPr>
        <w:footnoteRef/>
      </w:r>
      <w:r w:rsidRPr="00314D12">
        <w:t xml:space="preserve"> </w:t>
      </w:r>
      <w:r w:rsidRPr="00314D12">
        <w:rPr>
          <w:color w:val="555555"/>
          <w:shd w:val="clear" w:color="auto" w:fill="FFFFFF"/>
        </w:rPr>
        <w:t>G. Miele, </w:t>
      </w:r>
      <w:r w:rsidRPr="00314D12">
        <w:rPr>
          <w:i/>
          <w:iCs/>
          <w:color w:val="555555"/>
          <w:shd w:val="clear" w:color="auto" w:fill="FFFFFF"/>
        </w:rPr>
        <w:t>Introduzione al tema</w:t>
      </w:r>
      <w:r w:rsidRPr="00314D12">
        <w:rPr>
          <w:color w:val="555555"/>
          <w:shd w:val="clear" w:color="auto" w:fill="FFFFFF"/>
        </w:rPr>
        <w:t>, in</w:t>
      </w:r>
      <w:r w:rsidR="002066E5">
        <w:rPr>
          <w:color w:val="555555"/>
          <w:shd w:val="clear" w:color="auto" w:fill="FFFFFF"/>
        </w:rPr>
        <w:t xml:space="preserve"> </w:t>
      </w:r>
      <w:r w:rsidRPr="00314D12">
        <w:rPr>
          <w:i/>
          <w:iCs/>
          <w:color w:val="555555"/>
          <w:shd w:val="clear" w:color="auto" w:fill="FFFFFF"/>
        </w:rPr>
        <w:t>Atti, Convegno nazionale sull’ammissibilità del risarcimento del danno patrimoniale derivante da lesione di interessi legittimi</w:t>
      </w:r>
      <w:r w:rsidRPr="00314D12">
        <w:rPr>
          <w:color w:val="555555"/>
          <w:shd w:val="clear" w:color="auto" w:fill="FFFFFF"/>
        </w:rPr>
        <w:t>, Napoli dal 27 al 29 ottobre 1963, 1965</w:t>
      </w:r>
      <w:r>
        <w:rPr>
          <w:color w:val="555555"/>
          <w:shd w:val="clear" w:color="auto" w:fill="FFFFFF"/>
        </w:rPr>
        <w:t xml:space="preserve"> che la definisce </w:t>
      </w:r>
      <w:r w:rsidRPr="00314D12">
        <w:rPr>
          <w:color w:val="555555"/>
          <w:shd w:val="clear" w:color="auto" w:fill="FFFFFF"/>
        </w:rPr>
        <w:t>«posizione di vantaggio del privato rispetto ad un bene della vita» e «dipendente da un potere giuridico altrui»</w:t>
      </w:r>
    </w:p>
  </w:footnote>
  <w:footnote w:id="9">
    <w:p w14:paraId="0D49EE28" w14:textId="4ADB620D" w:rsidR="0073513D" w:rsidRDefault="0073513D">
      <w:pPr>
        <w:pStyle w:val="Testonotaapidipagina"/>
      </w:pPr>
      <w:r>
        <w:rPr>
          <w:rStyle w:val="Rimandonotaapidipagina"/>
        </w:rPr>
        <w:footnoteRef/>
      </w:r>
      <w:r>
        <w:t xml:space="preserve"> M. Nigro, </w:t>
      </w:r>
      <w:r w:rsidR="00490125" w:rsidRPr="00490125">
        <w:rPr>
          <w:i/>
          <w:iCs/>
        </w:rPr>
        <w:t>Studi sulla funzione organizzatrice della pubblica amministrazione</w:t>
      </w:r>
      <w:r w:rsidR="00490125">
        <w:t>, Milano</w:t>
      </w:r>
      <w:r w:rsidR="008E4AE5">
        <w:t>,</w:t>
      </w:r>
      <w:r w:rsidR="00490125">
        <w:t xml:space="preserve"> 1966.</w:t>
      </w:r>
    </w:p>
  </w:footnote>
  <w:footnote w:id="10">
    <w:p w14:paraId="39C5D893" w14:textId="038971B2" w:rsidR="00AA1215" w:rsidRDefault="00AA1215" w:rsidP="00AA1215">
      <w:pPr>
        <w:pStyle w:val="Testonotaapidipagina"/>
      </w:pPr>
      <w:r>
        <w:rPr>
          <w:rStyle w:val="Rimandonotaapidipagina"/>
          <w:rFonts w:eastAsiaTheme="majorEastAsia"/>
        </w:rPr>
        <w:footnoteRef/>
      </w:r>
      <w:r>
        <w:t xml:space="preserve"> </w:t>
      </w:r>
      <w:r w:rsidRPr="00CA5799">
        <w:t xml:space="preserve">M. Nigro, </w:t>
      </w:r>
      <w:r w:rsidRPr="00CA5799">
        <w:rPr>
          <w:i/>
        </w:rPr>
        <w:t>Giustizia Amministrativa</w:t>
      </w:r>
      <w:r w:rsidRPr="00CA5799">
        <w:t>,</w:t>
      </w:r>
      <w:r w:rsidR="00490125">
        <w:t xml:space="preserve"> Bologna</w:t>
      </w:r>
      <w:r w:rsidR="008E4AE5">
        <w:t>,</w:t>
      </w:r>
      <w:r>
        <w:t xml:space="preserve"> 1983</w:t>
      </w:r>
      <w:r w:rsidR="0073513D">
        <w:t>; ma già 197</w:t>
      </w:r>
      <w:r w:rsidR="00490125">
        <w:t>6.</w:t>
      </w:r>
    </w:p>
  </w:footnote>
  <w:footnote w:id="11">
    <w:p w14:paraId="5721F255" w14:textId="45FFC141" w:rsidR="008707DE" w:rsidRDefault="008707DE" w:rsidP="008707DE">
      <w:pPr>
        <w:pStyle w:val="Testonotaapidipagina"/>
      </w:pPr>
      <w:r>
        <w:rPr>
          <w:rStyle w:val="Rimandonotaapidipagina"/>
          <w:rFonts w:eastAsiaTheme="majorEastAsia"/>
        </w:rPr>
        <w:footnoteRef/>
      </w:r>
      <w:r>
        <w:t xml:space="preserve"> </w:t>
      </w:r>
      <w:r w:rsidRPr="00821271">
        <w:rPr>
          <w:i/>
        </w:rPr>
        <w:t>L’attività normativa della pubblica amministrazione</w:t>
      </w:r>
      <w:r>
        <w:t>, Napoli</w:t>
      </w:r>
      <w:r w:rsidR="008E4AE5">
        <w:t>,</w:t>
      </w:r>
      <w:r>
        <w:t xml:space="preserve"> 1970.</w:t>
      </w:r>
    </w:p>
  </w:footnote>
  <w:footnote w:id="12">
    <w:p w14:paraId="4C5A9DA4" w14:textId="77777777" w:rsidR="008707DE" w:rsidRDefault="008707DE" w:rsidP="008707DE">
      <w:pPr>
        <w:pStyle w:val="Testonotaapidipagina"/>
      </w:pPr>
      <w:r>
        <w:rPr>
          <w:rStyle w:val="Rimandonotaapidipagina"/>
          <w:rFonts w:eastAsiaTheme="majorEastAsia"/>
        </w:rPr>
        <w:footnoteRef/>
      </w:r>
      <w:r>
        <w:t xml:space="preserve"> </w:t>
      </w:r>
      <w:r>
        <w:rPr>
          <w:i/>
        </w:rPr>
        <w:t>Ibidem,</w:t>
      </w:r>
      <w:r>
        <w:t xml:space="preserve"> 9.</w:t>
      </w:r>
    </w:p>
  </w:footnote>
  <w:footnote w:id="13">
    <w:p w14:paraId="4B5E7298" w14:textId="77777777" w:rsidR="008707DE" w:rsidRDefault="008707DE" w:rsidP="008707DE">
      <w:pPr>
        <w:pStyle w:val="Testonotaapidipagina"/>
      </w:pPr>
      <w:r>
        <w:rPr>
          <w:rStyle w:val="Rimandonotaapidipagina"/>
          <w:rFonts w:eastAsiaTheme="majorEastAsia"/>
        </w:rPr>
        <w:footnoteRef/>
      </w:r>
      <w:r>
        <w:t xml:space="preserve"> </w:t>
      </w:r>
      <w:r w:rsidRPr="00821271">
        <w:rPr>
          <w:i/>
        </w:rPr>
        <w:t>Ibidem</w:t>
      </w:r>
      <w:r>
        <w:t>, 57.</w:t>
      </w:r>
    </w:p>
  </w:footnote>
  <w:footnote w:id="14">
    <w:p w14:paraId="015F1F25" w14:textId="5407BF6B" w:rsidR="008707DE" w:rsidRDefault="008707DE" w:rsidP="008707DE">
      <w:pPr>
        <w:pStyle w:val="Testonotaapidipagina"/>
      </w:pPr>
      <w:r>
        <w:rPr>
          <w:rStyle w:val="Rimandonotaapidipagina"/>
          <w:rFonts w:eastAsiaTheme="majorEastAsia"/>
        </w:rPr>
        <w:footnoteRef/>
      </w:r>
      <w:r>
        <w:t xml:space="preserve"> V. per tutti, anche per richiami a una letteratura sconfinata, </w:t>
      </w:r>
      <w:proofErr w:type="spellStart"/>
      <w:proofErr w:type="gramStart"/>
      <w:r>
        <w:t>A.Pizzorusso</w:t>
      </w:r>
      <w:proofErr w:type="spellEnd"/>
      <w:proofErr w:type="gramEnd"/>
      <w:r>
        <w:t xml:space="preserve">, </w:t>
      </w:r>
      <w:r w:rsidRPr="008175B2">
        <w:rPr>
          <w:i/>
        </w:rPr>
        <w:t>Fonti (sistema costituzionale delle fonti)</w:t>
      </w:r>
      <w:r>
        <w:t xml:space="preserve">, in </w:t>
      </w:r>
      <w:proofErr w:type="spellStart"/>
      <w:r w:rsidRPr="008175B2">
        <w:rPr>
          <w:i/>
        </w:rPr>
        <w:t>Dig.disc.pubbl</w:t>
      </w:r>
      <w:proofErr w:type="spellEnd"/>
      <w:r>
        <w:t>., VI, Torino</w:t>
      </w:r>
      <w:r w:rsidR="00DA47CE">
        <w:t>,</w:t>
      </w:r>
      <w:r>
        <w:t xml:space="preserve"> 1991, 409 ss.. e </w:t>
      </w:r>
      <w:r w:rsidRPr="008175B2">
        <w:rPr>
          <w:i/>
        </w:rPr>
        <w:t>Delegificazione</w:t>
      </w:r>
      <w:r>
        <w:t xml:space="preserve">, in </w:t>
      </w:r>
      <w:proofErr w:type="spellStart"/>
      <w:r w:rsidRPr="008175B2">
        <w:rPr>
          <w:i/>
        </w:rPr>
        <w:t>Enc.dir</w:t>
      </w:r>
      <w:proofErr w:type="spellEnd"/>
      <w:r w:rsidRPr="008175B2">
        <w:rPr>
          <w:i/>
        </w:rPr>
        <w:t>.</w:t>
      </w:r>
      <w:r>
        <w:t>, Aggiornamento III, Milano</w:t>
      </w:r>
      <w:r w:rsidR="00DA47CE">
        <w:t>,</w:t>
      </w:r>
      <w:r>
        <w:t xml:space="preserve"> 1999, 492 </w:t>
      </w:r>
      <w:proofErr w:type="spellStart"/>
      <w:r>
        <w:t>ss</w:t>
      </w:r>
      <w:proofErr w:type="spellEnd"/>
      <w:r>
        <w:t xml:space="preserve">; </w:t>
      </w:r>
      <w:proofErr w:type="spellStart"/>
      <w:proofErr w:type="gramStart"/>
      <w:r>
        <w:t>U.De</w:t>
      </w:r>
      <w:proofErr w:type="spellEnd"/>
      <w:proofErr w:type="gramEnd"/>
      <w:r>
        <w:t xml:space="preserve"> Siervo, </w:t>
      </w:r>
      <w:r w:rsidRPr="008175B2">
        <w:rPr>
          <w:i/>
        </w:rPr>
        <w:t>Un travolgente processo di trasformazione delle fonti</w:t>
      </w:r>
      <w:r>
        <w:t xml:space="preserve">, in </w:t>
      </w:r>
      <w:r w:rsidRPr="008175B2">
        <w:rPr>
          <w:i/>
        </w:rPr>
        <w:t>Osservatorio sulle fonti 1998</w:t>
      </w:r>
      <w:r>
        <w:t xml:space="preserve">, Torino 1999, XIII ss.; </w:t>
      </w:r>
      <w:proofErr w:type="spellStart"/>
      <w:r>
        <w:t>F.Patroni</w:t>
      </w:r>
      <w:proofErr w:type="spellEnd"/>
      <w:r>
        <w:t xml:space="preserve"> Griffi, </w:t>
      </w:r>
      <w:r w:rsidRPr="008175B2">
        <w:rPr>
          <w:i/>
        </w:rPr>
        <w:t>La fabbrica delle leggi e la qualità della normazione in Italia</w:t>
      </w:r>
      <w:r>
        <w:t>, in</w:t>
      </w:r>
      <w:r w:rsidRPr="008175B2">
        <w:rPr>
          <w:i/>
        </w:rPr>
        <w:t xml:space="preserve"> Dir.</w:t>
      </w:r>
      <w:r w:rsidR="00DA47CE">
        <w:rPr>
          <w:i/>
        </w:rPr>
        <w:t xml:space="preserve"> </w:t>
      </w:r>
      <w:proofErr w:type="spellStart"/>
      <w:r w:rsidRPr="008175B2">
        <w:rPr>
          <w:i/>
        </w:rPr>
        <w:t>amm</w:t>
      </w:r>
      <w:proofErr w:type="spellEnd"/>
      <w:r w:rsidRPr="008175B2">
        <w:rPr>
          <w:i/>
        </w:rPr>
        <w:t>.</w:t>
      </w:r>
      <w:r>
        <w:t xml:space="preserve"> 2000</w:t>
      </w:r>
      <w:r w:rsidR="00DA47CE">
        <w:t xml:space="preserve">, 97 </w:t>
      </w:r>
      <w:r w:rsidR="00915FEC">
        <w:t>ss</w:t>
      </w:r>
      <w:r w:rsidR="00DA47CE">
        <w:t>.</w:t>
      </w:r>
      <w:r>
        <w:t xml:space="preserve"> e </w:t>
      </w:r>
      <w:r w:rsidRPr="008175B2">
        <w:rPr>
          <w:i/>
        </w:rPr>
        <w:t>Delegificazione e semplificazione dei procedimenti amministrativi</w:t>
      </w:r>
      <w:r>
        <w:t xml:space="preserve">, in </w:t>
      </w:r>
      <w:r w:rsidR="00DA47CE" w:rsidRPr="008175B2">
        <w:rPr>
          <w:i/>
        </w:rPr>
        <w:t>Cons. Stato</w:t>
      </w:r>
      <w:r>
        <w:t xml:space="preserve"> 1998, IV, 1711 ss..  </w:t>
      </w:r>
    </w:p>
  </w:footnote>
  <w:footnote w:id="15">
    <w:p w14:paraId="393A6D76" w14:textId="77777777" w:rsidR="008707DE" w:rsidRDefault="008707DE" w:rsidP="008707DE">
      <w:pPr>
        <w:pStyle w:val="Testonotaapidipagina"/>
      </w:pPr>
      <w:r>
        <w:rPr>
          <w:rStyle w:val="Rimandonotaapidipagina"/>
          <w:rFonts w:eastAsiaTheme="majorEastAsia"/>
        </w:rPr>
        <w:footnoteRef/>
      </w:r>
      <w:r>
        <w:t xml:space="preserve"> V. il fondamentale parere Ad. Gen. 21 novembre 1991 n. </w:t>
      </w:r>
      <w:smartTag w:uri="urn:schemas-microsoft-com:office:smarttags" w:element="metricconverter">
        <w:smartTagPr>
          <w:attr w:name="ProductID" w:val="141, in"/>
        </w:smartTagPr>
        <w:r>
          <w:t>141, in</w:t>
        </w:r>
      </w:smartTag>
      <w:r>
        <w:t xml:space="preserve"> </w:t>
      </w:r>
      <w:r w:rsidRPr="008175B2">
        <w:rPr>
          <w:i/>
        </w:rPr>
        <w:t xml:space="preserve">Foro </w:t>
      </w:r>
      <w:proofErr w:type="spellStart"/>
      <w:r w:rsidRPr="008175B2">
        <w:rPr>
          <w:i/>
        </w:rPr>
        <w:t>it</w:t>
      </w:r>
      <w:proofErr w:type="spellEnd"/>
      <w:r w:rsidRPr="008175B2">
        <w:rPr>
          <w:i/>
        </w:rPr>
        <w:t>.</w:t>
      </w:r>
      <w:r>
        <w:t xml:space="preserve"> 1992, III, 98. Altri richiami si rinvengono nell’</w:t>
      </w:r>
      <w:r w:rsidRPr="00120AE1">
        <w:rPr>
          <w:i/>
        </w:rPr>
        <w:t>Osservatorio sulle fonti</w:t>
      </w:r>
      <w:r>
        <w:t xml:space="preserve"> di quegli anni, curato da De Siervo e sopra citato. </w:t>
      </w:r>
    </w:p>
  </w:footnote>
  <w:footnote w:id="16">
    <w:p w14:paraId="1186295A" w14:textId="77777777" w:rsidR="008707DE" w:rsidRDefault="008707DE" w:rsidP="008707DE">
      <w:pPr>
        <w:pStyle w:val="Testonotaapidipagina"/>
      </w:pPr>
      <w:r>
        <w:rPr>
          <w:rStyle w:val="Rimandonotaapidipagina"/>
          <w:rFonts w:eastAsiaTheme="majorEastAsia"/>
        </w:rPr>
        <w:footnoteRef/>
      </w:r>
      <w:r>
        <w:t xml:space="preserve"> Segnatamente, nel capo II de</w:t>
      </w:r>
      <w:r w:rsidRPr="001612AA">
        <w:rPr>
          <w:i/>
        </w:rPr>
        <w:t xml:space="preserve"> L’attività normativa</w:t>
      </w:r>
      <w:r>
        <w:t xml:space="preserve">, 58 </w:t>
      </w:r>
      <w:proofErr w:type="gramStart"/>
      <w:r>
        <w:t>ss..</w:t>
      </w:r>
      <w:proofErr w:type="gramEnd"/>
    </w:p>
  </w:footnote>
  <w:footnote w:id="17">
    <w:p w14:paraId="62ED2CB2" w14:textId="77777777" w:rsidR="008707DE" w:rsidRDefault="008707DE" w:rsidP="008707DE">
      <w:pPr>
        <w:pStyle w:val="Testonotaapidipagina"/>
      </w:pPr>
      <w:r>
        <w:rPr>
          <w:rStyle w:val="Rimandonotaapidipagina"/>
          <w:rFonts w:eastAsiaTheme="majorEastAsia"/>
        </w:rPr>
        <w:footnoteRef/>
      </w:r>
      <w:r>
        <w:t xml:space="preserve"> spec. 78 </w:t>
      </w:r>
      <w:proofErr w:type="gramStart"/>
      <w:r>
        <w:t>ss..</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7D6"/>
    <w:multiLevelType w:val="hybridMultilevel"/>
    <w:tmpl w:val="2B608B0E"/>
    <w:lvl w:ilvl="0" w:tplc="73AE6E1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2C3948"/>
    <w:multiLevelType w:val="hybridMultilevel"/>
    <w:tmpl w:val="22881B6C"/>
    <w:lvl w:ilvl="0" w:tplc="EA9E2C1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7021424">
    <w:abstractNumId w:val="1"/>
  </w:num>
  <w:num w:numId="2" w16cid:durableId="122047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90"/>
    <w:rsid w:val="000927B5"/>
    <w:rsid w:val="00094416"/>
    <w:rsid w:val="000D5119"/>
    <w:rsid w:val="001A247B"/>
    <w:rsid w:val="001B500B"/>
    <w:rsid w:val="001C3FF4"/>
    <w:rsid w:val="001C427D"/>
    <w:rsid w:val="002066E5"/>
    <w:rsid w:val="002333FB"/>
    <w:rsid w:val="002A68EF"/>
    <w:rsid w:val="002D5EB8"/>
    <w:rsid w:val="00315794"/>
    <w:rsid w:val="00333804"/>
    <w:rsid w:val="0033449C"/>
    <w:rsid w:val="00386829"/>
    <w:rsid w:val="003D0D9A"/>
    <w:rsid w:val="00401423"/>
    <w:rsid w:val="00406D18"/>
    <w:rsid w:val="00490125"/>
    <w:rsid w:val="004A4351"/>
    <w:rsid w:val="004C5DA7"/>
    <w:rsid w:val="00511976"/>
    <w:rsid w:val="00535641"/>
    <w:rsid w:val="00560EA2"/>
    <w:rsid w:val="006020DD"/>
    <w:rsid w:val="00650E4C"/>
    <w:rsid w:val="0067617B"/>
    <w:rsid w:val="0073513D"/>
    <w:rsid w:val="00752D02"/>
    <w:rsid w:val="0076707A"/>
    <w:rsid w:val="007C3758"/>
    <w:rsid w:val="007C3A97"/>
    <w:rsid w:val="008707DE"/>
    <w:rsid w:val="008E4AE5"/>
    <w:rsid w:val="00915FEC"/>
    <w:rsid w:val="00932D90"/>
    <w:rsid w:val="00964B55"/>
    <w:rsid w:val="009A5011"/>
    <w:rsid w:val="009D7899"/>
    <w:rsid w:val="00A32408"/>
    <w:rsid w:val="00A872E7"/>
    <w:rsid w:val="00A974CE"/>
    <w:rsid w:val="00AA1215"/>
    <w:rsid w:val="00B15AC7"/>
    <w:rsid w:val="00B16124"/>
    <w:rsid w:val="00BA68B3"/>
    <w:rsid w:val="00BE721E"/>
    <w:rsid w:val="00C40EF1"/>
    <w:rsid w:val="00C74A4E"/>
    <w:rsid w:val="00CC1B29"/>
    <w:rsid w:val="00DA47CE"/>
    <w:rsid w:val="00DE63A4"/>
    <w:rsid w:val="00E0670F"/>
    <w:rsid w:val="00E62669"/>
    <w:rsid w:val="00E62E71"/>
    <w:rsid w:val="00EC784B"/>
    <w:rsid w:val="00F065DA"/>
    <w:rsid w:val="00F23D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2B8B33"/>
  <w15:chartTrackingRefBased/>
  <w15:docId w15:val="{2CB55204-E270-4AAC-8794-C1EA0D7C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32D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932D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932D90"/>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932D90"/>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932D90"/>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932D9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32D9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2D9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2D9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2D90"/>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932D90"/>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932D90"/>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932D90"/>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932D90"/>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932D9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2D9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2D9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2D9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2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2D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2D9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2D9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2D9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2D90"/>
    <w:rPr>
      <w:i/>
      <w:iCs/>
      <w:color w:val="404040" w:themeColor="text1" w:themeTint="BF"/>
    </w:rPr>
  </w:style>
  <w:style w:type="paragraph" w:styleId="Paragrafoelenco">
    <w:name w:val="List Paragraph"/>
    <w:basedOn w:val="Normale"/>
    <w:uiPriority w:val="34"/>
    <w:qFormat/>
    <w:rsid w:val="00932D90"/>
    <w:pPr>
      <w:ind w:left="720"/>
      <w:contextualSpacing/>
    </w:pPr>
  </w:style>
  <w:style w:type="character" w:styleId="Enfasiintensa">
    <w:name w:val="Intense Emphasis"/>
    <w:basedOn w:val="Carpredefinitoparagrafo"/>
    <w:uiPriority w:val="21"/>
    <w:qFormat/>
    <w:rsid w:val="00932D90"/>
    <w:rPr>
      <w:i/>
      <w:iCs/>
      <w:color w:val="2E74B5" w:themeColor="accent1" w:themeShade="BF"/>
    </w:rPr>
  </w:style>
  <w:style w:type="paragraph" w:styleId="Citazioneintensa">
    <w:name w:val="Intense Quote"/>
    <w:basedOn w:val="Normale"/>
    <w:next w:val="Normale"/>
    <w:link w:val="CitazioneintensaCarattere"/>
    <w:uiPriority w:val="30"/>
    <w:qFormat/>
    <w:rsid w:val="00932D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932D90"/>
    <w:rPr>
      <w:i/>
      <w:iCs/>
      <w:color w:val="2E74B5" w:themeColor="accent1" w:themeShade="BF"/>
    </w:rPr>
  </w:style>
  <w:style w:type="character" w:styleId="Riferimentointenso">
    <w:name w:val="Intense Reference"/>
    <w:basedOn w:val="Carpredefinitoparagrafo"/>
    <w:uiPriority w:val="32"/>
    <w:qFormat/>
    <w:rsid w:val="00932D90"/>
    <w:rPr>
      <w:b/>
      <w:bCs/>
      <w:smallCaps/>
      <w:color w:val="2E74B5" w:themeColor="accent1" w:themeShade="BF"/>
      <w:spacing w:val="5"/>
    </w:rPr>
  </w:style>
  <w:style w:type="paragraph" w:styleId="Testonotaapidipagina">
    <w:name w:val="footnote text"/>
    <w:basedOn w:val="Normale"/>
    <w:link w:val="TestonotaapidipaginaCarattere"/>
    <w:semiHidden/>
    <w:rsid w:val="008707DE"/>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8707DE"/>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8707DE"/>
    <w:rPr>
      <w:vertAlign w:val="superscript"/>
    </w:rPr>
  </w:style>
  <w:style w:type="character" w:styleId="Enfasicorsivo">
    <w:name w:val="Emphasis"/>
    <w:basedOn w:val="Carpredefinitoparagrafo"/>
    <w:uiPriority w:val="20"/>
    <w:qFormat/>
    <w:rsid w:val="00AA1215"/>
    <w:rPr>
      <w:i/>
      <w:iCs/>
    </w:rPr>
  </w:style>
  <w:style w:type="paragraph" w:styleId="Intestazione">
    <w:name w:val="header"/>
    <w:basedOn w:val="Normale"/>
    <w:link w:val="IntestazioneCarattere"/>
    <w:uiPriority w:val="99"/>
    <w:unhideWhenUsed/>
    <w:rsid w:val="000927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27B5"/>
  </w:style>
  <w:style w:type="paragraph" w:styleId="Pidipagina">
    <w:name w:val="footer"/>
    <w:basedOn w:val="Normale"/>
    <w:link w:val="PidipaginaCarattere"/>
    <w:uiPriority w:val="99"/>
    <w:unhideWhenUsed/>
    <w:rsid w:val="000927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4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A0EED-B933-4A8F-BD6F-ED8F1D35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3573</Words>
  <Characters>20370</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Patroni Griffi</dc:creator>
  <cp:keywords/>
  <dc:description/>
  <cp:lastModifiedBy>Antonella Monticelli</cp:lastModifiedBy>
  <cp:revision>2</cp:revision>
  <cp:lastPrinted>2025-02-05T09:56:00Z</cp:lastPrinted>
  <dcterms:created xsi:type="dcterms:W3CDTF">2025-02-13T10:05:00Z</dcterms:created>
  <dcterms:modified xsi:type="dcterms:W3CDTF">2025-02-13T10:05:00Z</dcterms:modified>
</cp:coreProperties>
</file>