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3C32" w14:textId="77777777" w:rsidR="00665989" w:rsidRPr="00665989" w:rsidRDefault="00665989" w:rsidP="00665989">
      <w:pPr>
        <w:pBdr>
          <w:top w:val="single" w:sz="4" w:space="1" w:color="auto"/>
          <w:left w:val="single" w:sz="4" w:space="4" w:color="auto"/>
          <w:bottom w:val="single" w:sz="4" w:space="1" w:color="auto"/>
          <w:right w:val="single" w:sz="4" w:space="4" w:color="auto"/>
        </w:pBdr>
        <w:ind w:right="-1"/>
        <w:jc w:val="center"/>
      </w:pPr>
      <w:r w:rsidRPr="00665989">
        <w:t>Nicola Durante</w:t>
      </w:r>
      <w:r w:rsidR="00F825B9">
        <w:t xml:space="preserve"> </w:t>
      </w:r>
      <w:r w:rsidR="00F825B9" w:rsidRPr="0070251D">
        <w:rPr>
          <w:b/>
          <w:vertAlign w:val="superscript"/>
        </w:rPr>
        <w:t>(*)</w:t>
      </w:r>
    </w:p>
    <w:p w14:paraId="6D9712D8" w14:textId="77777777" w:rsidR="00515ADF" w:rsidRPr="00B11CE3" w:rsidRDefault="00515ADF" w:rsidP="00665989">
      <w:pPr>
        <w:pBdr>
          <w:top w:val="single" w:sz="4" w:space="1" w:color="auto"/>
          <w:left w:val="single" w:sz="4" w:space="4" w:color="auto"/>
          <w:bottom w:val="single" w:sz="4" w:space="1" w:color="auto"/>
          <w:right w:val="single" w:sz="4" w:space="4" w:color="auto"/>
        </w:pBdr>
        <w:ind w:right="-1"/>
        <w:jc w:val="center"/>
        <w:rPr>
          <w:b/>
        </w:rPr>
      </w:pPr>
      <w:r w:rsidRPr="00B11CE3">
        <w:rPr>
          <w:b/>
        </w:rPr>
        <w:t>L’onere della prova nel processo tributario</w:t>
      </w:r>
      <w:r w:rsidR="0070251D" w:rsidRPr="00B11CE3">
        <w:t xml:space="preserve"> </w:t>
      </w:r>
      <w:r w:rsidR="0070251D" w:rsidRPr="00B11CE3">
        <w:rPr>
          <w:vertAlign w:val="superscript"/>
        </w:rPr>
        <w:t>(</w:t>
      </w:r>
      <w:r w:rsidR="00F825B9" w:rsidRPr="00B11CE3">
        <w:rPr>
          <w:vertAlign w:val="superscript"/>
        </w:rPr>
        <w:t>*</w:t>
      </w:r>
      <w:r w:rsidR="0070251D" w:rsidRPr="00B11CE3">
        <w:rPr>
          <w:vertAlign w:val="superscript"/>
        </w:rPr>
        <w:t>*)</w:t>
      </w:r>
    </w:p>
    <w:p w14:paraId="57BAC9A6" w14:textId="77777777" w:rsidR="00665989" w:rsidRDefault="00665989" w:rsidP="008B5A2A">
      <w:pPr>
        <w:ind w:right="-1" w:firstLine="567"/>
      </w:pPr>
    </w:p>
    <w:p w14:paraId="33D6D5C6" w14:textId="77777777" w:rsidR="00603F06" w:rsidRDefault="00384813" w:rsidP="008B5A2A">
      <w:pPr>
        <w:ind w:right="-1" w:firstLine="567"/>
      </w:pPr>
      <w:r>
        <w:t>L’art. 7,</w:t>
      </w:r>
      <w:r w:rsidR="00C03746">
        <w:t xml:space="preserve"> comma </w:t>
      </w:r>
      <w:r w:rsidR="00C03746" w:rsidRPr="00CA6F85">
        <w:t>5-</w:t>
      </w:r>
      <w:r w:rsidR="00C03746" w:rsidRPr="008A0A3B">
        <w:rPr>
          <w:i/>
        </w:rPr>
        <w:t>bis</w:t>
      </w:r>
      <w:r>
        <w:t xml:space="preserve">, </w:t>
      </w:r>
      <w:r w:rsidR="00230C26">
        <w:t xml:space="preserve">del </w:t>
      </w:r>
      <w:r w:rsidR="00333833">
        <w:t>d.lgs. 546/1992</w:t>
      </w:r>
      <w:r w:rsidR="00C03746">
        <w:t xml:space="preserve">, </w:t>
      </w:r>
      <w:r w:rsidR="001A3325" w:rsidRPr="001A3325">
        <w:t xml:space="preserve">aggiunto dalla legge n. 130/2022 ed in vigore </w:t>
      </w:r>
      <w:r w:rsidR="00C03746" w:rsidRPr="001A3325">
        <w:t xml:space="preserve">dal </w:t>
      </w:r>
      <w:r w:rsidR="00C03746" w:rsidRPr="0021371D">
        <w:t>16</w:t>
      </w:r>
      <w:r w:rsidR="00665989">
        <w:t xml:space="preserve"> settembre </w:t>
      </w:r>
      <w:r w:rsidR="00C03746" w:rsidRPr="0021371D">
        <w:t>2022</w:t>
      </w:r>
      <w:r w:rsidR="001A3325">
        <w:t>, recita: “</w:t>
      </w:r>
      <w:r w:rsidR="00420B11">
        <w:t>l</w:t>
      </w:r>
      <w:r w:rsidR="00CA6F85">
        <w:t>’</w:t>
      </w:r>
      <w:r w:rsidR="00603F06" w:rsidRPr="00CA6F85">
        <w:t>amministrazione prova in giudizio le violazioni</w:t>
      </w:r>
      <w:r w:rsidR="00CA6F85" w:rsidRPr="00CA6F85">
        <w:t xml:space="preserve"> </w:t>
      </w:r>
      <w:r w:rsidR="00603F06" w:rsidRPr="00CA6F85">
        <w:t>contestate con l</w:t>
      </w:r>
      <w:r w:rsidR="00CA6F85">
        <w:t>’</w:t>
      </w:r>
      <w:r w:rsidR="00603F06" w:rsidRPr="00CA6F85">
        <w:t>atto impugnato. Il giudice fonda la</w:t>
      </w:r>
      <w:r w:rsidR="00CA6F85">
        <w:t xml:space="preserve"> </w:t>
      </w:r>
      <w:r w:rsidR="00603F06" w:rsidRPr="00CA6F85">
        <w:t>decisione sugli elementi di prova che emergono nel</w:t>
      </w:r>
      <w:r w:rsidR="00CA6F85" w:rsidRPr="00CA6F85">
        <w:t xml:space="preserve"> </w:t>
      </w:r>
      <w:r w:rsidR="00603F06" w:rsidRPr="00CA6F85">
        <w:t>giudizio e annulla l</w:t>
      </w:r>
      <w:r w:rsidR="00CA6F85">
        <w:t>’</w:t>
      </w:r>
      <w:r w:rsidR="00603F06" w:rsidRPr="00CA6F85">
        <w:t>atto impositivo se la prova della sua</w:t>
      </w:r>
      <w:r w:rsidR="00CA6F85">
        <w:t xml:space="preserve"> </w:t>
      </w:r>
      <w:r w:rsidR="00603F06" w:rsidRPr="00CA6F85">
        <w:t>fondatezza manca o è contraddittoria o se è comunque</w:t>
      </w:r>
      <w:r w:rsidR="00CA6F85" w:rsidRPr="00CA6F85">
        <w:t xml:space="preserve"> </w:t>
      </w:r>
      <w:r w:rsidR="00603F06" w:rsidRPr="00CA6F85">
        <w:t>insufficiente a dimostrare, in modo circostanziato e</w:t>
      </w:r>
      <w:r w:rsidR="00CA6F85">
        <w:t xml:space="preserve"> </w:t>
      </w:r>
      <w:r w:rsidR="00603F06" w:rsidRPr="00CA6F85">
        <w:t>puntuale, comunque in coerenza con la normativa</w:t>
      </w:r>
      <w:r w:rsidR="00CA6F85" w:rsidRPr="00CA6F85">
        <w:t xml:space="preserve"> </w:t>
      </w:r>
      <w:r w:rsidR="00603F06" w:rsidRPr="00CA6F85">
        <w:t>tributaria sostanziale, le ragioni oggettive su cui si</w:t>
      </w:r>
      <w:r w:rsidR="00CA6F85">
        <w:t xml:space="preserve"> </w:t>
      </w:r>
      <w:r w:rsidR="00603F06" w:rsidRPr="00CA6F85">
        <w:t>fondano la pretesa impositiva e l</w:t>
      </w:r>
      <w:r w:rsidR="00CA6F85">
        <w:t>’</w:t>
      </w:r>
      <w:r w:rsidR="00603F06" w:rsidRPr="00CA6F85">
        <w:t>irrogazione delle</w:t>
      </w:r>
      <w:r w:rsidR="00CA6F85" w:rsidRPr="00CA6F85">
        <w:t xml:space="preserve"> </w:t>
      </w:r>
      <w:r w:rsidR="00603F06" w:rsidRPr="00CA6F85">
        <w:t>sanzioni. Spetta comunque al contribuente fornire le</w:t>
      </w:r>
      <w:r w:rsidR="00CA6F85">
        <w:t xml:space="preserve"> </w:t>
      </w:r>
      <w:r w:rsidR="00603F06" w:rsidRPr="00CA6F85">
        <w:t>ragioni della richiesta di rimborso, quando non sia</w:t>
      </w:r>
      <w:r w:rsidR="00CA6F85" w:rsidRPr="00CA6F85">
        <w:t xml:space="preserve"> </w:t>
      </w:r>
      <w:r w:rsidR="00603F06" w:rsidRPr="00CA6F85">
        <w:t>conseguente al pagamento di somme oggetto di</w:t>
      </w:r>
      <w:r w:rsidR="00CA6F85">
        <w:t xml:space="preserve"> accertamenti impugnati</w:t>
      </w:r>
      <w:r w:rsidR="001A3325">
        <w:t>”</w:t>
      </w:r>
      <w:r w:rsidR="00CA6F85">
        <w:t>.</w:t>
      </w:r>
    </w:p>
    <w:p w14:paraId="53D3D90E" w14:textId="77777777" w:rsidR="00464DB4" w:rsidRDefault="001A3325" w:rsidP="008B5A2A">
      <w:pPr>
        <w:ind w:right="-1" w:firstLine="567"/>
      </w:pPr>
      <w:r>
        <w:t>La giurisprudenza, sia di legittimità</w:t>
      </w:r>
      <w:r w:rsidRPr="00342D74">
        <w:t xml:space="preserve"> </w:t>
      </w:r>
      <w:r>
        <w:t xml:space="preserve">che di merito, ha </w:t>
      </w:r>
      <w:r w:rsidR="008A0A3B">
        <w:t>relega</w:t>
      </w:r>
      <w:r>
        <w:t xml:space="preserve">to la norma </w:t>
      </w:r>
      <w:r w:rsidR="008A0A3B">
        <w:t xml:space="preserve">ad </w:t>
      </w:r>
      <w:r>
        <w:t xml:space="preserve">una </w:t>
      </w:r>
      <w:r w:rsidR="008A0A3B">
        <w:t xml:space="preserve">funzione essenzialmente </w:t>
      </w:r>
      <w:r w:rsidR="00E33589">
        <w:t>ricognitiva</w:t>
      </w:r>
      <w:r w:rsidR="00515ADF">
        <w:t xml:space="preserve"> dell’assetto </w:t>
      </w:r>
      <w:r w:rsidR="002A77B4">
        <w:t xml:space="preserve">normativo </w:t>
      </w:r>
      <w:r w:rsidR="00515ADF">
        <w:t>p</w:t>
      </w:r>
      <w:r w:rsidR="002A77B4">
        <w:t>recedente</w:t>
      </w:r>
      <w:r w:rsidR="00A91C90">
        <w:t>, affermando che essa:</w:t>
      </w:r>
    </w:p>
    <w:p w14:paraId="013ADCE9" w14:textId="77777777" w:rsidR="001A3325" w:rsidRPr="0021371D" w:rsidRDefault="001A3325" w:rsidP="008B5A2A">
      <w:pPr>
        <w:ind w:right="-1" w:firstLine="567"/>
      </w:pPr>
      <w:r>
        <w:t>-</w:t>
      </w:r>
      <w:r w:rsidRPr="0021371D">
        <w:t xml:space="preserve"> non stabilisce un onere probatorio diverso, o più gravoso, rispetto ai princip</w:t>
      </w:r>
      <w:r w:rsidR="00A91C90">
        <w:rPr>
          <w:rFonts w:cs="Times New Roman"/>
        </w:rPr>
        <w:t>î</w:t>
      </w:r>
      <w:r w:rsidRPr="0021371D">
        <w:t xml:space="preserve"> già vigenti in materia, ma è coerente con le ulteriori modifiche legislative in tema di prova, che assegnano all’istruttoria d</w:t>
      </w:r>
      <w:r>
        <w:t>ibattimentale un ruolo centrale</w:t>
      </w:r>
      <w:r>
        <w:rPr>
          <w:rStyle w:val="Rimandonotaapidipagina"/>
        </w:rPr>
        <w:footnoteReference w:id="1"/>
      </w:r>
      <w:r>
        <w:t>;</w:t>
      </w:r>
    </w:p>
    <w:p w14:paraId="4A397C8F" w14:textId="77777777" w:rsidR="00CC6A21" w:rsidRDefault="004A35AD" w:rsidP="00CC6A21">
      <w:pPr>
        <w:ind w:right="-1" w:firstLine="567"/>
      </w:pPr>
      <w:r>
        <w:t xml:space="preserve">- </w:t>
      </w:r>
      <w:r w:rsidRPr="0021371D">
        <w:t xml:space="preserve">non </w:t>
      </w:r>
      <w:r w:rsidR="00384813">
        <w:t>vieta</w:t>
      </w:r>
      <w:r w:rsidRPr="0021371D">
        <w:t xml:space="preserve"> </w:t>
      </w:r>
      <w:r w:rsidR="00665989">
        <w:t>il ricorso al</w:t>
      </w:r>
      <w:r w:rsidRPr="0021371D">
        <w:t>le presunzioni sem</w:t>
      </w:r>
      <w:r w:rsidR="00A91C90">
        <w:t>plici</w:t>
      </w:r>
      <w:r>
        <w:t xml:space="preserve"> </w:t>
      </w:r>
      <w:r w:rsidRPr="00A91C90">
        <w:rPr>
          <w:i/>
        </w:rPr>
        <w:t>ex</w:t>
      </w:r>
      <w:r>
        <w:t xml:space="preserve"> artt. 2727 e ss. c.c.</w:t>
      </w:r>
      <w:r>
        <w:rPr>
          <w:rStyle w:val="Rimandonotaapidipagina"/>
        </w:rPr>
        <w:footnoteReference w:id="2"/>
      </w:r>
      <w:r w:rsidR="001C615C">
        <w:t xml:space="preserve"> e</w:t>
      </w:r>
      <w:r w:rsidR="00665989">
        <w:t>d</w:t>
      </w:r>
      <w:r w:rsidR="008A0A3B">
        <w:t xml:space="preserve"> </w:t>
      </w:r>
      <w:r w:rsidR="00665989">
        <w:t>al</w:t>
      </w:r>
      <w:r w:rsidR="00A91C90">
        <w:t xml:space="preserve">le </w:t>
      </w:r>
      <w:r w:rsidR="00A91C90" w:rsidRPr="0021371D">
        <w:t>presunzioni legali</w:t>
      </w:r>
      <w:r w:rsidR="00A91C90">
        <w:rPr>
          <w:rStyle w:val="Rimandonotaapidipagina"/>
        </w:rPr>
        <w:footnoteReference w:id="3"/>
      </w:r>
      <w:r w:rsidR="001A3325" w:rsidRPr="0021371D">
        <w:t xml:space="preserve">, </w:t>
      </w:r>
      <w:r w:rsidR="004950C1">
        <w:t>trami</w:t>
      </w:r>
      <w:r w:rsidR="008A0A3B">
        <w:t>te</w:t>
      </w:r>
      <w:r w:rsidR="001C615C">
        <w:t xml:space="preserve"> cui si </w:t>
      </w:r>
      <w:r w:rsidR="004950C1">
        <w:t>r</w:t>
      </w:r>
      <w:r w:rsidR="00665989">
        <w:t>e</w:t>
      </w:r>
      <w:r w:rsidR="001C615C">
        <w:t>a</w:t>
      </w:r>
      <w:r w:rsidR="00665989">
        <w:t>lizza</w:t>
      </w:r>
      <w:r w:rsidR="00A91C90">
        <w:t xml:space="preserve"> </w:t>
      </w:r>
      <w:r w:rsidR="001A3325" w:rsidRPr="0021371D">
        <w:t>l’</w:t>
      </w:r>
      <w:r w:rsidR="008A0A3B">
        <w:t>inversione dell’</w:t>
      </w:r>
      <w:r w:rsidR="001A3325" w:rsidRPr="0021371D">
        <w:t>onere della </w:t>
      </w:r>
      <w:bookmarkStart w:id="0" w:name="hitN165EA058.14B83AE8"/>
      <w:r w:rsidR="001A3325" w:rsidRPr="0021371D">
        <w:t>prova</w:t>
      </w:r>
      <w:bookmarkEnd w:id="0"/>
      <w:r w:rsidR="001A3325" w:rsidRPr="0021371D">
        <w:t> </w:t>
      </w:r>
      <w:r w:rsidR="004950C1">
        <w:t>in capo a</w:t>
      </w:r>
      <w:r w:rsidR="008A0A3B">
        <w:t>l contribuente</w:t>
      </w:r>
      <w:r>
        <w:t>.</w:t>
      </w:r>
    </w:p>
    <w:p w14:paraId="1A6C5058" w14:textId="77777777" w:rsidR="006D709C" w:rsidRDefault="004A35AD" w:rsidP="008B5A2A">
      <w:pPr>
        <w:ind w:right="-1" w:firstLine="567"/>
      </w:pPr>
      <w:r>
        <w:t>Di ben diverso avviso è la d</w:t>
      </w:r>
      <w:r w:rsidR="0046181B">
        <w:t>ottrina</w:t>
      </w:r>
      <w:r w:rsidR="00FA415A">
        <w:t xml:space="preserve"> </w:t>
      </w:r>
      <w:r w:rsidR="00384813">
        <w:t>pressoché unitaria</w:t>
      </w:r>
      <w:r w:rsidR="00FA415A">
        <w:t>,</w:t>
      </w:r>
      <w:r w:rsidR="00704FBB">
        <w:t xml:space="preserve"> la quale</w:t>
      </w:r>
      <w:r w:rsidR="003928E7">
        <w:t>,</w:t>
      </w:r>
      <w:r w:rsidR="00704FBB">
        <w:t xml:space="preserve"> </w:t>
      </w:r>
      <w:r w:rsidR="00FA415A">
        <w:t>muove</w:t>
      </w:r>
      <w:r w:rsidR="003928E7">
        <w:t>nd</w:t>
      </w:r>
      <w:r w:rsidR="00675EA1">
        <w:t xml:space="preserve">o </w:t>
      </w:r>
      <w:r w:rsidR="00FA415A">
        <w:t>da</w:t>
      </w:r>
      <w:r w:rsidR="00792CF8">
        <w:t>l</w:t>
      </w:r>
      <w:r w:rsidR="00675EA1">
        <w:t xml:space="preserve"> parallelismo </w:t>
      </w:r>
      <w:r w:rsidR="00792CF8">
        <w:t xml:space="preserve">lessicale </w:t>
      </w:r>
      <w:r w:rsidR="00675EA1">
        <w:t>con l’art. 530, comma 2, c.p.p.</w:t>
      </w:r>
      <w:r w:rsidR="00792CF8">
        <w:rPr>
          <w:rStyle w:val="Rimandonotaapidipagina"/>
        </w:rPr>
        <w:footnoteReference w:id="4"/>
      </w:r>
      <w:r w:rsidR="00675EA1">
        <w:t xml:space="preserve">, </w:t>
      </w:r>
      <w:r w:rsidR="004950C1">
        <w:t>parla</w:t>
      </w:r>
      <w:r w:rsidR="00792CF8">
        <w:t xml:space="preserve"> </w:t>
      </w:r>
      <w:r w:rsidR="003928E7">
        <w:t>di</w:t>
      </w:r>
      <w:r w:rsidR="00792CF8">
        <w:t xml:space="preserve"> </w:t>
      </w:r>
      <w:r w:rsidR="00A91C90">
        <w:t xml:space="preserve">un </w:t>
      </w:r>
      <w:r w:rsidR="003928E7">
        <w:t>“</w:t>
      </w:r>
      <w:r w:rsidR="00DF3F87" w:rsidRPr="00704FBB">
        <w:t>avvicin</w:t>
      </w:r>
      <w:r w:rsidR="001F6392">
        <w:t>a</w:t>
      </w:r>
      <w:r w:rsidR="003928E7">
        <w:t>m</w:t>
      </w:r>
      <w:r w:rsidR="001F6392">
        <w:t>e</w:t>
      </w:r>
      <w:r w:rsidR="003928E7">
        <w:t>nto</w:t>
      </w:r>
      <w:r w:rsidR="001F6392">
        <w:t xml:space="preserve"> </w:t>
      </w:r>
      <w:r w:rsidR="003928E7">
        <w:t>del</w:t>
      </w:r>
      <w:r w:rsidR="00DF3F87" w:rsidRPr="00704FBB">
        <w:t xml:space="preserve">la </w:t>
      </w:r>
      <w:r w:rsidR="00DF3F87" w:rsidRPr="00704FBB">
        <w:lastRenderedPageBreak/>
        <w:t>materia tributaria alla materia penale per quel che riguarda il riparto degli oneri probatori</w:t>
      </w:r>
      <w:r w:rsidR="00DF3F87">
        <w:t>”</w:t>
      </w:r>
      <w:r w:rsidR="00DF3F87">
        <w:rPr>
          <w:rStyle w:val="Rimandonotaapidipagina"/>
        </w:rPr>
        <w:footnoteReference w:id="5"/>
      </w:r>
      <w:r w:rsidR="00792CF8">
        <w:t>,</w:t>
      </w:r>
      <w:r w:rsidR="00675EA1">
        <w:t xml:space="preserve"> </w:t>
      </w:r>
      <w:r w:rsidR="00665989">
        <w:t>mediant</w:t>
      </w:r>
      <w:r w:rsidR="000C661D">
        <w:t>e</w:t>
      </w:r>
      <w:r w:rsidR="00665989">
        <w:t xml:space="preserve"> i</w:t>
      </w:r>
      <w:r w:rsidR="000C661D">
        <w:t>l</w:t>
      </w:r>
      <w:r w:rsidR="00574307">
        <w:t xml:space="preserve"> </w:t>
      </w:r>
      <w:r w:rsidR="004950C1">
        <w:t>recep</w:t>
      </w:r>
      <w:r w:rsidR="00384813">
        <w:t>iment</w:t>
      </w:r>
      <w:r w:rsidR="00792CF8">
        <w:t xml:space="preserve">o </w:t>
      </w:r>
      <w:r w:rsidR="00384813">
        <w:t xml:space="preserve">della </w:t>
      </w:r>
      <w:r w:rsidR="00792CF8">
        <w:t>“</w:t>
      </w:r>
      <w:r w:rsidR="00792CF8" w:rsidRPr="00704FBB">
        <w:t>impronta garantist</w:t>
      </w:r>
      <w:r w:rsidR="006D709C">
        <w:t>a</w:t>
      </w:r>
      <w:r w:rsidR="00792CF8" w:rsidRPr="00704FBB">
        <w:t xml:space="preserve"> che connota il processo penale, in considerazione delle implicazioni che l</w:t>
      </w:r>
      <w:r w:rsidR="00792CF8">
        <w:t>’</w:t>
      </w:r>
      <w:r w:rsidR="00792CF8" w:rsidRPr="00704FBB">
        <w:t>accertamento tributario e l</w:t>
      </w:r>
      <w:r w:rsidR="00792CF8">
        <w:t>’</w:t>
      </w:r>
      <w:r w:rsidR="00792CF8" w:rsidRPr="00704FBB">
        <w:t>irrogazione delle connesse sanzioni possono avere sulla dignità e sulla reputazione dei contribuenti</w:t>
      </w:r>
      <w:r w:rsidR="00792CF8">
        <w:t>”</w:t>
      </w:r>
      <w:r w:rsidR="00792CF8">
        <w:rPr>
          <w:rStyle w:val="Rimandonotaapidipagina"/>
        </w:rPr>
        <w:footnoteReference w:id="6"/>
      </w:r>
      <w:r w:rsidR="006D709C">
        <w:t>.</w:t>
      </w:r>
    </w:p>
    <w:p w14:paraId="48530F78" w14:textId="77777777" w:rsidR="00675EA1" w:rsidRDefault="00FA415A" w:rsidP="008B5A2A">
      <w:pPr>
        <w:ind w:right="-1" w:firstLine="567"/>
      </w:pPr>
      <w:r>
        <w:t>L</w:t>
      </w:r>
      <w:r w:rsidR="006D709C">
        <w:t xml:space="preserve">a novella </w:t>
      </w:r>
      <w:r w:rsidR="00665989">
        <w:t>ha</w:t>
      </w:r>
      <w:r>
        <w:t xml:space="preserve"> </w:t>
      </w:r>
      <w:r w:rsidR="00675EA1">
        <w:t>importa</w:t>
      </w:r>
      <w:r w:rsidR="001F6392">
        <w:t xml:space="preserve">to </w:t>
      </w:r>
      <w:r w:rsidR="00753D94">
        <w:t>“</w:t>
      </w:r>
      <w:r w:rsidR="00A91C90">
        <w:t xml:space="preserve">per </w:t>
      </w:r>
      <w:r w:rsidR="00A91C90" w:rsidRPr="00704FBB">
        <w:t>osmosi</w:t>
      </w:r>
      <w:r w:rsidR="00753D94">
        <w:t>”</w:t>
      </w:r>
      <w:r w:rsidR="00A91C90">
        <w:t xml:space="preserve"> </w:t>
      </w:r>
      <w:r w:rsidR="003928E7">
        <w:t>nel</w:t>
      </w:r>
      <w:r w:rsidR="003928E7" w:rsidRPr="00704FBB">
        <w:t>la giurisdizione</w:t>
      </w:r>
      <w:r w:rsidR="003928E7">
        <w:t xml:space="preserve"> tributaria “</w:t>
      </w:r>
      <w:r w:rsidR="001F6392">
        <w:t xml:space="preserve">la </w:t>
      </w:r>
      <w:r w:rsidR="00675EA1" w:rsidRPr="00704FBB">
        <w:t>straordinaria cultura della prova che risiede nell</w:t>
      </w:r>
      <w:r w:rsidR="00792CF8">
        <w:t>’</w:t>
      </w:r>
      <w:r w:rsidR="00675EA1" w:rsidRPr="00704FBB">
        <w:t>ambiente giuridico penale</w:t>
      </w:r>
      <w:r w:rsidR="00675EA1">
        <w:t>”</w:t>
      </w:r>
      <w:r w:rsidR="00792CF8">
        <w:rPr>
          <w:rStyle w:val="Rimandonotaapidipagina"/>
        </w:rPr>
        <w:footnoteReference w:id="7"/>
      </w:r>
      <w:r w:rsidR="006D709C">
        <w:t>,</w:t>
      </w:r>
      <w:r w:rsidR="006D709C" w:rsidRPr="006D709C">
        <w:t xml:space="preserve"> </w:t>
      </w:r>
      <w:r w:rsidR="004950C1">
        <w:t>allo scopo di</w:t>
      </w:r>
      <w:r w:rsidR="001A6E06">
        <w:t xml:space="preserve"> “</w:t>
      </w:r>
      <w:r w:rsidR="006D709C" w:rsidRPr="00704FBB">
        <w:t>legittima</w:t>
      </w:r>
      <w:r w:rsidR="001A6E06">
        <w:t>re</w:t>
      </w:r>
      <w:r w:rsidR="006D709C" w:rsidRPr="00704FBB">
        <w:t xml:space="preserve"> sentenze d</w:t>
      </w:r>
      <w:r w:rsidR="006D709C">
        <w:t>’</w:t>
      </w:r>
      <w:r w:rsidR="006D709C" w:rsidRPr="00704FBB">
        <w:t>accertamento positive del diritto di credito soltanto se il corredo degli elementi di prova consenta al giudice di formarsi il conv</w:t>
      </w:r>
      <w:r w:rsidR="006D709C">
        <w:t xml:space="preserve">incimento della sua fondatezza </w:t>
      </w:r>
      <w:r w:rsidR="006D709C" w:rsidRPr="002A77B4">
        <w:rPr>
          <w:i/>
        </w:rPr>
        <w:t>al di là di ogni ragionevole dubbio</w:t>
      </w:r>
      <w:r w:rsidR="006D709C">
        <w:t>”</w:t>
      </w:r>
      <w:r w:rsidR="006D709C">
        <w:rPr>
          <w:rStyle w:val="Rimandonotaapidipagina"/>
        </w:rPr>
        <w:footnoteReference w:id="8"/>
      </w:r>
      <w:r w:rsidR="006D709C">
        <w:t>.</w:t>
      </w:r>
    </w:p>
    <w:p w14:paraId="35853DB8" w14:textId="77777777" w:rsidR="00607B5B" w:rsidRPr="00F67350" w:rsidRDefault="00297DF2" w:rsidP="008B5A2A">
      <w:pPr>
        <w:ind w:right="-1" w:firstLine="567"/>
        <w:rPr>
          <w:color w:val="212529"/>
          <w:lang w:eastAsia="it-IT"/>
        </w:rPr>
      </w:pPr>
      <w:r>
        <w:t>La norma, in altre parole, costituisce</w:t>
      </w:r>
      <w:r w:rsidRPr="00704FBB">
        <w:t xml:space="preserve"> una</w:t>
      </w:r>
      <w:r>
        <w:t xml:space="preserve"> vera e propria</w:t>
      </w:r>
      <w:r w:rsidRPr="00704FBB">
        <w:t xml:space="preserve"> </w:t>
      </w:r>
      <w:r>
        <w:t>“</w:t>
      </w:r>
      <w:r w:rsidRPr="002A77B4">
        <w:rPr>
          <w:i/>
        </w:rPr>
        <w:t>presunzione di innocenza</w:t>
      </w:r>
      <w:r w:rsidRPr="00704FBB">
        <w:t xml:space="preserve"> del contribuente anche nel processo tributario</w:t>
      </w:r>
      <w:r>
        <w:t>”</w:t>
      </w:r>
      <w:r w:rsidRPr="00E8181C">
        <w:rPr>
          <w:rStyle w:val="Rimandonotaapidipagina"/>
        </w:rPr>
        <w:footnoteReference w:id="9"/>
      </w:r>
      <w:r w:rsidR="00665989">
        <w:t>,</w:t>
      </w:r>
      <w:r>
        <w:t xml:space="preserve"> attraverso cui</w:t>
      </w:r>
      <w:r w:rsidR="00665989">
        <w:t xml:space="preserve"> </w:t>
      </w:r>
      <w:r w:rsidR="00787BE8">
        <w:t>“</w:t>
      </w:r>
      <w:r w:rsidR="00787BE8" w:rsidRPr="00704FBB">
        <w:t>il legislatore ha inteso trasferire nel processo tributario pa</w:t>
      </w:r>
      <w:r w:rsidR="003928E7">
        <w:t>rt</w:t>
      </w:r>
      <w:r w:rsidR="00787BE8" w:rsidRPr="00704FBB">
        <w:t>e dell</w:t>
      </w:r>
      <w:r w:rsidR="003928E7">
        <w:t>’</w:t>
      </w:r>
      <w:r w:rsidR="00787BE8" w:rsidRPr="00704FBB">
        <w:t>art. 530, secondo comma, c.p.p., là dove quest</w:t>
      </w:r>
      <w:r w:rsidR="001F6392">
        <w:t>’</w:t>
      </w:r>
      <w:r w:rsidR="00787BE8" w:rsidRPr="00704FBB">
        <w:t>ultimo prescrive, per l</w:t>
      </w:r>
      <w:r w:rsidR="00787BE8">
        <w:t>’</w:t>
      </w:r>
      <w:r w:rsidR="00787BE8" w:rsidRPr="00704FBB">
        <w:t>appunto, che il giudice pronuncia sentenza di assoluzione quando manca, è insufficiente o è contraddittoria la prova che il fatto sussiste</w:t>
      </w:r>
      <w:r w:rsidR="00787BE8">
        <w:t>”</w:t>
      </w:r>
      <w:r>
        <w:t>,</w:t>
      </w:r>
      <w:r w:rsidR="004950C1">
        <w:t xml:space="preserve"> e ciò </w:t>
      </w:r>
      <w:r w:rsidR="00665989">
        <w:t>è</w:t>
      </w:r>
      <w:r w:rsidR="004950C1">
        <w:t xml:space="preserve"> </w:t>
      </w:r>
      <w:r w:rsidR="00607B5B">
        <w:rPr>
          <w:color w:val="212529"/>
          <w:lang w:eastAsia="it-IT"/>
        </w:rPr>
        <w:t>a</w:t>
      </w:r>
      <w:r w:rsidR="004950C1">
        <w:rPr>
          <w:color w:val="212529"/>
          <w:lang w:eastAsia="it-IT"/>
        </w:rPr>
        <w:t xml:space="preserve">l </w:t>
      </w:r>
      <w:r w:rsidR="00BD03FC">
        <w:rPr>
          <w:color w:val="212529"/>
          <w:lang w:eastAsia="it-IT"/>
        </w:rPr>
        <w:t xml:space="preserve">preciso </w:t>
      </w:r>
      <w:r w:rsidR="004950C1">
        <w:rPr>
          <w:color w:val="212529"/>
          <w:lang w:eastAsia="it-IT"/>
        </w:rPr>
        <w:t>fine</w:t>
      </w:r>
      <w:r w:rsidR="00607B5B">
        <w:rPr>
          <w:color w:val="212529"/>
          <w:lang w:eastAsia="it-IT"/>
        </w:rPr>
        <w:t xml:space="preserve"> di </w:t>
      </w:r>
      <w:r w:rsidR="00607B5B" w:rsidRPr="00F67350">
        <w:rPr>
          <w:color w:val="212529"/>
          <w:lang w:eastAsia="it-IT"/>
        </w:rPr>
        <w:t>“</w:t>
      </w:r>
      <w:r w:rsidR="00607B5B" w:rsidRPr="00607B5B">
        <w:rPr>
          <w:iCs/>
          <w:color w:val="212529"/>
          <w:lang w:eastAsia="it-IT"/>
        </w:rPr>
        <w:t>metter</w:t>
      </w:r>
      <w:r w:rsidR="004950C1">
        <w:rPr>
          <w:iCs/>
          <w:color w:val="212529"/>
          <w:lang w:eastAsia="it-IT"/>
        </w:rPr>
        <w:t>e</w:t>
      </w:r>
      <w:r w:rsidR="00607B5B" w:rsidRPr="00607B5B">
        <w:rPr>
          <w:color w:val="212529"/>
          <w:lang w:eastAsia="it-IT"/>
        </w:rPr>
        <w:t> </w:t>
      </w:r>
      <w:r w:rsidR="00607B5B" w:rsidRPr="00607B5B">
        <w:rPr>
          <w:iCs/>
          <w:color w:val="212529"/>
          <w:lang w:eastAsia="it-IT"/>
        </w:rPr>
        <w:t>un argine alla deriva giurisprudenziale nel ricorrere con frequenza a presunzioni semplici a carico del contribuente che o sono </w:t>
      </w:r>
      <w:r w:rsidR="004950C1">
        <w:rPr>
          <w:color w:val="212529"/>
          <w:lang w:eastAsia="it-IT"/>
        </w:rPr>
        <w:t>…</w:t>
      </w:r>
      <w:r w:rsidR="00607B5B" w:rsidRPr="00607B5B">
        <w:rPr>
          <w:iCs/>
          <w:color w:val="212529"/>
          <w:lang w:eastAsia="it-IT"/>
        </w:rPr>
        <w:t> prive di valore inferenziale, o rilevano quali meri indizi come tali da soli non </w:t>
      </w:r>
      <w:r w:rsidR="00607B5B" w:rsidRPr="00607B5B">
        <w:rPr>
          <w:color w:val="212529"/>
          <w:lang w:eastAsia="it-IT"/>
        </w:rPr>
        <w:t>[idonei ad]</w:t>
      </w:r>
      <w:r w:rsidR="00607B5B" w:rsidRPr="00607B5B">
        <w:rPr>
          <w:iCs/>
          <w:color w:val="212529"/>
          <w:lang w:eastAsia="it-IT"/>
        </w:rPr>
        <w:t> assurgere a dignità di prova</w:t>
      </w:r>
      <w:r w:rsidR="00607B5B" w:rsidRPr="00F67350">
        <w:rPr>
          <w:color w:val="212529"/>
          <w:lang w:eastAsia="it-IT"/>
        </w:rPr>
        <w:t>”</w:t>
      </w:r>
      <w:r w:rsidR="00607B5B">
        <w:rPr>
          <w:rStyle w:val="Rimandonotaapidipagina"/>
        </w:rPr>
        <w:footnoteReference w:id="10"/>
      </w:r>
      <w:r w:rsidR="00607B5B" w:rsidRPr="00F67350">
        <w:rPr>
          <w:color w:val="212529"/>
          <w:lang w:eastAsia="it-IT"/>
        </w:rPr>
        <w:t>.</w:t>
      </w:r>
    </w:p>
    <w:p w14:paraId="539D8E7D" w14:textId="77777777" w:rsidR="00DE14FB" w:rsidRDefault="00297DF2" w:rsidP="00DE14FB">
      <w:pPr>
        <w:ind w:right="-1" w:firstLine="567"/>
      </w:pPr>
      <w:r>
        <w:t xml:space="preserve">Tanto perché, </w:t>
      </w:r>
      <w:r w:rsidR="00961EDD">
        <w:t>nel</w:t>
      </w:r>
      <w:r w:rsidR="00DE14FB">
        <w:t>l</w:t>
      </w:r>
      <w:r>
        <w:t>a</w:t>
      </w:r>
      <w:r w:rsidR="00DE14FB">
        <w:t xml:space="preserve"> sentenza </w:t>
      </w:r>
      <w:r>
        <w:t xml:space="preserve">penale </w:t>
      </w:r>
      <w:r w:rsidR="00DE14FB">
        <w:t xml:space="preserve">di condanna il dato probatorio acquisito </w:t>
      </w:r>
      <w:r w:rsidR="00961EDD">
        <w:t xml:space="preserve">deve scartare le sole </w:t>
      </w:r>
      <w:r w:rsidR="00DE14FB">
        <w:t xml:space="preserve">ricostruzioni alternative costituenti eventualità remote, pur astrattamente formulabili e prospettabili come possibili in </w:t>
      </w:r>
      <w:r w:rsidR="00DE14FB" w:rsidRPr="00B25764">
        <w:rPr>
          <w:i/>
        </w:rPr>
        <w:t>rerum natura</w:t>
      </w:r>
      <w:r w:rsidR="00DE14FB">
        <w:t xml:space="preserve">, ma la cui effettiva realizzazione, nella fattispecie concreta, risulti priva del benché minimo riscontro nelle emergenze processuali, ponendosi al di fuori dell’ordine naturale delle cose e della normale razionalità umana. Si è </w:t>
      </w:r>
      <w:r w:rsidR="00961EDD">
        <w:t xml:space="preserve">infatti </w:t>
      </w:r>
      <w:r w:rsidR="00DE14FB">
        <w:t xml:space="preserve">al cospetto di un canone decisorio che, per la sua immediata derivazione dal principio della presunzione di innocenza, esplica i suoi effetti conformativi non solo </w:t>
      </w:r>
      <w:r w:rsidR="00DE14FB">
        <w:lastRenderedPageBreak/>
        <w:t xml:space="preserve">sull’applicazione delle regole di giudizio, ma anche – e più in generale – sui metodi di accertamento del fatto, imponendo protocolli logici del tutto diversi in tema di valutazione delle prove e delle contrapposte ipotesi ricostruttive in ordine alla fondatezza del tema d’accusa: la certezza della colpevolezza per la pronuncia di condanna; il dubbio originato dalla mera plausibilità processuale di una ricostruzione alternativa del fatto per l’assoluzione. In </w:t>
      </w:r>
      <w:r w:rsidR="00961EDD">
        <w:t xml:space="preserve">un </w:t>
      </w:r>
      <w:r w:rsidR="00DE14FB">
        <w:t>siffatto contesto, non sono quindi utilizzabili criteri alternativi di giudizio, quali “la consistente verosimiglianza” o la “forte plausibilità” della ricostruzione adottata</w:t>
      </w:r>
      <w:r w:rsidR="00DE14FB">
        <w:rPr>
          <w:rStyle w:val="Rimandonotaapidipagina"/>
        </w:rPr>
        <w:footnoteReference w:id="11"/>
      </w:r>
      <w:r w:rsidR="00DE14FB">
        <w:t>.</w:t>
      </w:r>
    </w:p>
    <w:p w14:paraId="5E7038A9" w14:textId="77777777" w:rsidR="000D0CD0" w:rsidRDefault="00260E18" w:rsidP="003D65AB">
      <w:pPr>
        <w:ind w:right="-1" w:firstLine="567"/>
      </w:pPr>
      <w:r>
        <w:t>Da altro versante, ma nella stessa direzione</w:t>
      </w:r>
      <w:r w:rsidR="007F5F2B">
        <w:t>, si</w:t>
      </w:r>
      <w:r w:rsidR="005C4E4D">
        <w:t xml:space="preserve"> è </w:t>
      </w:r>
      <w:r>
        <w:t xml:space="preserve">poi ritenuto </w:t>
      </w:r>
      <w:r w:rsidR="005C4E4D">
        <w:t>che</w:t>
      </w:r>
      <w:r w:rsidR="004132FB">
        <w:t xml:space="preserve"> nel</w:t>
      </w:r>
      <w:r w:rsidR="007F5F2B">
        <w:t>l’odierno</w:t>
      </w:r>
      <w:r w:rsidR="004132FB">
        <w:t xml:space="preserve"> processo tributario</w:t>
      </w:r>
      <w:r w:rsidR="006D700D">
        <w:t xml:space="preserve"> </w:t>
      </w:r>
      <w:r w:rsidR="00CC6A21" w:rsidRPr="00E8181C">
        <w:t xml:space="preserve">non </w:t>
      </w:r>
      <w:r w:rsidR="00A34244" w:rsidRPr="00E8181C">
        <w:t>c</w:t>
      </w:r>
      <w:r w:rsidR="00A34244">
        <w:t>’</w:t>
      </w:r>
      <w:r w:rsidR="00A34244" w:rsidRPr="00E8181C">
        <w:t xml:space="preserve">è </w:t>
      </w:r>
      <w:r w:rsidR="00A34244">
        <w:t xml:space="preserve">più </w:t>
      </w:r>
      <w:r w:rsidR="00A34244" w:rsidRPr="00E8181C">
        <w:t>spazio</w:t>
      </w:r>
      <w:r w:rsidR="00A34244">
        <w:t xml:space="preserve"> non</w:t>
      </w:r>
      <w:r w:rsidR="00A34244" w:rsidRPr="00E8181C">
        <w:t xml:space="preserve"> </w:t>
      </w:r>
      <w:r>
        <w:t xml:space="preserve">solo </w:t>
      </w:r>
      <w:r w:rsidR="006D700D">
        <w:t>per le presunzioni</w:t>
      </w:r>
      <w:r w:rsidR="006D700D" w:rsidRPr="00E8181C">
        <w:t xml:space="preserve"> </w:t>
      </w:r>
      <w:r w:rsidR="006D700D">
        <w:t xml:space="preserve">(od almeno per molte di quelle sinora acquisite </w:t>
      </w:r>
      <w:r w:rsidR="00A34244">
        <w:t>a</w:t>
      </w:r>
      <w:r w:rsidR="006D700D">
        <w:t xml:space="preserve">lla quotidiana esperienza giurisdizionale), ma </w:t>
      </w:r>
      <w:r>
        <w:t xml:space="preserve">nemmeno </w:t>
      </w:r>
      <w:r w:rsidR="00CC6A21" w:rsidRPr="00E8181C">
        <w:t>per l</w:t>
      </w:r>
      <w:r>
        <w:t>a reg</w:t>
      </w:r>
      <w:r w:rsidR="000D0CD0">
        <w:t>o</w:t>
      </w:r>
      <w:r>
        <w:t>la</w:t>
      </w:r>
      <w:r w:rsidR="000D0CD0">
        <w:t xml:space="preserve"> </w:t>
      </w:r>
      <w:r w:rsidR="00A34244">
        <w:t xml:space="preserve">di riparto </w:t>
      </w:r>
      <w:r>
        <w:t>di cui all’</w:t>
      </w:r>
      <w:r w:rsidR="00CC6A21" w:rsidRPr="00E8181C">
        <w:t>art. 2697 c.c.</w:t>
      </w:r>
      <w:r w:rsidR="00CC6A21">
        <w:t xml:space="preserve">, in quanto </w:t>
      </w:r>
      <w:r>
        <w:t>“</w:t>
      </w:r>
      <w:r>
        <w:rPr>
          <w:rFonts w:eastAsia="Bookman Old Style" w:cs="Times New Roman"/>
          <w:color w:val="000000"/>
          <w:szCs w:val="24"/>
        </w:rPr>
        <w:t xml:space="preserve">ormai </w:t>
      </w:r>
      <w:r w:rsidR="00CC6A21" w:rsidRPr="007E0DD6">
        <w:rPr>
          <w:rFonts w:eastAsia="Bookman Old Style" w:cs="Times New Roman"/>
          <w:color w:val="000000"/>
          <w:szCs w:val="24"/>
        </w:rPr>
        <w:t xml:space="preserve">il comma </w:t>
      </w:r>
      <w:r w:rsidR="00CC6A21" w:rsidRPr="002714DC">
        <w:rPr>
          <w:rFonts w:eastAsia="Bookman Old Style" w:cs="Times New Roman"/>
          <w:color w:val="000000"/>
          <w:szCs w:val="24"/>
        </w:rPr>
        <w:t>5-</w:t>
      </w:r>
      <w:r w:rsidR="00CC6A21" w:rsidRPr="007E0DD6">
        <w:rPr>
          <w:rFonts w:eastAsia="Bookman Old Style" w:cs="Times New Roman"/>
          <w:i/>
          <w:color w:val="000000"/>
          <w:szCs w:val="24"/>
        </w:rPr>
        <w:t xml:space="preserve">bis </w:t>
      </w:r>
      <w:r w:rsidR="00CC6A21" w:rsidRPr="007E0DD6">
        <w:rPr>
          <w:rFonts w:eastAsia="Bookman Old Style" w:cs="Times New Roman"/>
          <w:color w:val="000000"/>
          <w:szCs w:val="24"/>
        </w:rPr>
        <w:t>dell</w:t>
      </w:r>
      <w:r w:rsidR="00CC6A21">
        <w:rPr>
          <w:rFonts w:eastAsia="Bookman Old Style" w:cs="Times New Roman"/>
          <w:color w:val="000000"/>
          <w:szCs w:val="24"/>
        </w:rPr>
        <w:t>’</w:t>
      </w:r>
      <w:r w:rsidR="00CC6A21" w:rsidRPr="007E0DD6">
        <w:rPr>
          <w:rFonts w:eastAsia="Bookman Old Style" w:cs="Times New Roman"/>
          <w:color w:val="000000"/>
          <w:szCs w:val="24"/>
        </w:rPr>
        <w:t xml:space="preserve">art. 7 del </w:t>
      </w:r>
      <w:r w:rsidR="00CC6A21">
        <w:rPr>
          <w:rFonts w:eastAsia="Bookman Old Style" w:cs="Times New Roman"/>
          <w:color w:val="000000"/>
          <w:szCs w:val="24"/>
        </w:rPr>
        <w:t>d.l</w:t>
      </w:r>
      <w:r w:rsidR="00CC6A21" w:rsidRPr="007E0DD6">
        <w:rPr>
          <w:rFonts w:eastAsia="Bookman Old Style" w:cs="Times New Roman"/>
          <w:color w:val="000000"/>
          <w:szCs w:val="24"/>
        </w:rPr>
        <w:t>gs. 546/1992 prevede un solo soggetto onerato</w:t>
      </w:r>
      <w:r w:rsidR="00CC6A21">
        <w:rPr>
          <w:rFonts w:eastAsia="Bookman Old Style" w:cs="Times New Roman"/>
          <w:color w:val="000000"/>
          <w:szCs w:val="24"/>
        </w:rPr>
        <w:t>,</w:t>
      </w:r>
      <w:r w:rsidR="00CC6A21" w:rsidRPr="007E0DD6">
        <w:rPr>
          <w:rFonts w:eastAsia="Bookman Old Style" w:cs="Times New Roman"/>
          <w:color w:val="000000"/>
          <w:szCs w:val="24"/>
        </w:rPr>
        <w:t xml:space="preserve"> che è l</w:t>
      </w:r>
      <w:r w:rsidR="00CC6A21">
        <w:rPr>
          <w:rFonts w:eastAsia="Bookman Old Style" w:cs="Times New Roman"/>
          <w:color w:val="000000"/>
          <w:szCs w:val="24"/>
        </w:rPr>
        <w:t>’a</w:t>
      </w:r>
      <w:r w:rsidR="00CC6A21" w:rsidRPr="007E0DD6">
        <w:rPr>
          <w:rFonts w:eastAsia="Bookman Old Style" w:cs="Times New Roman"/>
          <w:color w:val="000000"/>
          <w:szCs w:val="24"/>
        </w:rPr>
        <w:t>mministrazione finanziaria</w:t>
      </w:r>
      <w:r>
        <w:rPr>
          <w:rFonts w:eastAsia="Bookman Old Style" w:cs="Times New Roman"/>
          <w:color w:val="000000"/>
          <w:szCs w:val="24"/>
        </w:rPr>
        <w:t>”</w:t>
      </w:r>
      <w:r w:rsidR="00CC6A21">
        <w:rPr>
          <w:rStyle w:val="Rimandonotaapidipagina"/>
        </w:rPr>
        <w:footnoteReference w:id="12"/>
      </w:r>
      <w:r w:rsidR="006D700D">
        <w:t>.</w:t>
      </w:r>
    </w:p>
    <w:p w14:paraId="123A90C7" w14:textId="2C325461" w:rsidR="003D65AB" w:rsidRDefault="006D700D" w:rsidP="003D65AB">
      <w:pPr>
        <w:ind w:right="-1" w:firstLine="567"/>
      </w:pPr>
      <w:r>
        <w:t>D</w:t>
      </w:r>
      <w:r w:rsidR="00AF3BC1">
        <w:t>i conseguenza,</w:t>
      </w:r>
      <w:r w:rsidR="002714DC">
        <w:t xml:space="preserve"> </w:t>
      </w:r>
      <w:r w:rsidR="00A34244">
        <w:t xml:space="preserve">in </w:t>
      </w:r>
      <w:r w:rsidR="00A34244" w:rsidRPr="00520C04">
        <w:t>ca</w:t>
      </w:r>
      <w:r w:rsidR="00520C04">
        <w:t>m</w:t>
      </w:r>
      <w:r w:rsidR="00A34244" w:rsidRPr="00520C04">
        <w:t>po</w:t>
      </w:r>
      <w:r w:rsidR="00A34244">
        <w:t xml:space="preserve"> tributario </w:t>
      </w:r>
      <w:r w:rsidR="00CC6A21">
        <w:t xml:space="preserve">non </w:t>
      </w:r>
      <w:r w:rsidR="00260E18">
        <w:t>possono applicarsi</w:t>
      </w:r>
      <w:r w:rsidR="00AF3BC1">
        <w:t xml:space="preserve"> </w:t>
      </w:r>
      <w:r w:rsidR="00CC6A21">
        <w:t xml:space="preserve">né </w:t>
      </w:r>
      <w:r w:rsidR="002714DC">
        <w:t>“</w:t>
      </w:r>
      <w:r w:rsidR="00AF3BC1">
        <w:t>la d</w:t>
      </w:r>
      <w:r w:rsidR="00E8181C" w:rsidRPr="00E8181C">
        <w:t xml:space="preserve">istinzione tra fatti costitutivi e fatti modificativi </w:t>
      </w:r>
      <w:r w:rsidR="00161E1C">
        <w:t>o</w:t>
      </w:r>
      <w:r w:rsidR="00E8181C" w:rsidRPr="00E8181C">
        <w:t>d estintivi</w:t>
      </w:r>
      <w:r w:rsidR="0064016F">
        <w:t>”</w:t>
      </w:r>
      <w:r w:rsidR="00CC6A21">
        <w:t>, né</w:t>
      </w:r>
      <w:r w:rsidR="00AF3BC1">
        <w:t xml:space="preserve"> </w:t>
      </w:r>
      <w:r w:rsidR="002714DC">
        <w:t>“</w:t>
      </w:r>
      <w:r w:rsidR="007E0DD6" w:rsidRPr="007E0DD6">
        <w:rPr>
          <w:rFonts w:eastAsia="Bookman Old Style" w:cs="Times New Roman"/>
          <w:color w:val="000000"/>
          <w:szCs w:val="24"/>
        </w:rPr>
        <w:t>il principio della vicinanza della prova</w:t>
      </w:r>
      <w:r w:rsidR="002714DC">
        <w:rPr>
          <w:rFonts w:eastAsia="Bookman Old Style" w:cs="Times New Roman"/>
          <w:color w:val="000000"/>
          <w:szCs w:val="24"/>
        </w:rPr>
        <w:t>”</w:t>
      </w:r>
      <w:r w:rsidR="003D65AB">
        <w:rPr>
          <w:rFonts w:eastAsia="Bookman Old Style" w:cs="Times New Roman"/>
          <w:color w:val="000000"/>
          <w:szCs w:val="24"/>
        </w:rPr>
        <w:t>, essendo “</w:t>
      </w:r>
      <w:r w:rsidR="003D65AB" w:rsidRPr="003D65AB">
        <w:rPr>
          <w:rFonts w:eastAsia="Bookman Old Style" w:cs="Times New Roman"/>
          <w:color w:val="000000"/>
          <w:szCs w:val="24"/>
        </w:rPr>
        <w:t>cambiato, in senso più rigoroso, il metro di valutazione che il giudice dovrà utilizzare per tutti i tipi di prova che l</w:t>
      </w:r>
      <w:r w:rsidR="003D65AB">
        <w:rPr>
          <w:rFonts w:eastAsia="Bookman Old Style" w:cs="Times New Roman"/>
          <w:color w:val="000000"/>
          <w:szCs w:val="24"/>
        </w:rPr>
        <w:t>’</w:t>
      </w:r>
      <w:r w:rsidR="00260E18">
        <w:rPr>
          <w:rFonts w:eastAsia="Bookman Old Style" w:cs="Times New Roman"/>
          <w:color w:val="000000"/>
          <w:szCs w:val="24"/>
        </w:rPr>
        <w:t>u</w:t>
      </w:r>
      <w:r w:rsidR="003D65AB" w:rsidRPr="003D65AB">
        <w:rPr>
          <w:rFonts w:eastAsia="Bookman Old Style" w:cs="Times New Roman"/>
          <w:color w:val="000000"/>
          <w:szCs w:val="24"/>
        </w:rPr>
        <w:t>fficio finanziario produrrà nel giudizio</w:t>
      </w:r>
      <w:r w:rsidR="003D65AB">
        <w:rPr>
          <w:rFonts w:eastAsia="Bookman Old Style" w:cs="Times New Roman"/>
          <w:color w:val="000000"/>
          <w:szCs w:val="24"/>
        </w:rPr>
        <w:t>”</w:t>
      </w:r>
      <w:r w:rsidR="0064016F" w:rsidRPr="003D65AB">
        <w:rPr>
          <w:rStyle w:val="Rimandonotaapidipagina"/>
        </w:rPr>
        <w:footnoteReference w:id="13"/>
      </w:r>
      <w:r w:rsidR="003D65AB">
        <w:t>.</w:t>
      </w:r>
    </w:p>
    <w:p w14:paraId="6BD0CC8D" w14:textId="77777777" w:rsidR="00B431BC" w:rsidRDefault="00A91C90" w:rsidP="008B5A2A">
      <w:pPr>
        <w:ind w:right="-1" w:firstLine="567"/>
      </w:pPr>
      <w:r>
        <w:t xml:space="preserve">Una </w:t>
      </w:r>
      <w:r w:rsidR="00BD03FC">
        <w:t>tanto</w:t>
      </w:r>
      <w:r>
        <w:t xml:space="preserve"> netta divaricazione tra giurisprudenza e dottrina impone una riflessione, </w:t>
      </w:r>
      <w:r w:rsidR="00AF3BC1">
        <w:t>che</w:t>
      </w:r>
      <w:r>
        <w:t xml:space="preserve"> non può prescindere dal contesto in cui la norma è sorta</w:t>
      </w:r>
      <w:r w:rsidR="00CC6A21">
        <w:t xml:space="preserve">, </w:t>
      </w:r>
      <w:r w:rsidR="00260E18">
        <w:t xml:space="preserve">oltre che dal presupposto che appare </w:t>
      </w:r>
      <w:r w:rsidR="00CC6A21">
        <w:t>arduo sostenere che nulla sia mutato</w:t>
      </w:r>
      <w:r w:rsidR="00260E18">
        <w:t>: in caso contrario</w:t>
      </w:r>
      <w:r w:rsidR="00CC6A21">
        <w:t xml:space="preserve">, non si comprenderebbe </w:t>
      </w:r>
      <w:r w:rsidR="00961EDD">
        <w:t>i</w:t>
      </w:r>
      <w:r w:rsidR="00CC6A21">
        <w:t>l</w:t>
      </w:r>
      <w:r w:rsidR="00961EDD">
        <w:t xml:space="preserve"> motivo </w:t>
      </w:r>
      <w:r w:rsidR="00CC6A21">
        <w:t xml:space="preserve">per cui la stessa Corte di cassazione </w:t>
      </w:r>
      <w:r w:rsidR="003D41FE">
        <w:t>ha tenuto</w:t>
      </w:r>
      <w:r w:rsidR="00CC6A21" w:rsidRPr="00CC6A21">
        <w:t xml:space="preserve"> </w:t>
      </w:r>
      <w:r w:rsidR="00240B26">
        <w:t xml:space="preserve">a </w:t>
      </w:r>
      <w:r w:rsidR="00CC6A21" w:rsidRPr="00CC6A21">
        <w:t>precisare la natura sostanziale</w:t>
      </w:r>
      <w:r w:rsidR="00CC6A21">
        <w:t xml:space="preserve"> della nuova disposizione</w:t>
      </w:r>
      <w:r w:rsidR="00CC6A21" w:rsidRPr="00CC6A21">
        <w:t>, nega</w:t>
      </w:r>
      <w:r w:rsidR="00CC6A21">
        <w:t>ndo</w:t>
      </w:r>
      <w:r w:rsidR="00CC6A21" w:rsidRPr="00CC6A21">
        <w:t>ne l’efficacia retroattiva</w:t>
      </w:r>
      <w:r w:rsidR="00CC6A21">
        <w:t xml:space="preserve"> </w:t>
      </w:r>
      <w:r w:rsidR="00240B26">
        <w:t xml:space="preserve">per </w:t>
      </w:r>
      <w:r w:rsidR="00CC6A21">
        <w:t>i</w:t>
      </w:r>
      <w:r w:rsidR="00CC6A21" w:rsidRPr="00CC6A21">
        <w:t xml:space="preserve"> giudizi introdotti prima del 16 settembre 2022</w:t>
      </w:r>
      <w:r w:rsidR="00CC6A21">
        <w:rPr>
          <w:rStyle w:val="Rimandonotaapidipagina"/>
        </w:rPr>
        <w:footnoteReference w:id="14"/>
      </w:r>
      <w:r w:rsidR="003D41FE">
        <w:t>, con un’</w:t>
      </w:r>
      <w:r w:rsidR="00CC6A21">
        <w:t>affermazione anch’essa molto criticata in dottrina</w:t>
      </w:r>
      <w:r w:rsidR="003D41FE">
        <w:t>, che ha posto in evidenza l</w:t>
      </w:r>
      <w:r w:rsidR="00240B26">
        <w:t>’oppost</w:t>
      </w:r>
      <w:r w:rsidR="003D41FE">
        <w:t>a configurazione (oltre che collocazione) processuale della disposizione stessa</w:t>
      </w:r>
      <w:r w:rsidR="00CC6A21">
        <w:rPr>
          <w:rStyle w:val="Rimandonotaapidipagina"/>
        </w:rPr>
        <w:footnoteReference w:id="15"/>
      </w:r>
      <w:r>
        <w:t>.</w:t>
      </w:r>
    </w:p>
    <w:p w14:paraId="44442825" w14:textId="77777777" w:rsidR="00A663CF" w:rsidRDefault="007964E7" w:rsidP="008B5A2A">
      <w:pPr>
        <w:ind w:right="-1" w:firstLine="567"/>
      </w:pPr>
      <w:r>
        <w:t>Quest’ultima</w:t>
      </w:r>
      <w:r w:rsidR="00A91C90">
        <w:t xml:space="preserve">, com’è noto, è </w:t>
      </w:r>
      <w:r>
        <w:t xml:space="preserve">cronologicamente </w:t>
      </w:r>
      <w:r w:rsidR="00A91C90">
        <w:t xml:space="preserve">contestuale ad una profonda revisione dello </w:t>
      </w:r>
      <w:r w:rsidR="00157013">
        <w:t>Statuto</w:t>
      </w:r>
      <w:r w:rsidR="00A91C90">
        <w:t xml:space="preserve"> del contribuente e </w:t>
      </w:r>
      <w:r w:rsidR="007F5F2B">
        <w:t>si c</w:t>
      </w:r>
      <w:r w:rsidR="00753D94">
        <w:t>onfigur</w:t>
      </w:r>
      <w:r w:rsidR="007F5F2B">
        <w:t>a, ad avviso di chi scrive,</w:t>
      </w:r>
      <w:r w:rsidR="00A91C90">
        <w:t xml:space="preserve"> </w:t>
      </w:r>
      <w:r w:rsidR="007F5F2B">
        <w:t>come il</w:t>
      </w:r>
      <w:r w:rsidR="00A91C90">
        <w:t xml:space="preserve"> risvolto sul piano </w:t>
      </w:r>
      <w:r w:rsidR="00A91C90">
        <w:lastRenderedPageBreak/>
        <w:t>processuale dell’o</w:t>
      </w:r>
      <w:r w:rsidR="00A663CF">
        <w:t xml:space="preserve">bbligo di </w:t>
      </w:r>
      <w:r w:rsidR="00A91C90">
        <w:t xml:space="preserve">esaustiva </w:t>
      </w:r>
      <w:r w:rsidR="00CA67BF">
        <w:t>motivazione</w:t>
      </w:r>
      <w:r w:rsidR="00A91C90">
        <w:t xml:space="preserve"> del provvedimento tributario</w:t>
      </w:r>
      <w:r w:rsidR="004950C1">
        <w:t>, variamente scandito nello Statuto stesso</w:t>
      </w:r>
      <w:r w:rsidR="00A91C90">
        <w:t>.</w:t>
      </w:r>
    </w:p>
    <w:p w14:paraId="05C4F514" w14:textId="77777777" w:rsidR="00A663CF" w:rsidRPr="00602F5C" w:rsidRDefault="004950C1" w:rsidP="008B5A2A">
      <w:pPr>
        <w:ind w:right="-1" w:firstLine="567"/>
      </w:pPr>
      <w:r>
        <w:t>L</w:t>
      </w:r>
      <w:r w:rsidR="00602F5C">
        <w:t>’a</w:t>
      </w:r>
      <w:r w:rsidR="00A663CF" w:rsidRPr="00602F5C">
        <w:t>rt. 7</w:t>
      </w:r>
      <w:r w:rsidR="00602F5C">
        <w:t>, comma 1, prevede che il provvedimento tributario debba,</w:t>
      </w:r>
      <w:r w:rsidR="00A663CF" w:rsidRPr="00602F5C">
        <w:t xml:space="preserve"> a pena di annullabilità, </w:t>
      </w:r>
      <w:r w:rsidR="00602F5C">
        <w:t>indicare “</w:t>
      </w:r>
      <w:r w:rsidR="00A663CF" w:rsidRPr="00602F5C">
        <w:t>specificamente i presupposti, i mezzi di prova su cui si fonda la decisione</w:t>
      </w:r>
      <w:r w:rsidR="00602F5C">
        <w:t>”</w:t>
      </w:r>
      <w:r w:rsidR="00A663CF" w:rsidRPr="00602F5C">
        <w:t>.</w:t>
      </w:r>
    </w:p>
    <w:p w14:paraId="6FFAA760" w14:textId="77777777" w:rsidR="008E0E42" w:rsidRPr="00602F5C" w:rsidRDefault="00211FFF" w:rsidP="008B5A2A">
      <w:pPr>
        <w:ind w:right="-1" w:firstLine="567"/>
      </w:pPr>
      <w:r>
        <w:t>L</w:t>
      </w:r>
      <w:r w:rsidR="004950C1">
        <w:t>’a</w:t>
      </w:r>
      <w:r w:rsidR="004950C1" w:rsidRPr="00602F5C">
        <w:t>rt. 7-</w:t>
      </w:r>
      <w:r w:rsidR="004950C1" w:rsidRPr="00D53291">
        <w:rPr>
          <w:i/>
        </w:rPr>
        <w:t>quinquies</w:t>
      </w:r>
      <w:r>
        <w:t xml:space="preserve"> vieta l’utilizzabilità n</w:t>
      </w:r>
      <w:r w:rsidR="00C57063">
        <w:t xml:space="preserve">ella motivazione </w:t>
      </w:r>
      <w:r>
        <w:t>de</w:t>
      </w:r>
      <w:r w:rsidR="008E0E42" w:rsidRPr="00602F5C">
        <w:t xml:space="preserve">gli </w:t>
      </w:r>
      <w:r>
        <w:t>“</w:t>
      </w:r>
      <w:r w:rsidR="008E0E42" w:rsidRPr="00602F5C">
        <w:t>elementi di prova acquisiti oltre i termini di cui all’art. 12, comma 5, o in violazione di legge</w:t>
      </w:r>
      <w:r w:rsidR="008E0E42">
        <w:t>”</w:t>
      </w:r>
      <w:r w:rsidR="008E0E42" w:rsidRPr="00602F5C">
        <w:t>.</w:t>
      </w:r>
    </w:p>
    <w:p w14:paraId="7DF40708" w14:textId="77777777" w:rsidR="006F4088" w:rsidRDefault="00211FFF" w:rsidP="008B5A2A">
      <w:pPr>
        <w:ind w:right="-1" w:firstLine="567"/>
      </w:pPr>
      <w:r>
        <w:t>L’a</w:t>
      </w:r>
      <w:r w:rsidRPr="00602F5C">
        <w:t>rt. 6-</w:t>
      </w:r>
      <w:r w:rsidRPr="00D53291">
        <w:rPr>
          <w:i/>
        </w:rPr>
        <w:t>bis</w:t>
      </w:r>
      <w:r>
        <w:t xml:space="preserve">, comma </w:t>
      </w:r>
      <w:r w:rsidRPr="00602F5C">
        <w:t>4</w:t>
      </w:r>
      <w:r>
        <w:t xml:space="preserve">, aggrava tale </w:t>
      </w:r>
      <w:r w:rsidR="00294396">
        <w:t xml:space="preserve">onere motivazionale </w:t>
      </w:r>
      <w:r w:rsidR="004950C1">
        <w:t xml:space="preserve">se </w:t>
      </w:r>
      <w:r w:rsidR="00D53291">
        <w:t>l</w:t>
      </w:r>
      <w:r w:rsidR="00CA6F85" w:rsidRPr="00602F5C">
        <w:t>’</w:t>
      </w:r>
      <w:r w:rsidR="006F4088" w:rsidRPr="00602F5C">
        <w:t xml:space="preserve">atto </w:t>
      </w:r>
      <w:r w:rsidR="004950C1">
        <w:t xml:space="preserve">è </w:t>
      </w:r>
      <w:r w:rsidR="006F4088" w:rsidRPr="00602F5C">
        <w:t>adottato all</w:t>
      </w:r>
      <w:r w:rsidR="00CA6F85" w:rsidRPr="00602F5C">
        <w:t>’</w:t>
      </w:r>
      <w:r w:rsidR="006F4088" w:rsidRPr="00602F5C">
        <w:t>esito d</w:t>
      </w:r>
      <w:r w:rsidR="00D53291">
        <w:t>i un</w:t>
      </w:r>
      <w:r w:rsidR="006F4088" w:rsidRPr="00602F5C">
        <w:t xml:space="preserve"> contraddittorio</w:t>
      </w:r>
      <w:r w:rsidR="00D53291">
        <w:t xml:space="preserve">, </w:t>
      </w:r>
      <w:r w:rsidR="004950C1">
        <w:t>in quanto esso</w:t>
      </w:r>
      <w:r w:rsidR="00D53291">
        <w:t xml:space="preserve"> </w:t>
      </w:r>
      <w:r w:rsidR="004950C1">
        <w:t xml:space="preserve">deve </w:t>
      </w:r>
      <w:r w:rsidR="00D2448B">
        <w:t xml:space="preserve">necessariamente </w:t>
      </w:r>
      <w:r w:rsidR="00D53291">
        <w:t>t</w:t>
      </w:r>
      <w:r w:rsidR="006F4088" w:rsidRPr="00602F5C">
        <w:t>en</w:t>
      </w:r>
      <w:r w:rsidR="00D53291">
        <w:t>er</w:t>
      </w:r>
      <w:r w:rsidR="006F4088" w:rsidRPr="00602F5C">
        <w:t>e conto</w:t>
      </w:r>
      <w:r w:rsidR="003C6683" w:rsidRPr="00602F5C">
        <w:t xml:space="preserve"> </w:t>
      </w:r>
      <w:r w:rsidR="00D53291">
        <w:t>“</w:t>
      </w:r>
      <w:r w:rsidR="006F4088" w:rsidRPr="00602F5C">
        <w:t>delle osservazioni del contribuente ed è motivato con</w:t>
      </w:r>
      <w:r w:rsidR="003C6683" w:rsidRPr="00602F5C">
        <w:t xml:space="preserve"> </w:t>
      </w:r>
      <w:r w:rsidR="006F4088" w:rsidRPr="00602F5C">
        <w:t>riferimento a quelle che l</w:t>
      </w:r>
      <w:r w:rsidR="00CA6F85" w:rsidRPr="00602F5C">
        <w:t>’</w:t>
      </w:r>
      <w:r w:rsidR="00D2448B">
        <w:t>a</w:t>
      </w:r>
      <w:r w:rsidR="006F4088" w:rsidRPr="00602F5C">
        <w:t>mministrazione ritiene di non</w:t>
      </w:r>
      <w:r w:rsidR="003C6683" w:rsidRPr="00602F5C">
        <w:t xml:space="preserve"> </w:t>
      </w:r>
      <w:r w:rsidR="006F4088" w:rsidRPr="00602F5C">
        <w:t>accogliere</w:t>
      </w:r>
      <w:r w:rsidR="00D53291">
        <w:t>”</w:t>
      </w:r>
      <w:r w:rsidR="006F4088" w:rsidRPr="00602F5C">
        <w:t>.</w:t>
      </w:r>
    </w:p>
    <w:p w14:paraId="15BEB32C" w14:textId="77777777" w:rsidR="00294396" w:rsidRDefault="004950C1" w:rsidP="008B5A2A">
      <w:pPr>
        <w:ind w:right="-1" w:firstLine="567"/>
      </w:pPr>
      <w:r>
        <w:t>Infine, u</w:t>
      </w:r>
      <w:r w:rsidR="00294396">
        <w:t>na volta</w:t>
      </w:r>
      <w:r w:rsidR="00D53291">
        <w:t xml:space="preserve"> </w:t>
      </w:r>
      <w:r w:rsidR="00351225">
        <w:t xml:space="preserve">così </w:t>
      </w:r>
      <w:r w:rsidR="00CC7072">
        <w:t xml:space="preserve">formulata e </w:t>
      </w:r>
      <w:r w:rsidR="00294396">
        <w:t>comunica</w:t>
      </w:r>
      <w:r w:rsidR="00C57063">
        <w:t>ta,</w:t>
      </w:r>
      <w:r w:rsidR="00D53291">
        <w:t xml:space="preserve"> la motivazione non è suscettibile di varia</w:t>
      </w:r>
      <w:r w:rsidR="00665989">
        <w:t>zion</w:t>
      </w:r>
      <w:r w:rsidR="00CC7072">
        <w:t>e</w:t>
      </w:r>
      <w:r w:rsidR="00294396">
        <w:t xml:space="preserve"> </w:t>
      </w:r>
      <w:r w:rsidR="00C57063">
        <w:t>per</w:t>
      </w:r>
      <w:r w:rsidR="00294396">
        <w:t xml:space="preserve"> via processuale, prevedendo l’a</w:t>
      </w:r>
      <w:r w:rsidR="00294396" w:rsidRPr="00602F5C">
        <w:t>rt. 7</w:t>
      </w:r>
      <w:r w:rsidR="00294396">
        <w:t xml:space="preserve">, comma </w:t>
      </w:r>
      <w:r w:rsidR="00294396" w:rsidRPr="00602F5C">
        <w:t>1-</w:t>
      </w:r>
      <w:r w:rsidR="00294396" w:rsidRPr="00294396">
        <w:rPr>
          <w:i/>
        </w:rPr>
        <w:t>bis</w:t>
      </w:r>
      <w:r w:rsidR="00294396">
        <w:t>,</w:t>
      </w:r>
      <w:r w:rsidR="00294396" w:rsidRPr="00602F5C">
        <w:t xml:space="preserve"> </w:t>
      </w:r>
      <w:r w:rsidR="00294396">
        <w:t>che “i</w:t>
      </w:r>
      <w:r w:rsidR="00294396" w:rsidRPr="00602F5C">
        <w:t xml:space="preserve"> fatti e i mezzi di prova a fondamento dell’atto non possono essere successivamente modificati, integrati o sostituiti se non attraverso l’adozione di un ulteriore atto, ove ne ricorrano i presupposti e non siano maturate decadenze</w:t>
      </w:r>
      <w:r w:rsidR="00294396">
        <w:t>”</w:t>
      </w:r>
      <w:r w:rsidR="00294396" w:rsidRPr="00602F5C">
        <w:t>.</w:t>
      </w:r>
    </w:p>
    <w:p w14:paraId="4FEC5CCD" w14:textId="77777777" w:rsidR="00D53291" w:rsidRPr="00602F5C" w:rsidRDefault="004950C1" w:rsidP="008B5A2A">
      <w:pPr>
        <w:ind w:right="-1" w:firstLine="567"/>
      </w:pPr>
      <w:r>
        <w:t xml:space="preserve">Per altro, </w:t>
      </w:r>
      <w:r w:rsidR="00294396">
        <w:t>l’a</w:t>
      </w:r>
      <w:r w:rsidR="00294396" w:rsidRPr="00602F5C">
        <w:t>rt. 9-</w:t>
      </w:r>
      <w:r w:rsidR="00294396" w:rsidRPr="00AE17B6">
        <w:rPr>
          <w:i/>
        </w:rPr>
        <w:t>bis</w:t>
      </w:r>
      <w:r w:rsidR="00294396">
        <w:t xml:space="preserve"> prescrive che, “s</w:t>
      </w:r>
      <w:r w:rsidR="00294396" w:rsidRPr="00602F5C">
        <w:t>alvo che specifiche disposizioni prevedano diversamente e ferma l’emendabilità di vizi formali e procedurali, il contribuente ha diritto a che l’amministrazione finanziaria eserciti l’azione accertativa relativamente a ciascun tributo una sola volta per ogni periodo d’imposta</w:t>
      </w:r>
      <w:r w:rsidR="00294396">
        <w:t>”.</w:t>
      </w:r>
    </w:p>
    <w:p w14:paraId="39B0F8B1" w14:textId="77777777" w:rsidR="002434E9" w:rsidRDefault="00753D94" w:rsidP="008B5A2A">
      <w:pPr>
        <w:ind w:right="-1" w:firstLine="567"/>
      </w:pPr>
      <w:r>
        <w:rPr>
          <w:rFonts w:cs="Times New Roman"/>
        </w:rPr>
        <w:t>È</w:t>
      </w:r>
      <w:r>
        <w:t xml:space="preserve"> i</w:t>
      </w:r>
      <w:r w:rsidR="00D2448B">
        <w:t xml:space="preserve">n questo quadro </w:t>
      </w:r>
      <w:r>
        <w:t xml:space="preserve">che </w:t>
      </w:r>
      <w:r w:rsidR="00D2448B">
        <w:t>s’inserisce i</w:t>
      </w:r>
      <w:r w:rsidR="00420B11">
        <w:t xml:space="preserve">l comma </w:t>
      </w:r>
      <w:r w:rsidR="00420B11" w:rsidRPr="00CA6F85">
        <w:t>5-</w:t>
      </w:r>
      <w:r w:rsidR="00420B11" w:rsidRPr="00D2448B">
        <w:rPr>
          <w:i/>
        </w:rPr>
        <w:t>bis</w:t>
      </w:r>
      <w:r w:rsidR="00420B11">
        <w:t xml:space="preserve"> dell’art. 7 del d.lgs. 546/1992</w:t>
      </w:r>
      <w:r w:rsidR="00D2448B">
        <w:t xml:space="preserve">, </w:t>
      </w:r>
      <w:r w:rsidR="00211FFF">
        <w:t>eman</w:t>
      </w:r>
      <w:r>
        <w:t>a</w:t>
      </w:r>
      <w:r w:rsidR="00665989">
        <w:t>to</w:t>
      </w:r>
      <w:r>
        <w:t xml:space="preserve"> allo scopo di applicar</w:t>
      </w:r>
      <w:r w:rsidR="00D2448B">
        <w:t xml:space="preserve">e </w:t>
      </w:r>
      <w:r w:rsidR="00C57063">
        <w:t>a</w:t>
      </w:r>
      <w:r w:rsidR="006E10C9">
        <w:t>l processo</w:t>
      </w:r>
      <w:r w:rsidR="004950C1">
        <w:t xml:space="preserve"> </w:t>
      </w:r>
      <w:r>
        <w:t>le regole dello Statuto</w:t>
      </w:r>
      <w:r w:rsidR="002434E9">
        <w:t xml:space="preserve">, </w:t>
      </w:r>
      <w:r w:rsidR="004950C1">
        <w:t>secondo</w:t>
      </w:r>
      <w:r>
        <w:t xml:space="preserve"> </w:t>
      </w:r>
      <w:r w:rsidR="006E10C9">
        <w:t xml:space="preserve">la logica </w:t>
      </w:r>
      <w:r w:rsidR="002434E9">
        <w:t xml:space="preserve">del </w:t>
      </w:r>
      <w:proofErr w:type="spellStart"/>
      <w:r w:rsidR="002434E9" w:rsidRPr="002434E9">
        <w:rPr>
          <w:i/>
        </w:rPr>
        <w:t>iudex</w:t>
      </w:r>
      <w:proofErr w:type="spellEnd"/>
      <w:r w:rsidR="002434E9" w:rsidRPr="002434E9">
        <w:rPr>
          <w:i/>
        </w:rPr>
        <w:t> </w:t>
      </w:r>
      <w:proofErr w:type="spellStart"/>
      <w:r w:rsidR="002434E9" w:rsidRPr="002434E9">
        <w:rPr>
          <w:i/>
        </w:rPr>
        <w:t>iuxta</w:t>
      </w:r>
      <w:proofErr w:type="spellEnd"/>
      <w:r w:rsidR="002434E9" w:rsidRPr="002434E9">
        <w:rPr>
          <w:i/>
        </w:rPr>
        <w:t xml:space="preserve"> alligata et probata iudicare </w:t>
      </w:r>
      <w:proofErr w:type="spellStart"/>
      <w:r w:rsidR="002434E9" w:rsidRPr="002434E9">
        <w:rPr>
          <w:i/>
        </w:rPr>
        <w:t>debet</w:t>
      </w:r>
      <w:proofErr w:type="spellEnd"/>
      <w:r w:rsidR="002434E9">
        <w:t>.</w:t>
      </w:r>
    </w:p>
    <w:p w14:paraId="55417E6F" w14:textId="77777777" w:rsidR="002434E9" w:rsidRPr="002434E9" w:rsidRDefault="00211FFF" w:rsidP="008B5A2A">
      <w:pPr>
        <w:ind w:right="-1" w:firstLine="567"/>
      </w:pPr>
      <w:r>
        <w:t>L</w:t>
      </w:r>
      <w:r w:rsidR="002434E9">
        <w:t xml:space="preserve">a prova dell’accertamento tributario </w:t>
      </w:r>
      <w:r>
        <w:t>è</w:t>
      </w:r>
      <w:r w:rsidR="002434E9">
        <w:t xml:space="preserve"> </w:t>
      </w:r>
      <w:r>
        <w:t>fondamentalmente</w:t>
      </w:r>
      <w:r w:rsidR="002434E9">
        <w:t xml:space="preserve"> </w:t>
      </w:r>
      <w:r w:rsidR="00753D94">
        <w:t>s</w:t>
      </w:r>
      <w:r w:rsidR="002434E9">
        <w:t xml:space="preserve">tragiudiziale, </w:t>
      </w:r>
      <w:r w:rsidR="00832183">
        <w:t xml:space="preserve">essendosi </w:t>
      </w:r>
      <w:r w:rsidR="002434E9">
        <w:t>forma</w:t>
      </w:r>
      <w:r w:rsidR="00832183">
        <w:t>ta</w:t>
      </w:r>
      <w:r w:rsidR="002434E9">
        <w:t xml:space="preserve"> nel procedimento amministrativo presupposto, attraverso il metodo del contraddittorio.</w:t>
      </w:r>
    </w:p>
    <w:p w14:paraId="4C9C43E3" w14:textId="77777777" w:rsidR="002434E9" w:rsidRDefault="002434E9" w:rsidP="008B5A2A">
      <w:pPr>
        <w:ind w:right="-1" w:firstLine="567"/>
      </w:pPr>
      <w:r>
        <w:t>Con la motivazione</w:t>
      </w:r>
      <w:r w:rsidR="00665989">
        <w:t xml:space="preserve"> dell’atto</w:t>
      </w:r>
      <w:r>
        <w:t>, l’amministrazione risponde all’obbligo di allegare</w:t>
      </w:r>
      <w:r w:rsidR="00C57063">
        <w:t>,</w:t>
      </w:r>
      <w:r w:rsidR="007035D2">
        <w:t xml:space="preserve"> </w:t>
      </w:r>
      <w:r>
        <w:t>ossia di r</w:t>
      </w:r>
      <w:r w:rsidR="007035D2">
        <w:t>endere</w:t>
      </w:r>
      <w:r>
        <w:t xml:space="preserve"> </w:t>
      </w:r>
      <w:r w:rsidR="007035D2">
        <w:t>noti</w:t>
      </w:r>
      <w:r>
        <w:t xml:space="preserve"> </w:t>
      </w:r>
      <w:r w:rsidR="00C57063">
        <w:t xml:space="preserve">– </w:t>
      </w:r>
      <w:r w:rsidR="001E6297">
        <w:t xml:space="preserve">al contribuente, in prima istanza </w:t>
      </w:r>
      <w:r>
        <w:t>e</w:t>
      </w:r>
      <w:r w:rsidR="001E6297">
        <w:t>d</w:t>
      </w:r>
      <w:r w:rsidR="007035D2">
        <w:t xml:space="preserve"> al giudice</w:t>
      </w:r>
      <w:r w:rsidR="001E6297">
        <w:t>, in seconda</w:t>
      </w:r>
      <w:r w:rsidR="007035D2">
        <w:t xml:space="preserve"> – </w:t>
      </w:r>
      <w:r>
        <w:t xml:space="preserve">i fatti </w:t>
      </w:r>
      <w:r w:rsidR="00211FFF">
        <w:t xml:space="preserve">e le ragioni a fondamento </w:t>
      </w:r>
      <w:r>
        <w:t>della pretesa</w:t>
      </w:r>
      <w:r w:rsidR="007035D2">
        <w:t>.</w:t>
      </w:r>
    </w:p>
    <w:p w14:paraId="21E533F5" w14:textId="77777777" w:rsidR="002B4BDB" w:rsidRDefault="00665989" w:rsidP="008B5A2A">
      <w:pPr>
        <w:ind w:right="-1" w:firstLine="567"/>
      </w:pPr>
      <w:r>
        <w:lastRenderedPageBreak/>
        <w:t>Se però il contribuente decide di rivolgersi al giudice, l</w:t>
      </w:r>
      <w:r w:rsidR="00C57063">
        <w:t xml:space="preserve">a semplice </w:t>
      </w:r>
      <w:r w:rsidR="00211FFF">
        <w:t xml:space="preserve">allegazione </w:t>
      </w:r>
      <w:r w:rsidR="000548A0">
        <w:t>non basta a so</w:t>
      </w:r>
      <w:r w:rsidR="003D41FE">
        <w:t>rregg</w:t>
      </w:r>
      <w:r w:rsidR="000548A0">
        <w:t>ere la validità dell’atto, giacché qu</w:t>
      </w:r>
      <w:r w:rsidR="00211FFF">
        <w:t>ei</w:t>
      </w:r>
      <w:r w:rsidR="00C57063">
        <w:t xml:space="preserve"> </w:t>
      </w:r>
      <w:r w:rsidR="00211FFF">
        <w:t>fatt</w:t>
      </w:r>
      <w:r w:rsidR="00C57063">
        <w:t xml:space="preserve">i </w:t>
      </w:r>
      <w:r w:rsidR="00211FFF">
        <w:t xml:space="preserve">e </w:t>
      </w:r>
      <w:r w:rsidR="000548A0">
        <w:t>qu</w:t>
      </w:r>
      <w:r w:rsidR="00211FFF">
        <w:t xml:space="preserve">elle ragioni </w:t>
      </w:r>
      <w:r w:rsidR="007035D2">
        <w:t xml:space="preserve">devono essere </w:t>
      </w:r>
      <w:r w:rsidR="00C57063">
        <w:t xml:space="preserve">anche </w:t>
      </w:r>
      <w:r w:rsidR="007035D2">
        <w:t>dimostrati</w:t>
      </w:r>
      <w:r w:rsidR="00BD03FC">
        <w:t>,</w:t>
      </w:r>
      <w:r w:rsidR="007035D2">
        <w:t xml:space="preserve"> nella </w:t>
      </w:r>
      <w:r w:rsidR="001E6297">
        <w:t xml:space="preserve">duplice </w:t>
      </w:r>
      <w:r w:rsidR="007035D2">
        <w:t xml:space="preserve">dimensione fenomenica e </w:t>
      </w:r>
      <w:r w:rsidR="001E6297">
        <w:t>teleologica</w:t>
      </w:r>
      <w:r w:rsidR="007035D2">
        <w:t>.</w:t>
      </w:r>
    </w:p>
    <w:p w14:paraId="71070555" w14:textId="77777777" w:rsidR="007035D2" w:rsidRDefault="00351225" w:rsidP="008B5A2A">
      <w:pPr>
        <w:ind w:right="-1" w:firstLine="567"/>
      </w:pPr>
      <w:r>
        <w:t>Invero, affin</w:t>
      </w:r>
      <w:r w:rsidR="00665989">
        <w:t>ché l’atto si consolidi e diventi definitivo</w:t>
      </w:r>
      <w:r w:rsidR="003D41FE">
        <w:t xml:space="preserve"> </w:t>
      </w:r>
      <w:r w:rsidR="00CC7072">
        <w:t>attraverso la su</w:t>
      </w:r>
      <w:r w:rsidR="003D41FE">
        <w:t>a conferma giurisdizionale</w:t>
      </w:r>
      <w:r w:rsidR="00665989">
        <w:t>, l</w:t>
      </w:r>
      <w:r w:rsidR="002B4BDB">
        <w:t xml:space="preserve">’amministrazione </w:t>
      </w:r>
      <w:r w:rsidR="006E10C9">
        <w:t>h</w:t>
      </w:r>
      <w:r w:rsidR="004950C1">
        <w:t>a l’onere</w:t>
      </w:r>
      <w:r w:rsidR="007035D2">
        <w:t xml:space="preserve"> </w:t>
      </w:r>
      <w:r w:rsidR="004950C1">
        <w:t xml:space="preserve">di </w:t>
      </w:r>
      <w:r w:rsidR="007035D2">
        <w:t xml:space="preserve">dar prova </w:t>
      </w:r>
      <w:r w:rsidR="00665989">
        <w:t xml:space="preserve">dei fatti, </w:t>
      </w:r>
      <w:r w:rsidR="004950C1">
        <w:t xml:space="preserve">sia </w:t>
      </w:r>
      <w:r w:rsidR="00665989">
        <w:t>quanto a</w:t>
      </w:r>
      <w:r w:rsidR="007035D2">
        <w:t>ll</w:t>
      </w:r>
      <w:r w:rsidR="00665989">
        <w:t xml:space="preserve">a loro </w:t>
      </w:r>
      <w:r w:rsidR="007035D2">
        <w:t>esistenza</w:t>
      </w:r>
      <w:r w:rsidR="004950C1">
        <w:t>, sia</w:t>
      </w:r>
      <w:r w:rsidR="007035D2">
        <w:t xml:space="preserve"> </w:t>
      </w:r>
      <w:r w:rsidR="00665989">
        <w:t>quanto a</w:t>
      </w:r>
      <w:r w:rsidR="007035D2">
        <w:t>lla loro idoneità “</w:t>
      </w:r>
      <w:r w:rsidR="007035D2" w:rsidRPr="00CA6F85">
        <w:t>a dimostrare, in modo circostanziato e</w:t>
      </w:r>
      <w:r w:rsidR="007035D2">
        <w:t xml:space="preserve"> </w:t>
      </w:r>
      <w:r w:rsidR="007035D2" w:rsidRPr="00CA6F85">
        <w:t>puntuale, comunque in coerenza con la normativa tributaria sostanziale, le ragioni oggettive su cui si</w:t>
      </w:r>
      <w:r w:rsidR="007035D2">
        <w:t xml:space="preserve"> </w:t>
      </w:r>
      <w:r w:rsidR="007035D2" w:rsidRPr="00CA6F85">
        <w:t>fondano la pretesa impositiva e l</w:t>
      </w:r>
      <w:r w:rsidR="007035D2">
        <w:t>’</w:t>
      </w:r>
      <w:r w:rsidR="007035D2" w:rsidRPr="00CA6F85">
        <w:t>irrogazione delle sanzioni</w:t>
      </w:r>
      <w:r w:rsidR="007035D2">
        <w:t>”.</w:t>
      </w:r>
    </w:p>
    <w:p w14:paraId="35648B16" w14:textId="77777777" w:rsidR="006E10C9" w:rsidRDefault="00AF7740" w:rsidP="008B5A2A">
      <w:pPr>
        <w:ind w:right="-1" w:firstLine="567"/>
      </w:pPr>
      <w:r>
        <w:t>Quest’</w:t>
      </w:r>
      <w:r w:rsidR="006E10C9">
        <w:t xml:space="preserve">onere, in base alla </w:t>
      </w:r>
      <w:r>
        <w:t xml:space="preserve">lettera della </w:t>
      </w:r>
      <w:r w:rsidR="006E10C9">
        <w:t>legge, va assolto in termini di non contraddittorietà e di non insufficienza.</w:t>
      </w:r>
    </w:p>
    <w:p w14:paraId="6D38928C" w14:textId="77777777" w:rsidR="00B622BC" w:rsidRDefault="00B622BC" w:rsidP="008B5A2A">
      <w:pPr>
        <w:ind w:right="-1" w:firstLine="567"/>
      </w:pPr>
      <w:r>
        <w:t xml:space="preserve">La coerenza e la </w:t>
      </w:r>
      <w:r w:rsidR="00766A1D">
        <w:t xml:space="preserve">sufficienza </w:t>
      </w:r>
      <w:r>
        <w:t>dimostrativa costituiscono, pertanto,</w:t>
      </w:r>
      <w:r w:rsidR="00766A1D">
        <w:t xml:space="preserve"> l</w:t>
      </w:r>
      <w:r>
        <w:t>a</w:t>
      </w:r>
      <w:r w:rsidR="00766A1D">
        <w:t xml:space="preserve"> </w:t>
      </w:r>
      <w:r>
        <w:t xml:space="preserve">dimensione </w:t>
      </w:r>
      <w:r w:rsidR="00766A1D">
        <w:t>eziologica della prova</w:t>
      </w:r>
      <w:r>
        <w:t>, il nesso da cui far discendere</w:t>
      </w:r>
      <w:r w:rsidR="00DD4C8A">
        <w:t xml:space="preserve">, secondo </w:t>
      </w:r>
      <w:r w:rsidR="00C57063">
        <w:t xml:space="preserve">i canoni </w:t>
      </w:r>
      <w:r>
        <w:t>d</w:t>
      </w:r>
      <w:r w:rsidR="00C57063">
        <w:t xml:space="preserve">i </w:t>
      </w:r>
      <w:r w:rsidR="00AF7740">
        <w:t xml:space="preserve">comune </w:t>
      </w:r>
      <w:r w:rsidR="00C57063">
        <w:t>esperienza</w:t>
      </w:r>
      <w:r w:rsidR="00766A1D">
        <w:t xml:space="preserve">, </w:t>
      </w:r>
      <w:r w:rsidR="00F95F9C">
        <w:t xml:space="preserve">il fatto ignoto da quello noto, </w:t>
      </w:r>
      <w:r>
        <w:t>c</w:t>
      </w:r>
      <w:r w:rsidR="00F95F9C">
        <w:t>om’</w:t>
      </w:r>
      <w:r>
        <w:t xml:space="preserve">è </w:t>
      </w:r>
      <w:r w:rsidR="005711D9">
        <w:t>t</w:t>
      </w:r>
      <w:r w:rsidR="00766A1D">
        <w:t>i</w:t>
      </w:r>
      <w:r w:rsidR="005711D9">
        <w:t>pic</w:t>
      </w:r>
      <w:r w:rsidR="00F95F9C">
        <w:t>o</w:t>
      </w:r>
      <w:r w:rsidR="00766A1D">
        <w:t xml:space="preserve"> del sistema delle presunzioni (semplici e legali)</w:t>
      </w:r>
      <w:r>
        <w:t>.</w:t>
      </w:r>
    </w:p>
    <w:p w14:paraId="2E5AF09C" w14:textId="77777777" w:rsidR="00142D82" w:rsidRDefault="00832183" w:rsidP="00CC7072">
      <w:pPr>
        <w:ind w:right="-1" w:firstLine="567"/>
      </w:pPr>
      <w:r>
        <w:t>Ora, u</w:t>
      </w:r>
      <w:r w:rsidR="00AF7740">
        <w:t>n</w:t>
      </w:r>
      <w:r w:rsidR="00DD4C8A">
        <w:t>a</w:t>
      </w:r>
      <w:r w:rsidR="00AF7740">
        <w:t xml:space="preserve"> siffatta</w:t>
      </w:r>
      <w:r w:rsidR="00142D82">
        <w:t xml:space="preserve"> costruzione </w:t>
      </w:r>
      <w:r w:rsidR="00AF7740">
        <w:t xml:space="preserve">della </w:t>
      </w:r>
      <w:r w:rsidR="00142D82">
        <w:t>causal</w:t>
      </w:r>
      <w:r w:rsidR="00AF7740">
        <w:t>ità</w:t>
      </w:r>
      <w:r w:rsidR="00142D82">
        <w:t xml:space="preserve"> non è </w:t>
      </w:r>
      <w:r w:rsidR="00F95F9C">
        <w:t xml:space="preserve">per nulla </w:t>
      </w:r>
      <w:r w:rsidR="00142D82">
        <w:t xml:space="preserve">assimilabile al </w:t>
      </w:r>
      <w:r w:rsidR="000548A0">
        <w:t>parame</w:t>
      </w:r>
      <w:r w:rsidR="00142D82">
        <w:t>t</w:t>
      </w:r>
      <w:r w:rsidR="000548A0">
        <w:t>r</w:t>
      </w:r>
      <w:r w:rsidR="00142D82">
        <w:t>o d</w:t>
      </w:r>
      <w:r w:rsidR="000548A0">
        <w:t>ell’</w:t>
      </w:r>
      <w:r w:rsidR="00142D82" w:rsidRPr="000548A0">
        <w:rPr>
          <w:i/>
        </w:rPr>
        <w:t>al di</w:t>
      </w:r>
      <w:r w:rsidR="00531510" w:rsidRPr="000548A0">
        <w:rPr>
          <w:i/>
        </w:rPr>
        <w:t xml:space="preserve"> là di ogni ragionevole dubbio</w:t>
      </w:r>
      <w:r w:rsidR="003D41FE">
        <w:t xml:space="preserve">, </w:t>
      </w:r>
      <w:r>
        <w:t>proprio dell’</w:t>
      </w:r>
      <w:r w:rsidR="00142D82">
        <w:t>àmbito penale</w:t>
      </w:r>
      <w:r w:rsidR="00DD4C8A">
        <w:t xml:space="preserve"> </w:t>
      </w:r>
      <w:r w:rsidR="00CC7072">
        <w:t>ed in forza del quale</w:t>
      </w:r>
      <w:r>
        <w:t xml:space="preserve"> – anche nella valutazione della prova indiziaria –</w:t>
      </w:r>
      <w:r w:rsidRPr="00832183">
        <w:t xml:space="preserve"> </w:t>
      </w:r>
      <w:r>
        <w:t>l</w:t>
      </w:r>
      <w:r w:rsidR="00DD4C8A">
        <w:t xml:space="preserve">a soluzione prescelta non </w:t>
      </w:r>
      <w:r w:rsidR="00CC7072">
        <w:t>può essere</w:t>
      </w:r>
      <w:r w:rsidR="003D41FE">
        <w:t xml:space="preserve"> </w:t>
      </w:r>
      <w:r w:rsidR="00DD4C8A">
        <w:t xml:space="preserve">la più </w:t>
      </w:r>
      <w:r w:rsidR="008B5A2A">
        <w:t>probabi</w:t>
      </w:r>
      <w:r w:rsidR="00DD4C8A">
        <w:t xml:space="preserve">le, ma </w:t>
      </w:r>
      <w:r w:rsidR="00CC7072">
        <w:t xml:space="preserve">dev’essere  </w:t>
      </w:r>
      <w:r w:rsidR="008B5A2A">
        <w:t>quel</w:t>
      </w:r>
      <w:r w:rsidR="00DD4C8A">
        <w:t xml:space="preserve">la </w:t>
      </w:r>
      <w:r w:rsidR="008B5A2A">
        <w:t>indubitabile ed incontestabile</w:t>
      </w:r>
      <w:r w:rsidR="003D41FE">
        <w:t>, dovendosi ragionare in termini di alta probabilità logica e di certezza processuale</w:t>
      </w:r>
      <w:r w:rsidR="003D41FE">
        <w:rPr>
          <w:rStyle w:val="Rimandonotaapidipagina"/>
        </w:rPr>
        <w:footnoteReference w:id="16"/>
      </w:r>
      <w:r w:rsidR="00142D82">
        <w:t>.</w:t>
      </w:r>
    </w:p>
    <w:p w14:paraId="71CD4BF0" w14:textId="77777777" w:rsidR="005711D9" w:rsidRPr="00031BA1" w:rsidRDefault="00B477DA" w:rsidP="008B5A2A">
      <w:pPr>
        <w:ind w:right="-1" w:firstLine="567"/>
        <w:rPr>
          <w:color w:val="212529"/>
          <w:lang w:eastAsia="it-IT"/>
        </w:rPr>
      </w:pPr>
      <w:r>
        <w:rPr>
          <w:color w:val="212529"/>
          <w:lang w:eastAsia="it-IT"/>
        </w:rPr>
        <w:t>I</w:t>
      </w:r>
      <w:r w:rsidR="005711D9">
        <w:rPr>
          <w:color w:val="212529"/>
          <w:lang w:eastAsia="it-IT"/>
        </w:rPr>
        <w:t>n</w:t>
      </w:r>
      <w:r w:rsidR="00832183">
        <w:rPr>
          <w:color w:val="212529"/>
          <w:lang w:eastAsia="it-IT"/>
        </w:rPr>
        <w:t>somma</w:t>
      </w:r>
      <w:r w:rsidR="005711D9">
        <w:rPr>
          <w:color w:val="212529"/>
          <w:lang w:eastAsia="it-IT"/>
        </w:rPr>
        <w:t>,</w:t>
      </w:r>
      <w:r w:rsidR="005711D9" w:rsidRPr="00F67350">
        <w:rPr>
          <w:color w:val="212529"/>
          <w:lang w:eastAsia="it-IT"/>
        </w:rPr>
        <w:t xml:space="preserve"> il comma 5-</w:t>
      </w:r>
      <w:r w:rsidR="005711D9" w:rsidRPr="00F67350">
        <w:rPr>
          <w:i/>
          <w:iCs/>
          <w:color w:val="212529"/>
          <w:lang w:eastAsia="it-IT"/>
        </w:rPr>
        <w:t>bis</w:t>
      </w:r>
      <w:r w:rsidR="005711D9" w:rsidRPr="00F67350">
        <w:rPr>
          <w:color w:val="212529"/>
          <w:lang w:eastAsia="it-IT"/>
        </w:rPr>
        <w:t>, non </w:t>
      </w:r>
      <w:r w:rsidR="005711D9">
        <w:rPr>
          <w:color w:val="212529"/>
          <w:lang w:eastAsia="it-IT"/>
        </w:rPr>
        <w:t>“</w:t>
      </w:r>
      <w:r w:rsidR="005711D9" w:rsidRPr="005711D9">
        <w:rPr>
          <w:iCs/>
          <w:color w:val="212529"/>
          <w:lang w:eastAsia="it-IT"/>
        </w:rPr>
        <w:t>pare sufficiente ad esigere che tra il fatto noto e quello ignoto sussista un legame di assoluta ed esclusiva necessità causale, bastando che il fatto da provare sia desumibile dal fatto noto come conseguenza ragionevolmente possibile, secondo criterio di normalità, visto che la deduzione logica è una valutazione che, in quanto tale, deve essere probabilmente convincente, non oggettivamente inconfutabile. Ciò che richiede la legge per l’impiego di prove critiche è che la presunzione sia prova, non già mero indizio. Il che si potrà stabilire avendo riguardo al grado di probabilismo logico sotteso al collegamento induttivo fatto noto/fatto ignoto, senza che tuttavia il risultato della prova presuntiva debba essere unico, essendo sufficiente che sia quello più attendibile rispetto ad altri possibili collegamenti inferenziali tratti dallo stesso fatto noto</w:t>
      </w:r>
      <w:r w:rsidR="005711D9" w:rsidRPr="00F67350">
        <w:rPr>
          <w:color w:val="212529"/>
          <w:lang w:eastAsia="it-IT"/>
        </w:rPr>
        <w:t>”</w:t>
      </w:r>
      <w:r w:rsidR="005711D9">
        <w:rPr>
          <w:rStyle w:val="Rimandonotaapidipagina"/>
          <w:color w:val="212529"/>
          <w:lang w:eastAsia="it-IT"/>
        </w:rPr>
        <w:footnoteReference w:id="17"/>
      </w:r>
      <w:r w:rsidR="005711D9" w:rsidRPr="00F67350">
        <w:rPr>
          <w:color w:val="212529"/>
          <w:lang w:eastAsia="it-IT"/>
        </w:rPr>
        <w:t>.</w:t>
      </w:r>
    </w:p>
    <w:p w14:paraId="6BE72A06" w14:textId="77777777" w:rsidR="00D2448B" w:rsidRDefault="00351225" w:rsidP="008B5A2A">
      <w:pPr>
        <w:ind w:right="-1" w:firstLine="567"/>
      </w:pPr>
      <w:r>
        <w:lastRenderedPageBreak/>
        <w:t>Dunque</w:t>
      </w:r>
      <w:r w:rsidR="008B5A2A">
        <w:t xml:space="preserve">, </w:t>
      </w:r>
      <w:r w:rsidR="00B477DA">
        <w:t>l’enunciato</w:t>
      </w:r>
      <w:r w:rsidR="00C57063">
        <w:t xml:space="preserve"> </w:t>
      </w:r>
      <w:r w:rsidR="00B477DA">
        <w:t>legislativo per cui</w:t>
      </w:r>
      <w:r w:rsidR="00C57063">
        <w:t xml:space="preserve"> </w:t>
      </w:r>
      <w:r w:rsidR="002434E9">
        <w:t>“l</w:t>
      </w:r>
      <w:r w:rsidR="00D2448B">
        <w:t>’</w:t>
      </w:r>
      <w:r w:rsidR="00D2448B" w:rsidRPr="00CA6F85">
        <w:t>amministrazione prova in giudizio le violazioni contestate con l</w:t>
      </w:r>
      <w:r w:rsidR="00D2448B">
        <w:t>’</w:t>
      </w:r>
      <w:r w:rsidR="00D2448B" w:rsidRPr="00CA6F85">
        <w:t>atto impugnato</w:t>
      </w:r>
      <w:r w:rsidR="00D2448B">
        <w:t>”</w:t>
      </w:r>
      <w:r w:rsidR="002434E9" w:rsidRPr="002434E9">
        <w:t xml:space="preserve"> </w:t>
      </w:r>
      <w:r w:rsidR="002434E9">
        <w:t>e</w:t>
      </w:r>
      <w:r w:rsidR="00744297">
        <w:t>d</w:t>
      </w:r>
      <w:r w:rsidR="00C57063">
        <w:t xml:space="preserve"> </w:t>
      </w:r>
      <w:r w:rsidR="002434E9">
        <w:t>“i</w:t>
      </w:r>
      <w:r w:rsidR="002434E9" w:rsidRPr="00CA6F85">
        <w:t>l giudice fonda la</w:t>
      </w:r>
      <w:r w:rsidR="002434E9">
        <w:t xml:space="preserve"> </w:t>
      </w:r>
      <w:r w:rsidR="002434E9" w:rsidRPr="00CA6F85">
        <w:t>decisione sugli elementi di prova che emergono nel giudizio</w:t>
      </w:r>
      <w:r w:rsidR="002434E9">
        <w:t xml:space="preserve">” </w:t>
      </w:r>
      <w:r w:rsidR="00B477DA">
        <w:t xml:space="preserve">non </w:t>
      </w:r>
      <w:r w:rsidR="00C57063">
        <w:t>vuol</w:t>
      </w:r>
      <w:r w:rsidR="00D2448B">
        <w:t xml:space="preserve"> significa</w:t>
      </w:r>
      <w:r w:rsidR="002434E9">
        <w:t>re</w:t>
      </w:r>
      <w:r w:rsidR="00D2448B">
        <w:t xml:space="preserve"> </w:t>
      </w:r>
      <w:r w:rsidR="00B477DA">
        <w:t xml:space="preserve">altro </w:t>
      </w:r>
      <w:r w:rsidR="00D2448B">
        <w:t>che</w:t>
      </w:r>
      <w:r w:rsidR="00C57063">
        <w:t>, nel processo,</w:t>
      </w:r>
      <w:r w:rsidR="002434E9">
        <w:t xml:space="preserve"> </w:t>
      </w:r>
      <w:r w:rsidR="002B4BDB">
        <w:t xml:space="preserve">l’amministrazione </w:t>
      </w:r>
      <w:r w:rsidR="00BD03FC">
        <w:t xml:space="preserve">tributaria </w:t>
      </w:r>
      <w:r w:rsidR="002B4BDB">
        <w:t>è chiamata a provare</w:t>
      </w:r>
      <w:r w:rsidR="00C57063">
        <w:t>,</w:t>
      </w:r>
      <w:r w:rsidR="002B4BDB">
        <w:t xml:space="preserve"> </w:t>
      </w:r>
      <w:r w:rsidR="00C57063">
        <w:t xml:space="preserve">secondo criteri di ragionevolezza, </w:t>
      </w:r>
      <w:r w:rsidR="008B5A2A">
        <w:t xml:space="preserve">il compendio motivazionale </w:t>
      </w:r>
      <w:r w:rsidR="00744297">
        <w:t xml:space="preserve">dell’atto impugnato </w:t>
      </w:r>
      <w:r w:rsidR="00C57063">
        <w:t xml:space="preserve">e </w:t>
      </w:r>
      <w:r w:rsidR="002B4BDB">
        <w:t>che</w:t>
      </w:r>
      <w:r w:rsidR="002434E9">
        <w:t xml:space="preserve"> il giudice </w:t>
      </w:r>
      <w:r w:rsidR="00C57063">
        <w:t>deve</w:t>
      </w:r>
      <w:r w:rsidR="002434E9">
        <w:t xml:space="preserve"> basare</w:t>
      </w:r>
      <w:r w:rsidR="002B4BDB">
        <w:t xml:space="preserve"> la propria decisione solo su</w:t>
      </w:r>
      <w:r w:rsidR="007035D2">
        <w:t xml:space="preserve">i fatti </w:t>
      </w:r>
      <w:r w:rsidR="002434E9">
        <w:t>oggetto di allegazione e di prova</w:t>
      </w:r>
      <w:r w:rsidR="005F3184">
        <w:t>.</w:t>
      </w:r>
    </w:p>
    <w:p w14:paraId="1E44217E" w14:textId="77777777" w:rsidR="002A568E" w:rsidRDefault="000548A0" w:rsidP="008B5A2A">
      <w:pPr>
        <w:ind w:right="-1" w:firstLine="567"/>
      </w:pPr>
      <w:r>
        <w:t>A valle di questo sindacato</w:t>
      </w:r>
      <w:r w:rsidR="00744297">
        <w:t>, l</w:t>
      </w:r>
      <w:r w:rsidR="002A568E">
        <w:t>addove</w:t>
      </w:r>
      <w:r w:rsidR="008B5A2A">
        <w:t xml:space="preserve"> </w:t>
      </w:r>
      <w:r w:rsidR="002A568E">
        <w:t xml:space="preserve">i fatti non </w:t>
      </w:r>
      <w:r>
        <w:t xml:space="preserve">risultino </w:t>
      </w:r>
      <w:r w:rsidR="00031BA1">
        <w:t>sussist</w:t>
      </w:r>
      <w:r>
        <w:t xml:space="preserve">enti </w:t>
      </w:r>
      <w:r w:rsidR="002A568E">
        <w:t xml:space="preserve">o </w:t>
      </w:r>
      <w:r w:rsidR="00142D82">
        <w:t xml:space="preserve">non </w:t>
      </w:r>
      <w:r w:rsidR="002A568E">
        <w:t xml:space="preserve">siano </w:t>
      </w:r>
      <w:r w:rsidR="00C57063">
        <w:t xml:space="preserve">adeguatamente </w:t>
      </w:r>
      <w:r w:rsidR="00031BA1">
        <w:t>provati</w:t>
      </w:r>
      <w:r w:rsidR="002A568E">
        <w:t>, il giudice annulla, in tutto o in parte, il provvedimento impugnato.</w:t>
      </w:r>
    </w:p>
    <w:p w14:paraId="36C5953F" w14:textId="77777777" w:rsidR="00333833" w:rsidRDefault="00744297" w:rsidP="002A77B4">
      <w:pPr>
        <w:ind w:right="-1" w:firstLine="567"/>
      </w:pPr>
      <w:r>
        <w:t>I</w:t>
      </w:r>
      <w:r w:rsidR="002C107F">
        <w:t xml:space="preserve"> c</w:t>
      </w:r>
      <w:r w:rsidR="007E0DD6">
        <w:t xml:space="preserve">orollari di questa </w:t>
      </w:r>
      <w:r w:rsidR="00832183">
        <w:t>nuov</w:t>
      </w:r>
      <w:r w:rsidR="008741CD">
        <w:t>a</w:t>
      </w:r>
      <w:r w:rsidR="00832183">
        <w:t xml:space="preserve"> </w:t>
      </w:r>
      <w:r w:rsidR="007E0DD6">
        <w:t>impostazione</w:t>
      </w:r>
      <w:r w:rsidR="00B33AD6">
        <w:t xml:space="preserve"> </w:t>
      </w:r>
      <w:r w:rsidR="008B5A2A">
        <w:t>s</w:t>
      </w:r>
      <w:r>
        <w:t>o</w:t>
      </w:r>
      <w:r w:rsidR="008B5A2A">
        <w:t>no</w:t>
      </w:r>
      <w:r w:rsidR="002C107F">
        <w:t xml:space="preserve"> essenzialmente </w:t>
      </w:r>
      <w:r w:rsidR="002A77B4">
        <w:t>tr</w:t>
      </w:r>
      <w:r w:rsidR="002C107F">
        <w:t>e:</w:t>
      </w:r>
    </w:p>
    <w:p w14:paraId="54FB6DBF" w14:textId="77777777" w:rsidR="002A77B4" w:rsidRPr="00E55ECF" w:rsidRDefault="002A77B4" w:rsidP="008B5A2A">
      <w:pPr>
        <w:ind w:right="-1" w:firstLine="567"/>
      </w:pPr>
      <w:r w:rsidRPr="00E55ECF">
        <w:t xml:space="preserve">- l’obbligo per l’amministrazione finanziaria di </w:t>
      </w:r>
      <w:r w:rsidR="00E55ECF" w:rsidRPr="00E55ECF">
        <w:t>indicare</w:t>
      </w:r>
      <w:r w:rsidR="00BD48D9" w:rsidRPr="00BD48D9">
        <w:t xml:space="preserve"> </w:t>
      </w:r>
      <w:r w:rsidR="00BD48D9" w:rsidRPr="00CA6F85">
        <w:t>in modo circostanziato e</w:t>
      </w:r>
      <w:r w:rsidR="00BD48D9">
        <w:t xml:space="preserve"> </w:t>
      </w:r>
      <w:r w:rsidR="00BD48D9" w:rsidRPr="00CA6F85">
        <w:t>puntuale</w:t>
      </w:r>
      <w:r w:rsidR="008741CD">
        <w:t>, a pena d</w:t>
      </w:r>
      <w:r w:rsidR="00351225">
        <w:t>i annullabilità</w:t>
      </w:r>
      <w:r w:rsidR="00474D23" w:rsidRPr="00474D23">
        <w:t xml:space="preserve"> </w:t>
      </w:r>
      <w:r w:rsidR="00474D23">
        <w:t>dell’atto</w:t>
      </w:r>
      <w:r w:rsidR="00351225">
        <w:t>,</w:t>
      </w:r>
      <w:r w:rsidR="00E55ECF" w:rsidRPr="00E55ECF">
        <w:t xml:space="preserve"> </w:t>
      </w:r>
      <w:r w:rsidR="00CC4147">
        <w:t xml:space="preserve">i fatti e le prove </w:t>
      </w:r>
      <w:r w:rsidR="00E55ECF" w:rsidRPr="00E55ECF">
        <w:t>e</w:t>
      </w:r>
      <w:r w:rsidR="00351225">
        <w:t>d</w:t>
      </w:r>
      <w:r w:rsidR="00E55ECF" w:rsidRPr="00E55ECF">
        <w:t xml:space="preserve"> in particolare</w:t>
      </w:r>
      <w:r w:rsidR="00351225">
        <w:t>, quando si procede mediante presunzione</w:t>
      </w:r>
      <w:r w:rsidR="00E55ECF" w:rsidRPr="00E55ECF">
        <w:t>, di “indicare il tipo di presunzione di cui si vuole avvalere, il fatto noto e tutti gli elementi di fatto di cui dispone per chiedere la configurazione della prova presuntiva”</w:t>
      </w:r>
      <w:r w:rsidR="00E55ECF">
        <w:rPr>
          <w:rStyle w:val="Rimandonotaapidipagina"/>
        </w:rPr>
        <w:footnoteReference w:id="18"/>
      </w:r>
      <w:r w:rsidR="00E55ECF" w:rsidRPr="00E55ECF">
        <w:t>;</w:t>
      </w:r>
    </w:p>
    <w:p w14:paraId="4CAE2CC0" w14:textId="77777777" w:rsidR="002C107F" w:rsidRDefault="002C107F" w:rsidP="008B5A2A">
      <w:pPr>
        <w:ind w:right="-1" w:firstLine="567"/>
        <w:rPr>
          <w:color w:val="212529"/>
          <w:lang w:eastAsia="it-IT"/>
        </w:rPr>
      </w:pPr>
      <w:r>
        <w:rPr>
          <w:color w:val="212529"/>
          <w:lang w:eastAsia="it-IT"/>
        </w:rPr>
        <w:t>-</w:t>
      </w:r>
      <w:r w:rsidRPr="00F67350">
        <w:rPr>
          <w:color w:val="212529"/>
          <w:lang w:eastAsia="it-IT"/>
        </w:rPr>
        <w:t xml:space="preserve"> </w:t>
      </w:r>
      <w:r>
        <w:rPr>
          <w:color w:val="212529"/>
          <w:lang w:eastAsia="it-IT"/>
        </w:rPr>
        <w:t xml:space="preserve">la </w:t>
      </w:r>
      <w:r w:rsidR="00744297">
        <w:rPr>
          <w:color w:val="212529"/>
          <w:lang w:eastAsia="it-IT"/>
        </w:rPr>
        <w:t xml:space="preserve">preclusione </w:t>
      </w:r>
      <w:r>
        <w:rPr>
          <w:color w:val="212529"/>
          <w:lang w:eastAsia="it-IT"/>
        </w:rPr>
        <w:t xml:space="preserve">per </w:t>
      </w:r>
      <w:r w:rsidRPr="00F67350">
        <w:rPr>
          <w:color w:val="212529"/>
          <w:lang w:eastAsia="it-IT"/>
        </w:rPr>
        <w:t>l’</w:t>
      </w:r>
      <w:r>
        <w:rPr>
          <w:color w:val="212529"/>
          <w:lang w:eastAsia="it-IT"/>
        </w:rPr>
        <w:t>a</w:t>
      </w:r>
      <w:r w:rsidRPr="00F67350">
        <w:rPr>
          <w:color w:val="212529"/>
          <w:lang w:eastAsia="it-IT"/>
        </w:rPr>
        <w:t xml:space="preserve">mministrazione </w:t>
      </w:r>
      <w:r w:rsidR="002A77B4">
        <w:rPr>
          <w:color w:val="212529"/>
          <w:lang w:eastAsia="it-IT"/>
        </w:rPr>
        <w:t>finanziaria</w:t>
      </w:r>
      <w:r w:rsidR="00351225" w:rsidRPr="00351225">
        <w:rPr>
          <w:color w:val="212529"/>
          <w:lang w:eastAsia="it-IT"/>
        </w:rPr>
        <w:t xml:space="preserve"> </w:t>
      </w:r>
      <w:r w:rsidR="00351225" w:rsidRPr="00F67350">
        <w:rPr>
          <w:color w:val="212529"/>
          <w:lang w:eastAsia="it-IT"/>
        </w:rPr>
        <w:t>d</w:t>
      </w:r>
      <w:r w:rsidR="00351225">
        <w:rPr>
          <w:color w:val="212529"/>
          <w:lang w:eastAsia="it-IT"/>
        </w:rPr>
        <w:t>’</w:t>
      </w:r>
      <w:r w:rsidR="00351225" w:rsidRPr="00F67350">
        <w:rPr>
          <w:color w:val="212529"/>
          <w:lang w:eastAsia="it-IT"/>
        </w:rPr>
        <w:t>introdurre nel processo</w:t>
      </w:r>
      <w:r w:rsidR="00351225">
        <w:rPr>
          <w:color w:val="212529"/>
          <w:lang w:eastAsia="it-IT"/>
        </w:rPr>
        <w:t>, a pena di inutilizzabilità,</w:t>
      </w:r>
      <w:r w:rsidR="002A77B4">
        <w:rPr>
          <w:color w:val="212529"/>
          <w:lang w:eastAsia="it-IT"/>
        </w:rPr>
        <w:t xml:space="preserve"> </w:t>
      </w:r>
      <w:r w:rsidR="00031BA1">
        <w:rPr>
          <w:color w:val="212529"/>
          <w:lang w:eastAsia="it-IT"/>
        </w:rPr>
        <w:t>fatt</w:t>
      </w:r>
      <w:r w:rsidRPr="00F67350">
        <w:rPr>
          <w:color w:val="212529"/>
          <w:lang w:eastAsia="it-IT"/>
        </w:rPr>
        <w:t>i</w:t>
      </w:r>
      <w:r w:rsidR="00031BA1">
        <w:rPr>
          <w:color w:val="212529"/>
          <w:lang w:eastAsia="it-IT"/>
        </w:rPr>
        <w:t xml:space="preserve"> e</w:t>
      </w:r>
      <w:r w:rsidRPr="00F67350">
        <w:rPr>
          <w:color w:val="212529"/>
          <w:lang w:eastAsia="it-IT"/>
        </w:rPr>
        <w:t xml:space="preserve"> mezzi di prova </w:t>
      </w:r>
      <w:r w:rsidR="00BD03FC">
        <w:rPr>
          <w:color w:val="212529"/>
          <w:lang w:eastAsia="it-IT"/>
        </w:rPr>
        <w:t xml:space="preserve">diversi da quelli </w:t>
      </w:r>
      <w:r w:rsidRPr="00F67350">
        <w:rPr>
          <w:color w:val="212529"/>
          <w:lang w:eastAsia="it-IT"/>
        </w:rPr>
        <w:t>espressamente indicati nell’atto imp</w:t>
      </w:r>
      <w:r>
        <w:rPr>
          <w:color w:val="212529"/>
          <w:lang w:eastAsia="it-IT"/>
        </w:rPr>
        <w:t>ugnat</w:t>
      </w:r>
      <w:r w:rsidRPr="00F67350">
        <w:rPr>
          <w:color w:val="212529"/>
          <w:lang w:eastAsia="it-IT"/>
        </w:rPr>
        <w:t>o</w:t>
      </w:r>
      <w:r>
        <w:rPr>
          <w:color w:val="212529"/>
          <w:lang w:eastAsia="it-IT"/>
        </w:rPr>
        <w:t>;</w:t>
      </w:r>
    </w:p>
    <w:p w14:paraId="50F79EF6" w14:textId="77777777" w:rsidR="002C107F" w:rsidRPr="00F67350" w:rsidRDefault="002C107F" w:rsidP="008B5A2A">
      <w:pPr>
        <w:ind w:right="-1" w:firstLine="567"/>
        <w:rPr>
          <w:color w:val="212529"/>
          <w:lang w:eastAsia="it-IT"/>
        </w:rPr>
      </w:pPr>
      <w:r>
        <w:rPr>
          <w:color w:val="212529"/>
          <w:lang w:eastAsia="it-IT"/>
        </w:rPr>
        <w:t xml:space="preserve">- la </w:t>
      </w:r>
      <w:r w:rsidR="00744297">
        <w:rPr>
          <w:color w:val="212529"/>
          <w:lang w:eastAsia="it-IT"/>
        </w:rPr>
        <w:t xml:space="preserve">preclusione </w:t>
      </w:r>
      <w:r>
        <w:rPr>
          <w:color w:val="212529"/>
          <w:lang w:eastAsia="it-IT"/>
        </w:rPr>
        <w:t xml:space="preserve">per </w:t>
      </w:r>
      <w:r w:rsidRPr="002C107F">
        <w:rPr>
          <w:color w:val="212529"/>
          <w:lang w:eastAsia="it-IT"/>
        </w:rPr>
        <w:t>il giudice</w:t>
      </w:r>
      <w:r w:rsidR="00031BA1">
        <w:rPr>
          <w:color w:val="212529"/>
          <w:lang w:eastAsia="it-IT"/>
        </w:rPr>
        <w:t xml:space="preserve"> </w:t>
      </w:r>
      <w:r w:rsidR="005E6384">
        <w:rPr>
          <w:color w:val="212529"/>
          <w:lang w:eastAsia="it-IT"/>
        </w:rPr>
        <w:t>di</w:t>
      </w:r>
      <w:r w:rsidRPr="002C107F">
        <w:rPr>
          <w:color w:val="212529"/>
          <w:lang w:eastAsia="it-IT"/>
        </w:rPr>
        <w:t xml:space="preserve"> sostituirsi</w:t>
      </w:r>
      <w:r w:rsidR="00142D82">
        <w:rPr>
          <w:color w:val="212529"/>
          <w:lang w:eastAsia="it-IT"/>
        </w:rPr>
        <w:t>,</w:t>
      </w:r>
      <w:r w:rsidRPr="002C107F">
        <w:rPr>
          <w:color w:val="212529"/>
          <w:lang w:eastAsia="it-IT"/>
        </w:rPr>
        <w:t xml:space="preserve"> </w:t>
      </w:r>
      <w:r w:rsidR="00142D82" w:rsidRPr="002C107F">
        <w:rPr>
          <w:color w:val="212529"/>
          <w:lang w:eastAsia="it-IT"/>
        </w:rPr>
        <w:t xml:space="preserve">nell’esercizio dei </w:t>
      </w:r>
      <w:r w:rsidR="00142D82">
        <w:rPr>
          <w:color w:val="212529"/>
          <w:lang w:eastAsia="it-IT"/>
        </w:rPr>
        <w:t xml:space="preserve">propri </w:t>
      </w:r>
      <w:r w:rsidR="00142D82" w:rsidRPr="002C107F">
        <w:rPr>
          <w:color w:val="212529"/>
          <w:lang w:eastAsia="it-IT"/>
        </w:rPr>
        <w:t>poteri istruttori</w:t>
      </w:r>
      <w:r w:rsidR="00142D82">
        <w:rPr>
          <w:color w:val="212529"/>
          <w:lang w:eastAsia="it-IT"/>
        </w:rPr>
        <w:t>,</w:t>
      </w:r>
      <w:r w:rsidR="00142D82" w:rsidRPr="002C107F">
        <w:rPr>
          <w:color w:val="212529"/>
          <w:lang w:eastAsia="it-IT"/>
        </w:rPr>
        <w:t xml:space="preserve"> </w:t>
      </w:r>
      <w:r w:rsidRPr="002C107F">
        <w:rPr>
          <w:color w:val="212529"/>
          <w:lang w:eastAsia="it-IT"/>
        </w:rPr>
        <w:t>all</w:t>
      </w:r>
      <w:r>
        <w:rPr>
          <w:color w:val="212529"/>
          <w:lang w:eastAsia="it-IT"/>
        </w:rPr>
        <w:t>a parte onerata della prova</w:t>
      </w:r>
      <w:r w:rsidR="00351225">
        <w:rPr>
          <w:color w:val="212529"/>
          <w:lang w:eastAsia="it-IT"/>
        </w:rPr>
        <w:t xml:space="preserve">, </w:t>
      </w:r>
      <w:r w:rsidR="00A34244">
        <w:rPr>
          <w:color w:val="212529"/>
          <w:lang w:eastAsia="it-IT"/>
        </w:rPr>
        <w:t>salvo</w:t>
      </w:r>
      <w:r w:rsidR="00351225">
        <w:rPr>
          <w:color w:val="212529"/>
          <w:lang w:eastAsia="it-IT"/>
        </w:rPr>
        <w:t xml:space="preserve"> </w:t>
      </w:r>
      <w:r w:rsidR="00A34244">
        <w:rPr>
          <w:color w:val="212529"/>
          <w:lang w:eastAsia="it-IT"/>
        </w:rPr>
        <w:t>commettere una</w:t>
      </w:r>
      <w:r w:rsidR="00813B2D">
        <w:rPr>
          <w:color w:val="212529"/>
          <w:lang w:eastAsia="it-IT"/>
        </w:rPr>
        <w:t xml:space="preserve"> </w:t>
      </w:r>
      <w:r w:rsidR="00813B2D" w:rsidRPr="00813B2D">
        <w:rPr>
          <w:color w:val="212529"/>
          <w:lang w:eastAsia="it-IT"/>
        </w:rPr>
        <w:t>violazion</w:t>
      </w:r>
      <w:r w:rsidR="00A34244">
        <w:rPr>
          <w:color w:val="212529"/>
          <w:lang w:eastAsia="it-IT"/>
        </w:rPr>
        <w:t>e</w:t>
      </w:r>
      <w:r w:rsidR="00813B2D" w:rsidRPr="00813B2D">
        <w:rPr>
          <w:color w:val="212529"/>
          <w:lang w:eastAsia="it-IT"/>
        </w:rPr>
        <w:t xml:space="preserve"> di legge</w:t>
      </w:r>
      <w:r w:rsidR="00C12CDE">
        <w:rPr>
          <w:rStyle w:val="Rimandonotaapidipagina"/>
          <w:color w:val="212529"/>
          <w:lang w:eastAsia="it-IT"/>
        </w:rPr>
        <w:footnoteReference w:id="19"/>
      </w:r>
      <w:r w:rsidRPr="00F67350">
        <w:rPr>
          <w:color w:val="212529"/>
          <w:lang w:eastAsia="it-IT"/>
        </w:rPr>
        <w:t>.</w:t>
      </w:r>
    </w:p>
    <w:p w14:paraId="469A1BB5" w14:textId="77777777" w:rsidR="005711D9" w:rsidRDefault="00474D23" w:rsidP="008B5A2A">
      <w:pPr>
        <w:ind w:right="-1" w:firstLine="567"/>
      </w:pPr>
      <w:r>
        <w:t>P</w:t>
      </w:r>
      <w:r w:rsidR="008B5A2A">
        <w:t>e</w:t>
      </w:r>
      <w:r>
        <w:t>r i</w:t>
      </w:r>
      <w:r w:rsidR="00A36839">
        <w:t xml:space="preserve">l resto, concordandosi con la posizione della Suprema Corte, non è che </w:t>
      </w:r>
      <w:r w:rsidR="00813B2D">
        <w:t>mut</w:t>
      </w:r>
      <w:r w:rsidR="00A36839">
        <w:t>i molto</w:t>
      </w:r>
      <w:r w:rsidR="005711D9">
        <w:t>.</w:t>
      </w:r>
    </w:p>
    <w:p w14:paraId="2125CE84" w14:textId="77777777" w:rsidR="00CB44B5" w:rsidRDefault="00031BA1" w:rsidP="008B5A2A">
      <w:pPr>
        <w:ind w:right="-1" w:firstLine="567"/>
      </w:pPr>
      <w:r>
        <w:rPr>
          <w:color w:val="212529"/>
          <w:lang w:eastAsia="it-IT"/>
        </w:rPr>
        <w:t>L</w:t>
      </w:r>
      <w:r w:rsidRPr="00F67350">
        <w:rPr>
          <w:color w:val="212529"/>
          <w:lang w:eastAsia="it-IT"/>
        </w:rPr>
        <w:t>e presunzioni</w:t>
      </w:r>
      <w:r w:rsidR="00A15372">
        <w:rPr>
          <w:color w:val="212529"/>
          <w:lang w:eastAsia="it-IT"/>
        </w:rPr>
        <w:t>,</w:t>
      </w:r>
      <w:r w:rsidRPr="00F67350">
        <w:rPr>
          <w:color w:val="212529"/>
          <w:lang w:eastAsia="it-IT"/>
        </w:rPr>
        <w:t xml:space="preserve"> semplici </w:t>
      </w:r>
      <w:r w:rsidR="00A15372">
        <w:rPr>
          <w:color w:val="212529"/>
          <w:lang w:eastAsia="it-IT"/>
        </w:rPr>
        <w:t xml:space="preserve">e legali, </w:t>
      </w:r>
      <w:r w:rsidRPr="00F67350">
        <w:rPr>
          <w:color w:val="212529"/>
          <w:lang w:eastAsia="it-IT"/>
        </w:rPr>
        <w:t>continua</w:t>
      </w:r>
      <w:r w:rsidR="00142D82">
        <w:rPr>
          <w:color w:val="212529"/>
          <w:lang w:eastAsia="it-IT"/>
        </w:rPr>
        <w:t>no</w:t>
      </w:r>
      <w:r w:rsidRPr="00F67350">
        <w:rPr>
          <w:color w:val="212529"/>
          <w:lang w:eastAsia="it-IT"/>
        </w:rPr>
        <w:t xml:space="preserve"> a trovare ingresso nel p</w:t>
      </w:r>
      <w:r w:rsidR="00813B2D">
        <w:rPr>
          <w:color w:val="212529"/>
          <w:lang w:eastAsia="it-IT"/>
        </w:rPr>
        <w:t xml:space="preserve">rocesso tributario quali prove </w:t>
      </w:r>
      <w:r w:rsidRPr="00F67350">
        <w:rPr>
          <w:color w:val="212529"/>
          <w:lang w:eastAsia="it-IT"/>
        </w:rPr>
        <w:t>per induzione</w:t>
      </w:r>
      <w:r w:rsidR="00142D82">
        <w:t xml:space="preserve"> ed i</w:t>
      </w:r>
      <w:r w:rsidR="005711D9">
        <w:t>l cambiamento</w:t>
      </w:r>
      <w:r w:rsidR="00AC6625">
        <w:t xml:space="preserve"> </w:t>
      </w:r>
      <w:r w:rsidR="00CC4147">
        <w:t>vol</w:t>
      </w:r>
      <w:r w:rsidR="00AC6625">
        <w:t xml:space="preserve">uto </w:t>
      </w:r>
      <w:r w:rsidR="00CC4147">
        <w:t>da</w:t>
      </w:r>
      <w:r w:rsidR="00AC6625">
        <w:t>lla riforma</w:t>
      </w:r>
      <w:r w:rsidR="005711D9">
        <w:t xml:space="preserve"> </w:t>
      </w:r>
      <w:r>
        <w:t xml:space="preserve">probabilmente, </w:t>
      </w:r>
      <w:r w:rsidR="005711D9">
        <w:t xml:space="preserve">più che </w:t>
      </w:r>
      <w:r w:rsidR="00CC4147">
        <w:t xml:space="preserve">ricercarsi </w:t>
      </w:r>
      <w:r>
        <w:t xml:space="preserve">sul versante </w:t>
      </w:r>
      <w:r w:rsidR="00AC6625">
        <w:t>dell’interpretazione normativa</w:t>
      </w:r>
      <w:r w:rsidR="00142D82">
        <w:t>,</w:t>
      </w:r>
      <w:r w:rsidR="005711D9">
        <w:t xml:space="preserve"> </w:t>
      </w:r>
      <w:r w:rsidR="00AC6625">
        <w:t xml:space="preserve">deve imporsi </w:t>
      </w:r>
      <w:r w:rsidR="00744297">
        <w:t>sul versante</w:t>
      </w:r>
      <w:r>
        <w:t xml:space="preserve"> </w:t>
      </w:r>
      <w:r w:rsidR="00383DB8">
        <w:t xml:space="preserve">di </w:t>
      </w:r>
      <w:r w:rsidR="00AC6625">
        <w:t>“</w:t>
      </w:r>
      <w:r w:rsidR="00383DB8">
        <w:t xml:space="preserve">un’evoluzione </w:t>
      </w:r>
      <w:r w:rsidR="005711D9">
        <w:t>culturale</w:t>
      </w:r>
      <w:r w:rsidR="00AC6625">
        <w:t>” e di “una diversa consapevolezza … di tutti i protagonisti”</w:t>
      </w:r>
      <w:r w:rsidR="00AE1C6F">
        <w:rPr>
          <w:rStyle w:val="Rimandonotaapidipagina"/>
        </w:rPr>
        <w:footnoteReference w:id="20"/>
      </w:r>
      <w:r w:rsidR="00CC4147">
        <w:t>:</w:t>
      </w:r>
      <w:r w:rsidR="00142D82">
        <w:t xml:space="preserve"> </w:t>
      </w:r>
      <w:r w:rsidR="00AC6625">
        <w:t>a partire da</w:t>
      </w:r>
      <w:r w:rsidR="00744297">
        <w:t>l giudice</w:t>
      </w:r>
      <w:r w:rsidR="00AC6625">
        <w:t>, che d</w:t>
      </w:r>
      <w:r w:rsidR="00CC4147">
        <w:t>eve</w:t>
      </w:r>
      <w:r w:rsidR="00744297">
        <w:t xml:space="preserve"> </w:t>
      </w:r>
      <w:r w:rsidR="00A36839">
        <w:t>esig</w:t>
      </w:r>
      <w:r w:rsidR="00AC6625">
        <w:t>ere</w:t>
      </w:r>
      <w:r w:rsidR="00A36839">
        <w:t xml:space="preserve"> </w:t>
      </w:r>
      <w:r w:rsidR="008B5A2A">
        <w:t>dal</w:t>
      </w:r>
      <w:r w:rsidR="008B5A2A" w:rsidRPr="00704FBB">
        <w:t>l’</w:t>
      </w:r>
      <w:r w:rsidR="008B5A2A">
        <w:t>a</w:t>
      </w:r>
      <w:r w:rsidR="008B5A2A" w:rsidRPr="00704FBB">
        <w:t xml:space="preserve">mministrazione finanziaria </w:t>
      </w:r>
      <w:r w:rsidR="00A36839" w:rsidRPr="00704FBB">
        <w:t xml:space="preserve">il rigoroso </w:t>
      </w:r>
      <w:r w:rsidR="00AC6625">
        <w:t>rispetto</w:t>
      </w:r>
      <w:r w:rsidR="00A36839">
        <w:t xml:space="preserve"> dell’obbligo “</w:t>
      </w:r>
      <w:r w:rsidR="00A36839" w:rsidRPr="00704FBB">
        <w:t xml:space="preserve">di dare in giudizio una prova esatta, circostanziata, puntuale e specifica dei fondamenti di fatto della pretesa impositiva e delle relative sanzioni. Una prova, cioè, basata </w:t>
      </w:r>
      <w:r w:rsidR="00A36839" w:rsidRPr="00704FBB">
        <w:lastRenderedPageBreak/>
        <w:t>non più su un qualunque elemento argomentativo, bensì solo su elementi dotati di uno specifico rango dimostrativo in grado di avvalorare in modo compiuto e completo la pretesa a giudizio; con la conseguenza che gli atti tributari ch</w:t>
      </w:r>
      <w:r w:rsidR="00A36839">
        <w:t xml:space="preserve">e dovessero risultare privi di </w:t>
      </w:r>
      <w:r w:rsidR="00A36839" w:rsidRPr="00704FBB">
        <w:t>ragioni oggettive perché non adeguatamente provati dall’</w:t>
      </w:r>
      <w:r w:rsidR="00A36839">
        <w:t>a</w:t>
      </w:r>
      <w:r w:rsidR="00A36839" w:rsidRPr="00704FBB">
        <w:t>mministrazione sarebbero considerati illegittimi”</w:t>
      </w:r>
      <w:r w:rsidR="00A36839">
        <w:rPr>
          <w:rStyle w:val="Rimandonotaapidipagina"/>
        </w:rPr>
        <w:footnoteReference w:id="21"/>
      </w:r>
      <w:r w:rsidR="00A36839">
        <w:t>.</w:t>
      </w:r>
    </w:p>
    <w:sectPr w:rsidR="00CB44B5" w:rsidSect="008B5A2A">
      <w:footerReference w:type="default" r:id="rId8"/>
      <w:pgSz w:w="11906" w:h="16838"/>
      <w:pgMar w:top="1417" w:right="1416"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2B08" w14:textId="77777777" w:rsidR="00E72F0C" w:rsidRDefault="00E72F0C" w:rsidP="001A3325">
      <w:pPr>
        <w:spacing w:after="0" w:line="240" w:lineRule="auto"/>
      </w:pPr>
      <w:r>
        <w:separator/>
      </w:r>
    </w:p>
  </w:endnote>
  <w:endnote w:type="continuationSeparator" w:id="0">
    <w:p w14:paraId="5829B687" w14:textId="77777777" w:rsidR="00E72F0C" w:rsidRDefault="00E72F0C" w:rsidP="001A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246706"/>
      <w:docPartObj>
        <w:docPartGallery w:val="Page Numbers (Bottom of Page)"/>
        <w:docPartUnique/>
      </w:docPartObj>
    </w:sdtPr>
    <w:sdtEndPr>
      <w:rPr>
        <w:sz w:val="16"/>
        <w:szCs w:val="16"/>
      </w:rPr>
    </w:sdtEndPr>
    <w:sdtContent>
      <w:p w14:paraId="2CB6405F" w14:textId="77777777" w:rsidR="00351225" w:rsidRPr="00A91C90" w:rsidRDefault="00351225">
        <w:pPr>
          <w:pStyle w:val="Pidipagina"/>
          <w:jc w:val="center"/>
          <w:rPr>
            <w:sz w:val="16"/>
            <w:szCs w:val="16"/>
          </w:rPr>
        </w:pPr>
        <w:r w:rsidRPr="00A91C90">
          <w:rPr>
            <w:sz w:val="16"/>
            <w:szCs w:val="16"/>
          </w:rPr>
          <w:fldChar w:fldCharType="begin"/>
        </w:r>
        <w:r w:rsidRPr="00A91C90">
          <w:rPr>
            <w:sz w:val="16"/>
            <w:szCs w:val="16"/>
          </w:rPr>
          <w:instrText>PAGE   \* MERGEFORMAT</w:instrText>
        </w:r>
        <w:r w:rsidRPr="00A91C90">
          <w:rPr>
            <w:sz w:val="16"/>
            <w:szCs w:val="16"/>
          </w:rPr>
          <w:fldChar w:fldCharType="separate"/>
        </w:r>
        <w:r w:rsidR="00AE1D0B">
          <w:rPr>
            <w:noProof/>
            <w:sz w:val="16"/>
            <w:szCs w:val="16"/>
          </w:rPr>
          <w:t>7</w:t>
        </w:r>
        <w:r w:rsidRPr="00A91C90">
          <w:rPr>
            <w:sz w:val="16"/>
            <w:szCs w:val="16"/>
          </w:rPr>
          <w:fldChar w:fldCharType="end"/>
        </w:r>
      </w:p>
    </w:sdtContent>
  </w:sdt>
  <w:p w14:paraId="66D041E5" w14:textId="77777777" w:rsidR="00351225" w:rsidRDefault="003512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F194" w14:textId="77777777" w:rsidR="00E72F0C" w:rsidRDefault="00E72F0C" w:rsidP="001A3325">
      <w:pPr>
        <w:spacing w:after="0" w:line="240" w:lineRule="auto"/>
      </w:pPr>
      <w:r>
        <w:separator/>
      </w:r>
    </w:p>
  </w:footnote>
  <w:footnote w:type="continuationSeparator" w:id="0">
    <w:p w14:paraId="0E84B0F2" w14:textId="77777777" w:rsidR="00E72F0C" w:rsidRDefault="00E72F0C" w:rsidP="001A3325">
      <w:pPr>
        <w:spacing w:after="0" w:line="240" w:lineRule="auto"/>
      </w:pPr>
      <w:r>
        <w:continuationSeparator/>
      </w:r>
    </w:p>
  </w:footnote>
  <w:footnote w:id="1">
    <w:p w14:paraId="7B81B400" w14:textId="77777777" w:rsidR="00351225" w:rsidRDefault="00351225" w:rsidP="008B5A2A">
      <w:pPr>
        <w:pStyle w:val="Nessunaspaziatura"/>
        <w:rPr>
          <w:rStyle w:val="normaltextrun"/>
          <w:color w:val="000000"/>
          <w:sz w:val="20"/>
          <w:szCs w:val="20"/>
          <w:shd w:val="clear" w:color="auto" w:fill="FFFFFF"/>
        </w:rPr>
      </w:pPr>
      <w:r w:rsidRPr="00F825B9">
        <w:rPr>
          <w:rStyle w:val="normaltextrun"/>
          <w:color w:val="000000"/>
          <w:sz w:val="20"/>
          <w:szCs w:val="20"/>
          <w:shd w:val="clear" w:color="auto" w:fill="FFFFFF"/>
        </w:rPr>
        <w:t xml:space="preserve">(*) </w:t>
      </w:r>
      <w:r>
        <w:rPr>
          <w:rStyle w:val="normaltextrun"/>
          <w:color w:val="000000"/>
          <w:sz w:val="20"/>
          <w:szCs w:val="20"/>
          <w:shd w:val="clear" w:color="auto" w:fill="FFFFFF"/>
        </w:rPr>
        <w:t>Presidente della CGT di Torino, Componente dell’Ufficio del Massimario nazionale della Giustizia tributaria e Presidente di Sezione del TAR Campania, Sezione staccata di Salerno.</w:t>
      </w:r>
    </w:p>
    <w:p w14:paraId="39E35884" w14:textId="77777777" w:rsidR="00351225" w:rsidRPr="0070251D" w:rsidRDefault="00351225" w:rsidP="008B5A2A">
      <w:pPr>
        <w:pStyle w:val="Nessunaspaziatura"/>
        <w:rPr>
          <w:sz w:val="20"/>
          <w:szCs w:val="20"/>
        </w:rPr>
      </w:pPr>
      <w:r w:rsidRPr="00F825B9">
        <w:rPr>
          <w:rStyle w:val="normaltextrun"/>
          <w:color w:val="000000"/>
          <w:sz w:val="20"/>
          <w:szCs w:val="20"/>
          <w:shd w:val="clear" w:color="auto" w:fill="FFFFFF"/>
        </w:rPr>
        <w:t>(*</w:t>
      </w:r>
      <w:r>
        <w:rPr>
          <w:rStyle w:val="normaltextrun"/>
          <w:color w:val="000000"/>
          <w:sz w:val="20"/>
          <w:szCs w:val="20"/>
          <w:shd w:val="clear" w:color="auto" w:fill="FFFFFF"/>
        </w:rPr>
        <w:t>*</w:t>
      </w:r>
      <w:r w:rsidRPr="00F825B9">
        <w:rPr>
          <w:rStyle w:val="normaltextrun"/>
          <w:color w:val="000000"/>
          <w:sz w:val="20"/>
          <w:szCs w:val="20"/>
          <w:shd w:val="clear" w:color="auto" w:fill="FFFFFF"/>
        </w:rPr>
        <w:t>)</w:t>
      </w:r>
      <w:r>
        <w:rPr>
          <w:rStyle w:val="normaltextrun"/>
          <w:color w:val="000000"/>
          <w:sz w:val="20"/>
          <w:szCs w:val="20"/>
          <w:shd w:val="clear" w:color="auto" w:fill="FFFFFF"/>
        </w:rPr>
        <w:t xml:space="preserve"> </w:t>
      </w:r>
      <w:r w:rsidRPr="0070251D">
        <w:rPr>
          <w:rStyle w:val="normaltextrun"/>
          <w:color w:val="000000"/>
          <w:sz w:val="20"/>
          <w:szCs w:val="20"/>
          <w:shd w:val="clear" w:color="auto" w:fill="FFFFFF"/>
        </w:rPr>
        <w:t>Relazione svolta al convegno di studi sul tema “L’allineamento del sistema tributario nell’ordinamento giuridico: voci a confronto”, organizzato a Catanzaro dalla Sezione Calabria dell’A.N.T.I. - Associazione nazio</w:t>
      </w:r>
      <w:r>
        <w:rPr>
          <w:rStyle w:val="normaltextrun"/>
          <w:color w:val="000000"/>
          <w:sz w:val="20"/>
          <w:szCs w:val="20"/>
          <w:shd w:val="clear" w:color="auto" w:fill="FFFFFF"/>
        </w:rPr>
        <w:t xml:space="preserve">nale tributaristi italiani, dalla Camera penale di Catanzaro </w:t>
      </w:r>
      <w:r w:rsidRPr="0070251D">
        <w:rPr>
          <w:rStyle w:val="normaltextrun"/>
          <w:color w:val="000000"/>
          <w:sz w:val="20"/>
          <w:szCs w:val="20"/>
          <w:shd w:val="clear" w:color="auto" w:fill="FFFFFF"/>
        </w:rPr>
        <w:t>e da</w:t>
      </w:r>
      <w:r>
        <w:rPr>
          <w:rStyle w:val="normaltextrun"/>
          <w:color w:val="000000"/>
          <w:sz w:val="20"/>
          <w:szCs w:val="20"/>
          <w:shd w:val="clear" w:color="auto" w:fill="FFFFFF"/>
        </w:rPr>
        <w:t xml:space="preserve">gli </w:t>
      </w:r>
      <w:r w:rsidRPr="0070251D">
        <w:rPr>
          <w:rStyle w:val="normaltextrun"/>
          <w:color w:val="000000"/>
          <w:sz w:val="20"/>
          <w:szCs w:val="20"/>
          <w:shd w:val="clear" w:color="auto" w:fill="FFFFFF"/>
        </w:rPr>
        <w:t>Ordin</w:t>
      </w:r>
      <w:r>
        <w:rPr>
          <w:rStyle w:val="normaltextrun"/>
          <w:color w:val="000000"/>
          <w:sz w:val="20"/>
          <w:szCs w:val="20"/>
          <w:shd w:val="clear" w:color="auto" w:fill="FFFFFF"/>
        </w:rPr>
        <w:t>i degli Avvocati e</w:t>
      </w:r>
      <w:r w:rsidRPr="0070251D">
        <w:rPr>
          <w:rStyle w:val="normaltextrun"/>
          <w:color w:val="000000"/>
          <w:sz w:val="20"/>
          <w:szCs w:val="20"/>
          <w:shd w:val="clear" w:color="auto" w:fill="FFFFFF"/>
        </w:rPr>
        <w:t xml:space="preserve"> dei Dottori Commercialisti di Catanzaro, il 10 dicembre 2025</w:t>
      </w:r>
      <w:r>
        <w:rPr>
          <w:rStyle w:val="normaltextrun"/>
          <w:color w:val="000000"/>
          <w:sz w:val="20"/>
          <w:szCs w:val="20"/>
          <w:shd w:val="clear" w:color="auto" w:fill="FFFFFF"/>
        </w:rPr>
        <w:t>.</w:t>
      </w:r>
    </w:p>
    <w:p w14:paraId="61C784CF" w14:textId="77777777" w:rsidR="00351225" w:rsidRPr="001A3325" w:rsidRDefault="00351225" w:rsidP="008B5A2A">
      <w:pPr>
        <w:pStyle w:val="Nessunaspaziatura"/>
        <w:rPr>
          <w:sz w:val="20"/>
          <w:szCs w:val="20"/>
        </w:rPr>
      </w:pPr>
      <w:r w:rsidRPr="001A3325">
        <w:rPr>
          <w:rStyle w:val="Rimandonotaapidipagina"/>
          <w:sz w:val="20"/>
          <w:szCs w:val="20"/>
        </w:rPr>
        <w:footnoteRef/>
      </w:r>
      <w:r w:rsidRPr="001A3325">
        <w:rPr>
          <w:sz w:val="20"/>
          <w:szCs w:val="20"/>
        </w:rPr>
        <w:t xml:space="preserve"> Cass. civ., Sez. </w:t>
      </w:r>
      <w:r>
        <w:rPr>
          <w:sz w:val="20"/>
          <w:szCs w:val="20"/>
        </w:rPr>
        <w:t>V</w:t>
      </w:r>
      <w:r w:rsidRPr="001A3325">
        <w:rPr>
          <w:sz w:val="20"/>
          <w:szCs w:val="20"/>
        </w:rPr>
        <w:t>, 27</w:t>
      </w:r>
      <w:r>
        <w:rPr>
          <w:sz w:val="20"/>
          <w:szCs w:val="20"/>
        </w:rPr>
        <w:t xml:space="preserve"> ottobre </w:t>
      </w:r>
      <w:r w:rsidRPr="001A3325">
        <w:rPr>
          <w:sz w:val="20"/>
          <w:szCs w:val="20"/>
        </w:rPr>
        <w:t>2022, n. </w:t>
      </w:r>
      <w:hyperlink r:id="rId1" w:tgtFrame="_blank" w:history="1">
        <w:r w:rsidRPr="001A3325">
          <w:rPr>
            <w:sz w:val="20"/>
            <w:szCs w:val="20"/>
          </w:rPr>
          <w:t>31878</w:t>
        </w:r>
      </w:hyperlink>
      <w:r w:rsidRPr="001A3325">
        <w:rPr>
          <w:sz w:val="20"/>
          <w:szCs w:val="20"/>
        </w:rPr>
        <w:t>.</w:t>
      </w:r>
    </w:p>
  </w:footnote>
  <w:footnote w:id="2">
    <w:p w14:paraId="3E3EF6A1" w14:textId="77777777" w:rsidR="00351225" w:rsidRPr="001A3325" w:rsidRDefault="00351225" w:rsidP="008B5A2A">
      <w:pPr>
        <w:pStyle w:val="Nessunaspaziatura"/>
        <w:rPr>
          <w:sz w:val="20"/>
          <w:szCs w:val="20"/>
        </w:rPr>
      </w:pPr>
      <w:r w:rsidRPr="001A3325">
        <w:rPr>
          <w:rStyle w:val="Rimandonotaapidipagina"/>
          <w:sz w:val="20"/>
          <w:szCs w:val="20"/>
        </w:rPr>
        <w:footnoteRef/>
      </w:r>
      <w:r w:rsidRPr="001A3325">
        <w:rPr>
          <w:sz w:val="20"/>
          <w:szCs w:val="20"/>
        </w:rPr>
        <w:t xml:space="preserve"> Cass. civ., Sez. </w:t>
      </w:r>
      <w:r>
        <w:rPr>
          <w:sz w:val="20"/>
          <w:szCs w:val="20"/>
        </w:rPr>
        <w:t>V</w:t>
      </w:r>
      <w:r w:rsidRPr="001A3325">
        <w:rPr>
          <w:sz w:val="20"/>
          <w:szCs w:val="20"/>
        </w:rPr>
        <w:t>, 9</w:t>
      </w:r>
      <w:r>
        <w:rPr>
          <w:sz w:val="20"/>
          <w:szCs w:val="20"/>
        </w:rPr>
        <w:t xml:space="preserve"> luglio </w:t>
      </w:r>
      <w:r w:rsidRPr="001A3325">
        <w:rPr>
          <w:sz w:val="20"/>
          <w:szCs w:val="20"/>
        </w:rPr>
        <w:t>2024, n. </w:t>
      </w:r>
      <w:hyperlink r:id="rId2" w:tgtFrame="_blank" w:history="1">
        <w:r w:rsidRPr="001A3325">
          <w:rPr>
            <w:sz w:val="20"/>
            <w:szCs w:val="20"/>
          </w:rPr>
          <w:t>18764</w:t>
        </w:r>
      </w:hyperlink>
      <w:r w:rsidRPr="001A3325">
        <w:rPr>
          <w:sz w:val="20"/>
          <w:szCs w:val="20"/>
        </w:rPr>
        <w:t xml:space="preserve">; </w:t>
      </w:r>
      <w:r>
        <w:rPr>
          <w:sz w:val="20"/>
          <w:szCs w:val="20"/>
        </w:rPr>
        <w:t>CGT</w:t>
      </w:r>
      <w:r w:rsidRPr="001A3325">
        <w:rPr>
          <w:sz w:val="20"/>
          <w:szCs w:val="20"/>
        </w:rPr>
        <w:t xml:space="preserve"> Campania, Sez. </w:t>
      </w:r>
      <w:r>
        <w:rPr>
          <w:sz w:val="20"/>
          <w:szCs w:val="20"/>
        </w:rPr>
        <w:t>I</w:t>
      </w:r>
      <w:r w:rsidRPr="001A3325">
        <w:rPr>
          <w:sz w:val="20"/>
          <w:szCs w:val="20"/>
        </w:rPr>
        <w:t>, 17</w:t>
      </w:r>
      <w:r>
        <w:rPr>
          <w:sz w:val="20"/>
          <w:szCs w:val="20"/>
        </w:rPr>
        <w:t xml:space="preserve"> aprile </w:t>
      </w:r>
      <w:r w:rsidRPr="001A3325">
        <w:rPr>
          <w:sz w:val="20"/>
          <w:szCs w:val="20"/>
        </w:rPr>
        <w:t>2025</w:t>
      </w:r>
      <w:r>
        <w:rPr>
          <w:sz w:val="20"/>
          <w:szCs w:val="20"/>
        </w:rPr>
        <w:t>,</w:t>
      </w:r>
      <w:r w:rsidRPr="001A3325">
        <w:rPr>
          <w:sz w:val="20"/>
          <w:szCs w:val="20"/>
        </w:rPr>
        <w:t xml:space="preserve"> n. 3110; </w:t>
      </w:r>
      <w:r>
        <w:rPr>
          <w:sz w:val="20"/>
          <w:szCs w:val="20"/>
        </w:rPr>
        <w:t>CGT</w:t>
      </w:r>
      <w:r w:rsidRPr="001A3325">
        <w:rPr>
          <w:sz w:val="20"/>
          <w:szCs w:val="20"/>
        </w:rPr>
        <w:t xml:space="preserve"> Calabria, Sez. </w:t>
      </w:r>
      <w:r>
        <w:rPr>
          <w:sz w:val="20"/>
          <w:szCs w:val="20"/>
        </w:rPr>
        <w:t xml:space="preserve">IV, </w:t>
      </w:r>
      <w:r w:rsidRPr="001A3325">
        <w:rPr>
          <w:sz w:val="20"/>
          <w:szCs w:val="20"/>
        </w:rPr>
        <w:t>3</w:t>
      </w:r>
      <w:r>
        <w:rPr>
          <w:sz w:val="20"/>
          <w:szCs w:val="20"/>
        </w:rPr>
        <w:t xml:space="preserve"> ottobre </w:t>
      </w:r>
      <w:r w:rsidRPr="001A3325">
        <w:rPr>
          <w:sz w:val="20"/>
          <w:szCs w:val="20"/>
        </w:rPr>
        <w:t>2025</w:t>
      </w:r>
      <w:r>
        <w:rPr>
          <w:sz w:val="20"/>
          <w:szCs w:val="20"/>
        </w:rPr>
        <w:t>,</w:t>
      </w:r>
      <w:r w:rsidRPr="001A3325">
        <w:rPr>
          <w:sz w:val="20"/>
          <w:szCs w:val="20"/>
        </w:rPr>
        <w:t xml:space="preserve"> n. 2587</w:t>
      </w:r>
      <w:r>
        <w:rPr>
          <w:sz w:val="20"/>
          <w:szCs w:val="20"/>
        </w:rPr>
        <w:t>.</w:t>
      </w:r>
    </w:p>
  </w:footnote>
  <w:footnote w:id="3">
    <w:p w14:paraId="10885AE1" w14:textId="77777777" w:rsidR="00351225" w:rsidRPr="001A3325" w:rsidRDefault="00351225" w:rsidP="008B5A2A">
      <w:pPr>
        <w:pStyle w:val="Nessunaspaziatura"/>
        <w:rPr>
          <w:sz w:val="20"/>
          <w:szCs w:val="20"/>
        </w:rPr>
      </w:pPr>
      <w:r w:rsidRPr="001A3325">
        <w:rPr>
          <w:rStyle w:val="Rimandonotaapidipagina"/>
          <w:sz w:val="20"/>
          <w:szCs w:val="20"/>
        </w:rPr>
        <w:footnoteRef/>
      </w:r>
      <w:r w:rsidRPr="001A3325">
        <w:rPr>
          <w:sz w:val="20"/>
          <w:szCs w:val="20"/>
        </w:rPr>
        <w:t xml:space="preserve"> Cass. civ., Sez. </w:t>
      </w:r>
      <w:r>
        <w:rPr>
          <w:sz w:val="20"/>
          <w:szCs w:val="20"/>
        </w:rPr>
        <w:t>V</w:t>
      </w:r>
      <w:r w:rsidRPr="001A3325">
        <w:rPr>
          <w:sz w:val="20"/>
          <w:szCs w:val="20"/>
        </w:rPr>
        <w:t xml:space="preserve">, </w:t>
      </w:r>
      <w:r>
        <w:rPr>
          <w:sz w:val="20"/>
          <w:szCs w:val="20"/>
        </w:rPr>
        <w:t xml:space="preserve">30 gennaio </w:t>
      </w:r>
      <w:r w:rsidRPr="001A3325">
        <w:rPr>
          <w:sz w:val="20"/>
          <w:szCs w:val="20"/>
        </w:rPr>
        <w:t>202</w:t>
      </w:r>
      <w:r>
        <w:rPr>
          <w:sz w:val="20"/>
          <w:szCs w:val="20"/>
        </w:rPr>
        <w:t>4</w:t>
      </w:r>
      <w:r w:rsidRPr="001A3325">
        <w:rPr>
          <w:sz w:val="20"/>
          <w:szCs w:val="20"/>
        </w:rPr>
        <w:t>, n. </w:t>
      </w:r>
      <w:hyperlink r:id="rId3" w:tgtFrame="_blank" w:history="1">
        <w:r>
          <w:rPr>
            <w:sz w:val="20"/>
            <w:szCs w:val="20"/>
          </w:rPr>
          <w:t>2746</w:t>
        </w:r>
      </w:hyperlink>
      <w:r w:rsidRPr="001A3325">
        <w:rPr>
          <w:sz w:val="20"/>
          <w:szCs w:val="20"/>
        </w:rPr>
        <w:t>.</w:t>
      </w:r>
    </w:p>
  </w:footnote>
  <w:footnote w:id="4">
    <w:p w14:paraId="5A131BCA" w14:textId="77777777" w:rsidR="00351225" w:rsidRPr="00515ADF" w:rsidRDefault="00351225" w:rsidP="008B5A2A">
      <w:pPr>
        <w:autoSpaceDE w:val="0"/>
        <w:autoSpaceDN w:val="0"/>
        <w:adjustRightInd w:val="0"/>
        <w:spacing w:after="0" w:line="240" w:lineRule="auto"/>
        <w:rPr>
          <w:sz w:val="20"/>
          <w:szCs w:val="20"/>
        </w:rPr>
      </w:pPr>
      <w:r w:rsidRPr="00515ADF">
        <w:rPr>
          <w:rStyle w:val="Rimandonotaapidipagina"/>
          <w:sz w:val="20"/>
          <w:szCs w:val="20"/>
        </w:rPr>
        <w:footnoteRef/>
      </w:r>
      <w:r w:rsidRPr="00515ADF">
        <w:rPr>
          <w:sz w:val="20"/>
          <w:szCs w:val="20"/>
        </w:rPr>
        <w:t xml:space="preserve"> </w:t>
      </w:r>
      <w:r>
        <w:rPr>
          <w:sz w:val="20"/>
          <w:szCs w:val="20"/>
        </w:rPr>
        <w:t>A mente del quale,</w:t>
      </w:r>
      <w:r w:rsidRPr="00515ADF">
        <w:rPr>
          <w:sz w:val="20"/>
          <w:szCs w:val="20"/>
        </w:rPr>
        <w:t xml:space="preserve"> “il giudice pronuncia sentenza di assoluzione anche quando manca, è insufficiente o è contraddittoria la prova che il fatto sussiste, che l’imputato lo ha commesso, che il fatto costituisce reato o che il reato è stato commesso da persona imputabile”.</w:t>
      </w:r>
    </w:p>
  </w:footnote>
  <w:footnote w:id="5">
    <w:p w14:paraId="2A1DFB1C" w14:textId="77777777" w:rsidR="00351225" w:rsidRDefault="00351225" w:rsidP="008B5A2A">
      <w:pPr>
        <w:pStyle w:val="Testonotaapidipagina"/>
      </w:pPr>
      <w:r>
        <w:rPr>
          <w:rStyle w:val="Rimandonotaapidipagina"/>
        </w:rPr>
        <w:footnoteRef/>
      </w:r>
      <w:r>
        <w:t xml:space="preserve"> </w:t>
      </w:r>
      <w:r w:rsidRPr="00704FBB">
        <w:t xml:space="preserve">L. TOSI, </w:t>
      </w:r>
      <w:r w:rsidRPr="00704FBB">
        <w:rPr>
          <w:i/>
        </w:rPr>
        <w:t>L’onere della prova nel diritto tributario</w:t>
      </w:r>
      <w:r w:rsidRPr="00704FBB">
        <w:t>, in F. ANELLI</w:t>
      </w:r>
      <w:r>
        <w:t>,</w:t>
      </w:r>
      <w:r w:rsidRPr="00704FBB">
        <w:t xml:space="preserve"> A. BRIGUGLIO</w:t>
      </w:r>
      <w:r>
        <w:t xml:space="preserve">, </w:t>
      </w:r>
      <w:r w:rsidRPr="00704FBB">
        <w:t>A. CHIZZ</w:t>
      </w:r>
      <w:r>
        <w:t>INI,</w:t>
      </w:r>
      <w:r w:rsidRPr="00704FBB">
        <w:t xml:space="preserve"> M. DE POLI</w:t>
      </w:r>
      <w:r>
        <w:t>,</w:t>
      </w:r>
      <w:r w:rsidRPr="00704FBB">
        <w:t xml:space="preserve"> E. GRAGNOLI</w:t>
      </w:r>
      <w:r>
        <w:t>,</w:t>
      </w:r>
      <w:r w:rsidRPr="00704FBB">
        <w:t xml:space="preserve"> M. ORLANDI</w:t>
      </w:r>
      <w:r>
        <w:t>,</w:t>
      </w:r>
      <w:r w:rsidRPr="00704FBB">
        <w:t xml:space="preserve"> L TOSI</w:t>
      </w:r>
      <w:r w:rsidRPr="00704FBB">
        <w:rPr>
          <w:i/>
        </w:rPr>
        <w:t xml:space="preserve"> </w:t>
      </w:r>
      <w:r w:rsidRPr="00704FBB">
        <w:t>(a cura di)</w:t>
      </w:r>
      <w:r>
        <w:t xml:space="preserve">, </w:t>
      </w:r>
      <w:r w:rsidRPr="00704FBB">
        <w:rPr>
          <w:i/>
        </w:rPr>
        <w:t>L</w:t>
      </w:r>
      <w:r>
        <w:rPr>
          <w:i/>
        </w:rPr>
        <w:t>’</w:t>
      </w:r>
      <w:r w:rsidRPr="00704FBB">
        <w:rPr>
          <w:i/>
        </w:rPr>
        <w:t>onere della prova</w:t>
      </w:r>
      <w:r w:rsidRPr="00704FBB">
        <w:t xml:space="preserve">, </w:t>
      </w:r>
      <w:r>
        <w:t>Padova, 2024,</w:t>
      </w:r>
      <w:r w:rsidRPr="00704FBB">
        <w:t xml:space="preserve"> 1200</w:t>
      </w:r>
      <w:r>
        <w:t xml:space="preserve"> ss</w:t>
      </w:r>
      <w:r w:rsidRPr="00704FBB">
        <w:t>.</w:t>
      </w:r>
    </w:p>
  </w:footnote>
  <w:footnote w:id="6">
    <w:p w14:paraId="5B373C22" w14:textId="77777777" w:rsidR="00351225" w:rsidRDefault="00351225" w:rsidP="008B5A2A">
      <w:pPr>
        <w:pStyle w:val="Nessunaspaziatura"/>
      </w:pPr>
      <w:r w:rsidRPr="00DF3F87">
        <w:rPr>
          <w:rStyle w:val="Rimandonotaapidipagina"/>
          <w:sz w:val="20"/>
          <w:szCs w:val="20"/>
        </w:rPr>
        <w:footnoteRef/>
      </w:r>
      <w:r w:rsidRPr="00DF3F87">
        <w:rPr>
          <w:sz w:val="20"/>
          <w:szCs w:val="20"/>
        </w:rPr>
        <w:t xml:space="preserve"> </w:t>
      </w:r>
      <w:r w:rsidRPr="00704FBB">
        <w:rPr>
          <w:sz w:val="20"/>
        </w:rPr>
        <w:t xml:space="preserve">A. VIOTTO, </w:t>
      </w:r>
      <w:r w:rsidRPr="00704FBB">
        <w:rPr>
          <w:i/>
          <w:sz w:val="20"/>
        </w:rPr>
        <w:t>Prime riflessioni sulla riforma dell</w:t>
      </w:r>
      <w:r>
        <w:rPr>
          <w:i/>
          <w:sz w:val="20"/>
        </w:rPr>
        <w:t>’</w:t>
      </w:r>
      <w:r w:rsidRPr="00704FBB">
        <w:rPr>
          <w:i/>
          <w:sz w:val="20"/>
        </w:rPr>
        <w:t>onere della prova nel giudizio tributario</w:t>
      </w:r>
      <w:r w:rsidRPr="00704FBB">
        <w:rPr>
          <w:sz w:val="20"/>
        </w:rPr>
        <w:t xml:space="preserve">, in </w:t>
      </w:r>
      <w:proofErr w:type="spellStart"/>
      <w:r w:rsidRPr="00704FBB">
        <w:rPr>
          <w:i/>
          <w:sz w:val="20"/>
        </w:rPr>
        <w:t>Rass</w:t>
      </w:r>
      <w:proofErr w:type="spellEnd"/>
      <w:r w:rsidRPr="00704FBB">
        <w:rPr>
          <w:i/>
          <w:sz w:val="20"/>
        </w:rPr>
        <w:t xml:space="preserve">. </w:t>
      </w:r>
      <w:proofErr w:type="spellStart"/>
      <w:r w:rsidRPr="00704FBB">
        <w:rPr>
          <w:i/>
          <w:sz w:val="20"/>
        </w:rPr>
        <w:t>trib</w:t>
      </w:r>
      <w:proofErr w:type="spellEnd"/>
      <w:r w:rsidRPr="00704FBB">
        <w:rPr>
          <w:i/>
          <w:sz w:val="20"/>
        </w:rPr>
        <w:t>.</w:t>
      </w:r>
      <w:r w:rsidRPr="00704FBB">
        <w:rPr>
          <w:sz w:val="20"/>
        </w:rPr>
        <w:t>, 2023, 336</w:t>
      </w:r>
      <w:r>
        <w:rPr>
          <w:sz w:val="20"/>
        </w:rPr>
        <w:t xml:space="preserve"> ss.</w:t>
      </w:r>
      <w:r>
        <w:t xml:space="preserve"> </w:t>
      </w:r>
    </w:p>
  </w:footnote>
  <w:footnote w:id="7">
    <w:p w14:paraId="710AD1D2" w14:textId="77777777" w:rsidR="00351225" w:rsidRDefault="00351225" w:rsidP="008B5A2A">
      <w:pPr>
        <w:pStyle w:val="Testonotaapidipagina"/>
      </w:pPr>
      <w:r>
        <w:rPr>
          <w:rStyle w:val="Rimandonotaapidipagina"/>
        </w:rPr>
        <w:footnoteRef/>
      </w:r>
      <w:r>
        <w:t xml:space="preserve"> </w:t>
      </w:r>
      <w:r w:rsidRPr="00792CF8">
        <w:t xml:space="preserve">F. TUNDO, </w:t>
      </w:r>
      <w:r w:rsidRPr="00792CF8">
        <w:rPr>
          <w:i/>
        </w:rPr>
        <w:t xml:space="preserve">La tela di Penelope delle riforme fiscali, tra </w:t>
      </w:r>
      <w:r>
        <w:rPr>
          <w:i/>
        </w:rPr>
        <w:t>g</w:t>
      </w:r>
      <w:r w:rsidRPr="00792CF8">
        <w:rPr>
          <w:i/>
        </w:rPr>
        <w:t xml:space="preserve">iustizia e legge delega: epicedio della certezza del </w:t>
      </w:r>
      <w:proofErr w:type="gramStart"/>
      <w:r w:rsidRPr="00792CF8">
        <w:rPr>
          <w:i/>
        </w:rPr>
        <w:t>diritto?</w:t>
      </w:r>
      <w:r w:rsidRPr="00792CF8">
        <w:t>,</w:t>
      </w:r>
      <w:proofErr w:type="gramEnd"/>
      <w:r w:rsidRPr="00792CF8">
        <w:t xml:space="preserve"> in </w:t>
      </w:r>
      <w:r w:rsidRPr="00792CF8">
        <w:rPr>
          <w:i/>
        </w:rPr>
        <w:t xml:space="preserve">Riv. dir. </w:t>
      </w:r>
      <w:proofErr w:type="spellStart"/>
      <w:r w:rsidRPr="00792CF8">
        <w:rPr>
          <w:i/>
        </w:rPr>
        <w:t>trib</w:t>
      </w:r>
      <w:proofErr w:type="spellEnd"/>
      <w:r w:rsidRPr="00792CF8">
        <w:rPr>
          <w:i/>
        </w:rPr>
        <w:t>.</w:t>
      </w:r>
      <w:r w:rsidRPr="00792CF8">
        <w:t>, 2023</w:t>
      </w:r>
      <w:r>
        <w:t>.</w:t>
      </w:r>
    </w:p>
  </w:footnote>
  <w:footnote w:id="8">
    <w:p w14:paraId="47204D97" w14:textId="77777777" w:rsidR="00351225" w:rsidRDefault="00351225" w:rsidP="008B5A2A">
      <w:pPr>
        <w:pStyle w:val="Testonotaapidipagina"/>
      </w:pPr>
      <w:r>
        <w:rPr>
          <w:rStyle w:val="Rimandonotaapidipagina"/>
        </w:rPr>
        <w:footnoteRef/>
      </w:r>
      <w:r>
        <w:t xml:space="preserve"> </w:t>
      </w:r>
      <w:r w:rsidRPr="006D709C">
        <w:t>A. GIOVANNIN</w:t>
      </w:r>
      <w:r>
        <w:t>I</w:t>
      </w:r>
      <w:r w:rsidRPr="006D709C">
        <w:t xml:space="preserve">, </w:t>
      </w:r>
      <w:r w:rsidRPr="006D709C">
        <w:rPr>
          <w:i/>
        </w:rPr>
        <w:t xml:space="preserve">La presunzione di onestà e la fondatezza del credito impositivo </w:t>
      </w:r>
      <w:r>
        <w:rPr>
          <w:i/>
        </w:rPr>
        <w:t>“</w:t>
      </w:r>
      <w:r w:rsidRPr="006D709C">
        <w:rPr>
          <w:i/>
        </w:rPr>
        <w:t>oltre ogni ragionevole dubbio</w:t>
      </w:r>
      <w:r>
        <w:rPr>
          <w:i/>
        </w:rPr>
        <w:t>”</w:t>
      </w:r>
      <w:r w:rsidRPr="006D709C">
        <w:t xml:space="preserve">, in </w:t>
      </w:r>
      <w:proofErr w:type="spellStart"/>
      <w:r w:rsidRPr="00C0320E">
        <w:rPr>
          <w:i/>
        </w:rPr>
        <w:t>Giust</w:t>
      </w:r>
      <w:proofErr w:type="spellEnd"/>
      <w:r w:rsidRPr="00C0320E">
        <w:rPr>
          <w:i/>
        </w:rPr>
        <w:t>. insieme</w:t>
      </w:r>
      <w:r w:rsidRPr="006D709C">
        <w:t>, 2023</w:t>
      </w:r>
      <w:r>
        <w:t>;</w:t>
      </w:r>
      <w:r w:rsidRPr="00FA415A">
        <w:rPr>
          <w:rFonts w:eastAsia="Times New Roman"/>
          <w:color w:val="000000"/>
          <w:spacing w:val="-2"/>
        </w:rPr>
        <w:t xml:space="preserve"> </w:t>
      </w:r>
      <w:r w:rsidRPr="00CB44B5">
        <w:rPr>
          <w:rFonts w:eastAsia="Times New Roman"/>
          <w:color w:val="000000"/>
          <w:spacing w:val="-2"/>
        </w:rPr>
        <w:t xml:space="preserve">M. GOLISANO, </w:t>
      </w:r>
      <w:r w:rsidRPr="00CB44B5">
        <w:rPr>
          <w:rFonts w:eastAsia="Times New Roman"/>
          <w:i/>
          <w:color w:val="000000"/>
          <w:spacing w:val="-2"/>
        </w:rPr>
        <w:t>Riflessioni in ordine all</w:t>
      </w:r>
      <w:r>
        <w:rPr>
          <w:rFonts w:eastAsia="Times New Roman"/>
          <w:i/>
          <w:color w:val="000000"/>
          <w:spacing w:val="-2"/>
        </w:rPr>
        <w:t>’</w:t>
      </w:r>
      <w:r w:rsidRPr="00CB44B5">
        <w:rPr>
          <w:rFonts w:eastAsia="Times New Roman"/>
          <w:i/>
          <w:color w:val="000000"/>
          <w:spacing w:val="-2"/>
        </w:rPr>
        <w:t>impatto del nuovo comma 5-</w:t>
      </w:r>
      <w:r w:rsidRPr="00CB44B5">
        <w:rPr>
          <w:rFonts w:eastAsia="Times New Roman"/>
          <w:color w:val="000000"/>
          <w:spacing w:val="-2"/>
        </w:rPr>
        <w:t>bis</w:t>
      </w:r>
      <w:r w:rsidRPr="00CB44B5">
        <w:rPr>
          <w:rFonts w:eastAsia="Times New Roman"/>
          <w:i/>
          <w:color w:val="000000"/>
          <w:spacing w:val="-2"/>
        </w:rPr>
        <w:t xml:space="preserve">, art. 7, </w:t>
      </w:r>
      <w:r>
        <w:rPr>
          <w:rFonts w:eastAsia="Times New Roman"/>
          <w:i/>
          <w:color w:val="000000"/>
          <w:spacing w:val="-2"/>
        </w:rPr>
        <w:t>d</w:t>
      </w:r>
      <w:r w:rsidRPr="00CB44B5">
        <w:rPr>
          <w:rFonts w:eastAsia="Times New Roman"/>
          <w:i/>
          <w:color w:val="000000"/>
          <w:spacing w:val="-2"/>
        </w:rPr>
        <w:t>.</w:t>
      </w:r>
      <w:r>
        <w:rPr>
          <w:rFonts w:eastAsia="Times New Roman"/>
          <w:i/>
          <w:color w:val="000000"/>
          <w:spacing w:val="-2"/>
        </w:rPr>
        <w:t>l</w:t>
      </w:r>
      <w:r w:rsidRPr="00CB44B5">
        <w:rPr>
          <w:rFonts w:eastAsia="Times New Roman"/>
          <w:i/>
          <w:color w:val="000000"/>
          <w:spacing w:val="-2"/>
        </w:rPr>
        <w:t>gs. 546/1992 in riferimento alle imposte indirette</w:t>
      </w:r>
      <w:r w:rsidRPr="00CB44B5">
        <w:rPr>
          <w:rFonts w:eastAsia="Times New Roman"/>
          <w:color w:val="000000"/>
          <w:spacing w:val="-2"/>
        </w:rPr>
        <w:t>, in</w:t>
      </w:r>
      <w:r w:rsidRPr="00CB44B5">
        <w:rPr>
          <w:rFonts w:eastAsia="Times New Roman"/>
          <w:i/>
          <w:color w:val="000000"/>
          <w:spacing w:val="-2"/>
        </w:rPr>
        <w:t xml:space="preserve"> Riv</w:t>
      </w:r>
      <w:r>
        <w:rPr>
          <w:rFonts w:eastAsia="Times New Roman"/>
          <w:i/>
          <w:color w:val="000000"/>
          <w:spacing w:val="-2"/>
        </w:rPr>
        <w:t>.</w:t>
      </w:r>
      <w:r w:rsidRPr="00CB44B5">
        <w:rPr>
          <w:rFonts w:eastAsia="Times New Roman"/>
          <w:i/>
          <w:color w:val="000000"/>
          <w:spacing w:val="-2"/>
        </w:rPr>
        <w:t xml:space="preserve"> </w:t>
      </w:r>
      <w:proofErr w:type="spellStart"/>
      <w:r w:rsidRPr="00CB44B5">
        <w:rPr>
          <w:rFonts w:eastAsia="Times New Roman"/>
          <w:i/>
          <w:color w:val="000000"/>
          <w:spacing w:val="-2"/>
        </w:rPr>
        <w:t>te</w:t>
      </w:r>
      <w:r>
        <w:rPr>
          <w:rFonts w:eastAsia="Times New Roman"/>
          <w:i/>
          <w:color w:val="000000"/>
          <w:spacing w:val="-2"/>
        </w:rPr>
        <w:t>lem</w:t>
      </w:r>
      <w:proofErr w:type="spellEnd"/>
      <w:r>
        <w:rPr>
          <w:rFonts w:eastAsia="Times New Roman"/>
          <w:i/>
          <w:color w:val="000000"/>
          <w:spacing w:val="-2"/>
        </w:rPr>
        <w:t>.</w:t>
      </w:r>
      <w:r w:rsidRPr="00CB44B5">
        <w:rPr>
          <w:rFonts w:eastAsia="Times New Roman"/>
          <w:i/>
          <w:color w:val="000000"/>
          <w:spacing w:val="-2"/>
        </w:rPr>
        <w:t xml:space="preserve"> dir</w:t>
      </w:r>
      <w:r>
        <w:rPr>
          <w:rFonts w:eastAsia="Times New Roman"/>
          <w:i/>
          <w:color w:val="000000"/>
          <w:spacing w:val="-2"/>
        </w:rPr>
        <w:t>.</w:t>
      </w:r>
      <w:r w:rsidRPr="00CB44B5">
        <w:rPr>
          <w:rFonts w:eastAsia="Times New Roman"/>
          <w:i/>
          <w:color w:val="000000"/>
          <w:spacing w:val="-2"/>
        </w:rPr>
        <w:t xml:space="preserve"> </w:t>
      </w:r>
      <w:proofErr w:type="spellStart"/>
      <w:r w:rsidRPr="00CB44B5">
        <w:rPr>
          <w:rFonts w:eastAsia="Times New Roman"/>
          <w:i/>
          <w:color w:val="000000"/>
          <w:spacing w:val="-2"/>
        </w:rPr>
        <w:t>trib</w:t>
      </w:r>
      <w:proofErr w:type="spellEnd"/>
      <w:r w:rsidRPr="00CB44B5">
        <w:rPr>
          <w:rFonts w:eastAsia="Times New Roman"/>
          <w:i/>
          <w:color w:val="000000"/>
          <w:spacing w:val="-2"/>
        </w:rPr>
        <w:t xml:space="preserve">., </w:t>
      </w:r>
      <w:r>
        <w:rPr>
          <w:rFonts w:eastAsia="Times New Roman"/>
          <w:color w:val="000000"/>
          <w:spacing w:val="-2"/>
        </w:rPr>
        <w:t>2023</w:t>
      </w:r>
    </w:p>
  </w:footnote>
  <w:footnote w:id="9">
    <w:p w14:paraId="3D4D6DB3" w14:textId="77777777" w:rsidR="00297DF2" w:rsidRDefault="00297DF2" w:rsidP="00297DF2">
      <w:pPr>
        <w:pStyle w:val="Testonotaapidipagina"/>
      </w:pPr>
      <w:r>
        <w:rPr>
          <w:rStyle w:val="Rimandonotaapidipagina"/>
        </w:rPr>
        <w:footnoteRef/>
      </w:r>
      <w:r>
        <w:t xml:space="preserve"> </w:t>
      </w:r>
      <w:r w:rsidRPr="002E4542">
        <w:t xml:space="preserve">G. MERCURI, </w:t>
      </w:r>
      <w:r w:rsidRPr="002E4542">
        <w:rPr>
          <w:i/>
        </w:rPr>
        <w:t xml:space="preserve">Onere della prova: dal contributo di </w:t>
      </w:r>
      <w:proofErr w:type="spellStart"/>
      <w:r w:rsidRPr="002E4542">
        <w:rPr>
          <w:i/>
        </w:rPr>
        <w:t>Allori</w:t>
      </w:r>
      <w:r>
        <w:rPr>
          <w:i/>
        </w:rPr>
        <w:t>o</w:t>
      </w:r>
      <w:proofErr w:type="spellEnd"/>
      <w:r w:rsidRPr="002E4542">
        <w:rPr>
          <w:i/>
        </w:rPr>
        <w:t xml:space="preserve"> alla recente riforma del processo tributario</w:t>
      </w:r>
      <w:r w:rsidRPr="002E4542">
        <w:t xml:space="preserve">, in </w:t>
      </w:r>
      <w:hyperlink r:id="rId4">
        <w:r w:rsidRPr="002E4542">
          <w:rPr>
            <w:i/>
          </w:rPr>
          <w:t>Riv. dir. fin.</w:t>
        </w:r>
        <w:r>
          <w:rPr>
            <w:i/>
          </w:rPr>
          <w:t xml:space="preserve"> e</w:t>
        </w:r>
        <w:r w:rsidRPr="002E4542">
          <w:rPr>
            <w:i/>
          </w:rPr>
          <w:t xml:space="preserve"> sc</w:t>
        </w:r>
      </w:hyperlink>
      <w:r w:rsidRPr="002E4542">
        <w:rPr>
          <w:i/>
        </w:rPr>
        <w:t>. fin.</w:t>
      </w:r>
      <w:r w:rsidRPr="002E4542">
        <w:t>, 2022, 367</w:t>
      </w:r>
      <w:r>
        <w:t xml:space="preserve"> ss.</w:t>
      </w:r>
    </w:p>
  </w:footnote>
  <w:footnote w:id="10">
    <w:p w14:paraId="5E764FAE" w14:textId="77777777" w:rsidR="00351225" w:rsidRDefault="00351225" w:rsidP="008B5A2A">
      <w:pPr>
        <w:pStyle w:val="Testonotaapidipagina"/>
      </w:pPr>
      <w:r>
        <w:rPr>
          <w:rStyle w:val="Rimandonotaapidipagina"/>
        </w:rPr>
        <w:footnoteRef/>
      </w:r>
      <w:r>
        <w:t xml:space="preserve"> </w:t>
      </w:r>
      <w:r w:rsidRPr="00787BE8">
        <w:t xml:space="preserve">P. RUSSO, </w:t>
      </w:r>
      <w:r w:rsidRPr="00787BE8">
        <w:rPr>
          <w:i/>
        </w:rPr>
        <w:t>Problemi in tema di prova nel processo tributario dopo la riforma del processo tributario</w:t>
      </w:r>
      <w:r w:rsidRPr="00787BE8">
        <w:t xml:space="preserve">, </w:t>
      </w:r>
      <w:r>
        <w:t xml:space="preserve">in </w:t>
      </w:r>
      <w:r w:rsidRPr="00787BE8">
        <w:rPr>
          <w:i/>
        </w:rPr>
        <w:t xml:space="preserve">Riv. </w:t>
      </w:r>
      <w:proofErr w:type="spellStart"/>
      <w:r w:rsidRPr="00787BE8">
        <w:rPr>
          <w:i/>
        </w:rPr>
        <w:t>telem</w:t>
      </w:r>
      <w:proofErr w:type="spellEnd"/>
      <w:r w:rsidRPr="00787BE8">
        <w:rPr>
          <w:i/>
        </w:rPr>
        <w:t xml:space="preserve">. dir. </w:t>
      </w:r>
      <w:proofErr w:type="spellStart"/>
      <w:r w:rsidRPr="00787BE8">
        <w:rPr>
          <w:i/>
        </w:rPr>
        <w:t>trib</w:t>
      </w:r>
      <w:proofErr w:type="spellEnd"/>
      <w:r w:rsidRPr="00787BE8">
        <w:rPr>
          <w:i/>
        </w:rPr>
        <w:t>.</w:t>
      </w:r>
      <w:r w:rsidRPr="00787BE8">
        <w:t>, 2022</w:t>
      </w:r>
      <w:r>
        <w:t>.</w:t>
      </w:r>
    </w:p>
  </w:footnote>
  <w:footnote w:id="11">
    <w:p w14:paraId="7BDBB660" w14:textId="77777777" w:rsidR="00DE14FB" w:rsidRDefault="00DE14FB" w:rsidP="00DE14FB">
      <w:pPr>
        <w:pStyle w:val="Testonotaapidipagina"/>
      </w:pPr>
      <w:r>
        <w:rPr>
          <w:rStyle w:val="Rimandonotaapidipagina"/>
        </w:rPr>
        <w:footnoteRef/>
      </w:r>
      <w:r>
        <w:t xml:space="preserve"> Cass. </w:t>
      </w:r>
      <w:proofErr w:type="spellStart"/>
      <w:r>
        <w:t>pen</w:t>
      </w:r>
      <w:proofErr w:type="spellEnd"/>
      <w:r>
        <w:t>., Sez. un., 21 dicembre 2017, n. 14800.</w:t>
      </w:r>
    </w:p>
  </w:footnote>
  <w:footnote w:id="12">
    <w:p w14:paraId="36F07DDB" w14:textId="77777777" w:rsidR="00351225" w:rsidRDefault="00351225" w:rsidP="00CC6A21">
      <w:pPr>
        <w:pStyle w:val="Testonotaapidipagina"/>
      </w:pPr>
      <w:r>
        <w:rPr>
          <w:rStyle w:val="Rimandonotaapidipagina"/>
        </w:rPr>
        <w:footnoteRef/>
      </w:r>
      <w:r>
        <w:t xml:space="preserve"> S. MULEO,</w:t>
      </w:r>
      <w:r w:rsidRPr="0064016F">
        <w:t xml:space="preserve"> </w:t>
      </w:r>
      <w:r w:rsidRPr="00704FBB">
        <w:rPr>
          <w:i/>
        </w:rPr>
        <w:t xml:space="preserve">L’onere della prova </w:t>
      </w:r>
      <w:r>
        <w:rPr>
          <w:i/>
        </w:rPr>
        <w:t>a proposito della deducibilità dei costi</w:t>
      </w:r>
      <w:r w:rsidRPr="00704FBB">
        <w:t xml:space="preserve">, in </w:t>
      </w:r>
      <w:r w:rsidRPr="00704FBB">
        <w:rPr>
          <w:i/>
        </w:rPr>
        <w:t>L</w:t>
      </w:r>
      <w:r>
        <w:rPr>
          <w:i/>
        </w:rPr>
        <w:t>’</w:t>
      </w:r>
      <w:r w:rsidRPr="00704FBB">
        <w:rPr>
          <w:i/>
        </w:rPr>
        <w:t>onere della prova</w:t>
      </w:r>
      <w:r w:rsidRPr="00105CC3">
        <w:t>,</w:t>
      </w:r>
      <w:r>
        <w:rPr>
          <w:i/>
        </w:rPr>
        <w:t xml:space="preserve"> </w:t>
      </w:r>
      <w:r w:rsidRPr="003359C6">
        <w:rPr>
          <w:i/>
        </w:rPr>
        <w:t>cit.</w:t>
      </w:r>
      <w:r>
        <w:t>,</w:t>
      </w:r>
      <w:r w:rsidRPr="00704FBB">
        <w:t xml:space="preserve"> 1</w:t>
      </w:r>
      <w:r>
        <w:t>3</w:t>
      </w:r>
      <w:r w:rsidRPr="00704FBB">
        <w:t>2</w:t>
      </w:r>
      <w:r>
        <w:t>7 ss</w:t>
      </w:r>
      <w:r w:rsidRPr="00704FBB">
        <w:t>.</w:t>
      </w:r>
    </w:p>
  </w:footnote>
  <w:footnote w:id="13">
    <w:p w14:paraId="43191380" w14:textId="77777777" w:rsidR="00351225" w:rsidRDefault="00351225" w:rsidP="008B5A2A">
      <w:pPr>
        <w:pStyle w:val="Testonotaapidipagina"/>
      </w:pPr>
      <w:r>
        <w:rPr>
          <w:rStyle w:val="Rimandonotaapidipagina"/>
        </w:rPr>
        <w:footnoteRef/>
      </w:r>
      <w:r>
        <w:t xml:space="preserve"> G. FALCONE, </w:t>
      </w:r>
      <w:r w:rsidRPr="0064016F">
        <w:rPr>
          <w:i/>
        </w:rPr>
        <w:t>Le prove nel processo tributario a seguito della riforma</w:t>
      </w:r>
      <w:r>
        <w:t xml:space="preserve">, in </w:t>
      </w:r>
      <w:r w:rsidRPr="0064016F">
        <w:rPr>
          <w:i/>
        </w:rPr>
        <w:t xml:space="preserve">Boll. </w:t>
      </w:r>
      <w:proofErr w:type="spellStart"/>
      <w:r>
        <w:rPr>
          <w:i/>
        </w:rPr>
        <w:t>t</w:t>
      </w:r>
      <w:r w:rsidRPr="0064016F">
        <w:rPr>
          <w:i/>
        </w:rPr>
        <w:t>rib</w:t>
      </w:r>
      <w:proofErr w:type="spellEnd"/>
      <w:r w:rsidRPr="0064016F">
        <w:rPr>
          <w:i/>
        </w:rPr>
        <w:t>.</w:t>
      </w:r>
      <w:r>
        <w:t>, 2024, 1652 ss.</w:t>
      </w:r>
    </w:p>
  </w:footnote>
  <w:footnote w:id="14">
    <w:p w14:paraId="340DE048" w14:textId="77777777" w:rsidR="00351225" w:rsidRDefault="00351225">
      <w:pPr>
        <w:pStyle w:val="Testonotaapidipagina"/>
      </w:pPr>
      <w:r>
        <w:rPr>
          <w:rStyle w:val="Rimandonotaapidipagina"/>
        </w:rPr>
        <w:footnoteRef/>
      </w:r>
      <w:r>
        <w:t xml:space="preserve"> </w:t>
      </w:r>
      <w:r w:rsidRPr="001A3325">
        <w:t>Cass. civ., Sez. </w:t>
      </w:r>
      <w:r>
        <w:t>V</w:t>
      </w:r>
      <w:r w:rsidRPr="001A3325">
        <w:t>, </w:t>
      </w:r>
      <w:r>
        <w:t xml:space="preserve">13 giugno </w:t>
      </w:r>
      <w:r w:rsidRPr="001A3325">
        <w:t>2024, n. </w:t>
      </w:r>
      <w:hyperlink r:id="rId5" w:tgtFrame="_blank" w:history="1">
        <w:r w:rsidRPr="001A3325">
          <w:t>164</w:t>
        </w:r>
      </w:hyperlink>
      <w:r>
        <w:t>93.</w:t>
      </w:r>
    </w:p>
  </w:footnote>
  <w:footnote w:id="15">
    <w:p w14:paraId="1361E846" w14:textId="77777777" w:rsidR="00351225" w:rsidRDefault="00351225">
      <w:pPr>
        <w:pStyle w:val="Testonotaapidipagina"/>
      </w:pPr>
      <w:r>
        <w:rPr>
          <w:rStyle w:val="Rimandonotaapidipagina"/>
        </w:rPr>
        <w:footnoteRef/>
      </w:r>
      <w:r>
        <w:t xml:space="preserve"> </w:t>
      </w:r>
      <w:r w:rsidRPr="00301495">
        <w:t xml:space="preserve">C. FERRARI - S. SCHILLACI, </w:t>
      </w:r>
      <w:r w:rsidRPr="00301495">
        <w:rPr>
          <w:i/>
        </w:rPr>
        <w:t>Presunzioni qualificate e irretroattività del riformato onere probatorio: nuove ombre (e qualche timida luce)</w:t>
      </w:r>
      <w:r w:rsidRPr="00301495">
        <w:t xml:space="preserve">, in </w:t>
      </w:r>
      <w:r w:rsidRPr="00301495">
        <w:rPr>
          <w:i/>
        </w:rPr>
        <w:t>Il fisco</w:t>
      </w:r>
      <w:r w:rsidRPr="00301495">
        <w:t>, 2024, 2733</w:t>
      </w:r>
      <w:r>
        <w:t xml:space="preserve">; </w:t>
      </w:r>
      <w:r w:rsidRPr="00301495">
        <w:t xml:space="preserve">C. GLENDI, </w:t>
      </w:r>
      <w:r w:rsidRPr="00301495">
        <w:rPr>
          <w:i/>
        </w:rPr>
        <w:t>Applicabilità ai giudizi pendenti della nuova nonna sull</w:t>
      </w:r>
      <w:r>
        <w:rPr>
          <w:i/>
        </w:rPr>
        <w:t>’</w:t>
      </w:r>
      <w:proofErr w:type="spellStart"/>
      <w:r w:rsidRPr="00301495">
        <w:rPr>
          <w:i/>
        </w:rPr>
        <w:t>onus</w:t>
      </w:r>
      <w:proofErr w:type="spellEnd"/>
      <w:r w:rsidRPr="00301495">
        <w:rPr>
          <w:i/>
        </w:rPr>
        <w:t xml:space="preserve"> probandi nel processo tributario. Primi esperimenti applicativi delle Corti di merito sull</w:t>
      </w:r>
      <w:r>
        <w:rPr>
          <w:i/>
        </w:rPr>
        <w:t>a</w:t>
      </w:r>
      <w:r w:rsidRPr="00301495">
        <w:rPr>
          <w:i/>
        </w:rPr>
        <w:t xml:space="preserve"> regola finale del fatto incerto nel processo tributario riformato</w:t>
      </w:r>
      <w:r w:rsidRPr="00301495">
        <w:t xml:space="preserve">, in </w:t>
      </w:r>
      <w:r w:rsidRPr="00301495">
        <w:rPr>
          <w:i/>
        </w:rPr>
        <w:t xml:space="preserve">Riv, giur. </w:t>
      </w:r>
      <w:proofErr w:type="spellStart"/>
      <w:r w:rsidRPr="00301495">
        <w:rPr>
          <w:i/>
        </w:rPr>
        <w:t>trib</w:t>
      </w:r>
      <w:proofErr w:type="spellEnd"/>
      <w:r w:rsidRPr="00301495">
        <w:rPr>
          <w:i/>
        </w:rPr>
        <w:t>.</w:t>
      </w:r>
      <w:r w:rsidRPr="00301495">
        <w:t xml:space="preserve">, </w:t>
      </w:r>
      <w:r>
        <w:t xml:space="preserve">2023, 247; </w:t>
      </w:r>
      <w:r w:rsidRPr="00301495">
        <w:t xml:space="preserve">S. MULEO, </w:t>
      </w:r>
      <w:r w:rsidRPr="00301495">
        <w:rPr>
          <w:i/>
        </w:rPr>
        <w:t>op. cit.</w:t>
      </w:r>
      <w:r w:rsidRPr="00301495">
        <w:t>, 1327</w:t>
      </w:r>
      <w:r>
        <w:t>.</w:t>
      </w:r>
    </w:p>
  </w:footnote>
  <w:footnote w:id="16">
    <w:p w14:paraId="2E188F29" w14:textId="77777777" w:rsidR="00351225" w:rsidRDefault="00351225">
      <w:pPr>
        <w:pStyle w:val="Testonotaapidipagina"/>
      </w:pPr>
      <w:r>
        <w:rPr>
          <w:rStyle w:val="Rimandonotaapidipagina"/>
        </w:rPr>
        <w:footnoteRef/>
      </w:r>
      <w:r>
        <w:t xml:space="preserve"> Cass. </w:t>
      </w:r>
      <w:proofErr w:type="spellStart"/>
      <w:r>
        <w:t>pen</w:t>
      </w:r>
      <w:proofErr w:type="spellEnd"/>
      <w:r>
        <w:t>., Sez. VI, 21 febbraio 2025, n. 7329.</w:t>
      </w:r>
    </w:p>
  </w:footnote>
  <w:footnote w:id="17">
    <w:p w14:paraId="7F38E78A" w14:textId="77777777" w:rsidR="00351225" w:rsidRDefault="00351225" w:rsidP="008B5A2A">
      <w:pPr>
        <w:pStyle w:val="Testonotaapidipagina"/>
      </w:pPr>
      <w:r>
        <w:rPr>
          <w:rStyle w:val="Rimandonotaapidipagina"/>
        </w:rPr>
        <w:footnoteRef/>
      </w:r>
      <w:r>
        <w:t xml:space="preserve"> </w:t>
      </w:r>
      <w:r>
        <w:rPr>
          <w:color w:val="212529"/>
          <w:lang w:eastAsia="it-IT"/>
        </w:rPr>
        <w:t xml:space="preserve">M. CATALDI, </w:t>
      </w:r>
      <w:r w:rsidRPr="00F67350">
        <w:rPr>
          <w:i/>
          <w:iCs/>
          <w:color w:val="212529"/>
          <w:lang w:eastAsia="it-IT"/>
        </w:rPr>
        <w:t>La norma generale sull’onere della prova</w:t>
      </w:r>
      <w:r w:rsidRPr="00F67350">
        <w:rPr>
          <w:color w:val="212529"/>
          <w:lang w:eastAsia="it-IT"/>
        </w:rPr>
        <w:t xml:space="preserve">, in </w:t>
      </w:r>
      <w:proofErr w:type="spellStart"/>
      <w:r w:rsidRPr="005711D9">
        <w:rPr>
          <w:i/>
          <w:color w:val="212529"/>
          <w:lang w:eastAsia="it-IT"/>
        </w:rPr>
        <w:t>Giust</w:t>
      </w:r>
      <w:proofErr w:type="spellEnd"/>
      <w:r w:rsidRPr="005711D9">
        <w:rPr>
          <w:i/>
          <w:color w:val="212529"/>
          <w:lang w:eastAsia="it-IT"/>
        </w:rPr>
        <w:t>. insieme</w:t>
      </w:r>
      <w:r w:rsidRPr="00F67350">
        <w:rPr>
          <w:color w:val="212529"/>
          <w:lang w:eastAsia="it-IT"/>
        </w:rPr>
        <w:t>, 2024</w:t>
      </w:r>
      <w:r>
        <w:rPr>
          <w:color w:val="212529"/>
          <w:lang w:eastAsia="it-IT"/>
        </w:rPr>
        <w:t>.</w:t>
      </w:r>
    </w:p>
  </w:footnote>
  <w:footnote w:id="18">
    <w:p w14:paraId="45179C8F" w14:textId="77777777" w:rsidR="00351225" w:rsidRDefault="00351225">
      <w:pPr>
        <w:pStyle w:val="Testonotaapidipagina"/>
      </w:pPr>
      <w:r>
        <w:rPr>
          <w:rStyle w:val="Rimandonotaapidipagina"/>
        </w:rPr>
        <w:footnoteRef/>
      </w:r>
      <w:r>
        <w:t xml:space="preserve"> G. FALCONE, </w:t>
      </w:r>
      <w:r w:rsidRPr="0064016F">
        <w:rPr>
          <w:i/>
        </w:rPr>
        <w:t>Le prove nel processo tributario a seguito della riforma</w:t>
      </w:r>
      <w:r>
        <w:t xml:space="preserve">, </w:t>
      </w:r>
      <w:r w:rsidRPr="0031150C">
        <w:rPr>
          <w:i/>
        </w:rPr>
        <w:t>cit</w:t>
      </w:r>
      <w:r>
        <w:t>., 1659.</w:t>
      </w:r>
    </w:p>
  </w:footnote>
  <w:footnote w:id="19">
    <w:p w14:paraId="35DDE481" w14:textId="77777777" w:rsidR="00351225" w:rsidRDefault="00351225">
      <w:pPr>
        <w:pStyle w:val="Testonotaapidipagina"/>
      </w:pPr>
      <w:r>
        <w:rPr>
          <w:rStyle w:val="Rimandonotaapidipagina"/>
        </w:rPr>
        <w:footnoteRef/>
      </w:r>
      <w:r>
        <w:t xml:space="preserve"> A. COMELLI; </w:t>
      </w:r>
      <w:r w:rsidRPr="002126B8">
        <w:rPr>
          <w:i/>
        </w:rPr>
        <w:t>Art. 7 d.lgs. 546/1992</w:t>
      </w:r>
      <w:r>
        <w:t xml:space="preserve">, </w:t>
      </w:r>
      <w:r w:rsidRPr="002126B8">
        <w:t>in</w:t>
      </w:r>
      <w:r>
        <w:rPr>
          <w:i/>
        </w:rPr>
        <w:t xml:space="preserve"> </w:t>
      </w:r>
      <w:r w:rsidRPr="002126B8">
        <w:t>C. CONSOLO, G. GLENDI (a cura di)</w:t>
      </w:r>
      <w:r>
        <w:t>,</w:t>
      </w:r>
      <w:r w:rsidRPr="002126B8">
        <w:rPr>
          <w:i/>
        </w:rPr>
        <w:t xml:space="preserve"> Commentario breve alle leggi del processo tributario</w:t>
      </w:r>
      <w:r>
        <w:t>, Padova, 2023, 186 ss.</w:t>
      </w:r>
    </w:p>
  </w:footnote>
  <w:footnote w:id="20">
    <w:p w14:paraId="1C93F871" w14:textId="77777777" w:rsidR="00351225" w:rsidRDefault="00351225">
      <w:pPr>
        <w:pStyle w:val="Testonotaapidipagina"/>
      </w:pPr>
      <w:r>
        <w:rPr>
          <w:rStyle w:val="Rimandonotaapidipagina"/>
        </w:rPr>
        <w:footnoteRef/>
      </w:r>
      <w:r>
        <w:t xml:space="preserve"> M. BASILAVECCHIA, </w:t>
      </w:r>
      <w:r w:rsidRPr="00627A99">
        <w:rPr>
          <w:i/>
        </w:rPr>
        <w:t xml:space="preserve">No </w:t>
      </w:r>
      <w:proofErr w:type="spellStart"/>
      <w:r w:rsidRPr="00627A99">
        <w:rPr>
          <w:i/>
        </w:rPr>
        <w:t>Man’s</w:t>
      </w:r>
      <w:proofErr w:type="spellEnd"/>
      <w:r w:rsidRPr="00627A99">
        <w:rPr>
          <w:i/>
        </w:rPr>
        <w:t xml:space="preserve"> Land.</w:t>
      </w:r>
      <w:r w:rsidRPr="00AE1C6F">
        <w:rPr>
          <w:i/>
        </w:rPr>
        <w:t xml:space="preserve"> La giustizia tributaria verso la Costituzione</w:t>
      </w:r>
      <w:r>
        <w:t>, Milano, 2025, 16.</w:t>
      </w:r>
    </w:p>
  </w:footnote>
  <w:footnote w:id="21">
    <w:p w14:paraId="73AEB6C7" w14:textId="77777777" w:rsidR="00351225" w:rsidRPr="00E72778" w:rsidRDefault="00351225" w:rsidP="008B5A2A">
      <w:pPr>
        <w:pStyle w:val="Nessunaspaziatura"/>
        <w:rPr>
          <w:sz w:val="20"/>
          <w:szCs w:val="20"/>
          <w:lang w:eastAsia="it-IT"/>
        </w:rPr>
      </w:pPr>
      <w:r w:rsidRPr="00E72778">
        <w:rPr>
          <w:rStyle w:val="Rimandonotaapidipagina"/>
          <w:sz w:val="20"/>
          <w:szCs w:val="20"/>
        </w:rPr>
        <w:footnoteRef/>
      </w:r>
      <w:r w:rsidRPr="00E72778">
        <w:rPr>
          <w:sz w:val="20"/>
          <w:szCs w:val="20"/>
        </w:rPr>
        <w:t xml:space="preserve"> F. GALLO, </w:t>
      </w:r>
      <w:r w:rsidRPr="00E72778">
        <w:rPr>
          <w:i/>
          <w:sz w:val="20"/>
          <w:szCs w:val="20"/>
          <w:lang w:eastAsia="it-IT"/>
        </w:rPr>
        <w:t xml:space="preserve">L’onere della prova nel processo tributario a seguito della riforma </w:t>
      </w:r>
      <w:r w:rsidRPr="00E72778">
        <w:rPr>
          <w:sz w:val="20"/>
          <w:szCs w:val="20"/>
          <w:lang w:eastAsia="it-IT"/>
        </w:rPr>
        <w:t>ex</w:t>
      </w:r>
      <w:r w:rsidRPr="00E72778">
        <w:rPr>
          <w:i/>
          <w:sz w:val="20"/>
          <w:szCs w:val="20"/>
          <w:lang w:eastAsia="it-IT"/>
        </w:rPr>
        <w:t xml:space="preserve"> </w:t>
      </w:r>
      <w:r w:rsidRPr="003359C6">
        <w:rPr>
          <w:sz w:val="20"/>
          <w:szCs w:val="20"/>
          <w:lang w:eastAsia="it-IT"/>
        </w:rPr>
        <w:t>lege</w:t>
      </w:r>
      <w:r w:rsidRPr="00E72778">
        <w:rPr>
          <w:i/>
          <w:sz w:val="20"/>
          <w:szCs w:val="20"/>
          <w:lang w:eastAsia="it-IT"/>
        </w:rPr>
        <w:t xml:space="preserve"> 130/2022</w:t>
      </w:r>
      <w:r w:rsidRPr="00E72778">
        <w:rPr>
          <w:sz w:val="20"/>
          <w:szCs w:val="20"/>
          <w:lang w:eastAsia="it-IT"/>
        </w:rPr>
        <w:t xml:space="preserve">, in </w:t>
      </w:r>
      <w:proofErr w:type="spellStart"/>
      <w:r w:rsidRPr="00E72778">
        <w:rPr>
          <w:i/>
          <w:sz w:val="20"/>
          <w:szCs w:val="20"/>
        </w:rPr>
        <w:t>Giust</w:t>
      </w:r>
      <w:proofErr w:type="spellEnd"/>
      <w:r>
        <w:rPr>
          <w:i/>
          <w:sz w:val="20"/>
          <w:szCs w:val="20"/>
        </w:rPr>
        <w:t>.</w:t>
      </w:r>
      <w:r w:rsidRPr="00E72778">
        <w:rPr>
          <w:i/>
          <w:sz w:val="20"/>
          <w:szCs w:val="20"/>
        </w:rPr>
        <w:t xml:space="preserve"> </w:t>
      </w:r>
      <w:r>
        <w:rPr>
          <w:i/>
          <w:sz w:val="20"/>
          <w:szCs w:val="20"/>
        </w:rPr>
        <w:t>i</w:t>
      </w:r>
      <w:r w:rsidRPr="00E72778">
        <w:rPr>
          <w:i/>
          <w:sz w:val="20"/>
          <w:szCs w:val="20"/>
        </w:rPr>
        <w:t>nsieme</w:t>
      </w:r>
      <w:r w:rsidRPr="00E72778">
        <w:rPr>
          <w:sz w:val="20"/>
          <w:szCs w:val="20"/>
        </w:rPr>
        <w:t>, 2025</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59E"/>
    <w:multiLevelType w:val="hybridMultilevel"/>
    <w:tmpl w:val="1BAE260C"/>
    <w:lvl w:ilvl="0" w:tplc="6F46293A">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3550FB"/>
    <w:multiLevelType w:val="hybridMultilevel"/>
    <w:tmpl w:val="782A5E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2874464">
    <w:abstractNumId w:val="1"/>
  </w:num>
  <w:num w:numId="2" w16cid:durableId="126283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89"/>
    <w:rsid w:val="00007711"/>
    <w:rsid w:val="00023AD2"/>
    <w:rsid w:val="00031BA1"/>
    <w:rsid w:val="000548A0"/>
    <w:rsid w:val="00093CC4"/>
    <w:rsid w:val="000C661D"/>
    <w:rsid w:val="000D0CD0"/>
    <w:rsid w:val="00105CC3"/>
    <w:rsid w:val="00142D82"/>
    <w:rsid w:val="00157013"/>
    <w:rsid w:val="00161E1C"/>
    <w:rsid w:val="001A3325"/>
    <w:rsid w:val="001A47FB"/>
    <w:rsid w:val="001A6E06"/>
    <w:rsid w:val="001C3F6E"/>
    <w:rsid w:val="001C615C"/>
    <w:rsid w:val="001E6297"/>
    <w:rsid w:val="001F6392"/>
    <w:rsid w:val="00211FFF"/>
    <w:rsid w:val="002126B8"/>
    <w:rsid w:val="0021371D"/>
    <w:rsid w:val="00230C26"/>
    <w:rsid w:val="00240B26"/>
    <w:rsid w:val="002434E9"/>
    <w:rsid w:val="00260E18"/>
    <w:rsid w:val="002634C7"/>
    <w:rsid w:val="002714DC"/>
    <w:rsid w:val="00294396"/>
    <w:rsid w:val="00297DF2"/>
    <w:rsid w:val="002A568E"/>
    <w:rsid w:val="002A77B4"/>
    <w:rsid w:val="002B4BDB"/>
    <w:rsid w:val="002C107F"/>
    <w:rsid w:val="002D032D"/>
    <w:rsid w:val="002E4542"/>
    <w:rsid w:val="002F5F7B"/>
    <w:rsid w:val="00301495"/>
    <w:rsid w:val="00306F63"/>
    <w:rsid w:val="0031150C"/>
    <w:rsid w:val="00311DDA"/>
    <w:rsid w:val="0031644D"/>
    <w:rsid w:val="00333833"/>
    <w:rsid w:val="003359C6"/>
    <w:rsid w:val="00342D74"/>
    <w:rsid w:val="00351225"/>
    <w:rsid w:val="00383DB8"/>
    <w:rsid w:val="00384813"/>
    <w:rsid w:val="003928E7"/>
    <w:rsid w:val="003C6683"/>
    <w:rsid w:val="003D41FE"/>
    <w:rsid w:val="003D65AB"/>
    <w:rsid w:val="004132FB"/>
    <w:rsid w:val="00420B11"/>
    <w:rsid w:val="004366D0"/>
    <w:rsid w:val="0046181B"/>
    <w:rsid w:val="00464DB4"/>
    <w:rsid w:val="00474D23"/>
    <w:rsid w:val="004950C1"/>
    <w:rsid w:val="004A050F"/>
    <w:rsid w:val="004A35AD"/>
    <w:rsid w:val="004D4F47"/>
    <w:rsid w:val="004E1B61"/>
    <w:rsid w:val="0050221E"/>
    <w:rsid w:val="00515ADF"/>
    <w:rsid w:val="00520C04"/>
    <w:rsid w:val="00521624"/>
    <w:rsid w:val="00531510"/>
    <w:rsid w:val="005711D9"/>
    <w:rsid w:val="00574307"/>
    <w:rsid w:val="005B1636"/>
    <w:rsid w:val="005C4E4D"/>
    <w:rsid w:val="005E6384"/>
    <w:rsid w:val="005F3184"/>
    <w:rsid w:val="00602F5C"/>
    <w:rsid w:val="00603F06"/>
    <w:rsid w:val="00607B5B"/>
    <w:rsid w:val="00624165"/>
    <w:rsid w:val="00627A99"/>
    <w:rsid w:val="0064016F"/>
    <w:rsid w:val="00665989"/>
    <w:rsid w:val="00675EA1"/>
    <w:rsid w:val="006D700D"/>
    <w:rsid w:val="006D709C"/>
    <w:rsid w:val="006E10C9"/>
    <w:rsid w:val="006E77EB"/>
    <w:rsid w:val="006F4088"/>
    <w:rsid w:val="0070251D"/>
    <w:rsid w:val="007035D2"/>
    <w:rsid w:val="00704FBB"/>
    <w:rsid w:val="00730823"/>
    <w:rsid w:val="007400E2"/>
    <w:rsid w:val="00744297"/>
    <w:rsid w:val="00753D94"/>
    <w:rsid w:val="007608EE"/>
    <w:rsid w:val="00766A1D"/>
    <w:rsid w:val="00787BE8"/>
    <w:rsid w:val="00792CF8"/>
    <w:rsid w:val="007964E7"/>
    <w:rsid w:val="007E0DD6"/>
    <w:rsid w:val="007F5F2B"/>
    <w:rsid w:val="00813B2D"/>
    <w:rsid w:val="00832183"/>
    <w:rsid w:val="00841E6D"/>
    <w:rsid w:val="0086740D"/>
    <w:rsid w:val="008741CD"/>
    <w:rsid w:val="008A0A3B"/>
    <w:rsid w:val="008B5438"/>
    <w:rsid w:val="008B5A2A"/>
    <w:rsid w:val="008E0E42"/>
    <w:rsid w:val="008E24E6"/>
    <w:rsid w:val="009251E1"/>
    <w:rsid w:val="00961EDD"/>
    <w:rsid w:val="00975611"/>
    <w:rsid w:val="0099569D"/>
    <w:rsid w:val="00A15372"/>
    <w:rsid w:val="00A34244"/>
    <w:rsid w:val="00A36839"/>
    <w:rsid w:val="00A663CF"/>
    <w:rsid w:val="00A91C90"/>
    <w:rsid w:val="00AC6625"/>
    <w:rsid w:val="00AE17B6"/>
    <w:rsid w:val="00AE1C6F"/>
    <w:rsid w:val="00AE1D0B"/>
    <w:rsid w:val="00AE1DAE"/>
    <w:rsid w:val="00AF3BC1"/>
    <w:rsid w:val="00AF7740"/>
    <w:rsid w:val="00B11CE3"/>
    <w:rsid w:val="00B25764"/>
    <w:rsid w:val="00B33AD6"/>
    <w:rsid w:val="00B431BC"/>
    <w:rsid w:val="00B477DA"/>
    <w:rsid w:val="00B622BC"/>
    <w:rsid w:val="00BD03FC"/>
    <w:rsid w:val="00BD48D9"/>
    <w:rsid w:val="00C0320E"/>
    <w:rsid w:val="00C03746"/>
    <w:rsid w:val="00C12CDE"/>
    <w:rsid w:val="00C57063"/>
    <w:rsid w:val="00C57F8E"/>
    <w:rsid w:val="00CA67BF"/>
    <w:rsid w:val="00CA6F85"/>
    <w:rsid w:val="00CA7B7B"/>
    <w:rsid w:val="00CB44B5"/>
    <w:rsid w:val="00CC4147"/>
    <w:rsid w:val="00CC6A21"/>
    <w:rsid w:val="00CC7072"/>
    <w:rsid w:val="00D170FA"/>
    <w:rsid w:val="00D2448B"/>
    <w:rsid w:val="00D53291"/>
    <w:rsid w:val="00DD4C8A"/>
    <w:rsid w:val="00DE14FB"/>
    <w:rsid w:val="00DF3F87"/>
    <w:rsid w:val="00E33589"/>
    <w:rsid w:val="00E3608D"/>
    <w:rsid w:val="00E55ECF"/>
    <w:rsid w:val="00E72778"/>
    <w:rsid w:val="00E72F0C"/>
    <w:rsid w:val="00E8181C"/>
    <w:rsid w:val="00EA54D3"/>
    <w:rsid w:val="00EE4D52"/>
    <w:rsid w:val="00F03E40"/>
    <w:rsid w:val="00F677EF"/>
    <w:rsid w:val="00F825B9"/>
    <w:rsid w:val="00F95F9C"/>
    <w:rsid w:val="00FA415A"/>
    <w:rsid w:val="00FF78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AE1A"/>
  <w15:chartTrackingRefBased/>
  <w15:docId w15:val="{B627AE3E-5677-47C0-8389-7CB4123F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0B11"/>
    <w:pPr>
      <w:spacing w:line="360" w:lineRule="auto"/>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7013"/>
    <w:pPr>
      <w:ind w:left="720"/>
      <w:contextualSpacing/>
    </w:pPr>
  </w:style>
  <w:style w:type="paragraph" w:customStyle="1" w:styleId="liscio">
    <w:name w:val="liscio"/>
    <w:basedOn w:val="Normale"/>
    <w:rsid w:val="00333833"/>
    <w:pPr>
      <w:spacing w:before="100" w:beforeAutospacing="1" w:after="100" w:afterAutospacing="1" w:line="240" w:lineRule="auto"/>
      <w:jc w:val="left"/>
    </w:pPr>
    <w:rPr>
      <w:rFonts w:eastAsia="Times New Roman" w:cs="Times New Roman"/>
      <w:szCs w:val="24"/>
      <w:lang w:eastAsia="it-IT"/>
    </w:rPr>
  </w:style>
  <w:style w:type="character" w:styleId="Collegamentoipertestuale">
    <w:name w:val="Hyperlink"/>
    <w:basedOn w:val="Carpredefinitoparagrafo"/>
    <w:uiPriority w:val="99"/>
    <w:semiHidden/>
    <w:unhideWhenUsed/>
    <w:rsid w:val="00333833"/>
    <w:rPr>
      <w:color w:val="0000FF"/>
      <w:u w:val="single"/>
    </w:rPr>
  </w:style>
  <w:style w:type="character" w:customStyle="1" w:styleId="risultato">
    <w:name w:val="risultato"/>
    <w:basedOn w:val="Carpredefinitoparagrafo"/>
    <w:rsid w:val="00333833"/>
  </w:style>
  <w:style w:type="paragraph" w:customStyle="1" w:styleId="paragraph">
    <w:name w:val="paragraph"/>
    <w:basedOn w:val="Normale"/>
    <w:rsid w:val="00AE1DAE"/>
    <w:pPr>
      <w:spacing w:before="100" w:beforeAutospacing="1" w:after="100" w:afterAutospacing="1" w:line="240" w:lineRule="auto"/>
      <w:jc w:val="left"/>
    </w:pPr>
    <w:rPr>
      <w:rFonts w:eastAsia="Times New Roman" w:cs="Times New Roman"/>
      <w:szCs w:val="24"/>
      <w:lang w:eastAsia="it-IT"/>
    </w:rPr>
  </w:style>
  <w:style w:type="character" w:customStyle="1" w:styleId="normaltextrun">
    <w:name w:val="normaltextrun"/>
    <w:basedOn w:val="Carpredefinitoparagrafo"/>
    <w:rsid w:val="00AE1DAE"/>
  </w:style>
  <w:style w:type="character" w:customStyle="1" w:styleId="eop">
    <w:name w:val="eop"/>
    <w:basedOn w:val="Carpredefinitoparagrafo"/>
    <w:rsid w:val="00AE1DAE"/>
  </w:style>
  <w:style w:type="paragraph" w:styleId="Testonotaapidipagina">
    <w:name w:val="footnote text"/>
    <w:basedOn w:val="Normale"/>
    <w:link w:val="TestonotaapidipaginaCarattere"/>
    <w:uiPriority w:val="99"/>
    <w:semiHidden/>
    <w:unhideWhenUsed/>
    <w:rsid w:val="001A33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A3325"/>
    <w:rPr>
      <w:rFonts w:ascii="Times New Roman" w:hAnsi="Times New Roman"/>
      <w:sz w:val="20"/>
      <w:szCs w:val="20"/>
    </w:rPr>
  </w:style>
  <w:style w:type="character" w:styleId="Rimandonotaapidipagina">
    <w:name w:val="footnote reference"/>
    <w:basedOn w:val="Carpredefinitoparagrafo"/>
    <w:uiPriority w:val="99"/>
    <w:semiHidden/>
    <w:unhideWhenUsed/>
    <w:rsid w:val="001A3325"/>
    <w:rPr>
      <w:vertAlign w:val="superscript"/>
    </w:rPr>
  </w:style>
  <w:style w:type="paragraph" w:styleId="Nessunaspaziatura">
    <w:name w:val="No Spacing"/>
    <w:uiPriority w:val="1"/>
    <w:qFormat/>
    <w:rsid w:val="001A3325"/>
    <w:pPr>
      <w:spacing w:after="0" w:line="240" w:lineRule="auto"/>
      <w:jc w:val="both"/>
    </w:pPr>
    <w:rPr>
      <w:rFonts w:ascii="Times New Roman" w:hAnsi="Times New Roman"/>
      <w:sz w:val="24"/>
    </w:rPr>
  </w:style>
  <w:style w:type="paragraph" w:styleId="Intestazione">
    <w:name w:val="header"/>
    <w:basedOn w:val="Normale"/>
    <w:link w:val="IntestazioneCarattere"/>
    <w:uiPriority w:val="99"/>
    <w:unhideWhenUsed/>
    <w:rsid w:val="00A91C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1C90"/>
    <w:rPr>
      <w:rFonts w:ascii="Times New Roman" w:hAnsi="Times New Roman"/>
      <w:sz w:val="24"/>
    </w:rPr>
  </w:style>
  <w:style w:type="paragraph" w:styleId="Pidipagina">
    <w:name w:val="footer"/>
    <w:basedOn w:val="Normale"/>
    <w:link w:val="PidipaginaCarattere"/>
    <w:uiPriority w:val="99"/>
    <w:unhideWhenUsed/>
    <w:rsid w:val="00A91C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1C90"/>
    <w:rPr>
      <w:rFonts w:ascii="Times New Roman" w:hAnsi="Times New Roman"/>
      <w:sz w:val="24"/>
    </w:rPr>
  </w:style>
  <w:style w:type="character" w:styleId="Enfasicorsivo">
    <w:name w:val="Emphasis"/>
    <w:basedOn w:val="Carpredefinitoparagrafo"/>
    <w:uiPriority w:val="20"/>
    <w:qFormat/>
    <w:rsid w:val="002434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01696">
      <w:bodyDiv w:val="1"/>
      <w:marLeft w:val="0"/>
      <w:marRight w:val="0"/>
      <w:marTop w:val="0"/>
      <w:marBottom w:val="0"/>
      <w:divBdr>
        <w:top w:val="none" w:sz="0" w:space="0" w:color="auto"/>
        <w:left w:val="none" w:sz="0" w:space="0" w:color="auto"/>
        <w:bottom w:val="none" w:sz="0" w:space="0" w:color="auto"/>
        <w:right w:val="none" w:sz="0" w:space="0" w:color="auto"/>
      </w:divBdr>
      <w:divsChild>
        <w:div w:id="816915109">
          <w:marLeft w:val="0"/>
          <w:marRight w:val="0"/>
          <w:marTop w:val="0"/>
          <w:marBottom w:val="0"/>
          <w:divBdr>
            <w:top w:val="none" w:sz="0" w:space="0" w:color="auto"/>
            <w:left w:val="none" w:sz="0" w:space="0" w:color="auto"/>
            <w:bottom w:val="none" w:sz="0" w:space="0" w:color="auto"/>
            <w:right w:val="none" w:sz="0" w:space="0" w:color="auto"/>
          </w:divBdr>
        </w:div>
        <w:div w:id="66423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talgiure.giustizia.it/xway/application/nif/isapi/hc.dll?host=&amp;port=-1&amp;_sid=%7b3A5C0496%7d&amp;db=snciv&amp;verbo=query&amp;xverb=tit&amp;query=%5bnumero%20decisione%5d=31878%20AND%20%5banno%20decisione%5d=2022%20AND%20%5bsezione%5d=5&amp;user=&amp;uri=/xway/application/nif/isapi/hc.dll&amp;pwd=&amp;_hcf=&amp;_hca=&amp;cId=&amp;cIsPublic=&amp;cName=&amp;cquery=109856&amp;sele=&amp;selid=&amp;pos=&amp;lang=it" TargetMode="External"/><Relationship Id="rId2" Type="http://schemas.openxmlformats.org/officeDocument/2006/relationships/hyperlink" Target="https://www.italgiure.giustizia.it/xway/application/nif/isapi/hc.dll?host=&amp;port=-1&amp;_sid=%7b3A5C0496%7d&amp;db=snciv&amp;verbo=query&amp;xverb=tit&amp;query=%5bnumero%20decisione%5d=18764%20AND%20%5banno%20decisione%5d=2024%20AND%20%5bsezione%5d=5&amp;user=&amp;uri=/xway/application/nif/isapi/hc.dll&amp;pwd=&amp;_hcf=&amp;_hca=&amp;cId=&amp;cIsPublic=&amp;cName=&amp;cquery=70528&amp;sele=&amp;selid=&amp;pos=&amp;lang=it" TargetMode="External"/><Relationship Id="rId1" Type="http://schemas.openxmlformats.org/officeDocument/2006/relationships/hyperlink" Target="https://www.italgiure.giustizia.it/xway/application/nif/isapi/hc.dll?host=&amp;port=-1&amp;_sid=%7b3A5C0496%7d&amp;db=snciv&amp;verbo=query&amp;xverb=tit&amp;query=%5bnumero%20decisione%5d=31878%20AND%20%5banno%20decisione%5d=2022%20AND%20%5bsezione%5d=5&amp;user=&amp;uri=/xway/application/nif/isapi/hc.dll&amp;pwd=&amp;_hcf=&amp;_hca=&amp;cId=&amp;cIsPublic=&amp;cName=&amp;cquery=109856&amp;sele=&amp;selid=&amp;pos=&amp;lang=it" TargetMode="External"/><Relationship Id="rId5" Type="http://schemas.openxmlformats.org/officeDocument/2006/relationships/hyperlink" Target="https://www.italgiure.giustizia.it/xway/application/nif/isapi/hc.dll?host=&amp;port=-1&amp;_sid=%7b3A5C0496%7d&amp;db=snciv&amp;verbo=query&amp;xverb=tit&amp;query=%5bnumero%20decisione%5d=18764%20AND%20%5banno%20decisione%5d=2024%20AND%20%5bsezione%5d=5&amp;user=&amp;uri=/xway/application/nif/isapi/hc.dll&amp;pwd=&amp;_hcf=&amp;_hca=&amp;cId=&amp;cIsPublic=&amp;cName=&amp;cquery=70528&amp;sele=&amp;selid=&amp;pos=&amp;lang=it" TargetMode="External"/><Relationship Id="rId4" Type="http://schemas.openxmlformats.org/officeDocument/2006/relationships/hyperlink" Target="http://Riv.dir.fin.s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C070-FACB-4985-84B7-68A05054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1942</Words>
  <Characters>11072</Characters>
  <Application>Microsoft Office Word</Application>
  <DocSecurity>4</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COZZOLI Pamela</cp:lastModifiedBy>
  <cp:revision>2</cp:revision>
  <dcterms:created xsi:type="dcterms:W3CDTF">2025-12-16T08:51:00Z</dcterms:created>
  <dcterms:modified xsi:type="dcterms:W3CDTF">2025-12-16T08:51:00Z</dcterms:modified>
</cp:coreProperties>
</file>