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E7" w14:textId="5F32F50F" w:rsidR="00307A81" w:rsidRPr="00051CAA" w:rsidRDefault="005B22C7" w:rsidP="00AE3FE4">
      <w:pPr>
        <w:pStyle w:val="Titolo1"/>
      </w:pPr>
      <w:bookmarkStart w:id="0" w:name="_Toc198998236"/>
      <w:r w:rsidRPr="00051CAA">
        <w:t>La disciplina in materia di installazione di infrastrutture di reti pubbliche di comunicazione, tra tutela del paesaggio e transizione ecologica</w:t>
      </w:r>
      <w:r w:rsidR="00530080" w:rsidRPr="00051CAA">
        <w:rPr>
          <w:rStyle w:val="Rimandonotaapidipagina"/>
          <w:sz w:val="24"/>
          <w:szCs w:val="24"/>
        </w:rPr>
        <w:footnoteReference w:id="1"/>
      </w:r>
      <w:bookmarkEnd w:id="0"/>
    </w:p>
    <w:p w14:paraId="72AAE12E" w14:textId="4E9911EA" w:rsidR="005B22C7" w:rsidRPr="00051CAA" w:rsidRDefault="005B22C7" w:rsidP="00AE3FE4">
      <w:pPr>
        <w:spacing w:line="276" w:lineRule="auto"/>
        <w:rPr>
          <w:szCs w:val="24"/>
        </w:rPr>
      </w:pPr>
    </w:p>
    <w:p w14:paraId="61510D17" w14:textId="0B0E329E" w:rsidR="00530080" w:rsidRPr="00051CAA" w:rsidRDefault="00530080" w:rsidP="00AE3FE4">
      <w:pPr>
        <w:spacing w:line="276" w:lineRule="auto"/>
        <w:jc w:val="center"/>
        <w:rPr>
          <w:b/>
          <w:i/>
          <w:szCs w:val="24"/>
        </w:rPr>
      </w:pPr>
      <w:r w:rsidRPr="00051CAA">
        <w:rPr>
          <w:b/>
          <w:i/>
          <w:szCs w:val="24"/>
        </w:rPr>
        <w:t>Martina Arrivi</w:t>
      </w:r>
    </w:p>
    <w:p w14:paraId="3AB87D17" w14:textId="149A9678" w:rsidR="001E4D46" w:rsidRPr="00051CAA" w:rsidRDefault="001E4D46" w:rsidP="00AE3FE4">
      <w:pPr>
        <w:spacing w:line="276" w:lineRule="auto"/>
        <w:jc w:val="center"/>
        <w:rPr>
          <w:b/>
          <w:i/>
          <w:szCs w:val="24"/>
        </w:rPr>
      </w:pPr>
    </w:p>
    <w:p w14:paraId="098B37DD" w14:textId="1AAB11A7" w:rsidR="001E4D46" w:rsidRPr="00051CAA" w:rsidRDefault="001E4D46" w:rsidP="00AE3FE4">
      <w:pPr>
        <w:pStyle w:val="Sommario1"/>
        <w:spacing w:line="276" w:lineRule="auto"/>
        <w:rPr>
          <w:b w:val="0"/>
        </w:rPr>
      </w:pPr>
      <w:r w:rsidRPr="00051CAA">
        <w:t xml:space="preserve">Sommario: </w:t>
      </w:r>
      <w:r w:rsidRPr="00051CAA">
        <w:rPr>
          <w:b w:val="0"/>
        </w:rPr>
        <w:t xml:space="preserve">1. L'influsso europeo sulla disciplina delle comunicazioni. La connessione tra transizione digitale e transizione ecologica. 2. L'impianto normativo nazionale. 3. L'installazione delle infrastrutture di reti pubbliche di comunicazione. Le forme di semplificazione amministrativa. 4. Il difficile bilanciamento </w:t>
      </w:r>
      <w:r w:rsidR="00954ECD" w:rsidRPr="00051CAA">
        <w:rPr>
          <w:b w:val="0"/>
        </w:rPr>
        <w:t>degli interessi pubblici in gioco</w:t>
      </w:r>
      <w:r w:rsidRPr="00051CAA">
        <w:rPr>
          <w:b w:val="0"/>
        </w:rPr>
        <w:t>. 5. Considerazioni conclusive.</w:t>
      </w:r>
    </w:p>
    <w:p w14:paraId="39B75310" w14:textId="77777777" w:rsidR="00530080" w:rsidRPr="00051CAA" w:rsidRDefault="00530080" w:rsidP="00AE3FE4">
      <w:pPr>
        <w:spacing w:line="276" w:lineRule="auto"/>
        <w:rPr>
          <w:szCs w:val="24"/>
        </w:rPr>
      </w:pPr>
    </w:p>
    <w:p w14:paraId="208DA1FE" w14:textId="15D01F2D" w:rsidR="005B22C7" w:rsidRPr="00051CAA" w:rsidRDefault="00154EF5" w:rsidP="00AE3FE4">
      <w:pPr>
        <w:pStyle w:val="Titolo2"/>
        <w:spacing w:line="276" w:lineRule="auto"/>
        <w:rPr>
          <w:szCs w:val="24"/>
        </w:rPr>
      </w:pPr>
      <w:bookmarkStart w:id="1" w:name="_Toc198998237"/>
      <w:r w:rsidRPr="00051CAA">
        <w:rPr>
          <w:szCs w:val="24"/>
        </w:rPr>
        <w:t>1.</w:t>
      </w:r>
      <w:r w:rsidRPr="00051CAA">
        <w:rPr>
          <w:szCs w:val="24"/>
        </w:rPr>
        <w:tab/>
      </w:r>
      <w:r w:rsidR="00BD3962" w:rsidRPr="00051CAA">
        <w:rPr>
          <w:szCs w:val="24"/>
        </w:rPr>
        <w:t>L'influsso europeo sulla</w:t>
      </w:r>
      <w:r w:rsidR="001E4D46" w:rsidRPr="00051CAA">
        <w:rPr>
          <w:szCs w:val="24"/>
        </w:rPr>
        <w:t xml:space="preserve"> disciplina delle comunicazioni. L</w:t>
      </w:r>
      <w:r w:rsidR="00BD3962" w:rsidRPr="00051CAA">
        <w:rPr>
          <w:szCs w:val="24"/>
        </w:rPr>
        <w:t>a connessione tra transizione digitale e transizione ecologica.</w:t>
      </w:r>
      <w:bookmarkEnd w:id="1"/>
      <w:r w:rsidR="00BD3962" w:rsidRPr="00051CAA">
        <w:rPr>
          <w:szCs w:val="24"/>
        </w:rPr>
        <w:t xml:space="preserve"> </w:t>
      </w:r>
    </w:p>
    <w:p w14:paraId="748C3F8C" w14:textId="4C373BCA" w:rsidR="00112C89" w:rsidRPr="00051CAA" w:rsidRDefault="005B22C7" w:rsidP="00AE3FE4">
      <w:pPr>
        <w:spacing w:line="276" w:lineRule="auto"/>
        <w:rPr>
          <w:szCs w:val="24"/>
        </w:rPr>
      </w:pPr>
      <w:r w:rsidRPr="00051CAA">
        <w:rPr>
          <w:szCs w:val="24"/>
        </w:rPr>
        <w:t>L</w:t>
      </w:r>
      <w:r w:rsidR="00625A43" w:rsidRPr="00051CAA">
        <w:rPr>
          <w:szCs w:val="24"/>
        </w:rPr>
        <w:t>'</w:t>
      </w:r>
      <w:r w:rsidRPr="00051CAA">
        <w:rPr>
          <w:szCs w:val="24"/>
        </w:rPr>
        <w:t xml:space="preserve">attuale disciplina delle comunicazioni, contenuta </w:t>
      </w:r>
      <w:r w:rsidR="00E91353" w:rsidRPr="00051CAA">
        <w:rPr>
          <w:szCs w:val="24"/>
        </w:rPr>
        <w:t>nel</w:t>
      </w:r>
      <w:r w:rsidRPr="00051CAA">
        <w:rPr>
          <w:szCs w:val="24"/>
        </w:rPr>
        <w:t xml:space="preserve"> d.lgs. 259/2003 (codice delle comunicazioni elettroniche), è figlia del processo di integrazione europea e, segnatamente, del passaggio, voluto dall</w:t>
      </w:r>
      <w:r w:rsidR="00625A43" w:rsidRPr="00051CAA">
        <w:rPr>
          <w:szCs w:val="24"/>
        </w:rPr>
        <w:t>'</w:t>
      </w:r>
      <w:r w:rsidRPr="00051CAA">
        <w:rPr>
          <w:szCs w:val="24"/>
        </w:rPr>
        <w:t>Unione europea, dal regime di monopolio</w:t>
      </w:r>
      <w:r w:rsidR="002E5C6A" w:rsidRPr="00051CAA">
        <w:rPr>
          <w:szCs w:val="24"/>
        </w:rPr>
        <w:t>,</w:t>
      </w:r>
      <w:r w:rsidRPr="00051CAA">
        <w:rPr>
          <w:szCs w:val="24"/>
        </w:rPr>
        <w:t xml:space="preserve"> che caratterizzava questo settore dell</w:t>
      </w:r>
      <w:r w:rsidR="00625A43" w:rsidRPr="00051CAA">
        <w:rPr>
          <w:szCs w:val="24"/>
        </w:rPr>
        <w:t>'</w:t>
      </w:r>
      <w:r w:rsidRPr="00051CAA">
        <w:rPr>
          <w:szCs w:val="24"/>
        </w:rPr>
        <w:t xml:space="preserve">economia, a un sistema di concorrenza </w:t>
      </w:r>
      <w:r w:rsidR="000B489F" w:rsidRPr="00051CAA">
        <w:rPr>
          <w:szCs w:val="24"/>
        </w:rPr>
        <w:t>regolata</w:t>
      </w:r>
      <w:r w:rsidR="00112C89" w:rsidRPr="00051CAA">
        <w:rPr>
          <w:rStyle w:val="Rimandonotaapidipagina"/>
          <w:szCs w:val="24"/>
        </w:rPr>
        <w:footnoteReference w:id="2"/>
      </w:r>
      <w:r w:rsidR="002E5C6A" w:rsidRPr="00051CAA">
        <w:rPr>
          <w:szCs w:val="24"/>
        </w:rPr>
        <w:t>: a</w:t>
      </w:r>
      <w:r w:rsidR="007C6167" w:rsidRPr="00051CAA">
        <w:rPr>
          <w:szCs w:val="24"/>
        </w:rPr>
        <w:t xml:space="preserve">ttraverso </w:t>
      </w:r>
      <w:r w:rsidR="00D30FE7" w:rsidRPr="00051CAA">
        <w:rPr>
          <w:szCs w:val="24"/>
        </w:rPr>
        <w:t>una prima tornata di</w:t>
      </w:r>
      <w:r w:rsidR="007C6167" w:rsidRPr="00051CAA">
        <w:rPr>
          <w:szCs w:val="24"/>
        </w:rPr>
        <w:t xml:space="preserve"> direttive</w:t>
      </w:r>
      <w:r w:rsidR="00D30FE7" w:rsidRPr="00051CAA">
        <w:rPr>
          <w:szCs w:val="24"/>
        </w:rPr>
        <w:t xml:space="preserve"> europee</w:t>
      </w:r>
      <w:r w:rsidR="004B66C3" w:rsidRPr="00051CAA">
        <w:rPr>
          <w:szCs w:val="24"/>
        </w:rPr>
        <w:t xml:space="preserve">, negli anni </w:t>
      </w:r>
      <w:r w:rsidR="00625A43" w:rsidRPr="00051CAA">
        <w:rPr>
          <w:szCs w:val="24"/>
        </w:rPr>
        <w:t>'</w:t>
      </w:r>
      <w:r w:rsidR="004B66C3" w:rsidRPr="00051CAA">
        <w:rPr>
          <w:szCs w:val="24"/>
        </w:rPr>
        <w:t>90 del secolo scorso,</w:t>
      </w:r>
      <w:r w:rsidR="00745147" w:rsidRPr="00051CAA">
        <w:rPr>
          <w:szCs w:val="24"/>
        </w:rPr>
        <w:t xml:space="preserve"> </w:t>
      </w:r>
      <w:r w:rsidR="007C6167" w:rsidRPr="00051CAA">
        <w:rPr>
          <w:szCs w:val="24"/>
        </w:rPr>
        <w:t xml:space="preserve">il mercato è stato liberalizzato </w:t>
      </w:r>
      <w:r w:rsidR="002E5C6A" w:rsidRPr="00051CAA">
        <w:rPr>
          <w:szCs w:val="24"/>
        </w:rPr>
        <w:t>con</w:t>
      </w:r>
      <w:r w:rsidR="007C6167" w:rsidRPr="00051CAA">
        <w:rPr>
          <w:szCs w:val="24"/>
        </w:rPr>
        <w:t xml:space="preserve"> l</w:t>
      </w:r>
      <w:r w:rsidR="00625A43" w:rsidRPr="00051CAA">
        <w:rPr>
          <w:szCs w:val="24"/>
        </w:rPr>
        <w:t>'</w:t>
      </w:r>
      <w:r w:rsidR="007C6167" w:rsidRPr="00051CAA">
        <w:rPr>
          <w:szCs w:val="24"/>
        </w:rPr>
        <w:t xml:space="preserve">abolizione del regime concessorio sulle reti e sui servizi, tipico del monopolio, </w:t>
      </w:r>
      <w:r w:rsidR="00745147" w:rsidRPr="00051CAA">
        <w:rPr>
          <w:szCs w:val="24"/>
        </w:rPr>
        <w:t>accompagnando</w:t>
      </w:r>
      <w:r w:rsidR="00D30FE7" w:rsidRPr="00051CAA">
        <w:rPr>
          <w:szCs w:val="24"/>
        </w:rPr>
        <w:t xml:space="preserve"> l</w:t>
      </w:r>
      <w:r w:rsidR="007C6167" w:rsidRPr="00051CAA">
        <w:rPr>
          <w:szCs w:val="24"/>
        </w:rPr>
        <w:t xml:space="preserve">a liberalizzazione </w:t>
      </w:r>
      <w:r w:rsidR="00745147" w:rsidRPr="00051CAA">
        <w:rPr>
          <w:szCs w:val="24"/>
        </w:rPr>
        <w:t>con l</w:t>
      </w:r>
      <w:r w:rsidR="00625A43" w:rsidRPr="00051CAA">
        <w:rPr>
          <w:szCs w:val="24"/>
        </w:rPr>
        <w:t>'</w:t>
      </w:r>
      <w:r w:rsidR="00745147" w:rsidRPr="00051CAA">
        <w:rPr>
          <w:szCs w:val="24"/>
        </w:rPr>
        <w:t xml:space="preserve">istituzione di autorità nazionali di regolazione del settore </w:t>
      </w:r>
      <w:r w:rsidR="009A6CAD" w:rsidRPr="00051CAA">
        <w:rPr>
          <w:szCs w:val="24"/>
        </w:rPr>
        <w:t>(</w:t>
      </w:r>
      <w:r w:rsidR="00745147" w:rsidRPr="00051CAA">
        <w:rPr>
          <w:szCs w:val="24"/>
        </w:rPr>
        <w:t xml:space="preserve">in Italia, </w:t>
      </w:r>
      <w:r w:rsidR="009A6CAD" w:rsidRPr="00051CAA">
        <w:rPr>
          <w:szCs w:val="24"/>
        </w:rPr>
        <w:t>l</w:t>
      </w:r>
      <w:r w:rsidR="00625A43" w:rsidRPr="00051CAA">
        <w:rPr>
          <w:szCs w:val="24"/>
        </w:rPr>
        <w:t>'</w:t>
      </w:r>
      <w:r w:rsidR="009A6CAD" w:rsidRPr="00051CAA">
        <w:rPr>
          <w:szCs w:val="24"/>
        </w:rPr>
        <w:t>Autorità garante delle comunicazioni)</w:t>
      </w:r>
      <w:r w:rsidR="00745147" w:rsidRPr="00051CAA">
        <w:rPr>
          <w:rStyle w:val="Rimandonotaapidipagina"/>
          <w:szCs w:val="24"/>
        </w:rPr>
        <w:footnoteReference w:id="3"/>
      </w:r>
      <w:r w:rsidR="002E5C6A" w:rsidRPr="00051CAA">
        <w:rPr>
          <w:szCs w:val="24"/>
        </w:rPr>
        <w:t>; c</w:t>
      </w:r>
      <w:r w:rsidR="00745147" w:rsidRPr="00051CAA">
        <w:rPr>
          <w:szCs w:val="24"/>
        </w:rPr>
        <w:t>on una seconda tornata di direttive</w:t>
      </w:r>
      <w:r w:rsidR="004B66C3" w:rsidRPr="00051CAA">
        <w:rPr>
          <w:szCs w:val="24"/>
        </w:rPr>
        <w:t>, adottate nel 2002,</w:t>
      </w:r>
      <w:r w:rsidR="00745147" w:rsidRPr="00051CAA">
        <w:rPr>
          <w:szCs w:val="24"/>
        </w:rPr>
        <w:t xml:space="preserve"> si è proceduto all</w:t>
      </w:r>
      <w:r w:rsidR="00625A43" w:rsidRPr="00051CAA">
        <w:rPr>
          <w:szCs w:val="24"/>
        </w:rPr>
        <w:t>'</w:t>
      </w:r>
      <w:r w:rsidR="00745147" w:rsidRPr="00051CAA">
        <w:rPr>
          <w:szCs w:val="24"/>
        </w:rPr>
        <w:t>armonizzazione delle legislazioni degli Stati membri</w:t>
      </w:r>
      <w:r w:rsidR="00745147" w:rsidRPr="00051CAA">
        <w:rPr>
          <w:rStyle w:val="Rimandonotaapidipagina"/>
          <w:szCs w:val="24"/>
        </w:rPr>
        <w:footnoteReference w:id="4"/>
      </w:r>
      <w:r w:rsidR="00FB794D" w:rsidRPr="00051CAA">
        <w:rPr>
          <w:szCs w:val="24"/>
        </w:rPr>
        <w:t xml:space="preserve"> in materia di regolazione dei mercati</w:t>
      </w:r>
      <w:r w:rsidR="002E5C6A" w:rsidRPr="00051CAA">
        <w:rPr>
          <w:szCs w:val="24"/>
        </w:rPr>
        <w:t>; n</w:t>
      </w:r>
      <w:r w:rsidR="00FB794D" w:rsidRPr="00051CAA">
        <w:rPr>
          <w:szCs w:val="24"/>
        </w:rPr>
        <w:t>e è seguita</w:t>
      </w:r>
      <w:r w:rsidR="004B66C3" w:rsidRPr="00051CAA">
        <w:rPr>
          <w:szCs w:val="24"/>
        </w:rPr>
        <w:t>, nel 2009,</w:t>
      </w:r>
      <w:r w:rsidR="00FB794D" w:rsidRPr="00051CAA">
        <w:rPr>
          <w:szCs w:val="24"/>
        </w:rPr>
        <w:t xml:space="preserve"> una terza stagione di riforme normative europee, volte a implementare la convergenza delle discipline statali</w:t>
      </w:r>
      <w:r w:rsidR="00FB794D" w:rsidRPr="00051CAA">
        <w:rPr>
          <w:rStyle w:val="Rimandonotaapidipagina"/>
          <w:szCs w:val="24"/>
        </w:rPr>
        <w:footnoteReference w:id="5"/>
      </w:r>
      <w:r w:rsidR="00FB794D" w:rsidRPr="00051CAA">
        <w:rPr>
          <w:szCs w:val="24"/>
        </w:rPr>
        <w:t xml:space="preserve">. </w:t>
      </w:r>
    </w:p>
    <w:p w14:paraId="01D70744" w14:textId="41B0C90B" w:rsidR="00E705A7" w:rsidRPr="00051CAA" w:rsidRDefault="00E705A7" w:rsidP="00AE3FE4">
      <w:pPr>
        <w:spacing w:line="276" w:lineRule="auto"/>
        <w:rPr>
          <w:szCs w:val="24"/>
        </w:rPr>
      </w:pPr>
      <w:r w:rsidRPr="00051CAA">
        <w:rPr>
          <w:szCs w:val="24"/>
        </w:rPr>
        <w:t>Nella consapevolezza che l</w:t>
      </w:r>
      <w:r w:rsidR="00625A43" w:rsidRPr="00051CAA">
        <w:rPr>
          <w:szCs w:val="24"/>
        </w:rPr>
        <w:t>'</w:t>
      </w:r>
      <w:r w:rsidRPr="00051CAA">
        <w:rPr>
          <w:szCs w:val="24"/>
        </w:rPr>
        <w:t>evoluzione tecnologica è un volano per l</w:t>
      </w:r>
      <w:r w:rsidR="00625A43" w:rsidRPr="00051CAA">
        <w:rPr>
          <w:szCs w:val="24"/>
        </w:rPr>
        <w:t>'</w:t>
      </w:r>
      <w:r w:rsidRPr="00051CAA">
        <w:rPr>
          <w:szCs w:val="24"/>
        </w:rPr>
        <w:t>economia, l</w:t>
      </w:r>
      <w:r w:rsidR="00625A43" w:rsidRPr="00051CAA">
        <w:rPr>
          <w:szCs w:val="24"/>
        </w:rPr>
        <w:t>'</w:t>
      </w:r>
      <w:r w:rsidRPr="00051CAA">
        <w:rPr>
          <w:szCs w:val="24"/>
        </w:rPr>
        <w:t xml:space="preserve">Unione europea ha continuato a intervenire pervasivamente nel settore delle comunicazioni, al fine di implementare la </w:t>
      </w:r>
      <w:r w:rsidR="005D7629" w:rsidRPr="00051CAA">
        <w:rPr>
          <w:szCs w:val="24"/>
        </w:rPr>
        <w:t>digitalizzazione</w:t>
      </w:r>
      <w:r w:rsidRPr="00051CAA">
        <w:rPr>
          <w:szCs w:val="24"/>
        </w:rPr>
        <w:t xml:space="preserve"> del mercato interno. Emblematica di questo approccio è l</w:t>
      </w:r>
      <w:r w:rsidR="00625A43" w:rsidRPr="00051CAA">
        <w:rPr>
          <w:szCs w:val="24"/>
        </w:rPr>
        <w:t>'</w:t>
      </w:r>
      <w:r w:rsidRPr="00051CAA">
        <w:rPr>
          <w:szCs w:val="24"/>
        </w:rPr>
        <w:t>Agenda digitale europea, pubblicata dalla Commissione nel maggio 2010, la quale compendia i molteplici obiettivi tecnologici da conseguire entro il 2020, tra cui l</w:t>
      </w:r>
      <w:r w:rsidR="00625A43" w:rsidRPr="00051CAA">
        <w:rPr>
          <w:szCs w:val="24"/>
        </w:rPr>
        <w:t>'</w:t>
      </w:r>
      <w:r w:rsidRPr="00051CAA">
        <w:rPr>
          <w:szCs w:val="24"/>
        </w:rPr>
        <w:t>accesso a internet ultra-veloce e, quindi, l</w:t>
      </w:r>
      <w:r w:rsidR="00625A43" w:rsidRPr="00051CAA">
        <w:rPr>
          <w:szCs w:val="24"/>
        </w:rPr>
        <w:t>'</w:t>
      </w:r>
      <w:r w:rsidRPr="00051CAA">
        <w:rPr>
          <w:szCs w:val="24"/>
        </w:rPr>
        <w:t xml:space="preserve">estensione capillare della banda </w:t>
      </w:r>
      <w:r w:rsidRPr="00051CAA">
        <w:rPr>
          <w:szCs w:val="24"/>
        </w:rPr>
        <w:lastRenderedPageBreak/>
        <w:t xml:space="preserve">larga e lo sviluppo della fibra ottica e della tecnologia 5G.  </w:t>
      </w:r>
      <w:r w:rsidR="00112C89" w:rsidRPr="00051CAA">
        <w:rPr>
          <w:szCs w:val="24"/>
        </w:rPr>
        <w:t xml:space="preserve">È in questo contesto che inizia ad emergere il collegamento tra </w:t>
      </w:r>
      <w:r w:rsidR="007738C7" w:rsidRPr="00051CAA">
        <w:rPr>
          <w:szCs w:val="24"/>
        </w:rPr>
        <w:t>tecnologia e ambiente. L</w:t>
      </w:r>
      <w:r w:rsidR="00625A43" w:rsidRPr="00051CAA">
        <w:rPr>
          <w:szCs w:val="24"/>
        </w:rPr>
        <w:t>'</w:t>
      </w:r>
      <w:r w:rsidR="00112C89" w:rsidRPr="00051CAA">
        <w:rPr>
          <w:szCs w:val="24"/>
        </w:rPr>
        <w:t xml:space="preserve">Agenda digitale europea, infatti, fa parte </w:t>
      </w:r>
      <w:r w:rsidR="00C73FB8" w:rsidRPr="00051CAA">
        <w:rPr>
          <w:szCs w:val="24"/>
        </w:rPr>
        <w:t>di</w:t>
      </w:r>
      <w:r w:rsidR="00112C89" w:rsidRPr="00051CAA">
        <w:rPr>
          <w:szCs w:val="24"/>
        </w:rPr>
        <w:t xml:space="preserve"> Europa 2020, </w:t>
      </w:r>
      <w:r w:rsidR="00C73FB8" w:rsidRPr="00051CAA">
        <w:rPr>
          <w:szCs w:val="24"/>
        </w:rPr>
        <w:t xml:space="preserve">ossia </w:t>
      </w:r>
      <w:r w:rsidR="00625A43" w:rsidRPr="00051CAA">
        <w:rPr>
          <w:szCs w:val="24"/>
        </w:rPr>
        <w:t>del</w:t>
      </w:r>
      <w:r w:rsidR="00C73FB8" w:rsidRPr="00051CAA">
        <w:rPr>
          <w:szCs w:val="24"/>
        </w:rPr>
        <w:t xml:space="preserve">la più ampia strategia di crescita </w:t>
      </w:r>
      <w:r w:rsidR="00C73FB8" w:rsidRPr="00051CAA">
        <w:rPr>
          <w:bCs/>
          <w:szCs w:val="24"/>
        </w:rPr>
        <w:t>dell</w:t>
      </w:r>
      <w:r w:rsidR="00625A43" w:rsidRPr="00051CAA">
        <w:rPr>
          <w:bCs/>
          <w:szCs w:val="24"/>
        </w:rPr>
        <w:t>'</w:t>
      </w:r>
      <w:r w:rsidR="00C73FB8" w:rsidRPr="00051CAA">
        <w:rPr>
          <w:bCs/>
          <w:szCs w:val="24"/>
        </w:rPr>
        <w:t>Unio</w:t>
      </w:r>
      <w:r w:rsidR="007738C7" w:rsidRPr="00051CAA">
        <w:rPr>
          <w:bCs/>
          <w:szCs w:val="24"/>
        </w:rPr>
        <w:t>ne eu</w:t>
      </w:r>
      <w:r w:rsidR="00C73FB8" w:rsidRPr="00051CAA">
        <w:rPr>
          <w:bCs/>
          <w:szCs w:val="24"/>
        </w:rPr>
        <w:t>ropea per il decennio 2010-2020</w:t>
      </w:r>
      <w:r w:rsidR="00C73FB8" w:rsidRPr="00051CAA">
        <w:rPr>
          <w:szCs w:val="24"/>
        </w:rPr>
        <w:t>, varata nel 2010 per uscire dalla crisi finanziaria che aveva appena</w:t>
      </w:r>
      <w:r w:rsidR="00C34A88" w:rsidRPr="00051CAA">
        <w:rPr>
          <w:szCs w:val="24"/>
        </w:rPr>
        <w:t xml:space="preserve"> colpito</w:t>
      </w:r>
      <w:r w:rsidR="00C73FB8" w:rsidRPr="00051CAA">
        <w:rPr>
          <w:szCs w:val="24"/>
        </w:rPr>
        <w:t xml:space="preserve"> </w:t>
      </w:r>
      <w:r w:rsidR="00C34A88" w:rsidRPr="00051CAA">
        <w:rPr>
          <w:szCs w:val="24"/>
        </w:rPr>
        <w:t>l</w:t>
      </w:r>
      <w:r w:rsidR="00625A43" w:rsidRPr="00051CAA">
        <w:rPr>
          <w:szCs w:val="24"/>
        </w:rPr>
        <w:t>'</w:t>
      </w:r>
      <w:r w:rsidR="00C34A88" w:rsidRPr="00051CAA">
        <w:rPr>
          <w:szCs w:val="24"/>
        </w:rPr>
        <w:t>occidente</w:t>
      </w:r>
      <w:r w:rsidR="00C73FB8" w:rsidRPr="00051CAA">
        <w:rPr>
          <w:szCs w:val="24"/>
        </w:rPr>
        <w:t xml:space="preserve">. Ebbene, la strategia Europa 2020 si fonda sui tre pilastri della </w:t>
      </w:r>
      <w:r w:rsidR="00112C89" w:rsidRPr="00051CAA">
        <w:rPr>
          <w:szCs w:val="24"/>
        </w:rPr>
        <w:t>crescita intelligente</w:t>
      </w:r>
      <w:r w:rsidR="00C73FB8" w:rsidRPr="00051CAA">
        <w:rPr>
          <w:szCs w:val="24"/>
        </w:rPr>
        <w:t xml:space="preserve"> (</w:t>
      </w:r>
      <w:r w:rsidR="00112C89" w:rsidRPr="00051CAA">
        <w:rPr>
          <w:szCs w:val="24"/>
        </w:rPr>
        <w:t>basata su innovazione, istruzione, società digitale</w:t>
      </w:r>
      <w:r w:rsidR="00C73FB8" w:rsidRPr="00051CAA">
        <w:rPr>
          <w:szCs w:val="24"/>
        </w:rPr>
        <w:t>), della</w:t>
      </w:r>
      <w:r w:rsidR="00112C89" w:rsidRPr="00051CAA">
        <w:rPr>
          <w:szCs w:val="24"/>
        </w:rPr>
        <w:t xml:space="preserve"> crescita sostenibile</w:t>
      </w:r>
      <w:r w:rsidR="00C73FB8" w:rsidRPr="00051CAA">
        <w:rPr>
          <w:szCs w:val="24"/>
        </w:rPr>
        <w:t xml:space="preserve"> (</w:t>
      </w:r>
      <w:r w:rsidR="00112C89" w:rsidRPr="00051CAA">
        <w:rPr>
          <w:szCs w:val="24"/>
        </w:rPr>
        <w:t>quale sviluppo economico compatibile con la tutela dell</w:t>
      </w:r>
      <w:r w:rsidR="00625A43" w:rsidRPr="00051CAA">
        <w:rPr>
          <w:szCs w:val="24"/>
        </w:rPr>
        <w:t>'</w:t>
      </w:r>
      <w:r w:rsidR="00112C89" w:rsidRPr="00051CAA">
        <w:rPr>
          <w:szCs w:val="24"/>
        </w:rPr>
        <w:t>ambiente</w:t>
      </w:r>
      <w:r w:rsidR="00C73FB8" w:rsidRPr="00051CAA">
        <w:rPr>
          <w:szCs w:val="24"/>
        </w:rPr>
        <w:t xml:space="preserve">) e della </w:t>
      </w:r>
      <w:r w:rsidR="00112C89" w:rsidRPr="00051CAA">
        <w:rPr>
          <w:szCs w:val="24"/>
        </w:rPr>
        <w:t>crescita inclusiva</w:t>
      </w:r>
      <w:r w:rsidR="00C73FB8" w:rsidRPr="00051CAA">
        <w:rPr>
          <w:szCs w:val="24"/>
        </w:rPr>
        <w:t xml:space="preserve"> (</w:t>
      </w:r>
      <w:r w:rsidR="00112C89" w:rsidRPr="00051CAA">
        <w:rPr>
          <w:szCs w:val="24"/>
        </w:rPr>
        <w:t>per promuovere occupazione, coesione sociale e territoriale</w:t>
      </w:r>
      <w:r w:rsidR="007738C7" w:rsidRPr="00051CAA">
        <w:rPr>
          <w:szCs w:val="24"/>
        </w:rPr>
        <w:t>). L</w:t>
      </w:r>
      <w:r w:rsidR="00625A43" w:rsidRPr="00051CAA">
        <w:rPr>
          <w:szCs w:val="24"/>
        </w:rPr>
        <w:t>'</w:t>
      </w:r>
      <w:r w:rsidR="007738C7" w:rsidRPr="00051CAA">
        <w:rPr>
          <w:szCs w:val="24"/>
        </w:rPr>
        <w:t>obiettivo di sviluppo economico attento all</w:t>
      </w:r>
      <w:r w:rsidR="00625A43" w:rsidRPr="00051CAA">
        <w:rPr>
          <w:szCs w:val="24"/>
        </w:rPr>
        <w:t>'</w:t>
      </w:r>
      <w:r w:rsidR="007738C7" w:rsidRPr="00051CAA">
        <w:rPr>
          <w:szCs w:val="24"/>
        </w:rPr>
        <w:t>ambiente è strettamente legato all</w:t>
      </w:r>
      <w:r w:rsidR="00625A43" w:rsidRPr="00051CAA">
        <w:rPr>
          <w:szCs w:val="24"/>
        </w:rPr>
        <w:t>'</w:t>
      </w:r>
      <w:r w:rsidR="007738C7" w:rsidRPr="00051CAA">
        <w:rPr>
          <w:szCs w:val="24"/>
        </w:rPr>
        <w:t xml:space="preserve">evoluzione delle tecnologie, tra le quali, </w:t>
      </w:r>
      <w:r w:rsidR="007738C7" w:rsidRPr="00051CAA">
        <w:rPr>
          <w:i/>
          <w:szCs w:val="24"/>
        </w:rPr>
        <w:t>in primis</w:t>
      </w:r>
      <w:r w:rsidR="007738C7" w:rsidRPr="00051CAA">
        <w:rPr>
          <w:szCs w:val="24"/>
        </w:rPr>
        <w:t xml:space="preserve">, le comunicazioni elettroniche.  </w:t>
      </w:r>
    </w:p>
    <w:p w14:paraId="313E7433" w14:textId="7BFD4ED1" w:rsidR="00780468" w:rsidRPr="00051CAA" w:rsidRDefault="005D7629" w:rsidP="00AE3FE4">
      <w:pPr>
        <w:spacing w:line="276" w:lineRule="auto"/>
        <w:rPr>
          <w:szCs w:val="24"/>
        </w:rPr>
      </w:pPr>
      <w:r w:rsidRPr="00051CAA">
        <w:rPr>
          <w:szCs w:val="24"/>
        </w:rPr>
        <w:t>Questa connessione</w:t>
      </w:r>
      <w:r w:rsidR="00C34A88" w:rsidRPr="00051CAA">
        <w:rPr>
          <w:szCs w:val="24"/>
        </w:rPr>
        <w:t xml:space="preserve"> tra tecnologia e </w:t>
      </w:r>
      <w:r w:rsidR="00E35EDA" w:rsidRPr="00051CAA">
        <w:rPr>
          <w:szCs w:val="24"/>
        </w:rPr>
        <w:t>ambiente</w:t>
      </w:r>
      <w:r w:rsidR="00C34A88" w:rsidRPr="00051CAA">
        <w:rPr>
          <w:szCs w:val="24"/>
        </w:rPr>
        <w:t xml:space="preserve"> viene mantenut</w:t>
      </w:r>
      <w:r w:rsidRPr="00051CAA">
        <w:rPr>
          <w:szCs w:val="24"/>
        </w:rPr>
        <w:t>a</w:t>
      </w:r>
      <w:r w:rsidR="00C34A88" w:rsidRPr="00051CAA">
        <w:rPr>
          <w:szCs w:val="24"/>
        </w:rPr>
        <w:t xml:space="preserve"> nei decenni</w:t>
      </w:r>
      <w:r w:rsidR="00BE1923" w:rsidRPr="00051CAA">
        <w:rPr>
          <w:szCs w:val="24"/>
        </w:rPr>
        <w:t xml:space="preserve"> successivi ed esce </w:t>
      </w:r>
      <w:r w:rsidRPr="00051CAA">
        <w:rPr>
          <w:szCs w:val="24"/>
        </w:rPr>
        <w:t>rafforzata</w:t>
      </w:r>
      <w:r w:rsidR="00C34A88" w:rsidRPr="00051CAA">
        <w:rPr>
          <w:szCs w:val="24"/>
        </w:rPr>
        <w:t xml:space="preserve"> </w:t>
      </w:r>
      <w:r w:rsidRPr="00051CAA">
        <w:rPr>
          <w:szCs w:val="24"/>
        </w:rPr>
        <w:t>dalla</w:t>
      </w:r>
      <w:r w:rsidR="00C34A88" w:rsidRPr="00051CAA">
        <w:rPr>
          <w:szCs w:val="24"/>
        </w:rPr>
        <w:t xml:space="preserve"> nuova crisi che ha attraversato il pianeta, ossia la pandemia. Si af</w:t>
      </w:r>
      <w:r w:rsidR="00C92185" w:rsidRPr="00051CAA">
        <w:rPr>
          <w:szCs w:val="24"/>
        </w:rPr>
        <w:t xml:space="preserve">faccia, </w:t>
      </w:r>
      <w:r w:rsidR="00C34A88" w:rsidRPr="00051CAA">
        <w:rPr>
          <w:szCs w:val="24"/>
        </w:rPr>
        <w:t>sulla scena</w:t>
      </w:r>
      <w:r w:rsidR="00C92185" w:rsidRPr="00051CAA">
        <w:rPr>
          <w:szCs w:val="24"/>
        </w:rPr>
        <w:t xml:space="preserve"> politica e giuridica</w:t>
      </w:r>
      <w:r w:rsidR="00C34A88" w:rsidRPr="00051CAA">
        <w:rPr>
          <w:szCs w:val="24"/>
        </w:rPr>
        <w:t xml:space="preserve">, il concetto di </w:t>
      </w:r>
      <w:r w:rsidR="00625A43" w:rsidRPr="00051CAA">
        <w:rPr>
          <w:szCs w:val="24"/>
        </w:rPr>
        <w:t>"</w:t>
      </w:r>
      <w:r w:rsidR="00C34A88" w:rsidRPr="00051CAA">
        <w:rPr>
          <w:szCs w:val="24"/>
        </w:rPr>
        <w:t>transizione ecologica</w:t>
      </w:r>
      <w:r w:rsidR="00625A43" w:rsidRPr="00051CAA">
        <w:rPr>
          <w:szCs w:val="24"/>
        </w:rPr>
        <w:t>"</w:t>
      </w:r>
      <w:r w:rsidR="00C34A88" w:rsidRPr="00051CAA">
        <w:rPr>
          <w:szCs w:val="24"/>
        </w:rPr>
        <w:t xml:space="preserve">, </w:t>
      </w:r>
      <w:r w:rsidR="00AD79ED" w:rsidRPr="00051CAA">
        <w:rPr>
          <w:szCs w:val="24"/>
        </w:rPr>
        <w:t>quale modello di sviluppo integrato (economico, sociale, energetico e istituzionale), mirante a un miglioramento delle matrici ambientali</w:t>
      </w:r>
      <w:r w:rsidR="00AD79ED" w:rsidRPr="00051CAA">
        <w:rPr>
          <w:rStyle w:val="Rimandonotaapidipagina"/>
          <w:szCs w:val="24"/>
        </w:rPr>
        <w:footnoteReference w:id="6"/>
      </w:r>
      <w:r w:rsidR="00AD79ED" w:rsidRPr="00051CAA">
        <w:rPr>
          <w:szCs w:val="24"/>
        </w:rPr>
        <w:t xml:space="preserve">. </w:t>
      </w:r>
      <w:r w:rsidR="00083C2B" w:rsidRPr="00051CAA">
        <w:rPr>
          <w:szCs w:val="24"/>
        </w:rPr>
        <w:t xml:space="preserve">La transizione ecologica si serve della digitalizzazione, </w:t>
      </w:r>
      <w:r w:rsidR="00D70495" w:rsidRPr="00051CAA">
        <w:rPr>
          <w:szCs w:val="24"/>
        </w:rPr>
        <w:t>perché questa accelera, semplifica e dematerializza i processi di trasformazione, rende più efficienti i sistemi di prev</w:t>
      </w:r>
      <w:r w:rsidR="00625A43" w:rsidRPr="00051CAA">
        <w:rPr>
          <w:szCs w:val="24"/>
        </w:rPr>
        <w:t>isione, monitoraggio e allerta, nonché</w:t>
      </w:r>
      <w:r w:rsidR="00D70495" w:rsidRPr="00051CAA">
        <w:rPr>
          <w:szCs w:val="24"/>
        </w:rPr>
        <w:t xml:space="preserve"> crea connessioni senza necessità di spostamenti fisici.</w:t>
      </w:r>
      <w:r w:rsidR="00E2385F" w:rsidRPr="00051CAA">
        <w:rPr>
          <w:szCs w:val="24"/>
        </w:rPr>
        <w:t xml:space="preserve"> A sua volta, emerge la locuzione </w:t>
      </w:r>
      <w:r w:rsidR="00625A43" w:rsidRPr="00051CAA">
        <w:rPr>
          <w:szCs w:val="24"/>
        </w:rPr>
        <w:t>"</w:t>
      </w:r>
      <w:r w:rsidR="00E2385F" w:rsidRPr="00051CAA">
        <w:rPr>
          <w:szCs w:val="24"/>
        </w:rPr>
        <w:t>transizione digitale</w:t>
      </w:r>
      <w:r w:rsidR="00625A43" w:rsidRPr="00051CAA">
        <w:rPr>
          <w:szCs w:val="24"/>
        </w:rPr>
        <w:t>"</w:t>
      </w:r>
      <w:r w:rsidR="00E2385F" w:rsidRPr="00051CAA">
        <w:rPr>
          <w:szCs w:val="24"/>
        </w:rPr>
        <w:t>, quale passaggio a modelli organizzativi, produttivi e sociali integralmente basati sulla tecnologia. La transizione digitale diviene tanto un obiettivo di sviluppo economico quanto uno strumen</w:t>
      </w:r>
      <w:r w:rsidR="006F12C2" w:rsidRPr="00051CAA">
        <w:rPr>
          <w:szCs w:val="24"/>
        </w:rPr>
        <w:t>to della transizione ecologica</w:t>
      </w:r>
      <w:r w:rsidR="00935CE5" w:rsidRPr="00051CAA">
        <w:rPr>
          <w:rStyle w:val="Rimandonotaapidipagina"/>
          <w:szCs w:val="24"/>
        </w:rPr>
        <w:footnoteReference w:id="7"/>
      </w:r>
      <w:r w:rsidR="006F12C2" w:rsidRPr="00051CAA">
        <w:rPr>
          <w:szCs w:val="24"/>
        </w:rPr>
        <w:t>.</w:t>
      </w:r>
      <w:r w:rsidR="00D70495" w:rsidRPr="00051CAA">
        <w:rPr>
          <w:szCs w:val="24"/>
        </w:rPr>
        <w:t xml:space="preserve"> </w:t>
      </w:r>
      <w:r w:rsidR="00780468" w:rsidRPr="00051CAA">
        <w:rPr>
          <w:szCs w:val="24"/>
        </w:rPr>
        <w:t>Non è un caso che il Piano nazionale di ripresa e resilienza (PNRR) contempli sia la digitalizzazione sia la transizione ecologica</w:t>
      </w:r>
      <w:r w:rsidR="002D21EB" w:rsidRPr="00051CAA">
        <w:rPr>
          <w:szCs w:val="24"/>
        </w:rPr>
        <w:t xml:space="preserve"> – </w:t>
      </w:r>
      <w:r w:rsidR="00625A43" w:rsidRPr="00051CAA">
        <w:rPr>
          <w:szCs w:val="24"/>
        </w:rPr>
        <w:t>assieme</w:t>
      </w:r>
      <w:r w:rsidR="002D21EB" w:rsidRPr="00051CAA">
        <w:rPr>
          <w:szCs w:val="24"/>
        </w:rPr>
        <w:t xml:space="preserve"> </w:t>
      </w:r>
      <w:r w:rsidR="00625A43" w:rsidRPr="00051CAA">
        <w:rPr>
          <w:szCs w:val="24"/>
        </w:rPr>
        <w:t>al</w:t>
      </w:r>
      <w:r w:rsidR="002D21EB" w:rsidRPr="00051CAA">
        <w:rPr>
          <w:szCs w:val="24"/>
        </w:rPr>
        <w:t>l</w:t>
      </w:r>
      <w:r w:rsidR="00625A43" w:rsidRPr="00051CAA">
        <w:rPr>
          <w:szCs w:val="24"/>
        </w:rPr>
        <w:t>'</w:t>
      </w:r>
      <w:r w:rsidR="002D21EB" w:rsidRPr="00051CAA">
        <w:rPr>
          <w:szCs w:val="24"/>
        </w:rPr>
        <w:t xml:space="preserve">inclusione sociale – </w:t>
      </w:r>
      <w:r w:rsidR="00780468" w:rsidRPr="00051CAA">
        <w:rPr>
          <w:szCs w:val="24"/>
        </w:rPr>
        <w:t xml:space="preserve">tra </w:t>
      </w:r>
      <w:r w:rsidR="00625A43" w:rsidRPr="00051CAA">
        <w:rPr>
          <w:szCs w:val="24"/>
        </w:rPr>
        <w:t>i tre</w:t>
      </w:r>
      <w:r w:rsidR="00780468" w:rsidRPr="00051CAA">
        <w:rPr>
          <w:szCs w:val="24"/>
        </w:rPr>
        <w:t xml:space="preserve"> assi strategici con</w:t>
      </w:r>
      <w:r w:rsidR="00083C2B" w:rsidRPr="00051CAA">
        <w:rPr>
          <w:szCs w:val="24"/>
        </w:rPr>
        <w:t>di</w:t>
      </w:r>
      <w:r w:rsidR="002D21EB" w:rsidRPr="00051CAA">
        <w:rPr>
          <w:szCs w:val="24"/>
        </w:rPr>
        <w:t>visi a livello europeo</w:t>
      </w:r>
      <w:r w:rsidR="00083C2B" w:rsidRPr="00051CAA">
        <w:rPr>
          <w:szCs w:val="24"/>
        </w:rPr>
        <w:t>, come non è casuale che, sempre all</w:t>
      </w:r>
      <w:r w:rsidR="00625A43" w:rsidRPr="00051CAA">
        <w:rPr>
          <w:szCs w:val="24"/>
        </w:rPr>
        <w:t>'</w:t>
      </w:r>
      <w:r w:rsidR="00083C2B" w:rsidRPr="00051CAA">
        <w:rPr>
          <w:szCs w:val="24"/>
        </w:rPr>
        <w:t>interno del PNRR, la digitalizzazione</w:t>
      </w:r>
      <w:r w:rsidR="002D21EB" w:rsidRPr="00051CAA">
        <w:rPr>
          <w:szCs w:val="24"/>
        </w:rPr>
        <w:t xml:space="preserve"> – oltre a figurare tra gli obiettivi della Missione 1</w:t>
      </w:r>
      <w:r w:rsidR="00083C2B" w:rsidRPr="00051CAA">
        <w:rPr>
          <w:szCs w:val="24"/>
        </w:rPr>
        <w:t xml:space="preserve"> </w:t>
      </w:r>
      <w:r w:rsidR="002D21EB" w:rsidRPr="00051CAA">
        <w:rPr>
          <w:rFonts w:eastAsia="Times New Roman" w:cs="Open Sans"/>
          <w:szCs w:val="24"/>
          <w:lang w:eastAsia="it-IT"/>
        </w:rPr>
        <w:t>(</w:t>
      </w:r>
      <w:r w:rsidR="00625A43" w:rsidRPr="00051CAA">
        <w:rPr>
          <w:rFonts w:eastAsia="Times New Roman" w:cs="Open Sans"/>
          <w:szCs w:val="24"/>
          <w:lang w:eastAsia="it-IT"/>
        </w:rPr>
        <w:t>"</w:t>
      </w:r>
      <w:r w:rsidR="002D21EB" w:rsidRPr="00051CAA">
        <w:rPr>
          <w:rFonts w:eastAsia="Times New Roman" w:cs="Open Sans"/>
          <w:szCs w:val="24"/>
          <w:lang w:eastAsia="it-IT"/>
        </w:rPr>
        <w:t>digitalizzazione, innovazione, competitività, cultura e turismo</w:t>
      </w:r>
      <w:r w:rsidR="00625A43" w:rsidRPr="00051CAA">
        <w:rPr>
          <w:rFonts w:eastAsia="Times New Roman" w:cs="Open Sans"/>
          <w:szCs w:val="24"/>
          <w:lang w:eastAsia="it-IT"/>
        </w:rPr>
        <w:t>"</w:t>
      </w:r>
      <w:r w:rsidR="002D21EB" w:rsidRPr="00051CAA">
        <w:rPr>
          <w:szCs w:val="24"/>
        </w:rPr>
        <w:t xml:space="preserve">) – </w:t>
      </w:r>
      <w:r w:rsidR="00083C2B" w:rsidRPr="00051CAA">
        <w:rPr>
          <w:szCs w:val="24"/>
        </w:rPr>
        <w:t>sia uno strumento di supporto trasversale della Missione 2</w:t>
      </w:r>
      <w:r w:rsidR="0033428F" w:rsidRPr="00051CAA">
        <w:rPr>
          <w:szCs w:val="24"/>
        </w:rPr>
        <w:t xml:space="preserve"> (</w:t>
      </w:r>
      <w:r w:rsidR="00625A43" w:rsidRPr="00051CAA">
        <w:rPr>
          <w:szCs w:val="24"/>
        </w:rPr>
        <w:t>"</w:t>
      </w:r>
      <w:r w:rsidR="002D21EB" w:rsidRPr="00051CAA">
        <w:rPr>
          <w:szCs w:val="24"/>
        </w:rPr>
        <w:t>r</w:t>
      </w:r>
      <w:r w:rsidR="00083C2B" w:rsidRPr="00051CAA">
        <w:rPr>
          <w:szCs w:val="24"/>
        </w:rPr>
        <w:t>isoluzione verde e transizione ecologica</w:t>
      </w:r>
      <w:r w:rsidR="00625A43" w:rsidRPr="00051CAA">
        <w:rPr>
          <w:szCs w:val="24"/>
        </w:rPr>
        <w:t>"</w:t>
      </w:r>
      <w:r w:rsidR="0033428F" w:rsidRPr="00051CAA">
        <w:rPr>
          <w:szCs w:val="24"/>
        </w:rPr>
        <w:t>)</w:t>
      </w:r>
      <w:r w:rsidR="00083C2B" w:rsidRPr="00051CAA">
        <w:rPr>
          <w:szCs w:val="24"/>
        </w:rPr>
        <w:t xml:space="preserve">. </w:t>
      </w:r>
    </w:p>
    <w:p w14:paraId="4DAE9BAB" w14:textId="3BD19A51" w:rsidR="0098680E" w:rsidRPr="00051CAA" w:rsidRDefault="00B909C6" w:rsidP="00AE3FE4">
      <w:pPr>
        <w:spacing w:line="276" w:lineRule="auto"/>
        <w:rPr>
          <w:szCs w:val="24"/>
        </w:rPr>
      </w:pPr>
      <w:r w:rsidRPr="00051CAA">
        <w:rPr>
          <w:szCs w:val="24"/>
        </w:rPr>
        <w:t>La transizione digitale non può prescindere dalla realizzazione di infrastrutture adeguate alle nuove applicazioni della rete, idonee a garantire un accesso universale alle comunicazioni, cioè rivolto a tutti ed esteso sull</w:t>
      </w:r>
      <w:r w:rsidR="00625A43" w:rsidRPr="00051CAA">
        <w:rPr>
          <w:szCs w:val="24"/>
        </w:rPr>
        <w:t>'</w:t>
      </w:r>
      <w:r w:rsidRPr="00051CAA">
        <w:rPr>
          <w:szCs w:val="24"/>
        </w:rPr>
        <w:t>intero territorio nazionale ed europeo. La compiuta infrastrutturazione del Paese attraverso reti fisse e mobili rappresenta, dunque, un dovere ineludibile per uno Stato impegnato a garantire, nell</w:t>
      </w:r>
      <w:r w:rsidR="00625A43" w:rsidRPr="00051CAA">
        <w:rPr>
          <w:szCs w:val="24"/>
        </w:rPr>
        <w:t>'</w:t>
      </w:r>
      <w:r w:rsidRPr="00051CAA">
        <w:rPr>
          <w:szCs w:val="24"/>
        </w:rPr>
        <w:t>era digitale, lo sviluppo sostenibile dell</w:t>
      </w:r>
      <w:r w:rsidR="00625A43" w:rsidRPr="00051CAA">
        <w:rPr>
          <w:szCs w:val="24"/>
        </w:rPr>
        <w:t>'</w:t>
      </w:r>
      <w:r w:rsidRPr="00051CAA">
        <w:rPr>
          <w:szCs w:val="24"/>
        </w:rPr>
        <w:t>economia e della società.</w:t>
      </w:r>
      <w:r w:rsidRPr="00051CAA">
        <w:rPr>
          <w:rStyle w:val="Rimandonotaapidipagina"/>
          <w:szCs w:val="24"/>
        </w:rPr>
        <w:footnoteReference w:id="8"/>
      </w:r>
    </w:p>
    <w:p w14:paraId="3A51EF69" w14:textId="77777777" w:rsidR="0098680E" w:rsidRPr="00051CAA" w:rsidRDefault="0098680E" w:rsidP="00AE3FE4">
      <w:pPr>
        <w:spacing w:line="276" w:lineRule="auto"/>
        <w:rPr>
          <w:szCs w:val="24"/>
        </w:rPr>
      </w:pPr>
    </w:p>
    <w:p w14:paraId="745A5B92" w14:textId="31CCC7D8" w:rsidR="0098680E" w:rsidRPr="00051CAA" w:rsidRDefault="00154EF5" w:rsidP="00AE3FE4">
      <w:pPr>
        <w:pStyle w:val="Titolo2"/>
        <w:spacing w:line="276" w:lineRule="auto"/>
        <w:rPr>
          <w:szCs w:val="24"/>
        </w:rPr>
      </w:pPr>
      <w:bookmarkStart w:id="2" w:name="_Toc198998238"/>
      <w:r w:rsidRPr="00051CAA">
        <w:rPr>
          <w:szCs w:val="24"/>
        </w:rPr>
        <w:t>2.</w:t>
      </w:r>
      <w:r w:rsidRPr="00051CAA">
        <w:rPr>
          <w:szCs w:val="24"/>
        </w:rPr>
        <w:tab/>
      </w:r>
      <w:r w:rsidR="00DD65C8" w:rsidRPr="00051CAA">
        <w:rPr>
          <w:szCs w:val="24"/>
        </w:rPr>
        <w:t>L</w:t>
      </w:r>
      <w:r w:rsidR="00625A43" w:rsidRPr="00051CAA">
        <w:rPr>
          <w:szCs w:val="24"/>
        </w:rPr>
        <w:t>'</w:t>
      </w:r>
      <w:r w:rsidR="00DD65C8" w:rsidRPr="00051CAA">
        <w:rPr>
          <w:szCs w:val="24"/>
        </w:rPr>
        <w:t xml:space="preserve">impianto </w:t>
      </w:r>
      <w:r w:rsidRPr="00051CAA">
        <w:rPr>
          <w:szCs w:val="24"/>
        </w:rPr>
        <w:t>normativo nazionale</w:t>
      </w:r>
      <w:r w:rsidR="0098680E" w:rsidRPr="00051CAA">
        <w:rPr>
          <w:szCs w:val="24"/>
        </w:rPr>
        <w:t>.</w:t>
      </w:r>
      <w:bookmarkEnd w:id="2"/>
      <w:r w:rsidR="0098680E" w:rsidRPr="00051CAA">
        <w:rPr>
          <w:szCs w:val="24"/>
        </w:rPr>
        <w:t xml:space="preserve"> </w:t>
      </w:r>
    </w:p>
    <w:p w14:paraId="4977D45E" w14:textId="12F7CCCE" w:rsidR="0098680E" w:rsidRPr="00051CAA" w:rsidRDefault="0098680E" w:rsidP="00AE3FE4">
      <w:pPr>
        <w:spacing w:line="276" w:lineRule="auto"/>
        <w:rPr>
          <w:szCs w:val="24"/>
        </w:rPr>
      </w:pPr>
      <w:r w:rsidRPr="00051CAA">
        <w:rPr>
          <w:szCs w:val="24"/>
        </w:rPr>
        <w:t>Focalizzando l</w:t>
      </w:r>
      <w:r w:rsidR="00625A43" w:rsidRPr="00051CAA">
        <w:rPr>
          <w:szCs w:val="24"/>
        </w:rPr>
        <w:t>'</w:t>
      </w:r>
      <w:r w:rsidRPr="00051CAA">
        <w:rPr>
          <w:szCs w:val="24"/>
        </w:rPr>
        <w:t xml:space="preserve">attenzione </w:t>
      </w:r>
      <w:r w:rsidR="004238D2" w:rsidRPr="00051CAA">
        <w:rPr>
          <w:szCs w:val="24"/>
        </w:rPr>
        <w:t>sulla</w:t>
      </w:r>
      <w:r w:rsidRPr="00051CAA">
        <w:rPr>
          <w:szCs w:val="24"/>
        </w:rPr>
        <w:t xml:space="preserve"> normativa nazionale, con la l. 166/2002, il Parlamento ha delegato il Governo ad adottare uno o più decreti legislativi per il riassetto delle disposizioni vigenti conseguenti al recepimento della seconda stagione di direttive europee in materia di comunicazioni (direttive 2002/19/CE, 2002/20/CE, 2002/21/CE e 2002/22/CE). Si è pervenuti, così, all</w:t>
      </w:r>
      <w:r w:rsidR="00625A43" w:rsidRPr="00051CAA">
        <w:rPr>
          <w:szCs w:val="24"/>
        </w:rPr>
        <w:t>'</w:t>
      </w:r>
      <w:r w:rsidRPr="00051CAA">
        <w:rPr>
          <w:szCs w:val="24"/>
        </w:rPr>
        <w:t>adozione del d.lgs. 259/2003 e all</w:t>
      </w:r>
      <w:r w:rsidR="00625A43" w:rsidRPr="00051CAA">
        <w:rPr>
          <w:szCs w:val="24"/>
        </w:rPr>
        <w:t>'</w:t>
      </w:r>
      <w:r w:rsidRPr="00051CAA">
        <w:rPr>
          <w:szCs w:val="24"/>
        </w:rPr>
        <w:t>emanazione del codice delle comunicazioni elettroniche</w:t>
      </w:r>
      <w:r w:rsidR="00BD0A1E" w:rsidRPr="00051CAA">
        <w:rPr>
          <w:szCs w:val="24"/>
        </w:rPr>
        <w:t xml:space="preserve"> (cod. </w:t>
      </w:r>
      <w:proofErr w:type="spellStart"/>
      <w:r w:rsidR="00BD0A1E" w:rsidRPr="00051CAA">
        <w:rPr>
          <w:szCs w:val="24"/>
        </w:rPr>
        <w:t>com</w:t>
      </w:r>
      <w:proofErr w:type="spellEnd"/>
      <w:r w:rsidR="00BD0A1E" w:rsidRPr="00051CAA">
        <w:rPr>
          <w:szCs w:val="24"/>
        </w:rPr>
        <w:t xml:space="preserve">. </w:t>
      </w:r>
      <w:proofErr w:type="spellStart"/>
      <w:r w:rsidR="00BD0A1E" w:rsidRPr="00051CAA">
        <w:rPr>
          <w:szCs w:val="24"/>
        </w:rPr>
        <w:t>elettr</w:t>
      </w:r>
      <w:proofErr w:type="spellEnd"/>
      <w:r w:rsidR="00BD0A1E" w:rsidRPr="00051CAA">
        <w:rPr>
          <w:szCs w:val="24"/>
        </w:rPr>
        <w:t>.)</w:t>
      </w:r>
      <w:r w:rsidRPr="00051CAA">
        <w:rPr>
          <w:szCs w:val="24"/>
        </w:rPr>
        <w:t xml:space="preserve">. </w:t>
      </w:r>
    </w:p>
    <w:p w14:paraId="151AFC62" w14:textId="53CA910D" w:rsidR="0098680E" w:rsidRPr="00051CAA" w:rsidRDefault="0098680E" w:rsidP="00AE3FE4">
      <w:pPr>
        <w:spacing w:line="276" w:lineRule="auto"/>
        <w:rPr>
          <w:szCs w:val="24"/>
        </w:rPr>
      </w:pPr>
      <w:r w:rsidRPr="00051CAA">
        <w:rPr>
          <w:szCs w:val="24"/>
        </w:rPr>
        <w:t>La disciplina del codice è</w:t>
      </w:r>
      <w:r w:rsidR="00E021FE" w:rsidRPr="00051CAA">
        <w:rPr>
          <w:szCs w:val="24"/>
        </w:rPr>
        <w:t xml:space="preserve"> – </w:t>
      </w:r>
      <w:r w:rsidRPr="00051CAA">
        <w:rPr>
          <w:szCs w:val="24"/>
        </w:rPr>
        <w:t xml:space="preserve">in </w:t>
      </w:r>
      <w:r w:rsidR="00E021FE" w:rsidRPr="00051CAA">
        <w:rPr>
          <w:szCs w:val="24"/>
        </w:rPr>
        <w:t xml:space="preserve">coerenza con la sua </w:t>
      </w:r>
      <w:r w:rsidR="00625A43" w:rsidRPr="00051CAA">
        <w:rPr>
          <w:szCs w:val="24"/>
        </w:rPr>
        <w:t>origine</w:t>
      </w:r>
      <w:r w:rsidR="00E021FE" w:rsidRPr="00051CAA">
        <w:rPr>
          <w:szCs w:val="24"/>
        </w:rPr>
        <w:t xml:space="preserve"> </w:t>
      </w:r>
      <w:r w:rsidR="00625A43" w:rsidRPr="00051CAA">
        <w:rPr>
          <w:szCs w:val="24"/>
        </w:rPr>
        <w:t xml:space="preserve">europea </w:t>
      </w:r>
      <w:r w:rsidR="00E021FE" w:rsidRPr="00051CAA">
        <w:rPr>
          <w:szCs w:val="24"/>
        </w:rPr>
        <w:t xml:space="preserve">– </w:t>
      </w:r>
      <w:r w:rsidRPr="00051CAA">
        <w:rPr>
          <w:szCs w:val="24"/>
        </w:rPr>
        <w:t>pro-concorrenziale, perciò è volta a tutelare</w:t>
      </w:r>
      <w:r w:rsidR="00E021FE" w:rsidRPr="00051CAA">
        <w:rPr>
          <w:szCs w:val="24"/>
        </w:rPr>
        <w:t xml:space="preserve"> tanto gli imprenditori del settore, assicurando loro </w:t>
      </w:r>
      <w:r w:rsidR="002F1BA8" w:rsidRPr="00051CAA">
        <w:rPr>
          <w:szCs w:val="24"/>
        </w:rPr>
        <w:t>un facile</w:t>
      </w:r>
      <w:r w:rsidR="00E021FE" w:rsidRPr="00051CAA">
        <w:rPr>
          <w:szCs w:val="24"/>
        </w:rPr>
        <w:t xml:space="preserve"> </w:t>
      </w:r>
      <w:r w:rsidR="004238D2" w:rsidRPr="00051CAA">
        <w:rPr>
          <w:szCs w:val="24"/>
        </w:rPr>
        <w:t xml:space="preserve">accesso </w:t>
      </w:r>
      <w:r w:rsidR="00E021FE" w:rsidRPr="00051CAA">
        <w:rPr>
          <w:szCs w:val="24"/>
        </w:rPr>
        <w:t xml:space="preserve">al mercato delle comunicazioni, quanto i consumatori, garantendo a questi </w:t>
      </w:r>
      <w:r w:rsidR="00DD65C8" w:rsidRPr="00051CAA">
        <w:rPr>
          <w:szCs w:val="24"/>
        </w:rPr>
        <w:t>la massima fruizione de</w:t>
      </w:r>
      <w:r w:rsidR="00E021FE" w:rsidRPr="00051CAA">
        <w:rPr>
          <w:szCs w:val="24"/>
        </w:rPr>
        <w:t>i servizi che sfruttano le reti di comunicazion</w:t>
      </w:r>
      <w:r w:rsidR="0011310E" w:rsidRPr="00051CAA">
        <w:rPr>
          <w:szCs w:val="24"/>
        </w:rPr>
        <w:t>e</w:t>
      </w:r>
      <w:r w:rsidR="00E021FE" w:rsidRPr="00051CAA">
        <w:rPr>
          <w:szCs w:val="24"/>
        </w:rPr>
        <w:t xml:space="preserve"> (telefonia fissa e mobile, internet, radio, televisione etc.). </w:t>
      </w:r>
      <w:r w:rsidRPr="00051CAA">
        <w:rPr>
          <w:szCs w:val="24"/>
        </w:rPr>
        <w:t xml:space="preserve"> </w:t>
      </w:r>
    </w:p>
    <w:p w14:paraId="4750F419" w14:textId="7D64D1FB" w:rsidR="00BD0A1E" w:rsidRPr="00051CAA" w:rsidRDefault="00BD0A1E" w:rsidP="00AE3FE4">
      <w:pPr>
        <w:spacing w:line="276" w:lineRule="auto"/>
        <w:rPr>
          <w:szCs w:val="24"/>
        </w:rPr>
      </w:pPr>
      <w:r w:rsidRPr="00051CAA">
        <w:rPr>
          <w:szCs w:val="24"/>
        </w:rPr>
        <w:t>L</w:t>
      </w:r>
      <w:r w:rsidR="0098680E" w:rsidRPr="00051CAA">
        <w:rPr>
          <w:szCs w:val="24"/>
        </w:rPr>
        <w:t>a fornitura di reti e di servizi di comunicazione elettronica è considerata di preminente interesse generale</w:t>
      </w:r>
      <w:r w:rsidRPr="00051CAA">
        <w:rPr>
          <w:szCs w:val="24"/>
        </w:rPr>
        <w:t xml:space="preserve"> (art. 3, co. 2, cod. </w:t>
      </w:r>
      <w:proofErr w:type="spellStart"/>
      <w:r w:rsidRPr="00051CAA">
        <w:rPr>
          <w:szCs w:val="24"/>
        </w:rPr>
        <w:t>com</w:t>
      </w:r>
      <w:proofErr w:type="spellEnd"/>
      <w:r w:rsidRPr="00051CAA">
        <w:rPr>
          <w:szCs w:val="24"/>
        </w:rPr>
        <w:t xml:space="preserve">. </w:t>
      </w:r>
      <w:proofErr w:type="spellStart"/>
      <w:r w:rsidRPr="00051CAA">
        <w:rPr>
          <w:szCs w:val="24"/>
        </w:rPr>
        <w:t>elettr</w:t>
      </w:r>
      <w:proofErr w:type="spellEnd"/>
      <w:r w:rsidRPr="00051CAA">
        <w:rPr>
          <w:szCs w:val="24"/>
        </w:rPr>
        <w:t xml:space="preserve">.) e </w:t>
      </w:r>
      <w:r w:rsidR="0098680E" w:rsidRPr="00051CAA">
        <w:rPr>
          <w:szCs w:val="24"/>
        </w:rPr>
        <w:t xml:space="preserve">libera (art. 3, </w:t>
      </w:r>
      <w:r w:rsidRPr="00051CAA">
        <w:rPr>
          <w:szCs w:val="24"/>
        </w:rPr>
        <w:t>co. 1 e 3,</w:t>
      </w:r>
      <w:r w:rsidR="0098680E" w:rsidRPr="00051CAA">
        <w:rPr>
          <w:szCs w:val="24"/>
        </w:rPr>
        <w:t xml:space="preserve"> </w:t>
      </w:r>
      <w:r w:rsidRPr="00051CAA">
        <w:rPr>
          <w:szCs w:val="24"/>
        </w:rPr>
        <w:t xml:space="preserve">cod. </w:t>
      </w:r>
      <w:proofErr w:type="spellStart"/>
      <w:r w:rsidRPr="00051CAA">
        <w:rPr>
          <w:szCs w:val="24"/>
        </w:rPr>
        <w:t>com</w:t>
      </w:r>
      <w:proofErr w:type="spellEnd"/>
      <w:r w:rsidRPr="00051CAA">
        <w:rPr>
          <w:szCs w:val="24"/>
        </w:rPr>
        <w:t xml:space="preserve">. </w:t>
      </w:r>
      <w:proofErr w:type="spellStart"/>
      <w:r w:rsidRPr="00051CAA">
        <w:rPr>
          <w:szCs w:val="24"/>
        </w:rPr>
        <w:t>elettr</w:t>
      </w:r>
      <w:proofErr w:type="spellEnd"/>
      <w:r w:rsidRPr="00051CAA">
        <w:rPr>
          <w:szCs w:val="24"/>
        </w:rPr>
        <w:t>.</w:t>
      </w:r>
      <w:r w:rsidR="0098680E" w:rsidRPr="00051CAA">
        <w:rPr>
          <w:szCs w:val="24"/>
        </w:rPr>
        <w:t xml:space="preserve">), fatte salve le limitazioni derivanti da esigenze della difesa e della sicurezza dello Stato, della protezione civile, della salute pubblica e della </w:t>
      </w:r>
      <w:r w:rsidR="0098680E" w:rsidRPr="00051CAA">
        <w:rPr>
          <w:szCs w:val="24"/>
        </w:rPr>
        <w:lastRenderedPageBreak/>
        <w:t>tutela dell</w:t>
      </w:r>
      <w:r w:rsidR="00625A43" w:rsidRPr="00051CAA">
        <w:rPr>
          <w:szCs w:val="24"/>
        </w:rPr>
        <w:t>'</w:t>
      </w:r>
      <w:r w:rsidR="0098680E" w:rsidRPr="00051CAA">
        <w:rPr>
          <w:szCs w:val="24"/>
        </w:rPr>
        <w:t>ambiente e della riservatezza e protezione dei dati personali, poste da specifiche disposizioni di legge o da disposizioni regolamentari di attuazione (art. 3</w:t>
      </w:r>
      <w:r w:rsidRPr="00051CAA">
        <w:rPr>
          <w:szCs w:val="24"/>
        </w:rPr>
        <w:t>,</w:t>
      </w:r>
      <w:r w:rsidR="0098680E" w:rsidRPr="00051CAA">
        <w:rPr>
          <w:szCs w:val="24"/>
        </w:rPr>
        <w:t xml:space="preserve"> c</w:t>
      </w:r>
      <w:r w:rsidRPr="00051CAA">
        <w:rPr>
          <w:szCs w:val="24"/>
        </w:rPr>
        <w:t>o.</w:t>
      </w:r>
      <w:r w:rsidR="0098680E" w:rsidRPr="00051CAA">
        <w:rPr>
          <w:szCs w:val="24"/>
        </w:rPr>
        <w:t xml:space="preserve"> 4</w:t>
      </w:r>
      <w:r w:rsidRPr="00051CAA">
        <w:rPr>
          <w:szCs w:val="24"/>
        </w:rPr>
        <w:t xml:space="preserve">, cod. </w:t>
      </w:r>
      <w:proofErr w:type="spellStart"/>
      <w:r w:rsidRPr="00051CAA">
        <w:rPr>
          <w:szCs w:val="24"/>
        </w:rPr>
        <w:t>com</w:t>
      </w:r>
      <w:proofErr w:type="spellEnd"/>
      <w:r w:rsidRPr="00051CAA">
        <w:rPr>
          <w:szCs w:val="24"/>
        </w:rPr>
        <w:t xml:space="preserve">. </w:t>
      </w:r>
      <w:proofErr w:type="spellStart"/>
      <w:r w:rsidRPr="00051CAA">
        <w:rPr>
          <w:szCs w:val="24"/>
        </w:rPr>
        <w:t>elettr</w:t>
      </w:r>
      <w:proofErr w:type="spellEnd"/>
      <w:r w:rsidRPr="00051CAA">
        <w:rPr>
          <w:szCs w:val="24"/>
        </w:rPr>
        <w:t>.</w:t>
      </w:r>
      <w:r w:rsidR="0098680E" w:rsidRPr="00051CAA">
        <w:rPr>
          <w:szCs w:val="24"/>
        </w:rPr>
        <w:t>)</w:t>
      </w:r>
      <w:r w:rsidR="00E3500C" w:rsidRPr="00051CAA">
        <w:rPr>
          <w:szCs w:val="24"/>
        </w:rPr>
        <w:t xml:space="preserve">. </w:t>
      </w:r>
    </w:p>
    <w:p w14:paraId="07B13B47" w14:textId="228A749D" w:rsidR="00BD0A1E" w:rsidRPr="00051CAA" w:rsidRDefault="009117FF" w:rsidP="00AE3FE4">
      <w:pPr>
        <w:spacing w:line="276" w:lineRule="auto"/>
        <w:rPr>
          <w:szCs w:val="24"/>
        </w:rPr>
      </w:pPr>
      <w:r w:rsidRPr="00051CAA">
        <w:rPr>
          <w:szCs w:val="24"/>
        </w:rPr>
        <w:t>I servizi di comunicazione sono</w:t>
      </w:r>
      <w:r w:rsidR="00625A43" w:rsidRPr="00051CAA">
        <w:rPr>
          <w:szCs w:val="24"/>
        </w:rPr>
        <w:t xml:space="preserve"> d'</w:t>
      </w:r>
      <w:r w:rsidR="009006F2" w:rsidRPr="00051CAA">
        <w:rPr>
          <w:szCs w:val="24"/>
        </w:rPr>
        <w:t xml:space="preserve">interesse </w:t>
      </w:r>
      <w:r w:rsidR="00625A43" w:rsidRPr="00051CAA">
        <w:rPr>
          <w:szCs w:val="24"/>
        </w:rPr>
        <w:t>per la</w:t>
      </w:r>
      <w:r w:rsidR="009006F2" w:rsidRPr="00051CAA">
        <w:rPr>
          <w:szCs w:val="24"/>
        </w:rPr>
        <w:t xml:space="preserve"> collettività, </w:t>
      </w:r>
      <w:r w:rsidR="00625A43" w:rsidRPr="00051CAA">
        <w:rPr>
          <w:szCs w:val="24"/>
        </w:rPr>
        <w:t xml:space="preserve">ma forniti nel libero mercato, </w:t>
      </w:r>
      <w:r w:rsidRPr="00051CAA">
        <w:rPr>
          <w:szCs w:val="24"/>
        </w:rPr>
        <w:t xml:space="preserve">e alcuni di essi (tra cui </w:t>
      </w:r>
      <w:r w:rsidR="00267326" w:rsidRPr="00051CAA">
        <w:rPr>
          <w:szCs w:val="24"/>
        </w:rPr>
        <w:t>l</w:t>
      </w:r>
      <w:r w:rsidR="00625A43" w:rsidRPr="00051CAA">
        <w:rPr>
          <w:szCs w:val="24"/>
        </w:rPr>
        <w:t>'</w:t>
      </w:r>
      <w:r w:rsidR="00267326" w:rsidRPr="00051CAA">
        <w:rPr>
          <w:szCs w:val="24"/>
        </w:rPr>
        <w:t>accesso alla</w:t>
      </w:r>
      <w:r w:rsidRPr="00051CAA">
        <w:rPr>
          <w:szCs w:val="24"/>
        </w:rPr>
        <w:t xml:space="preserve"> telefonia fissa e a internet) sono </w:t>
      </w:r>
      <w:r w:rsidR="00625A43" w:rsidRPr="00051CAA">
        <w:rPr>
          <w:szCs w:val="24"/>
        </w:rPr>
        <w:t>"</w:t>
      </w:r>
      <w:r w:rsidRPr="00051CAA">
        <w:rPr>
          <w:szCs w:val="24"/>
        </w:rPr>
        <w:t>universali</w:t>
      </w:r>
      <w:r w:rsidR="00625A43" w:rsidRPr="00051CAA">
        <w:rPr>
          <w:szCs w:val="24"/>
        </w:rPr>
        <w:t>"</w:t>
      </w:r>
      <w:r w:rsidRPr="00051CAA">
        <w:rPr>
          <w:szCs w:val="24"/>
        </w:rPr>
        <w:t xml:space="preserve">, cioè devono essere </w:t>
      </w:r>
      <w:r w:rsidR="00672AB4" w:rsidRPr="00051CAA">
        <w:rPr>
          <w:szCs w:val="24"/>
        </w:rPr>
        <w:t xml:space="preserve">garantiti a tutti gli utenti finali </w:t>
      </w:r>
      <w:r w:rsidR="009006F2" w:rsidRPr="00051CAA">
        <w:rPr>
          <w:szCs w:val="24"/>
        </w:rPr>
        <w:t>nel territorio nazionale</w:t>
      </w:r>
      <w:r w:rsidR="00672AB4" w:rsidRPr="00051CAA">
        <w:rPr>
          <w:szCs w:val="24"/>
        </w:rPr>
        <w:t xml:space="preserve">, indipendentemente dalla loro ubicazione geografica, a un prezzo accessibile e con determinate caratteristiche qualitative (artt. 94 e ss. – già 84 e ss. – cod. </w:t>
      </w:r>
      <w:proofErr w:type="spellStart"/>
      <w:r w:rsidR="00672AB4" w:rsidRPr="00051CAA">
        <w:rPr>
          <w:szCs w:val="24"/>
        </w:rPr>
        <w:t>com</w:t>
      </w:r>
      <w:proofErr w:type="spellEnd"/>
      <w:r w:rsidR="00672AB4" w:rsidRPr="00051CAA">
        <w:rPr>
          <w:szCs w:val="24"/>
        </w:rPr>
        <w:t xml:space="preserve">. </w:t>
      </w:r>
      <w:proofErr w:type="spellStart"/>
      <w:r w:rsidR="00672AB4" w:rsidRPr="00051CAA">
        <w:rPr>
          <w:szCs w:val="24"/>
        </w:rPr>
        <w:t>elettr</w:t>
      </w:r>
      <w:proofErr w:type="spellEnd"/>
      <w:r w:rsidR="00672AB4" w:rsidRPr="00051CAA">
        <w:rPr>
          <w:szCs w:val="24"/>
        </w:rPr>
        <w:t>.</w:t>
      </w:r>
      <w:r w:rsidR="00B40C9E" w:rsidRPr="00051CAA">
        <w:rPr>
          <w:rStyle w:val="Rimandonotaapidipagina"/>
          <w:szCs w:val="24"/>
        </w:rPr>
        <w:footnoteReference w:id="9"/>
      </w:r>
      <w:r w:rsidR="00672AB4" w:rsidRPr="00051CAA">
        <w:rPr>
          <w:szCs w:val="24"/>
        </w:rPr>
        <w:t xml:space="preserve">). </w:t>
      </w:r>
    </w:p>
    <w:p w14:paraId="4FFE8493" w14:textId="2411D6F8" w:rsidR="000E6E8F" w:rsidRPr="00051CAA" w:rsidRDefault="00C21503" w:rsidP="00AE3FE4">
      <w:pPr>
        <w:spacing w:line="276" w:lineRule="auto"/>
        <w:rPr>
          <w:szCs w:val="24"/>
        </w:rPr>
      </w:pPr>
      <w:r w:rsidRPr="00051CAA">
        <w:rPr>
          <w:szCs w:val="24"/>
        </w:rPr>
        <w:t>Di conseguenza,</w:t>
      </w:r>
      <w:r w:rsidR="0098680E" w:rsidRPr="00051CAA">
        <w:rPr>
          <w:rFonts w:eastAsia="Times New Roman" w:cs="Times New Roman"/>
          <w:color w:val="000000"/>
          <w:szCs w:val="24"/>
          <w:lang w:eastAsia="it-IT"/>
        </w:rPr>
        <w:t xml:space="preserve"> </w:t>
      </w:r>
      <w:r w:rsidR="000E6E8F" w:rsidRPr="00051CAA">
        <w:rPr>
          <w:szCs w:val="24"/>
        </w:rPr>
        <w:t xml:space="preserve">le infrastrutture di reti pubbliche di comunicazione sono assimilate a opere di urbanizzazione primaria (art. 43, co. 4 – già 86, co. 3 – cod. </w:t>
      </w:r>
      <w:proofErr w:type="spellStart"/>
      <w:r w:rsidR="000E6E8F" w:rsidRPr="00051CAA">
        <w:rPr>
          <w:szCs w:val="24"/>
        </w:rPr>
        <w:t>com</w:t>
      </w:r>
      <w:proofErr w:type="spellEnd"/>
      <w:r w:rsidR="000E6E8F" w:rsidRPr="00051CAA">
        <w:rPr>
          <w:szCs w:val="24"/>
        </w:rPr>
        <w:t xml:space="preserve">. </w:t>
      </w:r>
      <w:proofErr w:type="spellStart"/>
      <w:r w:rsidR="000E6E8F" w:rsidRPr="00051CAA">
        <w:rPr>
          <w:szCs w:val="24"/>
        </w:rPr>
        <w:t>elettr</w:t>
      </w:r>
      <w:proofErr w:type="spellEnd"/>
      <w:r w:rsidR="000E6E8F" w:rsidRPr="00051CAA">
        <w:rPr>
          <w:szCs w:val="24"/>
        </w:rPr>
        <w:t xml:space="preserve">.) </w:t>
      </w:r>
      <w:r w:rsidR="0011310E" w:rsidRPr="00051CAA">
        <w:rPr>
          <w:szCs w:val="24"/>
        </w:rPr>
        <w:t>e</w:t>
      </w:r>
      <w:r w:rsidR="000E6E8F" w:rsidRPr="00051CAA">
        <w:rPr>
          <w:szCs w:val="24"/>
        </w:rPr>
        <w:t xml:space="preserve"> hanno </w:t>
      </w:r>
      <w:r w:rsidR="000E6E8F" w:rsidRPr="00051CAA">
        <w:rPr>
          <w:i/>
          <w:szCs w:val="24"/>
        </w:rPr>
        <w:t xml:space="preserve">ex lege </w:t>
      </w:r>
      <w:r w:rsidR="000E6E8F" w:rsidRPr="00051CAA">
        <w:rPr>
          <w:szCs w:val="24"/>
        </w:rPr>
        <w:t xml:space="preserve">carattere di pubblica utilità ai fini della disciplina degli espropri (art. 50 – già 90 – cod. </w:t>
      </w:r>
      <w:proofErr w:type="spellStart"/>
      <w:r w:rsidR="000E6E8F" w:rsidRPr="00051CAA">
        <w:rPr>
          <w:szCs w:val="24"/>
        </w:rPr>
        <w:t>com</w:t>
      </w:r>
      <w:proofErr w:type="spellEnd"/>
      <w:r w:rsidR="000E6E8F" w:rsidRPr="00051CAA">
        <w:rPr>
          <w:szCs w:val="24"/>
        </w:rPr>
        <w:t xml:space="preserve">. </w:t>
      </w:r>
      <w:proofErr w:type="spellStart"/>
      <w:r w:rsidR="000E6E8F" w:rsidRPr="00051CAA">
        <w:rPr>
          <w:szCs w:val="24"/>
        </w:rPr>
        <w:t>elettr</w:t>
      </w:r>
      <w:proofErr w:type="spellEnd"/>
      <w:r w:rsidR="000E6E8F" w:rsidRPr="00051CAA">
        <w:rPr>
          <w:szCs w:val="24"/>
        </w:rPr>
        <w:t>.). L</w:t>
      </w:r>
      <w:r w:rsidR="00625A43" w:rsidRPr="00051CAA">
        <w:rPr>
          <w:szCs w:val="24"/>
        </w:rPr>
        <w:t>'</w:t>
      </w:r>
      <w:r w:rsidR="000E6E8F" w:rsidRPr="00051CAA">
        <w:rPr>
          <w:szCs w:val="24"/>
        </w:rPr>
        <w:t xml:space="preserve">assimilazione alle opere di urbanizzazione primaria è coessenziale </w:t>
      </w:r>
      <w:r w:rsidR="00625A43" w:rsidRPr="00051CAA">
        <w:rPr>
          <w:szCs w:val="24"/>
        </w:rPr>
        <w:t>ad</w:t>
      </w:r>
      <w:r w:rsidR="000E6E8F" w:rsidRPr="00051CAA">
        <w:rPr>
          <w:szCs w:val="24"/>
        </w:rPr>
        <w:t xml:space="preserve"> assicurare la </w:t>
      </w:r>
      <w:r w:rsidR="005760B9" w:rsidRPr="00051CAA">
        <w:rPr>
          <w:szCs w:val="24"/>
        </w:rPr>
        <w:t xml:space="preserve">capillare distribuzione </w:t>
      </w:r>
      <w:r w:rsidR="000E6E8F" w:rsidRPr="00051CAA">
        <w:rPr>
          <w:szCs w:val="24"/>
        </w:rPr>
        <w:t>degli impianti,</w:t>
      </w:r>
      <w:r w:rsidR="005760B9" w:rsidRPr="00051CAA">
        <w:rPr>
          <w:szCs w:val="24"/>
        </w:rPr>
        <w:t xml:space="preserve"> la quale, a sua volta, è precondizione per la diffusione dei servizi di comunicazione sull</w:t>
      </w:r>
      <w:r w:rsidR="00625A43" w:rsidRPr="00051CAA">
        <w:rPr>
          <w:szCs w:val="24"/>
        </w:rPr>
        <w:t>'</w:t>
      </w:r>
      <w:r w:rsidR="005760B9" w:rsidRPr="00051CAA">
        <w:rPr>
          <w:szCs w:val="24"/>
        </w:rPr>
        <w:t>intero territorio nazionale,</w:t>
      </w:r>
      <w:r w:rsidR="000E6E8F" w:rsidRPr="00051CAA">
        <w:rPr>
          <w:szCs w:val="24"/>
        </w:rPr>
        <w:t xml:space="preserve"> perché rende</w:t>
      </w:r>
      <w:r w:rsidR="005760B9" w:rsidRPr="00051CAA">
        <w:rPr>
          <w:szCs w:val="24"/>
        </w:rPr>
        <w:t xml:space="preserve"> dette opere</w:t>
      </w:r>
      <w:r w:rsidR="000E6E8F" w:rsidRPr="00051CAA">
        <w:rPr>
          <w:szCs w:val="24"/>
        </w:rPr>
        <w:t xml:space="preserve"> compatibili con qualsiasi destinazione urbanistica e, dunque, con ogni zona </w:t>
      </w:r>
      <w:r w:rsidR="00DD65C8" w:rsidRPr="00051CAA">
        <w:rPr>
          <w:szCs w:val="24"/>
        </w:rPr>
        <w:t>dei territori comunali</w:t>
      </w:r>
      <w:r w:rsidR="000E6E8F" w:rsidRPr="00051CAA">
        <w:rPr>
          <w:szCs w:val="24"/>
        </w:rPr>
        <w:t xml:space="preserve"> (cfr., </w:t>
      </w:r>
      <w:r w:rsidR="000E6E8F" w:rsidRPr="00051CAA">
        <w:rPr>
          <w:i/>
          <w:szCs w:val="24"/>
        </w:rPr>
        <w:t xml:space="preserve">ex </w:t>
      </w:r>
      <w:proofErr w:type="spellStart"/>
      <w:r w:rsidR="000E6E8F" w:rsidRPr="00051CAA">
        <w:rPr>
          <w:i/>
          <w:szCs w:val="24"/>
        </w:rPr>
        <w:t>multis</w:t>
      </w:r>
      <w:proofErr w:type="spellEnd"/>
      <w:r w:rsidR="000E6E8F" w:rsidRPr="00051CAA">
        <w:rPr>
          <w:szCs w:val="24"/>
        </w:rPr>
        <w:t xml:space="preserve">, </w:t>
      </w:r>
      <w:r w:rsidR="005760B9" w:rsidRPr="00051CAA">
        <w:rPr>
          <w:szCs w:val="24"/>
        </w:rPr>
        <w:t>Cons. Stato, Sez. VI, 3 agosto 2017, n. 3891</w:t>
      </w:r>
      <w:r w:rsidR="000E6E8F" w:rsidRPr="00051CAA">
        <w:rPr>
          <w:szCs w:val="24"/>
        </w:rPr>
        <w:t>).</w:t>
      </w:r>
    </w:p>
    <w:p w14:paraId="7230E7BF" w14:textId="4F346063" w:rsidR="0097082A" w:rsidRPr="00051CAA" w:rsidRDefault="002920E6" w:rsidP="00AE3FE4">
      <w:pPr>
        <w:spacing w:line="276" w:lineRule="auto"/>
        <w:rPr>
          <w:szCs w:val="24"/>
        </w:rPr>
      </w:pPr>
      <w:r w:rsidRPr="00051CAA">
        <w:rPr>
          <w:szCs w:val="24"/>
        </w:rPr>
        <w:t>La spinta</w:t>
      </w:r>
      <w:r w:rsidR="00625A43" w:rsidRPr="00051CAA">
        <w:rPr>
          <w:szCs w:val="24"/>
        </w:rPr>
        <w:t xml:space="preserve">, che innerva l'impianto </w:t>
      </w:r>
      <w:proofErr w:type="spellStart"/>
      <w:r w:rsidR="00625A43" w:rsidRPr="00051CAA">
        <w:rPr>
          <w:szCs w:val="24"/>
        </w:rPr>
        <w:t>condicistico</w:t>
      </w:r>
      <w:proofErr w:type="spellEnd"/>
      <w:r w:rsidR="00625A43" w:rsidRPr="00051CAA">
        <w:rPr>
          <w:szCs w:val="24"/>
        </w:rPr>
        <w:t>,</w:t>
      </w:r>
      <w:r w:rsidRPr="00051CAA">
        <w:rPr>
          <w:szCs w:val="24"/>
        </w:rPr>
        <w:t xml:space="preserve"> </w:t>
      </w:r>
      <w:r w:rsidR="00051CAA">
        <w:rPr>
          <w:szCs w:val="24"/>
        </w:rPr>
        <w:t>al rafforzamento</w:t>
      </w:r>
      <w:r w:rsidRPr="00051CAA">
        <w:rPr>
          <w:szCs w:val="24"/>
        </w:rPr>
        <w:t xml:space="preserve"> delle comunicazioni elettroniche</w:t>
      </w:r>
      <w:r w:rsidR="00625A43" w:rsidRPr="00051CAA">
        <w:rPr>
          <w:szCs w:val="24"/>
        </w:rPr>
        <w:t xml:space="preserve"> </w:t>
      </w:r>
      <w:r w:rsidRPr="00051CAA">
        <w:rPr>
          <w:szCs w:val="24"/>
        </w:rPr>
        <w:t>necessita di contemperamenti, derivanti da interessi potenzialmente confliggenti con l</w:t>
      </w:r>
      <w:r w:rsidR="00625A43" w:rsidRPr="00051CAA">
        <w:rPr>
          <w:szCs w:val="24"/>
        </w:rPr>
        <w:t>'</w:t>
      </w:r>
      <w:r w:rsidRPr="00051CAA">
        <w:rPr>
          <w:szCs w:val="24"/>
        </w:rPr>
        <w:t>interesse pubblico alla connettività</w:t>
      </w:r>
      <w:r w:rsidR="00927A17" w:rsidRPr="00051CAA">
        <w:rPr>
          <w:szCs w:val="24"/>
        </w:rPr>
        <w:t xml:space="preserve"> (cfr. art. 3, co. 4, cod. </w:t>
      </w:r>
      <w:proofErr w:type="spellStart"/>
      <w:r w:rsidR="00927A17" w:rsidRPr="00051CAA">
        <w:rPr>
          <w:szCs w:val="24"/>
        </w:rPr>
        <w:t>com</w:t>
      </w:r>
      <w:proofErr w:type="spellEnd"/>
      <w:r w:rsidR="00927A17" w:rsidRPr="00051CAA">
        <w:rPr>
          <w:szCs w:val="24"/>
        </w:rPr>
        <w:t xml:space="preserve">. </w:t>
      </w:r>
      <w:proofErr w:type="spellStart"/>
      <w:r w:rsidR="00927A17" w:rsidRPr="00051CAA">
        <w:rPr>
          <w:szCs w:val="24"/>
        </w:rPr>
        <w:t>elettr</w:t>
      </w:r>
      <w:proofErr w:type="spellEnd"/>
      <w:r w:rsidR="00927A17" w:rsidRPr="00051CAA">
        <w:rPr>
          <w:szCs w:val="24"/>
        </w:rPr>
        <w:t>.)</w:t>
      </w:r>
      <w:r w:rsidRPr="00051CAA">
        <w:rPr>
          <w:szCs w:val="24"/>
        </w:rPr>
        <w:t>. Tra questi interessi</w:t>
      </w:r>
      <w:r w:rsidR="00927A17" w:rsidRPr="00051CAA">
        <w:rPr>
          <w:szCs w:val="24"/>
        </w:rPr>
        <w:t>, meritevoli di bilanciamento,</w:t>
      </w:r>
      <w:r w:rsidRPr="00051CAA">
        <w:rPr>
          <w:szCs w:val="24"/>
        </w:rPr>
        <w:t xml:space="preserve"> figurano </w:t>
      </w:r>
      <w:r w:rsidR="00927A17" w:rsidRPr="00051CAA">
        <w:rPr>
          <w:szCs w:val="24"/>
        </w:rPr>
        <w:t>senz</w:t>
      </w:r>
      <w:r w:rsidR="00625A43" w:rsidRPr="00051CAA">
        <w:rPr>
          <w:szCs w:val="24"/>
        </w:rPr>
        <w:t>'</w:t>
      </w:r>
      <w:r w:rsidR="00927A17" w:rsidRPr="00051CAA">
        <w:rPr>
          <w:szCs w:val="24"/>
        </w:rPr>
        <w:t>altro la salute pubblica e, in particolare, l</w:t>
      </w:r>
      <w:r w:rsidR="00625A43" w:rsidRPr="00051CAA">
        <w:rPr>
          <w:szCs w:val="24"/>
        </w:rPr>
        <w:t>'</w:t>
      </w:r>
      <w:r w:rsidR="00927A17" w:rsidRPr="00051CAA">
        <w:rPr>
          <w:szCs w:val="24"/>
        </w:rPr>
        <w:t>esigenza di salvaguardare le persone dai rischi – reali e potenziali – derivanti dall</w:t>
      </w:r>
      <w:r w:rsidR="00625A43" w:rsidRPr="00051CAA">
        <w:rPr>
          <w:szCs w:val="24"/>
        </w:rPr>
        <w:t>'</w:t>
      </w:r>
      <w:r w:rsidR="00927A17" w:rsidRPr="00051CAA">
        <w:rPr>
          <w:szCs w:val="24"/>
        </w:rPr>
        <w:t>esposizione alle emissioni elettromagnetiche, l</w:t>
      </w:r>
      <w:r w:rsidR="00625A43" w:rsidRPr="00051CAA">
        <w:rPr>
          <w:szCs w:val="24"/>
        </w:rPr>
        <w:t>'</w:t>
      </w:r>
      <w:r w:rsidR="00927A17" w:rsidRPr="00051CAA">
        <w:rPr>
          <w:szCs w:val="24"/>
        </w:rPr>
        <w:t>ambiente, anch</w:t>
      </w:r>
      <w:r w:rsidR="00625A43" w:rsidRPr="00051CAA">
        <w:rPr>
          <w:szCs w:val="24"/>
        </w:rPr>
        <w:t>'</w:t>
      </w:r>
      <w:r w:rsidR="00927A17" w:rsidRPr="00051CAA">
        <w:rPr>
          <w:szCs w:val="24"/>
        </w:rPr>
        <w:t>esso suscettibile di compromissione per effetto dell</w:t>
      </w:r>
      <w:r w:rsidR="00625A43" w:rsidRPr="00051CAA">
        <w:rPr>
          <w:szCs w:val="24"/>
        </w:rPr>
        <w:t>'</w:t>
      </w:r>
      <w:r w:rsidR="00927A17" w:rsidRPr="00051CAA">
        <w:rPr>
          <w:szCs w:val="24"/>
        </w:rPr>
        <w:t xml:space="preserve">inquinamento elettromagnetico, il paesaggio, che </w:t>
      </w:r>
      <w:r w:rsidR="00625A43" w:rsidRPr="00051CAA">
        <w:rPr>
          <w:szCs w:val="24"/>
        </w:rPr>
        <w:t>rischia</w:t>
      </w:r>
      <w:r w:rsidR="00927A17" w:rsidRPr="00051CAA">
        <w:rPr>
          <w:szCs w:val="24"/>
        </w:rPr>
        <w:t xml:space="preserve"> </w:t>
      </w:r>
      <w:r w:rsidR="00625A43" w:rsidRPr="00051CAA">
        <w:rPr>
          <w:szCs w:val="24"/>
        </w:rPr>
        <w:t>di</w:t>
      </w:r>
      <w:r w:rsidR="00927A17" w:rsidRPr="00051CAA">
        <w:rPr>
          <w:szCs w:val="24"/>
        </w:rPr>
        <w:t xml:space="preserve"> essere deturpato dalle infrastrutture di rete visibili, e l</w:t>
      </w:r>
      <w:r w:rsidR="00625A43" w:rsidRPr="00051CAA">
        <w:rPr>
          <w:szCs w:val="24"/>
        </w:rPr>
        <w:t>'</w:t>
      </w:r>
      <w:r w:rsidR="00927A17" w:rsidRPr="00051CAA">
        <w:rPr>
          <w:szCs w:val="24"/>
        </w:rPr>
        <w:t xml:space="preserve">ordinato sviluppo del territorio. </w:t>
      </w:r>
    </w:p>
    <w:p w14:paraId="59377D40" w14:textId="16C722BE" w:rsidR="004825FD" w:rsidRPr="00051CAA" w:rsidRDefault="0097082A" w:rsidP="00AE3FE4">
      <w:pPr>
        <w:spacing w:line="276" w:lineRule="auto"/>
        <w:rPr>
          <w:szCs w:val="24"/>
        </w:rPr>
      </w:pPr>
      <w:r w:rsidRPr="00051CAA">
        <w:rPr>
          <w:szCs w:val="24"/>
        </w:rPr>
        <w:t>Il contemperamento incide</w:t>
      </w:r>
      <w:r w:rsidR="000B489F" w:rsidRPr="00051CAA">
        <w:rPr>
          <w:szCs w:val="24"/>
        </w:rPr>
        <w:t>, sebbene indirettamente,</w:t>
      </w:r>
      <w:r w:rsidRPr="00051CAA">
        <w:rPr>
          <w:szCs w:val="24"/>
        </w:rPr>
        <w:t xml:space="preserve"> sull</w:t>
      </w:r>
      <w:r w:rsidR="00625A43" w:rsidRPr="00051CAA">
        <w:rPr>
          <w:szCs w:val="24"/>
        </w:rPr>
        <w:t>'</w:t>
      </w:r>
      <w:r w:rsidRPr="00051CAA">
        <w:rPr>
          <w:szCs w:val="24"/>
        </w:rPr>
        <w:t xml:space="preserve">accesso al mercato. </w:t>
      </w:r>
      <w:r w:rsidR="004825FD" w:rsidRPr="00051CAA">
        <w:rPr>
          <w:szCs w:val="24"/>
        </w:rPr>
        <w:t>Si è già visto</w:t>
      </w:r>
      <w:r w:rsidR="000B489F" w:rsidRPr="00051CAA">
        <w:rPr>
          <w:szCs w:val="24"/>
        </w:rPr>
        <w:t>, infatti,</w:t>
      </w:r>
      <w:r w:rsidR="004825FD" w:rsidRPr="00051CAA">
        <w:rPr>
          <w:szCs w:val="24"/>
        </w:rPr>
        <w:t xml:space="preserve"> che il mercato </w:t>
      </w:r>
      <w:r w:rsidR="0046043B" w:rsidRPr="00051CAA">
        <w:rPr>
          <w:szCs w:val="24"/>
        </w:rPr>
        <w:t xml:space="preserve">è </w:t>
      </w:r>
      <w:r w:rsidR="006915B9" w:rsidRPr="00051CAA">
        <w:rPr>
          <w:szCs w:val="24"/>
        </w:rPr>
        <w:t>liberalizzato</w:t>
      </w:r>
      <w:r w:rsidR="0046043B" w:rsidRPr="00051CAA">
        <w:rPr>
          <w:szCs w:val="24"/>
        </w:rPr>
        <w:t>, nel senso che gli operatori economici possono assumere l</w:t>
      </w:r>
      <w:r w:rsidR="00625A43" w:rsidRPr="00051CAA">
        <w:rPr>
          <w:szCs w:val="24"/>
        </w:rPr>
        <w:t>'</w:t>
      </w:r>
      <w:r w:rsidR="0046043B" w:rsidRPr="00051CAA">
        <w:rPr>
          <w:szCs w:val="24"/>
        </w:rPr>
        <w:t>iniziativa di realizzare impianti privati e di fornire i servizi di connettività in concorrenza tra loro</w:t>
      </w:r>
      <w:r w:rsidR="006915B9" w:rsidRPr="00051CAA">
        <w:rPr>
          <w:rStyle w:val="Rimandonotaapidipagina"/>
          <w:szCs w:val="24"/>
        </w:rPr>
        <w:footnoteReference w:id="10"/>
      </w:r>
      <w:r w:rsidR="0046043B" w:rsidRPr="00051CAA">
        <w:rPr>
          <w:szCs w:val="24"/>
        </w:rPr>
        <w:t xml:space="preserve">. Tuttavia, </w:t>
      </w:r>
      <w:r w:rsidR="00DD65C8" w:rsidRPr="00051CAA">
        <w:rPr>
          <w:szCs w:val="24"/>
        </w:rPr>
        <w:t xml:space="preserve">la realizzazione </w:t>
      </w:r>
      <w:r w:rsidR="002920E6" w:rsidRPr="00051CAA">
        <w:rPr>
          <w:szCs w:val="24"/>
        </w:rPr>
        <w:t xml:space="preserve">delle infrastrutture, in quanto </w:t>
      </w:r>
      <w:r w:rsidR="00F92051" w:rsidRPr="00051CAA">
        <w:rPr>
          <w:szCs w:val="24"/>
        </w:rPr>
        <w:t>impattante</w:t>
      </w:r>
      <w:r w:rsidR="002920E6" w:rsidRPr="00051CAA">
        <w:rPr>
          <w:szCs w:val="24"/>
        </w:rPr>
        <w:t xml:space="preserve"> su molteplici interessi potenzialmente confliggenti, è sottopos</w:t>
      </w:r>
      <w:r w:rsidR="00F92051" w:rsidRPr="00051CAA">
        <w:rPr>
          <w:szCs w:val="24"/>
        </w:rPr>
        <w:t>ta</w:t>
      </w:r>
      <w:r w:rsidR="002920E6" w:rsidRPr="00051CAA">
        <w:rPr>
          <w:szCs w:val="24"/>
        </w:rPr>
        <w:t xml:space="preserve"> ad autorizzazione pubblica (artt. 44 e ss. – già 87 e ss. – cod. </w:t>
      </w:r>
      <w:proofErr w:type="spellStart"/>
      <w:r w:rsidR="002920E6" w:rsidRPr="00051CAA">
        <w:rPr>
          <w:szCs w:val="24"/>
        </w:rPr>
        <w:t>com</w:t>
      </w:r>
      <w:proofErr w:type="spellEnd"/>
      <w:r w:rsidR="002920E6" w:rsidRPr="00051CAA">
        <w:rPr>
          <w:szCs w:val="24"/>
        </w:rPr>
        <w:t xml:space="preserve">. </w:t>
      </w:r>
      <w:proofErr w:type="spellStart"/>
      <w:r w:rsidR="002920E6" w:rsidRPr="00051CAA">
        <w:rPr>
          <w:szCs w:val="24"/>
        </w:rPr>
        <w:t>elettr</w:t>
      </w:r>
      <w:proofErr w:type="spellEnd"/>
      <w:r w:rsidR="002920E6" w:rsidRPr="00051CAA">
        <w:rPr>
          <w:szCs w:val="24"/>
        </w:rPr>
        <w:t>.)</w:t>
      </w:r>
      <w:r w:rsidR="000B489F" w:rsidRPr="00051CAA">
        <w:rPr>
          <w:szCs w:val="24"/>
        </w:rPr>
        <w:t xml:space="preserve">: trattasi di autorizzazioni cd. precauzionali, in quanto volte non a conformare economicamente il mercato, ma ad assicurare che le iniziative </w:t>
      </w:r>
      <w:r w:rsidR="00F92051" w:rsidRPr="00051CAA">
        <w:rPr>
          <w:szCs w:val="24"/>
        </w:rPr>
        <w:t>imprenditoriali</w:t>
      </w:r>
      <w:r w:rsidR="000B489F" w:rsidRPr="00051CAA">
        <w:rPr>
          <w:szCs w:val="24"/>
        </w:rPr>
        <w:t xml:space="preserve"> non compromettano altri interessi </w:t>
      </w:r>
      <w:r w:rsidR="00C13FEE" w:rsidRPr="00051CAA">
        <w:rPr>
          <w:szCs w:val="24"/>
        </w:rPr>
        <w:t>meritevoli di tutela</w:t>
      </w:r>
      <w:r w:rsidR="000B489F" w:rsidRPr="00051CAA">
        <w:rPr>
          <w:rStyle w:val="Rimandonotaapidipagina"/>
          <w:szCs w:val="24"/>
        </w:rPr>
        <w:footnoteReference w:id="11"/>
      </w:r>
      <w:r w:rsidR="002920E6" w:rsidRPr="00051CAA">
        <w:rPr>
          <w:szCs w:val="24"/>
        </w:rPr>
        <w:t xml:space="preserve">. </w:t>
      </w:r>
    </w:p>
    <w:p w14:paraId="6A348E58" w14:textId="64405274" w:rsidR="00C82173" w:rsidRPr="00051CAA" w:rsidRDefault="004825FD" w:rsidP="00AE3FE4">
      <w:pPr>
        <w:spacing w:line="276" w:lineRule="auto"/>
        <w:rPr>
          <w:szCs w:val="24"/>
        </w:rPr>
      </w:pPr>
      <w:r w:rsidRPr="00051CAA">
        <w:rPr>
          <w:szCs w:val="24"/>
        </w:rPr>
        <w:t>L</w:t>
      </w:r>
      <w:r w:rsidR="00625A43" w:rsidRPr="00051CAA">
        <w:rPr>
          <w:szCs w:val="24"/>
        </w:rPr>
        <w:t>'</w:t>
      </w:r>
      <w:r w:rsidRPr="00051CAA">
        <w:rPr>
          <w:szCs w:val="24"/>
        </w:rPr>
        <w:t>obiettivo di potenziamento della rete e di diffusione dei servizi di comunicazione necessita</w:t>
      </w:r>
      <w:r w:rsidR="00C13FEE" w:rsidRPr="00051CAA">
        <w:rPr>
          <w:szCs w:val="24"/>
        </w:rPr>
        <w:t xml:space="preserve">, </w:t>
      </w:r>
      <w:r w:rsidR="00DD65C8" w:rsidRPr="00051CAA">
        <w:rPr>
          <w:szCs w:val="24"/>
        </w:rPr>
        <w:t>al contempo</w:t>
      </w:r>
      <w:r w:rsidR="00C13FEE" w:rsidRPr="00051CAA">
        <w:rPr>
          <w:szCs w:val="24"/>
        </w:rPr>
        <w:t>, che le procedure amministrative propedeutiche all</w:t>
      </w:r>
      <w:r w:rsidR="00625A43" w:rsidRPr="00051CAA">
        <w:rPr>
          <w:szCs w:val="24"/>
        </w:rPr>
        <w:t>'</w:t>
      </w:r>
      <w:r w:rsidR="00C13FEE" w:rsidRPr="00051CAA">
        <w:rPr>
          <w:szCs w:val="24"/>
        </w:rPr>
        <w:t xml:space="preserve">installazione degli impianti siano il più possibile snelle. Pertanto, il settore delle comunicazioni elettroniche è campo elettivo di meccanismi di semplificazione amministrativa. </w:t>
      </w:r>
      <w:r w:rsidR="00C82173" w:rsidRPr="00051CAA">
        <w:rPr>
          <w:szCs w:val="24"/>
        </w:rPr>
        <w:t xml:space="preserve">La semplificazione opera su due versanti: </w:t>
      </w:r>
      <w:r w:rsidR="002F1BA8" w:rsidRPr="00051CAA">
        <w:rPr>
          <w:szCs w:val="24"/>
        </w:rPr>
        <w:t xml:space="preserve">da un lato, </w:t>
      </w:r>
      <w:r w:rsidR="00C82173" w:rsidRPr="00051CAA">
        <w:rPr>
          <w:szCs w:val="24"/>
        </w:rPr>
        <w:t>l</w:t>
      </w:r>
      <w:r w:rsidR="00625A43" w:rsidRPr="00051CAA">
        <w:rPr>
          <w:szCs w:val="24"/>
        </w:rPr>
        <w:t>'</w:t>
      </w:r>
      <w:r w:rsidR="00C82173" w:rsidRPr="00051CAA">
        <w:rPr>
          <w:szCs w:val="24"/>
        </w:rPr>
        <w:t xml:space="preserve">unificazione delle procedure, attraverso la concentrazione di tutti gli assensi amministrativi previsti dalla legge in un unico procedimento; </w:t>
      </w:r>
      <w:r w:rsidR="002F1BA8" w:rsidRPr="00051CAA">
        <w:rPr>
          <w:szCs w:val="24"/>
        </w:rPr>
        <w:t>dall</w:t>
      </w:r>
      <w:r w:rsidR="00625A43" w:rsidRPr="00051CAA">
        <w:rPr>
          <w:szCs w:val="24"/>
        </w:rPr>
        <w:t>'</w:t>
      </w:r>
      <w:r w:rsidR="002F1BA8" w:rsidRPr="00051CAA">
        <w:rPr>
          <w:szCs w:val="24"/>
        </w:rPr>
        <w:t>altro lato,</w:t>
      </w:r>
      <w:r w:rsidR="00C82173" w:rsidRPr="00051CAA">
        <w:rPr>
          <w:szCs w:val="24"/>
        </w:rPr>
        <w:t xml:space="preserve"> l</w:t>
      </w:r>
      <w:r w:rsidR="00625A43" w:rsidRPr="00051CAA">
        <w:rPr>
          <w:szCs w:val="24"/>
        </w:rPr>
        <w:t>'</w:t>
      </w:r>
      <w:r w:rsidR="00C82173" w:rsidRPr="00051CAA">
        <w:rPr>
          <w:szCs w:val="24"/>
        </w:rPr>
        <w:t>alleggerimento delle procedure stesse, attraverso l</w:t>
      </w:r>
      <w:r w:rsidR="00625A43" w:rsidRPr="00051CAA">
        <w:rPr>
          <w:szCs w:val="24"/>
        </w:rPr>
        <w:t>'</w:t>
      </w:r>
      <w:r w:rsidR="00C82173" w:rsidRPr="00051CAA">
        <w:rPr>
          <w:szCs w:val="24"/>
        </w:rPr>
        <w:t xml:space="preserve">introduzione di svariati meccanismi di silenzio assenso, nonché la soppressione dei controlli preventivi sulle </w:t>
      </w:r>
      <w:r w:rsidR="00DD65C8" w:rsidRPr="00051CAA">
        <w:rPr>
          <w:szCs w:val="24"/>
        </w:rPr>
        <w:t>opere</w:t>
      </w:r>
      <w:r w:rsidR="00C82173" w:rsidRPr="00051CAA">
        <w:rPr>
          <w:szCs w:val="24"/>
        </w:rPr>
        <w:t xml:space="preserve"> più modeste</w:t>
      </w:r>
      <w:r w:rsidR="002F1BA8" w:rsidRPr="00051CAA">
        <w:rPr>
          <w:szCs w:val="24"/>
        </w:rPr>
        <w:t xml:space="preserve">, con il passaggio </w:t>
      </w:r>
      <w:r w:rsidR="00C82173" w:rsidRPr="00051CAA">
        <w:rPr>
          <w:szCs w:val="24"/>
        </w:rPr>
        <w:t>dall</w:t>
      </w:r>
      <w:r w:rsidR="00625A43" w:rsidRPr="00051CAA">
        <w:rPr>
          <w:szCs w:val="24"/>
        </w:rPr>
        <w:t>'</w:t>
      </w:r>
      <w:r w:rsidR="00C82173" w:rsidRPr="00051CAA">
        <w:rPr>
          <w:szCs w:val="24"/>
        </w:rPr>
        <w:t>autorizzazione alla segnalazione certificata di inizio attività (SCIA)</w:t>
      </w:r>
      <w:r w:rsidR="002F1BA8" w:rsidRPr="00051CAA">
        <w:rPr>
          <w:szCs w:val="24"/>
        </w:rPr>
        <w:t xml:space="preserve"> o a mere comunicazioni</w:t>
      </w:r>
      <w:r w:rsidR="00C82173" w:rsidRPr="00051CAA">
        <w:rPr>
          <w:szCs w:val="24"/>
        </w:rPr>
        <w:t xml:space="preserve">. </w:t>
      </w:r>
    </w:p>
    <w:p w14:paraId="7D45C57E" w14:textId="77777777" w:rsidR="002025FB" w:rsidRPr="00051CAA" w:rsidRDefault="002025FB" w:rsidP="00AE3FE4">
      <w:pPr>
        <w:spacing w:line="276" w:lineRule="auto"/>
        <w:rPr>
          <w:szCs w:val="24"/>
        </w:rPr>
      </w:pPr>
    </w:p>
    <w:p w14:paraId="78B678D1" w14:textId="6D0A0362" w:rsidR="002025FB" w:rsidRPr="00051CAA" w:rsidRDefault="00154EF5" w:rsidP="00AE3FE4">
      <w:pPr>
        <w:pStyle w:val="Titolo2"/>
        <w:spacing w:line="276" w:lineRule="auto"/>
        <w:rPr>
          <w:szCs w:val="24"/>
        </w:rPr>
      </w:pPr>
      <w:bookmarkStart w:id="3" w:name="_Toc198998239"/>
      <w:r w:rsidRPr="00051CAA">
        <w:rPr>
          <w:szCs w:val="24"/>
        </w:rPr>
        <w:lastRenderedPageBreak/>
        <w:t>3.</w:t>
      </w:r>
      <w:r w:rsidRPr="00051CAA">
        <w:rPr>
          <w:szCs w:val="24"/>
        </w:rPr>
        <w:tab/>
      </w:r>
      <w:r w:rsidR="002025FB" w:rsidRPr="00051CAA">
        <w:rPr>
          <w:szCs w:val="24"/>
        </w:rPr>
        <w:t>L</w:t>
      </w:r>
      <w:r w:rsidR="00625A43" w:rsidRPr="00051CAA">
        <w:rPr>
          <w:szCs w:val="24"/>
        </w:rPr>
        <w:t>'</w:t>
      </w:r>
      <w:r w:rsidR="002025FB" w:rsidRPr="00051CAA">
        <w:rPr>
          <w:szCs w:val="24"/>
        </w:rPr>
        <w:t xml:space="preserve">installazione delle infrastrutture di reti pubbliche di comunicazione. </w:t>
      </w:r>
      <w:r w:rsidR="001E17E4" w:rsidRPr="00051CAA">
        <w:rPr>
          <w:szCs w:val="24"/>
        </w:rPr>
        <w:t>Le forme di semplificazione amministrativa.</w:t>
      </w:r>
      <w:bookmarkEnd w:id="3"/>
    </w:p>
    <w:p w14:paraId="0B45E87C" w14:textId="107C2B3C" w:rsidR="00944A7E" w:rsidRPr="00051CAA" w:rsidRDefault="006A1C05" w:rsidP="00AE3FE4">
      <w:pPr>
        <w:spacing w:line="276" w:lineRule="auto"/>
        <w:rPr>
          <w:szCs w:val="24"/>
        </w:rPr>
      </w:pPr>
      <w:r w:rsidRPr="00051CAA">
        <w:rPr>
          <w:szCs w:val="24"/>
        </w:rPr>
        <w:t>Ai sensi dell</w:t>
      </w:r>
      <w:r w:rsidR="00625A43" w:rsidRPr="00051CAA">
        <w:rPr>
          <w:szCs w:val="24"/>
        </w:rPr>
        <w:t>'</w:t>
      </w:r>
      <w:r w:rsidRPr="00051CAA">
        <w:rPr>
          <w:szCs w:val="24"/>
        </w:rPr>
        <w:t xml:space="preserve">art. 44 cod. </w:t>
      </w:r>
      <w:proofErr w:type="spellStart"/>
      <w:r w:rsidRPr="00051CAA">
        <w:rPr>
          <w:szCs w:val="24"/>
        </w:rPr>
        <w:t>com</w:t>
      </w:r>
      <w:proofErr w:type="spellEnd"/>
      <w:r w:rsidRPr="00051CAA">
        <w:rPr>
          <w:szCs w:val="24"/>
        </w:rPr>
        <w:t xml:space="preserve">. </w:t>
      </w:r>
      <w:proofErr w:type="spellStart"/>
      <w:r w:rsidRPr="00051CAA">
        <w:rPr>
          <w:szCs w:val="24"/>
        </w:rPr>
        <w:t>elettr</w:t>
      </w:r>
      <w:proofErr w:type="spellEnd"/>
      <w:r w:rsidRPr="00051CAA">
        <w:rPr>
          <w:szCs w:val="24"/>
        </w:rPr>
        <w:t>. (già art. 87), l</w:t>
      </w:r>
      <w:r w:rsidR="00625A43" w:rsidRPr="00051CAA">
        <w:rPr>
          <w:szCs w:val="24"/>
        </w:rPr>
        <w:t>'</w:t>
      </w:r>
      <w:r w:rsidRPr="00051CAA">
        <w:rPr>
          <w:szCs w:val="24"/>
        </w:rPr>
        <w:t xml:space="preserve">installazione di infrastrutture (torri, tralicci, ripetitori, stazioni radio base) per impianti radioelettrici e la modifica delle caratteristiche di emissione di questi ultimi </w:t>
      </w:r>
      <w:r w:rsidR="00944A7E" w:rsidRPr="00051CAA">
        <w:rPr>
          <w:szCs w:val="24"/>
        </w:rPr>
        <w:t>è soggetta ad autorizzazione del comune in cui l</w:t>
      </w:r>
      <w:r w:rsidR="00625A43" w:rsidRPr="00051CAA">
        <w:rPr>
          <w:szCs w:val="24"/>
        </w:rPr>
        <w:t>'</w:t>
      </w:r>
      <w:r w:rsidR="00944A7E" w:rsidRPr="00051CAA">
        <w:rPr>
          <w:szCs w:val="24"/>
        </w:rPr>
        <w:t xml:space="preserve">infrastruttura deve essere collocata. </w:t>
      </w:r>
    </w:p>
    <w:p w14:paraId="13F48895" w14:textId="49D58847" w:rsidR="00944A7E" w:rsidRPr="00051CAA" w:rsidRDefault="008F48E3" w:rsidP="00AE3FE4">
      <w:pPr>
        <w:spacing w:line="276" w:lineRule="auto"/>
        <w:rPr>
          <w:szCs w:val="24"/>
        </w:rPr>
      </w:pPr>
      <w:r w:rsidRPr="00051CAA">
        <w:rPr>
          <w:szCs w:val="24"/>
        </w:rPr>
        <w:t>Occorre, al contempo, l</w:t>
      </w:r>
      <w:r w:rsidR="00625A43" w:rsidRPr="00051CAA">
        <w:rPr>
          <w:szCs w:val="24"/>
        </w:rPr>
        <w:t>'</w:t>
      </w:r>
      <w:r w:rsidRPr="00051CAA">
        <w:rPr>
          <w:szCs w:val="24"/>
        </w:rPr>
        <w:t xml:space="preserve">accertamento della compatibilità del progetto con i limiti di esposizione, i valori di attenzione e gli obiettivi di qualità fissati </w:t>
      </w:r>
      <w:r w:rsidR="0044710E" w:rsidRPr="00051CAA">
        <w:rPr>
          <w:szCs w:val="24"/>
        </w:rPr>
        <w:t>in relazione al rischio di inquinamento</w:t>
      </w:r>
      <w:r w:rsidRPr="00051CAA">
        <w:rPr>
          <w:szCs w:val="24"/>
        </w:rPr>
        <w:t xml:space="preserve"> elettromagnet</w:t>
      </w:r>
      <w:r w:rsidR="003F4965" w:rsidRPr="00051CAA">
        <w:rPr>
          <w:szCs w:val="24"/>
        </w:rPr>
        <w:t>ico</w:t>
      </w:r>
      <w:r w:rsidRPr="00051CAA">
        <w:rPr>
          <w:szCs w:val="24"/>
        </w:rPr>
        <w:t xml:space="preserve">. In tale accertamento si rinviene un primo </w:t>
      </w:r>
      <w:r w:rsidR="002D329E" w:rsidRPr="00051CAA">
        <w:rPr>
          <w:szCs w:val="24"/>
        </w:rPr>
        <w:t xml:space="preserve">bilanciamento tra </w:t>
      </w:r>
      <w:r w:rsidRPr="00051CAA">
        <w:rPr>
          <w:szCs w:val="24"/>
        </w:rPr>
        <w:t>l</w:t>
      </w:r>
      <w:r w:rsidR="00625A43" w:rsidRPr="00051CAA">
        <w:rPr>
          <w:szCs w:val="24"/>
        </w:rPr>
        <w:t>'</w:t>
      </w:r>
      <w:r w:rsidRPr="00051CAA">
        <w:rPr>
          <w:szCs w:val="24"/>
        </w:rPr>
        <w:t>interesse alla diffusione della rete e l</w:t>
      </w:r>
      <w:r w:rsidR="00625A43" w:rsidRPr="00051CAA">
        <w:rPr>
          <w:szCs w:val="24"/>
        </w:rPr>
        <w:t>'</w:t>
      </w:r>
      <w:r w:rsidRPr="00051CAA">
        <w:rPr>
          <w:szCs w:val="24"/>
        </w:rPr>
        <w:t xml:space="preserve">interesse alla </w:t>
      </w:r>
      <w:r w:rsidR="002D329E" w:rsidRPr="00051CAA">
        <w:rPr>
          <w:szCs w:val="24"/>
        </w:rPr>
        <w:t xml:space="preserve">tutela della </w:t>
      </w:r>
      <w:r w:rsidRPr="00051CAA">
        <w:rPr>
          <w:szCs w:val="24"/>
        </w:rPr>
        <w:t>salute pubblica. I suddetti limiti, valori e obiettivi sono fissati a livello nazionale, in attuazione della l. 36/2001 (legge quadro sulla protezione dalle esposizioni a campi elettrici, magnetici ed elettromagnetici</w:t>
      </w:r>
      <w:r w:rsidR="000E27BE" w:rsidRPr="00051CAA">
        <w:rPr>
          <w:szCs w:val="24"/>
        </w:rPr>
        <w:t>) e l</w:t>
      </w:r>
      <w:r w:rsidR="00625A43" w:rsidRPr="00051CAA">
        <w:rPr>
          <w:szCs w:val="24"/>
        </w:rPr>
        <w:t>'</w:t>
      </w:r>
      <w:r w:rsidRPr="00051CAA">
        <w:rPr>
          <w:szCs w:val="24"/>
        </w:rPr>
        <w:t>accertamento del loro rispetto è affidato, dall</w:t>
      </w:r>
      <w:r w:rsidR="00625A43" w:rsidRPr="00051CAA">
        <w:rPr>
          <w:szCs w:val="24"/>
        </w:rPr>
        <w:t>'</w:t>
      </w:r>
      <w:r w:rsidRPr="00051CAA">
        <w:rPr>
          <w:szCs w:val="24"/>
        </w:rPr>
        <w:t xml:space="preserve">art. 14 l. 36/2001, ad organismi </w:t>
      </w:r>
      <w:r w:rsidRPr="00051CAA">
        <w:rPr>
          <w:i/>
          <w:szCs w:val="24"/>
        </w:rPr>
        <w:t>ad hoc</w:t>
      </w:r>
      <w:r w:rsidRPr="00051CAA">
        <w:rPr>
          <w:szCs w:val="24"/>
        </w:rPr>
        <w:t>, ossia le agenzie regionali per la protezi</w:t>
      </w:r>
      <w:r w:rsidR="000E27BE" w:rsidRPr="00051CAA">
        <w:rPr>
          <w:szCs w:val="24"/>
        </w:rPr>
        <w:t>one dell</w:t>
      </w:r>
      <w:r w:rsidR="00625A43" w:rsidRPr="00051CAA">
        <w:rPr>
          <w:szCs w:val="24"/>
        </w:rPr>
        <w:t>'</w:t>
      </w:r>
      <w:r w:rsidR="000E27BE" w:rsidRPr="00051CAA">
        <w:rPr>
          <w:szCs w:val="24"/>
        </w:rPr>
        <w:t xml:space="preserve">ambiente (ARPA): il legislatore, quindi, ha accentrato il controllo sul rispetto della salute pubblica, assicurando </w:t>
      </w:r>
      <w:r w:rsidR="00AA7890" w:rsidRPr="00051CAA">
        <w:rPr>
          <w:szCs w:val="24"/>
        </w:rPr>
        <w:t>così</w:t>
      </w:r>
      <w:r w:rsidR="000E27BE" w:rsidRPr="00051CAA">
        <w:rPr>
          <w:szCs w:val="24"/>
        </w:rPr>
        <w:t xml:space="preserve"> un livello di salvaguardia uniforme a livello nazionale, onde evitare evidenti disparità di trattamento tra i cittadini residenti in differenti località del Paese. </w:t>
      </w:r>
    </w:p>
    <w:p w14:paraId="27288410" w14:textId="2627A030" w:rsidR="00AA7890" w:rsidRPr="00051CAA" w:rsidRDefault="00AA7890" w:rsidP="00AE3FE4">
      <w:pPr>
        <w:spacing w:line="276" w:lineRule="auto"/>
        <w:rPr>
          <w:szCs w:val="24"/>
        </w:rPr>
      </w:pPr>
      <w:r w:rsidRPr="00051CAA">
        <w:rPr>
          <w:szCs w:val="24"/>
        </w:rPr>
        <w:t>L</w:t>
      </w:r>
      <w:r w:rsidR="00625A43" w:rsidRPr="00051CAA">
        <w:rPr>
          <w:szCs w:val="24"/>
        </w:rPr>
        <w:t>'</w:t>
      </w:r>
      <w:r w:rsidRPr="00051CAA">
        <w:rPr>
          <w:szCs w:val="24"/>
        </w:rPr>
        <w:t>istanza autorizzativa deve essere conforme al modello legale e corredata della documentazione atta a comprovare il rispetto dei suddetti limiti</w:t>
      </w:r>
      <w:r w:rsidR="00621D0C" w:rsidRPr="00051CAA">
        <w:rPr>
          <w:szCs w:val="24"/>
        </w:rPr>
        <w:t>, valori e obiettivi</w:t>
      </w:r>
      <w:r w:rsidRPr="00051CAA">
        <w:rPr>
          <w:szCs w:val="24"/>
        </w:rPr>
        <w:t>. L</w:t>
      </w:r>
      <w:r w:rsidR="00625A43" w:rsidRPr="00051CAA">
        <w:rPr>
          <w:szCs w:val="24"/>
        </w:rPr>
        <w:t>'</w:t>
      </w:r>
      <w:r w:rsidRPr="00051CAA">
        <w:rPr>
          <w:szCs w:val="24"/>
        </w:rPr>
        <w:t xml:space="preserve">istanza e la documentazione </w:t>
      </w:r>
      <w:r w:rsidR="0044710E" w:rsidRPr="00051CAA">
        <w:rPr>
          <w:szCs w:val="24"/>
        </w:rPr>
        <w:t>vengono</w:t>
      </w:r>
      <w:r w:rsidRPr="00051CAA">
        <w:rPr>
          <w:szCs w:val="24"/>
        </w:rPr>
        <w:t xml:space="preserve"> inoltrate all</w:t>
      </w:r>
      <w:r w:rsidR="00625A43" w:rsidRPr="00051CAA">
        <w:rPr>
          <w:szCs w:val="24"/>
        </w:rPr>
        <w:t>'</w:t>
      </w:r>
      <w:r w:rsidRPr="00051CAA">
        <w:rPr>
          <w:szCs w:val="24"/>
        </w:rPr>
        <w:t>ARPA, che si deve pronunciare entro trenta giorni dalla ricezione del compendio documentale. Peraltro, in linea con l</w:t>
      </w:r>
      <w:r w:rsidR="00625A43" w:rsidRPr="00051CAA">
        <w:rPr>
          <w:szCs w:val="24"/>
        </w:rPr>
        <w:t>'</w:t>
      </w:r>
      <w:r w:rsidRPr="00051CAA">
        <w:rPr>
          <w:szCs w:val="24"/>
        </w:rPr>
        <w:t xml:space="preserve">obiettivo di </w:t>
      </w:r>
      <w:r w:rsidR="00D914B4" w:rsidRPr="00051CAA">
        <w:rPr>
          <w:szCs w:val="24"/>
        </w:rPr>
        <w:t>accelerazione</w:t>
      </w:r>
      <w:r w:rsidRPr="00051CAA">
        <w:rPr>
          <w:szCs w:val="24"/>
        </w:rPr>
        <w:t xml:space="preserve"> che caratterizza il settore, la giurisprudenza ha </w:t>
      </w:r>
      <w:r w:rsidR="00621D0C" w:rsidRPr="00051CAA">
        <w:rPr>
          <w:szCs w:val="24"/>
        </w:rPr>
        <w:t xml:space="preserve">precisato </w:t>
      </w:r>
      <w:r w:rsidRPr="00051CAA">
        <w:rPr>
          <w:szCs w:val="24"/>
        </w:rPr>
        <w:t>che l</w:t>
      </w:r>
      <w:r w:rsidR="00625A43" w:rsidRPr="00051CAA">
        <w:rPr>
          <w:szCs w:val="24"/>
        </w:rPr>
        <w:t>'</w:t>
      </w:r>
      <w:r w:rsidRPr="00051CAA">
        <w:rPr>
          <w:szCs w:val="24"/>
        </w:rPr>
        <w:t>accertamento dell</w:t>
      </w:r>
      <w:r w:rsidR="00625A43" w:rsidRPr="00051CAA">
        <w:rPr>
          <w:szCs w:val="24"/>
        </w:rPr>
        <w:t>'</w:t>
      </w:r>
      <w:r w:rsidRPr="00051CAA">
        <w:rPr>
          <w:szCs w:val="24"/>
        </w:rPr>
        <w:t>ARPA sul rispetto dei limiti di esposizione, dei valori di attenzione e degli obiettivi di qualità non è un presupposto per il rilascio del titolo autorizzativo, ma una condizione per il funzionamento dell</w:t>
      </w:r>
      <w:r w:rsidR="00625A43" w:rsidRPr="00051CAA">
        <w:rPr>
          <w:szCs w:val="24"/>
        </w:rPr>
        <w:t>'</w:t>
      </w:r>
      <w:r w:rsidRPr="00051CAA">
        <w:rPr>
          <w:szCs w:val="24"/>
        </w:rPr>
        <w:t>impianto, perciò può pervenire anche successivamente all</w:t>
      </w:r>
      <w:r w:rsidR="00625A43" w:rsidRPr="00051CAA">
        <w:rPr>
          <w:szCs w:val="24"/>
        </w:rPr>
        <w:t>'</w:t>
      </w:r>
      <w:r w:rsidRPr="00051CAA">
        <w:rPr>
          <w:szCs w:val="24"/>
        </w:rPr>
        <w:t xml:space="preserve">autorizzazione e, comunque, non ostacola la formazione </w:t>
      </w:r>
      <w:r w:rsidR="00621D0C" w:rsidRPr="00051CAA">
        <w:rPr>
          <w:szCs w:val="24"/>
        </w:rPr>
        <w:t>del titolo abilitativo secondo il meccanismo del silenzio assenso, di cui si dirà a breve</w:t>
      </w:r>
      <w:r w:rsidRPr="00051CAA">
        <w:rPr>
          <w:szCs w:val="24"/>
        </w:rPr>
        <w:t xml:space="preserve"> (cfr. Cons. Stato, Sez. VI, 6 settembre 2010, n. 6473; Id., 3 settembre 2018, n. 5168). </w:t>
      </w:r>
    </w:p>
    <w:p w14:paraId="585F1BAC" w14:textId="7A053986" w:rsidR="00AA7890" w:rsidRPr="00051CAA" w:rsidRDefault="00AA7890" w:rsidP="00AE3FE4">
      <w:pPr>
        <w:autoSpaceDE w:val="0"/>
        <w:autoSpaceDN w:val="0"/>
        <w:adjustRightInd w:val="0"/>
        <w:spacing w:line="276" w:lineRule="auto"/>
        <w:rPr>
          <w:szCs w:val="24"/>
        </w:rPr>
      </w:pPr>
      <w:r w:rsidRPr="00051CAA">
        <w:rPr>
          <w:szCs w:val="24"/>
        </w:rPr>
        <w:t>Il responsabile del procedimento può richiedere, per una sola volta ed entro quindici giorni dalla ricezione dell</w:t>
      </w:r>
      <w:r w:rsidR="00625A43" w:rsidRPr="00051CAA">
        <w:rPr>
          <w:szCs w:val="24"/>
        </w:rPr>
        <w:t>'</w:t>
      </w:r>
      <w:r w:rsidRPr="00051CAA">
        <w:rPr>
          <w:szCs w:val="24"/>
        </w:rPr>
        <w:t>istanza, il rilascio di dichiarazioni e l</w:t>
      </w:r>
      <w:r w:rsidR="00625A43" w:rsidRPr="00051CAA">
        <w:rPr>
          <w:szCs w:val="24"/>
        </w:rPr>
        <w:t>'</w:t>
      </w:r>
      <w:r w:rsidRPr="00051CAA">
        <w:rPr>
          <w:szCs w:val="24"/>
        </w:rPr>
        <w:t>integrazione della documentazione prodotta</w:t>
      </w:r>
      <w:r w:rsidR="0044710E" w:rsidRPr="00051CAA">
        <w:rPr>
          <w:szCs w:val="24"/>
        </w:rPr>
        <w:t>, nel qual caso</w:t>
      </w:r>
      <w:r w:rsidR="00D914B4" w:rsidRPr="00051CAA">
        <w:rPr>
          <w:szCs w:val="24"/>
        </w:rPr>
        <w:t xml:space="preserve"> il termine di conclusione del procedimento </w:t>
      </w:r>
      <w:r w:rsidR="004D2C38" w:rsidRPr="00051CAA">
        <w:rPr>
          <w:szCs w:val="24"/>
        </w:rPr>
        <w:t>riprend</w:t>
      </w:r>
      <w:r w:rsidR="0044710E" w:rsidRPr="00051CAA">
        <w:rPr>
          <w:szCs w:val="24"/>
        </w:rPr>
        <w:t>e</w:t>
      </w:r>
      <w:r w:rsidR="00D914B4" w:rsidRPr="00051CAA">
        <w:rPr>
          <w:szCs w:val="24"/>
        </w:rPr>
        <w:t xml:space="preserve"> a decorrere dalla ricezione dell</w:t>
      </w:r>
      <w:r w:rsidR="00625A43" w:rsidRPr="00051CAA">
        <w:rPr>
          <w:szCs w:val="24"/>
        </w:rPr>
        <w:t>'</w:t>
      </w:r>
      <w:r w:rsidR="00D914B4" w:rsidRPr="00051CAA">
        <w:rPr>
          <w:szCs w:val="24"/>
        </w:rPr>
        <w:t>integrazione</w:t>
      </w:r>
      <w:r w:rsidRPr="00051CAA">
        <w:rPr>
          <w:szCs w:val="24"/>
        </w:rPr>
        <w:t xml:space="preserve"> (art. 44, co. 6, cod. </w:t>
      </w:r>
      <w:proofErr w:type="spellStart"/>
      <w:r w:rsidRPr="00051CAA">
        <w:rPr>
          <w:szCs w:val="24"/>
        </w:rPr>
        <w:t>com</w:t>
      </w:r>
      <w:proofErr w:type="spellEnd"/>
      <w:r w:rsidRPr="00051CAA">
        <w:rPr>
          <w:szCs w:val="24"/>
        </w:rPr>
        <w:t xml:space="preserve">. </w:t>
      </w:r>
      <w:proofErr w:type="spellStart"/>
      <w:r w:rsidRPr="00051CAA">
        <w:rPr>
          <w:szCs w:val="24"/>
        </w:rPr>
        <w:t>elettr</w:t>
      </w:r>
      <w:proofErr w:type="spellEnd"/>
      <w:r w:rsidRPr="00051CAA">
        <w:rPr>
          <w:szCs w:val="24"/>
        </w:rPr>
        <w:t>.). Tuttavia, sempre nel solco dell</w:t>
      </w:r>
      <w:r w:rsidR="00625A43" w:rsidRPr="00051CAA">
        <w:rPr>
          <w:szCs w:val="24"/>
        </w:rPr>
        <w:t>'</w:t>
      </w:r>
      <w:r w:rsidRPr="00051CAA">
        <w:rPr>
          <w:szCs w:val="24"/>
        </w:rPr>
        <w:t>alleggerimento procedimentale, la giurisprudenza ha chiarito che l</w:t>
      </w:r>
      <w:r w:rsidR="00625A43" w:rsidRPr="00051CAA">
        <w:rPr>
          <w:szCs w:val="24"/>
        </w:rPr>
        <w:t>'</w:t>
      </w:r>
      <w:r w:rsidRPr="00051CAA">
        <w:rPr>
          <w:szCs w:val="24"/>
        </w:rPr>
        <w:t xml:space="preserve">amministrazione non può esigere la presentazione di documenti diversi da quelli indicati dalla legge, attese le finalità acceleratorie e semplificatorie </w:t>
      </w:r>
      <w:r w:rsidR="00621D0C" w:rsidRPr="00051CAA">
        <w:rPr>
          <w:szCs w:val="24"/>
        </w:rPr>
        <w:t>della normativa</w:t>
      </w:r>
      <w:r w:rsidRPr="00051CAA">
        <w:rPr>
          <w:szCs w:val="24"/>
        </w:rPr>
        <w:t xml:space="preserve"> (cfr. Cons. Stato, Sez. </w:t>
      </w:r>
      <w:r w:rsidR="003F5B06" w:rsidRPr="00051CAA">
        <w:rPr>
          <w:szCs w:val="24"/>
        </w:rPr>
        <w:t>VI,</w:t>
      </w:r>
      <w:r w:rsidRPr="00051CAA">
        <w:rPr>
          <w:szCs w:val="24"/>
        </w:rPr>
        <w:t xml:space="preserve"> </w:t>
      </w:r>
      <w:r w:rsidR="003F5B06" w:rsidRPr="00051CAA">
        <w:rPr>
          <w:szCs w:val="24"/>
        </w:rPr>
        <w:t xml:space="preserve">2 ottobre 2024, n. 15; Id., </w:t>
      </w:r>
      <w:r w:rsidRPr="00051CAA">
        <w:rPr>
          <w:szCs w:val="24"/>
        </w:rPr>
        <w:t>23 ottobre 2024</w:t>
      </w:r>
      <w:r w:rsidR="003F5B06" w:rsidRPr="00051CAA">
        <w:rPr>
          <w:szCs w:val="24"/>
        </w:rPr>
        <w:t>, n. 8500</w:t>
      </w:r>
      <w:r w:rsidRPr="00051CAA">
        <w:rPr>
          <w:szCs w:val="24"/>
        </w:rPr>
        <w:t>).</w:t>
      </w:r>
    </w:p>
    <w:p w14:paraId="53B588B9" w14:textId="2727A376" w:rsidR="002F1BA8" w:rsidRPr="00051CAA" w:rsidRDefault="00AA7890" w:rsidP="00AE3FE4">
      <w:pPr>
        <w:autoSpaceDE w:val="0"/>
        <w:autoSpaceDN w:val="0"/>
        <w:adjustRightInd w:val="0"/>
        <w:spacing w:line="276" w:lineRule="auto"/>
        <w:rPr>
          <w:szCs w:val="24"/>
        </w:rPr>
      </w:pPr>
      <w:r w:rsidRPr="00051CAA">
        <w:rPr>
          <w:szCs w:val="24"/>
        </w:rPr>
        <w:t>Quando l</w:t>
      </w:r>
      <w:r w:rsidR="00625A43" w:rsidRPr="00051CAA">
        <w:rPr>
          <w:szCs w:val="24"/>
        </w:rPr>
        <w:t>'</w:t>
      </w:r>
      <w:r w:rsidRPr="00051CAA">
        <w:rPr>
          <w:szCs w:val="24"/>
        </w:rPr>
        <w:t>autorizzazione è subordinata all</w:t>
      </w:r>
      <w:r w:rsidR="00625A43" w:rsidRPr="00051CAA">
        <w:rPr>
          <w:szCs w:val="24"/>
        </w:rPr>
        <w:t>'</w:t>
      </w:r>
      <w:r w:rsidRPr="00051CAA">
        <w:rPr>
          <w:szCs w:val="24"/>
        </w:rPr>
        <w:t>acquisizione di atti di assenso di più amministrazioni, il comune deve convocare una conferenza di servizi, la cui eventuale determinazione positiva sostituisce tutti i provvedimenti necessari per l</w:t>
      </w:r>
      <w:r w:rsidR="00625A43" w:rsidRPr="00051CAA">
        <w:rPr>
          <w:szCs w:val="24"/>
        </w:rPr>
        <w:t>'</w:t>
      </w:r>
      <w:r w:rsidRPr="00051CAA">
        <w:rPr>
          <w:szCs w:val="24"/>
        </w:rPr>
        <w:t>installazione delle infrastrutture e vale, altresì, come dichiarazione di pubblica utilità, indifferibilità ed urgenza dei lavor</w:t>
      </w:r>
      <w:r w:rsidR="00D914B4" w:rsidRPr="00051CAA">
        <w:rPr>
          <w:szCs w:val="24"/>
        </w:rPr>
        <w:t>i. La conferenza di servizi è soggetta alla disciplina di cui agli artt. 14 e ss. l. 241/1990, ma i relativi termini – salvo quello di cui all</w:t>
      </w:r>
      <w:r w:rsidR="00625A43" w:rsidRPr="00051CAA">
        <w:rPr>
          <w:szCs w:val="24"/>
        </w:rPr>
        <w:t>'</w:t>
      </w:r>
      <w:r w:rsidR="00D914B4" w:rsidRPr="00051CAA">
        <w:rPr>
          <w:szCs w:val="24"/>
        </w:rPr>
        <w:t>art. 14-</w:t>
      </w:r>
      <w:r w:rsidR="00D914B4" w:rsidRPr="00051CAA">
        <w:rPr>
          <w:i/>
          <w:szCs w:val="24"/>
        </w:rPr>
        <w:t xml:space="preserve">quinquies </w:t>
      </w:r>
      <w:r w:rsidR="00D914B4" w:rsidRPr="00051CAA">
        <w:rPr>
          <w:szCs w:val="24"/>
        </w:rPr>
        <w:t>– sono dimezzati.</w:t>
      </w:r>
      <w:r w:rsidR="00621D0C" w:rsidRPr="00051CAA">
        <w:rPr>
          <w:szCs w:val="24"/>
        </w:rPr>
        <w:t xml:space="preserve"> </w:t>
      </w:r>
    </w:p>
    <w:p w14:paraId="764B08FB" w14:textId="25D766F9" w:rsidR="009F0AE7" w:rsidRPr="00051CAA" w:rsidRDefault="00D914B4" w:rsidP="00AE3FE4">
      <w:pPr>
        <w:autoSpaceDE w:val="0"/>
        <w:autoSpaceDN w:val="0"/>
        <w:adjustRightInd w:val="0"/>
        <w:spacing w:line="276" w:lineRule="auto"/>
        <w:rPr>
          <w:szCs w:val="24"/>
        </w:rPr>
      </w:pPr>
      <w:r w:rsidRPr="00051CAA">
        <w:rPr>
          <w:szCs w:val="24"/>
        </w:rPr>
        <w:t>Attraverso l</w:t>
      </w:r>
      <w:r w:rsidR="00625A43" w:rsidRPr="00051CAA">
        <w:rPr>
          <w:szCs w:val="24"/>
        </w:rPr>
        <w:t>'</w:t>
      </w:r>
      <w:r w:rsidRPr="00051CAA">
        <w:rPr>
          <w:szCs w:val="24"/>
        </w:rPr>
        <w:t>istituto della conferenza di servizi che viene attuata una prima forma di semplificazione, per unificazione delle procedure</w:t>
      </w:r>
      <w:r w:rsidR="00EC4A8E" w:rsidRPr="00051CAA">
        <w:rPr>
          <w:rStyle w:val="Rimandonotaapidipagina"/>
          <w:szCs w:val="24"/>
        </w:rPr>
        <w:footnoteReference w:id="12"/>
      </w:r>
      <w:r w:rsidRPr="00051CAA">
        <w:rPr>
          <w:szCs w:val="24"/>
        </w:rPr>
        <w:t xml:space="preserve">. </w:t>
      </w:r>
      <w:r w:rsidR="009F0AE7" w:rsidRPr="00051CAA">
        <w:rPr>
          <w:szCs w:val="24"/>
        </w:rPr>
        <w:t>Per l</w:t>
      </w:r>
      <w:r w:rsidR="00625A43" w:rsidRPr="00051CAA">
        <w:rPr>
          <w:szCs w:val="24"/>
        </w:rPr>
        <w:t>'</w:t>
      </w:r>
      <w:r w:rsidR="009F0AE7" w:rsidRPr="00051CAA">
        <w:rPr>
          <w:szCs w:val="24"/>
        </w:rPr>
        <w:t>installazione di infrastrutture di reti pubbliche di comunicazione è, infatti, previsto un procedi</w:t>
      </w:r>
      <w:r w:rsidR="006C0BE3" w:rsidRPr="00051CAA">
        <w:rPr>
          <w:szCs w:val="24"/>
        </w:rPr>
        <w:t xml:space="preserve">mento autorizzatorio unico, nel quale devono confluire tutte le valutazioni richieste dalla legge, ivi incluse quelle edilizie </w:t>
      </w:r>
      <w:r w:rsidR="009F0AE7" w:rsidRPr="00051CAA">
        <w:rPr>
          <w:szCs w:val="24"/>
        </w:rPr>
        <w:t>(Cons. Stato, Sez. VI, 15 luglio 2010, n. 4557; Id., 26 marzo 2018, n. 1887</w:t>
      </w:r>
      <w:r w:rsidR="006C0BE3" w:rsidRPr="00051CAA">
        <w:rPr>
          <w:szCs w:val="24"/>
        </w:rPr>
        <w:t>; Id., 9 giugno 2021, n. 3019</w:t>
      </w:r>
      <w:r w:rsidR="009F0AE7" w:rsidRPr="00051CAA">
        <w:rPr>
          <w:szCs w:val="24"/>
        </w:rPr>
        <w:t>). Ai fini della realizzazione dell</w:t>
      </w:r>
      <w:r w:rsidR="00625A43" w:rsidRPr="00051CAA">
        <w:rPr>
          <w:szCs w:val="24"/>
        </w:rPr>
        <w:t>'</w:t>
      </w:r>
      <w:r w:rsidR="009F0AE7" w:rsidRPr="00051CAA">
        <w:rPr>
          <w:szCs w:val="24"/>
        </w:rPr>
        <w:t xml:space="preserve">opera non è, perciò, necessario </w:t>
      </w:r>
      <w:r w:rsidR="009F0AE7" w:rsidRPr="00051CAA">
        <w:rPr>
          <w:szCs w:val="24"/>
        </w:rPr>
        <w:lastRenderedPageBreak/>
        <w:t>conseguire anche il permesso di costruire</w:t>
      </w:r>
      <w:r w:rsidR="00EC4A8E" w:rsidRPr="00051CAA">
        <w:rPr>
          <w:rStyle w:val="Rimandonotaapidipagina"/>
          <w:szCs w:val="24"/>
        </w:rPr>
        <w:footnoteReference w:id="13"/>
      </w:r>
      <w:r w:rsidR="009F0AE7" w:rsidRPr="00051CAA">
        <w:rPr>
          <w:szCs w:val="24"/>
        </w:rPr>
        <w:t>.</w:t>
      </w:r>
      <w:r w:rsidR="0044710E" w:rsidRPr="00051CAA">
        <w:rPr>
          <w:szCs w:val="24"/>
        </w:rPr>
        <w:t xml:space="preserve"> La conclusione, a cui la giurisprudenza era pervenuta da tempo, è ora enunciata espressamente all'art. 43, co. 4, cod. </w:t>
      </w:r>
      <w:proofErr w:type="spellStart"/>
      <w:r w:rsidR="0044710E" w:rsidRPr="00051CAA">
        <w:rPr>
          <w:szCs w:val="24"/>
        </w:rPr>
        <w:t>com</w:t>
      </w:r>
      <w:proofErr w:type="spellEnd"/>
      <w:r w:rsidR="0044710E" w:rsidRPr="00051CAA">
        <w:rPr>
          <w:szCs w:val="24"/>
        </w:rPr>
        <w:t xml:space="preserve">. </w:t>
      </w:r>
      <w:proofErr w:type="spellStart"/>
      <w:r w:rsidR="0044710E" w:rsidRPr="00051CAA">
        <w:rPr>
          <w:szCs w:val="24"/>
        </w:rPr>
        <w:t>elettr</w:t>
      </w:r>
      <w:proofErr w:type="spellEnd"/>
      <w:r w:rsidR="0044710E" w:rsidRPr="00051CAA">
        <w:rPr>
          <w:szCs w:val="24"/>
        </w:rPr>
        <w:t>., come modificato dal d.lgs. 48/2024: «</w:t>
      </w:r>
      <w:r w:rsidR="0044710E" w:rsidRPr="00051CAA">
        <w:rPr>
          <w:i/>
          <w:szCs w:val="24"/>
        </w:rPr>
        <w:t>L'autorizzazione all'installazione delle reti pubbliche di comunicazione elettronica comprende la valutazione di compatibilità delle relative opere infrastrutturali con la disciplina urbanistica ed edilizia e costituisce titolo unico per la loro installazione</w:t>
      </w:r>
      <w:r w:rsidR="0044710E" w:rsidRPr="00051CAA">
        <w:rPr>
          <w:szCs w:val="24"/>
        </w:rPr>
        <w:t>».</w:t>
      </w:r>
    </w:p>
    <w:p w14:paraId="1A1BC88D" w14:textId="452CD1FD" w:rsidR="00D914B4" w:rsidRPr="00051CAA" w:rsidRDefault="00D914B4" w:rsidP="00AE3FE4">
      <w:pPr>
        <w:autoSpaceDE w:val="0"/>
        <w:autoSpaceDN w:val="0"/>
        <w:adjustRightInd w:val="0"/>
        <w:spacing w:line="276" w:lineRule="auto"/>
        <w:rPr>
          <w:szCs w:val="24"/>
        </w:rPr>
      </w:pPr>
      <w:r w:rsidRPr="00051CAA">
        <w:rPr>
          <w:szCs w:val="24"/>
        </w:rPr>
        <w:t>Una seconda forma di semplificazione è costituita dal meccanismo del silenzio assenso. L</w:t>
      </w:r>
      <w:r w:rsidR="00625A43" w:rsidRPr="00051CAA">
        <w:rPr>
          <w:szCs w:val="24"/>
        </w:rPr>
        <w:t>'</w:t>
      </w:r>
      <w:r w:rsidRPr="00051CAA">
        <w:rPr>
          <w:szCs w:val="24"/>
        </w:rPr>
        <w:t>art. 44 (come già l</w:t>
      </w:r>
      <w:r w:rsidR="00625A43" w:rsidRPr="00051CAA">
        <w:rPr>
          <w:szCs w:val="24"/>
        </w:rPr>
        <w:t>'</w:t>
      </w:r>
      <w:r w:rsidRPr="00051CAA">
        <w:rPr>
          <w:szCs w:val="24"/>
        </w:rPr>
        <w:t xml:space="preserve">art. 87) cod. </w:t>
      </w:r>
      <w:proofErr w:type="spellStart"/>
      <w:r w:rsidRPr="00051CAA">
        <w:rPr>
          <w:szCs w:val="24"/>
        </w:rPr>
        <w:t>com</w:t>
      </w:r>
      <w:proofErr w:type="spellEnd"/>
      <w:r w:rsidRPr="00051CAA">
        <w:rPr>
          <w:szCs w:val="24"/>
        </w:rPr>
        <w:t xml:space="preserve">. </w:t>
      </w:r>
      <w:proofErr w:type="spellStart"/>
      <w:r w:rsidRPr="00051CAA">
        <w:rPr>
          <w:szCs w:val="24"/>
        </w:rPr>
        <w:t>elettr</w:t>
      </w:r>
      <w:proofErr w:type="spellEnd"/>
      <w:r w:rsidRPr="00051CAA">
        <w:rPr>
          <w:szCs w:val="24"/>
        </w:rPr>
        <w:t xml:space="preserve">. prevede, </w:t>
      </w:r>
      <w:r w:rsidR="00A22742">
        <w:rPr>
          <w:szCs w:val="24"/>
        </w:rPr>
        <w:t>ai commi 6-</w:t>
      </w:r>
      <w:r w:rsidR="00A22742">
        <w:rPr>
          <w:i/>
          <w:szCs w:val="24"/>
        </w:rPr>
        <w:t>bis</w:t>
      </w:r>
      <w:r w:rsidR="00A22742">
        <w:rPr>
          <w:szCs w:val="24"/>
        </w:rPr>
        <w:t xml:space="preserve"> e</w:t>
      </w:r>
      <w:r w:rsidRPr="00051CAA">
        <w:rPr>
          <w:szCs w:val="24"/>
        </w:rPr>
        <w:t xml:space="preserve"> 10, che le istanze di autorizzazione si intendono accolte qualora, entro il termine perentorio di sessanta giorni</w:t>
      </w:r>
      <w:r w:rsidRPr="00051CAA">
        <w:rPr>
          <w:rStyle w:val="Rimandonotaapidipagina"/>
          <w:szCs w:val="24"/>
        </w:rPr>
        <w:footnoteReference w:id="14"/>
      </w:r>
      <w:r w:rsidRPr="00051CAA">
        <w:rPr>
          <w:szCs w:val="24"/>
        </w:rPr>
        <w:t xml:space="preserve"> dalla presentazione del progetto e della relativa domanda, non</w:t>
      </w:r>
      <w:r w:rsidR="002F1BA8" w:rsidRPr="00051CAA">
        <w:rPr>
          <w:szCs w:val="24"/>
        </w:rPr>
        <w:t xml:space="preserve"> sia stata data comunicazione del provvedimento comunale, di</w:t>
      </w:r>
      <w:r w:rsidRPr="00051CAA">
        <w:rPr>
          <w:szCs w:val="24"/>
        </w:rPr>
        <w:t xml:space="preserve"> una determinazione decisoria della conferenza</w:t>
      </w:r>
      <w:r w:rsidR="0044710E" w:rsidRPr="00051CAA">
        <w:rPr>
          <w:szCs w:val="24"/>
        </w:rPr>
        <w:t xml:space="preserve"> di servizi</w:t>
      </w:r>
      <w:r w:rsidRPr="00051CAA">
        <w:rPr>
          <w:szCs w:val="24"/>
        </w:rPr>
        <w:t xml:space="preserve"> o di un parere negativo </w:t>
      </w:r>
      <w:r w:rsidR="00621D0C" w:rsidRPr="00051CAA">
        <w:rPr>
          <w:szCs w:val="24"/>
        </w:rPr>
        <w:t>dell</w:t>
      </w:r>
      <w:r w:rsidR="00625A43" w:rsidRPr="00051CAA">
        <w:rPr>
          <w:szCs w:val="24"/>
        </w:rPr>
        <w:t>'</w:t>
      </w:r>
      <w:r w:rsidRPr="00051CAA">
        <w:rPr>
          <w:szCs w:val="24"/>
        </w:rPr>
        <w:t xml:space="preserve">ARPA </w:t>
      </w:r>
      <w:r w:rsidRPr="00051CAA">
        <w:rPr>
          <w:i/>
          <w:szCs w:val="24"/>
        </w:rPr>
        <w:t xml:space="preserve">ex </w:t>
      </w:r>
      <w:r w:rsidRPr="00051CAA">
        <w:rPr>
          <w:szCs w:val="24"/>
        </w:rPr>
        <w:t>art. 14 l. 36/2001 e non sia stato espresso un dissenso, congrua</w:t>
      </w:r>
      <w:r w:rsidR="00037FA9" w:rsidRPr="00051CAA">
        <w:rPr>
          <w:szCs w:val="24"/>
        </w:rPr>
        <w:t>mente motivato, da parte di un</w:t>
      </w:r>
      <w:r w:rsidR="00625A43" w:rsidRPr="00051CAA">
        <w:rPr>
          <w:szCs w:val="24"/>
        </w:rPr>
        <w:t>'</w:t>
      </w:r>
      <w:r w:rsidR="00037FA9" w:rsidRPr="00051CAA">
        <w:rPr>
          <w:szCs w:val="24"/>
        </w:rPr>
        <w:t>a</w:t>
      </w:r>
      <w:r w:rsidRPr="00051CAA">
        <w:rPr>
          <w:szCs w:val="24"/>
        </w:rPr>
        <w:t>mministrazione preposta alla tutela ambientale, paesaggistico-territoriale o dei beni culturali.</w:t>
      </w:r>
      <w:r w:rsidR="00FB41D4" w:rsidRPr="00051CAA">
        <w:rPr>
          <w:szCs w:val="24"/>
        </w:rPr>
        <w:t xml:space="preserve"> Trattasi di una forma di silenzio assenso </w:t>
      </w:r>
      <w:r w:rsidR="00ED2320" w:rsidRPr="00051CAA">
        <w:rPr>
          <w:szCs w:val="24"/>
        </w:rPr>
        <w:t>potenziata</w:t>
      </w:r>
      <w:r w:rsidR="00FB41D4" w:rsidRPr="00051CAA">
        <w:rPr>
          <w:szCs w:val="24"/>
        </w:rPr>
        <w:t xml:space="preserve"> rispetto alla figura generale disciplinata dall</w:t>
      </w:r>
      <w:r w:rsidR="00625A43" w:rsidRPr="00051CAA">
        <w:rPr>
          <w:szCs w:val="24"/>
        </w:rPr>
        <w:t>'</w:t>
      </w:r>
      <w:r w:rsidR="00FB41D4" w:rsidRPr="00051CAA">
        <w:rPr>
          <w:szCs w:val="24"/>
        </w:rPr>
        <w:t>art. 20 l. 241/1990, in quanto in grado di consumare anche i poteri delle autorità preposte agli interessi sensibili (ambiente, paesaggio, cultura e salute)</w:t>
      </w:r>
      <w:r w:rsidR="00FB41D4" w:rsidRPr="00051CAA">
        <w:rPr>
          <w:rStyle w:val="Rimandonotaapidipagina"/>
          <w:szCs w:val="24"/>
        </w:rPr>
        <w:footnoteReference w:id="15"/>
      </w:r>
      <w:r w:rsidR="006C0BE3" w:rsidRPr="00051CAA">
        <w:rPr>
          <w:szCs w:val="24"/>
        </w:rPr>
        <w:t>: pi</w:t>
      </w:r>
      <w:r w:rsidR="00FB41D4" w:rsidRPr="00051CAA">
        <w:rPr>
          <w:szCs w:val="24"/>
        </w:rPr>
        <w:t>ù precisamente, in presenza di detti interessi, è obbligatoria la convocazione della conferenza, all</w:t>
      </w:r>
      <w:r w:rsidR="00625A43" w:rsidRPr="00051CAA">
        <w:rPr>
          <w:szCs w:val="24"/>
        </w:rPr>
        <w:t>'</w:t>
      </w:r>
      <w:r w:rsidR="00FB41D4" w:rsidRPr="00051CAA">
        <w:rPr>
          <w:szCs w:val="24"/>
        </w:rPr>
        <w:t>interno della quale la mancata espressione di dissensi motivati genera silenzi assensi orizzontali delle autorità convocate (artt. 14-</w:t>
      </w:r>
      <w:r w:rsidR="00FB41D4" w:rsidRPr="00051CAA">
        <w:rPr>
          <w:i/>
          <w:szCs w:val="24"/>
        </w:rPr>
        <w:t>bis</w:t>
      </w:r>
      <w:r w:rsidR="00FB41D4" w:rsidRPr="00051CAA">
        <w:rPr>
          <w:szCs w:val="24"/>
        </w:rPr>
        <w:t>, co. 4, e 14-</w:t>
      </w:r>
      <w:r w:rsidR="00FB41D4" w:rsidRPr="00051CAA">
        <w:rPr>
          <w:i/>
          <w:szCs w:val="24"/>
        </w:rPr>
        <w:t>ter</w:t>
      </w:r>
      <w:r w:rsidR="00FB41D4" w:rsidRPr="00051CAA">
        <w:rPr>
          <w:szCs w:val="24"/>
        </w:rPr>
        <w:t>, co. 7, l. 241/1990)</w:t>
      </w:r>
      <w:r w:rsidR="00ED2320" w:rsidRPr="00051CAA">
        <w:rPr>
          <w:szCs w:val="24"/>
        </w:rPr>
        <w:t>, e all</w:t>
      </w:r>
      <w:r w:rsidR="00625A43" w:rsidRPr="00051CAA">
        <w:rPr>
          <w:szCs w:val="24"/>
        </w:rPr>
        <w:t>'</w:t>
      </w:r>
      <w:r w:rsidR="00ED2320" w:rsidRPr="00051CAA">
        <w:rPr>
          <w:szCs w:val="24"/>
        </w:rPr>
        <w:t>esito della quale l</w:t>
      </w:r>
      <w:r w:rsidR="00625A43" w:rsidRPr="00051CAA">
        <w:rPr>
          <w:szCs w:val="24"/>
        </w:rPr>
        <w:t>'</w:t>
      </w:r>
      <w:r w:rsidR="00ED2320" w:rsidRPr="00051CAA">
        <w:rPr>
          <w:szCs w:val="24"/>
        </w:rPr>
        <w:t xml:space="preserve">omessa </w:t>
      </w:r>
      <w:r w:rsidR="00FB41D4" w:rsidRPr="00051CAA">
        <w:rPr>
          <w:szCs w:val="24"/>
        </w:rPr>
        <w:t>assunzione di una determinazione conclusi</w:t>
      </w:r>
      <w:r w:rsidR="002F1BA8" w:rsidRPr="00051CAA">
        <w:rPr>
          <w:szCs w:val="24"/>
        </w:rPr>
        <w:t xml:space="preserve">va </w:t>
      </w:r>
      <w:r w:rsidR="00FB41D4" w:rsidRPr="00051CAA">
        <w:rPr>
          <w:szCs w:val="24"/>
        </w:rPr>
        <w:t xml:space="preserve">è equiparata, </w:t>
      </w:r>
      <w:proofErr w:type="spellStart"/>
      <w:r w:rsidR="00FB41D4" w:rsidRPr="00051CAA">
        <w:rPr>
          <w:i/>
          <w:szCs w:val="24"/>
        </w:rPr>
        <w:t>quoad</w:t>
      </w:r>
      <w:proofErr w:type="spellEnd"/>
      <w:r w:rsidR="00FB41D4" w:rsidRPr="00051CAA">
        <w:rPr>
          <w:i/>
          <w:szCs w:val="24"/>
        </w:rPr>
        <w:t xml:space="preserve"> </w:t>
      </w:r>
      <w:proofErr w:type="spellStart"/>
      <w:r w:rsidR="00FB41D4" w:rsidRPr="00051CAA">
        <w:rPr>
          <w:i/>
          <w:szCs w:val="24"/>
        </w:rPr>
        <w:t>effectum</w:t>
      </w:r>
      <w:proofErr w:type="spellEnd"/>
      <w:r w:rsidR="00FB41D4" w:rsidRPr="00051CAA">
        <w:rPr>
          <w:szCs w:val="24"/>
        </w:rPr>
        <w:t>, a una decisione di accoglimento dell</w:t>
      </w:r>
      <w:r w:rsidR="00625A43" w:rsidRPr="00051CAA">
        <w:rPr>
          <w:szCs w:val="24"/>
        </w:rPr>
        <w:t>'</w:t>
      </w:r>
      <w:r w:rsidR="00FB41D4" w:rsidRPr="00051CAA">
        <w:rPr>
          <w:szCs w:val="24"/>
        </w:rPr>
        <w:t>istanza (</w:t>
      </w:r>
      <w:r w:rsidR="00FB41D4" w:rsidRPr="00051CAA">
        <w:rPr>
          <w:i/>
          <w:szCs w:val="24"/>
        </w:rPr>
        <w:t xml:space="preserve">ex </w:t>
      </w:r>
      <w:r w:rsidR="00FB41D4" w:rsidRPr="00051CAA">
        <w:rPr>
          <w:szCs w:val="24"/>
        </w:rPr>
        <w:t xml:space="preserve">art. 44, co. 10, cod. </w:t>
      </w:r>
      <w:proofErr w:type="spellStart"/>
      <w:r w:rsidR="00FB41D4" w:rsidRPr="00051CAA">
        <w:rPr>
          <w:szCs w:val="24"/>
        </w:rPr>
        <w:t>com</w:t>
      </w:r>
      <w:proofErr w:type="spellEnd"/>
      <w:r w:rsidR="00FB41D4" w:rsidRPr="00051CAA">
        <w:rPr>
          <w:szCs w:val="24"/>
        </w:rPr>
        <w:t xml:space="preserve">. </w:t>
      </w:r>
      <w:proofErr w:type="spellStart"/>
      <w:r w:rsidR="00FB41D4" w:rsidRPr="00051CAA">
        <w:rPr>
          <w:szCs w:val="24"/>
        </w:rPr>
        <w:t>elettr</w:t>
      </w:r>
      <w:proofErr w:type="spellEnd"/>
      <w:r w:rsidR="00FB41D4" w:rsidRPr="00051CAA">
        <w:rPr>
          <w:szCs w:val="24"/>
        </w:rPr>
        <w:t xml:space="preserve">.). </w:t>
      </w:r>
      <w:r w:rsidR="00ED2320" w:rsidRPr="00051CAA">
        <w:rPr>
          <w:szCs w:val="24"/>
        </w:rPr>
        <w:t>Tra l</w:t>
      </w:r>
      <w:r w:rsidR="00625A43" w:rsidRPr="00051CAA">
        <w:rPr>
          <w:szCs w:val="24"/>
        </w:rPr>
        <w:t>'</w:t>
      </w:r>
      <w:r w:rsidR="00ED2320" w:rsidRPr="00051CAA">
        <w:rPr>
          <w:szCs w:val="24"/>
        </w:rPr>
        <w:t xml:space="preserve">altro, il </w:t>
      </w:r>
      <w:proofErr w:type="spellStart"/>
      <w:r w:rsidR="00ED2320" w:rsidRPr="00051CAA">
        <w:rPr>
          <w:szCs w:val="24"/>
        </w:rPr>
        <w:t>d.l.</w:t>
      </w:r>
      <w:proofErr w:type="spellEnd"/>
      <w:r w:rsidR="00ED2320" w:rsidRPr="00051CAA">
        <w:rPr>
          <w:szCs w:val="24"/>
        </w:rPr>
        <w:t xml:space="preserve"> 77/2021, </w:t>
      </w:r>
      <w:proofErr w:type="spellStart"/>
      <w:r w:rsidR="00ED2320" w:rsidRPr="00051CAA">
        <w:rPr>
          <w:szCs w:val="24"/>
        </w:rPr>
        <w:t>conv</w:t>
      </w:r>
      <w:proofErr w:type="spellEnd"/>
      <w:r w:rsidR="00ED2320" w:rsidRPr="00051CAA">
        <w:rPr>
          <w:szCs w:val="24"/>
        </w:rPr>
        <w:t>. in l. 108/2021, ha ulteriormente semplificato il meccanismo decisionale in sede di conferenza di servizi in presenza di interessi sensibili: originariamente, l</w:t>
      </w:r>
      <w:r w:rsidR="00625A43" w:rsidRPr="00051CAA">
        <w:rPr>
          <w:szCs w:val="24"/>
        </w:rPr>
        <w:t>'</w:t>
      </w:r>
      <w:r w:rsidR="00ED2320" w:rsidRPr="00051CAA">
        <w:rPr>
          <w:szCs w:val="24"/>
        </w:rPr>
        <w:t>eventuale dissenso di una delle autorità preposte a detti interessi avrebbe richiesto la rimessione dell</w:t>
      </w:r>
      <w:r w:rsidR="00625A43" w:rsidRPr="00051CAA">
        <w:rPr>
          <w:szCs w:val="24"/>
        </w:rPr>
        <w:t>'</w:t>
      </w:r>
      <w:r w:rsidR="00ED2320" w:rsidRPr="00051CAA">
        <w:rPr>
          <w:szCs w:val="24"/>
        </w:rPr>
        <w:t xml:space="preserve">affare al Consiglio dei ministri, chiamato ad assumere la decisione finale (art. 87, co. 8, cod. </w:t>
      </w:r>
      <w:proofErr w:type="spellStart"/>
      <w:r w:rsidR="00ED2320" w:rsidRPr="00051CAA">
        <w:rPr>
          <w:szCs w:val="24"/>
        </w:rPr>
        <w:t>com</w:t>
      </w:r>
      <w:proofErr w:type="spellEnd"/>
      <w:r w:rsidR="00ED2320" w:rsidRPr="00051CAA">
        <w:rPr>
          <w:szCs w:val="24"/>
        </w:rPr>
        <w:t xml:space="preserve">. </w:t>
      </w:r>
      <w:proofErr w:type="spellStart"/>
      <w:r w:rsidR="00ED2320" w:rsidRPr="00051CAA">
        <w:rPr>
          <w:szCs w:val="24"/>
        </w:rPr>
        <w:t>elettr</w:t>
      </w:r>
      <w:proofErr w:type="spellEnd"/>
      <w:r w:rsidR="00ED2320" w:rsidRPr="00051CAA">
        <w:rPr>
          <w:szCs w:val="24"/>
        </w:rPr>
        <w:t xml:space="preserve">.); ora, invece, </w:t>
      </w:r>
      <w:r w:rsidR="0044710E" w:rsidRPr="00051CAA">
        <w:rPr>
          <w:szCs w:val="24"/>
        </w:rPr>
        <w:t>la decisione del Consiglio dei ministri è solo eventuale, applicandosi</w:t>
      </w:r>
      <w:r w:rsidR="00ED2320" w:rsidRPr="00051CAA">
        <w:rPr>
          <w:szCs w:val="24"/>
        </w:rPr>
        <w:t xml:space="preserve"> </w:t>
      </w:r>
      <w:r w:rsidR="00ED2320" w:rsidRPr="00051CAA">
        <w:rPr>
          <w:i/>
          <w:szCs w:val="24"/>
        </w:rPr>
        <w:t xml:space="preserve">in toto </w:t>
      </w:r>
      <w:r w:rsidR="00ED2320" w:rsidRPr="00051CAA">
        <w:rPr>
          <w:szCs w:val="24"/>
        </w:rPr>
        <w:t>la disciplina della conferenza di servizi</w:t>
      </w:r>
      <w:r w:rsidR="0044710E" w:rsidRPr="00051CAA">
        <w:rPr>
          <w:szCs w:val="24"/>
        </w:rPr>
        <w:t xml:space="preserve"> contenuta nella l. 241/1990</w:t>
      </w:r>
      <w:r w:rsidR="00ED2320" w:rsidRPr="00051CAA">
        <w:rPr>
          <w:szCs w:val="24"/>
        </w:rPr>
        <w:t>, ivi inclusa la previsione per cui, in caso di dissenso delle autorità preposte agli interessi sensibili, la decisione conclusiva diviene efficace se l</w:t>
      </w:r>
      <w:r w:rsidR="00625A43" w:rsidRPr="00051CAA">
        <w:rPr>
          <w:szCs w:val="24"/>
        </w:rPr>
        <w:t>'</w:t>
      </w:r>
      <w:r w:rsidR="00ED2320" w:rsidRPr="00051CAA">
        <w:rPr>
          <w:szCs w:val="24"/>
        </w:rPr>
        <w:t>amministrazione dissenziente non propone opposiz</w:t>
      </w:r>
      <w:r w:rsidR="003F3CB9" w:rsidRPr="00051CAA">
        <w:rPr>
          <w:szCs w:val="24"/>
        </w:rPr>
        <w:t>ione al Consiglio dei ministri (artt. 14-</w:t>
      </w:r>
      <w:r w:rsidR="003F3CB9" w:rsidRPr="00051CAA">
        <w:rPr>
          <w:i/>
          <w:szCs w:val="24"/>
        </w:rPr>
        <w:t>quater</w:t>
      </w:r>
      <w:r w:rsidR="003F3CB9" w:rsidRPr="00051CAA">
        <w:rPr>
          <w:szCs w:val="24"/>
        </w:rPr>
        <w:t>, co. 3, e 14-</w:t>
      </w:r>
      <w:r w:rsidR="003F3CB9" w:rsidRPr="00051CAA">
        <w:rPr>
          <w:i/>
          <w:szCs w:val="24"/>
        </w:rPr>
        <w:t>quinquies</w:t>
      </w:r>
      <w:r w:rsidR="003F3CB9" w:rsidRPr="00051CAA">
        <w:rPr>
          <w:szCs w:val="24"/>
        </w:rPr>
        <w:t xml:space="preserve"> l. 241/1990); l</w:t>
      </w:r>
      <w:r w:rsidR="00625A43" w:rsidRPr="00051CAA">
        <w:rPr>
          <w:szCs w:val="24"/>
        </w:rPr>
        <w:t>'</w:t>
      </w:r>
      <w:r w:rsidR="003F3CB9" w:rsidRPr="00051CAA">
        <w:rPr>
          <w:szCs w:val="24"/>
        </w:rPr>
        <w:t xml:space="preserve">eventuale dissenso qualificato, dunque, ostacola sì la formazione del silenzio assenso (cfr. art. 44, co. 10, cod. </w:t>
      </w:r>
      <w:proofErr w:type="spellStart"/>
      <w:r w:rsidR="003F3CB9" w:rsidRPr="00051CAA">
        <w:rPr>
          <w:szCs w:val="24"/>
        </w:rPr>
        <w:t>com</w:t>
      </w:r>
      <w:proofErr w:type="spellEnd"/>
      <w:r w:rsidR="003F3CB9" w:rsidRPr="00051CAA">
        <w:rPr>
          <w:szCs w:val="24"/>
        </w:rPr>
        <w:t xml:space="preserve">. </w:t>
      </w:r>
      <w:proofErr w:type="spellStart"/>
      <w:r w:rsidR="003F3CB9" w:rsidRPr="00051CAA">
        <w:rPr>
          <w:szCs w:val="24"/>
        </w:rPr>
        <w:t>elettr</w:t>
      </w:r>
      <w:proofErr w:type="spellEnd"/>
      <w:r w:rsidR="003F3CB9" w:rsidRPr="00051CAA">
        <w:rPr>
          <w:szCs w:val="24"/>
        </w:rPr>
        <w:t xml:space="preserve">.), ma non impedisce al comune di determinarsi positivamente in forma espressa, sulla base delle posizioni prevalenti. </w:t>
      </w:r>
    </w:p>
    <w:p w14:paraId="2CF31D17" w14:textId="561EE64B" w:rsidR="00DF75BD" w:rsidRPr="00051CAA" w:rsidRDefault="00DF75BD" w:rsidP="00AE3FE4">
      <w:pPr>
        <w:autoSpaceDE w:val="0"/>
        <w:autoSpaceDN w:val="0"/>
        <w:adjustRightInd w:val="0"/>
        <w:spacing w:line="276" w:lineRule="auto"/>
        <w:rPr>
          <w:szCs w:val="24"/>
        </w:rPr>
      </w:pPr>
      <w:r w:rsidRPr="00051CAA">
        <w:rPr>
          <w:szCs w:val="24"/>
        </w:rPr>
        <w:t xml:space="preserve">Nel settore delle telecomunicazioni la giurisprudenza è maggiormente incline a interpretare le </w:t>
      </w:r>
      <w:r w:rsidR="004D2C38" w:rsidRPr="00051CAA">
        <w:rPr>
          <w:szCs w:val="24"/>
        </w:rPr>
        <w:t>norme in ottica semplificatoria. Oltre agli indirizzi pretori già citati, è degno di menzione anche un recente pronunciamento del Consiglio di Stato, secondo il quale il preavviso di rigetto dell</w:t>
      </w:r>
      <w:r w:rsidR="00625A43" w:rsidRPr="00051CAA">
        <w:rPr>
          <w:szCs w:val="24"/>
        </w:rPr>
        <w:t>'</w:t>
      </w:r>
      <w:r w:rsidR="004D2C38" w:rsidRPr="00051CAA">
        <w:rPr>
          <w:szCs w:val="24"/>
        </w:rPr>
        <w:t xml:space="preserve">istanza autorizzativa non ha effetti sospensivi del termine di conclusione del procedimento, </w:t>
      </w:r>
      <w:r w:rsidR="002F1BA8" w:rsidRPr="00051CAA">
        <w:rPr>
          <w:szCs w:val="24"/>
        </w:rPr>
        <w:t xml:space="preserve">sia </w:t>
      </w:r>
      <w:r w:rsidR="004D2C38" w:rsidRPr="00051CAA">
        <w:rPr>
          <w:szCs w:val="24"/>
        </w:rPr>
        <w:t xml:space="preserve">in ragione della perentorietà e della </w:t>
      </w:r>
      <w:proofErr w:type="spellStart"/>
      <w:r w:rsidR="004D2C38" w:rsidRPr="00051CAA">
        <w:rPr>
          <w:szCs w:val="24"/>
        </w:rPr>
        <w:t>stringenza</w:t>
      </w:r>
      <w:proofErr w:type="spellEnd"/>
      <w:r w:rsidR="004D2C38" w:rsidRPr="00051CAA">
        <w:rPr>
          <w:szCs w:val="24"/>
        </w:rPr>
        <w:t xml:space="preserve"> del termine per la formazione del silenzio assenso </w:t>
      </w:r>
      <w:r w:rsidR="004D2C38" w:rsidRPr="00051CAA">
        <w:rPr>
          <w:i/>
          <w:szCs w:val="24"/>
        </w:rPr>
        <w:t>ex</w:t>
      </w:r>
      <w:r w:rsidR="004D2C38" w:rsidRPr="00051CAA">
        <w:rPr>
          <w:szCs w:val="24"/>
        </w:rPr>
        <w:t xml:space="preserve"> art. 44 cod. </w:t>
      </w:r>
      <w:proofErr w:type="spellStart"/>
      <w:r w:rsidR="004D2C38" w:rsidRPr="00051CAA">
        <w:rPr>
          <w:szCs w:val="24"/>
        </w:rPr>
        <w:t>com</w:t>
      </w:r>
      <w:proofErr w:type="spellEnd"/>
      <w:r w:rsidR="004D2C38" w:rsidRPr="00051CAA">
        <w:rPr>
          <w:szCs w:val="24"/>
        </w:rPr>
        <w:t xml:space="preserve">. </w:t>
      </w:r>
      <w:proofErr w:type="spellStart"/>
      <w:r w:rsidR="004D2C38" w:rsidRPr="00051CAA">
        <w:rPr>
          <w:szCs w:val="24"/>
        </w:rPr>
        <w:t>elettr</w:t>
      </w:r>
      <w:proofErr w:type="spellEnd"/>
      <w:r w:rsidR="004D2C38" w:rsidRPr="00051CAA">
        <w:rPr>
          <w:szCs w:val="24"/>
        </w:rPr>
        <w:t xml:space="preserve">., sia perché tale norma tipizza, quale unica causa di sospensione del </w:t>
      </w:r>
      <w:r w:rsidR="001E17E4" w:rsidRPr="00051CAA">
        <w:rPr>
          <w:szCs w:val="24"/>
        </w:rPr>
        <w:t xml:space="preserve">termine, la richiesta </w:t>
      </w:r>
      <w:r w:rsidR="004D2C38" w:rsidRPr="00051CAA">
        <w:rPr>
          <w:szCs w:val="24"/>
        </w:rPr>
        <w:t>di documentazione integrativa, a patto che essa sia inoltrata all</w:t>
      </w:r>
      <w:r w:rsidR="00625A43" w:rsidRPr="00051CAA">
        <w:rPr>
          <w:szCs w:val="24"/>
        </w:rPr>
        <w:t>'</w:t>
      </w:r>
      <w:r w:rsidR="004D2C38" w:rsidRPr="00051CAA">
        <w:rPr>
          <w:szCs w:val="24"/>
        </w:rPr>
        <w:t>interessato entro quindici giorni dalla ricezione della istanza (Cons. Stato, Sez. VI, 5 febbraio 2025, n. 898); pertanto, l</w:t>
      </w:r>
      <w:r w:rsidR="00625A43" w:rsidRPr="00051CAA">
        <w:rPr>
          <w:szCs w:val="24"/>
        </w:rPr>
        <w:t>'</w:t>
      </w:r>
      <w:r w:rsidR="004D2C38" w:rsidRPr="00051CAA">
        <w:rPr>
          <w:szCs w:val="24"/>
        </w:rPr>
        <w:t xml:space="preserve">art. 44 cod. </w:t>
      </w:r>
      <w:proofErr w:type="spellStart"/>
      <w:r w:rsidR="004D2C38" w:rsidRPr="00051CAA">
        <w:rPr>
          <w:szCs w:val="24"/>
        </w:rPr>
        <w:t>com</w:t>
      </w:r>
      <w:proofErr w:type="spellEnd"/>
      <w:r w:rsidR="004D2C38" w:rsidRPr="00051CAA">
        <w:rPr>
          <w:szCs w:val="24"/>
        </w:rPr>
        <w:t xml:space="preserve">. </w:t>
      </w:r>
      <w:proofErr w:type="spellStart"/>
      <w:r w:rsidR="004D2C38" w:rsidRPr="00051CAA">
        <w:rPr>
          <w:szCs w:val="24"/>
        </w:rPr>
        <w:t>elettr</w:t>
      </w:r>
      <w:proofErr w:type="spellEnd"/>
      <w:r w:rsidR="004D2C38" w:rsidRPr="00051CAA">
        <w:rPr>
          <w:szCs w:val="24"/>
        </w:rPr>
        <w:t xml:space="preserve">. derogherebbe, </w:t>
      </w:r>
      <w:r w:rsidR="004D2C38" w:rsidRPr="00051CAA">
        <w:rPr>
          <w:i/>
          <w:szCs w:val="24"/>
        </w:rPr>
        <w:t>in parte qua</w:t>
      </w:r>
      <w:r w:rsidR="004D2C38" w:rsidRPr="00051CAA">
        <w:rPr>
          <w:szCs w:val="24"/>
        </w:rPr>
        <w:t>, all</w:t>
      </w:r>
      <w:r w:rsidR="00625A43" w:rsidRPr="00051CAA">
        <w:rPr>
          <w:szCs w:val="24"/>
        </w:rPr>
        <w:t>'</w:t>
      </w:r>
      <w:r w:rsidR="004D2C38" w:rsidRPr="00051CAA">
        <w:rPr>
          <w:szCs w:val="24"/>
        </w:rPr>
        <w:t>art. 10-</w:t>
      </w:r>
      <w:r w:rsidR="004D2C38" w:rsidRPr="00051CAA">
        <w:rPr>
          <w:i/>
          <w:szCs w:val="24"/>
        </w:rPr>
        <w:t>bis</w:t>
      </w:r>
      <w:r w:rsidR="004D2C38" w:rsidRPr="00051CAA">
        <w:rPr>
          <w:szCs w:val="24"/>
        </w:rPr>
        <w:t xml:space="preserve"> l. 241/1990. </w:t>
      </w:r>
    </w:p>
    <w:p w14:paraId="05AFBD5F" w14:textId="53DB6D76" w:rsidR="001E7714" w:rsidRPr="00051CAA" w:rsidRDefault="001E17E4" w:rsidP="00AE3FE4">
      <w:pPr>
        <w:autoSpaceDE w:val="0"/>
        <w:autoSpaceDN w:val="0"/>
        <w:adjustRightInd w:val="0"/>
        <w:spacing w:line="276" w:lineRule="auto"/>
        <w:rPr>
          <w:szCs w:val="24"/>
        </w:rPr>
      </w:pPr>
      <w:r w:rsidRPr="00051CAA">
        <w:rPr>
          <w:szCs w:val="24"/>
        </w:rPr>
        <w:t>Ulteriori semplificazioni, di matrice legislativa, sono previste in relazione a particolari fattispecie di opere impiantistiche. È sufficiente la presentazione di una SCIA per l</w:t>
      </w:r>
      <w:r w:rsidR="00625A43" w:rsidRPr="00051CAA">
        <w:rPr>
          <w:szCs w:val="24"/>
        </w:rPr>
        <w:t>'</w:t>
      </w:r>
      <w:r w:rsidRPr="00051CAA">
        <w:rPr>
          <w:szCs w:val="24"/>
        </w:rPr>
        <w:t xml:space="preserve">installazione di impianti con potenza </w:t>
      </w:r>
      <w:r w:rsidRPr="00051CAA">
        <w:rPr>
          <w:szCs w:val="24"/>
        </w:rPr>
        <w:lastRenderedPageBreak/>
        <w:t xml:space="preserve">uguale o inferiore ai 20 Watt (art. 44 – già 87 –, co. 3, ultima parte, cod. </w:t>
      </w:r>
      <w:proofErr w:type="spellStart"/>
      <w:r w:rsidRPr="00051CAA">
        <w:rPr>
          <w:szCs w:val="24"/>
        </w:rPr>
        <w:t>com</w:t>
      </w:r>
      <w:proofErr w:type="spellEnd"/>
      <w:r w:rsidRPr="00051CAA">
        <w:rPr>
          <w:szCs w:val="24"/>
        </w:rPr>
        <w:t xml:space="preserve">. </w:t>
      </w:r>
      <w:proofErr w:type="spellStart"/>
      <w:r w:rsidRPr="00051CAA">
        <w:rPr>
          <w:szCs w:val="24"/>
        </w:rPr>
        <w:t>elettr</w:t>
      </w:r>
      <w:proofErr w:type="spellEnd"/>
      <w:r w:rsidRPr="00051CAA">
        <w:rPr>
          <w:szCs w:val="24"/>
        </w:rPr>
        <w:t>.) e per l</w:t>
      </w:r>
      <w:r w:rsidR="00625A43" w:rsidRPr="00051CAA">
        <w:rPr>
          <w:szCs w:val="24"/>
        </w:rPr>
        <w:t>'</w:t>
      </w:r>
      <w:r w:rsidRPr="00051CAA">
        <w:rPr>
          <w:szCs w:val="24"/>
        </w:rPr>
        <w:t>installazione di apparati con tecnologia 4G, sue evoluzioni o altre tecnologie su infrastrutture con impianti radioelettrici preesistenti o di modifica delle caratteristiche trasmissive (art. 45 – già 87-</w:t>
      </w:r>
      <w:r w:rsidRPr="00051CAA">
        <w:rPr>
          <w:i/>
          <w:szCs w:val="24"/>
        </w:rPr>
        <w:t>bis</w:t>
      </w:r>
      <w:r w:rsidRPr="00051CAA">
        <w:rPr>
          <w:szCs w:val="24"/>
        </w:rPr>
        <w:t xml:space="preserve"> – cod. </w:t>
      </w:r>
      <w:proofErr w:type="spellStart"/>
      <w:r w:rsidRPr="00051CAA">
        <w:rPr>
          <w:szCs w:val="24"/>
        </w:rPr>
        <w:t>com</w:t>
      </w:r>
      <w:proofErr w:type="spellEnd"/>
      <w:r w:rsidRPr="00051CAA">
        <w:rPr>
          <w:szCs w:val="24"/>
        </w:rPr>
        <w:t xml:space="preserve">. </w:t>
      </w:r>
      <w:proofErr w:type="spellStart"/>
      <w:r w:rsidRPr="00051CAA">
        <w:rPr>
          <w:szCs w:val="24"/>
        </w:rPr>
        <w:t>elettr</w:t>
      </w:r>
      <w:proofErr w:type="spellEnd"/>
      <w:r w:rsidRPr="00051CAA">
        <w:rPr>
          <w:szCs w:val="24"/>
        </w:rPr>
        <w:t xml:space="preserve">.). </w:t>
      </w:r>
      <w:r w:rsidR="000870D3" w:rsidRPr="00051CAA">
        <w:rPr>
          <w:szCs w:val="24"/>
        </w:rPr>
        <w:t>Per le variazioni non sostanziali degli impianti esistenti, addirittura, basta una comunicazione descrittiva della variazione dimensionale e del rispetto dei limiti, dei valori e degli obiettivi per la prevenzione dell</w:t>
      </w:r>
      <w:r w:rsidR="00625A43" w:rsidRPr="00051CAA">
        <w:rPr>
          <w:szCs w:val="24"/>
        </w:rPr>
        <w:t>'</w:t>
      </w:r>
      <w:r w:rsidR="000870D3" w:rsidRPr="00051CAA">
        <w:rPr>
          <w:szCs w:val="24"/>
        </w:rPr>
        <w:t>inquinamento elettromagnetico, da inviare ai medesimi enti che hanno rilasciato i titoli abilitativi, per la verifica della rispondenza dell</w:t>
      </w:r>
      <w:r w:rsidR="00625A43" w:rsidRPr="00051CAA">
        <w:rPr>
          <w:szCs w:val="24"/>
        </w:rPr>
        <w:t>'</w:t>
      </w:r>
      <w:r w:rsidR="000870D3" w:rsidRPr="00051CAA">
        <w:rPr>
          <w:szCs w:val="24"/>
        </w:rPr>
        <w:t>impianto a quanto dichiarato (art. 46 – già 87-</w:t>
      </w:r>
      <w:r w:rsidR="000870D3" w:rsidRPr="00051CAA">
        <w:rPr>
          <w:i/>
          <w:szCs w:val="24"/>
        </w:rPr>
        <w:t>ter</w:t>
      </w:r>
      <w:r w:rsidR="000870D3" w:rsidRPr="00051CAA">
        <w:rPr>
          <w:szCs w:val="24"/>
        </w:rPr>
        <w:t xml:space="preserve"> – cod. </w:t>
      </w:r>
      <w:proofErr w:type="spellStart"/>
      <w:r w:rsidR="000870D3" w:rsidRPr="00051CAA">
        <w:rPr>
          <w:szCs w:val="24"/>
        </w:rPr>
        <w:t>com</w:t>
      </w:r>
      <w:proofErr w:type="spellEnd"/>
      <w:r w:rsidR="000870D3" w:rsidRPr="00051CAA">
        <w:rPr>
          <w:szCs w:val="24"/>
        </w:rPr>
        <w:t xml:space="preserve">. </w:t>
      </w:r>
      <w:proofErr w:type="spellStart"/>
      <w:r w:rsidR="000870D3" w:rsidRPr="00051CAA">
        <w:rPr>
          <w:szCs w:val="24"/>
        </w:rPr>
        <w:t>elettr</w:t>
      </w:r>
      <w:proofErr w:type="spellEnd"/>
      <w:r w:rsidR="000870D3" w:rsidRPr="00051CAA">
        <w:rPr>
          <w:szCs w:val="24"/>
        </w:rPr>
        <w:t>.)</w:t>
      </w:r>
      <w:r w:rsidR="001E7714" w:rsidRPr="00051CAA">
        <w:rPr>
          <w:szCs w:val="24"/>
        </w:rPr>
        <w:t>. Si assiste a una ulteriore ipotesi di semplificazione per unificazione con riferimento alla installazione di infrastrutture che richiedono la realizzazione di ope</w:t>
      </w:r>
      <w:r w:rsidR="003F7902" w:rsidRPr="00051CAA">
        <w:rPr>
          <w:szCs w:val="24"/>
        </w:rPr>
        <w:t>re civili o scavi od occupazioni</w:t>
      </w:r>
      <w:r w:rsidR="001E7714" w:rsidRPr="00051CAA">
        <w:rPr>
          <w:szCs w:val="24"/>
        </w:rPr>
        <w:t xml:space="preserve"> di suolo pubblico, poiché, in tal caso, l</w:t>
      </w:r>
      <w:r w:rsidR="00625A43" w:rsidRPr="00051CAA">
        <w:rPr>
          <w:szCs w:val="24"/>
        </w:rPr>
        <w:t>'</w:t>
      </w:r>
      <w:r w:rsidR="001E7714" w:rsidRPr="00051CAA">
        <w:rPr>
          <w:szCs w:val="24"/>
        </w:rPr>
        <w:t>autorizzazione – emanata all</w:t>
      </w:r>
      <w:r w:rsidR="00625A43" w:rsidRPr="00051CAA">
        <w:rPr>
          <w:szCs w:val="24"/>
        </w:rPr>
        <w:t>'</w:t>
      </w:r>
      <w:r w:rsidR="001E7714" w:rsidRPr="00051CAA">
        <w:rPr>
          <w:szCs w:val="24"/>
        </w:rPr>
        <w:t>esito di un unico procedimento che coinvolge, in conferenza di servizi, le varie amministrazioni interessate – accorpa ogni atto abilitativo richiesto per le opere correlate, ivi inclusa la concessione di suolo pubblico necessaria all</w:t>
      </w:r>
      <w:r w:rsidR="00625A43" w:rsidRPr="00051CAA">
        <w:rPr>
          <w:szCs w:val="24"/>
        </w:rPr>
        <w:t>'</w:t>
      </w:r>
      <w:r w:rsidR="001E7714" w:rsidRPr="00051CAA">
        <w:rPr>
          <w:szCs w:val="24"/>
        </w:rPr>
        <w:t xml:space="preserve">installazione delle infrastrutture (art. 49 – già 88 – cod. </w:t>
      </w:r>
      <w:proofErr w:type="spellStart"/>
      <w:r w:rsidR="001E7714" w:rsidRPr="00051CAA">
        <w:rPr>
          <w:szCs w:val="24"/>
        </w:rPr>
        <w:t>com</w:t>
      </w:r>
      <w:proofErr w:type="spellEnd"/>
      <w:r w:rsidR="001E7714" w:rsidRPr="00051CAA">
        <w:rPr>
          <w:szCs w:val="24"/>
        </w:rPr>
        <w:t xml:space="preserve">. </w:t>
      </w:r>
      <w:proofErr w:type="spellStart"/>
      <w:r w:rsidR="001E7714" w:rsidRPr="00051CAA">
        <w:rPr>
          <w:szCs w:val="24"/>
        </w:rPr>
        <w:t>elettr</w:t>
      </w:r>
      <w:proofErr w:type="spellEnd"/>
      <w:r w:rsidR="001E7714" w:rsidRPr="00051CAA">
        <w:rPr>
          <w:szCs w:val="24"/>
        </w:rPr>
        <w:t xml:space="preserve">.). </w:t>
      </w:r>
    </w:p>
    <w:p w14:paraId="420099F6" w14:textId="77777777" w:rsidR="00253D6C" w:rsidRPr="00051CAA" w:rsidRDefault="00253D6C" w:rsidP="00AE3FE4">
      <w:pPr>
        <w:autoSpaceDE w:val="0"/>
        <w:autoSpaceDN w:val="0"/>
        <w:adjustRightInd w:val="0"/>
        <w:spacing w:line="276" w:lineRule="auto"/>
        <w:rPr>
          <w:szCs w:val="24"/>
        </w:rPr>
      </w:pPr>
    </w:p>
    <w:p w14:paraId="2C1F51E7" w14:textId="30AA6413" w:rsidR="00253D6C" w:rsidRPr="00051CAA" w:rsidRDefault="00154EF5" w:rsidP="00AE3FE4">
      <w:pPr>
        <w:pStyle w:val="Titolo2"/>
        <w:spacing w:line="276" w:lineRule="auto"/>
        <w:rPr>
          <w:szCs w:val="24"/>
        </w:rPr>
      </w:pPr>
      <w:bookmarkStart w:id="4" w:name="_Toc198998240"/>
      <w:r w:rsidRPr="00051CAA">
        <w:rPr>
          <w:szCs w:val="24"/>
        </w:rPr>
        <w:t>4.</w:t>
      </w:r>
      <w:r w:rsidRPr="00051CAA">
        <w:rPr>
          <w:szCs w:val="24"/>
        </w:rPr>
        <w:tab/>
      </w:r>
      <w:r w:rsidR="00253D6C" w:rsidRPr="00051CAA">
        <w:rPr>
          <w:szCs w:val="24"/>
        </w:rPr>
        <w:t xml:space="preserve">Il difficile bilanciamento </w:t>
      </w:r>
      <w:r w:rsidR="00954ECD" w:rsidRPr="00051CAA">
        <w:rPr>
          <w:szCs w:val="24"/>
        </w:rPr>
        <w:t>degli interessi pubblici in gioco</w:t>
      </w:r>
      <w:r w:rsidR="00253D6C" w:rsidRPr="00051CAA">
        <w:rPr>
          <w:szCs w:val="24"/>
        </w:rPr>
        <w:t>.</w:t>
      </w:r>
      <w:bookmarkEnd w:id="4"/>
      <w:r w:rsidR="00253D6C" w:rsidRPr="00051CAA">
        <w:rPr>
          <w:szCs w:val="24"/>
        </w:rPr>
        <w:t xml:space="preserve"> </w:t>
      </w:r>
    </w:p>
    <w:p w14:paraId="4895D519" w14:textId="50097734" w:rsidR="00D72609" w:rsidRPr="00051CAA" w:rsidRDefault="00253D6C" w:rsidP="00AE3FE4">
      <w:pPr>
        <w:autoSpaceDE w:val="0"/>
        <w:autoSpaceDN w:val="0"/>
        <w:adjustRightInd w:val="0"/>
        <w:spacing w:line="276" w:lineRule="auto"/>
        <w:rPr>
          <w:szCs w:val="24"/>
        </w:rPr>
      </w:pPr>
      <w:r w:rsidRPr="00051CAA">
        <w:rPr>
          <w:szCs w:val="24"/>
        </w:rPr>
        <w:t>Dall</w:t>
      </w:r>
      <w:r w:rsidR="00625A43" w:rsidRPr="00051CAA">
        <w:rPr>
          <w:szCs w:val="24"/>
        </w:rPr>
        <w:t>'</w:t>
      </w:r>
      <w:r w:rsidRPr="00051CAA">
        <w:rPr>
          <w:szCs w:val="24"/>
        </w:rPr>
        <w:t xml:space="preserve">analisi della disciplina della installazione di impianti di comunicazione emerge un evidente </w:t>
      </w:r>
      <w:r w:rsidRPr="00051CAA">
        <w:rPr>
          <w:i/>
          <w:szCs w:val="24"/>
        </w:rPr>
        <w:t xml:space="preserve">favor </w:t>
      </w:r>
      <w:r w:rsidRPr="00051CAA">
        <w:rPr>
          <w:szCs w:val="24"/>
        </w:rPr>
        <w:t xml:space="preserve">per la pronta realizzazione </w:t>
      </w:r>
      <w:r w:rsidR="00A23252" w:rsidRPr="00051CAA">
        <w:rPr>
          <w:szCs w:val="24"/>
        </w:rPr>
        <w:t xml:space="preserve">delle infrastrutture e per la loro diffusione su tutto il territorio nazionale. </w:t>
      </w:r>
      <w:r w:rsidR="00D72609" w:rsidRPr="00051CAA">
        <w:rPr>
          <w:szCs w:val="24"/>
        </w:rPr>
        <w:t>Come già osservato, il sostegno legislativo – e giurisprudenziale – all</w:t>
      </w:r>
      <w:r w:rsidR="00625A43" w:rsidRPr="00051CAA">
        <w:rPr>
          <w:szCs w:val="24"/>
        </w:rPr>
        <w:t>'</w:t>
      </w:r>
      <w:r w:rsidR="00D72609" w:rsidRPr="00051CAA">
        <w:rPr>
          <w:szCs w:val="24"/>
        </w:rPr>
        <w:t>implementazione della tecnologia delle comunicazioni è giustificato dall</w:t>
      </w:r>
      <w:r w:rsidR="00625A43" w:rsidRPr="00051CAA">
        <w:rPr>
          <w:szCs w:val="24"/>
        </w:rPr>
        <w:t>'</w:t>
      </w:r>
      <w:r w:rsidR="00D72609" w:rsidRPr="00051CAA">
        <w:rPr>
          <w:szCs w:val="24"/>
        </w:rPr>
        <w:t>indispensabilità di questa ai fini dello sviluppo dell</w:t>
      </w:r>
      <w:r w:rsidR="00625A43" w:rsidRPr="00051CAA">
        <w:rPr>
          <w:szCs w:val="24"/>
        </w:rPr>
        <w:t>'</w:t>
      </w:r>
      <w:r w:rsidR="00D72609" w:rsidRPr="00051CAA">
        <w:rPr>
          <w:szCs w:val="24"/>
        </w:rPr>
        <w:t xml:space="preserve">economia </w:t>
      </w:r>
      <w:r w:rsidR="001B76F4" w:rsidRPr="00051CAA">
        <w:rPr>
          <w:szCs w:val="24"/>
        </w:rPr>
        <w:t xml:space="preserve">digitale </w:t>
      </w:r>
      <w:r w:rsidR="00D72609" w:rsidRPr="00051CAA">
        <w:rPr>
          <w:szCs w:val="24"/>
        </w:rPr>
        <w:t xml:space="preserve">e, oggi, anche in vista della transizione ecologica che si sta tentando di attuare. </w:t>
      </w:r>
    </w:p>
    <w:p w14:paraId="674CEDFB" w14:textId="620407DE" w:rsidR="007D61F8" w:rsidRPr="00051CAA" w:rsidRDefault="00EC6178" w:rsidP="00AE3FE4">
      <w:pPr>
        <w:autoSpaceDE w:val="0"/>
        <w:autoSpaceDN w:val="0"/>
        <w:adjustRightInd w:val="0"/>
        <w:spacing w:line="276" w:lineRule="auto"/>
        <w:rPr>
          <w:szCs w:val="24"/>
        </w:rPr>
      </w:pPr>
      <w:r w:rsidRPr="00051CAA">
        <w:rPr>
          <w:szCs w:val="24"/>
        </w:rPr>
        <w:t>L</w:t>
      </w:r>
      <w:r w:rsidR="00625A43" w:rsidRPr="00051CAA">
        <w:rPr>
          <w:szCs w:val="24"/>
        </w:rPr>
        <w:t>'</w:t>
      </w:r>
      <w:r w:rsidRPr="00051CAA">
        <w:rPr>
          <w:szCs w:val="24"/>
        </w:rPr>
        <w:t>inclinazione</w:t>
      </w:r>
      <w:r w:rsidR="00B3718C" w:rsidRPr="00051CAA">
        <w:rPr>
          <w:szCs w:val="24"/>
        </w:rPr>
        <w:t xml:space="preserve"> </w:t>
      </w:r>
      <w:r w:rsidR="006F3C4F" w:rsidRPr="00051CAA">
        <w:rPr>
          <w:szCs w:val="24"/>
        </w:rPr>
        <w:t xml:space="preserve">statale ha generato risposte reazionarie </w:t>
      </w:r>
      <w:r w:rsidR="001B76F4" w:rsidRPr="00051CAA">
        <w:rPr>
          <w:szCs w:val="24"/>
        </w:rPr>
        <w:t>de</w:t>
      </w:r>
      <w:r w:rsidR="00B3718C" w:rsidRPr="00051CAA">
        <w:rPr>
          <w:szCs w:val="24"/>
        </w:rPr>
        <w:t>gli enti locali</w:t>
      </w:r>
      <w:r w:rsidR="006F3C4F" w:rsidRPr="00051CAA">
        <w:rPr>
          <w:szCs w:val="24"/>
        </w:rPr>
        <w:t>. Specialmente i comuni</w:t>
      </w:r>
      <w:r w:rsidR="00B3718C" w:rsidRPr="00051CAA">
        <w:rPr>
          <w:szCs w:val="24"/>
        </w:rPr>
        <w:t>,</w:t>
      </w:r>
      <w:r w:rsidR="006F3C4F" w:rsidRPr="00051CAA">
        <w:rPr>
          <w:szCs w:val="24"/>
        </w:rPr>
        <w:t xml:space="preserve"> in quanto titolari del potere di autorizzare l</w:t>
      </w:r>
      <w:r w:rsidR="00625A43" w:rsidRPr="00051CAA">
        <w:rPr>
          <w:szCs w:val="24"/>
        </w:rPr>
        <w:t>'</w:t>
      </w:r>
      <w:r w:rsidR="006F3C4F" w:rsidRPr="00051CAA">
        <w:rPr>
          <w:szCs w:val="24"/>
        </w:rPr>
        <w:t>installazione di nuove infrastrutture di rete,</w:t>
      </w:r>
      <w:r w:rsidR="00B3718C" w:rsidRPr="00051CAA">
        <w:rPr>
          <w:szCs w:val="24"/>
        </w:rPr>
        <w:t xml:space="preserve"> </w:t>
      </w:r>
      <w:r w:rsidR="006F3C4F" w:rsidRPr="00051CAA">
        <w:rPr>
          <w:szCs w:val="24"/>
        </w:rPr>
        <w:t>spesso tentano di frenare la diffusione a macchia d</w:t>
      </w:r>
      <w:r w:rsidR="00625A43" w:rsidRPr="00051CAA">
        <w:rPr>
          <w:szCs w:val="24"/>
        </w:rPr>
        <w:t>'</w:t>
      </w:r>
      <w:r w:rsidR="006F3C4F" w:rsidRPr="00051CAA">
        <w:rPr>
          <w:szCs w:val="24"/>
        </w:rPr>
        <w:t>olio degli impianti di comunicazione, facendosi fautori di interessi – peraltro</w:t>
      </w:r>
      <w:r w:rsidR="004238D2" w:rsidRPr="00051CAA">
        <w:rPr>
          <w:szCs w:val="24"/>
        </w:rPr>
        <w:t>,</w:t>
      </w:r>
      <w:r w:rsidR="006F3C4F" w:rsidRPr="00051CAA">
        <w:rPr>
          <w:szCs w:val="24"/>
        </w:rPr>
        <w:t xml:space="preserve"> </w:t>
      </w:r>
      <w:r w:rsidR="00CE0967">
        <w:rPr>
          <w:szCs w:val="24"/>
        </w:rPr>
        <w:t>talvolta</w:t>
      </w:r>
      <w:r w:rsidR="00BC7EE1">
        <w:rPr>
          <w:szCs w:val="24"/>
        </w:rPr>
        <w:t xml:space="preserve"> </w:t>
      </w:r>
      <w:r w:rsidR="006F3C4F" w:rsidRPr="00051CAA">
        <w:rPr>
          <w:szCs w:val="24"/>
        </w:rPr>
        <w:t>estranei alle loro missioni istituzionali – che essi considerano ingiustamente sacrif</w:t>
      </w:r>
      <w:r w:rsidR="001B76F4" w:rsidRPr="00051CAA">
        <w:rPr>
          <w:szCs w:val="24"/>
        </w:rPr>
        <w:t>icati dal legislatore nazionale, come la tutela della salute, dell</w:t>
      </w:r>
      <w:r w:rsidR="00625A43" w:rsidRPr="00051CAA">
        <w:rPr>
          <w:szCs w:val="24"/>
        </w:rPr>
        <w:t>'</w:t>
      </w:r>
      <w:r w:rsidR="001B76F4" w:rsidRPr="00051CAA">
        <w:rPr>
          <w:szCs w:val="24"/>
        </w:rPr>
        <w:t>ambiente e del paesaggio</w:t>
      </w:r>
      <w:r w:rsidR="002B7E6B" w:rsidRPr="00051CAA">
        <w:rPr>
          <w:rStyle w:val="Rimandonotaapidipagina"/>
          <w:szCs w:val="24"/>
        </w:rPr>
        <w:footnoteReference w:id="16"/>
      </w:r>
      <w:r w:rsidR="001B76F4" w:rsidRPr="00051CAA">
        <w:rPr>
          <w:szCs w:val="24"/>
        </w:rPr>
        <w:t xml:space="preserve">. </w:t>
      </w:r>
      <w:r w:rsidRPr="00051CAA">
        <w:rPr>
          <w:szCs w:val="24"/>
        </w:rPr>
        <w:t>L</w:t>
      </w:r>
      <w:r w:rsidR="00625A43" w:rsidRPr="00051CAA">
        <w:rPr>
          <w:szCs w:val="24"/>
        </w:rPr>
        <w:t>'</w:t>
      </w:r>
      <w:r w:rsidRPr="00051CAA">
        <w:rPr>
          <w:szCs w:val="24"/>
        </w:rPr>
        <w:t xml:space="preserve">ostruzionismo dei comuni </w:t>
      </w:r>
      <w:r w:rsidR="00BD66C8">
        <w:rPr>
          <w:szCs w:val="24"/>
        </w:rPr>
        <w:t>a volte</w:t>
      </w:r>
      <w:r w:rsidRPr="00051CAA">
        <w:rPr>
          <w:szCs w:val="24"/>
        </w:rPr>
        <w:t xml:space="preserve"> si spiega anche come forma di reazione alla parziale esautorazione delle loro potestà urbanistiche, sol che si consideri che la qualificazione delle infrastrutture per la comunicazione come opere di urbanizzazione primaria </w:t>
      </w:r>
      <w:r w:rsidR="00A22EB4" w:rsidRPr="00051CAA">
        <w:rPr>
          <w:szCs w:val="24"/>
        </w:rPr>
        <w:t xml:space="preserve">(art. 43, co. 4 – già 86, co. 3 – cod. </w:t>
      </w:r>
      <w:proofErr w:type="spellStart"/>
      <w:r w:rsidR="00A22EB4" w:rsidRPr="00051CAA">
        <w:rPr>
          <w:szCs w:val="24"/>
        </w:rPr>
        <w:t>com</w:t>
      </w:r>
      <w:proofErr w:type="spellEnd"/>
      <w:r w:rsidR="00A22EB4" w:rsidRPr="00051CAA">
        <w:rPr>
          <w:szCs w:val="24"/>
        </w:rPr>
        <w:t xml:space="preserve">. </w:t>
      </w:r>
      <w:proofErr w:type="spellStart"/>
      <w:r w:rsidR="00A22EB4" w:rsidRPr="00051CAA">
        <w:rPr>
          <w:szCs w:val="24"/>
        </w:rPr>
        <w:t>elettr</w:t>
      </w:r>
      <w:proofErr w:type="spellEnd"/>
      <w:r w:rsidR="00A22EB4" w:rsidRPr="00051CAA">
        <w:rPr>
          <w:szCs w:val="24"/>
        </w:rPr>
        <w:t xml:space="preserve">.) </w:t>
      </w:r>
      <w:r w:rsidRPr="00051CAA">
        <w:rPr>
          <w:szCs w:val="24"/>
        </w:rPr>
        <w:t xml:space="preserve">ne legittima la potenziale localizzazione in ogni zona del territorio comunale, anche in deroga alle previsioni degli strumenti urbanistici. Talaltra, questo atteggiamento è il frutto di manifestazioni di accondiscendenza verso il corpo elettorale, spaventato dai risvolti negativi, in termini di salute e di estetica locale, </w:t>
      </w:r>
      <w:r w:rsidR="00A93D7E" w:rsidRPr="00051CAA">
        <w:rPr>
          <w:szCs w:val="24"/>
        </w:rPr>
        <w:t>derivanti dalla vicinanza a</w:t>
      </w:r>
      <w:r w:rsidRPr="00051CAA">
        <w:rPr>
          <w:szCs w:val="24"/>
        </w:rPr>
        <w:t xml:space="preserve"> torri, ripetitori, tralicci e stazioni radio base. </w:t>
      </w:r>
    </w:p>
    <w:p w14:paraId="4A5A08E2" w14:textId="6EFFA0DB" w:rsidR="00BD3962" w:rsidRPr="00051CAA" w:rsidRDefault="00FE5EE4" w:rsidP="00AE3FE4">
      <w:pPr>
        <w:autoSpaceDE w:val="0"/>
        <w:autoSpaceDN w:val="0"/>
        <w:adjustRightInd w:val="0"/>
        <w:spacing w:line="276" w:lineRule="auto"/>
        <w:rPr>
          <w:szCs w:val="24"/>
        </w:rPr>
      </w:pPr>
      <w:r w:rsidRPr="00051CAA">
        <w:rPr>
          <w:szCs w:val="24"/>
        </w:rPr>
        <w:t>L</w:t>
      </w:r>
      <w:r w:rsidR="00625A43" w:rsidRPr="00051CAA">
        <w:rPr>
          <w:szCs w:val="24"/>
        </w:rPr>
        <w:t>'</w:t>
      </w:r>
      <w:r w:rsidRPr="00051CAA">
        <w:rPr>
          <w:szCs w:val="24"/>
        </w:rPr>
        <w:t xml:space="preserve">esempio più evidente di questo </w:t>
      </w:r>
      <w:r w:rsidR="00625A43" w:rsidRPr="00051CAA">
        <w:rPr>
          <w:szCs w:val="24"/>
        </w:rPr>
        <w:t>"</w:t>
      </w:r>
      <w:r w:rsidR="007D61F8" w:rsidRPr="00051CAA">
        <w:rPr>
          <w:szCs w:val="24"/>
        </w:rPr>
        <w:t>scontro</w:t>
      </w:r>
      <w:r w:rsidR="00715627" w:rsidRPr="00051CAA">
        <w:rPr>
          <w:szCs w:val="24"/>
        </w:rPr>
        <w:t xml:space="preserve"> istituzionale</w:t>
      </w:r>
      <w:r w:rsidR="00625A43" w:rsidRPr="00051CAA">
        <w:rPr>
          <w:szCs w:val="24"/>
        </w:rPr>
        <w:t>"</w:t>
      </w:r>
      <w:r w:rsidRPr="00051CAA">
        <w:rPr>
          <w:szCs w:val="24"/>
        </w:rPr>
        <w:t xml:space="preserve"> è dato dall</w:t>
      </w:r>
      <w:r w:rsidR="00625A43" w:rsidRPr="00051CAA">
        <w:rPr>
          <w:szCs w:val="24"/>
        </w:rPr>
        <w:t>'</w:t>
      </w:r>
      <w:r w:rsidRPr="00051CAA">
        <w:rPr>
          <w:szCs w:val="24"/>
        </w:rPr>
        <w:t>introduzione di limiti localizzativi degli impianti all</w:t>
      </w:r>
      <w:r w:rsidR="00625A43" w:rsidRPr="00051CAA">
        <w:rPr>
          <w:szCs w:val="24"/>
        </w:rPr>
        <w:t>'</w:t>
      </w:r>
      <w:r w:rsidRPr="00051CAA">
        <w:rPr>
          <w:szCs w:val="24"/>
        </w:rPr>
        <w:t>interno dei regolamenti locali. Ai sensi dell</w:t>
      </w:r>
      <w:r w:rsidR="00625A43" w:rsidRPr="00051CAA">
        <w:rPr>
          <w:szCs w:val="24"/>
        </w:rPr>
        <w:t>'</w:t>
      </w:r>
      <w:r w:rsidRPr="00051CAA">
        <w:rPr>
          <w:szCs w:val="24"/>
        </w:rPr>
        <w:t xml:space="preserve">art. 8, co. 6, l. </w:t>
      </w:r>
      <w:r w:rsidR="00DD4ACA" w:rsidRPr="00051CAA">
        <w:rPr>
          <w:szCs w:val="24"/>
        </w:rPr>
        <w:t xml:space="preserve">quadro </w:t>
      </w:r>
      <w:r w:rsidRPr="00051CAA">
        <w:rPr>
          <w:szCs w:val="24"/>
        </w:rPr>
        <w:t xml:space="preserve">36/2001, </w:t>
      </w:r>
      <w:r w:rsidR="00715627" w:rsidRPr="00051CAA">
        <w:rPr>
          <w:szCs w:val="24"/>
        </w:rPr>
        <w:t xml:space="preserve">«[i] </w:t>
      </w:r>
      <w:r w:rsidR="00715627" w:rsidRPr="00051CAA">
        <w:rPr>
          <w:i/>
          <w:szCs w:val="24"/>
        </w:rPr>
        <w:t>comuni possono adottare un regolamento per assicurare il corretto insediamento urbanistico e territoriale degli impianti e minimizzare l</w:t>
      </w:r>
      <w:r w:rsidR="00625A43" w:rsidRPr="00051CAA">
        <w:rPr>
          <w:i/>
          <w:szCs w:val="24"/>
        </w:rPr>
        <w:t>'</w:t>
      </w:r>
      <w:r w:rsidR="00715627" w:rsidRPr="00051CAA">
        <w:rPr>
          <w:i/>
          <w:szCs w:val="24"/>
        </w:rPr>
        <w:t>esposizione della popolazione ai campi elettromagnetici con riferimento a siti sensibili individuati in modo specifico, con esclusione della possibilità di introdurre limitazioni alla localizzazione in aree generalizzate del territorio di stazioni radio base per reti di comunicazioni elettroniche di qualsiasi tipologia</w:t>
      </w:r>
      <w:r w:rsidR="00715627" w:rsidRPr="00051CAA">
        <w:rPr>
          <w:szCs w:val="24"/>
        </w:rPr>
        <w:t>»</w:t>
      </w:r>
      <w:r w:rsidRPr="00051CAA">
        <w:rPr>
          <w:szCs w:val="24"/>
        </w:rPr>
        <w:t xml:space="preserve">. </w:t>
      </w:r>
      <w:r w:rsidR="00C836F2" w:rsidRPr="00051CAA">
        <w:rPr>
          <w:szCs w:val="24"/>
        </w:rPr>
        <w:t>L</w:t>
      </w:r>
      <w:r w:rsidR="00625A43" w:rsidRPr="00051CAA">
        <w:rPr>
          <w:szCs w:val="24"/>
        </w:rPr>
        <w:t>'</w:t>
      </w:r>
      <w:r w:rsidR="00C836F2" w:rsidRPr="00051CAA">
        <w:rPr>
          <w:szCs w:val="24"/>
        </w:rPr>
        <w:t xml:space="preserve">attribuzione ai comuni di un potere </w:t>
      </w:r>
      <w:r w:rsidR="00715627" w:rsidRPr="00051CAA">
        <w:rPr>
          <w:szCs w:val="24"/>
        </w:rPr>
        <w:t>regolamentare</w:t>
      </w:r>
      <w:r w:rsidR="00C836F2" w:rsidRPr="00051CAA">
        <w:rPr>
          <w:szCs w:val="24"/>
        </w:rPr>
        <w:t xml:space="preserve"> in materia ha generato non pochi tentativi di </w:t>
      </w:r>
      <w:r w:rsidR="00026598" w:rsidRPr="00051CAA">
        <w:rPr>
          <w:szCs w:val="24"/>
        </w:rPr>
        <w:t>interdire</w:t>
      </w:r>
      <w:r w:rsidR="00C836F2" w:rsidRPr="00051CAA">
        <w:rPr>
          <w:szCs w:val="24"/>
        </w:rPr>
        <w:t>, in tutto o in parte, l</w:t>
      </w:r>
      <w:r w:rsidR="00625A43" w:rsidRPr="00051CAA">
        <w:rPr>
          <w:szCs w:val="24"/>
        </w:rPr>
        <w:t>'</w:t>
      </w:r>
      <w:r w:rsidR="00C836F2" w:rsidRPr="00051CAA">
        <w:rPr>
          <w:szCs w:val="24"/>
        </w:rPr>
        <w:t xml:space="preserve">installazione </w:t>
      </w:r>
      <w:r w:rsidR="00C836F2" w:rsidRPr="00051CAA">
        <w:rPr>
          <w:szCs w:val="24"/>
        </w:rPr>
        <w:lastRenderedPageBreak/>
        <w:t>delle infrastrutture di comunicazione sul territorio dei singoli enti, mediante l</w:t>
      </w:r>
      <w:r w:rsidR="00625A43" w:rsidRPr="00051CAA">
        <w:rPr>
          <w:szCs w:val="24"/>
        </w:rPr>
        <w:t>'</w:t>
      </w:r>
      <w:r w:rsidR="00C836F2" w:rsidRPr="00051CAA">
        <w:rPr>
          <w:szCs w:val="24"/>
        </w:rPr>
        <w:t>introduzione di stringenti limiti alla localizzazione di tali impianti</w:t>
      </w:r>
      <w:r w:rsidR="00C836F2" w:rsidRPr="00051CAA">
        <w:rPr>
          <w:rStyle w:val="Rimandonotaapidipagina"/>
          <w:szCs w:val="24"/>
        </w:rPr>
        <w:footnoteReference w:id="17"/>
      </w:r>
      <w:r w:rsidR="00C836F2" w:rsidRPr="00051CAA">
        <w:rPr>
          <w:szCs w:val="24"/>
        </w:rPr>
        <w:t xml:space="preserve">. </w:t>
      </w:r>
    </w:p>
    <w:p w14:paraId="34A60B0E" w14:textId="77777777" w:rsidR="00BD3962" w:rsidRPr="00051CAA" w:rsidRDefault="00C836F2" w:rsidP="00AE3FE4">
      <w:pPr>
        <w:autoSpaceDE w:val="0"/>
        <w:autoSpaceDN w:val="0"/>
        <w:adjustRightInd w:val="0"/>
        <w:spacing w:line="276" w:lineRule="auto"/>
        <w:rPr>
          <w:szCs w:val="24"/>
        </w:rPr>
      </w:pPr>
      <w:r w:rsidRPr="00051CAA">
        <w:rPr>
          <w:szCs w:val="24"/>
        </w:rPr>
        <w:t xml:space="preserve">Questa tendenza è stata arginata sia </w:t>
      </w:r>
      <w:r w:rsidR="001F04AD" w:rsidRPr="00051CAA">
        <w:rPr>
          <w:szCs w:val="24"/>
        </w:rPr>
        <w:t xml:space="preserve">a </w:t>
      </w:r>
      <w:r w:rsidRPr="00051CAA">
        <w:rPr>
          <w:szCs w:val="24"/>
        </w:rPr>
        <w:t>livello legislativo</w:t>
      </w:r>
      <w:r w:rsidR="001F04AD" w:rsidRPr="00051CAA">
        <w:rPr>
          <w:szCs w:val="24"/>
        </w:rPr>
        <w:t xml:space="preserve"> sia a livello giurisprudenziale</w:t>
      </w:r>
      <w:r w:rsidRPr="00051CAA">
        <w:rPr>
          <w:szCs w:val="24"/>
        </w:rPr>
        <w:t xml:space="preserve">. </w:t>
      </w:r>
    </w:p>
    <w:p w14:paraId="52EB8C85" w14:textId="77777777" w:rsidR="00BD3962" w:rsidRPr="00051CAA" w:rsidRDefault="001F04AD" w:rsidP="00AE3FE4">
      <w:pPr>
        <w:autoSpaceDE w:val="0"/>
        <w:autoSpaceDN w:val="0"/>
        <w:adjustRightInd w:val="0"/>
        <w:spacing w:line="276" w:lineRule="auto"/>
        <w:rPr>
          <w:szCs w:val="24"/>
        </w:rPr>
      </w:pPr>
      <w:r w:rsidRPr="00051CAA">
        <w:rPr>
          <w:szCs w:val="24"/>
        </w:rPr>
        <w:t xml:space="preserve">Con il </w:t>
      </w:r>
      <w:proofErr w:type="spellStart"/>
      <w:r w:rsidRPr="00051CAA">
        <w:rPr>
          <w:szCs w:val="24"/>
        </w:rPr>
        <w:t>d.l.</w:t>
      </w:r>
      <w:proofErr w:type="spellEnd"/>
      <w:r w:rsidRPr="00051CAA">
        <w:rPr>
          <w:szCs w:val="24"/>
        </w:rPr>
        <w:t xml:space="preserve"> 76/2020, </w:t>
      </w:r>
      <w:proofErr w:type="spellStart"/>
      <w:r w:rsidRPr="00051CAA">
        <w:rPr>
          <w:szCs w:val="24"/>
        </w:rPr>
        <w:t>conv</w:t>
      </w:r>
      <w:proofErr w:type="spellEnd"/>
      <w:r w:rsidRPr="00051CAA">
        <w:rPr>
          <w:szCs w:val="24"/>
        </w:rPr>
        <w:t xml:space="preserve">. in l. 120/2020, il legislatore ha rimodulato la norma, esplicitando i vari limiti della pianificazione comunale, </w:t>
      </w:r>
      <w:r w:rsidR="00BD3962" w:rsidRPr="00051CAA">
        <w:rPr>
          <w:szCs w:val="24"/>
        </w:rPr>
        <w:t xml:space="preserve">attraverso </w:t>
      </w:r>
      <w:r w:rsidRPr="00051CAA">
        <w:rPr>
          <w:szCs w:val="24"/>
        </w:rPr>
        <w:t xml:space="preserve">la </w:t>
      </w:r>
      <w:r w:rsidR="00026598" w:rsidRPr="00051CAA">
        <w:rPr>
          <w:szCs w:val="24"/>
        </w:rPr>
        <w:t xml:space="preserve">precisazione per cui </w:t>
      </w:r>
      <w:r w:rsidR="00BD3962" w:rsidRPr="00051CAA">
        <w:rPr>
          <w:szCs w:val="24"/>
        </w:rPr>
        <w:t>la</w:t>
      </w:r>
      <w:r w:rsidRPr="00051CAA">
        <w:rPr>
          <w:szCs w:val="24"/>
        </w:rPr>
        <w:t xml:space="preserve"> minimizzazione </w:t>
      </w:r>
      <w:r w:rsidR="00BD3962" w:rsidRPr="00051CAA">
        <w:rPr>
          <w:szCs w:val="24"/>
        </w:rPr>
        <w:t>dell'esposizione della</w:t>
      </w:r>
      <w:r w:rsidRPr="00051CAA">
        <w:rPr>
          <w:szCs w:val="24"/>
        </w:rPr>
        <w:t xml:space="preserve"> popolazione alle onde elettromagnetiche </w:t>
      </w:r>
      <w:r w:rsidR="00BD3962" w:rsidRPr="00051CAA">
        <w:rPr>
          <w:szCs w:val="24"/>
        </w:rPr>
        <w:t>deve</w:t>
      </w:r>
      <w:r w:rsidRPr="00051CAA">
        <w:rPr>
          <w:szCs w:val="24"/>
        </w:rPr>
        <w:t xml:space="preserve"> essere </w:t>
      </w:r>
      <w:r w:rsidR="00BD3962" w:rsidRPr="00051CAA">
        <w:rPr>
          <w:szCs w:val="24"/>
        </w:rPr>
        <w:t>riferita</w:t>
      </w:r>
      <w:r w:rsidRPr="00051CAA">
        <w:rPr>
          <w:szCs w:val="24"/>
        </w:rPr>
        <w:t xml:space="preserve"> a siti sensibili individuati in modo specifico, nonché </w:t>
      </w:r>
      <w:r w:rsidR="00BD3962" w:rsidRPr="00051CAA">
        <w:rPr>
          <w:szCs w:val="24"/>
        </w:rPr>
        <w:t>mediante il</w:t>
      </w:r>
      <w:r w:rsidRPr="00051CAA">
        <w:rPr>
          <w:szCs w:val="24"/>
        </w:rPr>
        <w:t xml:space="preserve"> divieto </w:t>
      </w:r>
      <w:r w:rsidR="00CB19FC" w:rsidRPr="00051CAA">
        <w:rPr>
          <w:szCs w:val="24"/>
        </w:rPr>
        <w:t>di introdurre limitazioni alla localizzazione degli impianti in aree generalizzate del territorio</w:t>
      </w:r>
      <w:r w:rsidR="00026598" w:rsidRPr="00051CAA">
        <w:rPr>
          <w:szCs w:val="24"/>
        </w:rPr>
        <w:t>.</w:t>
      </w:r>
      <w:r w:rsidR="00CB19FC" w:rsidRPr="00051CAA">
        <w:rPr>
          <w:szCs w:val="24"/>
        </w:rPr>
        <w:t xml:space="preserve"> </w:t>
      </w:r>
    </w:p>
    <w:p w14:paraId="36728D8F" w14:textId="021350BB" w:rsidR="00026598" w:rsidRPr="00051CAA" w:rsidRDefault="00CB19FC" w:rsidP="00AE3FE4">
      <w:pPr>
        <w:autoSpaceDE w:val="0"/>
        <w:autoSpaceDN w:val="0"/>
        <w:adjustRightInd w:val="0"/>
        <w:spacing w:line="276" w:lineRule="auto"/>
        <w:rPr>
          <w:szCs w:val="24"/>
        </w:rPr>
      </w:pPr>
      <w:r w:rsidRPr="00051CAA">
        <w:rPr>
          <w:szCs w:val="24"/>
        </w:rPr>
        <w:t>Già prima di questo intervento normativo, l</w:t>
      </w:r>
      <w:r w:rsidR="00C836F2" w:rsidRPr="00051CAA">
        <w:rPr>
          <w:szCs w:val="24"/>
        </w:rPr>
        <w:t>a giurisprudenza</w:t>
      </w:r>
      <w:r w:rsidR="003D3CE9" w:rsidRPr="00051CAA">
        <w:rPr>
          <w:szCs w:val="24"/>
        </w:rPr>
        <w:t xml:space="preserve">, cogliendo </w:t>
      </w:r>
      <w:r w:rsidRPr="00051CAA">
        <w:rPr>
          <w:szCs w:val="24"/>
        </w:rPr>
        <w:t xml:space="preserve">il generale </w:t>
      </w:r>
      <w:r w:rsidRPr="00051CAA">
        <w:rPr>
          <w:i/>
          <w:szCs w:val="24"/>
        </w:rPr>
        <w:t xml:space="preserve">favor </w:t>
      </w:r>
      <w:r w:rsidR="003D3CE9" w:rsidRPr="00051CAA">
        <w:rPr>
          <w:szCs w:val="24"/>
        </w:rPr>
        <w:t>pubblico per le infrastrutture e i servizi di comunicazione</w:t>
      </w:r>
      <w:r w:rsidR="00C979BD" w:rsidRPr="00051CAA">
        <w:rPr>
          <w:szCs w:val="24"/>
        </w:rPr>
        <w:t>,</w:t>
      </w:r>
      <w:r w:rsidR="00C836F2" w:rsidRPr="00051CAA">
        <w:rPr>
          <w:szCs w:val="24"/>
        </w:rPr>
        <w:t xml:space="preserve"> </w:t>
      </w:r>
      <w:r w:rsidR="003D3CE9" w:rsidRPr="00051CAA">
        <w:rPr>
          <w:szCs w:val="24"/>
        </w:rPr>
        <w:t>aveva</w:t>
      </w:r>
      <w:r w:rsidR="00C836F2" w:rsidRPr="00051CAA">
        <w:rPr>
          <w:szCs w:val="24"/>
        </w:rPr>
        <w:t xml:space="preserve"> chiarito che i regolamenti comunali non possono precludere l</w:t>
      </w:r>
      <w:r w:rsidR="00625A43" w:rsidRPr="00051CAA">
        <w:rPr>
          <w:szCs w:val="24"/>
        </w:rPr>
        <w:t>'</w:t>
      </w:r>
      <w:r w:rsidR="00C836F2" w:rsidRPr="00051CAA">
        <w:rPr>
          <w:szCs w:val="24"/>
        </w:rPr>
        <w:t>apposizione di impianti in intere zone territoriali, così minando l</w:t>
      </w:r>
      <w:r w:rsidR="00625A43" w:rsidRPr="00051CAA">
        <w:rPr>
          <w:szCs w:val="24"/>
        </w:rPr>
        <w:t>'</w:t>
      </w:r>
      <w:r w:rsidR="00C836F2" w:rsidRPr="00051CAA">
        <w:rPr>
          <w:szCs w:val="24"/>
        </w:rPr>
        <w:t>obiettivo di una capillare, dunque integrale, copertura di rete</w:t>
      </w:r>
      <w:r w:rsidR="00CF460A" w:rsidRPr="00051CAA">
        <w:rPr>
          <w:szCs w:val="24"/>
        </w:rPr>
        <w:t>. D</w:t>
      </w:r>
      <w:r w:rsidR="00026598" w:rsidRPr="00051CAA">
        <w:rPr>
          <w:szCs w:val="24"/>
        </w:rPr>
        <w:t>el resto, la qualificazione delle infrast</w:t>
      </w:r>
      <w:r w:rsidR="00BD3962" w:rsidRPr="00051CAA">
        <w:rPr>
          <w:szCs w:val="24"/>
        </w:rPr>
        <w:t>rutture di reti di comunicazione</w:t>
      </w:r>
      <w:r w:rsidR="00026598" w:rsidRPr="00051CAA">
        <w:rPr>
          <w:szCs w:val="24"/>
        </w:rPr>
        <w:t xml:space="preserve"> alla stregua di opere di urbanizzazione primaria, </w:t>
      </w:r>
      <w:r w:rsidR="00026598" w:rsidRPr="00051CAA">
        <w:rPr>
          <w:i/>
          <w:szCs w:val="24"/>
        </w:rPr>
        <w:t>ex</w:t>
      </w:r>
      <w:r w:rsidR="00026598" w:rsidRPr="00051CAA">
        <w:rPr>
          <w:szCs w:val="24"/>
        </w:rPr>
        <w:t xml:space="preserve"> art. 43, co. 4 – già 86, co. 3 – cod. </w:t>
      </w:r>
      <w:proofErr w:type="spellStart"/>
      <w:r w:rsidR="00026598" w:rsidRPr="00051CAA">
        <w:rPr>
          <w:szCs w:val="24"/>
        </w:rPr>
        <w:t>com</w:t>
      </w:r>
      <w:proofErr w:type="spellEnd"/>
      <w:r w:rsidR="00026598" w:rsidRPr="00051CAA">
        <w:rPr>
          <w:szCs w:val="24"/>
        </w:rPr>
        <w:t xml:space="preserve">. </w:t>
      </w:r>
      <w:proofErr w:type="spellStart"/>
      <w:r w:rsidR="00026598" w:rsidRPr="00051CAA">
        <w:rPr>
          <w:szCs w:val="24"/>
        </w:rPr>
        <w:t>elettr</w:t>
      </w:r>
      <w:proofErr w:type="spellEnd"/>
      <w:r w:rsidR="00026598" w:rsidRPr="00051CAA">
        <w:rPr>
          <w:szCs w:val="24"/>
        </w:rPr>
        <w:t xml:space="preserve">., mira proprio ad assicurare la loro collocabilità in ogni zona urbanistica. </w:t>
      </w:r>
      <w:r w:rsidR="00C836F2" w:rsidRPr="00051CAA">
        <w:rPr>
          <w:szCs w:val="24"/>
        </w:rPr>
        <w:t xml:space="preserve">Ne è sorta la nota distinzione tra </w:t>
      </w:r>
      <w:r w:rsidR="00BD3962" w:rsidRPr="00051CAA">
        <w:rPr>
          <w:szCs w:val="24"/>
        </w:rPr>
        <w:t>"</w:t>
      </w:r>
      <w:r w:rsidR="00C836F2" w:rsidRPr="00051CAA">
        <w:rPr>
          <w:szCs w:val="24"/>
        </w:rPr>
        <w:t>criteri localizzativi</w:t>
      </w:r>
      <w:r w:rsidR="00BD3962" w:rsidRPr="00051CAA">
        <w:rPr>
          <w:szCs w:val="24"/>
        </w:rPr>
        <w:t>"</w:t>
      </w:r>
      <w:r w:rsidR="00C836F2" w:rsidRPr="00051CAA">
        <w:rPr>
          <w:szCs w:val="24"/>
        </w:rPr>
        <w:t xml:space="preserve">, ammessi, e </w:t>
      </w:r>
      <w:r w:rsidR="00BD3962" w:rsidRPr="00051CAA">
        <w:rPr>
          <w:szCs w:val="24"/>
        </w:rPr>
        <w:t>"</w:t>
      </w:r>
      <w:r w:rsidR="00C836F2" w:rsidRPr="00051CAA">
        <w:rPr>
          <w:szCs w:val="24"/>
        </w:rPr>
        <w:t>limiti alla localizzazione</w:t>
      </w:r>
      <w:r w:rsidR="00BD3962" w:rsidRPr="00051CAA">
        <w:rPr>
          <w:szCs w:val="24"/>
        </w:rPr>
        <w:t>"</w:t>
      </w:r>
      <w:r w:rsidR="00C836F2" w:rsidRPr="00051CAA">
        <w:rPr>
          <w:szCs w:val="24"/>
        </w:rPr>
        <w:t>, vietati: ai comuni è consentito individuare criteri per la localizzazione degli impianti di comunicazione, identificando cioè le aree del territorio dove meglio è possibile contemperare gli interessi di salute, paesaggio, ambiente e diritti di comunicazione, mentre non è permesso prescrivere esclusivamente limitazioni alla localizzazione degli impianti, soprattutto se consistenti in criteri distanziali generici ed eterogenei, che rendano di fatto impossibile una copertura soddisfacente dei servizi di comunicazione (Cons. Stato, Sez. VI, 5 luglio 2022, n. 5591).</w:t>
      </w:r>
      <w:r w:rsidR="00083D89" w:rsidRPr="00051CAA">
        <w:rPr>
          <w:szCs w:val="24"/>
        </w:rPr>
        <w:t xml:space="preserve"> È, di conseguenza, precluso il ricorso alla tecnica dell</w:t>
      </w:r>
      <w:r w:rsidR="00625A43" w:rsidRPr="00051CAA">
        <w:rPr>
          <w:szCs w:val="24"/>
        </w:rPr>
        <w:t>'</w:t>
      </w:r>
      <w:r w:rsidR="00083D89" w:rsidRPr="00051CAA">
        <w:rPr>
          <w:szCs w:val="24"/>
        </w:rPr>
        <w:t>azzonamento per individuare le aree del territorio in cui solo è consentito concentrare le infrastrutture di rete, vietando l</w:t>
      </w:r>
      <w:r w:rsidR="00625A43" w:rsidRPr="00051CAA">
        <w:rPr>
          <w:szCs w:val="24"/>
        </w:rPr>
        <w:t>'</w:t>
      </w:r>
      <w:r w:rsidR="00083D89" w:rsidRPr="00051CAA">
        <w:rPr>
          <w:szCs w:val="24"/>
        </w:rPr>
        <w:t>allocazione di si</w:t>
      </w:r>
      <w:r w:rsidR="00810AA5" w:rsidRPr="00051CAA">
        <w:rPr>
          <w:szCs w:val="24"/>
        </w:rPr>
        <w:t>mili strutture nelle altre zone, potendosi solo dettare dei criteri di prefer</w:t>
      </w:r>
      <w:r w:rsidR="00715627" w:rsidRPr="00051CAA">
        <w:rPr>
          <w:szCs w:val="24"/>
        </w:rPr>
        <w:t xml:space="preserve">enza per il loro </w:t>
      </w:r>
      <w:r w:rsidR="00810AA5" w:rsidRPr="00051CAA">
        <w:rPr>
          <w:szCs w:val="24"/>
        </w:rPr>
        <w:t>insediamento</w:t>
      </w:r>
      <w:r w:rsidR="00332DBD" w:rsidRPr="00051CAA">
        <w:rPr>
          <w:szCs w:val="24"/>
        </w:rPr>
        <w:t xml:space="preserve"> (Cons. Stato, Sez. VI, 13 maggio 2025, n. 4075)</w:t>
      </w:r>
      <w:r w:rsidR="00810AA5" w:rsidRPr="00051CAA">
        <w:rPr>
          <w:szCs w:val="24"/>
        </w:rPr>
        <w:t>.</w:t>
      </w:r>
      <w:r w:rsidR="00083D89" w:rsidRPr="00051CAA">
        <w:rPr>
          <w:szCs w:val="24"/>
        </w:rPr>
        <w:t xml:space="preserve"> Allo stesso modo, </w:t>
      </w:r>
      <w:r w:rsidR="00AC58CB" w:rsidRPr="00051CAA">
        <w:rPr>
          <w:szCs w:val="24"/>
        </w:rPr>
        <w:t>è possibile</w:t>
      </w:r>
      <w:r w:rsidR="0001215F" w:rsidRPr="00051CAA">
        <w:rPr>
          <w:szCs w:val="24"/>
        </w:rPr>
        <w:t xml:space="preserve"> soltanto</w:t>
      </w:r>
      <w:r w:rsidR="00083D89" w:rsidRPr="00051CAA">
        <w:rPr>
          <w:szCs w:val="24"/>
        </w:rPr>
        <w:t xml:space="preserve"> individuare </w:t>
      </w:r>
      <w:r w:rsidR="0001215F" w:rsidRPr="00051CAA">
        <w:rPr>
          <w:szCs w:val="24"/>
        </w:rPr>
        <w:t xml:space="preserve">specifici </w:t>
      </w:r>
      <w:r w:rsidR="00625A43" w:rsidRPr="00051CAA">
        <w:rPr>
          <w:szCs w:val="24"/>
        </w:rPr>
        <w:t>"</w:t>
      </w:r>
      <w:r w:rsidR="00083D89" w:rsidRPr="00051CAA">
        <w:rPr>
          <w:szCs w:val="24"/>
        </w:rPr>
        <w:t>siti sensibili</w:t>
      </w:r>
      <w:r w:rsidR="00625A43" w:rsidRPr="00051CAA">
        <w:rPr>
          <w:szCs w:val="24"/>
        </w:rPr>
        <w:t>"</w:t>
      </w:r>
      <w:r w:rsidR="00083D89" w:rsidRPr="00051CAA">
        <w:rPr>
          <w:szCs w:val="24"/>
        </w:rPr>
        <w:t xml:space="preserve">, ossia </w:t>
      </w:r>
      <w:r w:rsidR="00810AA5" w:rsidRPr="00051CAA">
        <w:rPr>
          <w:szCs w:val="24"/>
        </w:rPr>
        <w:t>singoli beni che abbiano particolare pregio artistico, naturalistico o paesaggistico oppure che ospitino fasce di popolazione a maggior rischio espositivo, quali ospedali e scuole,</w:t>
      </w:r>
      <w:r w:rsidR="009B29F4" w:rsidRPr="00051CAA">
        <w:rPr>
          <w:szCs w:val="24"/>
        </w:rPr>
        <w:t xml:space="preserve"> dai quali allontanare le infrastrutture,</w:t>
      </w:r>
      <w:r w:rsidR="00AC58CB" w:rsidRPr="00051CAA">
        <w:rPr>
          <w:szCs w:val="24"/>
        </w:rPr>
        <w:t xml:space="preserve"> mentre non è consentito introdurre distanze minime da</w:t>
      </w:r>
      <w:r w:rsidR="008B32A4">
        <w:rPr>
          <w:szCs w:val="24"/>
        </w:rPr>
        <w:t xml:space="preserve"> talune categorie di</w:t>
      </w:r>
      <w:r w:rsidR="00AC58CB" w:rsidRPr="00051CAA">
        <w:rPr>
          <w:szCs w:val="24"/>
        </w:rPr>
        <w:t xml:space="preserve"> edifici (Cons. Stato, Sez. VI, 9 gennaio 2013, n. 44; Id., 3 giugno 2019, n. 3679</w:t>
      </w:r>
      <w:r w:rsidR="009B29F4" w:rsidRPr="00051CAA">
        <w:rPr>
          <w:szCs w:val="24"/>
        </w:rPr>
        <w:t>)</w:t>
      </w:r>
      <w:r w:rsidR="00CC3B1A" w:rsidRPr="00051CAA">
        <w:rPr>
          <w:szCs w:val="24"/>
        </w:rPr>
        <w:t>.</w:t>
      </w:r>
      <w:r w:rsidR="009B29F4" w:rsidRPr="00051CAA">
        <w:rPr>
          <w:szCs w:val="24"/>
        </w:rPr>
        <w:t xml:space="preserve"> In ogni caso, a fronte di qualunque criterio localizzativo fissato dai comuni, è sempre necessario che vi siano valide alternative di ubicazione </w:t>
      </w:r>
      <w:r w:rsidR="008B32A4">
        <w:rPr>
          <w:szCs w:val="24"/>
        </w:rPr>
        <w:lastRenderedPageBreak/>
        <w:t xml:space="preserve">degli impianti </w:t>
      </w:r>
      <w:r w:rsidR="009B29F4" w:rsidRPr="00051CAA">
        <w:rPr>
          <w:szCs w:val="24"/>
        </w:rPr>
        <w:t>che assicurino la realizzazione di una rete completa di infrastrutture per le comunicazioni (Cons. Stato, Sez. VI, 3</w:t>
      </w:r>
      <w:r w:rsidR="00CF460A" w:rsidRPr="00051CAA">
        <w:rPr>
          <w:szCs w:val="24"/>
        </w:rPr>
        <w:t xml:space="preserve"> giugno </w:t>
      </w:r>
      <w:r w:rsidR="009B29F4" w:rsidRPr="00051CAA">
        <w:rPr>
          <w:szCs w:val="24"/>
        </w:rPr>
        <w:t>2019, n. 3679</w:t>
      </w:r>
      <w:r w:rsidR="00CF460A" w:rsidRPr="00051CAA">
        <w:rPr>
          <w:szCs w:val="24"/>
        </w:rPr>
        <w:t xml:space="preserve">; Id., </w:t>
      </w:r>
      <w:r w:rsidR="00CF460A" w:rsidRPr="00051CAA">
        <w:rPr>
          <w:rFonts w:eastAsia="Times New Roman" w:cs="Times New Roman"/>
          <w:color w:val="000000"/>
          <w:szCs w:val="24"/>
          <w:lang w:eastAsia="it-IT"/>
        </w:rPr>
        <w:t>11 gennaio 2021, n. 374</w:t>
      </w:r>
      <w:r w:rsidR="009B29F4" w:rsidRPr="00051CAA">
        <w:rPr>
          <w:szCs w:val="24"/>
        </w:rPr>
        <w:t>)</w:t>
      </w:r>
      <w:r w:rsidR="00C979BD" w:rsidRPr="00051CAA">
        <w:rPr>
          <w:szCs w:val="24"/>
        </w:rPr>
        <w:t>.</w:t>
      </w:r>
      <w:r w:rsidR="001F04AD" w:rsidRPr="00051CAA">
        <w:rPr>
          <w:szCs w:val="24"/>
        </w:rPr>
        <w:t xml:space="preserve"> </w:t>
      </w:r>
      <w:r w:rsidR="00A3073D" w:rsidRPr="00051CAA">
        <w:rPr>
          <w:szCs w:val="24"/>
        </w:rPr>
        <w:t>Queste considerazioni valgono anche per comuni di limitata estensione territoriale, dal momento che pure in essi deve essere garantita la</w:t>
      </w:r>
      <w:r w:rsidR="00026598" w:rsidRPr="00051CAA">
        <w:rPr>
          <w:szCs w:val="24"/>
        </w:rPr>
        <w:t xml:space="preserve"> piena</w:t>
      </w:r>
      <w:r w:rsidR="00A3073D" w:rsidRPr="00051CAA">
        <w:rPr>
          <w:szCs w:val="24"/>
        </w:rPr>
        <w:t xml:space="preserve"> copertura di rete (Cons. Stato, Sez. VI, 13 maggio 2025, n. 4075)</w:t>
      </w:r>
      <w:r w:rsidR="00026598" w:rsidRPr="00051CAA">
        <w:rPr>
          <w:szCs w:val="24"/>
        </w:rPr>
        <w:t>.</w:t>
      </w:r>
    </w:p>
    <w:p w14:paraId="61E8459F" w14:textId="77BD37FA" w:rsidR="008F6A58" w:rsidRPr="00051CAA" w:rsidRDefault="00CC3B1A" w:rsidP="00AE3FE4">
      <w:pPr>
        <w:autoSpaceDE w:val="0"/>
        <w:autoSpaceDN w:val="0"/>
        <w:adjustRightInd w:val="0"/>
        <w:spacing w:line="276" w:lineRule="auto"/>
        <w:rPr>
          <w:szCs w:val="24"/>
        </w:rPr>
      </w:pPr>
      <w:r w:rsidRPr="00051CAA">
        <w:rPr>
          <w:szCs w:val="24"/>
        </w:rPr>
        <w:t xml:space="preserve">Per vero, la giurisprudenza è arrivata </w:t>
      </w:r>
      <w:r w:rsidR="00F73273" w:rsidRPr="00051CAA">
        <w:rPr>
          <w:szCs w:val="24"/>
        </w:rPr>
        <w:t xml:space="preserve">financo </w:t>
      </w:r>
      <w:r w:rsidRPr="00051CAA">
        <w:rPr>
          <w:szCs w:val="24"/>
        </w:rPr>
        <w:t>a dubitare della compatibilità dell</w:t>
      </w:r>
      <w:r w:rsidR="00625A43" w:rsidRPr="00051CAA">
        <w:rPr>
          <w:szCs w:val="24"/>
        </w:rPr>
        <w:t>'</w:t>
      </w:r>
      <w:r w:rsidRPr="00051CAA">
        <w:rPr>
          <w:szCs w:val="24"/>
        </w:rPr>
        <w:t>attribuzione</w:t>
      </w:r>
      <w:r w:rsidR="00F73273" w:rsidRPr="00051CAA">
        <w:rPr>
          <w:szCs w:val="24"/>
        </w:rPr>
        <w:t>, ad opera dell</w:t>
      </w:r>
      <w:r w:rsidR="00625A43" w:rsidRPr="00051CAA">
        <w:rPr>
          <w:szCs w:val="24"/>
        </w:rPr>
        <w:t>'</w:t>
      </w:r>
      <w:r w:rsidR="00F73273" w:rsidRPr="00051CAA">
        <w:rPr>
          <w:szCs w:val="24"/>
        </w:rPr>
        <w:t>art. 8, co. 6, l. 36/2001,</w:t>
      </w:r>
      <w:r w:rsidRPr="00051CAA">
        <w:rPr>
          <w:szCs w:val="24"/>
        </w:rPr>
        <w:t xml:space="preserve"> del potere comunale di disciplinare l</w:t>
      </w:r>
      <w:r w:rsidR="00625A43" w:rsidRPr="00051CAA">
        <w:rPr>
          <w:szCs w:val="24"/>
        </w:rPr>
        <w:t>'</w:t>
      </w:r>
      <w:r w:rsidRPr="00051CAA">
        <w:rPr>
          <w:szCs w:val="24"/>
        </w:rPr>
        <w:t>insediamento degli impianti di telecomunicazione con il diritto europeo e, in particolare, con l</w:t>
      </w:r>
      <w:r w:rsidR="00625A43" w:rsidRPr="00051CAA">
        <w:rPr>
          <w:szCs w:val="24"/>
        </w:rPr>
        <w:t>'</w:t>
      </w:r>
      <w:r w:rsidRPr="00051CAA">
        <w:rPr>
          <w:szCs w:val="24"/>
        </w:rPr>
        <w:t xml:space="preserve">obiettivo di sviluppare una efficiente e capillare rete di comunicazione a supporto del mercato interno. </w:t>
      </w:r>
      <w:r w:rsidR="00F73273" w:rsidRPr="00051CAA">
        <w:rPr>
          <w:szCs w:val="24"/>
        </w:rPr>
        <w:t>La questione pregiudiziale</w:t>
      </w:r>
      <w:r w:rsidR="00BD3962" w:rsidRPr="00051CAA">
        <w:rPr>
          <w:szCs w:val="24"/>
        </w:rPr>
        <w:t>,</w:t>
      </w:r>
      <w:r w:rsidR="00F73273" w:rsidRPr="00051CAA">
        <w:rPr>
          <w:szCs w:val="24"/>
        </w:rPr>
        <w:t xml:space="preserve"> sollevata dal Consiglio di Stato</w:t>
      </w:r>
      <w:r w:rsidR="00BD3962" w:rsidRPr="00051CAA">
        <w:rPr>
          <w:szCs w:val="24"/>
        </w:rPr>
        <w:t>,</w:t>
      </w:r>
      <w:r w:rsidR="00F73273" w:rsidRPr="00051CAA">
        <w:rPr>
          <w:szCs w:val="24"/>
        </w:rPr>
        <w:t xml:space="preserve"> è stata dichiarata irricevibile dalla Corte di Giustizia dell</w:t>
      </w:r>
      <w:r w:rsidR="00625A43" w:rsidRPr="00051CAA">
        <w:rPr>
          <w:szCs w:val="24"/>
        </w:rPr>
        <w:t>'</w:t>
      </w:r>
      <w:r w:rsidR="00F73273" w:rsidRPr="00051CAA">
        <w:rPr>
          <w:szCs w:val="24"/>
        </w:rPr>
        <w:t>Unione europea, per un errore nell</w:t>
      </w:r>
      <w:r w:rsidR="00625A43" w:rsidRPr="00051CAA">
        <w:rPr>
          <w:szCs w:val="24"/>
        </w:rPr>
        <w:t>'</w:t>
      </w:r>
      <w:r w:rsidR="00F73273" w:rsidRPr="00051CAA">
        <w:rPr>
          <w:szCs w:val="24"/>
        </w:rPr>
        <w:t xml:space="preserve">individuazione della normativa europea di riferimento. Ad ogni modo, a seguito di tale vicenda, la giurisprudenza italiana si è assestata su posizioni maggiormente moderate, concludendo che il legislatore europeo non abbia, comunque, voluto conculcare </w:t>
      </w:r>
      <w:r w:rsidR="00670BD6" w:rsidRPr="00051CAA">
        <w:rPr>
          <w:szCs w:val="24"/>
        </w:rPr>
        <w:t>l</w:t>
      </w:r>
      <w:r w:rsidR="00625A43" w:rsidRPr="00051CAA">
        <w:rPr>
          <w:szCs w:val="24"/>
        </w:rPr>
        <w:t>'</w:t>
      </w:r>
      <w:r w:rsidR="00670BD6" w:rsidRPr="00051CAA">
        <w:rPr>
          <w:szCs w:val="24"/>
        </w:rPr>
        <w:t>autonoma capacità degli enti locali di regolare l</w:t>
      </w:r>
      <w:r w:rsidR="00625A43" w:rsidRPr="00051CAA">
        <w:rPr>
          <w:szCs w:val="24"/>
        </w:rPr>
        <w:t>'</w:t>
      </w:r>
      <w:r w:rsidR="00670BD6" w:rsidRPr="00051CAA">
        <w:rPr>
          <w:szCs w:val="24"/>
        </w:rPr>
        <w:t>uso del proprio territorio, sempre che tale potere sia esercitato in modo da non frapporre ostacoli all</w:t>
      </w:r>
      <w:r w:rsidR="00625A43" w:rsidRPr="00051CAA">
        <w:rPr>
          <w:szCs w:val="24"/>
        </w:rPr>
        <w:t>'</w:t>
      </w:r>
      <w:r w:rsidR="00670BD6" w:rsidRPr="00051CAA">
        <w:rPr>
          <w:szCs w:val="24"/>
        </w:rPr>
        <w:t>obiettivo della piena copertura dei servizi di comunicazione</w:t>
      </w:r>
      <w:r w:rsidR="00670BD6" w:rsidRPr="00051CAA">
        <w:rPr>
          <w:rStyle w:val="Rimandonotaapidipagina"/>
          <w:szCs w:val="24"/>
        </w:rPr>
        <w:footnoteReference w:id="18"/>
      </w:r>
      <w:r w:rsidR="00670BD6" w:rsidRPr="00051CAA">
        <w:rPr>
          <w:szCs w:val="24"/>
        </w:rPr>
        <w:t xml:space="preserve">.  </w:t>
      </w:r>
      <w:r w:rsidR="007D61F8" w:rsidRPr="00051CAA">
        <w:rPr>
          <w:szCs w:val="24"/>
        </w:rPr>
        <w:t xml:space="preserve"> </w:t>
      </w:r>
    </w:p>
    <w:p w14:paraId="3BD1183C" w14:textId="3347B7B3" w:rsidR="00026598" w:rsidRPr="00051CAA" w:rsidRDefault="00026598" w:rsidP="00AE3FE4">
      <w:pPr>
        <w:autoSpaceDE w:val="0"/>
        <w:autoSpaceDN w:val="0"/>
        <w:adjustRightInd w:val="0"/>
        <w:spacing w:line="276" w:lineRule="auto"/>
        <w:rPr>
          <w:szCs w:val="24"/>
        </w:rPr>
      </w:pPr>
      <w:r w:rsidRPr="00051CAA">
        <w:rPr>
          <w:szCs w:val="24"/>
        </w:rPr>
        <w:t>Sintomatico del già descritto contrasto istituzionale</w:t>
      </w:r>
      <w:r w:rsidR="000736B0" w:rsidRPr="00051CAA">
        <w:rPr>
          <w:szCs w:val="24"/>
        </w:rPr>
        <w:t xml:space="preserve"> tra Stato centrale e istanze locali</w:t>
      </w:r>
      <w:r w:rsidRPr="00051CAA">
        <w:rPr>
          <w:szCs w:val="24"/>
        </w:rPr>
        <w:t xml:space="preserve"> è il fatto che il legislatore abbia anche dovuto </w:t>
      </w:r>
      <w:r w:rsidR="008E79DB" w:rsidRPr="00051CAA">
        <w:rPr>
          <w:szCs w:val="24"/>
        </w:rPr>
        <w:t>inserire</w:t>
      </w:r>
      <w:r w:rsidRPr="00051CAA">
        <w:rPr>
          <w:szCs w:val="24"/>
        </w:rPr>
        <w:t xml:space="preserve"> un espresso divieto all</w:t>
      </w:r>
      <w:r w:rsidR="00625A43" w:rsidRPr="00051CAA">
        <w:rPr>
          <w:szCs w:val="24"/>
        </w:rPr>
        <w:t>'</w:t>
      </w:r>
      <w:r w:rsidRPr="00051CAA">
        <w:rPr>
          <w:szCs w:val="24"/>
        </w:rPr>
        <w:t>introduzione di ostacoli indiretti, di tipo economico, alla diffusione della rete. Ai sensi dell</w:t>
      </w:r>
      <w:r w:rsidR="00625A43" w:rsidRPr="00051CAA">
        <w:rPr>
          <w:szCs w:val="24"/>
        </w:rPr>
        <w:t>'</w:t>
      </w:r>
      <w:r w:rsidRPr="00051CAA">
        <w:rPr>
          <w:szCs w:val="24"/>
        </w:rPr>
        <w:t xml:space="preserve">art. 54 – già 93 – cod. </w:t>
      </w:r>
      <w:proofErr w:type="spellStart"/>
      <w:r w:rsidRPr="00051CAA">
        <w:rPr>
          <w:szCs w:val="24"/>
        </w:rPr>
        <w:t>com</w:t>
      </w:r>
      <w:proofErr w:type="spellEnd"/>
      <w:r w:rsidRPr="00051CAA">
        <w:rPr>
          <w:szCs w:val="24"/>
        </w:rPr>
        <w:t xml:space="preserve">. </w:t>
      </w:r>
      <w:proofErr w:type="spellStart"/>
      <w:r w:rsidRPr="00051CAA">
        <w:rPr>
          <w:szCs w:val="24"/>
        </w:rPr>
        <w:t>elettr</w:t>
      </w:r>
      <w:proofErr w:type="spellEnd"/>
      <w:r w:rsidRPr="00051CAA">
        <w:rPr>
          <w:szCs w:val="24"/>
        </w:rPr>
        <w:t xml:space="preserve">., infatti, </w:t>
      </w:r>
      <w:r w:rsidR="001E5929" w:rsidRPr="00051CAA">
        <w:rPr>
          <w:szCs w:val="24"/>
        </w:rPr>
        <w:t>l</w:t>
      </w:r>
      <w:r w:rsidRPr="00051CAA">
        <w:rPr>
          <w:szCs w:val="24"/>
        </w:rPr>
        <w:t>e pubbliche amministrazioni, ivi inclusi gli enti locali, non possono imporre per l</w:t>
      </w:r>
      <w:r w:rsidR="00625A43" w:rsidRPr="00051CAA">
        <w:rPr>
          <w:szCs w:val="24"/>
        </w:rPr>
        <w:t>'</w:t>
      </w:r>
      <w:r w:rsidRPr="00051CAA">
        <w:rPr>
          <w:szCs w:val="24"/>
        </w:rPr>
        <w:t>impianto di reti o per l</w:t>
      </w:r>
      <w:r w:rsidR="00625A43" w:rsidRPr="00051CAA">
        <w:rPr>
          <w:szCs w:val="24"/>
        </w:rPr>
        <w:t>'</w:t>
      </w:r>
      <w:r w:rsidRPr="00051CAA">
        <w:rPr>
          <w:szCs w:val="24"/>
        </w:rPr>
        <w:t xml:space="preserve">esercizio dei servizi di comunicazione elettronica </w:t>
      </w:r>
      <w:r w:rsidR="001E5929" w:rsidRPr="00051CAA">
        <w:rPr>
          <w:szCs w:val="24"/>
        </w:rPr>
        <w:t xml:space="preserve">oneri </w:t>
      </w:r>
      <w:r w:rsidRPr="00051CAA">
        <w:rPr>
          <w:szCs w:val="24"/>
        </w:rPr>
        <w:t>d</w:t>
      </w:r>
      <w:r w:rsidR="001E5929" w:rsidRPr="00051CAA">
        <w:rPr>
          <w:szCs w:val="24"/>
        </w:rPr>
        <w:t>i qualsiasi natura</w:t>
      </w:r>
      <w:r w:rsidRPr="00051CAA">
        <w:rPr>
          <w:szCs w:val="24"/>
        </w:rPr>
        <w:t xml:space="preserve"> o canoni ulteriori a quelli stabiliti nel</w:t>
      </w:r>
      <w:r w:rsidR="001E5929" w:rsidRPr="00051CAA">
        <w:rPr>
          <w:szCs w:val="24"/>
        </w:rPr>
        <w:t xml:space="preserve"> codice medesimo, salva l</w:t>
      </w:r>
      <w:r w:rsidR="00625A43" w:rsidRPr="00051CAA">
        <w:rPr>
          <w:szCs w:val="24"/>
        </w:rPr>
        <w:t>'</w:t>
      </w:r>
      <w:r w:rsidR="001E5929" w:rsidRPr="00051CAA">
        <w:rPr>
          <w:szCs w:val="24"/>
        </w:rPr>
        <w:t>applicazione del canone unico patrimoniale (di cui all</w:t>
      </w:r>
      <w:r w:rsidR="00625A43" w:rsidRPr="00051CAA">
        <w:rPr>
          <w:szCs w:val="24"/>
        </w:rPr>
        <w:t>'</w:t>
      </w:r>
      <w:r w:rsidR="001E5929" w:rsidRPr="00051CAA">
        <w:rPr>
          <w:szCs w:val="24"/>
        </w:rPr>
        <w:t>art. 1, co. 816, l. 160/2019)</w:t>
      </w:r>
      <w:r w:rsidR="008E79DB" w:rsidRPr="00051CAA">
        <w:rPr>
          <w:rStyle w:val="Rimandonotaapidipagina"/>
          <w:szCs w:val="24"/>
        </w:rPr>
        <w:footnoteReference w:id="19"/>
      </w:r>
      <w:r w:rsidR="001E5929" w:rsidRPr="00051CAA">
        <w:rPr>
          <w:szCs w:val="24"/>
        </w:rPr>
        <w:t xml:space="preserve">. </w:t>
      </w:r>
    </w:p>
    <w:p w14:paraId="09ACEADD" w14:textId="59B65EC1" w:rsidR="00CD3560" w:rsidRPr="00051CAA" w:rsidRDefault="00CD3560" w:rsidP="00AE3FE4">
      <w:pPr>
        <w:autoSpaceDE w:val="0"/>
        <w:autoSpaceDN w:val="0"/>
        <w:adjustRightInd w:val="0"/>
        <w:spacing w:line="276" w:lineRule="auto"/>
        <w:rPr>
          <w:szCs w:val="24"/>
        </w:rPr>
      </w:pPr>
      <w:r w:rsidRPr="00051CAA">
        <w:rPr>
          <w:szCs w:val="24"/>
        </w:rPr>
        <w:t>L</w:t>
      </w:r>
      <w:r w:rsidR="00625A43" w:rsidRPr="00051CAA">
        <w:rPr>
          <w:szCs w:val="24"/>
        </w:rPr>
        <w:t>'</w:t>
      </w:r>
      <w:r w:rsidRPr="00051CAA">
        <w:rPr>
          <w:szCs w:val="24"/>
        </w:rPr>
        <w:t xml:space="preserve">atteggiamento di favore indubbiamente manifestato dallo Stato per lo sviluppo geografico e tecnologico della rete di comunicazioni elettroniche non è, comunque, privo di </w:t>
      </w:r>
      <w:r w:rsidR="006D56CA" w:rsidRPr="00051CAA">
        <w:rPr>
          <w:szCs w:val="24"/>
        </w:rPr>
        <w:t>contemperamenti, soltanto che questi vengono effettuati, nei limiti del possibile, a livello centrale, onde evitare che l</w:t>
      </w:r>
      <w:r w:rsidR="00625A43" w:rsidRPr="00051CAA">
        <w:rPr>
          <w:szCs w:val="24"/>
        </w:rPr>
        <w:t>'</w:t>
      </w:r>
      <w:r w:rsidR="006D56CA" w:rsidRPr="00051CAA">
        <w:rPr>
          <w:szCs w:val="24"/>
        </w:rPr>
        <w:t>obiettivo nazionale</w:t>
      </w:r>
      <w:r w:rsidR="00B931DD" w:rsidRPr="00051CAA">
        <w:rPr>
          <w:szCs w:val="24"/>
        </w:rPr>
        <w:t xml:space="preserve"> – </w:t>
      </w:r>
      <w:r w:rsidR="006D56CA" w:rsidRPr="00051CAA">
        <w:rPr>
          <w:szCs w:val="24"/>
        </w:rPr>
        <w:t>anzi</w:t>
      </w:r>
      <w:r w:rsidR="00B931DD" w:rsidRPr="00051CAA">
        <w:rPr>
          <w:szCs w:val="24"/>
        </w:rPr>
        <w:t>, comunitario –</w:t>
      </w:r>
      <w:r w:rsidR="006D56CA" w:rsidRPr="00051CAA">
        <w:rPr>
          <w:szCs w:val="24"/>
        </w:rPr>
        <w:t xml:space="preserve"> </w:t>
      </w:r>
      <w:r w:rsidR="00BD3962" w:rsidRPr="00051CAA">
        <w:rPr>
          <w:szCs w:val="24"/>
        </w:rPr>
        <w:t>di implementazione</w:t>
      </w:r>
      <w:r w:rsidR="004A0B0D" w:rsidRPr="00051CAA">
        <w:rPr>
          <w:szCs w:val="24"/>
        </w:rPr>
        <w:t xml:space="preserve"> della connettività </w:t>
      </w:r>
      <w:r w:rsidR="000B0949" w:rsidRPr="00051CAA">
        <w:rPr>
          <w:szCs w:val="24"/>
        </w:rPr>
        <w:t xml:space="preserve">sia ostacolato in maniera disorganica sulle varie aree del territorio. </w:t>
      </w:r>
    </w:p>
    <w:p w14:paraId="043C854A" w14:textId="1BFB8125" w:rsidR="006D56CA" w:rsidRPr="00051CAA" w:rsidRDefault="000B0949" w:rsidP="00AE3FE4">
      <w:pPr>
        <w:autoSpaceDE w:val="0"/>
        <w:autoSpaceDN w:val="0"/>
        <w:adjustRightInd w:val="0"/>
        <w:spacing w:line="276" w:lineRule="auto"/>
        <w:rPr>
          <w:szCs w:val="24"/>
        </w:rPr>
      </w:pPr>
      <w:r w:rsidRPr="00051CAA">
        <w:rPr>
          <w:szCs w:val="24"/>
        </w:rPr>
        <w:t>Pertanto, su</w:t>
      </w:r>
      <w:r w:rsidR="006D56CA" w:rsidRPr="00051CAA">
        <w:rPr>
          <w:szCs w:val="24"/>
        </w:rPr>
        <w:t xml:space="preserve">l fronte della salute, </w:t>
      </w:r>
      <w:r w:rsidRPr="00051CAA">
        <w:rPr>
          <w:szCs w:val="24"/>
        </w:rPr>
        <w:t xml:space="preserve">la centralizzazione </w:t>
      </w:r>
      <w:r w:rsidR="00B931DD" w:rsidRPr="00051CAA">
        <w:rPr>
          <w:szCs w:val="24"/>
        </w:rPr>
        <w:t xml:space="preserve">della tutela </w:t>
      </w:r>
      <w:r w:rsidRPr="00051CAA">
        <w:rPr>
          <w:szCs w:val="24"/>
        </w:rPr>
        <w:t>è perseguit</w:t>
      </w:r>
      <w:r w:rsidR="00B931DD" w:rsidRPr="00051CAA">
        <w:rPr>
          <w:szCs w:val="24"/>
        </w:rPr>
        <w:t>a</w:t>
      </w:r>
      <w:r w:rsidRPr="00051CAA">
        <w:rPr>
          <w:szCs w:val="24"/>
        </w:rPr>
        <w:t xml:space="preserve"> </w:t>
      </w:r>
      <w:r w:rsidR="00B931DD" w:rsidRPr="00051CAA">
        <w:rPr>
          <w:szCs w:val="24"/>
        </w:rPr>
        <w:t>attraverso</w:t>
      </w:r>
      <w:r w:rsidRPr="00051CAA">
        <w:rPr>
          <w:szCs w:val="24"/>
        </w:rPr>
        <w:t xml:space="preserve"> la fissazione di soglie nazionali di esposizione alle onde elettromagnetiche, inderogabili a livello locale, il cui controllo è demandato </w:t>
      </w:r>
      <w:r w:rsidR="00E40BB1">
        <w:rPr>
          <w:szCs w:val="24"/>
        </w:rPr>
        <w:t>all'</w:t>
      </w:r>
      <w:r w:rsidR="00BD3962" w:rsidRPr="00051CAA">
        <w:rPr>
          <w:szCs w:val="24"/>
        </w:rPr>
        <w:t>ARPA</w:t>
      </w:r>
      <w:r w:rsidRPr="00051CAA">
        <w:rPr>
          <w:szCs w:val="24"/>
        </w:rPr>
        <w:t xml:space="preserve">. Correlatamente, i tentativi centrifughi di inibire la diffusione di tecnologie innovative, come il 5G, frequentemente perseguiti attraverso ordinanze sindacali contingibili e urgenti adottate per precauzione sanitaria </w:t>
      </w:r>
      <w:r w:rsidRPr="00051CAA">
        <w:rPr>
          <w:i/>
          <w:szCs w:val="24"/>
        </w:rPr>
        <w:t xml:space="preserve">ex </w:t>
      </w:r>
      <w:r w:rsidRPr="00051CAA">
        <w:rPr>
          <w:szCs w:val="24"/>
        </w:rPr>
        <w:t>art. 50, co. 4, d.lgs. 267/2000</w:t>
      </w:r>
      <w:r w:rsidR="00A321F5" w:rsidRPr="00051CAA">
        <w:rPr>
          <w:szCs w:val="24"/>
        </w:rPr>
        <w:t>,</w:t>
      </w:r>
      <w:r w:rsidRPr="00051CAA">
        <w:rPr>
          <w:szCs w:val="24"/>
        </w:rPr>
        <w:t xml:space="preserve"> è stata contrastata, sempre a livello statale, con l</w:t>
      </w:r>
      <w:r w:rsidR="00625A43" w:rsidRPr="00051CAA">
        <w:rPr>
          <w:szCs w:val="24"/>
        </w:rPr>
        <w:t>'</w:t>
      </w:r>
      <w:r w:rsidRPr="00051CAA">
        <w:rPr>
          <w:szCs w:val="24"/>
        </w:rPr>
        <w:t xml:space="preserve">inserimento di un apposito divieto: con il </w:t>
      </w:r>
      <w:proofErr w:type="spellStart"/>
      <w:r w:rsidRPr="00051CAA">
        <w:rPr>
          <w:szCs w:val="24"/>
        </w:rPr>
        <w:t>d.l.</w:t>
      </w:r>
      <w:proofErr w:type="spellEnd"/>
      <w:r w:rsidRPr="00051CAA">
        <w:rPr>
          <w:szCs w:val="24"/>
        </w:rPr>
        <w:t xml:space="preserve"> 76/2020, </w:t>
      </w:r>
      <w:proofErr w:type="spellStart"/>
      <w:r w:rsidRPr="00051CAA">
        <w:rPr>
          <w:szCs w:val="24"/>
        </w:rPr>
        <w:t>conv</w:t>
      </w:r>
      <w:proofErr w:type="spellEnd"/>
      <w:r w:rsidRPr="00051CAA">
        <w:rPr>
          <w:szCs w:val="24"/>
        </w:rPr>
        <w:t>. in l. 120/2020, l</w:t>
      </w:r>
      <w:r w:rsidR="00625A43" w:rsidRPr="00051CAA">
        <w:rPr>
          <w:szCs w:val="24"/>
        </w:rPr>
        <w:t>'</w:t>
      </w:r>
      <w:r w:rsidRPr="00051CAA">
        <w:rPr>
          <w:szCs w:val="24"/>
        </w:rPr>
        <w:t xml:space="preserve">art. 8, co. 6, l. </w:t>
      </w:r>
      <w:r w:rsidRPr="00051CAA">
        <w:rPr>
          <w:szCs w:val="24"/>
        </w:rPr>
        <w:lastRenderedPageBreak/>
        <w:t>36/2001 è stato modificato con l</w:t>
      </w:r>
      <w:r w:rsidR="00625A43" w:rsidRPr="00051CAA">
        <w:rPr>
          <w:szCs w:val="24"/>
        </w:rPr>
        <w:t>'</w:t>
      </w:r>
      <w:r w:rsidRPr="00051CAA">
        <w:rPr>
          <w:szCs w:val="24"/>
        </w:rPr>
        <w:t xml:space="preserve">aggiunta </w:t>
      </w:r>
      <w:r w:rsidR="00A321F5" w:rsidRPr="00051CAA">
        <w:rPr>
          <w:szCs w:val="24"/>
        </w:rPr>
        <w:t xml:space="preserve">della previsione per cui i comuni non possono </w:t>
      </w:r>
      <w:r w:rsidRPr="00051CAA">
        <w:rPr>
          <w:szCs w:val="24"/>
        </w:rPr>
        <w:t>«</w:t>
      </w:r>
      <w:r w:rsidRPr="00051CAA">
        <w:rPr>
          <w:i/>
          <w:szCs w:val="24"/>
        </w:rPr>
        <w:t>incidere, anche in via indiretta o mediante provvedimenti contingibili e urgenti, sui limiti di esposizione a campi elettrici, magnetici ed elettromagnetici, sui valori di attenzione e sugli obiettivi di qualità, riservati allo Stato ai sensi dell</w:t>
      </w:r>
      <w:r w:rsidR="00625A43" w:rsidRPr="00051CAA">
        <w:rPr>
          <w:i/>
          <w:szCs w:val="24"/>
        </w:rPr>
        <w:t>'</w:t>
      </w:r>
      <w:r w:rsidRPr="00051CAA">
        <w:rPr>
          <w:i/>
          <w:szCs w:val="24"/>
        </w:rPr>
        <w:t>articolo 4</w:t>
      </w:r>
      <w:r w:rsidRPr="00051CAA">
        <w:rPr>
          <w:szCs w:val="24"/>
        </w:rPr>
        <w:t>».</w:t>
      </w:r>
    </w:p>
    <w:p w14:paraId="561B96CA" w14:textId="4B523E52" w:rsidR="00BD5936" w:rsidRPr="00051CAA" w:rsidRDefault="00BA193F" w:rsidP="00AE3FE4">
      <w:pPr>
        <w:pStyle w:val="popolo"/>
        <w:spacing w:before="0" w:beforeAutospacing="0" w:after="0" w:afterAutospacing="0" w:line="276" w:lineRule="auto"/>
        <w:jc w:val="both"/>
        <w:rPr>
          <w:rFonts w:ascii="Garamond" w:hAnsi="Garamond"/>
        </w:rPr>
      </w:pPr>
      <w:r w:rsidRPr="00051CAA">
        <w:rPr>
          <w:rFonts w:ascii="Garamond" w:hAnsi="Garamond"/>
        </w:rPr>
        <w:t>L</w:t>
      </w:r>
      <w:r w:rsidR="009065C7" w:rsidRPr="00051CAA">
        <w:rPr>
          <w:rFonts w:ascii="Garamond" w:hAnsi="Garamond"/>
        </w:rPr>
        <w:t xml:space="preserve">a tutela paesaggistica </w:t>
      </w:r>
      <w:r w:rsidRPr="00051CAA">
        <w:rPr>
          <w:rFonts w:ascii="Garamond" w:hAnsi="Garamond"/>
        </w:rPr>
        <w:t>si presta meno a un accentramento</w:t>
      </w:r>
      <w:r w:rsidR="006A76D1" w:rsidRPr="00051CAA">
        <w:rPr>
          <w:rFonts w:ascii="Garamond" w:hAnsi="Garamond"/>
        </w:rPr>
        <w:t xml:space="preserve"> statale</w:t>
      </w:r>
      <w:r w:rsidRPr="00051CAA">
        <w:rPr>
          <w:rFonts w:ascii="Garamond" w:hAnsi="Garamond"/>
        </w:rPr>
        <w:t>, viste le peculiarità eminentemente locali meritevoli di essere salvaguardate in quest</w:t>
      </w:r>
      <w:r w:rsidR="00625A43" w:rsidRPr="00051CAA">
        <w:rPr>
          <w:rFonts w:ascii="Garamond" w:hAnsi="Garamond"/>
        </w:rPr>
        <w:t>'</w:t>
      </w:r>
      <w:r w:rsidRPr="00051CAA">
        <w:rPr>
          <w:rFonts w:ascii="Garamond" w:hAnsi="Garamond"/>
        </w:rPr>
        <w:t>ambito. Eppure</w:t>
      </w:r>
      <w:r w:rsidR="004B29A2" w:rsidRPr="00051CAA">
        <w:rPr>
          <w:rFonts w:ascii="Garamond" w:hAnsi="Garamond"/>
        </w:rPr>
        <w:t>, anche qui si assiste al tentativo di assicurare che il controllo sul rispetto di tale valore sia, pe</w:t>
      </w:r>
      <w:r w:rsidR="004732DA" w:rsidRPr="00051CAA">
        <w:rPr>
          <w:rFonts w:ascii="Garamond" w:hAnsi="Garamond"/>
        </w:rPr>
        <w:t xml:space="preserve">r quanto possibile, </w:t>
      </w:r>
      <w:r w:rsidR="006A76D1" w:rsidRPr="00051CAA">
        <w:rPr>
          <w:rFonts w:ascii="Garamond" w:hAnsi="Garamond"/>
        </w:rPr>
        <w:t xml:space="preserve">concentrato, se non in senso geografico, quantomeno a livello procedurale e pianificatorio. Sul piano procedurale, </w:t>
      </w:r>
      <w:r w:rsidR="001B5EBD" w:rsidRPr="00051CAA">
        <w:rPr>
          <w:rFonts w:ascii="Garamond" w:hAnsi="Garamond"/>
        </w:rPr>
        <w:t>il legislatore ha previsto</w:t>
      </w:r>
      <w:r w:rsidR="004732DA" w:rsidRPr="00051CAA">
        <w:rPr>
          <w:rFonts w:ascii="Garamond" w:hAnsi="Garamond"/>
        </w:rPr>
        <w:t xml:space="preserve"> l</w:t>
      </w:r>
      <w:r w:rsidR="00625A43" w:rsidRPr="00051CAA">
        <w:rPr>
          <w:rFonts w:ascii="Garamond" w:hAnsi="Garamond"/>
        </w:rPr>
        <w:t>'</w:t>
      </w:r>
      <w:r w:rsidR="004732DA" w:rsidRPr="00051CAA">
        <w:rPr>
          <w:rFonts w:ascii="Garamond" w:hAnsi="Garamond"/>
        </w:rPr>
        <w:t xml:space="preserve">unificazione dei vari </w:t>
      </w:r>
      <w:r w:rsidR="004732DA" w:rsidRPr="00051CAA">
        <w:rPr>
          <w:rFonts w:ascii="Garamond" w:hAnsi="Garamond"/>
          <w:i/>
        </w:rPr>
        <w:t xml:space="preserve">iter </w:t>
      </w:r>
      <w:r w:rsidR="004732DA" w:rsidRPr="00051CAA">
        <w:rPr>
          <w:rFonts w:ascii="Garamond" w:hAnsi="Garamond"/>
        </w:rPr>
        <w:t xml:space="preserve">amministrativi e </w:t>
      </w:r>
      <w:r w:rsidR="006A76D1" w:rsidRPr="00051CAA">
        <w:rPr>
          <w:rFonts w:ascii="Garamond" w:hAnsi="Garamond"/>
        </w:rPr>
        <w:t>l</w:t>
      </w:r>
      <w:r w:rsidR="00625A43" w:rsidRPr="00051CAA">
        <w:rPr>
          <w:rFonts w:ascii="Garamond" w:hAnsi="Garamond"/>
        </w:rPr>
        <w:t>'</w:t>
      </w:r>
      <w:r w:rsidR="006A76D1" w:rsidRPr="00051CAA">
        <w:rPr>
          <w:rFonts w:ascii="Garamond" w:hAnsi="Garamond"/>
        </w:rPr>
        <w:t>acquisizione delle posizioni degli enti preposti in un</w:t>
      </w:r>
      <w:r w:rsidR="00625A43" w:rsidRPr="00051CAA">
        <w:rPr>
          <w:rFonts w:ascii="Garamond" w:hAnsi="Garamond"/>
        </w:rPr>
        <w:t>'</w:t>
      </w:r>
      <w:r w:rsidR="006A76D1" w:rsidRPr="00051CAA">
        <w:rPr>
          <w:rFonts w:ascii="Garamond" w:hAnsi="Garamond"/>
        </w:rPr>
        <w:t xml:space="preserve">unica sede, quella della conferenza di servizi (art. 44 – già 87 – cod. </w:t>
      </w:r>
      <w:proofErr w:type="spellStart"/>
      <w:r w:rsidR="006A76D1" w:rsidRPr="00051CAA">
        <w:rPr>
          <w:rFonts w:ascii="Garamond" w:hAnsi="Garamond"/>
        </w:rPr>
        <w:t>com</w:t>
      </w:r>
      <w:proofErr w:type="spellEnd"/>
      <w:r w:rsidR="006A76D1" w:rsidRPr="00051CAA">
        <w:rPr>
          <w:rFonts w:ascii="Garamond" w:hAnsi="Garamond"/>
        </w:rPr>
        <w:t xml:space="preserve">. </w:t>
      </w:r>
      <w:proofErr w:type="spellStart"/>
      <w:r w:rsidR="006A76D1" w:rsidRPr="00051CAA">
        <w:rPr>
          <w:rFonts w:ascii="Garamond" w:hAnsi="Garamond"/>
        </w:rPr>
        <w:t>elettr</w:t>
      </w:r>
      <w:proofErr w:type="spellEnd"/>
      <w:r w:rsidR="006A76D1" w:rsidRPr="00051CAA">
        <w:rPr>
          <w:rFonts w:ascii="Garamond" w:hAnsi="Garamond"/>
        </w:rPr>
        <w:t xml:space="preserve">.). </w:t>
      </w:r>
      <w:r w:rsidR="000E3882" w:rsidRPr="00051CAA">
        <w:rPr>
          <w:rFonts w:ascii="Garamond" w:hAnsi="Garamond"/>
        </w:rPr>
        <w:t>Anche in questo contesto, comunque, può menzionarsi un recente accentramento geografico delle valutazioni paesaggistiche: l</w:t>
      </w:r>
      <w:r w:rsidR="00625A43" w:rsidRPr="00051CAA">
        <w:rPr>
          <w:rFonts w:ascii="Garamond" w:hAnsi="Garamond"/>
        </w:rPr>
        <w:t>'</w:t>
      </w:r>
      <w:r w:rsidR="000E3882" w:rsidRPr="00051CAA">
        <w:rPr>
          <w:rFonts w:ascii="Garamond" w:hAnsi="Garamond"/>
        </w:rPr>
        <w:t xml:space="preserve">art. 29 </w:t>
      </w:r>
      <w:proofErr w:type="spellStart"/>
      <w:r w:rsidR="000E3882" w:rsidRPr="00051CAA">
        <w:rPr>
          <w:rFonts w:ascii="Garamond" w:hAnsi="Garamond"/>
        </w:rPr>
        <w:t>d.l.</w:t>
      </w:r>
      <w:proofErr w:type="spellEnd"/>
      <w:r w:rsidR="000E3882" w:rsidRPr="00051CAA">
        <w:rPr>
          <w:rFonts w:ascii="Garamond" w:hAnsi="Garamond"/>
        </w:rPr>
        <w:t xml:space="preserve"> 77/2021, </w:t>
      </w:r>
      <w:proofErr w:type="spellStart"/>
      <w:r w:rsidR="000E3882" w:rsidRPr="00051CAA">
        <w:rPr>
          <w:rFonts w:ascii="Garamond" w:hAnsi="Garamond"/>
        </w:rPr>
        <w:t>conv</w:t>
      </w:r>
      <w:proofErr w:type="spellEnd"/>
      <w:r w:rsidR="000E3882" w:rsidRPr="00051CAA">
        <w:rPr>
          <w:rFonts w:ascii="Garamond" w:hAnsi="Garamond"/>
        </w:rPr>
        <w:t>. in l. 108/2021, ha difatti istituito la Soprintendenza speciale per il PNRR, presso il Ministero della cultura, per esercitare – in luogo degli uffici decentrati della ordinaria Soprintendenza archeologia, belle arti e paesaggio – le funzioni di tutela dei beni culturali e paesaggistici, il tutto al fine di assicurare la più efficace e tempestiva attuazione degli interventi medesimi; ebbene, è detta Soprintendenza, allocata a livello centrale, a essere competente a giudicare la compatibilità paesaggistica delle varie infrastrutture di rete funzionali all</w:t>
      </w:r>
      <w:r w:rsidR="00625A43" w:rsidRPr="00051CAA">
        <w:rPr>
          <w:rFonts w:ascii="Garamond" w:hAnsi="Garamond"/>
        </w:rPr>
        <w:t>'</w:t>
      </w:r>
      <w:r w:rsidR="000E3882" w:rsidRPr="00051CAA">
        <w:rPr>
          <w:rFonts w:ascii="Garamond" w:hAnsi="Garamond"/>
        </w:rPr>
        <w:t>attuazione del Piano Italia 5G</w:t>
      </w:r>
      <w:r w:rsidR="005E7B5C" w:rsidRPr="00051CAA">
        <w:rPr>
          <w:rStyle w:val="Rimandonotaapidipagina"/>
          <w:rFonts w:ascii="Garamond" w:hAnsi="Garamond"/>
        </w:rPr>
        <w:footnoteReference w:id="20"/>
      </w:r>
      <w:r w:rsidR="000E3882" w:rsidRPr="00051CAA">
        <w:rPr>
          <w:rFonts w:ascii="Garamond" w:hAnsi="Garamond"/>
        </w:rPr>
        <w:t xml:space="preserve">, incluso nel PNRR (cfr. Cons. Stato, Sez. VI, 30 ottobre 2024, n. 8635). </w:t>
      </w:r>
      <w:r w:rsidR="006A76D1" w:rsidRPr="00051CAA">
        <w:rPr>
          <w:rFonts w:ascii="Garamond" w:hAnsi="Garamond"/>
        </w:rPr>
        <w:t xml:space="preserve">Sul </w:t>
      </w:r>
      <w:r w:rsidR="000C6BC4" w:rsidRPr="00051CAA">
        <w:rPr>
          <w:rFonts w:ascii="Garamond" w:hAnsi="Garamond"/>
        </w:rPr>
        <w:t>fronte</w:t>
      </w:r>
      <w:r w:rsidR="005B2FBE" w:rsidRPr="00051CAA">
        <w:rPr>
          <w:rFonts w:ascii="Garamond" w:hAnsi="Garamond"/>
        </w:rPr>
        <w:t xml:space="preserve"> pianificatorio, si deve evitare che la tutela del paesaggio trasmodi in generalizzate preclusioni alla realizzazione delle infrastrutture sui territori comu</w:t>
      </w:r>
      <w:r w:rsidR="00766177" w:rsidRPr="00051CAA">
        <w:rPr>
          <w:rFonts w:ascii="Garamond" w:hAnsi="Garamond"/>
        </w:rPr>
        <w:t>nali; p</w:t>
      </w:r>
      <w:r w:rsidR="00505129" w:rsidRPr="00051CAA">
        <w:rPr>
          <w:rFonts w:ascii="Garamond" w:hAnsi="Garamond"/>
        </w:rPr>
        <w:t>ertanto, la fissazione di vincoli paesaggistici deve essere incasellata negli strumenti ordinari di pianificazione e non nei regolamenti comunali di</w:t>
      </w:r>
      <w:r w:rsidR="00766177" w:rsidRPr="00051CAA">
        <w:rPr>
          <w:rFonts w:ascii="Garamond" w:hAnsi="Garamond"/>
        </w:rPr>
        <w:t xml:space="preserve"> insediamento degli impianti di comunicazione </w:t>
      </w:r>
      <w:r w:rsidR="00E570A0" w:rsidRPr="00051CAA">
        <w:rPr>
          <w:rFonts w:ascii="Garamond" w:hAnsi="Garamond"/>
        </w:rPr>
        <w:t xml:space="preserve">(cfr. art. 8, co. 6, l. 36/2001). </w:t>
      </w:r>
    </w:p>
    <w:p w14:paraId="3F8AEB18" w14:textId="757C9DB7" w:rsidR="00AA7890" w:rsidRPr="00051CAA" w:rsidRDefault="002645A0" w:rsidP="00AE3FE4">
      <w:pPr>
        <w:pStyle w:val="popolo"/>
        <w:spacing w:before="0" w:beforeAutospacing="0" w:after="0" w:afterAutospacing="0" w:line="276" w:lineRule="auto"/>
        <w:jc w:val="both"/>
        <w:rPr>
          <w:rFonts w:ascii="Garamond" w:hAnsi="Garamond"/>
        </w:rPr>
      </w:pPr>
      <w:r w:rsidRPr="00051CAA">
        <w:rPr>
          <w:rFonts w:ascii="Garamond" w:hAnsi="Garamond"/>
        </w:rPr>
        <w:t xml:space="preserve">Non vi è, comunque, </w:t>
      </w:r>
      <w:r w:rsidR="00E40BB1">
        <w:rPr>
          <w:rFonts w:ascii="Garamond" w:hAnsi="Garamond"/>
        </w:rPr>
        <w:t>un'</w:t>
      </w:r>
      <w:r w:rsidR="00DB6E60" w:rsidRPr="00051CAA">
        <w:rPr>
          <w:rFonts w:ascii="Garamond" w:hAnsi="Garamond"/>
        </w:rPr>
        <w:t xml:space="preserve">esautorazione </w:t>
      </w:r>
      <w:r w:rsidRPr="00051CAA">
        <w:rPr>
          <w:rFonts w:ascii="Garamond" w:hAnsi="Garamond"/>
        </w:rPr>
        <w:t>dell</w:t>
      </w:r>
      <w:r w:rsidR="00625A43" w:rsidRPr="00051CAA">
        <w:rPr>
          <w:rFonts w:ascii="Garamond" w:hAnsi="Garamond"/>
        </w:rPr>
        <w:t>'</w:t>
      </w:r>
      <w:r w:rsidRPr="00051CAA">
        <w:rPr>
          <w:rFonts w:ascii="Garamond" w:hAnsi="Garamond"/>
        </w:rPr>
        <w:t>interesse alla</w:t>
      </w:r>
      <w:r w:rsidR="00DB6E60" w:rsidRPr="00051CAA">
        <w:rPr>
          <w:rFonts w:ascii="Garamond" w:hAnsi="Garamond"/>
        </w:rPr>
        <w:t xml:space="preserve"> tutela del paesaggio</w:t>
      </w:r>
      <w:r w:rsidRPr="00051CAA">
        <w:rPr>
          <w:rFonts w:ascii="Garamond" w:hAnsi="Garamond"/>
        </w:rPr>
        <w:t>, come, invece, spesso paventato dai comuni</w:t>
      </w:r>
      <w:r w:rsidR="00DB6E60" w:rsidRPr="00051CAA">
        <w:rPr>
          <w:rFonts w:ascii="Garamond" w:hAnsi="Garamond"/>
        </w:rPr>
        <w:t>. Infatti, lo stesso art. 43</w:t>
      </w:r>
      <w:r w:rsidR="00135368" w:rsidRPr="00051CAA">
        <w:rPr>
          <w:rFonts w:ascii="Garamond" w:hAnsi="Garamond"/>
        </w:rPr>
        <w:t xml:space="preserve">, co. 5, </w:t>
      </w:r>
      <w:r w:rsidR="00DB6E60" w:rsidRPr="00051CAA">
        <w:rPr>
          <w:rFonts w:ascii="Garamond" w:hAnsi="Garamond"/>
        </w:rPr>
        <w:t>– già 86</w:t>
      </w:r>
      <w:r w:rsidR="00135368" w:rsidRPr="00051CAA">
        <w:rPr>
          <w:rFonts w:ascii="Garamond" w:hAnsi="Garamond"/>
        </w:rPr>
        <w:t>, co. 4</w:t>
      </w:r>
      <w:r w:rsidR="00DB6E60" w:rsidRPr="00051CAA">
        <w:rPr>
          <w:rFonts w:ascii="Garamond" w:hAnsi="Garamond"/>
        </w:rPr>
        <w:t xml:space="preserve"> – cod. </w:t>
      </w:r>
      <w:proofErr w:type="spellStart"/>
      <w:r w:rsidR="00DB6E60" w:rsidRPr="00051CAA">
        <w:rPr>
          <w:rFonts w:ascii="Garamond" w:hAnsi="Garamond"/>
        </w:rPr>
        <w:t>com</w:t>
      </w:r>
      <w:proofErr w:type="spellEnd"/>
      <w:r w:rsidR="00DB6E60" w:rsidRPr="00051CAA">
        <w:rPr>
          <w:rFonts w:ascii="Garamond" w:hAnsi="Garamond"/>
        </w:rPr>
        <w:t xml:space="preserve">. </w:t>
      </w:r>
      <w:proofErr w:type="spellStart"/>
      <w:r w:rsidR="00DB6E60" w:rsidRPr="00051CAA">
        <w:rPr>
          <w:rFonts w:ascii="Garamond" w:hAnsi="Garamond"/>
        </w:rPr>
        <w:t>elettr</w:t>
      </w:r>
      <w:proofErr w:type="spellEnd"/>
      <w:r w:rsidR="00DB6E60" w:rsidRPr="00051CAA">
        <w:rPr>
          <w:rFonts w:ascii="Garamond" w:hAnsi="Garamond"/>
        </w:rPr>
        <w:t>. fa salva l</w:t>
      </w:r>
      <w:r w:rsidR="00625A43" w:rsidRPr="00051CAA">
        <w:rPr>
          <w:rFonts w:ascii="Garamond" w:hAnsi="Garamond"/>
        </w:rPr>
        <w:t>'</w:t>
      </w:r>
      <w:r w:rsidR="00DB6E60" w:rsidRPr="00051CAA">
        <w:rPr>
          <w:rFonts w:ascii="Garamond" w:hAnsi="Garamond"/>
        </w:rPr>
        <w:t>applicazione delle disposizioni a tutela dei beni ambientali e culturali contenute nel d.lgs. 42/2004 (codice dei beni culturali e del paesaggio)</w:t>
      </w:r>
      <w:r w:rsidRPr="00051CAA">
        <w:rPr>
          <w:rFonts w:ascii="Garamond" w:hAnsi="Garamond"/>
        </w:rPr>
        <w:t>. Dal citato articolo si desume che il </w:t>
      </w:r>
      <w:r w:rsidRPr="00051CAA">
        <w:rPr>
          <w:rFonts w:ascii="Garamond" w:hAnsi="Garamond"/>
          <w:i/>
        </w:rPr>
        <w:t>favor</w:t>
      </w:r>
      <w:r w:rsidRPr="00051CAA">
        <w:rPr>
          <w:rFonts w:ascii="Garamond" w:hAnsi="Garamond"/>
        </w:rPr>
        <w:t> assicurato alla diffusione delle infrastrutture di rete per la comunicazione</w:t>
      </w:r>
      <w:r w:rsidR="00BD5936" w:rsidRPr="00051CAA">
        <w:rPr>
          <w:rFonts w:ascii="Garamond" w:hAnsi="Garamond"/>
        </w:rPr>
        <w:t xml:space="preserve">, </w:t>
      </w:r>
      <w:r w:rsidR="00BD5936" w:rsidRPr="00051CAA">
        <w:rPr>
          <w:rFonts w:ascii="Garamond" w:hAnsi="Garamond"/>
          <w:iCs/>
        </w:rPr>
        <w:t>pur comportando una compressione dei poteri urbanistici conformativi ordinariamente spettanti ai comuni</w:t>
      </w:r>
      <w:r w:rsidR="00BD5936" w:rsidRPr="00051CAA">
        <w:rPr>
          <w:rFonts w:ascii="Garamond" w:hAnsi="Garamond"/>
        </w:rPr>
        <w:t xml:space="preserve">, </w:t>
      </w:r>
      <w:r w:rsidRPr="00051CAA">
        <w:rPr>
          <w:rFonts w:ascii="Garamond" w:hAnsi="Garamond"/>
        </w:rPr>
        <w:t xml:space="preserve">non consente di derogare alla disciplina posta a tutela di interessi differenziati, </w:t>
      </w:r>
      <w:r w:rsidR="00BD5936" w:rsidRPr="00051CAA">
        <w:rPr>
          <w:rFonts w:ascii="Garamond" w:hAnsi="Garamond"/>
          <w:iCs/>
        </w:rPr>
        <w:t>in quanto espressione dei principi fondamentali della Costituzione, né tantomeno consente la compressione di interessi paesaggistici presidiati da idonei vincoli</w:t>
      </w:r>
      <w:r w:rsidR="00BD5936" w:rsidRPr="00051CAA">
        <w:rPr>
          <w:rFonts w:ascii="Garamond" w:hAnsi="Garamond"/>
        </w:rPr>
        <w:t xml:space="preserve">, </w:t>
      </w:r>
      <w:r w:rsidRPr="00051CAA">
        <w:rPr>
          <w:rFonts w:ascii="Garamond" w:hAnsi="Garamond"/>
        </w:rPr>
        <w:t>dovendo l</w:t>
      </w:r>
      <w:r w:rsidR="00625A43" w:rsidRPr="00051CAA">
        <w:rPr>
          <w:rFonts w:ascii="Garamond" w:hAnsi="Garamond"/>
        </w:rPr>
        <w:t>'</w:t>
      </w:r>
      <w:r w:rsidRPr="00051CAA">
        <w:rPr>
          <w:rFonts w:ascii="Garamond" w:hAnsi="Garamond"/>
        </w:rPr>
        <w:t>autorità preposta ad essi verificare, secondo</w:t>
      </w:r>
      <w:r w:rsidR="00BD5936" w:rsidRPr="00051CAA">
        <w:rPr>
          <w:rFonts w:ascii="Garamond" w:hAnsi="Garamond"/>
        </w:rPr>
        <w:t xml:space="preserve"> il regime dell</w:t>
      </w:r>
      <w:r w:rsidR="00625A43" w:rsidRPr="00051CAA">
        <w:rPr>
          <w:rFonts w:ascii="Garamond" w:hAnsi="Garamond"/>
        </w:rPr>
        <w:t>'</w:t>
      </w:r>
      <w:r w:rsidR="00BD5936" w:rsidRPr="00051CAA">
        <w:rPr>
          <w:rFonts w:ascii="Garamond" w:hAnsi="Garamond"/>
        </w:rPr>
        <w:t>eventuale vincolo e nel rispetto de</w:t>
      </w:r>
      <w:r w:rsidRPr="00051CAA">
        <w:rPr>
          <w:rFonts w:ascii="Garamond" w:hAnsi="Garamond"/>
        </w:rPr>
        <w:t>i principi di adeguatezza e proporzionalità, se i valori tutelati possono essere comunque preservati nonostante la realizzazione dell</w:t>
      </w:r>
      <w:r w:rsidR="00625A43" w:rsidRPr="00051CAA">
        <w:rPr>
          <w:rFonts w:ascii="Garamond" w:hAnsi="Garamond"/>
        </w:rPr>
        <w:t>'</w:t>
      </w:r>
      <w:r w:rsidRPr="00051CAA">
        <w:rPr>
          <w:rFonts w:ascii="Garamond" w:hAnsi="Garamond"/>
        </w:rPr>
        <w:t xml:space="preserve">opera, eventualmente sottoposta a particolari prescrizioni (Cons. Stato, Sez. VI, </w:t>
      </w:r>
      <w:r w:rsidR="00135368" w:rsidRPr="00051CAA">
        <w:rPr>
          <w:rFonts w:ascii="Garamond" w:hAnsi="Garamond"/>
        </w:rPr>
        <w:t xml:space="preserve">6 novembre 2020, n. 6840; Id., </w:t>
      </w:r>
      <w:r w:rsidRPr="00051CAA">
        <w:rPr>
          <w:rFonts w:ascii="Garamond" w:hAnsi="Garamond"/>
        </w:rPr>
        <w:t>9 febbraio 2024, n. 1329). Di conseguenza, è errato leggere l</w:t>
      </w:r>
      <w:r w:rsidR="00625A43" w:rsidRPr="00051CAA">
        <w:rPr>
          <w:rFonts w:ascii="Garamond" w:hAnsi="Garamond"/>
        </w:rPr>
        <w:t>'</w:t>
      </w:r>
      <w:r w:rsidRPr="00051CAA">
        <w:rPr>
          <w:rFonts w:ascii="Garamond" w:hAnsi="Garamond"/>
        </w:rPr>
        <w:t xml:space="preserve">impianto normativo nel senso che </w:t>
      </w:r>
      <w:r w:rsidR="000C6BC4" w:rsidRPr="00051CAA">
        <w:rPr>
          <w:rFonts w:ascii="Garamond" w:hAnsi="Garamond"/>
        </w:rPr>
        <w:t xml:space="preserve">le infrastrutture </w:t>
      </w:r>
      <w:r w:rsidRPr="00051CAA">
        <w:rPr>
          <w:rFonts w:ascii="Garamond" w:hAnsi="Garamond"/>
        </w:rPr>
        <w:t>di telecomunicazione siano oramai una componente necessaria del paesaggio e non possano essere più percepibili come un disturbo alla sua fruizione estetica</w:t>
      </w:r>
      <w:r w:rsidR="00F07E14" w:rsidRPr="00051CAA">
        <w:rPr>
          <w:rFonts w:ascii="Garamond" w:hAnsi="Garamond"/>
        </w:rPr>
        <w:t xml:space="preserve">: queste affermazioni, infatti, priverebbero </w:t>
      </w:r>
      <w:r w:rsidR="00F07E14" w:rsidRPr="00051CAA">
        <w:rPr>
          <w:rFonts w:ascii="Garamond" w:hAnsi="Garamond"/>
          <w:color w:val="000000"/>
        </w:rPr>
        <w:t>l</w:t>
      </w:r>
      <w:r w:rsidR="00625A43" w:rsidRPr="00051CAA">
        <w:rPr>
          <w:rFonts w:ascii="Garamond" w:hAnsi="Garamond"/>
          <w:color w:val="000000"/>
        </w:rPr>
        <w:t>'</w:t>
      </w:r>
      <w:r w:rsidR="00F07E14" w:rsidRPr="00051CAA">
        <w:rPr>
          <w:rFonts w:ascii="Garamond" w:hAnsi="Garamond"/>
          <w:color w:val="000000"/>
        </w:rPr>
        <w:t>autorità preposta al paesaggio del potere tecnico-discrezionale di valutare in concreto l</w:t>
      </w:r>
      <w:r w:rsidR="00625A43" w:rsidRPr="00051CAA">
        <w:rPr>
          <w:rFonts w:ascii="Garamond" w:hAnsi="Garamond"/>
          <w:color w:val="000000"/>
        </w:rPr>
        <w:t>'</w:t>
      </w:r>
      <w:r w:rsidR="00F07E14" w:rsidRPr="00051CAA">
        <w:rPr>
          <w:rFonts w:ascii="Garamond" w:hAnsi="Garamond"/>
          <w:color w:val="000000"/>
        </w:rPr>
        <w:t>incidenza dell</w:t>
      </w:r>
      <w:r w:rsidR="00625A43" w:rsidRPr="00051CAA">
        <w:rPr>
          <w:rFonts w:ascii="Garamond" w:hAnsi="Garamond"/>
          <w:color w:val="000000"/>
        </w:rPr>
        <w:t>'</w:t>
      </w:r>
      <w:r w:rsidR="00F07E14" w:rsidRPr="00051CAA">
        <w:rPr>
          <w:rFonts w:ascii="Garamond" w:hAnsi="Garamond"/>
          <w:color w:val="000000"/>
        </w:rPr>
        <w:t>intervento sui valori tutelati, tenendo conto delle caratteristiche specifiche sia dell</w:t>
      </w:r>
      <w:r w:rsidR="00625A43" w:rsidRPr="00051CAA">
        <w:rPr>
          <w:rFonts w:ascii="Garamond" w:hAnsi="Garamond"/>
          <w:color w:val="000000"/>
        </w:rPr>
        <w:t>'</w:t>
      </w:r>
      <w:r w:rsidR="00F07E14" w:rsidRPr="00051CAA">
        <w:rPr>
          <w:rFonts w:ascii="Garamond" w:hAnsi="Garamond"/>
          <w:color w:val="000000"/>
        </w:rPr>
        <w:t xml:space="preserve">opera che del contesto in cui questa si inserisce </w:t>
      </w:r>
      <w:r w:rsidRPr="00051CAA">
        <w:rPr>
          <w:rFonts w:ascii="Garamond" w:hAnsi="Garamond"/>
        </w:rPr>
        <w:t>(Cons. Stato, Sez. VI, 28 febbraio 2025, n. 1747).</w:t>
      </w:r>
      <w:r w:rsidR="00BD5936" w:rsidRPr="00051CAA">
        <w:rPr>
          <w:rFonts w:ascii="Garamond" w:hAnsi="Garamond"/>
        </w:rPr>
        <w:t xml:space="preserve"> Parimenti, la circostanza che una determinata area non sia sottoposta a vincolo paesaggistico, se esclude la necessità di acquisire il parere della Soprintendenza in sede di conferenza di servizi</w:t>
      </w:r>
      <w:r w:rsidR="00BD5936" w:rsidRPr="00051CAA">
        <w:rPr>
          <w:rFonts w:ascii="Garamond" w:hAnsi="Garamond"/>
          <w:i/>
        </w:rPr>
        <w:t xml:space="preserve"> ex </w:t>
      </w:r>
      <w:r w:rsidR="00BD5936" w:rsidRPr="00051CAA">
        <w:rPr>
          <w:rFonts w:ascii="Garamond" w:hAnsi="Garamond"/>
        </w:rPr>
        <w:t xml:space="preserve">art. 44 cod. </w:t>
      </w:r>
      <w:proofErr w:type="spellStart"/>
      <w:r w:rsidR="00BD5936" w:rsidRPr="00051CAA">
        <w:rPr>
          <w:rFonts w:ascii="Garamond" w:hAnsi="Garamond"/>
        </w:rPr>
        <w:t>com</w:t>
      </w:r>
      <w:proofErr w:type="spellEnd"/>
      <w:r w:rsidR="00BD5936" w:rsidRPr="00051CAA">
        <w:rPr>
          <w:rFonts w:ascii="Garamond" w:hAnsi="Garamond"/>
        </w:rPr>
        <w:t xml:space="preserve">. </w:t>
      </w:r>
      <w:proofErr w:type="spellStart"/>
      <w:r w:rsidR="00BD5936" w:rsidRPr="00051CAA">
        <w:rPr>
          <w:rFonts w:ascii="Garamond" w:hAnsi="Garamond"/>
        </w:rPr>
        <w:t>elettr</w:t>
      </w:r>
      <w:proofErr w:type="spellEnd"/>
      <w:r w:rsidR="00BD5936" w:rsidRPr="00051CAA">
        <w:rPr>
          <w:rFonts w:ascii="Garamond" w:hAnsi="Garamond"/>
        </w:rPr>
        <w:t>., non esime il comune, competente ad autorizzare l</w:t>
      </w:r>
      <w:r w:rsidR="00625A43" w:rsidRPr="00051CAA">
        <w:rPr>
          <w:rFonts w:ascii="Garamond" w:hAnsi="Garamond"/>
        </w:rPr>
        <w:t>'</w:t>
      </w:r>
      <w:r w:rsidR="00BD5936" w:rsidRPr="00051CAA">
        <w:rPr>
          <w:rFonts w:ascii="Garamond" w:hAnsi="Garamond"/>
        </w:rPr>
        <w:t>installazione dell</w:t>
      </w:r>
      <w:r w:rsidR="00625A43" w:rsidRPr="00051CAA">
        <w:rPr>
          <w:rFonts w:ascii="Garamond" w:hAnsi="Garamond"/>
        </w:rPr>
        <w:t>'</w:t>
      </w:r>
      <w:r w:rsidR="00BD5936" w:rsidRPr="00051CAA">
        <w:rPr>
          <w:rFonts w:ascii="Garamond" w:hAnsi="Garamond"/>
        </w:rPr>
        <w:t xml:space="preserve">impianto, </w:t>
      </w:r>
      <w:r w:rsidR="00E40BB1">
        <w:rPr>
          <w:rFonts w:ascii="Garamond" w:hAnsi="Garamond"/>
        </w:rPr>
        <w:t>dal</w:t>
      </w:r>
      <w:r w:rsidR="00BD5936" w:rsidRPr="00051CAA">
        <w:rPr>
          <w:rFonts w:ascii="Garamond" w:hAnsi="Garamond"/>
        </w:rPr>
        <w:t xml:space="preserve"> valutare in concreto la compatibilità dell</w:t>
      </w:r>
      <w:r w:rsidR="00625A43" w:rsidRPr="00051CAA">
        <w:rPr>
          <w:rFonts w:ascii="Garamond" w:hAnsi="Garamond"/>
        </w:rPr>
        <w:t>'</w:t>
      </w:r>
      <w:r w:rsidR="00BD5936" w:rsidRPr="00051CAA">
        <w:rPr>
          <w:rFonts w:ascii="Garamond" w:hAnsi="Garamond"/>
        </w:rPr>
        <w:t xml:space="preserve">intervento con i valori </w:t>
      </w:r>
      <w:r w:rsidR="00BD5936" w:rsidRPr="00051CAA">
        <w:rPr>
          <w:rFonts w:ascii="Garamond" w:hAnsi="Garamond"/>
        </w:rPr>
        <w:lastRenderedPageBreak/>
        <w:t xml:space="preserve">paesaggistici espressi dagli ordinari strumenti di pianificazione territoriale (Cons. Stato, Sez. VI, 20 settembre 2024, n. 7700). </w:t>
      </w:r>
    </w:p>
    <w:p w14:paraId="6A8A09CE" w14:textId="480BEAFB" w:rsidR="00A80DA8" w:rsidRPr="00051CAA" w:rsidRDefault="00A80DA8" w:rsidP="00AE3FE4">
      <w:pPr>
        <w:spacing w:line="276" w:lineRule="auto"/>
        <w:rPr>
          <w:szCs w:val="24"/>
        </w:rPr>
      </w:pPr>
    </w:p>
    <w:p w14:paraId="1FE7D1E8" w14:textId="548E29D8" w:rsidR="00D831C4" w:rsidRPr="00051CAA" w:rsidRDefault="001E4D46" w:rsidP="00AE3FE4">
      <w:pPr>
        <w:pStyle w:val="Titolo2"/>
        <w:spacing w:line="276" w:lineRule="auto"/>
        <w:rPr>
          <w:szCs w:val="24"/>
        </w:rPr>
      </w:pPr>
      <w:bookmarkStart w:id="5" w:name="_Toc198998241"/>
      <w:r w:rsidRPr="00051CAA">
        <w:rPr>
          <w:szCs w:val="24"/>
        </w:rPr>
        <w:t>5</w:t>
      </w:r>
      <w:r w:rsidR="00154EF5" w:rsidRPr="00051CAA">
        <w:rPr>
          <w:szCs w:val="24"/>
        </w:rPr>
        <w:t>.</w:t>
      </w:r>
      <w:r w:rsidR="00154EF5" w:rsidRPr="00051CAA">
        <w:rPr>
          <w:szCs w:val="24"/>
        </w:rPr>
        <w:tab/>
      </w:r>
      <w:r w:rsidR="000736B0" w:rsidRPr="00051CAA">
        <w:rPr>
          <w:szCs w:val="24"/>
        </w:rPr>
        <w:t>Considerazioni conclusive.</w:t>
      </w:r>
      <w:bookmarkEnd w:id="5"/>
    </w:p>
    <w:p w14:paraId="1DEFD33B" w14:textId="4C6DBB8F" w:rsidR="005340FA" w:rsidRPr="00051CAA" w:rsidRDefault="00D831C4" w:rsidP="00AE3FE4">
      <w:pPr>
        <w:spacing w:line="276" w:lineRule="auto"/>
      </w:pPr>
      <w:r w:rsidRPr="00051CAA">
        <w:t xml:space="preserve">Il settore delle comunicazioni elettroniche è, come il settore dell'energia, uno di quegli ambiti in cui si manifesta una singolare contrapposizione tra i valori dell'ambiente e del paesaggio. </w:t>
      </w:r>
    </w:p>
    <w:p w14:paraId="03A31E87" w14:textId="2C253B6A" w:rsidR="00D831C4" w:rsidRPr="00051CAA" w:rsidRDefault="00D831C4" w:rsidP="00AE3FE4">
      <w:pPr>
        <w:spacing w:line="276" w:lineRule="auto"/>
      </w:pPr>
      <w:r w:rsidRPr="00051CAA">
        <w:t>Come già osservato, lo sviluppo delle comunicazioni è una componente essenziale della transizione digitale, che costituisce uno degli strumenti della transizione ecologica in atto. Pertanto, l'i</w:t>
      </w:r>
      <w:r w:rsidR="007C3DD8" w:rsidRPr="00051CAA">
        <w:t>nteresse all'i</w:t>
      </w:r>
      <w:r w:rsidRPr="00051CAA">
        <w:t xml:space="preserve">mplementazione della rete infrastrutturale e delle tecnologie a servizio delle comunicazioni </w:t>
      </w:r>
      <w:r w:rsidR="007C3DD8" w:rsidRPr="00051CAA">
        <w:t>è convergente all'interesse a</w:t>
      </w:r>
      <w:r w:rsidRPr="00051CAA">
        <w:t xml:space="preserve">mbientale. </w:t>
      </w:r>
      <w:r w:rsidR="0011776E" w:rsidRPr="00051CAA">
        <w:t xml:space="preserve">La </w:t>
      </w:r>
      <w:r w:rsidRPr="00051CAA">
        <w:t>transizione ecologica</w:t>
      </w:r>
      <w:r w:rsidR="007C3DD8" w:rsidRPr="00051CAA">
        <w:t>, invero,</w:t>
      </w:r>
      <w:r w:rsidRPr="00051CAA">
        <w:t xml:space="preserve"> </w:t>
      </w:r>
      <w:r w:rsidR="0011776E" w:rsidRPr="00051CAA">
        <w:t>accede a una concezione</w:t>
      </w:r>
      <w:r w:rsidRPr="00051CAA">
        <w:t xml:space="preserve"> nuova </w:t>
      </w:r>
      <w:r w:rsidR="0011776E" w:rsidRPr="00051CAA">
        <w:t>dell'interesse ambientale</w:t>
      </w:r>
      <w:r w:rsidRPr="00051CAA">
        <w:t xml:space="preserve">, inteso non solo più come istanza conservativa, finalizzata alla preservazione </w:t>
      </w:r>
      <w:r w:rsidR="007C3DD8" w:rsidRPr="00051CAA">
        <w:t>della natura</w:t>
      </w:r>
      <w:r w:rsidRPr="00051CAA">
        <w:t xml:space="preserve">, bensì </w:t>
      </w:r>
      <w:r w:rsidR="007C3DD8" w:rsidRPr="00051CAA">
        <w:t xml:space="preserve">come </w:t>
      </w:r>
      <w:r w:rsidR="0011776E" w:rsidRPr="00051CAA">
        <w:t>propulsore di nuove strategie di crescita economica e s</w:t>
      </w:r>
      <w:r w:rsidR="005340FA" w:rsidRPr="00051CAA">
        <w:t>ociale</w:t>
      </w:r>
      <w:r w:rsidR="00C67600" w:rsidRPr="00051CAA">
        <w:t xml:space="preserve">, </w:t>
      </w:r>
      <w:r w:rsidR="008569E6" w:rsidRPr="00051CAA">
        <w:t>soprattutto</w:t>
      </w:r>
      <w:r w:rsidR="00C67600" w:rsidRPr="00051CAA">
        <w:t xml:space="preserve"> </w:t>
      </w:r>
      <w:r w:rsidR="008569E6" w:rsidRPr="00051CAA">
        <w:t xml:space="preserve">nell'ottica di adempiere </w:t>
      </w:r>
      <w:r w:rsidR="00CC4A59" w:rsidRPr="00051CAA">
        <w:t>alla</w:t>
      </w:r>
      <w:r w:rsidR="008569E6" w:rsidRPr="00051CAA">
        <w:t xml:space="preserve"> </w:t>
      </w:r>
      <w:r w:rsidR="00C67600" w:rsidRPr="00051CAA">
        <w:t>responsabilità intergenerazionale</w:t>
      </w:r>
      <w:r w:rsidR="008569E6" w:rsidRPr="00051CAA">
        <w:t xml:space="preserve"> </w:t>
      </w:r>
      <w:r w:rsidR="00CC4A59" w:rsidRPr="00051CAA">
        <w:t>evocata</w:t>
      </w:r>
      <w:r w:rsidR="008569E6" w:rsidRPr="00051CAA">
        <w:t xml:space="preserve"> dall'art. 9, co. 3, Cost.</w:t>
      </w:r>
      <w:r w:rsidR="005340FA" w:rsidRPr="00051CAA">
        <w:t>: si</w:t>
      </w:r>
      <w:r w:rsidR="00292C57" w:rsidRPr="00051CAA">
        <w:t xml:space="preserve"> </w:t>
      </w:r>
      <w:r w:rsidR="00E40BB1">
        <w:t>ha</w:t>
      </w:r>
      <w:r w:rsidR="00292C57" w:rsidRPr="00051CAA">
        <w:t xml:space="preserve"> </w:t>
      </w:r>
      <w:r w:rsidR="005340FA" w:rsidRPr="00051CAA">
        <w:t xml:space="preserve">riguardo all'ambiente come interesse non più statico, ma dinamico. </w:t>
      </w:r>
    </w:p>
    <w:p w14:paraId="05521324" w14:textId="08937244" w:rsidR="008565C8" w:rsidRPr="00051CAA" w:rsidRDefault="00D2780B" w:rsidP="00AE3FE4">
      <w:pPr>
        <w:spacing w:line="276" w:lineRule="auto"/>
      </w:pPr>
      <w:r w:rsidRPr="00051CAA">
        <w:t xml:space="preserve">La transizione, in quanto tale, impone cambiamenti e, quindi, rinunce a situazioni pregresse. In particolare, la creazione e lo sviluppo della rete di infrastrutture per le comunicazioni modifica, spesso in senso peggiorativo, il paesaggio. </w:t>
      </w:r>
      <w:r w:rsidR="00A02A1C" w:rsidRPr="00051CAA">
        <w:t xml:space="preserve">Questo è una delle componenti conservative dell'ambiente, perché, in prevalenza, impone di orientare le scelte nel senso di un mantenimento dello </w:t>
      </w:r>
      <w:r w:rsidR="00A02A1C" w:rsidRPr="00051CAA">
        <w:rPr>
          <w:i/>
        </w:rPr>
        <w:t>status quo</w:t>
      </w:r>
      <w:r w:rsidR="002B1CEB" w:rsidRPr="00051CAA">
        <w:t xml:space="preserve">, onde </w:t>
      </w:r>
      <w:r w:rsidR="00204525" w:rsidRPr="00051CAA">
        <w:t>preservare</w:t>
      </w:r>
      <w:r w:rsidR="002B1CEB" w:rsidRPr="00051CAA">
        <w:t xml:space="preserve"> le bellezze naturali. </w:t>
      </w:r>
    </w:p>
    <w:p w14:paraId="7EA70045" w14:textId="312D7A87" w:rsidR="00C813BB" w:rsidRPr="00AE3FE4" w:rsidRDefault="008565C8" w:rsidP="00AE3FE4">
      <w:pPr>
        <w:spacing w:line="276" w:lineRule="auto"/>
      </w:pPr>
      <w:r w:rsidRPr="00051CAA">
        <w:t>Da ciò nasce un conflitto interno al medesimo interesse pubblico, nelle sue diverse accezioni, statica e dinamica. Come ogni conflitto, anch'esso è suscettibile di risoluzione mediante la tecnica del bilanciamento, secondo gli strumenti che si sono analizzati innanzi. Tuttavia, la contrapposizione sempre più evidente tra componente dinamica dell'ambiente, propria della transizione ecologica, e</w:t>
      </w:r>
      <w:r w:rsidR="00292C57" w:rsidRPr="00051CAA">
        <w:t xml:space="preserve"> componente statica, di cui il</w:t>
      </w:r>
      <w:r w:rsidRPr="00051CAA">
        <w:t xml:space="preserve"> paesaggio </w:t>
      </w:r>
      <w:r w:rsidR="00292C57" w:rsidRPr="00051CAA">
        <w:t xml:space="preserve">è manifestazione, </w:t>
      </w:r>
      <w:r w:rsidRPr="00051CAA">
        <w:t xml:space="preserve">ha sollevato dubbi sulla tenuta dell'unificazione dei due valori all'interno di un medesimo interesse. </w:t>
      </w:r>
      <w:r w:rsidR="00C813BB" w:rsidRPr="00051CAA">
        <w:t xml:space="preserve">È lecito, in altri termini, porsi il dubbio se, anche in base alla suggestione indotta dall'art. 9 Cost., che – come modificato dalla l. cost. 1/2022 – colloca paesaggio e ambiente in due commi separati, il primo non debba essere oramai considerato in termini di alterità rispetto al secondo, piuttosto che </w:t>
      </w:r>
      <w:r w:rsidR="00292C57" w:rsidRPr="00051CAA">
        <w:t>parte integrante</w:t>
      </w:r>
      <w:r w:rsidR="00C813BB" w:rsidRPr="00051CAA">
        <w:t xml:space="preserve"> di quest'ultimo</w:t>
      </w:r>
      <w:r w:rsidR="00C813BB" w:rsidRPr="00051CAA">
        <w:rPr>
          <w:rStyle w:val="Rimandonotaapidipagina"/>
        </w:rPr>
        <w:footnoteReference w:id="21"/>
      </w:r>
      <w:r w:rsidR="00C813BB" w:rsidRPr="00051CAA">
        <w:t>.</w:t>
      </w:r>
      <w:r w:rsidR="00C813BB" w:rsidRPr="00AE3FE4">
        <w:t xml:space="preserve"> </w:t>
      </w:r>
    </w:p>
    <w:p w14:paraId="223F4A69" w14:textId="77777777" w:rsidR="00C813BB" w:rsidRPr="00AE3FE4" w:rsidRDefault="00C813BB" w:rsidP="00AE3FE4">
      <w:pPr>
        <w:spacing w:line="276" w:lineRule="auto"/>
      </w:pPr>
    </w:p>
    <w:p w14:paraId="4F655ED0" w14:textId="77777777" w:rsidR="005B22C7" w:rsidRPr="00AE3FE4" w:rsidRDefault="005B22C7" w:rsidP="00AE3FE4">
      <w:pPr>
        <w:spacing w:line="276" w:lineRule="auto"/>
        <w:rPr>
          <w:szCs w:val="24"/>
        </w:rPr>
      </w:pPr>
    </w:p>
    <w:sectPr w:rsidR="005B22C7" w:rsidRPr="00AE3FE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4F8A" w14:textId="77777777" w:rsidR="00971B57" w:rsidRDefault="00971B57" w:rsidP="00D30FE7">
      <w:pPr>
        <w:spacing w:line="240" w:lineRule="auto"/>
      </w:pPr>
      <w:r>
        <w:separator/>
      </w:r>
    </w:p>
  </w:endnote>
  <w:endnote w:type="continuationSeparator" w:id="0">
    <w:p w14:paraId="7D7F850F" w14:textId="77777777" w:rsidR="00971B57" w:rsidRDefault="00971B57" w:rsidP="00D30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jaVuSansCondensed">
    <w:panose1 w:val="00000000000000000000"/>
    <w:charset w:val="00"/>
    <w:family w:val="auto"/>
    <w:notTrueType/>
    <w:pitch w:val="default"/>
    <w:sig w:usb0="00000003" w:usb1="00000000" w:usb2="00000000" w:usb3="00000000" w:csb0="00000001" w:csb1="00000000"/>
  </w:font>
  <w:font w:name="DejaVuSansCondensed-Oblique">
    <w:panose1 w:val="00000000000000000000"/>
    <w:charset w:val="00"/>
    <w:family w:val="auto"/>
    <w:notTrueType/>
    <w:pitch w:val="default"/>
    <w:sig w:usb0="00000003" w:usb1="00000000" w:usb2="00000000" w:usb3="00000000" w:csb0="00000001" w:csb1="00000000"/>
  </w:font>
  <w:font w:name="SimonciniGaramond">
    <w:panose1 w:val="00000000000000000000"/>
    <w:charset w:val="00"/>
    <w:family w:val="swiss"/>
    <w:notTrueType/>
    <w:pitch w:val="default"/>
    <w:sig w:usb0="00000003" w:usb1="00000000" w:usb2="00000000" w:usb3="00000000" w:csb0="00000001" w:csb1="00000000"/>
  </w:font>
  <w:font w:name="Open Sans">
    <w:altName w:val="Times New Roman"/>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FBF3" w14:textId="77777777" w:rsidR="00971B57" w:rsidRDefault="00971B57" w:rsidP="00D30FE7">
      <w:pPr>
        <w:spacing w:line="240" w:lineRule="auto"/>
      </w:pPr>
      <w:r>
        <w:separator/>
      </w:r>
    </w:p>
  </w:footnote>
  <w:footnote w:type="continuationSeparator" w:id="0">
    <w:p w14:paraId="3442D207" w14:textId="77777777" w:rsidR="00971B57" w:rsidRDefault="00971B57" w:rsidP="00D30FE7">
      <w:pPr>
        <w:spacing w:line="240" w:lineRule="auto"/>
      </w:pPr>
      <w:r>
        <w:continuationSeparator/>
      </w:r>
    </w:p>
  </w:footnote>
  <w:footnote w:id="1">
    <w:p w14:paraId="1015BB14" w14:textId="2B048E70" w:rsidR="00530080" w:rsidRPr="001E4D46" w:rsidRDefault="00530080" w:rsidP="00530080">
      <w:pPr>
        <w:pStyle w:val="Default"/>
        <w:jc w:val="both"/>
        <w:rPr>
          <w:rFonts w:ascii="Garamond" w:hAnsi="Garamond"/>
          <w:color w:val="auto"/>
          <w:sz w:val="20"/>
          <w:szCs w:val="20"/>
        </w:rPr>
      </w:pPr>
      <w:r w:rsidRPr="001E4D46">
        <w:rPr>
          <w:rStyle w:val="Rimandonotaapidipagina"/>
          <w:rFonts w:ascii="Garamond" w:hAnsi="Garamond"/>
          <w:color w:val="auto"/>
          <w:sz w:val="20"/>
          <w:szCs w:val="20"/>
        </w:rPr>
        <w:footnoteRef/>
      </w:r>
      <w:r w:rsidRPr="001E4D46">
        <w:rPr>
          <w:rFonts w:ascii="Garamond" w:hAnsi="Garamond"/>
          <w:color w:val="auto"/>
          <w:sz w:val="20"/>
          <w:szCs w:val="20"/>
        </w:rPr>
        <w:t xml:space="preserve"> </w:t>
      </w:r>
      <w:r w:rsidR="001E4D46">
        <w:rPr>
          <w:rFonts w:ascii="Garamond" w:hAnsi="Garamond"/>
          <w:color w:val="auto"/>
          <w:sz w:val="20"/>
          <w:szCs w:val="20"/>
        </w:rPr>
        <w:t xml:space="preserve">Relazione di accompagnamento </w:t>
      </w:r>
      <w:r w:rsidRPr="001E4D46">
        <w:rPr>
          <w:rFonts w:ascii="Garamond" w:hAnsi="Garamond"/>
          <w:color w:val="auto"/>
          <w:sz w:val="20"/>
          <w:szCs w:val="20"/>
        </w:rPr>
        <w:t>all</w:t>
      </w:r>
      <w:r w:rsidR="00CA2176">
        <w:rPr>
          <w:rFonts w:ascii="Garamond" w:hAnsi="Garamond"/>
          <w:color w:val="auto"/>
          <w:sz w:val="20"/>
          <w:szCs w:val="20"/>
        </w:rPr>
        <w:t>'</w:t>
      </w:r>
      <w:r w:rsidRPr="001E4D46">
        <w:rPr>
          <w:rFonts w:ascii="Garamond" w:hAnsi="Garamond"/>
          <w:color w:val="auto"/>
          <w:sz w:val="20"/>
          <w:szCs w:val="20"/>
        </w:rPr>
        <w:t>intervento svolto nell</w:t>
      </w:r>
      <w:r w:rsidR="00CA2176">
        <w:rPr>
          <w:rFonts w:ascii="Garamond" w:hAnsi="Garamond"/>
          <w:color w:val="auto"/>
          <w:sz w:val="20"/>
          <w:szCs w:val="20"/>
        </w:rPr>
        <w:t>'</w:t>
      </w:r>
      <w:r w:rsidRPr="001E4D46">
        <w:rPr>
          <w:rFonts w:ascii="Garamond" w:hAnsi="Garamond"/>
          <w:color w:val="auto"/>
          <w:sz w:val="20"/>
          <w:szCs w:val="20"/>
        </w:rPr>
        <w:t xml:space="preserve">ambito del corso di formazione </w:t>
      </w:r>
      <w:r w:rsidR="00CA2176">
        <w:rPr>
          <w:rFonts w:ascii="Garamond" w:hAnsi="Garamond"/>
          <w:color w:val="auto"/>
          <w:sz w:val="20"/>
          <w:szCs w:val="20"/>
        </w:rPr>
        <w:t>"</w:t>
      </w:r>
      <w:r w:rsidRPr="001E4D46">
        <w:rPr>
          <w:rFonts w:ascii="Garamond" w:hAnsi="Garamond"/>
          <w:bCs/>
          <w:i/>
          <w:color w:val="auto"/>
          <w:sz w:val="20"/>
          <w:szCs w:val="20"/>
        </w:rPr>
        <w:t>La tutela del paesaggio e dell</w:t>
      </w:r>
      <w:r w:rsidR="00CA2176">
        <w:rPr>
          <w:rFonts w:ascii="Garamond" w:hAnsi="Garamond"/>
          <w:bCs/>
          <w:i/>
          <w:color w:val="auto"/>
          <w:sz w:val="20"/>
          <w:szCs w:val="20"/>
        </w:rPr>
        <w:t>'</w:t>
      </w:r>
      <w:r w:rsidRPr="001E4D46">
        <w:rPr>
          <w:rFonts w:ascii="Garamond" w:hAnsi="Garamond"/>
          <w:bCs/>
          <w:i/>
          <w:color w:val="auto"/>
          <w:sz w:val="20"/>
          <w:szCs w:val="20"/>
        </w:rPr>
        <w:t>ambiente nel contesto del cambiamento climatico</w:t>
      </w:r>
      <w:r w:rsidR="00CA2176">
        <w:rPr>
          <w:rFonts w:ascii="Garamond" w:hAnsi="Garamond"/>
          <w:color w:val="auto"/>
          <w:sz w:val="20"/>
          <w:szCs w:val="20"/>
        </w:rPr>
        <w:t>"</w:t>
      </w:r>
      <w:r w:rsidRPr="001E4D46">
        <w:rPr>
          <w:rFonts w:ascii="Garamond" w:hAnsi="Garamond"/>
          <w:color w:val="auto"/>
          <w:sz w:val="20"/>
          <w:szCs w:val="20"/>
        </w:rPr>
        <w:t>, organizzato dall</w:t>
      </w:r>
      <w:r w:rsidR="00CA2176">
        <w:rPr>
          <w:rFonts w:ascii="Garamond" w:hAnsi="Garamond"/>
          <w:color w:val="auto"/>
          <w:sz w:val="20"/>
          <w:szCs w:val="20"/>
        </w:rPr>
        <w:t>'</w:t>
      </w:r>
      <w:r w:rsidRPr="001E4D46">
        <w:rPr>
          <w:rFonts w:ascii="Garamond" w:hAnsi="Garamond"/>
          <w:color w:val="auto"/>
          <w:sz w:val="20"/>
          <w:szCs w:val="20"/>
        </w:rPr>
        <w:t>Ufficio studi e formazione della Giustizia amministrativa, svoltosi a Trento il 26 e 27 maggio 2025.</w:t>
      </w:r>
    </w:p>
  </w:footnote>
  <w:footnote w:id="2">
    <w:p w14:paraId="76AB17EE" w14:textId="6603976F" w:rsidR="00DD4ACA" w:rsidRPr="001E4D46" w:rsidRDefault="00DD4ACA" w:rsidP="00530080">
      <w:pPr>
        <w:autoSpaceDE w:val="0"/>
        <w:autoSpaceDN w:val="0"/>
        <w:adjustRightInd w:val="0"/>
        <w:spacing w:line="240" w:lineRule="auto"/>
        <w:rPr>
          <w:sz w:val="20"/>
          <w:szCs w:val="20"/>
        </w:rPr>
      </w:pPr>
      <w:r w:rsidRPr="001E4D46">
        <w:rPr>
          <w:rStyle w:val="Rimandonotaapidipagina"/>
          <w:sz w:val="20"/>
          <w:szCs w:val="20"/>
        </w:rPr>
        <w:footnoteRef/>
      </w:r>
      <w:r w:rsidRPr="001E4D46">
        <w:rPr>
          <w:sz w:val="20"/>
          <w:szCs w:val="20"/>
        </w:rPr>
        <w:t xml:space="preserve"> E. GIARDINO, </w:t>
      </w:r>
      <w:r w:rsidRPr="001E4D46">
        <w:rPr>
          <w:i/>
          <w:sz w:val="20"/>
          <w:szCs w:val="20"/>
        </w:rPr>
        <w:t>La realizzazione delle infrastrutture di comunicazione elettronica tra poteri statali e veti locali</w:t>
      </w:r>
      <w:r w:rsidRPr="001E4D46">
        <w:rPr>
          <w:sz w:val="20"/>
          <w:szCs w:val="20"/>
        </w:rPr>
        <w:t xml:space="preserve">, in </w:t>
      </w:r>
      <w:proofErr w:type="spellStart"/>
      <w:r w:rsidRPr="001E4D46">
        <w:rPr>
          <w:i/>
          <w:sz w:val="20"/>
          <w:szCs w:val="20"/>
        </w:rPr>
        <w:t>Giustamm</w:t>
      </w:r>
      <w:proofErr w:type="spellEnd"/>
      <w:r w:rsidR="001E4D46">
        <w:rPr>
          <w:sz w:val="20"/>
          <w:szCs w:val="20"/>
        </w:rPr>
        <w:t xml:space="preserve">., 2017. </w:t>
      </w:r>
    </w:p>
  </w:footnote>
  <w:footnote w:id="3">
    <w:p w14:paraId="57551F7A" w14:textId="5E286FB9" w:rsidR="00DD4ACA" w:rsidRPr="001E4D46" w:rsidRDefault="00DD4ACA" w:rsidP="00530080">
      <w:pPr>
        <w:autoSpaceDE w:val="0"/>
        <w:autoSpaceDN w:val="0"/>
        <w:adjustRightInd w:val="0"/>
        <w:spacing w:line="240" w:lineRule="auto"/>
        <w:rPr>
          <w:rFonts w:cs="DejaVuSansCondensed"/>
          <w:sz w:val="20"/>
          <w:szCs w:val="20"/>
        </w:rPr>
      </w:pPr>
      <w:r w:rsidRPr="001E4D46">
        <w:rPr>
          <w:rStyle w:val="Rimandonotaapidipagina"/>
          <w:sz w:val="20"/>
          <w:szCs w:val="20"/>
        </w:rPr>
        <w:footnoteRef/>
      </w:r>
      <w:r w:rsidRPr="001E4D46">
        <w:rPr>
          <w:sz w:val="20"/>
          <w:szCs w:val="20"/>
        </w:rPr>
        <w:t xml:space="preserve"> </w:t>
      </w:r>
      <w:r w:rsidRPr="001E4D46">
        <w:rPr>
          <w:rFonts w:cs="DejaVuSansCondensed"/>
          <w:sz w:val="20"/>
          <w:szCs w:val="20"/>
        </w:rPr>
        <w:t>Ci si riferisce alle direttive 90/387/CEE (</w:t>
      </w:r>
      <w:r w:rsidR="00CA2176">
        <w:rPr>
          <w:rFonts w:cs="DejaVuSansCondensed"/>
          <w:sz w:val="20"/>
          <w:szCs w:val="20"/>
        </w:rPr>
        <w:t>"</w:t>
      </w:r>
      <w:r w:rsidRPr="001E4D46">
        <w:rPr>
          <w:rFonts w:cs="DejaVuSansCondensed-Oblique"/>
          <w:i/>
          <w:iCs/>
          <w:sz w:val="20"/>
          <w:szCs w:val="20"/>
        </w:rPr>
        <w:t xml:space="preserve">open network </w:t>
      </w:r>
      <w:proofErr w:type="spellStart"/>
      <w:r w:rsidRPr="001E4D46">
        <w:rPr>
          <w:rFonts w:cs="DejaVuSansCondensed-Oblique"/>
          <w:i/>
          <w:iCs/>
          <w:sz w:val="20"/>
          <w:szCs w:val="20"/>
        </w:rPr>
        <w:t>provision</w:t>
      </w:r>
      <w:proofErr w:type="spellEnd"/>
      <w:r w:rsidR="00CA2176">
        <w:rPr>
          <w:rFonts w:cs="DejaVuSansCondensed-Oblique"/>
          <w:i/>
          <w:iCs/>
          <w:sz w:val="20"/>
          <w:szCs w:val="20"/>
        </w:rPr>
        <w:t>"</w:t>
      </w:r>
      <w:r w:rsidRPr="001E4D46">
        <w:rPr>
          <w:rFonts w:cs="DejaVuSansCondensed"/>
          <w:sz w:val="20"/>
          <w:szCs w:val="20"/>
        </w:rPr>
        <w:t>), 92/44/CEE (</w:t>
      </w:r>
      <w:r w:rsidR="00CA2176">
        <w:rPr>
          <w:rFonts w:cs="DejaVuSansCondensed"/>
          <w:sz w:val="20"/>
          <w:szCs w:val="20"/>
        </w:rPr>
        <w:t>"</w:t>
      </w:r>
      <w:r w:rsidRPr="001E4D46">
        <w:rPr>
          <w:rFonts w:cs="DejaVuSansCondensed"/>
          <w:sz w:val="20"/>
          <w:szCs w:val="20"/>
        </w:rPr>
        <w:t>linee affittate</w:t>
      </w:r>
      <w:r w:rsidR="00CA2176">
        <w:rPr>
          <w:rFonts w:cs="DejaVuSansCondensed"/>
          <w:sz w:val="20"/>
          <w:szCs w:val="20"/>
        </w:rPr>
        <w:t>"</w:t>
      </w:r>
      <w:r w:rsidRPr="001E4D46">
        <w:rPr>
          <w:rFonts w:cs="DejaVuSansCondensed"/>
          <w:sz w:val="20"/>
          <w:szCs w:val="20"/>
        </w:rPr>
        <w:t>), 95/62/CE (</w:t>
      </w:r>
      <w:r w:rsidR="00CA2176">
        <w:rPr>
          <w:rFonts w:cs="DejaVuSansCondensed"/>
          <w:sz w:val="20"/>
          <w:szCs w:val="20"/>
        </w:rPr>
        <w:t>"</w:t>
      </w:r>
      <w:r w:rsidRPr="001E4D46">
        <w:rPr>
          <w:rFonts w:cs="DejaVuSansCondensed"/>
          <w:sz w:val="20"/>
          <w:szCs w:val="20"/>
        </w:rPr>
        <w:t>servizi telefonici</w:t>
      </w:r>
      <w:r w:rsidR="00CA2176">
        <w:rPr>
          <w:rFonts w:cs="DejaVuSansCondensed"/>
          <w:sz w:val="20"/>
          <w:szCs w:val="20"/>
        </w:rPr>
        <w:t>"</w:t>
      </w:r>
      <w:r w:rsidRPr="001E4D46">
        <w:rPr>
          <w:rFonts w:cs="DejaVuSansCondensed"/>
          <w:sz w:val="20"/>
          <w:szCs w:val="20"/>
        </w:rPr>
        <w:t>), 97/13/CE (</w:t>
      </w:r>
      <w:r w:rsidR="00CA2176">
        <w:rPr>
          <w:rFonts w:cs="DejaVuSansCondensed"/>
          <w:sz w:val="20"/>
          <w:szCs w:val="20"/>
        </w:rPr>
        <w:t>"</w:t>
      </w:r>
      <w:r w:rsidRPr="001E4D46">
        <w:rPr>
          <w:rFonts w:cs="DejaVuSansCondensed"/>
          <w:sz w:val="20"/>
          <w:szCs w:val="20"/>
        </w:rPr>
        <w:t>autorizzazioni</w:t>
      </w:r>
      <w:r w:rsidR="00CA2176">
        <w:rPr>
          <w:rFonts w:cs="DejaVuSansCondensed"/>
          <w:sz w:val="20"/>
          <w:szCs w:val="20"/>
        </w:rPr>
        <w:t>"</w:t>
      </w:r>
      <w:r w:rsidRPr="001E4D46">
        <w:rPr>
          <w:rFonts w:cs="DejaVuSansCondensed"/>
          <w:sz w:val="20"/>
          <w:szCs w:val="20"/>
        </w:rPr>
        <w:t>), 97/33/CE (</w:t>
      </w:r>
      <w:r w:rsidR="00CA2176">
        <w:rPr>
          <w:rFonts w:cs="DejaVuSansCondensed"/>
          <w:sz w:val="20"/>
          <w:szCs w:val="20"/>
        </w:rPr>
        <w:t>"</w:t>
      </w:r>
      <w:r w:rsidRPr="001E4D46">
        <w:rPr>
          <w:rFonts w:cs="DejaVuSansCondensed"/>
          <w:sz w:val="20"/>
          <w:szCs w:val="20"/>
        </w:rPr>
        <w:t>interconnessione</w:t>
      </w:r>
      <w:r w:rsidR="00CA2176">
        <w:rPr>
          <w:rFonts w:cs="DejaVuSansCondensed"/>
          <w:sz w:val="20"/>
          <w:szCs w:val="20"/>
        </w:rPr>
        <w:t>"</w:t>
      </w:r>
      <w:r w:rsidRPr="001E4D46">
        <w:rPr>
          <w:rFonts w:cs="DejaVuSansCondensed"/>
          <w:sz w:val="20"/>
          <w:szCs w:val="20"/>
        </w:rPr>
        <w:t>) e 98/13/CE, relativa alle apparecchiature terminali di telecomunicazione e alle apparecchiature di stazioni terrestri di comunicazione via satellite, incluso il reciproco riconoscimento della loro conformità.</w:t>
      </w:r>
    </w:p>
  </w:footnote>
  <w:footnote w:id="4">
    <w:p w14:paraId="1FB940F9" w14:textId="3F18B3E2" w:rsidR="00DD4ACA" w:rsidRPr="001E4D46" w:rsidRDefault="00DD4ACA" w:rsidP="00530080">
      <w:pPr>
        <w:autoSpaceDE w:val="0"/>
        <w:autoSpaceDN w:val="0"/>
        <w:adjustRightInd w:val="0"/>
        <w:spacing w:line="240" w:lineRule="auto"/>
        <w:rPr>
          <w:rFonts w:cs="DejaVuSansCondensed"/>
          <w:sz w:val="20"/>
          <w:szCs w:val="20"/>
        </w:rPr>
      </w:pPr>
      <w:r w:rsidRPr="001E4D46">
        <w:rPr>
          <w:rStyle w:val="Rimandonotaapidipagina"/>
          <w:sz w:val="20"/>
          <w:szCs w:val="20"/>
        </w:rPr>
        <w:footnoteRef/>
      </w:r>
      <w:r w:rsidRPr="001E4D46">
        <w:rPr>
          <w:sz w:val="20"/>
          <w:szCs w:val="20"/>
        </w:rPr>
        <w:t xml:space="preserve"> </w:t>
      </w:r>
      <w:r w:rsidRPr="001E4D46">
        <w:rPr>
          <w:rFonts w:cs="DejaVuSansCondensed"/>
          <w:sz w:val="20"/>
          <w:szCs w:val="20"/>
        </w:rPr>
        <w:t>Il quadro regolamentare è composto da una direttiva generale, la direttiva 2002/21/CE, che istituisce un quadro normativo comune per le reti e i servizi di comunicazione elettronica (direttiva quadro), e dalle seguenti direttive particolari: la direttiva 2002/20/CE, relativa alle autorizzazioni per le reti e i servizi di comunicazione elettronica (direttiva autorizzazioni); la direttiva 2002/19/CE, relativa all</w:t>
      </w:r>
      <w:r w:rsidR="00CA2176">
        <w:rPr>
          <w:rFonts w:cs="DejaVuSansCondensed"/>
          <w:sz w:val="20"/>
          <w:szCs w:val="20"/>
        </w:rPr>
        <w:t>'</w:t>
      </w:r>
      <w:r w:rsidRPr="001E4D46">
        <w:rPr>
          <w:rFonts w:cs="DejaVuSansCondensed"/>
          <w:sz w:val="20"/>
          <w:szCs w:val="20"/>
        </w:rPr>
        <w:t>accesso alle reti di comunicazione elettronica e alle risorse correlate nonché all</w:t>
      </w:r>
      <w:r w:rsidR="00CA2176">
        <w:rPr>
          <w:rFonts w:cs="DejaVuSansCondensed"/>
          <w:sz w:val="20"/>
          <w:szCs w:val="20"/>
        </w:rPr>
        <w:t>'</w:t>
      </w:r>
      <w:r w:rsidRPr="001E4D46">
        <w:rPr>
          <w:rFonts w:cs="DejaVuSansCondensed"/>
          <w:sz w:val="20"/>
          <w:szCs w:val="20"/>
        </w:rPr>
        <w:t>interconnessione delle medesime (direttiva accesso); la direttiva 2002/22/CE, relativa al servizio universale e ai diritti degli utenti in materia di reti e di servizi di comunicazione elettronica (direttiva servizio universale); la direttiva 2002/58/CE, relativa al trattamento dei dati personali e alla tutela della vita privata nel settore delle comunicazioni elettronica (direttiva relativa alla vita privata e alle comunicazioni elettroniche). Vi si è aggiunta la direttiva 2002/77/CE, relativa alla concorrenza nei mercati delle reti e dei servizi di comunicazione elettronica.</w:t>
      </w:r>
    </w:p>
  </w:footnote>
  <w:footnote w:id="5">
    <w:p w14:paraId="5872179D" w14:textId="49E09A6C" w:rsidR="00DD4ACA" w:rsidRPr="001E4D46" w:rsidRDefault="00DD4ACA" w:rsidP="00530080">
      <w:pPr>
        <w:autoSpaceDE w:val="0"/>
        <w:autoSpaceDN w:val="0"/>
        <w:adjustRightInd w:val="0"/>
        <w:spacing w:line="240" w:lineRule="auto"/>
        <w:rPr>
          <w:rFonts w:cs="DejaVuSansCondensed"/>
          <w:sz w:val="20"/>
          <w:szCs w:val="20"/>
        </w:rPr>
      </w:pPr>
      <w:r w:rsidRPr="001E4D46">
        <w:rPr>
          <w:rStyle w:val="Rimandonotaapidipagina"/>
          <w:sz w:val="20"/>
          <w:szCs w:val="20"/>
        </w:rPr>
        <w:footnoteRef/>
      </w:r>
      <w:r w:rsidRPr="001E4D46">
        <w:rPr>
          <w:sz w:val="20"/>
          <w:szCs w:val="20"/>
        </w:rPr>
        <w:t xml:space="preserve"> </w:t>
      </w:r>
      <w:r w:rsidRPr="001E4D46">
        <w:rPr>
          <w:rFonts w:cs="DejaVuSansCondensed"/>
          <w:sz w:val="20"/>
          <w:szCs w:val="20"/>
        </w:rPr>
        <w:t xml:space="preserve">Sono state adottate le direttive 2009/136/CE e 2009/140/CE, nonché il regolamento 1221/2009/CE, per implementare la convergenza e la liberalizzazione del mercato nonché per rafforzare le modalità di coordinamento procedimentale e organizzativo di controllo sul settore. </w:t>
      </w:r>
    </w:p>
  </w:footnote>
  <w:footnote w:id="6">
    <w:p w14:paraId="324E5C65" w14:textId="7A2517B3" w:rsidR="00DD4ACA" w:rsidRPr="001E4D46" w:rsidRDefault="00DD4ACA" w:rsidP="00530080">
      <w:pPr>
        <w:pStyle w:val="Testonotaapidipagina"/>
      </w:pPr>
      <w:r w:rsidRPr="001E4D46">
        <w:rPr>
          <w:rStyle w:val="Rimandonotaapidipagina"/>
        </w:rPr>
        <w:footnoteRef/>
      </w:r>
      <w:r w:rsidRPr="001E4D46">
        <w:t xml:space="preserve"> F. DE LEONARDIS, </w:t>
      </w:r>
      <w:r w:rsidRPr="001E4D46">
        <w:rPr>
          <w:i/>
          <w:lang w:eastAsia="it-IT"/>
        </w:rPr>
        <w:t>La transizione ecologica come modello di sviluppo di sistema: spunti sul ruolo delle amministrazioni</w:t>
      </w:r>
      <w:r w:rsidRPr="001E4D46">
        <w:rPr>
          <w:lang w:eastAsia="it-IT"/>
        </w:rPr>
        <w:t xml:space="preserve">, in </w:t>
      </w:r>
      <w:r w:rsidRPr="001E4D46">
        <w:rPr>
          <w:i/>
          <w:lang w:eastAsia="it-IT"/>
        </w:rPr>
        <w:t xml:space="preserve">Dir. </w:t>
      </w:r>
      <w:proofErr w:type="spellStart"/>
      <w:r w:rsidRPr="001E4D46">
        <w:rPr>
          <w:i/>
          <w:lang w:eastAsia="it-IT"/>
        </w:rPr>
        <w:t>Amm</w:t>
      </w:r>
      <w:proofErr w:type="spellEnd"/>
      <w:r w:rsidRPr="001E4D46">
        <w:rPr>
          <w:i/>
          <w:lang w:eastAsia="it-IT"/>
        </w:rPr>
        <w:t>.</w:t>
      </w:r>
      <w:r w:rsidRPr="001E4D46">
        <w:rPr>
          <w:lang w:eastAsia="it-IT"/>
        </w:rPr>
        <w:t>, 2021, 779 e ss.</w:t>
      </w:r>
    </w:p>
  </w:footnote>
  <w:footnote w:id="7">
    <w:p w14:paraId="3FC59F96" w14:textId="680A2DFE" w:rsidR="00DD4ACA" w:rsidRPr="001E4D46" w:rsidRDefault="00DD4ACA" w:rsidP="00530080">
      <w:pPr>
        <w:autoSpaceDE w:val="0"/>
        <w:autoSpaceDN w:val="0"/>
        <w:adjustRightInd w:val="0"/>
        <w:spacing w:line="240" w:lineRule="auto"/>
        <w:rPr>
          <w:rFonts w:cs="SimonciniGaramond"/>
          <w:sz w:val="20"/>
          <w:szCs w:val="20"/>
        </w:rPr>
      </w:pPr>
      <w:r w:rsidRPr="001E4D46">
        <w:rPr>
          <w:rStyle w:val="Rimandonotaapidipagina"/>
          <w:sz w:val="20"/>
          <w:szCs w:val="20"/>
        </w:rPr>
        <w:footnoteRef/>
      </w:r>
      <w:r w:rsidRPr="001E4D46">
        <w:rPr>
          <w:sz w:val="20"/>
          <w:szCs w:val="20"/>
        </w:rPr>
        <w:t xml:space="preserve"> M. PASSALACQUA, </w:t>
      </w:r>
      <w:r w:rsidRPr="001E4D46">
        <w:rPr>
          <w:i/>
          <w:sz w:val="20"/>
          <w:szCs w:val="20"/>
        </w:rPr>
        <w:t>Diritti e mercati nella transizione ecologica e digitale</w:t>
      </w:r>
      <w:r w:rsidRPr="001E4D46">
        <w:rPr>
          <w:sz w:val="20"/>
          <w:szCs w:val="20"/>
        </w:rPr>
        <w:t>, Padova, 2021, 5 e ss.</w:t>
      </w:r>
    </w:p>
  </w:footnote>
  <w:footnote w:id="8">
    <w:p w14:paraId="16BED6C2" w14:textId="4D58F090" w:rsidR="00DD4ACA" w:rsidRPr="001E4D46" w:rsidRDefault="00DD4ACA" w:rsidP="00530080">
      <w:pPr>
        <w:pStyle w:val="Testonotaapidipagina"/>
      </w:pPr>
      <w:r w:rsidRPr="001E4D46">
        <w:rPr>
          <w:rStyle w:val="Rimandonotaapidipagina"/>
        </w:rPr>
        <w:footnoteRef/>
      </w:r>
      <w:r w:rsidRPr="001E4D46">
        <w:t xml:space="preserve"> P. OTRANTO, </w:t>
      </w:r>
      <w:r w:rsidRPr="001E4D46">
        <w:rPr>
          <w:i/>
        </w:rPr>
        <w:t xml:space="preserve">La garanzia di accesso alla rete e la </w:t>
      </w:r>
      <w:r w:rsidR="00CA2176">
        <w:rPr>
          <w:i/>
        </w:rPr>
        <w:t>"</w:t>
      </w:r>
      <w:r w:rsidRPr="001E4D46">
        <w:rPr>
          <w:i/>
        </w:rPr>
        <w:t>città connessa</w:t>
      </w:r>
      <w:r w:rsidR="00CA2176">
        <w:rPr>
          <w:i/>
        </w:rPr>
        <w:t>"</w:t>
      </w:r>
      <w:r w:rsidRPr="001E4D46">
        <w:t xml:space="preserve">, in </w:t>
      </w:r>
      <w:r w:rsidRPr="001E4D46">
        <w:rPr>
          <w:i/>
        </w:rPr>
        <w:t xml:space="preserve">Riv. giur. </w:t>
      </w:r>
      <w:proofErr w:type="spellStart"/>
      <w:r w:rsidRPr="001E4D46">
        <w:rPr>
          <w:i/>
        </w:rPr>
        <w:t>edil</w:t>
      </w:r>
      <w:proofErr w:type="spellEnd"/>
      <w:r w:rsidRPr="001E4D46">
        <w:rPr>
          <w:i/>
        </w:rPr>
        <w:t>.</w:t>
      </w:r>
      <w:r w:rsidRPr="001E4D46">
        <w:t xml:space="preserve">, 2021, 77 e ss. </w:t>
      </w:r>
    </w:p>
  </w:footnote>
  <w:footnote w:id="9">
    <w:p w14:paraId="3241830F" w14:textId="77777777" w:rsidR="00DD4ACA" w:rsidRPr="001E4D46" w:rsidRDefault="00DD4ACA" w:rsidP="00530080">
      <w:pPr>
        <w:pStyle w:val="Testonotaapidipagina"/>
      </w:pPr>
      <w:r w:rsidRPr="001E4D46">
        <w:rPr>
          <w:rStyle w:val="Rimandonotaapidipagina"/>
        </w:rPr>
        <w:footnoteRef/>
      </w:r>
      <w:r w:rsidRPr="001E4D46">
        <w:t xml:space="preserve"> Si citano gli articoli del codice attualmente vigenti, fornendo i riferimenti degli articoli che disciplinavano i relativi istituti prima del riordino del codice attuato dal d.lgs. 207/2021.</w:t>
      </w:r>
    </w:p>
  </w:footnote>
  <w:footnote w:id="10">
    <w:p w14:paraId="38E1CD10" w14:textId="24325111" w:rsidR="00DD4ACA" w:rsidRPr="001E4D46" w:rsidRDefault="00DD4ACA" w:rsidP="00530080">
      <w:pPr>
        <w:pStyle w:val="Testonotaapidipagina"/>
      </w:pPr>
      <w:r w:rsidRPr="001E4D46">
        <w:rPr>
          <w:rStyle w:val="Rimandonotaapidipagina"/>
        </w:rPr>
        <w:footnoteRef/>
      </w:r>
      <w:r w:rsidRPr="001E4D46">
        <w:t xml:space="preserve"> Lo Stato riserva a sé solo quelle attività che non trovano uno sbocco di mercato (cd. fallimenti di mercato), come la copertura di rete nelle cd. aree bianche, ossia prive di connessione a banda larga in quanto commercialmente inappetibili, per le quali affida </w:t>
      </w:r>
      <w:r w:rsidRPr="001E4D46">
        <w:rPr>
          <w:i/>
        </w:rPr>
        <w:t xml:space="preserve">in house </w:t>
      </w:r>
      <w:r w:rsidRPr="001E4D46">
        <w:t xml:space="preserve">o in concessione il compito di predisporre le infrastrutture necessarie. </w:t>
      </w:r>
    </w:p>
  </w:footnote>
  <w:footnote w:id="11">
    <w:p w14:paraId="4984A95E" w14:textId="3B3893BF" w:rsidR="00DD4ACA" w:rsidRPr="001E4D46" w:rsidRDefault="00DD4ACA" w:rsidP="00530080">
      <w:pPr>
        <w:pStyle w:val="Testonotaapidipagina"/>
      </w:pPr>
      <w:r w:rsidRPr="001E4D46">
        <w:rPr>
          <w:rStyle w:val="Rimandonotaapidipagina"/>
        </w:rPr>
        <w:footnoteRef/>
      </w:r>
      <w:r w:rsidRPr="001E4D46">
        <w:t xml:space="preserve"> F. TRIMARCHI BANFI, </w:t>
      </w:r>
      <w:r w:rsidRPr="001E4D46">
        <w:rPr>
          <w:i/>
        </w:rPr>
        <w:t>Lezioni di diritto pubblico dell</w:t>
      </w:r>
      <w:r w:rsidR="00CA2176">
        <w:rPr>
          <w:i/>
        </w:rPr>
        <w:t>'</w:t>
      </w:r>
      <w:r w:rsidRPr="001E4D46">
        <w:rPr>
          <w:i/>
        </w:rPr>
        <w:t>economia</w:t>
      </w:r>
      <w:r w:rsidRPr="001E4D46">
        <w:t>, Torino, 2021, 18.</w:t>
      </w:r>
    </w:p>
  </w:footnote>
  <w:footnote w:id="12">
    <w:p w14:paraId="32D9714D" w14:textId="0E434E75" w:rsidR="00DD4ACA" w:rsidRPr="001E4D46" w:rsidRDefault="00DD4ACA" w:rsidP="00530080">
      <w:pPr>
        <w:autoSpaceDE w:val="0"/>
        <w:autoSpaceDN w:val="0"/>
        <w:adjustRightInd w:val="0"/>
        <w:spacing w:line="240" w:lineRule="auto"/>
        <w:rPr>
          <w:sz w:val="20"/>
          <w:szCs w:val="20"/>
        </w:rPr>
      </w:pPr>
      <w:r w:rsidRPr="001E4D46">
        <w:rPr>
          <w:rStyle w:val="Rimandonotaapidipagina"/>
          <w:sz w:val="20"/>
          <w:szCs w:val="20"/>
        </w:rPr>
        <w:footnoteRef/>
      </w:r>
      <w:r w:rsidRPr="001E4D46">
        <w:rPr>
          <w:sz w:val="20"/>
          <w:szCs w:val="20"/>
        </w:rPr>
        <w:t xml:space="preserve"> E. BOSCOLO, </w:t>
      </w:r>
      <w:r w:rsidRPr="001E4D46">
        <w:rPr>
          <w:i/>
          <w:sz w:val="20"/>
          <w:szCs w:val="20"/>
        </w:rPr>
        <w:t>Telecomunicazioni: autorizzazioni e silenzio-assenso – Il silenzio assenso in materia di telecomunicazioni</w:t>
      </w:r>
      <w:r w:rsidRPr="001E4D46">
        <w:rPr>
          <w:sz w:val="20"/>
          <w:szCs w:val="20"/>
        </w:rPr>
        <w:t xml:space="preserve">, in </w:t>
      </w:r>
      <w:r w:rsidRPr="001E4D46">
        <w:rPr>
          <w:i/>
          <w:sz w:val="20"/>
          <w:szCs w:val="20"/>
        </w:rPr>
        <w:t xml:space="preserve">Giur. </w:t>
      </w:r>
      <w:proofErr w:type="spellStart"/>
      <w:r w:rsidRPr="001E4D46">
        <w:rPr>
          <w:i/>
          <w:sz w:val="20"/>
          <w:szCs w:val="20"/>
        </w:rPr>
        <w:t>it</w:t>
      </w:r>
      <w:proofErr w:type="spellEnd"/>
      <w:r w:rsidRPr="001E4D46">
        <w:rPr>
          <w:i/>
          <w:sz w:val="20"/>
          <w:szCs w:val="20"/>
        </w:rPr>
        <w:t>.</w:t>
      </w:r>
      <w:r w:rsidRPr="001E4D46">
        <w:rPr>
          <w:sz w:val="20"/>
          <w:szCs w:val="20"/>
        </w:rPr>
        <w:t xml:space="preserve">, 2021, 1928. Sulla semplificazione per unificazione, ancora, W. GIULIETTI, </w:t>
      </w:r>
      <w:r w:rsidRPr="001E4D46">
        <w:rPr>
          <w:i/>
          <w:sz w:val="20"/>
          <w:szCs w:val="20"/>
        </w:rPr>
        <w:t>La concentrazione dei procedimenti, in Codice dell</w:t>
      </w:r>
      <w:r w:rsidR="00CA2176">
        <w:rPr>
          <w:i/>
          <w:sz w:val="20"/>
          <w:szCs w:val="20"/>
        </w:rPr>
        <w:t>'</w:t>
      </w:r>
      <w:r w:rsidRPr="001E4D46">
        <w:rPr>
          <w:i/>
          <w:sz w:val="20"/>
          <w:szCs w:val="20"/>
        </w:rPr>
        <w:t>azione amministrativa</w:t>
      </w:r>
      <w:r w:rsidRPr="001E4D46">
        <w:rPr>
          <w:sz w:val="20"/>
          <w:szCs w:val="20"/>
        </w:rPr>
        <w:t>, Milano, 2017, 956.</w:t>
      </w:r>
    </w:p>
  </w:footnote>
  <w:footnote w:id="13">
    <w:p w14:paraId="542EAC43" w14:textId="42AA2828" w:rsidR="00DD4ACA" w:rsidRPr="001E4D46" w:rsidRDefault="00DD4ACA" w:rsidP="00530080">
      <w:pPr>
        <w:pStyle w:val="Testonotaapidipagina"/>
      </w:pPr>
      <w:r w:rsidRPr="001E4D46">
        <w:rPr>
          <w:rStyle w:val="Rimandonotaapidipagina"/>
        </w:rPr>
        <w:footnoteRef/>
      </w:r>
      <w:r w:rsidRPr="001E4D46">
        <w:t xml:space="preserve"> L</w:t>
      </w:r>
      <w:r w:rsidR="00CA2176">
        <w:t>'</w:t>
      </w:r>
      <w:r w:rsidRPr="001E4D46">
        <w:t>art. 44 – già 87 – d.lgs. 259/2003 deroga, per specialità, alla disciplina del d.p.r. 380/2001 (testo unico dell</w:t>
      </w:r>
      <w:r w:rsidR="00CA2176">
        <w:t>'</w:t>
      </w:r>
      <w:r w:rsidRPr="001E4D46">
        <w:t>edilizia), che, invece, considera l</w:t>
      </w:r>
      <w:r w:rsidR="00CA2176">
        <w:t>'</w:t>
      </w:r>
      <w:r w:rsidRPr="001E4D46">
        <w:t xml:space="preserve">installazione di torri e tralicci per impianti radio-ricetrasmittenti e di ripetitori per i servizi di telecomunicazione alla stregua di nuove costruzioni (art. 3, co. 1, lett. e.4, d.p.r. 380/2001), come tali richiedenti il permesso di costruire (art. 10 d.p.r. 380/2001). </w:t>
      </w:r>
    </w:p>
  </w:footnote>
  <w:footnote w:id="14">
    <w:p w14:paraId="3D448F33" w14:textId="73E2CA58" w:rsidR="00DD4ACA" w:rsidRPr="001E4D46" w:rsidRDefault="00DD4ACA" w:rsidP="00530080">
      <w:pPr>
        <w:pStyle w:val="Testonotaapidipagina"/>
      </w:pPr>
      <w:r w:rsidRPr="001E4D46">
        <w:rPr>
          <w:rStyle w:val="Rimandonotaapidipagina"/>
        </w:rPr>
        <w:footnoteRef/>
      </w:r>
      <w:r w:rsidRPr="001E4D46">
        <w:t xml:space="preserve"> Il termine per la conclusione del procedimento autorizzativo, in origine, era pari a novanta giorni, ma è stato accorciato a sessanta giorni con l. 41/2023. </w:t>
      </w:r>
    </w:p>
  </w:footnote>
  <w:footnote w:id="15">
    <w:p w14:paraId="626EF9EF" w14:textId="09E04850" w:rsidR="00DD4ACA" w:rsidRPr="001E4D46" w:rsidRDefault="00DD4ACA" w:rsidP="00530080">
      <w:pPr>
        <w:pStyle w:val="Testonotaapidipagina"/>
      </w:pPr>
      <w:r w:rsidRPr="001E4D46">
        <w:rPr>
          <w:rStyle w:val="Rimandonotaapidipagina"/>
        </w:rPr>
        <w:footnoteRef/>
      </w:r>
      <w:r w:rsidRPr="001E4D46">
        <w:t xml:space="preserve"> L. MURGOLO, </w:t>
      </w:r>
      <w:r w:rsidRPr="001E4D46">
        <w:rPr>
          <w:i/>
        </w:rPr>
        <w:t>L</w:t>
      </w:r>
      <w:r w:rsidR="00CA2176">
        <w:rPr>
          <w:i/>
        </w:rPr>
        <w:t>'</w:t>
      </w:r>
      <w:r w:rsidRPr="001E4D46">
        <w:rPr>
          <w:i/>
        </w:rPr>
        <w:t>arduo assenso tacito alle infrastrutture di telefonia mobile</w:t>
      </w:r>
      <w:r w:rsidRPr="001E4D46">
        <w:t xml:space="preserve">, in </w:t>
      </w:r>
      <w:r w:rsidRPr="001E4D46">
        <w:rPr>
          <w:i/>
        </w:rPr>
        <w:t>Urban. appalti</w:t>
      </w:r>
      <w:r w:rsidRPr="001E4D46">
        <w:t xml:space="preserve">, 2021, 361. </w:t>
      </w:r>
    </w:p>
  </w:footnote>
  <w:footnote w:id="16">
    <w:p w14:paraId="6D3656F8" w14:textId="29AE0C80" w:rsidR="00DD4ACA" w:rsidRPr="001E4D46" w:rsidRDefault="00DD4ACA" w:rsidP="00530080">
      <w:pPr>
        <w:pStyle w:val="Testonotaapidipagina"/>
      </w:pPr>
      <w:r w:rsidRPr="001E4D46">
        <w:rPr>
          <w:rStyle w:val="Rimandonotaapidipagina"/>
        </w:rPr>
        <w:footnoteRef/>
      </w:r>
      <w:r w:rsidRPr="001E4D46">
        <w:t xml:space="preserve"> Prima dei comuni, analoghi freni alla diffusione delle comunicazioni elettroniche sono derivati da leggi regionali, adottate in esercizio delle competenze concorrenti della tutela della salute e del governo del territorio (art. 117, co. 3, Cost.). Tuttavia, molti di questi interventi legislativi sono stati giudicati incostituzionali, per violazione della competenza statale in materia di tutela dell</w:t>
      </w:r>
      <w:r w:rsidR="00CA2176">
        <w:t>'</w:t>
      </w:r>
      <w:r w:rsidRPr="001E4D46">
        <w:t xml:space="preserve">ambiente </w:t>
      </w:r>
      <w:r w:rsidRPr="001E4D46">
        <w:rPr>
          <w:i/>
        </w:rPr>
        <w:t xml:space="preserve">ex </w:t>
      </w:r>
      <w:r w:rsidRPr="001E4D46">
        <w:t>art. 117, co. 2, lett. s), Cost., esercitata con la</w:t>
      </w:r>
      <w:r w:rsidR="00073345">
        <w:t xml:space="preserve"> l. quadro 36/2001 (cfr. Corte c</w:t>
      </w:r>
      <w:r w:rsidRPr="001E4D46">
        <w:t xml:space="preserve">ost., 7 ottobre 2003, n. 307; Id., 7 novembre 2003, n. 331). </w:t>
      </w:r>
    </w:p>
    <w:p w14:paraId="60A4C6E1" w14:textId="2E66A23A" w:rsidR="00DD4ACA" w:rsidRPr="001E4D46" w:rsidRDefault="00DD4ACA" w:rsidP="00530080">
      <w:pPr>
        <w:pStyle w:val="Testonotaapidipagina"/>
      </w:pPr>
    </w:p>
  </w:footnote>
  <w:footnote w:id="17">
    <w:p w14:paraId="1A7105F6" w14:textId="3C8088F7" w:rsidR="00DD4ACA" w:rsidRPr="001E4D46" w:rsidRDefault="00DD4ACA" w:rsidP="00530080">
      <w:pPr>
        <w:pStyle w:val="Testonotaapidipagina"/>
      </w:pPr>
      <w:r w:rsidRPr="001E4D46">
        <w:rPr>
          <w:rStyle w:val="Rimandonotaapidipagina"/>
        </w:rPr>
        <w:footnoteRef/>
      </w:r>
      <w:r w:rsidRPr="001E4D46">
        <w:t xml:space="preserve"> L</w:t>
      </w:r>
      <w:r w:rsidR="00CA2176">
        <w:t>'</w:t>
      </w:r>
      <w:r w:rsidRPr="001E4D46">
        <w:t>espressa funzionalizzazione del potere regolamentare a «</w:t>
      </w:r>
      <w:r w:rsidRPr="001E4D46">
        <w:rPr>
          <w:i/>
        </w:rPr>
        <w:t>minimizzare l</w:t>
      </w:r>
      <w:r w:rsidR="00CA2176">
        <w:rPr>
          <w:i/>
        </w:rPr>
        <w:t>'</w:t>
      </w:r>
      <w:r w:rsidRPr="001E4D46">
        <w:rPr>
          <w:i/>
        </w:rPr>
        <w:t>esposizione della popolazione ai campi elettromagnetici</w:t>
      </w:r>
      <w:r w:rsidRPr="001E4D46">
        <w:t>» (art. 8, co. 6, l. 36/2001) crea la suggestione che il legislatore abbia voluto investire i comuni della cura di un interesse legato a una materia – la salute – estranea ai fini istituzionali dell</w:t>
      </w:r>
      <w:r w:rsidR="00CA2176">
        <w:t>'</w:t>
      </w:r>
      <w:r w:rsidRPr="001E4D46">
        <w:t>ente. L</w:t>
      </w:r>
      <w:r w:rsidR="00CA2176">
        <w:t>'</w:t>
      </w:r>
      <w:r w:rsidRPr="001E4D46">
        <w:t>inciso normativo ha rafforzato la convinzione degli enti locali di avere la missione di proteggere la propria popolazione dai rischi connessi all</w:t>
      </w:r>
      <w:r w:rsidR="00CA2176">
        <w:t>'</w:t>
      </w:r>
      <w:r w:rsidRPr="001E4D46">
        <w:t>inquinamento elettromagnetico e di poter, così, contingentare l</w:t>
      </w:r>
      <w:r w:rsidR="00CA2176">
        <w:t>'</w:t>
      </w:r>
      <w:r w:rsidRPr="001E4D46">
        <w:t>installazione di nuove infrastrutture sul loro territorio, specie se basate su tecnologie meno conosciute, come il 5G. In realtà, la l. 36/2001 contiene un chiaro riparto di funzioni, in base al quale solo lo Stato è investito del compito di individuare il giusto bilanciamento tra l</w:t>
      </w:r>
      <w:r w:rsidR="00CA2176">
        <w:t>'</w:t>
      </w:r>
      <w:r w:rsidRPr="001E4D46">
        <w:t xml:space="preserve">interesse alla connettività e quello alla salute, attraverso la fissazione dei limiti di esposizione ai campi elettromagnetici (art. 4), limiti inderogabili – sia </w:t>
      </w:r>
      <w:r w:rsidRPr="001E4D46">
        <w:rPr>
          <w:i/>
        </w:rPr>
        <w:t xml:space="preserve">in </w:t>
      </w:r>
      <w:proofErr w:type="spellStart"/>
      <w:r w:rsidRPr="001E4D46">
        <w:rPr>
          <w:i/>
        </w:rPr>
        <w:t>peius</w:t>
      </w:r>
      <w:proofErr w:type="spellEnd"/>
      <w:r w:rsidRPr="001E4D46">
        <w:rPr>
          <w:i/>
        </w:rPr>
        <w:t xml:space="preserve"> </w:t>
      </w:r>
      <w:r w:rsidRPr="001E4D46">
        <w:t xml:space="preserve">sia </w:t>
      </w:r>
      <w:r w:rsidRPr="001E4D46">
        <w:rPr>
          <w:i/>
        </w:rPr>
        <w:t xml:space="preserve">in </w:t>
      </w:r>
      <w:proofErr w:type="spellStart"/>
      <w:r w:rsidRPr="001E4D46">
        <w:rPr>
          <w:i/>
        </w:rPr>
        <w:t>melius</w:t>
      </w:r>
      <w:proofErr w:type="spellEnd"/>
      <w:r w:rsidRPr="001E4D46">
        <w:t xml:space="preserve"> – dagli enti locali (Corte cost., 7 ottobre 2003, n. 307). Ne consegue che l</w:t>
      </w:r>
      <w:r w:rsidR="00CA2176">
        <w:t>'</w:t>
      </w:r>
      <w:r w:rsidRPr="001E4D46">
        <w:t>esplicitazione del fine di minimizzare l</w:t>
      </w:r>
      <w:r w:rsidR="00CA2176">
        <w:t>'</w:t>
      </w:r>
      <w:r w:rsidRPr="001E4D46">
        <w:t xml:space="preserve">esposizione della popolazione comunale ai campi elettromagnetici, </w:t>
      </w:r>
      <w:r w:rsidRPr="001E4D46">
        <w:rPr>
          <w:i/>
        </w:rPr>
        <w:t xml:space="preserve">ex </w:t>
      </w:r>
      <w:r w:rsidRPr="001E4D46">
        <w:t>art. 8, co. 6, l. 36/2001, non deve essere valorizzata a tal punto da legittimare l</w:t>
      </w:r>
      <w:r w:rsidR="00CA2176">
        <w:t>'</w:t>
      </w:r>
      <w:r w:rsidRPr="001E4D46">
        <w:t>appropriazione, da parte dei comuni, di poteri in materia di salute e deve essere intesa, semplicemente, come l</w:t>
      </w:r>
      <w:r w:rsidR="00CA2176">
        <w:t>'</w:t>
      </w:r>
      <w:r w:rsidRPr="001E4D46">
        <w:t xml:space="preserve">enunciazione di un criterio orientativo della pianificazione comunale, che deve rimanere diretta a garantire il corretto insediamento urbanistico, </w:t>
      </w:r>
      <w:r w:rsidRPr="001E4D46">
        <w:rPr>
          <w:i/>
        </w:rPr>
        <w:t>id est</w:t>
      </w:r>
      <w:r w:rsidRPr="001E4D46">
        <w:t xml:space="preserve"> all</w:t>
      </w:r>
      <w:r w:rsidR="00CA2176">
        <w:t>'</w:t>
      </w:r>
      <w:r w:rsidRPr="001E4D46">
        <w:t>esplicazione di un potere proprio dell</w:t>
      </w:r>
      <w:r w:rsidR="00CA2176">
        <w:t>'</w:t>
      </w:r>
      <w:r w:rsidRPr="001E4D46">
        <w:t xml:space="preserve">ente locale.  </w:t>
      </w:r>
    </w:p>
    <w:p w14:paraId="4D8CDD2A" w14:textId="18676354" w:rsidR="00DD4ACA" w:rsidRPr="001E4D46" w:rsidRDefault="00DD4ACA" w:rsidP="00530080">
      <w:pPr>
        <w:pStyle w:val="Testonotaapidipagina"/>
      </w:pPr>
      <w:r w:rsidRPr="001E4D46">
        <w:t>Sempre nell</w:t>
      </w:r>
      <w:r w:rsidR="00CA2176">
        <w:t>'</w:t>
      </w:r>
      <w:r w:rsidRPr="001E4D46">
        <w:t xml:space="preserve">ottica di proteggere la popolazione locale dai rischi – peraltro, </w:t>
      </w:r>
      <w:r w:rsidR="00CA2176">
        <w:t xml:space="preserve">spesso </w:t>
      </w:r>
      <w:r w:rsidRPr="001E4D46">
        <w:t>scientificamente indimostrati – dell</w:t>
      </w:r>
      <w:r w:rsidR="00CA2176">
        <w:t>'</w:t>
      </w:r>
      <w:r w:rsidRPr="001E4D46">
        <w:t>innovazione sulla salute umana, non pochi sindaci hanno adottato ordinanze contingibili e urgenti contenenti il divieto di implementazione, sul relativo territorio comunale, della tecnologia 5G. Anche questi provvedimenti sono stati censurati in ragione dell</w:t>
      </w:r>
      <w:r w:rsidR="00CA2176">
        <w:t>'</w:t>
      </w:r>
      <w:r w:rsidRPr="001E4D46">
        <w:t>indebita intrusione degli enti locali nella competenza statale in materia di tutela della salute e dell</w:t>
      </w:r>
      <w:r w:rsidR="00CA2176">
        <w:t>'</w:t>
      </w:r>
      <w:r w:rsidRPr="001E4D46">
        <w:t>ambiente dall</w:t>
      </w:r>
      <w:r w:rsidR="00CA2176">
        <w:t>'</w:t>
      </w:r>
      <w:r w:rsidRPr="001E4D46">
        <w:t xml:space="preserve">esposizione ai campi elettromagnetici e si sono, infine, arrestati con un apposito intervento legislativo. Il </w:t>
      </w:r>
      <w:proofErr w:type="spellStart"/>
      <w:r w:rsidRPr="001E4D46">
        <w:t>d.l.</w:t>
      </w:r>
      <w:proofErr w:type="spellEnd"/>
      <w:r w:rsidRPr="001E4D46">
        <w:t xml:space="preserve"> 76/2020, </w:t>
      </w:r>
      <w:proofErr w:type="spellStart"/>
      <w:r w:rsidRPr="001E4D46">
        <w:t>conv</w:t>
      </w:r>
      <w:proofErr w:type="spellEnd"/>
      <w:r w:rsidRPr="001E4D46">
        <w:t>. in l. 120/2020, ha, infatti, aggiunto all</w:t>
      </w:r>
      <w:r w:rsidR="00CA2176">
        <w:t>'</w:t>
      </w:r>
      <w:r w:rsidRPr="001E4D46">
        <w:t>art. 8, co. 6, l. 36/2001 il divieto «</w:t>
      </w:r>
      <w:r w:rsidRPr="001E4D46">
        <w:rPr>
          <w:i/>
        </w:rPr>
        <w:t>di incidere, anche in via indiretta o mediante provvedimenti contingibili e urgenti, sui limiti di esposizione a campi elettrici, magnetici ed elettromagnetici, sui valori di attenzione e sugli obiettivi di qualità, riservati allo Stato ai sensi dell</w:t>
      </w:r>
      <w:r w:rsidR="00CA2176">
        <w:rPr>
          <w:i/>
        </w:rPr>
        <w:t>'</w:t>
      </w:r>
      <w:r w:rsidRPr="001E4D46">
        <w:rPr>
          <w:i/>
        </w:rPr>
        <w:t>articolo 4</w:t>
      </w:r>
      <w:r w:rsidRPr="001E4D46">
        <w:t xml:space="preserve">». </w:t>
      </w:r>
    </w:p>
  </w:footnote>
  <w:footnote w:id="18">
    <w:p w14:paraId="4E155688" w14:textId="141A99C0" w:rsidR="00DD4ACA" w:rsidRPr="001E4D46" w:rsidRDefault="00DD4ACA" w:rsidP="00530080">
      <w:pPr>
        <w:pStyle w:val="Testonotaapidipagina"/>
      </w:pPr>
      <w:r w:rsidRPr="001E4D46">
        <w:rPr>
          <w:rStyle w:val="Rimandonotaapidipagina"/>
        </w:rPr>
        <w:footnoteRef/>
      </w:r>
      <w:r w:rsidRPr="001E4D46">
        <w:t xml:space="preserve"> Con la questione pregiudiziale menzionata, si è, in sostanza, domandato alla Corte di Giustizia se il potere di regolamentazione previsto dall</w:t>
      </w:r>
      <w:r w:rsidR="00CA2176">
        <w:t>'</w:t>
      </w:r>
      <w:r w:rsidRPr="001E4D46">
        <w:t xml:space="preserve">art. 8, co. 6, l. 36/2001 fosse in contrasto con le previsioni della direttiva </w:t>
      </w:r>
      <w:r w:rsidR="00CA2176">
        <w:t>"</w:t>
      </w:r>
      <w:r w:rsidRPr="001E4D46">
        <w:t>servizio universale</w:t>
      </w:r>
      <w:r w:rsidR="00CA2176">
        <w:t>"</w:t>
      </w:r>
      <w:r w:rsidRPr="001E4D46">
        <w:t xml:space="preserve"> 2002/22/CE, le quali vietano agli Stati membri di imporre, alle imprese designate per lo svolgimento del servizio universale, obblighi diversi da quelli previsi dalla direttiva stessa (Cons. Stato, Sez. VI, 27 marzo 2019, n. 2033). Tuttavia, poiché la questione pregiudiziale è stata sollevata nell</w:t>
      </w:r>
      <w:r w:rsidR="00CA2176">
        <w:t>'</w:t>
      </w:r>
      <w:r w:rsidRPr="001E4D46">
        <w:t>ambito di una controversia concernente l</w:t>
      </w:r>
      <w:r w:rsidR="00CA2176">
        <w:t>'</w:t>
      </w:r>
      <w:r w:rsidRPr="001E4D46">
        <w:t xml:space="preserve">installazione di infrastrutture a servizio della telefonia mobile, che </w:t>
      </w:r>
      <w:r w:rsidR="00CA2176">
        <w:t xml:space="preserve">non </w:t>
      </w:r>
      <w:r w:rsidR="00F366E1" w:rsidRPr="001E4D46">
        <w:t>fa parte dei servizi universali</w:t>
      </w:r>
      <w:r w:rsidRPr="001E4D46">
        <w:t>, la Corte di Giustizia ha dichiarato la questione manifestamente irricevibile, per l</w:t>
      </w:r>
      <w:r w:rsidR="00CA2176">
        <w:t>'</w:t>
      </w:r>
      <w:r w:rsidRPr="001E4D46">
        <w:t xml:space="preserve">inapplicabilità della direttiva europea evocata (Corte </w:t>
      </w:r>
      <w:proofErr w:type="spellStart"/>
      <w:r w:rsidRPr="001E4D46">
        <w:t>Giust</w:t>
      </w:r>
      <w:proofErr w:type="spellEnd"/>
      <w:r w:rsidRPr="001E4D46">
        <w:t xml:space="preserve">. UE, Sez. VIII, 16 gennaio 2020, C-368/19). La giurisprudenza successiva ha ritenuto di non dover ulteriormente interloquire con il giudice europeo, poiché dalla medesima pronuncia della Corte di Giustizia si ricavano elementi di valutazione che portano a ritenere che le disposizioni europee non siano in quanto tali in contrasto con una normativa nazionale che preveda la potestà regolamentare dei comuni in materia di insediamento urbanistico e territoriale degli impianti, visto che il legislatore statale ha circoscritto la potestà pianificatoria dei comuni, imponendo loro di dovere dettare (in positivo) criteri di localizzazione e non (in negativo) mere limitazioni ostative, sicché il potere regolamentare in </w:t>
      </w:r>
      <w:r w:rsidR="00CA2176">
        <w:t>discorso non ostacola, di per sé</w:t>
      </w:r>
      <w:r w:rsidRPr="001E4D46">
        <w:t>, il conseguimento del risultato voluto dal legislatore europeo (Cons. Stato, Sez. VI, 11 gennaio 2021, n. 374; Id., 5 luglio 2022, n. 5591).</w:t>
      </w:r>
    </w:p>
  </w:footnote>
  <w:footnote w:id="19">
    <w:p w14:paraId="470C967B" w14:textId="70FC29C7" w:rsidR="00DD4ACA" w:rsidRPr="001E4D46" w:rsidRDefault="00DD4ACA" w:rsidP="00530080">
      <w:pPr>
        <w:shd w:val="clear" w:color="auto" w:fill="FFFFFF"/>
        <w:rPr>
          <w:sz w:val="20"/>
          <w:szCs w:val="20"/>
        </w:rPr>
      </w:pPr>
      <w:r w:rsidRPr="001E4D46">
        <w:rPr>
          <w:rStyle w:val="Rimandonotaapidipagina"/>
          <w:sz w:val="20"/>
          <w:szCs w:val="20"/>
        </w:rPr>
        <w:footnoteRef/>
      </w:r>
      <w:r w:rsidRPr="001E4D46">
        <w:rPr>
          <w:sz w:val="20"/>
          <w:szCs w:val="20"/>
        </w:rPr>
        <w:t xml:space="preserve"> La previsione è stata, tra l</w:t>
      </w:r>
      <w:r w:rsidR="00CA2176">
        <w:rPr>
          <w:sz w:val="20"/>
          <w:szCs w:val="20"/>
        </w:rPr>
        <w:t>'</w:t>
      </w:r>
      <w:r w:rsidRPr="001E4D46">
        <w:rPr>
          <w:sz w:val="20"/>
          <w:szCs w:val="20"/>
        </w:rPr>
        <w:t>altro, oggetto di una interpretazione autentica, fornita dall</w:t>
      </w:r>
      <w:r w:rsidR="00CA2176">
        <w:rPr>
          <w:sz w:val="20"/>
          <w:szCs w:val="20"/>
        </w:rPr>
        <w:t>'</w:t>
      </w:r>
      <w:r w:rsidRPr="001E4D46">
        <w:rPr>
          <w:sz w:val="20"/>
          <w:szCs w:val="20"/>
        </w:rPr>
        <w:t>art. 12, co. 3, d.lgs. 33/2016, a mente del quale «[l]</w:t>
      </w:r>
      <w:r w:rsidR="00CA2176">
        <w:rPr>
          <w:i/>
          <w:sz w:val="20"/>
          <w:szCs w:val="20"/>
        </w:rPr>
        <w:t>'</w:t>
      </w:r>
      <w:r w:rsidRPr="001E4D46">
        <w:rPr>
          <w:i/>
          <w:sz w:val="20"/>
          <w:szCs w:val="20"/>
        </w:rPr>
        <w:t>articolo 54, comma 1,</w:t>
      </w:r>
      <w:hyperlink r:id="rId1" w:tgtFrame="_blank" w:history="1">
        <w:r w:rsidRPr="001E4D46">
          <w:rPr>
            <w:i/>
            <w:sz w:val="20"/>
            <w:szCs w:val="20"/>
          </w:rPr>
          <w:t> del decreto legislativo 1° agosto 2003, n. 259</w:t>
        </w:r>
      </w:hyperlink>
      <w:r w:rsidRPr="001E4D46">
        <w:rPr>
          <w:i/>
          <w:sz w:val="20"/>
          <w:szCs w:val="20"/>
        </w:rPr>
        <w:t>, e successive modificazioni, si interpreta nel senso che gli operatori che forniscono reti di comunicazione elettronica possono essere soggetti soltanto alle prestazioni e alle tasse o canoni espressamente previsti dal comma 2 della medesima disposizione, restando quindi escluso ogni altro tipo di onere finanziario, reale o contributo, comunque denominato, di qualsiasi natura e per qualsivoglia ragione o titolo richiesto</w:t>
      </w:r>
      <w:r w:rsidRPr="001E4D46">
        <w:rPr>
          <w:sz w:val="20"/>
          <w:szCs w:val="20"/>
        </w:rPr>
        <w:t>».</w:t>
      </w:r>
    </w:p>
  </w:footnote>
  <w:footnote w:id="20">
    <w:p w14:paraId="57E16909" w14:textId="5E4E9198" w:rsidR="00DD4ACA" w:rsidRPr="001E4D46" w:rsidRDefault="00DD4ACA" w:rsidP="00530080">
      <w:pPr>
        <w:pStyle w:val="Testonotaapidipagina"/>
      </w:pPr>
      <w:r w:rsidRPr="001E4D46">
        <w:rPr>
          <w:rStyle w:val="Rimandonotaapidipagina"/>
        </w:rPr>
        <w:footnoteRef/>
      </w:r>
      <w:r w:rsidRPr="001E4D46">
        <w:t xml:space="preserve"> Trattasi del piano di insediamento di impianti a supporto della connessione 5G in aree a fallimento del mercato, fi</w:t>
      </w:r>
      <w:r w:rsidR="00F366E1" w:rsidRPr="001E4D46">
        <w:t xml:space="preserve">nanziato con i fondi del PNRR. </w:t>
      </w:r>
    </w:p>
  </w:footnote>
  <w:footnote w:id="21">
    <w:p w14:paraId="758321EB" w14:textId="47557400" w:rsidR="00DD4ACA" w:rsidRPr="001E4D46" w:rsidRDefault="00DD4ACA" w:rsidP="00530080">
      <w:pPr>
        <w:autoSpaceDE w:val="0"/>
        <w:autoSpaceDN w:val="0"/>
        <w:adjustRightInd w:val="0"/>
        <w:spacing w:line="240" w:lineRule="auto"/>
        <w:rPr>
          <w:rFonts w:cs="SimonciniGaramond"/>
          <w:sz w:val="20"/>
          <w:szCs w:val="20"/>
        </w:rPr>
      </w:pPr>
      <w:r w:rsidRPr="001E4D46">
        <w:rPr>
          <w:rStyle w:val="Rimandonotaapidipagina"/>
          <w:sz w:val="20"/>
          <w:szCs w:val="20"/>
        </w:rPr>
        <w:footnoteRef/>
      </w:r>
      <w:r w:rsidRPr="001E4D46">
        <w:rPr>
          <w:sz w:val="20"/>
          <w:szCs w:val="20"/>
        </w:rPr>
        <w:t xml:space="preserve"> F. FRACCHIA – P. PANTALONE, </w:t>
      </w:r>
      <w:r w:rsidRPr="001E4D46">
        <w:rPr>
          <w:rFonts w:cs="SimonciniGaramond"/>
          <w:i/>
          <w:sz w:val="20"/>
          <w:szCs w:val="20"/>
        </w:rPr>
        <w:t>Decider(ci) per la morte: crisi, sostenibilità, energie rinnovabili e semplificazioni procedimentali</w:t>
      </w:r>
      <w:r w:rsidRPr="001E4D46">
        <w:rPr>
          <w:rFonts w:cs="SimonciniGaramond"/>
          <w:sz w:val="20"/>
          <w:szCs w:val="20"/>
        </w:rPr>
        <w:t xml:space="preserve">, Napoli, 2022, </w:t>
      </w:r>
      <w:r w:rsidRPr="001E4D46">
        <w:rPr>
          <w:sz w:val="20"/>
          <w:szCs w:val="20"/>
        </w:rPr>
        <w:t xml:space="preserve">50, ove, al contempo, si invita a evitare letture semplicistiche del paesaggio come valore estraneo alla transizione ecologica, dal momento che questa può prevenire dissesti idrogeologici, fenomeni di desertificazione e altre manifestazioni del cambiamento climatico, aventi effetti rovinosi sul paesaggio stesso.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863BE"/>
    <w:multiLevelType w:val="multilevel"/>
    <w:tmpl w:val="5538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5F7467"/>
    <w:multiLevelType w:val="multilevel"/>
    <w:tmpl w:val="EC8E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703334">
    <w:abstractNumId w:val="1"/>
  </w:num>
  <w:num w:numId="2" w16cid:durableId="169707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3C"/>
    <w:rsid w:val="0001215F"/>
    <w:rsid w:val="00026598"/>
    <w:rsid w:val="00037FA9"/>
    <w:rsid w:val="00051CAA"/>
    <w:rsid w:val="00073345"/>
    <w:rsid w:val="000736B0"/>
    <w:rsid w:val="00083C2B"/>
    <w:rsid w:val="00083D89"/>
    <w:rsid w:val="000870D3"/>
    <w:rsid w:val="000B0949"/>
    <w:rsid w:val="000B489F"/>
    <w:rsid w:val="000C6BC4"/>
    <w:rsid w:val="000E27BE"/>
    <w:rsid w:val="000E3882"/>
    <w:rsid w:val="000E6E8F"/>
    <w:rsid w:val="00112C89"/>
    <w:rsid w:val="0011310E"/>
    <w:rsid w:val="0011776E"/>
    <w:rsid w:val="00135368"/>
    <w:rsid w:val="00154EF5"/>
    <w:rsid w:val="001B5EBD"/>
    <w:rsid w:val="001B76F4"/>
    <w:rsid w:val="001C4DAA"/>
    <w:rsid w:val="001E17E4"/>
    <w:rsid w:val="001E4D46"/>
    <w:rsid w:val="001E5929"/>
    <w:rsid w:val="001E69E7"/>
    <w:rsid w:val="001E7487"/>
    <w:rsid w:val="001E7714"/>
    <w:rsid w:val="001F04AD"/>
    <w:rsid w:val="002025FB"/>
    <w:rsid w:val="00204525"/>
    <w:rsid w:val="002349FD"/>
    <w:rsid w:val="00235E33"/>
    <w:rsid w:val="00253D6C"/>
    <w:rsid w:val="002645A0"/>
    <w:rsid w:val="00267326"/>
    <w:rsid w:val="002920E6"/>
    <w:rsid w:val="00292C57"/>
    <w:rsid w:val="002B1CEB"/>
    <w:rsid w:val="002B2FFD"/>
    <w:rsid w:val="002B7E6B"/>
    <w:rsid w:val="002D21EB"/>
    <w:rsid w:val="002D329E"/>
    <w:rsid w:val="002E5C6A"/>
    <w:rsid w:val="002E69B2"/>
    <w:rsid w:val="002F1BA8"/>
    <w:rsid w:val="00301E20"/>
    <w:rsid w:val="00307A81"/>
    <w:rsid w:val="00332DBD"/>
    <w:rsid w:val="0033428F"/>
    <w:rsid w:val="003D3CE9"/>
    <w:rsid w:val="003F3CB9"/>
    <w:rsid w:val="003F4965"/>
    <w:rsid w:val="003F5B06"/>
    <w:rsid w:val="003F7902"/>
    <w:rsid w:val="0041014A"/>
    <w:rsid w:val="004225A2"/>
    <w:rsid w:val="004238D2"/>
    <w:rsid w:val="00440C8D"/>
    <w:rsid w:val="0044710E"/>
    <w:rsid w:val="0046043B"/>
    <w:rsid w:val="004732DA"/>
    <w:rsid w:val="004764A1"/>
    <w:rsid w:val="004825FD"/>
    <w:rsid w:val="004A0B0D"/>
    <w:rsid w:val="004B29A2"/>
    <w:rsid w:val="004B66C3"/>
    <w:rsid w:val="004C3A07"/>
    <w:rsid w:val="004D2C38"/>
    <w:rsid w:val="00505129"/>
    <w:rsid w:val="00530080"/>
    <w:rsid w:val="005340FA"/>
    <w:rsid w:val="005760B9"/>
    <w:rsid w:val="00583D67"/>
    <w:rsid w:val="005B22C7"/>
    <w:rsid w:val="005B2FBE"/>
    <w:rsid w:val="005C0696"/>
    <w:rsid w:val="005D2E27"/>
    <w:rsid w:val="005D7629"/>
    <w:rsid w:val="005E7B5C"/>
    <w:rsid w:val="0061538E"/>
    <w:rsid w:val="00621D0C"/>
    <w:rsid w:val="00625A43"/>
    <w:rsid w:val="0063775B"/>
    <w:rsid w:val="00670BD6"/>
    <w:rsid w:val="00671228"/>
    <w:rsid w:val="00672AB4"/>
    <w:rsid w:val="0067715A"/>
    <w:rsid w:val="006915B9"/>
    <w:rsid w:val="006A1C05"/>
    <w:rsid w:val="006A76D1"/>
    <w:rsid w:val="006B184D"/>
    <w:rsid w:val="006B67BB"/>
    <w:rsid w:val="006C0BE3"/>
    <w:rsid w:val="006D56CA"/>
    <w:rsid w:val="006F12C2"/>
    <w:rsid w:val="006F3C4F"/>
    <w:rsid w:val="00715627"/>
    <w:rsid w:val="00745147"/>
    <w:rsid w:val="00755780"/>
    <w:rsid w:val="00766177"/>
    <w:rsid w:val="007738C7"/>
    <w:rsid w:val="00780468"/>
    <w:rsid w:val="007928AF"/>
    <w:rsid w:val="007A03FC"/>
    <w:rsid w:val="007C3DD8"/>
    <w:rsid w:val="007C6167"/>
    <w:rsid w:val="007D61F8"/>
    <w:rsid w:val="00810AA5"/>
    <w:rsid w:val="00836817"/>
    <w:rsid w:val="008565C8"/>
    <w:rsid w:val="008569E6"/>
    <w:rsid w:val="00896074"/>
    <w:rsid w:val="008B32A4"/>
    <w:rsid w:val="008E79DB"/>
    <w:rsid w:val="008F48E3"/>
    <w:rsid w:val="008F6A58"/>
    <w:rsid w:val="009006F2"/>
    <w:rsid w:val="009065C7"/>
    <w:rsid w:val="009117FF"/>
    <w:rsid w:val="00915581"/>
    <w:rsid w:val="00927A17"/>
    <w:rsid w:val="00935CE5"/>
    <w:rsid w:val="00944A7E"/>
    <w:rsid w:val="00954ECD"/>
    <w:rsid w:val="0097082A"/>
    <w:rsid w:val="00971B57"/>
    <w:rsid w:val="0098680E"/>
    <w:rsid w:val="009A6CAD"/>
    <w:rsid w:val="009B29F4"/>
    <w:rsid w:val="009F0AE7"/>
    <w:rsid w:val="00A02A1C"/>
    <w:rsid w:val="00A22742"/>
    <w:rsid w:val="00A22EB4"/>
    <w:rsid w:val="00A23252"/>
    <w:rsid w:val="00A234EC"/>
    <w:rsid w:val="00A3073D"/>
    <w:rsid w:val="00A321F5"/>
    <w:rsid w:val="00A80DA8"/>
    <w:rsid w:val="00A93D7E"/>
    <w:rsid w:val="00AA7890"/>
    <w:rsid w:val="00AC58CB"/>
    <w:rsid w:val="00AD27C9"/>
    <w:rsid w:val="00AD79ED"/>
    <w:rsid w:val="00AE3FE4"/>
    <w:rsid w:val="00B3718C"/>
    <w:rsid w:val="00B40C9E"/>
    <w:rsid w:val="00B909C6"/>
    <w:rsid w:val="00B931DD"/>
    <w:rsid w:val="00BA193F"/>
    <w:rsid w:val="00BA5F50"/>
    <w:rsid w:val="00BC7EE1"/>
    <w:rsid w:val="00BD0A1E"/>
    <w:rsid w:val="00BD3962"/>
    <w:rsid w:val="00BD553C"/>
    <w:rsid w:val="00BD5936"/>
    <w:rsid w:val="00BD66C8"/>
    <w:rsid w:val="00BE1923"/>
    <w:rsid w:val="00BF1F07"/>
    <w:rsid w:val="00BF60A6"/>
    <w:rsid w:val="00C13FEE"/>
    <w:rsid w:val="00C21503"/>
    <w:rsid w:val="00C34A88"/>
    <w:rsid w:val="00C67600"/>
    <w:rsid w:val="00C73FB8"/>
    <w:rsid w:val="00C813BB"/>
    <w:rsid w:val="00C82173"/>
    <w:rsid w:val="00C82C2E"/>
    <w:rsid w:val="00C836F2"/>
    <w:rsid w:val="00C92185"/>
    <w:rsid w:val="00C979BD"/>
    <w:rsid w:val="00CA2176"/>
    <w:rsid w:val="00CA6944"/>
    <w:rsid w:val="00CB19FC"/>
    <w:rsid w:val="00CC3B1A"/>
    <w:rsid w:val="00CC4A59"/>
    <w:rsid w:val="00CD3560"/>
    <w:rsid w:val="00CE0967"/>
    <w:rsid w:val="00CE416E"/>
    <w:rsid w:val="00CF460A"/>
    <w:rsid w:val="00D007EC"/>
    <w:rsid w:val="00D2780B"/>
    <w:rsid w:val="00D30FE7"/>
    <w:rsid w:val="00D70495"/>
    <w:rsid w:val="00D72609"/>
    <w:rsid w:val="00D831C4"/>
    <w:rsid w:val="00D914B4"/>
    <w:rsid w:val="00DB6E60"/>
    <w:rsid w:val="00DD4ACA"/>
    <w:rsid w:val="00DD65C8"/>
    <w:rsid w:val="00DF75BD"/>
    <w:rsid w:val="00E021FE"/>
    <w:rsid w:val="00E145B3"/>
    <w:rsid w:val="00E22DB1"/>
    <w:rsid w:val="00E2385F"/>
    <w:rsid w:val="00E3500C"/>
    <w:rsid w:val="00E35EDA"/>
    <w:rsid w:val="00E40BB1"/>
    <w:rsid w:val="00E570A0"/>
    <w:rsid w:val="00E60C15"/>
    <w:rsid w:val="00E705A7"/>
    <w:rsid w:val="00E77E35"/>
    <w:rsid w:val="00E91353"/>
    <w:rsid w:val="00EC4A8E"/>
    <w:rsid w:val="00EC6178"/>
    <w:rsid w:val="00ED2320"/>
    <w:rsid w:val="00F07E14"/>
    <w:rsid w:val="00F152A0"/>
    <w:rsid w:val="00F366E1"/>
    <w:rsid w:val="00F730FB"/>
    <w:rsid w:val="00F73273"/>
    <w:rsid w:val="00F92051"/>
    <w:rsid w:val="00FB41D4"/>
    <w:rsid w:val="00FB794D"/>
    <w:rsid w:val="00FE5E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2E43"/>
  <w15:chartTrackingRefBased/>
  <w15:docId w15:val="{F66C4568-55B6-49ED-8D98-877DF7EE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22C7"/>
    <w:pPr>
      <w:spacing w:after="0"/>
      <w:jc w:val="both"/>
    </w:pPr>
    <w:rPr>
      <w:rFonts w:ascii="Garamond" w:hAnsi="Garamond"/>
      <w:sz w:val="24"/>
    </w:rPr>
  </w:style>
  <w:style w:type="paragraph" w:styleId="Titolo1">
    <w:name w:val="heading 1"/>
    <w:basedOn w:val="Normale"/>
    <w:next w:val="Normale"/>
    <w:link w:val="Titolo1Carattere"/>
    <w:uiPriority w:val="9"/>
    <w:qFormat/>
    <w:rsid w:val="00AE3FE4"/>
    <w:pPr>
      <w:keepNext/>
      <w:keepLines/>
      <w:spacing w:before="240"/>
      <w:jc w:val="center"/>
      <w:outlineLvl w:val="0"/>
    </w:pPr>
    <w:rPr>
      <w:rFonts w:eastAsiaTheme="majorEastAsia" w:cstheme="majorBidi"/>
      <w:b/>
      <w:color w:val="1F4E79" w:themeColor="accent1" w:themeShade="80"/>
      <w:sz w:val="32"/>
      <w:szCs w:val="32"/>
    </w:rPr>
  </w:style>
  <w:style w:type="paragraph" w:styleId="Titolo2">
    <w:name w:val="heading 2"/>
    <w:basedOn w:val="Normale"/>
    <w:next w:val="Normale"/>
    <w:link w:val="Titolo2Carattere"/>
    <w:uiPriority w:val="9"/>
    <w:unhideWhenUsed/>
    <w:qFormat/>
    <w:rsid w:val="00AE3FE4"/>
    <w:pPr>
      <w:keepNext/>
      <w:keepLines/>
      <w:spacing w:before="40"/>
      <w:outlineLvl w:val="1"/>
    </w:pPr>
    <w:rPr>
      <w:rFonts w:eastAsiaTheme="majorEastAsia" w:cstheme="majorBidi"/>
      <w:b/>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3FE4"/>
    <w:rPr>
      <w:rFonts w:ascii="Garamond" w:eastAsiaTheme="majorEastAsia" w:hAnsi="Garamond" w:cstheme="majorBidi"/>
      <w:b/>
      <w:color w:val="1F4E79" w:themeColor="accent1" w:themeShade="80"/>
      <w:sz w:val="32"/>
      <w:szCs w:val="32"/>
    </w:rPr>
  </w:style>
  <w:style w:type="character" w:customStyle="1" w:styleId="Titolo2Carattere">
    <w:name w:val="Titolo 2 Carattere"/>
    <w:basedOn w:val="Carpredefinitoparagrafo"/>
    <w:link w:val="Titolo2"/>
    <w:uiPriority w:val="9"/>
    <w:rsid w:val="00AE3FE4"/>
    <w:rPr>
      <w:rFonts w:ascii="Garamond" w:eastAsiaTheme="majorEastAsia" w:hAnsi="Garamond" w:cstheme="majorBidi"/>
      <w:b/>
      <w:sz w:val="24"/>
      <w:szCs w:val="26"/>
    </w:rPr>
  </w:style>
  <w:style w:type="paragraph" w:styleId="Testonotaapidipagina">
    <w:name w:val="footnote text"/>
    <w:basedOn w:val="Normale"/>
    <w:link w:val="TestonotaapidipaginaCarattere"/>
    <w:uiPriority w:val="99"/>
    <w:unhideWhenUsed/>
    <w:rsid w:val="00D30FE7"/>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30FE7"/>
    <w:rPr>
      <w:rFonts w:ascii="Garamond" w:hAnsi="Garamond"/>
      <w:sz w:val="20"/>
      <w:szCs w:val="20"/>
    </w:rPr>
  </w:style>
  <w:style w:type="character" w:styleId="Rimandonotaapidipagina">
    <w:name w:val="footnote reference"/>
    <w:basedOn w:val="Carpredefinitoparagrafo"/>
    <w:uiPriority w:val="99"/>
    <w:semiHidden/>
    <w:unhideWhenUsed/>
    <w:rsid w:val="00D30FE7"/>
    <w:rPr>
      <w:vertAlign w:val="superscript"/>
    </w:rPr>
  </w:style>
  <w:style w:type="character" w:styleId="Enfasigrassetto">
    <w:name w:val="Strong"/>
    <w:basedOn w:val="Carpredefinitoparagrafo"/>
    <w:uiPriority w:val="22"/>
    <w:qFormat/>
    <w:rsid w:val="00E705A7"/>
    <w:rPr>
      <w:b/>
      <w:bCs/>
    </w:rPr>
  </w:style>
  <w:style w:type="paragraph" w:customStyle="1" w:styleId="titolo-documento">
    <w:name w:val="titolo-documento"/>
    <w:basedOn w:val="Normale"/>
    <w:rsid w:val="00AD79ED"/>
    <w:pPr>
      <w:spacing w:line="330" w:lineRule="atLeast"/>
      <w:jc w:val="left"/>
    </w:pPr>
    <w:rPr>
      <w:rFonts w:ascii="Arial" w:eastAsia="Arial" w:hAnsi="Arial" w:cs="Arial"/>
      <w:b/>
      <w:bCs/>
      <w:sz w:val="30"/>
      <w:szCs w:val="30"/>
      <w:lang w:eastAsia="it-IT"/>
    </w:rPr>
  </w:style>
  <w:style w:type="character" w:customStyle="1" w:styleId="corsivo">
    <w:name w:val="corsivo"/>
    <w:basedOn w:val="Carpredefinitoparagrafo"/>
    <w:rsid w:val="006C0BE3"/>
    <w:rPr>
      <w:i/>
      <w:iCs/>
    </w:rPr>
  </w:style>
  <w:style w:type="character" w:styleId="Collegamentoipertestuale">
    <w:name w:val="Hyperlink"/>
    <w:basedOn w:val="Carpredefinitoparagrafo"/>
    <w:uiPriority w:val="99"/>
    <w:unhideWhenUsed/>
    <w:rsid w:val="00FE5EE4"/>
    <w:rPr>
      <w:color w:val="0000FF"/>
      <w:u w:val="single"/>
    </w:rPr>
  </w:style>
  <w:style w:type="character" w:customStyle="1" w:styleId="comma-num-akn">
    <w:name w:val="comma-num-akn"/>
    <w:basedOn w:val="Carpredefinitoparagrafo"/>
    <w:rsid w:val="008E79DB"/>
  </w:style>
  <w:style w:type="character" w:customStyle="1" w:styleId="arttextincomma">
    <w:name w:val="art_text_in_comma"/>
    <w:basedOn w:val="Carpredefinitoparagrafo"/>
    <w:rsid w:val="008E79DB"/>
  </w:style>
  <w:style w:type="paragraph" w:customStyle="1" w:styleId="popolo">
    <w:name w:val="popolo"/>
    <w:basedOn w:val="Normale"/>
    <w:rsid w:val="00F07E14"/>
    <w:pPr>
      <w:spacing w:before="100" w:beforeAutospacing="1" w:after="100" w:afterAutospacing="1" w:line="240" w:lineRule="auto"/>
      <w:jc w:val="left"/>
    </w:pPr>
    <w:rPr>
      <w:rFonts w:ascii="Times New Roman" w:eastAsia="Times New Roman" w:hAnsi="Times New Roman" w:cs="Times New Roman"/>
      <w:szCs w:val="24"/>
      <w:lang w:eastAsia="it-IT"/>
    </w:rPr>
  </w:style>
  <w:style w:type="character" w:customStyle="1" w:styleId="alink">
    <w:name w:val="a_link"/>
    <w:basedOn w:val="Carpredefinitoparagrafo"/>
    <w:rsid w:val="002B7E6B"/>
    <w:rPr>
      <w:color w:val="000000"/>
    </w:rPr>
  </w:style>
  <w:style w:type="paragraph" w:customStyle="1" w:styleId="Default">
    <w:name w:val="Default"/>
    <w:rsid w:val="00530080"/>
    <w:pPr>
      <w:autoSpaceDE w:val="0"/>
      <w:autoSpaceDN w:val="0"/>
      <w:adjustRightInd w:val="0"/>
      <w:spacing w:after="0" w:line="240" w:lineRule="auto"/>
    </w:pPr>
    <w:rPr>
      <w:rFonts w:ascii="Palatino Linotype" w:hAnsi="Palatino Linotype" w:cs="Palatino Linotype"/>
      <w:color w:val="000000"/>
      <w:sz w:val="24"/>
      <w:szCs w:val="24"/>
    </w:rPr>
  </w:style>
  <w:style w:type="paragraph" w:styleId="Sommario1">
    <w:name w:val="toc 1"/>
    <w:basedOn w:val="Normale"/>
    <w:next w:val="Normale"/>
    <w:autoRedefine/>
    <w:uiPriority w:val="39"/>
    <w:unhideWhenUsed/>
    <w:rsid w:val="001E4D46"/>
    <w:pPr>
      <w:tabs>
        <w:tab w:val="right" w:leader="dot" w:pos="9628"/>
      </w:tabs>
      <w:spacing w:after="100"/>
    </w:pPr>
    <w:rPr>
      <w:b/>
      <w:szCs w:val="24"/>
    </w:rPr>
  </w:style>
  <w:style w:type="paragraph" w:styleId="Sommario2">
    <w:name w:val="toc 2"/>
    <w:basedOn w:val="Normale"/>
    <w:next w:val="Normale"/>
    <w:autoRedefine/>
    <w:uiPriority w:val="39"/>
    <w:unhideWhenUsed/>
    <w:rsid w:val="001E4D4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5605">
      <w:bodyDiv w:val="1"/>
      <w:marLeft w:val="0"/>
      <w:marRight w:val="0"/>
      <w:marTop w:val="0"/>
      <w:marBottom w:val="0"/>
      <w:divBdr>
        <w:top w:val="none" w:sz="0" w:space="0" w:color="auto"/>
        <w:left w:val="none" w:sz="0" w:space="0" w:color="auto"/>
        <w:bottom w:val="none" w:sz="0" w:space="0" w:color="auto"/>
        <w:right w:val="none" w:sz="0" w:space="0" w:color="auto"/>
      </w:divBdr>
      <w:divsChild>
        <w:div w:id="1801344150">
          <w:marLeft w:val="0"/>
          <w:marRight w:val="0"/>
          <w:marTop w:val="0"/>
          <w:marBottom w:val="0"/>
          <w:divBdr>
            <w:top w:val="none" w:sz="0" w:space="0" w:color="auto"/>
            <w:left w:val="none" w:sz="0" w:space="0" w:color="auto"/>
            <w:bottom w:val="none" w:sz="0" w:space="0" w:color="auto"/>
            <w:right w:val="none" w:sz="0" w:space="0" w:color="auto"/>
          </w:divBdr>
          <w:divsChild>
            <w:div w:id="24446512">
              <w:marLeft w:val="0"/>
              <w:marRight w:val="0"/>
              <w:marTop w:val="0"/>
              <w:marBottom w:val="0"/>
              <w:divBdr>
                <w:top w:val="none" w:sz="0" w:space="0" w:color="auto"/>
                <w:left w:val="none" w:sz="0" w:space="0" w:color="auto"/>
                <w:bottom w:val="none" w:sz="0" w:space="0" w:color="auto"/>
                <w:right w:val="none" w:sz="0" w:space="0" w:color="auto"/>
              </w:divBdr>
              <w:divsChild>
                <w:div w:id="1233202866">
                  <w:marLeft w:val="0"/>
                  <w:marRight w:val="0"/>
                  <w:marTop w:val="0"/>
                  <w:marBottom w:val="0"/>
                  <w:divBdr>
                    <w:top w:val="none" w:sz="0" w:space="0" w:color="auto"/>
                    <w:left w:val="none" w:sz="0" w:space="0" w:color="auto"/>
                    <w:bottom w:val="none" w:sz="0" w:space="0" w:color="auto"/>
                    <w:right w:val="none" w:sz="0" w:space="0" w:color="auto"/>
                  </w:divBdr>
                  <w:divsChild>
                    <w:div w:id="626201963">
                      <w:marLeft w:val="75"/>
                      <w:marRight w:val="75"/>
                      <w:marTop w:val="0"/>
                      <w:marBottom w:val="0"/>
                      <w:divBdr>
                        <w:top w:val="none" w:sz="0" w:space="0" w:color="auto"/>
                        <w:left w:val="none" w:sz="0" w:space="0" w:color="auto"/>
                        <w:bottom w:val="none" w:sz="0" w:space="0" w:color="auto"/>
                        <w:right w:val="none" w:sz="0" w:space="0" w:color="auto"/>
                      </w:divBdr>
                      <w:divsChild>
                        <w:div w:id="446588369">
                          <w:marLeft w:val="0"/>
                          <w:marRight w:val="0"/>
                          <w:marTop w:val="0"/>
                          <w:marBottom w:val="0"/>
                          <w:divBdr>
                            <w:top w:val="none" w:sz="0" w:space="0" w:color="auto"/>
                            <w:left w:val="none" w:sz="0" w:space="0" w:color="auto"/>
                            <w:bottom w:val="none" w:sz="0" w:space="0" w:color="auto"/>
                            <w:right w:val="none" w:sz="0" w:space="0" w:color="auto"/>
                          </w:divBdr>
                          <w:divsChild>
                            <w:div w:id="1987120596">
                              <w:marLeft w:val="0"/>
                              <w:marRight w:val="0"/>
                              <w:marTop w:val="0"/>
                              <w:marBottom w:val="0"/>
                              <w:divBdr>
                                <w:top w:val="none" w:sz="0" w:space="0" w:color="auto"/>
                                <w:left w:val="none" w:sz="0" w:space="0" w:color="auto"/>
                                <w:bottom w:val="none" w:sz="0" w:space="0" w:color="auto"/>
                                <w:right w:val="none" w:sz="0" w:space="0" w:color="auto"/>
                              </w:divBdr>
                              <w:divsChild>
                                <w:div w:id="9726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ormattiva.it/uri-res/N2Ls?urn:nir:stato:decreto.legislativo:2003-08-01;259~art54-com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F981-750F-48F7-8BF5-4F6AFE0C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5251</Words>
  <Characters>29934</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ARRIVI Martina</dc:creator>
  <cp:keywords/>
  <dc:description/>
  <cp:lastModifiedBy>COZZOLI Pamela</cp:lastModifiedBy>
  <cp:revision>2</cp:revision>
  <dcterms:created xsi:type="dcterms:W3CDTF">2025-05-28T09:31:00Z</dcterms:created>
  <dcterms:modified xsi:type="dcterms:W3CDTF">2025-05-28T09:31:00Z</dcterms:modified>
</cp:coreProperties>
</file>