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961" w:rsidRPr="00D92823" w:rsidRDefault="001D1961" w:rsidP="006E56C6">
      <w:pPr>
        <w:ind w:left="567" w:right="140"/>
        <w:jc w:val="center"/>
        <w:rPr>
          <w:rFonts w:ascii="Times New Roman" w:hAnsi="Times New Roman" w:cs="Times New Roman"/>
          <w:b/>
        </w:rPr>
      </w:pPr>
      <w:bookmarkStart w:id="0" w:name="_GoBack"/>
      <w:r w:rsidRPr="00D92823">
        <w:rPr>
          <w:rFonts w:ascii="Times New Roman" w:hAnsi="Times New Roman" w:cs="Times New Roman"/>
          <w:b/>
        </w:rPr>
        <w:t>Qualificazione giuridica e rilevanza sociale dell</w:t>
      </w:r>
      <w:r w:rsidR="00DF3E90" w:rsidRPr="00D92823">
        <w:rPr>
          <w:rFonts w:ascii="Times New Roman" w:hAnsi="Times New Roman" w:cs="Times New Roman"/>
          <w:b/>
        </w:rPr>
        <w:t>’</w:t>
      </w:r>
      <w:r w:rsidRPr="00D92823">
        <w:rPr>
          <w:rFonts w:ascii="Times New Roman" w:hAnsi="Times New Roman" w:cs="Times New Roman"/>
          <w:b/>
        </w:rPr>
        <w:t xml:space="preserve">incarico </w:t>
      </w:r>
      <w:r w:rsidR="00A303AA" w:rsidRPr="00D92823">
        <w:rPr>
          <w:rFonts w:ascii="Times New Roman" w:hAnsi="Times New Roman" w:cs="Times New Roman"/>
          <w:b/>
        </w:rPr>
        <w:t>tecnico-</w:t>
      </w:r>
      <w:r w:rsidRPr="00D92823">
        <w:rPr>
          <w:rFonts w:ascii="Times New Roman" w:hAnsi="Times New Roman" w:cs="Times New Roman"/>
          <w:b/>
        </w:rPr>
        <w:t xml:space="preserve">professionale affidato </w:t>
      </w:r>
      <w:r w:rsidR="00A303AA" w:rsidRPr="00D92823">
        <w:rPr>
          <w:rFonts w:ascii="Times New Roman" w:hAnsi="Times New Roman" w:cs="Times New Roman"/>
          <w:b/>
        </w:rPr>
        <w:t xml:space="preserve">dalla stazione appaltante </w:t>
      </w:r>
      <w:r w:rsidRPr="00D92823">
        <w:rPr>
          <w:rFonts w:ascii="Times New Roman" w:hAnsi="Times New Roman" w:cs="Times New Roman"/>
          <w:b/>
        </w:rPr>
        <w:t>in assenza di corrispettivo economico</w:t>
      </w:r>
      <w:r w:rsidR="0095618D" w:rsidRPr="00D92823">
        <w:rPr>
          <w:rFonts w:ascii="Times New Roman" w:hAnsi="Times New Roman" w:cs="Times New Roman"/>
          <w:b/>
        </w:rPr>
        <w:t xml:space="preserve"> (*)</w:t>
      </w:r>
    </w:p>
    <w:bookmarkEnd w:id="0"/>
    <w:p w:rsidR="00D92823" w:rsidRPr="00D92823" w:rsidRDefault="00D92823" w:rsidP="00D92823">
      <w:pPr>
        <w:ind w:left="567" w:right="140" w:firstLine="850"/>
        <w:jc w:val="both"/>
        <w:rPr>
          <w:rFonts w:ascii="Times New Roman" w:hAnsi="Times New Roman" w:cs="Times New Roman"/>
          <w:b/>
        </w:rPr>
      </w:pPr>
    </w:p>
    <w:p w:rsidR="001630B1" w:rsidRPr="00D92823" w:rsidRDefault="0082559D" w:rsidP="00D92823">
      <w:pPr>
        <w:numPr>
          <w:ilvl w:val="0"/>
          <w:numId w:val="2"/>
        </w:numPr>
        <w:ind w:left="567" w:right="140" w:firstLine="850"/>
        <w:jc w:val="both"/>
        <w:rPr>
          <w:rFonts w:ascii="Times New Roman" w:hAnsi="Times New Roman" w:cs="Times New Roman"/>
          <w:b/>
        </w:rPr>
      </w:pPr>
      <w:r w:rsidRPr="00D92823">
        <w:rPr>
          <w:rFonts w:ascii="Times New Roman" w:hAnsi="Times New Roman" w:cs="Times New Roman"/>
          <w:b/>
        </w:rPr>
        <w:t>La funzione economico-sociale dell’</w:t>
      </w:r>
      <w:r w:rsidR="001630B1" w:rsidRPr="00D92823">
        <w:rPr>
          <w:rFonts w:ascii="Times New Roman" w:hAnsi="Times New Roman" w:cs="Times New Roman"/>
          <w:b/>
        </w:rPr>
        <w:t>incaric</w:t>
      </w:r>
      <w:r w:rsidRPr="00D92823">
        <w:rPr>
          <w:rFonts w:ascii="Times New Roman" w:hAnsi="Times New Roman" w:cs="Times New Roman"/>
          <w:b/>
        </w:rPr>
        <w:t>o</w:t>
      </w:r>
      <w:r w:rsidR="00AE5F25" w:rsidRPr="00D92823">
        <w:rPr>
          <w:rFonts w:ascii="Times New Roman" w:hAnsi="Times New Roman" w:cs="Times New Roman"/>
          <w:b/>
        </w:rPr>
        <w:t xml:space="preserve"> tecnico-professional</w:t>
      </w:r>
      <w:r w:rsidRPr="00D92823">
        <w:rPr>
          <w:rFonts w:ascii="Times New Roman" w:hAnsi="Times New Roman" w:cs="Times New Roman"/>
          <w:b/>
        </w:rPr>
        <w:t>e</w:t>
      </w:r>
      <w:r w:rsidR="00AE5F25" w:rsidRPr="00D92823">
        <w:rPr>
          <w:rFonts w:ascii="Times New Roman" w:hAnsi="Times New Roman" w:cs="Times New Roman"/>
          <w:b/>
        </w:rPr>
        <w:t>.</w:t>
      </w:r>
    </w:p>
    <w:p w:rsidR="003B0DDB" w:rsidRPr="00D92823" w:rsidRDefault="003B0DDB" w:rsidP="00D92823">
      <w:pPr>
        <w:ind w:left="567" w:right="140" w:firstLine="850"/>
        <w:jc w:val="both"/>
        <w:rPr>
          <w:rFonts w:ascii="Times New Roman" w:hAnsi="Times New Roman" w:cs="Times New Roman"/>
        </w:rPr>
      </w:pPr>
      <w:r w:rsidRPr="00D92823">
        <w:rPr>
          <w:rFonts w:ascii="Times New Roman" w:hAnsi="Times New Roman" w:cs="Times New Roman"/>
        </w:rPr>
        <w:t xml:space="preserve">Nel </w:t>
      </w:r>
      <w:r w:rsidR="006212E8" w:rsidRPr="00D92823">
        <w:rPr>
          <w:rFonts w:ascii="Times New Roman" w:hAnsi="Times New Roman" w:cs="Times New Roman"/>
        </w:rPr>
        <w:t xml:space="preserve">campo del </w:t>
      </w:r>
      <w:r w:rsidRPr="00D92823">
        <w:rPr>
          <w:rFonts w:ascii="Times New Roman" w:hAnsi="Times New Roman" w:cs="Times New Roman"/>
        </w:rPr>
        <w:t xml:space="preserve">diritto civile, l’incarico professionale </w:t>
      </w:r>
      <w:r w:rsidR="008C1685" w:rsidRPr="00D92823">
        <w:rPr>
          <w:rFonts w:ascii="Times New Roman" w:hAnsi="Times New Roman" w:cs="Times New Roman"/>
        </w:rPr>
        <w:t>costituisce l’oggetto di un contratto</w:t>
      </w:r>
      <w:r w:rsidRPr="00D92823">
        <w:rPr>
          <w:rFonts w:ascii="Times New Roman" w:hAnsi="Times New Roman" w:cs="Times New Roman"/>
        </w:rPr>
        <w:t xml:space="preserve"> d’opera intellettuale, disciplinat</w:t>
      </w:r>
      <w:r w:rsidR="008C1685" w:rsidRPr="00D92823">
        <w:rPr>
          <w:rFonts w:ascii="Times New Roman" w:hAnsi="Times New Roman" w:cs="Times New Roman"/>
        </w:rPr>
        <w:t>o</w:t>
      </w:r>
      <w:r w:rsidRPr="00D92823">
        <w:rPr>
          <w:rFonts w:ascii="Times New Roman" w:hAnsi="Times New Roman" w:cs="Times New Roman"/>
        </w:rPr>
        <w:t xml:space="preserve"> dall’art. 2222 e segg. c.c., </w:t>
      </w:r>
      <w:r w:rsidR="008C1685" w:rsidRPr="00D92823">
        <w:rPr>
          <w:rFonts w:ascii="Times New Roman" w:hAnsi="Times New Roman" w:cs="Times New Roman"/>
        </w:rPr>
        <w:t>in base al quale</w:t>
      </w:r>
      <w:r w:rsidRPr="00D92823">
        <w:rPr>
          <w:rFonts w:ascii="Times New Roman" w:hAnsi="Times New Roman" w:cs="Times New Roman"/>
        </w:rPr>
        <w:t xml:space="preserve"> </w:t>
      </w:r>
      <w:r w:rsidR="00D17318" w:rsidRPr="00D92823">
        <w:rPr>
          <w:rFonts w:ascii="Times New Roman" w:hAnsi="Times New Roman" w:cs="Times New Roman"/>
        </w:rPr>
        <w:t xml:space="preserve">l’assuntore </w:t>
      </w:r>
      <w:r w:rsidR="008C1685" w:rsidRPr="00D92823">
        <w:rPr>
          <w:rFonts w:ascii="Times New Roman" w:hAnsi="Times New Roman" w:cs="Times New Roman"/>
        </w:rPr>
        <w:t xml:space="preserve">svolge la prestazione affidatagli </w:t>
      </w:r>
      <w:r w:rsidR="002C098C" w:rsidRPr="00D92823">
        <w:rPr>
          <w:rFonts w:ascii="Times New Roman" w:hAnsi="Times New Roman" w:cs="Times New Roman"/>
        </w:rPr>
        <w:t xml:space="preserve">prevalentemente con il lavoro </w:t>
      </w:r>
      <w:r w:rsidR="00461DBA" w:rsidRPr="00D92823">
        <w:rPr>
          <w:rFonts w:ascii="Times New Roman" w:hAnsi="Times New Roman" w:cs="Times New Roman"/>
        </w:rPr>
        <w:t>personale</w:t>
      </w:r>
      <w:r w:rsidRPr="00D92823">
        <w:rPr>
          <w:rFonts w:ascii="Times New Roman" w:hAnsi="Times New Roman" w:cs="Times New Roman"/>
        </w:rPr>
        <w:t>.</w:t>
      </w:r>
    </w:p>
    <w:p w:rsidR="00740027" w:rsidRPr="00D92823" w:rsidRDefault="00B3021A" w:rsidP="00D92823">
      <w:pPr>
        <w:ind w:left="567" w:right="140" w:firstLine="850"/>
        <w:jc w:val="both"/>
        <w:rPr>
          <w:rFonts w:ascii="Times New Roman" w:hAnsi="Times New Roman" w:cs="Times New Roman"/>
        </w:rPr>
      </w:pPr>
      <w:r w:rsidRPr="00D92823">
        <w:rPr>
          <w:rFonts w:ascii="Times New Roman" w:hAnsi="Times New Roman" w:cs="Times New Roman"/>
        </w:rPr>
        <w:t xml:space="preserve">Proprio la prevalenza dell’apporto individuale rispetto a quello organizzato </w:t>
      </w:r>
      <w:r w:rsidR="00461DBA" w:rsidRPr="00D92823">
        <w:rPr>
          <w:rFonts w:ascii="Times New Roman" w:hAnsi="Times New Roman" w:cs="Times New Roman"/>
        </w:rPr>
        <w:t>differenzia</w:t>
      </w:r>
      <w:r w:rsidRPr="00D92823">
        <w:rPr>
          <w:rFonts w:ascii="Times New Roman" w:hAnsi="Times New Roman" w:cs="Times New Roman"/>
        </w:rPr>
        <w:t xml:space="preserve"> il contratto d’opera intellettuale</w:t>
      </w:r>
      <w:r w:rsidR="00EA0F53" w:rsidRPr="00D92823">
        <w:rPr>
          <w:rFonts w:ascii="Times New Roman" w:hAnsi="Times New Roman" w:cs="Times New Roman"/>
        </w:rPr>
        <w:t xml:space="preserve"> da</w:t>
      </w:r>
      <w:r w:rsidRPr="00D92823">
        <w:rPr>
          <w:rFonts w:ascii="Times New Roman" w:hAnsi="Times New Roman" w:cs="Times New Roman"/>
        </w:rPr>
        <w:t>ll</w:t>
      </w:r>
      <w:r w:rsidR="00EA0F53" w:rsidRPr="00D92823">
        <w:rPr>
          <w:rFonts w:ascii="Times New Roman" w:hAnsi="Times New Roman" w:cs="Times New Roman"/>
        </w:rPr>
        <w:t>’</w:t>
      </w:r>
      <w:r w:rsidR="00490F11" w:rsidRPr="00D92823">
        <w:rPr>
          <w:rFonts w:ascii="Times New Roman" w:hAnsi="Times New Roman" w:cs="Times New Roman"/>
        </w:rPr>
        <w:t>appalto</w:t>
      </w:r>
      <w:r w:rsidR="00EA0F53" w:rsidRPr="00D92823">
        <w:rPr>
          <w:rFonts w:ascii="Times New Roman" w:hAnsi="Times New Roman" w:cs="Times New Roman"/>
        </w:rPr>
        <w:t xml:space="preserve"> </w:t>
      </w:r>
      <w:r w:rsidRPr="00D92823">
        <w:rPr>
          <w:rFonts w:ascii="Times New Roman" w:hAnsi="Times New Roman" w:cs="Times New Roman"/>
        </w:rPr>
        <w:t xml:space="preserve">che, a mente </w:t>
      </w:r>
      <w:r w:rsidR="00EA0F53" w:rsidRPr="00D92823">
        <w:rPr>
          <w:rFonts w:ascii="Times New Roman" w:hAnsi="Times New Roman" w:cs="Times New Roman"/>
        </w:rPr>
        <w:t>d</w:t>
      </w:r>
      <w:r w:rsidRPr="00D92823">
        <w:rPr>
          <w:rFonts w:ascii="Times New Roman" w:hAnsi="Times New Roman" w:cs="Times New Roman"/>
        </w:rPr>
        <w:t>e</w:t>
      </w:r>
      <w:r w:rsidR="00EA0F53" w:rsidRPr="00D92823">
        <w:rPr>
          <w:rFonts w:ascii="Times New Roman" w:hAnsi="Times New Roman" w:cs="Times New Roman"/>
        </w:rPr>
        <w:t>ll’a</w:t>
      </w:r>
      <w:r w:rsidRPr="00D92823">
        <w:rPr>
          <w:rFonts w:ascii="Times New Roman" w:hAnsi="Times New Roman" w:cs="Times New Roman"/>
        </w:rPr>
        <w:t xml:space="preserve">rt. </w:t>
      </w:r>
      <w:r w:rsidR="00EA0F53" w:rsidRPr="00D92823">
        <w:rPr>
          <w:rFonts w:ascii="Times New Roman" w:hAnsi="Times New Roman" w:cs="Times New Roman"/>
        </w:rPr>
        <w:t>1655 c.c.</w:t>
      </w:r>
      <w:r w:rsidRPr="00D92823">
        <w:rPr>
          <w:rFonts w:ascii="Times New Roman" w:hAnsi="Times New Roman" w:cs="Times New Roman"/>
        </w:rPr>
        <w:t>,</w:t>
      </w:r>
      <w:r w:rsidR="00EA0F53" w:rsidRPr="00D92823">
        <w:rPr>
          <w:rFonts w:ascii="Times New Roman" w:hAnsi="Times New Roman" w:cs="Times New Roman"/>
        </w:rPr>
        <w:t xml:space="preserve"> </w:t>
      </w:r>
      <w:r w:rsidRPr="00D92823">
        <w:rPr>
          <w:rFonts w:ascii="Times New Roman" w:hAnsi="Times New Roman" w:cs="Times New Roman"/>
        </w:rPr>
        <w:t>è i</w:t>
      </w:r>
      <w:r w:rsidR="00EA0F53" w:rsidRPr="00D92823">
        <w:rPr>
          <w:rFonts w:ascii="Times New Roman" w:hAnsi="Times New Roman" w:cs="Times New Roman"/>
        </w:rPr>
        <w:t>l «contratto con cui una parte assume, con l’organizzazione dei mezzi necessari e con gestione a proprio rischio, il compimento di un’opera o un servizio verso un corrispettivo in denaro»</w:t>
      </w:r>
      <w:r w:rsidR="00740027" w:rsidRPr="00D92823">
        <w:rPr>
          <w:rFonts w:ascii="Times New Roman" w:hAnsi="Times New Roman" w:cs="Times New Roman"/>
        </w:rPr>
        <w:t>.</w:t>
      </w:r>
    </w:p>
    <w:p w:rsidR="00740027" w:rsidRPr="00D92823" w:rsidRDefault="00740027" w:rsidP="00D92823">
      <w:pPr>
        <w:ind w:left="567" w:right="140" w:firstLine="850"/>
        <w:jc w:val="both"/>
        <w:rPr>
          <w:rFonts w:ascii="Times New Roman" w:hAnsi="Times New Roman" w:cs="Times New Roman"/>
        </w:rPr>
      </w:pPr>
      <w:r w:rsidRPr="00D92823">
        <w:rPr>
          <w:rFonts w:ascii="Times New Roman" w:hAnsi="Times New Roman" w:cs="Times New Roman"/>
        </w:rPr>
        <w:t>L’oggetto della prestazione è lo stesso in ambedue contratti</w:t>
      </w:r>
      <w:r w:rsidR="00FF609A" w:rsidRPr="00D92823">
        <w:rPr>
          <w:rFonts w:ascii="Times New Roman" w:hAnsi="Times New Roman" w:cs="Times New Roman"/>
        </w:rPr>
        <w:t>,</w:t>
      </w:r>
      <w:r w:rsidRPr="00D92823">
        <w:rPr>
          <w:rFonts w:ascii="Times New Roman" w:hAnsi="Times New Roman" w:cs="Times New Roman"/>
        </w:rPr>
        <w:t xml:space="preserve"> e si traduce nell’obbligazione di compiere un’opera o un servizio senza vincolo di subordinazione col committente e con assunzione del rischio</w:t>
      </w:r>
      <w:r w:rsidRPr="00D92823">
        <w:rPr>
          <w:rStyle w:val="Rimandonotaapidipagina"/>
          <w:rFonts w:ascii="Times New Roman" w:hAnsi="Times New Roman" w:cs="Times New Roman"/>
        </w:rPr>
        <w:footnoteReference w:id="1"/>
      </w:r>
      <w:r w:rsidRPr="00D92823">
        <w:rPr>
          <w:rFonts w:ascii="Times New Roman" w:hAnsi="Times New Roman" w:cs="Times New Roman"/>
        </w:rPr>
        <w:t>.</w:t>
      </w:r>
    </w:p>
    <w:p w:rsidR="00540B8B" w:rsidRPr="00D92823" w:rsidRDefault="00740027" w:rsidP="00D92823">
      <w:pPr>
        <w:ind w:left="567" w:right="140" w:firstLine="850"/>
        <w:jc w:val="both"/>
        <w:rPr>
          <w:rFonts w:ascii="Times New Roman" w:hAnsi="Times New Roman" w:cs="Times New Roman"/>
        </w:rPr>
      </w:pPr>
      <w:r w:rsidRPr="00D92823">
        <w:rPr>
          <w:rFonts w:ascii="Times New Roman" w:hAnsi="Times New Roman" w:cs="Times New Roman"/>
        </w:rPr>
        <w:t xml:space="preserve">A distinguere a i due tipi contrattuali è, </w:t>
      </w:r>
      <w:r w:rsidR="004317E8" w:rsidRPr="00D92823">
        <w:rPr>
          <w:rFonts w:ascii="Times New Roman" w:hAnsi="Times New Roman" w:cs="Times New Roman"/>
        </w:rPr>
        <w:t>invece</w:t>
      </w:r>
      <w:r w:rsidRPr="00D92823">
        <w:rPr>
          <w:rFonts w:ascii="Times New Roman" w:hAnsi="Times New Roman" w:cs="Times New Roman"/>
        </w:rPr>
        <w:t xml:space="preserve">, la diversa qualità </w:t>
      </w:r>
      <w:r w:rsidR="004317E8" w:rsidRPr="00D92823">
        <w:rPr>
          <w:rFonts w:ascii="Times New Roman" w:hAnsi="Times New Roman" w:cs="Times New Roman"/>
        </w:rPr>
        <w:t xml:space="preserve">personale </w:t>
      </w:r>
      <w:r w:rsidRPr="00D92823">
        <w:rPr>
          <w:rFonts w:ascii="Times New Roman" w:hAnsi="Times New Roman" w:cs="Times New Roman"/>
        </w:rPr>
        <w:t xml:space="preserve">– di imprenditore commerciale o di professionista – del contraente </w:t>
      </w:r>
      <w:r w:rsidR="004317E8" w:rsidRPr="00D92823">
        <w:rPr>
          <w:rFonts w:ascii="Times New Roman" w:hAnsi="Times New Roman" w:cs="Times New Roman"/>
        </w:rPr>
        <w:t>esecutore</w:t>
      </w:r>
      <w:r w:rsidRPr="00D92823">
        <w:rPr>
          <w:rFonts w:ascii="Times New Roman" w:hAnsi="Times New Roman" w:cs="Times New Roman"/>
        </w:rPr>
        <w:t>, mentre la circostanza che questi si sia avvalso di collaboratori, occasionali o fissi, non può, di per sé, dimostrare la qualità di imprenditore</w:t>
      </w:r>
      <w:r w:rsidR="00934253" w:rsidRPr="00D92823">
        <w:rPr>
          <w:rFonts w:ascii="Times New Roman" w:hAnsi="Times New Roman" w:cs="Times New Roman"/>
        </w:rPr>
        <w:t>,</w:t>
      </w:r>
      <w:r w:rsidRPr="00D92823">
        <w:rPr>
          <w:rFonts w:ascii="Times New Roman" w:hAnsi="Times New Roman" w:cs="Times New Roman"/>
        </w:rPr>
        <w:t xml:space="preserve"> che </w:t>
      </w:r>
      <w:r w:rsidR="00934253" w:rsidRPr="00D92823">
        <w:rPr>
          <w:rFonts w:ascii="Times New Roman" w:hAnsi="Times New Roman" w:cs="Times New Roman"/>
        </w:rPr>
        <w:t>presuppone l’utilizzo di</w:t>
      </w:r>
      <w:r w:rsidRPr="00D92823">
        <w:rPr>
          <w:rFonts w:ascii="Times New Roman" w:hAnsi="Times New Roman" w:cs="Times New Roman"/>
        </w:rPr>
        <w:t xml:space="preserve"> una complessa </w:t>
      </w:r>
      <w:bookmarkStart w:id="1" w:name="hitN0C41C648.1CEF7E08"/>
      <w:r w:rsidRPr="00D92823">
        <w:rPr>
          <w:rFonts w:ascii="Times New Roman" w:hAnsi="Times New Roman" w:cs="Times New Roman"/>
        </w:rPr>
        <w:t>organizzazione</w:t>
      </w:r>
      <w:bookmarkEnd w:id="1"/>
      <w:r w:rsidRPr="00D92823">
        <w:rPr>
          <w:rFonts w:ascii="Times New Roman" w:hAnsi="Times New Roman" w:cs="Times New Roman"/>
        </w:rPr>
        <w:t xml:space="preserve"> di fattori produttivi, incompatibile con la </w:t>
      </w:r>
      <w:proofErr w:type="spellStart"/>
      <w:r w:rsidRPr="00D92823">
        <w:rPr>
          <w:rFonts w:ascii="Times New Roman" w:hAnsi="Times New Roman" w:cs="Times New Roman"/>
          <w:i/>
        </w:rPr>
        <w:t>locatio</w:t>
      </w:r>
      <w:proofErr w:type="spellEnd"/>
      <w:r w:rsidRPr="00D92823">
        <w:rPr>
          <w:rFonts w:ascii="Times New Roman" w:hAnsi="Times New Roman" w:cs="Times New Roman"/>
          <w:i/>
        </w:rPr>
        <w:t xml:space="preserve"> </w:t>
      </w:r>
      <w:proofErr w:type="spellStart"/>
      <w:r w:rsidRPr="00D92823">
        <w:rPr>
          <w:rFonts w:ascii="Times New Roman" w:hAnsi="Times New Roman" w:cs="Times New Roman"/>
          <w:i/>
        </w:rPr>
        <w:t>operis</w:t>
      </w:r>
      <w:proofErr w:type="spellEnd"/>
      <w:r w:rsidRPr="00D92823">
        <w:rPr>
          <w:rStyle w:val="Rimandonotaapidipagina"/>
          <w:rFonts w:ascii="Times New Roman" w:hAnsi="Times New Roman" w:cs="Times New Roman"/>
        </w:rPr>
        <w:footnoteReference w:id="2"/>
      </w:r>
      <w:r w:rsidR="00540B8B" w:rsidRPr="00D92823">
        <w:rPr>
          <w:rFonts w:ascii="Times New Roman" w:hAnsi="Times New Roman" w:cs="Times New Roman"/>
        </w:rPr>
        <w:t>.</w:t>
      </w:r>
    </w:p>
    <w:p w:rsidR="0055738A" w:rsidRPr="00D92823" w:rsidRDefault="0055738A" w:rsidP="00D92823">
      <w:pPr>
        <w:ind w:left="567" w:right="140" w:firstLine="850"/>
        <w:jc w:val="both"/>
        <w:rPr>
          <w:rFonts w:ascii="Times New Roman" w:hAnsi="Times New Roman" w:cs="Times New Roman"/>
        </w:rPr>
      </w:pPr>
      <w:r w:rsidRPr="00D92823">
        <w:rPr>
          <w:rFonts w:ascii="Times New Roman" w:hAnsi="Times New Roman" w:cs="Times New Roman"/>
        </w:rPr>
        <w:t xml:space="preserve">Quanto </w:t>
      </w:r>
      <w:r w:rsidR="004317E8" w:rsidRPr="00D92823">
        <w:rPr>
          <w:rFonts w:ascii="Times New Roman" w:hAnsi="Times New Roman" w:cs="Times New Roman"/>
        </w:rPr>
        <w:t>espos</w:t>
      </w:r>
      <w:r w:rsidRPr="00D92823">
        <w:rPr>
          <w:rFonts w:ascii="Times New Roman" w:hAnsi="Times New Roman" w:cs="Times New Roman"/>
        </w:rPr>
        <w:t>to</w:t>
      </w:r>
      <w:r w:rsidR="004317E8" w:rsidRPr="00D92823">
        <w:rPr>
          <w:rFonts w:ascii="Times New Roman" w:hAnsi="Times New Roman" w:cs="Times New Roman"/>
        </w:rPr>
        <w:t>,</w:t>
      </w:r>
      <w:r w:rsidRPr="00D92823">
        <w:rPr>
          <w:rFonts w:ascii="Times New Roman" w:hAnsi="Times New Roman" w:cs="Times New Roman"/>
        </w:rPr>
        <w:t xml:space="preserve"> </w:t>
      </w:r>
      <w:r w:rsidR="00273FB6" w:rsidRPr="00D92823">
        <w:rPr>
          <w:rFonts w:ascii="Times New Roman" w:hAnsi="Times New Roman" w:cs="Times New Roman"/>
        </w:rPr>
        <w:t>subisce una digressione di non poco momento</w:t>
      </w:r>
      <w:r w:rsidR="00490F11" w:rsidRPr="00D92823">
        <w:rPr>
          <w:rFonts w:ascii="Times New Roman" w:hAnsi="Times New Roman" w:cs="Times New Roman"/>
        </w:rPr>
        <w:t>,</w:t>
      </w:r>
      <w:r w:rsidRPr="00D92823">
        <w:rPr>
          <w:rFonts w:ascii="Times New Roman" w:hAnsi="Times New Roman" w:cs="Times New Roman"/>
        </w:rPr>
        <w:t xml:space="preserve"> </w:t>
      </w:r>
      <w:r w:rsidR="00273FB6" w:rsidRPr="00D92823">
        <w:rPr>
          <w:rFonts w:ascii="Times New Roman" w:hAnsi="Times New Roman" w:cs="Times New Roman"/>
        </w:rPr>
        <w:t>con riferimento</w:t>
      </w:r>
      <w:r w:rsidRPr="00D92823">
        <w:rPr>
          <w:rFonts w:ascii="Times New Roman" w:hAnsi="Times New Roman" w:cs="Times New Roman"/>
        </w:rPr>
        <w:t xml:space="preserve"> </w:t>
      </w:r>
      <w:r w:rsidR="00273FB6" w:rsidRPr="00D92823">
        <w:rPr>
          <w:rFonts w:ascii="Times New Roman" w:hAnsi="Times New Roman" w:cs="Times New Roman"/>
        </w:rPr>
        <w:t>a</w:t>
      </w:r>
      <w:r w:rsidRPr="00D92823">
        <w:rPr>
          <w:rFonts w:ascii="Times New Roman" w:hAnsi="Times New Roman" w:cs="Times New Roman"/>
        </w:rPr>
        <w:t>gli</w:t>
      </w:r>
      <w:r w:rsidR="004342B9" w:rsidRPr="00D92823">
        <w:rPr>
          <w:rFonts w:ascii="Times New Roman" w:hAnsi="Times New Roman" w:cs="Times New Roman"/>
        </w:rPr>
        <w:t xml:space="preserve"> incarichi professionali </w:t>
      </w:r>
      <w:r w:rsidR="00490F11" w:rsidRPr="00D92823">
        <w:rPr>
          <w:rFonts w:ascii="Times New Roman" w:hAnsi="Times New Roman" w:cs="Times New Roman"/>
        </w:rPr>
        <w:t>sogget</w:t>
      </w:r>
      <w:r w:rsidR="004342B9" w:rsidRPr="00D92823">
        <w:rPr>
          <w:rFonts w:ascii="Times New Roman" w:hAnsi="Times New Roman" w:cs="Times New Roman"/>
        </w:rPr>
        <w:t xml:space="preserve">ti </w:t>
      </w:r>
      <w:r w:rsidR="00490F11" w:rsidRPr="00D92823">
        <w:rPr>
          <w:rFonts w:ascii="Times New Roman" w:hAnsi="Times New Roman" w:cs="Times New Roman"/>
        </w:rPr>
        <w:t xml:space="preserve">alla regolamentazione </w:t>
      </w:r>
      <w:r w:rsidR="004342B9" w:rsidRPr="00D92823">
        <w:rPr>
          <w:rFonts w:ascii="Times New Roman" w:hAnsi="Times New Roman" w:cs="Times New Roman"/>
        </w:rPr>
        <w:t>d</w:t>
      </w:r>
      <w:r w:rsidR="00490F11" w:rsidRPr="00D92823">
        <w:rPr>
          <w:rFonts w:ascii="Times New Roman" w:hAnsi="Times New Roman" w:cs="Times New Roman"/>
        </w:rPr>
        <w:t>e</w:t>
      </w:r>
      <w:r w:rsidR="004342B9" w:rsidRPr="00D92823">
        <w:rPr>
          <w:rFonts w:ascii="Times New Roman" w:hAnsi="Times New Roman" w:cs="Times New Roman"/>
        </w:rPr>
        <w:t>l codice dei contratti pubblici, approvato con D.lgs. n. 50/2016</w:t>
      </w:r>
      <w:r w:rsidRPr="00D92823">
        <w:rPr>
          <w:rFonts w:ascii="Times New Roman" w:hAnsi="Times New Roman" w:cs="Times New Roman"/>
        </w:rPr>
        <w:t>.</w:t>
      </w:r>
    </w:p>
    <w:p w:rsidR="00246366" w:rsidRPr="00D92823" w:rsidRDefault="0055738A" w:rsidP="00D92823">
      <w:pPr>
        <w:ind w:left="567" w:right="140" w:firstLine="850"/>
        <w:jc w:val="both"/>
        <w:rPr>
          <w:rFonts w:ascii="Times New Roman" w:hAnsi="Times New Roman" w:cs="Times New Roman"/>
        </w:rPr>
      </w:pPr>
      <w:r w:rsidRPr="00D92823">
        <w:rPr>
          <w:rFonts w:ascii="Times New Roman" w:hAnsi="Times New Roman" w:cs="Times New Roman"/>
        </w:rPr>
        <w:t>Si tratta, principalmente, delle</w:t>
      </w:r>
      <w:r w:rsidR="002C098C" w:rsidRPr="00D92823">
        <w:rPr>
          <w:rFonts w:ascii="Times New Roman" w:hAnsi="Times New Roman" w:cs="Times New Roman"/>
        </w:rPr>
        <w:t xml:space="preserve"> prestazioni di architettura, </w:t>
      </w:r>
      <w:r w:rsidR="004317E8" w:rsidRPr="00D92823">
        <w:rPr>
          <w:rFonts w:ascii="Times New Roman" w:hAnsi="Times New Roman" w:cs="Times New Roman"/>
        </w:rPr>
        <w:t xml:space="preserve">di </w:t>
      </w:r>
      <w:r w:rsidR="002C098C" w:rsidRPr="00D92823">
        <w:rPr>
          <w:rFonts w:ascii="Times New Roman" w:hAnsi="Times New Roman" w:cs="Times New Roman"/>
        </w:rPr>
        <w:t>ingegneria o di altr</w:t>
      </w:r>
      <w:r w:rsidR="00C93B1A" w:rsidRPr="00D92823">
        <w:rPr>
          <w:rFonts w:ascii="Times New Roman" w:hAnsi="Times New Roman" w:cs="Times New Roman"/>
        </w:rPr>
        <w:t xml:space="preserve">a natura </w:t>
      </w:r>
      <w:r w:rsidR="002C098C" w:rsidRPr="00D92823">
        <w:rPr>
          <w:rFonts w:ascii="Times New Roman" w:hAnsi="Times New Roman" w:cs="Times New Roman"/>
        </w:rPr>
        <w:t>tecnic</w:t>
      </w:r>
      <w:r w:rsidR="00C93B1A" w:rsidRPr="00D92823">
        <w:rPr>
          <w:rFonts w:ascii="Times New Roman" w:hAnsi="Times New Roman" w:cs="Times New Roman"/>
        </w:rPr>
        <w:t>a</w:t>
      </w:r>
      <w:r w:rsidR="002C098C" w:rsidRPr="00D92823">
        <w:rPr>
          <w:rFonts w:ascii="Times New Roman" w:hAnsi="Times New Roman" w:cs="Times New Roman"/>
        </w:rPr>
        <w:t xml:space="preserve">, </w:t>
      </w:r>
      <w:r w:rsidR="00C93B1A" w:rsidRPr="00D92823">
        <w:rPr>
          <w:rFonts w:ascii="Times New Roman" w:hAnsi="Times New Roman" w:cs="Times New Roman"/>
        </w:rPr>
        <w:t>come</w:t>
      </w:r>
      <w:r w:rsidR="002C098C" w:rsidRPr="00D92823">
        <w:rPr>
          <w:rFonts w:ascii="Times New Roman" w:hAnsi="Times New Roman" w:cs="Times New Roman"/>
        </w:rPr>
        <w:t xml:space="preserve"> </w:t>
      </w:r>
      <w:r w:rsidRPr="00D92823">
        <w:rPr>
          <w:rFonts w:ascii="Times New Roman" w:hAnsi="Times New Roman" w:cs="Times New Roman"/>
        </w:rPr>
        <w:t xml:space="preserve">la </w:t>
      </w:r>
      <w:r w:rsidR="002C098C" w:rsidRPr="00D92823">
        <w:rPr>
          <w:rFonts w:ascii="Times New Roman" w:hAnsi="Times New Roman" w:cs="Times New Roman"/>
        </w:rPr>
        <w:t xml:space="preserve">direzione </w:t>
      </w:r>
      <w:r w:rsidR="00C93B1A" w:rsidRPr="00D92823">
        <w:rPr>
          <w:rFonts w:ascii="Times New Roman" w:hAnsi="Times New Roman" w:cs="Times New Roman"/>
        </w:rPr>
        <w:t xml:space="preserve">dei </w:t>
      </w:r>
      <w:r w:rsidR="002C098C" w:rsidRPr="00D92823">
        <w:rPr>
          <w:rFonts w:ascii="Times New Roman" w:hAnsi="Times New Roman" w:cs="Times New Roman"/>
        </w:rPr>
        <w:t xml:space="preserve">lavori, </w:t>
      </w:r>
      <w:r w:rsidRPr="00D92823">
        <w:rPr>
          <w:rFonts w:ascii="Times New Roman" w:hAnsi="Times New Roman" w:cs="Times New Roman"/>
        </w:rPr>
        <w:t xml:space="preserve">la </w:t>
      </w:r>
      <w:r w:rsidR="002C098C" w:rsidRPr="00D92823">
        <w:rPr>
          <w:rFonts w:ascii="Times New Roman" w:hAnsi="Times New Roman" w:cs="Times New Roman"/>
        </w:rPr>
        <w:t xml:space="preserve">direzione dell’esecuzione, </w:t>
      </w:r>
      <w:r w:rsidRPr="00D92823">
        <w:rPr>
          <w:rFonts w:ascii="Times New Roman" w:hAnsi="Times New Roman" w:cs="Times New Roman"/>
        </w:rPr>
        <w:t xml:space="preserve">il </w:t>
      </w:r>
      <w:r w:rsidR="002C098C" w:rsidRPr="00D92823">
        <w:rPr>
          <w:rFonts w:ascii="Times New Roman" w:hAnsi="Times New Roman" w:cs="Times New Roman"/>
        </w:rPr>
        <w:t xml:space="preserve">coordinamento della sicurezza in fase di progettazione, </w:t>
      </w:r>
      <w:r w:rsidRPr="00D92823">
        <w:rPr>
          <w:rFonts w:ascii="Times New Roman" w:hAnsi="Times New Roman" w:cs="Times New Roman"/>
        </w:rPr>
        <w:t xml:space="preserve">il </w:t>
      </w:r>
      <w:r w:rsidR="002C098C" w:rsidRPr="00D92823">
        <w:rPr>
          <w:rFonts w:ascii="Times New Roman" w:hAnsi="Times New Roman" w:cs="Times New Roman"/>
        </w:rPr>
        <w:t xml:space="preserve">coordinamento della sicurezza in fase di esecuzione, </w:t>
      </w:r>
      <w:r w:rsidRPr="00D92823">
        <w:rPr>
          <w:rFonts w:ascii="Times New Roman" w:hAnsi="Times New Roman" w:cs="Times New Roman"/>
        </w:rPr>
        <w:t xml:space="preserve">il </w:t>
      </w:r>
      <w:r w:rsidR="002C098C" w:rsidRPr="00D92823">
        <w:rPr>
          <w:rFonts w:ascii="Times New Roman" w:hAnsi="Times New Roman" w:cs="Times New Roman"/>
        </w:rPr>
        <w:t>collaudo,</w:t>
      </w:r>
      <w:r w:rsidRPr="00D92823">
        <w:rPr>
          <w:rFonts w:ascii="Times New Roman" w:hAnsi="Times New Roman" w:cs="Times New Roman"/>
        </w:rPr>
        <w:t xml:space="preserve"> le</w:t>
      </w:r>
      <w:r w:rsidR="002C098C" w:rsidRPr="00D92823">
        <w:rPr>
          <w:rFonts w:ascii="Times New Roman" w:hAnsi="Times New Roman" w:cs="Times New Roman"/>
        </w:rPr>
        <w:t xml:space="preserve"> indagin</w:t>
      </w:r>
      <w:r w:rsidR="00C93B1A" w:rsidRPr="00D92823">
        <w:rPr>
          <w:rFonts w:ascii="Times New Roman" w:hAnsi="Times New Roman" w:cs="Times New Roman"/>
        </w:rPr>
        <w:t>i</w:t>
      </w:r>
      <w:r w:rsidR="002C098C" w:rsidRPr="00D92823">
        <w:rPr>
          <w:rFonts w:ascii="Times New Roman" w:hAnsi="Times New Roman" w:cs="Times New Roman"/>
        </w:rPr>
        <w:t xml:space="preserve"> e</w:t>
      </w:r>
      <w:r w:rsidRPr="00D92823">
        <w:rPr>
          <w:rFonts w:ascii="Times New Roman" w:hAnsi="Times New Roman" w:cs="Times New Roman"/>
        </w:rPr>
        <w:t xml:space="preserve"> le</w:t>
      </w:r>
      <w:r w:rsidR="002C098C" w:rsidRPr="00D92823">
        <w:rPr>
          <w:rFonts w:ascii="Times New Roman" w:hAnsi="Times New Roman" w:cs="Times New Roman"/>
        </w:rPr>
        <w:t xml:space="preserve"> attività di supporto</w:t>
      </w:r>
      <w:r w:rsidRPr="00D92823">
        <w:rPr>
          <w:rFonts w:ascii="Times New Roman" w:hAnsi="Times New Roman" w:cs="Times New Roman"/>
        </w:rPr>
        <w:t xml:space="preserve">, che l’art. 3, </w:t>
      </w:r>
      <w:proofErr w:type="spellStart"/>
      <w:r w:rsidRPr="00D92823">
        <w:rPr>
          <w:rFonts w:ascii="Times New Roman" w:hAnsi="Times New Roman" w:cs="Times New Roman"/>
        </w:rPr>
        <w:t>lett</w:t>
      </w:r>
      <w:proofErr w:type="spellEnd"/>
      <w:r w:rsidRPr="00D92823">
        <w:rPr>
          <w:rFonts w:ascii="Times New Roman" w:hAnsi="Times New Roman" w:cs="Times New Roman"/>
        </w:rPr>
        <w:t xml:space="preserve">. </w:t>
      </w:r>
      <w:proofErr w:type="spellStart"/>
      <w:r w:rsidRPr="00D92823">
        <w:rPr>
          <w:rFonts w:ascii="Times New Roman" w:hAnsi="Times New Roman" w:cs="Times New Roman"/>
        </w:rPr>
        <w:t>vvvv</w:t>
      </w:r>
      <w:proofErr w:type="spellEnd"/>
      <w:r w:rsidRPr="00D92823">
        <w:rPr>
          <w:rFonts w:ascii="Times New Roman" w:hAnsi="Times New Roman" w:cs="Times New Roman"/>
        </w:rPr>
        <w:t xml:space="preserve">), del codice </w:t>
      </w:r>
      <w:r w:rsidR="00A71EF2" w:rsidRPr="00D92823">
        <w:rPr>
          <w:rFonts w:ascii="Times New Roman" w:hAnsi="Times New Roman" w:cs="Times New Roman"/>
        </w:rPr>
        <w:t>defini</w:t>
      </w:r>
      <w:r w:rsidRPr="00D92823">
        <w:rPr>
          <w:rFonts w:ascii="Times New Roman" w:hAnsi="Times New Roman" w:cs="Times New Roman"/>
        </w:rPr>
        <w:t>sce</w:t>
      </w:r>
      <w:r w:rsidR="00A71EF2" w:rsidRPr="00D92823">
        <w:rPr>
          <w:rFonts w:ascii="Times New Roman" w:hAnsi="Times New Roman" w:cs="Times New Roman"/>
        </w:rPr>
        <w:t xml:space="preserve"> </w:t>
      </w:r>
      <w:r w:rsidR="006212E8" w:rsidRPr="00D92823">
        <w:rPr>
          <w:rFonts w:ascii="Times New Roman" w:hAnsi="Times New Roman" w:cs="Times New Roman"/>
        </w:rPr>
        <w:t>come «servizi riservati ad operatori economici esercenti una professione regolamentata ai sensi dell’art</w:t>
      </w:r>
      <w:r w:rsidR="00386288" w:rsidRPr="00D92823">
        <w:rPr>
          <w:rFonts w:ascii="Times New Roman" w:hAnsi="Times New Roman" w:cs="Times New Roman"/>
        </w:rPr>
        <w:t>.</w:t>
      </w:r>
      <w:r w:rsidR="006212E8" w:rsidRPr="00D92823">
        <w:rPr>
          <w:rFonts w:ascii="Times New Roman" w:hAnsi="Times New Roman" w:cs="Times New Roman"/>
        </w:rPr>
        <w:t xml:space="preserve"> 3 della direttiva 2005/36/CE»</w:t>
      </w:r>
      <w:r w:rsidR="00246366" w:rsidRPr="00D92823">
        <w:rPr>
          <w:rFonts w:ascii="Times New Roman" w:hAnsi="Times New Roman" w:cs="Times New Roman"/>
        </w:rPr>
        <w:t>.</w:t>
      </w:r>
    </w:p>
    <w:p w:rsidR="00A71EF2" w:rsidRPr="00D92823" w:rsidRDefault="004317E8" w:rsidP="00D92823">
      <w:pPr>
        <w:ind w:left="567" w:right="140" w:firstLine="850"/>
        <w:jc w:val="both"/>
        <w:rPr>
          <w:rFonts w:ascii="Times New Roman" w:hAnsi="Times New Roman" w:cs="Times New Roman"/>
        </w:rPr>
      </w:pPr>
      <w:r w:rsidRPr="00D92823">
        <w:rPr>
          <w:rFonts w:ascii="Times New Roman" w:hAnsi="Times New Roman" w:cs="Times New Roman"/>
        </w:rPr>
        <w:t>I</w:t>
      </w:r>
      <w:r w:rsidR="0028646F" w:rsidRPr="00D92823">
        <w:rPr>
          <w:rFonts w:ascii="Times New Roman" w:hAnsi="Times New Roman" w:cs="Times New Roman"/>
        </w:rPr>
        <w:t>dentica condizione riguarda</w:t>
      </w:r>
      <w:r w:rsidR="008644AC" w:rsidRPr="00D92823">
        <w:rPr>
          <w:rFonts w:ascii="Times New Roman" w:hAnsi="Times New Roman" w:cs="Times New Roman"/>
        </w:rPr>
        <w:t xml:space="preserve"> pure</w:t>
      </w:r>
      <w:r w:rsidRPr="00D92823">
        <w:rPr>
          <w:rFonts w:ascii="Times New Roman" w:hAnsi="Times New Roman" w:cs="Times New Roman"/>
        </w:rPr>
        <w:t xml:space="preserve"> </w:t>
      </w:r>
      <w:r w:rsidR="00A71EF2" w:rsidRPr="00D92823">
        <w:rPr>
          <w:rFonts w:ascii="Times New Roman" w:hAnsi="Times New Roman" w:cs="Times New Roman"/>
        </w:rPr>
        <w:t xml:space="preserve">le prestazioni professionali </w:t>
      </w:r>
      <w:r w:rsidR="0055738A" w:rsidRPr="00D92823">
        <w:rPr>
          <w:rFonts w:ascii="Times New Roman" w:hAnsi="Times New Roman" w:cs="Times New Roman"/>
        </w:rPr>
        <w:t>lega</w:t>
      </w:r>
      <w:r w:rsidR="00A71EF2" w:rsidRPr="00D92823">
        <w:rPr>
          <w:rFonts w:ascii="Times New Roman" w:hAnsi="Times New Roman" w:cs="Times New Roman"/>
        </w:rPr>
        <w:t>li</w:t>
      </w:r>
      <w:r w:rsidR="007A2383" w:rsidRPr="00D92823">
        <w:rPr>
          <w:rFonts w:ascii="Times New Roman" w:hAnsi="Times New Roman" w:cs="Times New Roman"/>
        </w:rPr>
        <w:t xml:space="preserve"> </w:t>
      </w:r>
      <w:r w:rsidR="0055738A" w:rsidRPr="00D92823">
        <w:rPr>
          <w:rFonts w:ascii="Times New Roman" w:hAnsi="Times New Roman" w:cs="Times New Roman"/>
        </w:rPr>
        <w:t>qualifica</w:t>
      </w:r>
      <w:r w:rsidRPr="00D92823">
        <w:rPr>
          <w:rFonts w:ascii="Times New Roman" w:hAnsi="Times New Roman" w:cs="Times New Roman"/>
        </w:rPr>
        <w:t>bili</w:t>
      </w:r>
      <w:r w:rsidR="00A71EF2" w:rsidRPr="00D92823">
        <w:rPr>
          <w:rFonts w:ascii="Times New Roman" w:hAnsi="Times New Roman" w:cs="Times New Roman"/>
        </w:rPr>
        <w:t xml:space="preserve"> come </w:t>
      </w:r>
      <w:r w:rsidR="008F1EB8" w:rsidRPr="00D92823">
        <w:rPr>
          <w:rFonts w:ascii="Times New Roman" w:hAnsi="Times New Roman" w:cs="Times New Roman"/>
        </w:rPr>
        <w:t>«</w:t>
      </w:r>
      <w:r w:rsidR="00A71EF2" w:rsidRPr="00D92823">
        <w:rPr>
          <w:rFonts w:ascii="Times New Roman" w:hAnsi="Times New Roman" w:cs="Times New Roman"/>
        </w:rPr>
        <w:t>servizi legali</w:t>
      </w:r>
      <w:r w:rsidR="008F1EB8" w:rsidRPr="00D92823">
        <w:rPr>
          <w:rFonts w:ascii="Times New Roman" w:hAnsi="Times New Roman" w:cs="Times New Roman"/>
        </w:rPr>
        <w:t>»</w:t>
      </w:r>
      <w:r w:rsidR="00A71EF2" w:rsidRPr="00D92823">
        <w:rPr>
          <w:rFonts w:ascii="Times New Roman" w:hAnsi="Times New Roman" w:cs="Times New Roman"/>
        </w:rPr>
        <w:t xml:space="preserve">, in base al combinato disposto degli artt. 17, comma 1, </w:t>
      </w:r>
      <w:proofErr w:type="spellStart"/>
      <w:r w:rsidR="00A71EF2" w:rsidRPr="00D92823">
        <w:rPr>
          <w:rFonts w:ascii="Times New Roman" w:hAnsi="Times New Roman" w:cs="Times New Roman"/>
        </w:rPr>
        <w:t>lett</w:t>
      </w:r>
      <w:proofErr w:type="spellEnd"/>
      <w:r w:rsidR="00A71EF2" w:rsidRPr="00D92823">
        <w:rPr>
          <w:rFonts w:ascii="Times New Roman" w:hAnsi="Times New Roman" w:cs="Times New Roman"/>
        </w:rPr>
        <w:t>. d), 140 e segg. e dell’allegato IX del codice dei contratti pubblici.</w:t>
      </w:r>
    </w:p>
    <w:p w:rsidR="00A71EF2" w:rsidRPr="00D92823" w:rsidRDefault="004317E8" w:rsidP="00D92823">
      <w:pPr>
        <w:ind w:left="567" w:right="140" w:firstLine="850"/>
        <w:jc w:val="both"/>
        <w:rPr>
          <w:rFonts w:ascii="Times New Roman" w:hAnsi="Times New Roman" w:cs="Times New Roman"/>
        </w:rPr>
      </w:pPr>
      <w:r w:rsidRPr="00D92823">
        <w:rPr>
          <w:rFonts w:ascii="Times New Roman" w:hAnsi="Times New Roman" w:cs="Times New Roman"/>
        </w:rPr>
        <w:lastRenderedPageBreak/>
        <w:t>L</w:t>
      </w:r>
      <w:r w:rsidR="00461DBA" w:rsidRPr="00D92823">
        <w:rPr>
          <w:rFonts w:ascii="Times New Roman" w:hAnsi="Times New Roman" w:cs="Times New Roman"/>
        </w:rPr>
        <w:t>’identifica</w:t>
      </w:r>
      <w:r w:rsidR="00246366" w:rsidRPr="00D92823">
        <w:rPr>
          <w:rFonts w:ascii="Times New Roman" w:hAnsi="Times New Roman" w:cs="Times New Roman"/>
        </w:rPr>
        <w:t xml:space="preserve">zione </w:t>
      </w:r>
      <w:r w:rsidR="00461DBA" w:rsidRPr="00D92823">
        <w:rPr>
          <w:rFonts w:ascii="Times New Roman" w:hAnsi="Times New Roman" w:cs="Times New Roman"/>
        </w:rPr>
        <w:t xml:space="preserve">della prestazione professionale </w:t>
      </w:r>
      <w:r w:rsidR="00386288" w:rsidRPr="00D92823">
        <w:rPr>
          <w:rFonts w:ascii="Times New Roman" w:hAnsi="Times New Roman" w:cs="Times New Roman"/>
        </w:rPr>
        <w:t xml:space="preserve">in termini di </w:t>
      </w:r>
      <w:r w:rsidR="00206353" w:rsidRPr="00D92823">
        <w:rPr>
          <w:rFonts w:ascii="Times New Roman" w:hAnsi="Times New Roman" w:cs="Times New Roman"/>
        </w:rPr>
        <w:t>“</w:t>
      </w:r>
      <w:r w:rsidR="00386288" w:rsidRPr="00D92823">
        <w:rPr>
          <w:rFonts w:ascii="Times New Roman" w:hAnsi="Times New Roman" w:cs="Times New Roman"/>
        </w:rPr>
        <w:t>servizio</w:t>
      </w:r>
      <w:r w:rsidR="00206353" w:rsidRPr="00D92823">
        <w:rPr>
          <w:rFonts w:ascii="Times New Roman" w:hAnsi="Times New Roman" w:cs="Times New Roman"/>
        </w:rPr>
        <w:t>”</w:t>
      </w:r>
      <w:r w:rsidR="00141A8A" w:rsidRPr="00D92823">
        <w:rPr>
          <w:rFonts w:ascii="Times New Roman" w:hAnsi="Times New Roman" w:cs="Times New Roman"/>
        </w:rPr>
        <w:t>, se</w:t>
      </w:r>
      <w:r w:rsidR="00386288" w:rsidRPr="00D92823">
        <w:rPr>
          <w:rFonts w:ascii="Times New Roman" w:hAnsi="Times New Roman" w:cs="Times New Roman"/>
        </w:rPr>
        <w:t xml:space="preserve"> non </w:t>
      </w:r>
      <w:r w:rsidR="00461DBA" w:rsidRPr="00D92823">
        <w:rPr>
          <w:rFonts w:ascii="Times New Roman" w:hAnsi="Times New Roman" w:cs="Times New Roman"/>
        </w:rPr>
        <w:t xml:space="preserve">ne </w:t>
      </w:r>
      <w:r w:rsidR="00141A8A" w:rsidRPr="00D92823">
        <w:rPr>
          <w:rFonts w:ascii="Times New Roman" w:hAnsi="Times New Roman" w:cs="Times New Roman"/>
        </w:rPr>
        <w:t>modifica l’oggetto</w:t>
      </w:r>
      <w:r w:rsidR="00145427" w:rsidRPr="00D92823">
        <w:rPr>
          <w:rFonts w:ascii="Times New Roman" w:hAnsi="Times New Roman" w:cs="Times New Roman"/>
        </w:rPr>
        <w:t xml:space="preserve"> </w:t>
      </w:r>
      <w:r w:rsidR="00490F11" w:rsidRPr="00D92823">
        <w:rPr>
          <w:rFonts w:ascii="Times New Roman" w:hAnsi="Times New Roman" w:cs="Times New Roman"/>
        </w:rPr>
        <w:t>(</w:t>
      </w:r>
      <w:r w:rsidR="00141A8A" w:rsidRPr="00D92823">
        <w:rPr>
          <w:rFonts w:ascii="Times New Roman" w:hAnsi="Times New Roman" w:cs="Times New Roman"/>
        </w:rPr>
        <w:t>c</w:t>
      </w:r>
      <w:r w:rsidR="00D17318" w:rsidRPr="00D92823">
        <w:rPr>
          <w:rFonts w:ascii="Times New Roman" w:hAnsi="Times New Roman" w:cs="Times New Roman"/>
        </w:rPr>
        <w:t>h</w:t>
      </w:r>
      <w:r w:rsidR="00141A8A" w:rsidRPr="00D92823">
        <w:rPr>
          <w:rFonts w:ascii="Times New Roman" w:hAnsi="Times New Roman" w:cs="Times New Roman"/>
        </w:rPr>
        <w:t>e</w:t>
      </w:r>
      <w:r w:rsidR="00386288" w:rsidRPr="00D92823">
        <w:rPr>
          <w:rFonts w:ascii="Times New Roman" w:hAnsi="Times New Roman" w:cs="Times New Roman"/>
        </w:rPr>
        <w:t xml:space="preserve"> </w:t>
      </w:r>
      <w:r w:rsidR="00D17318" w:rsidRPr="00D92823">
        <w:rPr>
          <w:rFonts w:ascii="Times New Roman" w:hAnsi="Times New Roman" w:cs="Times New Roman"/>
        </w:rPr>
        <w:t>resta un’</w:t>
      </w:r>
      <w:r w:rsidR="00386288" w:rsidRPr="00D92823">
        <w:rPr>
          <w:rFonts w:ascii="Times New Roman" w:hAnsi="Times New Roman" w:cs="Times New Roman"/>
        </w:rPr>
        <w:t>opera intellettuale</w:t>
      </w:r>
      <w:r w:rsidR="00490F11" w:rsidRPr="00D92823">
        <w:rPr>
          <w:rFonts w:ascii="Times New Roman" w:hAnsi="Times New Roman" w:cs="Times New Roman"/>
        </w:rPr>
        <w:t>)</w:t>
      </w:r>
      <w:r w:rsidR="00141A8A" w:rsidRPr="00D92823">
        <w:rPr>
          <w:rFonts w:ascii="Times New Roman" w:hAnsi="Times New Roman" w:cs="Times New Roman"/>
        </w:rPr>
        <w:t>,</w:t>
      </w:r>
      <w:r w:rsidR="00386288" w:rsidRPr="00D92823">
        <w:rPr>
          <w:rFonts w:ascii="Times New Roman" w:hAnsi="Times New Roman" w:cs="Times New Roman"/>
        </w:rPr>
        <w:t xml:space="preserve"> </w:t>
      </w:r>
      <w:r w:rsidR="00246366" w:rsidRPr="00D92823">
        <w:rPr>
          <w:rFonts w:ascii="Times New Roman" w:hAnsi="Times New Roman" w:cs="Times New Roman"/>
        </w:rPr>
        <w:t>incide</w:t>
      </w:r>
      <w:r w:rsidR="00141A8A" w:rsidRPr="00D92823">
        <w:rPr>
          <w:rFonts w:ascii="Times New Roman" w:hAnsi="Times New Roman" w:cs="Times New Roman"/>
        </w:rPr>
        <w:t xml:space="preserve"> </w:t>
      </w:r>
      <w:r w:rsidR="004342B9" w:rsidRPr="00D92823">
        <w:rPr>
          <w:rFonts w:ascii="Times New Roman" w:hAnsi="Times New Roman" w:cs="Times New Roman"/>
        </w:rPr>
        <w:t>sull</w:t>
      </w:r>
      <w:r w:rsidR="007A2383" w:rsidRPr="00D92823">
        <w:rPr>
          <w:rFonts w:ascii="Times New Roman" w:hAnsi="Times New Roman" w:cs="Times New Roman"/>
        </w:rPr>
        <w:t xml:space="preserve">a </w:t>
      </w:r>
      <w:r w:rsidRPr="00D92823">
        <w:rPr>
          <w:rFonts w:ascii="Times New Roman" w:hAnsi="Times New Roman" w:cs="Times New Roman"/>
        </w:rPr>
        <w:t xml:space="preserve">sua </w:t>
      </w:r>
      <w:r w:rsidR="007A2383" w:rsidRPr="00D92823">
        <w:rPr>
          <w:rFonts w:ascii="Times New Roman" w:hAnsi="Times New Roman" w:cs="Times New Roman"/>
        </w:rPr>
        <w:t>disciplina legale</w:t>
      </w:r>
      <w:r w:rsidR="00246366" w:rsidRPr="00D92823">
        <w:rPr>
          <w:rFonts w:ascii="Times New Roman" w:hAnsi="Times New Roman" w:cs="Times New Roman"/>
        </w:rPr>
        <w:t>,</w:t>
      </w:r>
      <w:r w:rsidR="00E24DDB" w:rsidRPr="00D92823">
        <w:rPr>
          <w:rFonts w:ascii="Times New Roman" w:hAnsi="Times New Roman" w:cs="Times New Roman"/>
        </w:rPr>
        <w:t xml:space="preserve"> </w:t>
      </w:r>
      <w:r w:rsidR="00C93B1A" w:rsidRPr="00D92823">
        <w:rPr>
          <w:rFonts w:ascii="Times New Roman" w:hAnsi="Times New Roman" w:cs="Times New Roman"/>
        </w:rPr>
        <w:t xml:space="preserve">posto che </w:t>
      </w:r>
      <w:r w:rsidR="003B0DDB" w:rsidRPr="00D92823">
        <w:rPr>
          <w:rFonts w:ascii="Times New Roman" w:hAnsi="Times New Roman" w:cs="Times New Roman"/>
        </w:rPr>
        <w:t>l</w:t>
      </w:r>
      <w:r w:rsidR="00E24DDB" w:rsidRPr="00D92823">
        <w:rPr>
          <w:rFonts w:ascii="Times New Roman" w:hAnsi="Times New Roman" w:cs="Times New Roman"/>
        </w:rPr>
        <w:t xml:space="preserve">’art. 157, comma 3, </w:t>
      </w:r>
      <w:r w:rsidR="00C54FFC" w:rsidRPr="00D92823">
        <w:rPr>
          <w:rFonts w:ascii="Times New Roman" w:hAnsi="Times New Roman" w:cs="Times New Roman"/>
        </w:rPr>
        <w:t xml:space="preserve">ne </w:t>
      </w:r>
      <w:r w:rsidR="003B0DDB" w:rsidRPr="00D92823">
        <w:rPr>
          <w:rFonts w:ascii="Times New Roman" w:hAnsi="Times New Roman" w:cs="Times New Roman"/>
        </w:rPr>
        <w:t>vieta</w:t>
      </w:r>
      <w:r w:rsidR="00E24DDB" w:rsidRPr="00D92823">
        <w:rPr>
          <w:rFonts w:ascii="Times New Roman" w:hAnsi="Times New Roman" w:cs="Times New Roman"/>
        </w:rPr>
        <w:t xml:space="preserve"> </w:t>
      </w:r>
      <w:r w:rsidR="00C54FFC" w:rsidRPr="00D92823">
        <w:rPr>
          <w:rFonts w:ascii="Times New Roman" w:hAnsi="Times New Roman" w:cs="Times New Roman"/>
        </w:rPr>
        <w:t>l’</w:t>
      </w:r>
      <w:r w:rsidR="00E24DDB" w:rsidRPr="00D92823">
        <w:rPr>
          <w:rFonts w:ascii="Times New Roman" w:hAnsi="Times New Roman" w:cs="Times New Roman"/>
        </w:rPr>
        <w:t xml:space="preserve">affidamento </w:t>
      </w:r>
      <w:r w:rsidR="003B0DDB" w:rsidRPr="00D92823">
        <w:rPr>
          <w:rFonts w:ascii="Times New Roman" w:hAnsi="Times New Roman" w:cs="Times New Roman"/>
        </w:rPr>
        <w:t>«</w:t>
      </w:r>
      <w:r w:rsidR="00E24DDB" w:rsidRPr="00D92823">
        <w:rPr>
          <w:rFonts w:ascii="Times New Roman" w:hAnsi="Times New Roman" w:cs="Times New Roman"/>
        </w:rPr>
        <w:t>per mezzo di contratti a tempo determinato o altre procedure diverse da quelle</w:t>
      </w:r>
      <w:r w:rsidR="007A2383" w:rsidRPr="00D92823">
        <w:rPr>
          <w:rFonts w:ascii="Times New Roman" w:hAnsi="Times New Roman" w:cs="Times New Roman"/>
        </w:rPr>
        <w:t xml:space="preserve"> previste dal presente decreto», </w:t>
      </w:r>
      <w:r w:rsidR="00461DBA" w:rsidRPr="00D92823">
        <w:rPr>
          <w:rFonts w:ascii="Times New Roman" w:hAnsi="Times New Roman" w:cs="Times New Roman"/>
        </w:rPr>
        <w:t>con ciò</w:t>
      </w:r>
      <w:r w:rsidR="007A2383" w:rsidRPr="00D92823">
        <w:rPr>
          <w:rFonts w:ascii="Times New Roman" w:hAnsi="Times New Roman" w:cs="Times New Roman"/>
        </w:rPr>
        <w:t xml:space="preserve"> </w:t>
      </w:r>
      <w:r w:rsidR="00461DBA" w:rsidRPr="00D92823">
        <w:rPr>
          <w:rFonts w:ascii="Times New Roman" w:hAnsi="Times New Roman" w:cs="Times New Roman"/>
        </w:rPr>
        <w:t>volendo</w:t>
      </w:r>
      <w:r w:rsidR="007A2383" w:rsidRPr="00D92823">
        <w:rPr>
          <w:rFonts w:ascii="Times New Roman" w:hAnsi="Times New Roman" w:cs="Times New Roman"/>
        </w:rPr>
        <w:t xml:space="preserve"> significare che </w:t>
      </w:r>
      <w:r w:rsidR="00A71EF2" w:rsidRPr="00D92823">
        <w:rPr>
          <w:rFonts w:ascii="Times New Roman" w:hAnsi="Times New Roman" w:cs="Times New Roman"/>
        </w:rPr>
        <w:t>tale tipologia di incarichi può essere conferita</w:t>
      </w:r>
      <w:r w:rsidR="00BB7A28" w:rsidRPr="00D92823">
        <w:rPr>
          <w:rFonts w:ascii="Times New Roman" w:hAnsi="Times New Roman" w:cs="Times New Roman"/>
        </w:rPr>
        <w:t xml:space="preserve"> esclusivamente a mezzo di </w:t>
      </w:r>
      <w:r w:rsidR="008644AC" w:rsidRPr="00D92823">
        <w:rPr>
          <w:rFonts w:ascii="Times New Roman" w:hAnsi="Times New Roman" w:cs="Times New Roman"/>
        </w:rPr>
        <w:t xml:space="preserve">procedure e </w:t>
      </w:r>
      <w:r w:rsidR="00BB7A28" w:rsidRPr="00D92823">
        <w:rPr>
          <w:rFonts w:ascii="Times New Roman" w:hAnsi="Times New Roman" w:cs="Times New Roman"/>
        </w:rPr>
        <w:t>contratt</w:t>
      </w:r>
      <w:r w:rsidR="008644AC" w:rsidRPr="00D92823">
        <w:rPr>
          <w:rFonts w:ascii="Times New Roman" w:hAnsi="Times New Roman" w:cs="Times New Roman"/>
        </w:rPr>
        <w:t>i</w:t>
      </w:r>
      <w:r w:rsidR="00BB7A28" w:rsidRPr="00D92823">
        <w:rPr>
          <w:rFonts w:ascii="Times New Roman" w:hAnsi="Times New Roman" w:cs="Times New Roman"/>
        </w:rPr>
        <w:t xml:space="preserve"> di appalto</w:t>
      </w:r>
      <w:r w:rsidR="00A71EF2" w:rsidRPr="00D92823">
        <w:rPr>
          <w:rFonts w:ascii="Times New Roman" w:hAnsi="Times New Roman" w:cs="Times New Roman"/>
        </w:rPr>
        <w:t>.</w:t>
      </w:r>
    </w:p>
    <w:p w:rsidR="00117CEF" w:rsidRPr="00D92823" w:rsidRDefault="00684848" w:rsidP="00D92823">
      <w:pPr>
        <w:ind w:left="567" w:right="140" w:firstLine="850"/>
        <w:jc w:val="both"/>
        <w:rPr>
          <w:rFonts w:ascii="Times New Roman" w:hAnsi="Times New Roman" w:cs="Times New Roman"/>
        </w:rPr>
      </w:pPr>
      <w:r w:rsidRPr="00D92823">
        <w:rPr>
          <w:rFonts w:ascii="Times New Roman" w:hAnsi="Times New Roman" w:cs="Times New Roman"/>
        </w:rPr>
        <w:t>Questo</w:t>
      </w:r>
      <w:r w:rsidR="0050247C" w:rsidRPr="00D92823">
        <w:rPr>
          <w:rFonts w:ascii="Times New Roman" w:hAnsi="Times New Roman" w:cs="Times New Roman"/>
        </w:rPr>
        <w:t xml:space="preserve"> determina una </w:t>
      </w:r>
      <w:r w:rsidR="00936AAB" w:rsidRPr="00D92823">
        <w:rPr>
          <w:rFonts w:ascii="Times New Roman" w:hAnsi="Times New Roman" w:cs="Times New Roman"/>
        </w:rPr>
        <w:t xml:space="preserve">trasformazione </w:t>
      </w:r>
      <w:r w:rsidR="0050247C" w:rsidRPr="00D92823">
        <w:rPr>
          <w:rFonts w:ascii="Times New Roman" w:hAnsi="Times New Roman" w:cs="Times New Roman"/>
        </w:rPr>
        <w:t xml:space="preserve">della struttura </w:t>
      </w:r>
      <w:r w:rsidR="00936AAB" w:rsidRPr="00D92823">
        <w:rPr>
          <w:rFonts w:ascii="Times New Roman" w:hAnsi="Times New Roman" w:cs="Times New Roman"/>
        </w:rPr>
        <w:t>e del</w:t>
      </w:r>
      <w:r w:rsidR="0050247C" w:rsidRPr="00D92823">
        <w:rPr>
          <w:rFonts w:ascii="Times New Roman" w:hAnsi="Times New Roman" w:cs="Times New Roman"/>
        </w:rPr>
        <w:t>la funzione sociale</w:t>
      </w:r>
      <w:r w:rsidR="00936AAB" w:rsidRPr="00D92823">
        <w:rPr>
          <w:rFonts w:ascii="Times New Roman" w:hAnsi="Times New Roman" w:cs="Times New Roman"/>
        </w:rPr>
        <w:t xml:space="preserve"> </w:t>
      </w:r>
      <w:r w:rsidR="0050247C" w:rsidRPr="00D92823">
        <w:rPr>
          <w:rFonts w:ascii="Times New Roman" w:hAnsi="Times New Roman" w:cs="Times New Roman"/>
        </w:rPr>
        <w:t>del</w:t>
      </w:r>
      <w:r w:rsidR="004317E8" w:rsidRPr="00D92823">
        <w:rPr>
          <w:rFonts w:ascii="Times New Roman" w:hAnsi="Times New Roman" w:cs="Times New Roman"/>
        </w:rPr>
        <w:t>l’incarico</w:t>
      </w:r>
      <w:r w:rsidR="0050247C" w:rsidRPr="00D92823">
        <w:rPr>
          <w:rFonts w:ascii="Times New Roman" w:hAnsi="Times New Roman" w:cs="Times New Roman"/>
        </w:rPr>
        <w:t xml:space="preserve">, </w:t>
      </w:r>
      <w:r w:rsidR="004317E8" w:rsidRPr="00D92823">
        <w:rPr>
          <w:rFonts w:ascii="Times New Roman" w:hAnsi="Times New Roman" w:cs="Times New Roman"/>
        </w:rPr>
        <w:t xml:space="preserve">ben </w:t>
      </w:r>
      <w:r w:rsidR="00936AAB" w:rsidRPr="00D92823">
        <w:rPr>
          <w:rFonts w:ascii="Times New Roman" w:hAnsi="Times New Roman" w:cs="Times New Roman"/>
        </w:rPr>
        <w:t>colta</w:t>
      </w:r>
      <w:r w:rsidR="00516689" w:rsidRPr="00D92823">
        <w:rPr>
          <w:rFonts w:ascii="Times New Roman" w:hAnsi="Times New Roman" w:cs="Times New Roman"/>
        </w:rPr>
        <w:t xml:space="preserve">, </w:t>
      </w:r>
      <w:r w:rsidR="004317E8" w:rsidRPr="00D92823">
        <w:rPr>
          <w:rFonts w:ascii="Times New Roman" w:hAnsi="Times New Roman" w:cs="Times New Roman"/>
        </w:rPr>
        <w:t xml:space="preserve">principalmente, </w:t>
      </w:r>
      <w:r w:rsidR="008644AC" w:rsidRPr="00D92823">
        <w:rPr>
          <w:rFonts w:ascii="Times New Roman" w:hAnsi="Times New Roman" w:cs="Times New Roman"/>
        </w:rPr>
        <w:t xml:space="preserve">dalla giurisprudenza amministrativa, </w:t>
      </w:r>
      <w:r w:rsidR="0050247C" w:rsidRPr="00D92823">
        <w:rPr>
          <w:rFonts w:ascii="Times New Roman" w:hAnsi="Times New Roman" w:cs="Times New Roman"/>
        </w:rPr>
        <w:t xml:space="preserve">la quale ha affermato che </w:t>
      </w:r>
      <w:r w:rsidR="00936AAB" w:rsidRPr="00D92823">
        <w:rPr>
          <w:rFonts w:ascii="Times New Roman" w:hAnsi="Times New Roman" w:cs="Times New Roman"/>
        </w:rPr>
        <w:t xml:space="preserve">le prestazioni professionali soggette alla disciplina del codice dei contratti </w:t>
      </w:r>
      <w:r w:rsidR="002D28ED" w:rsidRPr="00D92823">
        <w:rPr>
          <w:rFonts w:ascii="Times New Roman" w:hAnsi="Times New Roman" w:cs="Times New Roman"/>
        </w:rPr>
        <w:t xml:space="preserve">pubblici </w:t>
      </w:r>
      <w:r w:rsidR="00117CEF" w:rsidRPr="00D92823">
        <w:rPr>
          <w:rFonts w:ascii="Times New Roman" w:hAnsi="Times New Roman" w:cs="Times New Roman"/>
        </w:rPr>
        <w:t>(nella fattispecie</w:t>
      </w:r>
      <w:r w:rsidR="00A252C9" w:rsidRPr="00D92823">
        <w:rPr>
          <w:rFonts w:ascii="Times New Roman" w:hAnsi="Times New Roman" w:cs="Times New Roman"/>
        </w:rPr>
        <w:t xml:space="preserve">, </w:t>
      </w:r>
      <w:r w:rsidR="0050247C" w:rsidRPr="00D92823">
        <w:rPr>
          <w:rFonts w:ascii="Times New Roman" w:hAnsi="Times New Roman" w:cs="Times New Roman"/>
        </w:rPr>
        <w:t>si trattava di</w:t>
      </w:r>
      <w:r w:rsidR="00936AAB" w:rsidRPr="00D92823">
        <w:rPr>
          <w:rFonts w:ascii="Times New Roman" w:hAnsi="Times New Roman" w:cs="Times New Roman"/>
        </w:rPr>
        <w:t xml:space="preserve"> prestazioni</w:t>
      </w:r>
      <w:r w:rsidR="00117CEF" w:rsidRPr="00D92823">
        <w:rPr>
          <w:rFonts w:ascii="Times New Roman" w:hAnsi="Times New Roman" w:cs="Times New Roman"/>
        </w:rPr>
        <w:t xml:space="preserve"> legali)</w:t>
      </w:r>
      <w:r w:rsidR="00D17318" w:rsidRPr="00D92823">
        <w:rPr>
          <w:rFonts w:ascii="Times New Roman" w:hAnsi="Times New Roman" w:cs="Times New Roman"/>
        </w:rPr>
        <w:t xml:space="preserve"> </w:t>
      </w:r>
      <w:r w:rsidR="00461DBA" w:rsidRPr="00D92823">
        <w:rPr>
          <w:rFonts w:ascii="Times New Roman" w:hAnsi="Times New Roman" w:cs="Times New Roman"/>
        </w:rPr>
        <w:t>devo</w:t>
      </w:r>
      <w:r w:rsidR="00936AAB" w:rsidRPr="00D92823">
        <w:rPr>
          <w:rFonts w:ascii="Times New Roman" w:hAnsi="Times New Roman" w:cs="Times New Roman"/>
        </w:rPr>
        <w:t xml:space="preserve">no </w:t>
      </w:r>
      <w:r w:rsidR="00461DBA" w:rsidRPr="00D92823">
        <w:rPr>
          <w:rFonts w:ascii="Times New Roman" w:hAnsi="Times New Roman" w:cs="Times New Roman"/>
        </w:rPr>
        <w:t xml:space="preserve">ritenersi </w:t>
      </w:r>
      <w:r w:rsidR="00936AAB" w:rsidRPr="00D92823">
        <w:rPr>
          <w:rFonts w:ascii="Times New Roman" w:hAnsi="Times New Roman" w:cs="Times New Roman"/>
        </w:rPr>
        <w:t xml:space="preserve">attratte </w:t>
      </w:r>
      <w:r w:rsidR="002D28ED" w:rsidRPr="00D92823">
        <w:rPr>
          <w:rFonts w:ascii="Times New Roman" w:hAnsi="Times New Roman" w:cs="Times New Roman"/>
        </w:rPr>
        <w:t>a</w:t>
      </w:r>
      <w:r w:rsidR="00936AAB" w:rsidRPr="00D92823">
        <w:rPr>
          <w:rFonts w:ascii="Times New Roman" w:hAnsi="Times New Roman" w:cs="Times New Roman"/>
        </w:rPr>
        <w:t xml:space="preserve">lla nozione di </w:t>
      </w:r>
      <w:hyperlink r:id="rId8" w:tooltip="Il contratto di appalto" w:history="1">
        <w:r w:rsidR="00936AAB" w:rsidRPr="00D92823">
          <w:rPr>
            <w:rFonts w:ascii="Times New Roman" w:hAnsi="Times New Roman" w:cs="Times New Roman"/>
          </w:rPr>
          <w:t>appalto</w:t>
        </w:r>
      </w:hyperlink>
      <w:r w:rsidR="00936AAB" w:rsidRPr="00D92823">
        <w:rPr>
          <w:rFonts w:ascii="Times New Roman" w:hAnsi="Times New Roman" w:cs="Times New Roman"/>
        </w:rPr>
        <w:t xml:space="preserve"> di servizi, sicché la qualità di </w:t>
      </w:r>
      <w:r w:rsidR="007C0266" w:rsidRPr="00D92823">
        <w:rPr>
          <w:rFonts w:ascii="Times New Roman" w:hAnsi="Times New Roman" w:cs="Times New Roman"/>
        </w:rPr>
        <w:t>“</w:t>
      </w:r>
      <w:r w:rsidR="00D17318" w:rsidRPr="00D92823">
        <w:rPr>
          <w:rFonts w:ascii="Times New Roman" w:hAnsi="Times New Roman" w:cs="Times New Roman"/>
        </w:rPr>
        <w:t>appaltatore</w:t>
      </w:r>
      <w:r w:rsidR="007C0266" w:rsidRPr="00D92823">
        <w:rPr>
          <w:rFonts w:ascii="Times New Roman" w:hAnsi="Times New Roman" w:cs="Times New Roman"/>
        </w:rPr>
        <w:t>”</w:t>
      </w:r>
      <w:r w:rsidR="00D17318" w:rsidRPr="00D92823">
        <w:rPr>
          <w:rFonts w:ascii="Times New Roman" w:hAnsi="Times New Roman" w:cs="Times New Roman"/>
        </w:rPr>
        <w:t xml:space="preserve"> </w:t>
      </w:r>
      <w:r w:rsidR="002C71FA" w:rsidRPr="00D92823">
        <w:rPr>
          <w:rFonts w:ascii="Times New Roman" w:hAnsi="Times New Roman" w:cs="Times New Roman"/>
        </w:rPr>
        <w:t xml:space="preserve">deve riconoscersi </w:t>
      </w:r>
      <w:r w:rsidR="002D28ED" w:rsidRPr="00D92823">
        <w:rPr>
          <w:rFonts w:ascii="Times New Roman" w:hAnsi="Times New Roman" w:cs="Times New Roman"/>
        </w:rPr>
        <w:t xml:space="preserve">non solo </w:t>
      </w:r>
      <w:r w:rsidR="002C71FA" w:rsidRPr="00D92823">
        <w:rPr>
          <w:rFonts w:ascii="Times New Roman" w:hAnsi="Times New Roman" w:cs="Times New Roman"/>
        </w:rPr>
        <w:t xml:space="preserve">a </w:t>
      </w:r>
      <w:r w:rsidR="00D17318" w:rsidRPr="00D92823">
        <w:rPr>
          <w:rFonts w:ascii="Times New Roman" w:hAnsi="Times New Roman" w:cs="Times New Roman"/>
        </w:rPr>
        <w:t xml:space="preserve">chi è tale </w:t>
      </w:r>
      <w:r w:rsidR="004317E8" w:rsidRPr="00D92823">
        <w:rPr>
          <w:rFonts w:ascii="Times New Roman" w:hAnsi="Times New Roman" w:cs="Times New Roman"/>
        </w:rPr>
        <w:t xml:space="preserve">secondo </w:t>
      </w:r>
      <w:r w:rsidR="00D17318" w:rsidRPr="00D92823">
        <w:rPr>
          <w:rFonts w:ascii="Times New Roman" w:hAnsi="Times New Roman" w:cs="Times New Roman"/>
        </w:rPr>
        <w:t xml:space="preserve">la nozione civilistica, ma anche </w:t>
      </w:r>
      <w:r w:rsidR="002C71FA" w:rsidRPr="00D92823">
        <w:rPr>
          <w:rFonts w:ascii="Times New Roman" w:hAnsi="Times New Roman" w:cs="Times New Roman"/>
        </w:rPr>
        <w:t>a</w:t>
      </w:r>
      <w:r w:rsidR="00D17318" w:rsidRPr="00D92823">
        <w:rPr>
          <w:rFonts w:ascii="Times New Roman" w:hAnsi="Times New Roman" w:cs="Times New Roman"/>
        </w:rPr>
        <w:t>l professionista che partecipa ad una gara pubblica per l’affidamento di un servizio di natura intellettuale</w:t>
      </w:r>
      <w:r w:rsidR="00241B51" w:rsidRPr="00D92823">
        <w:rPr>
          <w:rFonts w:ascii="Times New Roman" w:hAnsi="Times New Roman" w:cs="Times New Roman"/>
        </w:rPr>
        <w:t>; q</w:t>
      </w:r>
      <w:r w:rsidR="004317E8" w:rsidRPr="00D92823">
        <w:rPr>
          <w:rFonts w:ascii="Times New Roman" w:hAnsi="Times New Roman" w:cs="Times New Roman"/>
        </w:rPr>
        <w:t>uanto</w:t>
      </w:r>
      <w:r w:rsidR="008644AC" w:rsidRPr="00D92823">
        <w:rPr>
          <w:rFonts w:ascii="Times New Roman" w:hAnsi="Times New Roman" w:cs="Times New Roman"/>
        </w:rPr>
        <w:t>, poi,</w:t>
      </w:r>
      <w:r w:rsidR="004317E8" w:rsidRPr="00D92823">
        <w:rPr>
          <w:rFonts w:ascii="Times New Roman" w:hAnsi="Times New Roman" w:cs="Times New Roman"/>
        </w:rPr>
        <w:t xml:space="preserve"> a</w:t>
      </w:r>
      <w:r w:rsidR="00241B51" w:rsidRPr="00D92823">
        <w:rPr>
          <w:rFonts w:ascii="Times New Roman" w:hAnsi="Times New Roman" w:cs="Times New Roman"/>
        </w:rPr>
        <w:t>l</w:t>
      </w:r>
      <w:r w:rsidR="004317E8" w:rsidRPr="00D92823">
        <w:rPr>
          <w:rFonts w:ascii="Times New Roman" w:hAnsi="Times New Roman" w:cs="Times New Roman"/>
        </w:rPr>
        <w:t>l</w:t>
      </w:r>
      <w:r w:rsidR="00241B51" w:rsidRPr="00D92823">
        <w:rPr>
          <w:rFonts w:ascii="Times New Roman" w:hAnsi="Times New Roman" w:cs="Times New Roman"/>
        </w:rPr>
        <w:t>o specifico</w:t>
      </w:r>
      <w:r w:rsidR="004317E8" w:rsidRPr="00D92823">
        <w:rPr>
          <w:rFonts w:ascii="Times New Roman" w:hAnsi="Times New Roman" w:cs="Times New Roman"/>
        </w:rPr>
        <w:t xml:space="preserve"> settore legale</w:t>
      </w:r>
      <w:r w:rsidR="003A032B" w:rsidRPr="00D92823">
        <w:rPr>
          <w:rFonts w:ascii="Times New Roman" w:hAnsi="Times New Roman" w:cs="Times New Roman"/>
        </w:rPr>
        <w:t xml:space="preserve">, </w:t>
      </w:r>
      <w:r w:rsidR="00516689" w:rsidRPr="00D92823">
        <w:rPr>
          <w:rFonts w:ascii="Times New Roman" w:hAnsi="Times New Roman" w:cs="Times New Roman"/>
        </w:rPr>
        <w:t>l</w:t>
      </w:r>
      <w:r w:rsidR="00117CEF" w:rsidRPr="00D92823">
        <w:rPr>
          <w:rFonts w:ascii="Times New Roman" w:hAnsi="Times New Roman" w:cs="Times New Roman"/>
        </w:rPr>
        <w:t>’ampiezza della nozione di appalto di servizi abbracciata dal codice</w:t>
      </w:r>
      <w:r w:rsidR="002D28ED" w:rsidRPr="00D92823">
        <w:rPr>
          <w:rFonts w:ascii="Times New Roman" w:hAnsi="Times New Roman" w:cs="Times New Roman"/>
        </w:rPr>
        <w:t xml:space="preserve"> </w:t>
      </w:r>
      <w:r w:rsidR="003A032B" w:rsidRPr="00D92823">
        <w:rPr>
          <w:rFonts w:ascii="Times New Roman" w:hAnsi="Times New Roman" w:cs="Times New Roman"/>
        </w:rPr>
        <w:t>è</w:t>
      </w:r>
      <w:r w:rsidR="00516689" w:rsidRPr="00D92823">
        <w:rPr>
          <w:rFonts w:ascii="Times New Roman" w:hAnsi="Times New Roman" w:cs="Times New Roman"/>
        </w:rPr>
        <w:t xml:space="preserve"> tal</w:t>
      </w:r>
      <w:r w:rsidR="00117CEF" w:rsidRPr="00D92823">
        <w:rPr>
          <w:rFonts w:ascii="Times New Roman" w:hAnsi="Times New Roman" w:cs="Times New Roman"/>
        </w:rPr>
        <w:t xml:space="preserve">e </w:t>
      </w:r>
      <w:r w:rsidR="00516689" w:rsidRPr="00D92823">
        <w:rPr>
          <w:rFonts w:ascii="Times New Roman" w:hAnsi="Times New Roman" w:cs="Times New Roman"/>
        </w:rPr>
        <w:t>da</w:t>
      </w:r>
      <w:r w:rsidR="00C07FEA" w:rsidRPr="00D92823">
        <w:rPr>
          <w:rFonts w:ascii="Times New Roman" w:hAnsi="Times New Roman" w:cs="Times New Roman"/>
        </w:rPr>
        <w:t xml:space="preserve"> </w:t>
      </w:r>
      <w:r w:rsidR="003A032B" w:rsidRPr="00D92823">
        <w:rPr>
          <w:rFonts w:ascii="Times New Roman" w:hAnsi="Times New Roman" w:cs="Times New Roman"/>
        </w:rPr>
        <w:t>ri</w:t>
      </w:r>
      <w:r w:rsidR="00117CEF" w:rsidRPr="00D92823">
        <w:rPr>
          <w:rFonts w:ascii="Times New Roman" w:hAnsi="Times New Roman" w:cs="Times New Roman"/>
        </w:rPr>
        <w:t>compren</w:t>
      </w:r>
      <w:r w:rsidR="00C07FEA" w:rsidRPr="00D92823">
        <w:rPr>
          <w:rFonts w:ascii="Times New Roman" w:hAnsi="Times New Roman" w:cs="Times New Roman"/>
        </w:rPr>
        <w:t>dere</w:t>
      </w:r>
      <w:r w:rsidR="00117CEF" w:rsidRPr="00D92823">
        <w:rPr>
          <w:rFonts w:ascii="Times New Roman" w:hAnsi="Times New Roman" w:cs="Times New Roman"/>
        </w:rPr>
        <w:t xml:space="preserve"> </w:t>
      </w:r>
      <w:r w:rsidR="007C0266" w:rsidRPr="00D92823">
        <w:rPr>
          <w:rFonts w:ascii="Times New Roman" w:hAnsi="Times New Roman" w:cs="Times New Roman"/>
        </w:rPr>
        <w:t>tutti</w:t>
      </w:r>
      <w:r w:rsidR="00117CEF" w:rsidRPr="00D92823">
        <w:rPr>
          <w:rFonts w:ascii="Times New Roman" w:hAnsi="Times New Roman" w:cs="Times New Roman"/>
        </w:rPr>
        <w:t xml:space="preserve"> gli affidamenti </w:t>
      </w:r>
      <w:r w:rsidR="007C0266" w:rsidRPr="00D92823">
        <w:rPr>
          <w:rFonts w:ascii="Times New Roman" w:hAnsi="Times New Roman" w:cs="Times New Roman"/>
        </w:rPr>
        <w:t>pubblici</w:t>
      </w:r>
      <w:r w:rsidR="00117CEF" w:rsidRPr="00D92823">
        <w:rPr>
          <w:rFonts w:ascii="Times New Roman" w:hAnsi="Times New Roman" w:cs="Times New Roman"/>
        </w:rPr>
        <w:t xml:space="preserve">, </w:t>
      </w:r>
      <w:r w:rsidR="003A032B" w:rsidRPr="00D92823">
        <w:rPr>
          <w:rFonts w:ascii="Times New Roman" w:hAnsi="Times New Roman" w:cs="Times New Roman"/>
        </w:rPr>
        <w:t>senza distinzione alcuna tra il</w:t>
      </w:r>
      <w:r w:rsidR="00117CEF" w:rsidRPr="00D92823">
        <w:rPr>
          <w:rFonts w:ascii="Times New Roman" w:hAnsi="Times New Roman" w:cs="Times New Roman"/>
        </w:rPr>
        <w:t xml:space="preserve"> conferimento d</w:t>
      </w:r>
      <w:r w:rsidR="002D28ED" w:rsidRPr="00D92823">
        <w:rPr>
          <w:rFonts w:ascii="Times New Roman" w:hAnsi="Times New Roman" w:cs="Times New Roman"/>
        </w:rPr>
        <w:t>i un</w:t>
      </w:r>
      <w:r w:rsidR="00117CEF" w:rsidRPr="00D92823">
        <w:rPr>
          <w:rFonts w:ascii="Times New Roman" w:hAnsi="Times New Roman" w:cs="Times New Roman"/>
        </w:rPr>
        <w:t xml:space="preserve"> singolo incarico</w:t>
      </w:r>
      <w:r w:rsidR="003A032B" w:rsidRPr="00D92823">
        <w:rPr>
          <w:rFonts w:ascii="Times New Roman" w:hAnsi="Times New Roman" w:cs="Times New Roman"/>
        </w:rPr>
        <w:t xml:space="preserve"> e l’</w:t>
      </w:r>
      <w:r w:rsidR="00117CEF" w:rsidRPr="00D92823">
        <w:rPr>
          <w:rFonts w:ascii="Times New Roman" w:hAnsi="Times New Roman" w:cs="Times New Roman"/>
        </w:rPr>
        <w:t>attribuzione, in termini generali, di una consulenza-difesa dell’ente per un determinato periodo di tempo</w:t>
      </w:r>
      <w:r w:rsidR="00117CEF" w:rsidRPr="00D92823">
        <w:rPr>
          <w:rStyle w:val="Rimandonotaapidipagina"/>
          <w:rFonts w:ascii="Times New Roman" w:hAnsi="Times New Roman" w:cs="Times New Roman"/>
        </w:rPr>
        <w:footnoteReference w:id="3"/>
      </w:r>
      <w:r w:rsidR="00117CEF" w:rsidRPr="00D92823">
        <w:rPr>
          <w:rFonts w:ascii="Times New Roman" w:hAnsi="Times New Roman" w:cs="Times New Roman"/>
        </w:rPr>
        <w:t>.</w:t>
      </w:r>
    </w:p>
    <w:p w:rsidR="00117CEF" w:rsidRPr="00D92823" w:rsidRDefault="003A032B" w:rsidP="00D92823">
      <w:pPr>
        <w:ind w:left="567" w:right="140" w:firstLine="850"/>
        <w:jc w:val="both"/>
        <w:rPr>
          <w:rFonts w:ascii="Times New Roman" w:hAnsi="Times New Roman" w:cs="Times New Roman"/>
        </w:rPr>
      </w:pPr>
      <w:r w:rsidRPr="00D92823">
        <w:rPr>
          <w:rFonts w:ascii="Times New Roman" w:hAnsi="Times New Roman" w:cs="Times New Roman"/>
        </w:rPr>
        <w:t>Nel</w:t>
      </w:r>
      <w:r w:rsidR="002D28ED" w:rsidRPr="00D92823">
        <w:rPr>
          <w:rFonts w:ascii="Times New Roman" w:hAnsi="Times New Roman" w:cs="Times New Roman"/>
        </w:rPr>
        <w:t xml:space="preserve"> </w:t>
      </w:r>
      <w:r w:rsidR="00117CEF" w:rsidRPr="00D92823">
        <w:rPr>
          <w:rFonts w:ascii="Times New Roman" w:hAnsi="Times New Roman" w:cs="Times New Roman"/>
        </w:rPr>
        <w:t>riforma</w:t>
      </w:r>
      <w:r w:rsidRPr="00D92823">
        <w:rPr>
          <w:rFonts w:ascii="Times New Roman" w:hAnsi="Times New Roman" w:cs="Times New Roman"/>
        </w:rPr>
        <w:t>re</w:t>
      </w:r>
      <w:r w:rsidR="00117CEF" w:rsidRPr="00D92823">
        <w:rPr>
          <w:rFonts w:ascii="Times New Roman" w:hAnsi="Times New Roman" w:cs="Times New Roman"/>
        </w:rPr>
        <w:t xml:space="preserve"> </w:t>
      </w:r>
      <w:r w:rsidR="002D28ED" w:rsidRPr="00D92823">
        <w:rPr>
          <w:rFonts w:ascii="Times New Roman" w:hAnsi="Times New Roman" w:cs="Times New Roman"/>
        </w:rPr>
        <w:t xml:space="preserve">tale </w:t>
      </w:r>
      <w:r w:rsidR="004317E8" w:rsidRPr="00D92823">
        <w:rPr>
          <w:rFonts w:ascii="Times New Roman" w:hAnsi="Times New Roman" w:cs="Times New Roman"/>
        </w:rPr>
        <w:t xml:space="preserve">ultimo </w:t>
      </w:r>
      <w:r w:rsidR="002D28ED" w:rsidRPr="00D92823">
        <w:rPr>
          <w:rFonts w:ascii="Times New Roman" w:hAnsi="Times New Roman" w:cs="Times New Roman"/>
        </w:rPr>
        <w:t>arresto</w:t>
      </w:r>
      <w:r w:rsidR="00117CEF" w:rsidRPr="00D92823">
        <w:rPr>
          <w:rFonts w:ascii="Times New Roman" w:hAnsi="Times New Roman" w:cs="Times New Roman"/>
        </w:rPr>
        <w:t xml:space="preserve">, il giudice d’appello </w:t>
      </w:r>
      <w:r w:rsidR="00D77F39" w:rsidRPr="00D92823">
        <w:rPr>
          <w:rFonts w:ascii="Times New Roman" w:hAnsi="Times New Roman" w:cs="Times New Roman"/>
        </w:rPr>
        <w:t xml:space="preserve">ha </w:t>
      </w:r>
      <w:r w:rsidR="002D28ED" w:rsidRPr="00D92823">
        <w:rPr>
          <w:rFonts w:ascii="Times New Roman" w:hAnsi="Times New Roman" w:cs="Times New Roman"/>
        </w:rPr>
        <w:t xml:space="preserve">tenuto </w:t>
      </w:r>
      <w:r w:rsidR="00241B51" w:rsidRPr="00D92823">
        <w:rPr>
          <w:rFonts w:ascii="Times New Roman" w:hAnsi="Times New Roman" w:cs="Times New Roman"/>
        </w:rPr>
        <w:t>separ</w:t>
      </w:r>
      <w:r w:rsidR="00117CEF" w:rsidRPr="00D92823">
        <w:rPr>
          <w:rFonts w:ascii="Times New Roman" w:hAnsi="Times New Roman" w:cs="Times New Roman"/>
        </w:rPr>
        <w:t>a</w:t>
      </w:r>
      <w:r w:rsidRPr="00D92823">
        <w:rPr>
          <w:rFonts w:ascii="Times New Roman" w:hAnsi="Times New Roman" w:cs="Times New Roman"/>
        </w:rPr>
        <w:t>t</w:t>
      </w:r>
      <w:r w:rsidR="002D28ED" w:rsidRPr="00D92823">
        <w:rPr>
          <w:rFonts w:ascii="Times New Roman" w:hAnsi="Times New Roman" w:cs="Times New Roman"/>
        </w:rPr>
        <w:t>e</w:t>
      </w:r>
      <w:r w:rsidR="00D77F39" w:rsidRPr="00D92823">
        <w:rPr>
          <w:rFonts w:ascii="Times New Roman" w:hAnsi="Times New Roman" w:cs="Times New Roman"/>
        </w:rPr>
        <w:t xml:space="preserve"> </w:t>
      </w:r>
      <w:r w:rsidR="00516689" w:rsidRPr="00D92823">
        <w:rPr>
          <w:rFonts w:ascii="Times New Roman" w:hAnsi="Times New Roman" w:cs="Times New Roman"/>
        </w:rPr>
        <w:t>l</w:t>
      </w:r>
      <w:r w:rsidR="00D77F39" w:rsidRPr="00D92823">
        <w:rPr>
          <w:rFonts w:ascii="Times New Roman" w:hAnsi="Times New Roman" w:cs="Times New Roman"/>
        </w:rPr>
        <w:t>e</w:t>
      </w:r>
      <w:r w:rsidR="00241B51" w:rsidRPr="00D92823">
        <w:rPr>
          <w:rFonts w:ascii="Times New Roman" w:hAnsi="Times New Roman" w:cs="Times New Roman"/>
        </w:rPr>
        <w:t xml:space="preserve"> due</w:t>
      </w:r>
      <w:r w:rsidR="00D77F39" w:rsidRPr="00D92823">
        <w:rPr>
          <w:rFonts w:ascii="Times New Roman" w:hAnsi="Times New Roman" w:cs="Times New Roman"/>
        </w:rPr>
        <w:t xml:space="preserve"> fattispecie, specificando </w:t>
      </w:r>
      <w:r w:rsidR="00117CEF" w:rsidRPr="00D92823">
        <w:rPr>
          <w:rFonts w:ascii="Times New Roman" w:hAnsi="Times New Roman" w:cs="Times New Roman"/>
        </w:rPr>
        <w:t>c</w:t>
      </w:r>
      <w:r w:rsidR="004317E8" w:rsidRPr="00D92823">
        <w:rPr>
          <w:rFonts w:ascii="Times New Roman" w:hAnsi="Times New Roman" w:cs="Times New Roman"/>
        </w:rPr>
        <w:t>h</w:t>
      </w:r>
      <w:r w:rsidR="00117CEF" w:rsidRPr="00D92823">
        <w:rPr>
          <w:rFonts w:ascii="Times New Roman" w:hAnsi="Times New Roman" w:cs="Times New Roman"/>
        </w:rPr>
        <w:t>e</w:t>
      </w:r>
      <w:r w:rsidR="00D77F39" w:rsidRPr="00D92823">
        <w:rPr>
          <w:rFonts w:ascii="Times New Roman" w:hAnsi="Times New Roman" w:cs="Times New Roman"/>
        </w:rPr>
        <w:t xml:space="preserve"> il conferimento d</w:t>
      </w:r>
      <w:r w:rsidR="002D28ED" w:rsidRPr="00D92823">
        <w:rPr>
          <w:rFonts w:ascii="Times New Roman" w:hAnsi="Times New Roman" w:cs="Times New Roman"/>
        </w:rPr>
        <w:t>i un</w:t>
      </w:r>
      <w:r w:rsidR="00D77F39" w:rsidRPr="00D92823">
        <w:rPr>
          <w:rFonts w:ascii="Times New Roman" w:hAnsi="Times New Roman" w:cs="Times New Roman"/>
        </w:rPr>
        <w:t xml:space="preserve"> singolo incarico episodico, legato alla necessità contingente, non costituisc</w:t>
      </w:r>
      <w:r w:rsidR="004317E8" w:rsidRPr="00D92823">
        <w:rPr>
          <w:rFonts w:ascii="Times New Roman" w:hAnsi="Times New Roman" w:cs="Times New Roman"/>
        </w:rPr>
        <w:t>e</w:t>
      </w:r>
      <w:r w:rsidR="00516689" w:rsidRPr="00D92823">
        <w:rPr>
          <w:rFonts w:ascii="Times New Roman" w:hAnsi="Times New Roman" w:cs="Times New Roman"/>
        </w:rPr>
        <w:t xml:space="preserve"> </w:t>
      </w:r>
      <w:r w:rsidR="007C0266" w:rsidRPr="00D92823">
        <w:rPr>
          <w:rFonts w:ascii="Times New Roman" w:hAnsi="Times New Roman" w:cs="Times New Roman"/>
        </w:rPr>
        <w:t>“</w:t>
      </w:r>
      <w:r w:rsidR="00D77F39" w:rsidRPr="00D92823">
        <w:rPr>
          <w:rFonts w:ascii="Times New Roman" w:hAnsi="Times New Roman" w:cs="Times New Roman"/>
        </w:rPr>
        <w:t>appalto di servizi legali</w:t>
      </w:r>
      <w:r w:rsidR="007C0266" w:rsidRPr="00D92823">
        <w:rPr>
          <w:rFonts w:ascii="Times New Roman" w:hAnsi="Times New Roman" w:cs="Times New Roman"/>
        </w:rPr>
        <w:t>”</w:t>
      </w:r>
      <w:r w:rsidR="00D77F39" w:rsidRPr="00D92823">
        <w:rPr>
          <w:rFonts w:ascii="Times New Roman" w:hAnsi="Times New Roman" w:cs="Times New Roman"/>
        </w:rPr>
        <w:t>, ma integr</w:t>
      </w:r>
      <w:r w:rsidR="004317E8" w:rsidRPr="00D92823">
        <w:rPr>
          <w:rFonts w:ascii="Times New Roman" w:hAnsi="Times New Roman" w:cs="Times New Roman"/>
        </w:rPr>
        <w:t>a</w:t>
      </w:r>
      <w:r w:rsidR="00D77F39" w:rsidRPr="00D92823">
        <w:rPr>
          <w:rFonts w:ascii="Times New Roman" w:hAnsi="Times New Roman" w:cs="Times New Roman"/>
        </w:rPr>
        <w:t xml:space="preserve"> </w:t>
      </w:r>
      <w:r w:rsidR="002D28ED" w:rsidRPr="00D92823">
        <w:rPr>
          <w:rFonts w:ascii="Times New Roman" w:hAnsi="Times New Roman" w:cs="Times New Roman"/>
        </w:rPr>
        <w:t xml:space="preserve">un </w:t>
      </w:r>
      <w:r w:rsidR="007C0266" w:rsidRPr="00D92823">
        <w:rPr>
          <w:rFonts w:ascii="Times New Roman" w:hAnsi="Times New Roman" w:cs="Times New Roman"/>
        </w:rPr>
        <w:t>“</w:t>
      </w:r>
      <w:r w:rsidR="00D77F39" w:rsidRPr="00D92823">
        <w:rPr>
          <w:rFonts w:ascii="Times New Roman" w:hAnsi="Times New Roman" w:cs="Times New Roman"/>
        </w:rPr>
        <w:t>contatto d’opera intellettuale</w:t>
      </w:r>
      <w:r w:rsidR="007C0266" w:rsidRPr="00D92823">
        <w:rPr>
          <w:rFonts w:ascii="Times New Roman" w:hAnsi="Times New Roman" w:cs="Times New Roman"/>
        </w:rPr>
        <w:t>”</w:t>
      </w:r>
      <w:r w:rsidR="00D77F39" w:rsidRPr="00D92823">
        <w:rPr>
          <w:rFonts w:ascii="Times New Roman" w:hAnsi="Times New Roman" w:cs="Times New Roman"/>
        </w:rPr>
        <w:t xml:space="preserve">, che esula dalla disciplina </w:t>
      </w:r>
      <w:r w:rsidR="007C0266" w:rsidRPr="00D92823">
        <w:rPr>
          <w:rFonts w:ascii="Times New Roman" w:hAnsi="Times New Roman" w:cs="Times New Roman"/>
        </w:rPr>
        <w:t>de</w:t>
      </w:r>
      <w:r w:rsidR="00516689" w:rsidRPr="00D92823">
        <w:rPr>
          <w:rFonts w:ascii="Times New Roman" w:hAnsi="Times New Roman" w:cs="Times New Roman"/>
        </w:rPr>
        <w:t>ll’</w:t>
      </w:r>
      <w:r w:rsidR="00D77F39" w:rsidRPr="00D92823">
        <w:rPr>
          <w:rFonts w:ascii="Times New Roman" w:hAnsi="Times New Roman" w:cs="Times New Roman"/>
        </w:rPr>
        <w:t>evidenza pubblica</w:t>
      </w:r>
      <w:r w:rsidR="00117CEF" w:rsidRPr="00D92823">
        <w:rPr>
          <w:rFonts w:ascii="Times New Roman" w:hAnsi="Times New Roman" w:cs="Times New Roman"/>
        </w:rPr>
        <w:t>, diversamente dall’incarico di consulenza e di assistenza a contenuto complesso, inserito in un quadro articolato di attività professionali organizzate sulla base dei bisogni dell’ente.</w:t>
      </w:r>
    </w:p>
    <w:p w:rsidR="00D027BB" w:rsidRPr="00D92823" w:rsidRDefault="0082559D" w:rsidP="00D92823">
      <w:pPr>
        <w:ind w:left="567" w:right="140" w:firstLine="850"/>
        <w:jc w:val="both"/>
        <w:rPr>
          <w:rFonts w:ascii="Times New Roman" w:hAnsi="Times New Roman" w:cs="Times New Roman"/>
        </w:rPr>
      </w:pPr>
      <w:r w:rsidRPr="00D92823">
        <w:rPr>
          <w:rFonts w:ascii="Times New Roman" w:hAnsi="Times New Roman" w:cs="Times New Roman"/>
        </w:rPr>
        <w:t xml:space="preserve">Ma, sulla problematica </w:t>
      </w:r>
      <w:r w:rsidR="004317E8" w:rsidRPr="00D92823">
        <w:rPr>
          <w:rFonts w:ascii="Times New Roman" w:hAnsi="Times New Roman" w:cs="Times New Roman"/>
        </w:rPr>
        <w:t>fondamentale</w:t>
      </w:r>
      <w:r w:rsidR="00C07FEA" w:rsidRPr="00D92823">
        <w:rPr>
          <w:rFonts w:ascii="Times New Roman" w:hAnsi="Times New Roman" w:cs="Times New Roman"/>
        </w:rPr>
        <w:t xml:space="preserve">, </w:t>
      </w:r>
      <w:r w:rsidR="00516689" w:rsidRPr="00D92823">
        <w:rPr>
          <w:rFonts w:ascii="Times New Roman" w:hAnsi="Times New Roman" w:cs="Times New Roman"/>
        </w:rPr>
        <w:t xml:space="preserve">il Consiglio di Stato ha </w:t>
      </w:r>
      <w:r w:rsidR="004317E8" w:rsidRPr="00D92823">
        <w:rPr>
          <w:rFonts w:ascii="Times New Roman" w:hAnsi="Times New Roman" w:cs="Times New Roman"/>
        </w:rPr>
        <w:t>ribadito</w:t>
      </w:r>
      <w:r w:rsidR="00516689" w:rsidRPr="00D92823">
        <w:rPr>
          <w:rFonts w:ascii="Times New Roman" w:hAnsi="Times New Roman" w:cs="Times New Roman"/>
        </w:rPr>
        <w:t xml:space="preserve"> che la prestazione </w:t>
      </w:r>
      <w:r w:rsidR="00D100C2" w:rsidRPr="00D92823">
        <w:rPr>
          <w:rFonts w:ascii="Times New Roman" w:hAnsi="Times New Roman" w:cs="Times New Roman"/>
        </w:rPr>
        <w:t>intellettuale</w:t>
      </w:r>
      <w:r w:rsidR="003A032B" w:rsidRPr="00D92823">
        <w:rPr>
          <w:rFonts w:ascii="Times New Roman" w:hAnsi="Times New Roman" w:cs="Times New Roman"/>
        </w:rPr>
        <w:t>, quando è</w:t>
      </w:r>
      <w:r w:rsidR="00D100C2" w:rsidRPr="00D92823">
        <w:rPr>
          <w:rFonts w:ascii="Times New Roman" w:hAnsi="Times New Roman" w:cs="Times New Roman"/>
        </w:rPr>
        <w:t xml:space="preserve"> </w:t>
      </w:r>
      <w:r w:rsidR="00516689" w:rsidRPr="00D92823">
        <w:rPr>
          <w:rFonts w:ascii="Times New Roman" w:hAnsi="Times New Roman" w:cs="Times New Roman"/>
        </w:rPr>
        <w:t>qualifica</w:t>
      </w:r>
      <w:r w:rsidR="003A032B" w:rsidRPr="00D92823">
        <w:rPr>
          <w:rFonts w:ascii="Times New Roman" w:hAnsi="Times New Roman" w:cs="Times New Roman"/>
        </w:rPr>
        <w:t>ta</w:t>
      </w:r>
      <w:r w:rsidR="00516689" w:rsidRPr="00D92823">
        <w:rPr>
          <w:rFonts w:ascii="Times New Roman" w:hAnsi="Times New Roman" w:cs="Times New Roman"/>
        </w:rPr>
        <w:t xml:space="preserve"> </w:t>
      </w:r>
      <w:r w:rsidR="008644AC" w:rsidRPr="00D92823">
        <w:rPr>
          <w:rFonts w:ascii="Times New Roman" w:hAnsi="Times New Roman" w:cs="Times New Roman"/>
        </w:rPr>
        <w:t xml:space="preserve">dalla legge </w:t>
      </w:r>
      <w:r w:rsidR="00516689" w:rsidRPr="00D92823">
        <w:rPr>
          <w:rFonts w:ascii="Times New Roman" w:hAnsi="Times New Roman" w:cs="Times New Roman"/>
        </w:rPr>
        <w:t>come</w:t>
      </w:r>
      <w:r w:rsidR="00D77F39" w:rsidRPr="00D92823">
        <w:rPr>
          <w:rFonts w:ascii="Times New Roman" w:hAnsi="Times New Roman" w:cs="Times New Roman"/>
        </w:rPr>
        <w:t xml:space="preserve"> </w:t>
      </w:r>
      <w:r w:rsidR="00C07FEA" w:rsidRPr="00D92823">
        <w:rPr>
          <w:rFonts w:ascii="Times New Roman" w:hAnsi="Times New Roman" w:cs="Times New Roman"/>
        </w:rPr>
        <w:t>“</w:t>
      </w:r>
      <w:r w:rsidR="00D77F39" w:rsidRPr="00D92823">
        <w:rPr>
          <w:rFonts w:ascii="Times New Roman" w:hAnsi="Times New Roman" w:cs="Times New Roman"/>
        </w:rPr>
        <w:t>servizi</w:t>
      </w:r>
      <w:r w:rsidR="00516689" w:rsidRPr="00D92823">
        <w:rPr>
          <w:rFonts w:ascii="Times New Roman" w:hAnsi="Times New Roman" w:cs="Times New Roman"/>
        </w:rPr>
        <w:t>o</w:t>
      </w:r>
      <w:r w:rsidR="00C07FEA" w:rsidRPr="00D92823">
        <w:rPr>
          <w:rFonts w:ascii="Times New Roman" w:hAnsi="Times New Roman" w:cs="Times New Roman"/>
        </w:rPr>
        <w:t>”</w:t>
      </w:r>
      <w:r w:rsidR="003A032B" w:rsidRPr="00D92823">
        <w:rPr>
          <w:rFonts w:ascii="Times New Roman" w:hAnsi="Times New Roman" w:cs="Times New Roman"/>
        </w:rPr>
        <w:t>,</w:t>
      </w:r>
      <w:r w:rsidR="00D100C2" w:rsidRPr="00D92823">
        <w:rPr>
          <w:rFonts w:ascii="Times New Roman" w:hAnsi="Times New Roman" w:cs="Times New Roman"/>
        </w:rPr>
        <w:t xml:space="preserve"> </w:t>
      </w:r>
      <w:r w:rsidRPr="00D92823">
        <w:rPr>
          <w:rFonts w:ascii="Times New Roman" w:hAnsi="Times New Roman" w:cs="Times New Roman"/>
        </w:rPr>
        <w:t>costituisce</w:t>
      </w:r>
      <w:r w:rsidR="00D027BB" w:rsidRPr="00D92823">
        <w:rPr>
          <w:rFonts w:ascii="Times New Roman" w:hAnsi="Times New Roman" w:cs="Times New Roman"/>
        </w:rPr>
        <w:t xml:space="preserve"> </w:t>
      </w:r>
      <w:r w:rsidR="003A032B" w:rsidRPr="00D92823">
        <w:rPr>
          <w:rFonts w:ascii="Times New Roman" w:hAnsi="Times New Roman" w:cs="Times New Roman"/>
        </w:rPr>
        <w:t>l’</w:t>
      </w:r>
      <w:r w:rsidRPr="00D92823">
        <w:rPr>
          <w:rFonts w:ascii="Times New Roman" w:hAnsi="Times New Roman" w:cs="Times New Roman"/>
        </w:rPr>
        <w:t>oggetto di un</w:t>
      </w:r>
      <w:r w:rsidR="00D77F39" w:rsidRPr="00D92823">
        <w:rPr>
          <w:rFonts w:ascii="Times New Roman" w:hAnsi="Times New Roman" w:cs="Times New Roman"/>
        </w:rPr>
        <w:t xml:space="preserve"> contratto di appalto</w:t>
      </w:r>
      <w:r w:rsidR="00206353" w:rsidRPr="00D92823">
        <w:rPr>
          <w:rFonts w:ascii="Times New Roman" w:hAnsi="Times New Roman" w:cs="Times New Roman"/>
        </w:rPr>
        <w:t xml:space="preserve"> –</w:t>
      </w:r>
      <w:r w:rsidR="00D77F39" w:rsidRPr="00D92823">
        <w:rPr>
          <w:rFonts w:ascii="Times New Roman" w:hAnsi="Times New Roman" w:cs="Times New Roman"/>
        </w:rPr>
        <w:t xml:space="preserve"> caratterizzato</w:t>
      </w:r>
      <w:r w:rsidR="00D100C2" w:rsidRPr="00D92823">
        <w:rPr>
          <w:rFonts w:ascii="Times New Roman" w:hAnsi="Times New Roman" w:cs="Times New Roman"/>
        </w:rPr>
        <w:t>, sotto il profilo dell’organizzazione,</w:t>
      </w:r>
      <w:r w:rsidR="00D77F39" w:rsidRPr="00D92823">
        <w:rPr>
          <w:rFonts w:ascii="Times New Roman" w:hAnsi="Times New Roman" w:cs="Times New Roman"/>
        </w:rPr>
        <w:t xml:space="preserve"> da un </w:t>
      </w:r>
      <w:r w:rsidR="00D77F39" w:rsidRPr="00D92823">
        <w:rPr>
          <w:rFonts w:ascii="Times New Roman" w:hAnsi="Times New Roman" w:cs="Times New Roman"/>
          <w:i/>
        </w:rPr>
        <w:t xml:space="preserve">quid </w:t>
      </w:r>
      <w:proofErr w:type="spellStart"/>
      <w:r w:rsidR="00D77F39" w:rsidRPr="00D92823">
        <w:rPr>
          <w:rFonts w:ascii="Times New Roman" w:hAnsi="Times New Roman" w:cs="Times New Roman"/>
          <w:i/>
        </w:rPr>
        <w:t>pluris</w:t>
      </w:r>
      <w:proofErr w:type="spellEnd"/>
      <w:r w:rsidR="00D100C2" w:rsidRPr="00D92823">
        <w:rPr>
          <w:rFonts w:ascii="Times New Roman" w:hAnsi="Times New Roman" w:cs="Times New Roman"/>
          <w:i/>
        </w:rPr>
        <w:t xml:space="preserve"> </w:t>
      </w:r>
      <w:r w:rsidR="00D77F39" w:rsidRPr="00D92823">
        <w:rPr>
          <w:rFonts w:ascii="Times New Roman" w:hAnsi="Times New Roman" w:cs="Times New Roman"/>
        </w:rPr>
        <w:t>d</w:t>
      </w:r>
      <w:r w:rsidR="00D100C2" w:rsidRPr="00D92823">
        <w:rPr>
          <w:rFonts w:ascii="Times New Roman" w:hAnsi="Times New Roman" w:cs="Times New Roman"/>
        </w:rPr>
        <w:t>i</w:t>
      </w:r>
      <w:r w:rsidR="00D77F39" w:rsidRPr="00D92823">
        <w:rPr>
          <w:rFonts w:ascii="Times New Roman" w:hAnsi="Times New Roman" w:cs="Times New Roman"/>
        </w:rPr>
        <w:t xml:space="preserve"> continuità e complessità</w:t>
      </w:r>
      <w:r w:rsidR="00206353" w:rsidRPr="00D92823">
        <w:rPr>
          <w:rFonts w:ascii="Times New Roman" w:hAnsi="Times New Roman" w:cs="Times New Roman"/>
        </w:rPr>
        <w:t xml:space="preserve"> –</w:t>
      </w:r>
      <w:r w:rsidR="00D77F39" w:rsidRPr="00D92823">
        <w:rPr>
          <w:rFonts w:ascii="Times New Roman" w:hAnsi="Times New Roman" w:cs="Times New Roman"/>
        </w:rPr>
        <w:t xml:space="preserve"> e non </w:t>
      </w:r>
      <w:r w:rsidRPr="00D92823">
        <w:rPr>
          <w:rFonts w:ascii="Times New Roman" w:hAnsi="Times New Roman" w:cs="Times New Roman"/>
        </w:rPr>
        <w:t>di un</w:t>
      </w:r>
      <w:r w:rsidR="00D77F39" w:rsidRPr="00D92823">
        <w:rPr>
          <w:rFonts w:ascii="Times New Roman" w:hAnsi="Times New Roman" w:cs="Times New Roman"/>
        </w:rPr>
        <w:t xml:space="preserve"> </w:t>
      </w:r>
      <w:r w:rsidR="00D027BB" w:rsidRPr="00D92823">
        <w:rPr>
          <w:rFonts w:ascii="Times New Roman" w:hAnsi="Times New Roman" w:cs="Times New Roman"/>
        </w:rPr>
        <w:t>con</w:t>
      </w:r>
      <w:r w:rsidR="002D28ED" w:rsidRPr="00D92823">
        <w:rPr>
          <w:rFonts w:ascii="Times New Roman" w:hAnsi="Times New Roman" w:cs="Times New Roman"/>
        </w:rPr>
        <w:t>trat</w:t>
      </w:r>
      <w:r w:rsidR="00D027BB" w:rsidRPr="00D92823">
        <w:rPr>
          <w:rFonts w:ascii="Times New Roman" w:hAnsi="Times New Roman" w:cs="Times New Roman"/>
        </w:rPr>
        <w:t>to d’</w:t>
      </w:r>
      <w:r w:rsidR="00D77F39" w:rsidRPr="00D92823">
        <w:rPr>
          <w:rFonts w:ascii="Times New Roman" w:hAnsi="Times New Roman" w:cs="Times New Roman"/>
        </w:rPr>
        <w:t>opera intellettuale,</w:t>
      </w:r>
      <w:r w:rsidR="00D100C2" w:rsidRPr="00D92823">
        <w:rPr>
          <w:rFonts w:ascii="Times New Roman" w:hAnsi="Times New Roman" w:cs="Times New Roman"/>
        </w:rPr>
        <w:t xml:space="preserve"> </w:t>
      </w:r>
      <w:r w:rsidRPr="00D92823">
        <w:rPr>
          <w:rFonts w:ascii="Times New Roman" w:hAnsi="Times New Roman" w:cs="Times New Roman"/>
        </w:rPr>
        <w:t>quale</w:t>
      </w:r>
      <w:r w:rsidR="00D77F39" w:rsidRPr="00D92823">
        <w:rPr>
          <w:rFonts w:ascii="Times New Roman" w:hAnsi="Times New Roman" w:cs="Times New Roman"/>
        </w:rPr>
        <w:t xml:space="preserve"> </w:t>
      </w:r>
      <w:proofErr w:type="spellStart"/>
      <w:r w:rsidR="00D77F39" w:rsidRPr="00D92823">
        <w:rPr>
          <w:rFonts w:ascii="Times New Roman" w:hAnsi="Times New Roman" w:cs="Times New Roman"/>
          <w:i/>
        </w:rPr>
        <w:t>species</w:t>
      </w:r>
      <w:proofErr w:type="spellEnd"/>
      <w:r w:rsidR="00D77F39" w:rsidRPr="00D92823">
        <w:rPr>
          <w:rFonts w:ascii="Times New Roman" w:hAnsi="Times New Roman" w:cs="Times New Roman"/>
        </w:rPr>
        <w:t xml:space="preserve"> del </w:t>
      </w:r>
      <w:proofErr w:type="spellStart"/>
      <w:r w:rsidR="00D77F39" w:rsidRPr="00D92823">
        <w:rPr>
          <w:rFonts w:ascii="Times New Roman" w:hAnsi="Times New Roman" w:cs="Times New Roman"/>
          <w:i/>
        </w:rPr>
        <w:t>genus</w:t>
      </w:r>
      <w:proofErr w:type="spellEnd"/>
      <w:r w:rsidR="00D77F39" w:rsidRPr="00D92823">
        <w:rPr>
          <w:rFonts w:ascii="Times New Roman" w:hAnsi="Times New Roman" w:cs="Times New Roman"/>
        </w:rPr>
        <w:t xml:space="preserve"> </w:t>
      </w:r>
      <w:r w:rsidR="00206353" w:rsidRPr="00D92823">
        <w:rPr>
          <w:rFonts w:ascii="Times New Roman" w:hAnsi="Times New Roman" w:cs="Times New Roman"/>
        </w:rPr>
        <w:t>“</w:t>
      </w:r>
      <w:r w:rsidR="00D77F39" w:rsidRPr="00D92823">
        <w:rPr>
          <w:rFonts w:ascii="Times New Roman" w:hAnsi="Times New Roman" w:cs="Times New Roman"/>
        </w:rPr>
        <w:t>contratto di lavoro autonomo</w:t>
      </w:r>
      <w:r w:rsidR="00206353" w:rsidRPr="00D92823">
        <w:rPr>
          <w:rFonts w:ascii="Times New Roman" w:hAnsi="Times New Roman" w:cs="Times New Roman"/>
        </w:rPr>
        <w:t>”</w:t>
      </w:r>
      <w:r w:rsidR="00D100C2" w:rsidRPr="00D92823">
        <w:rPr>
          <w:rFonts w:ascii="Times New Roman" w:hAnsi="Times New Roman" w:cs="Times New Roman"/>
        </w:rPr>
        <w:t>.</w:t>
      </w:r>
    </w:p>
    <w:p w:rsidR="00D17318" w:rsidRPr="00D92823" w:rsidRDefault="003A032B" w:rsidP="00D92823">
      <w:pPr>
        <w:ind w:left="567" w:right="140" w:firstLine="850"/>
        <w:jc w:val="both"/>
        <w:rPr>
          <w:rFonts w:ascii="Times New Roman" w:hAnsi="Times New Roman" w:cs="Times New Roman"/>
        </w:rPr>
      </w:pPr>
      <w:r w:rsidRPr="00D92823">
        <w:rPr>
          <w:rFonts w:ascii="Times New Roman" w:hAnsi="Times New Roman" w:cs="Times New Roman"/>
        </w:rPr>
        <w:t>Più i</w:t>
      </w:r>
      <w:r w:rsidR="00D027BB" w:rsidRPr="00D92823">
        <w:rPr>
          <w:rFonts w:ascii="Times New Roman" w:hAnsi="Times New Roman" w:cs="Times New Roman"/>
        </w:rPr>
        <w:t>n particolare,</w:t>
      </w:r>
      <w:r w:rsidRPr="00D92823">
        <w:rPr>
          <w:rFonts w:ascii="Times New Roman" w:hAnsi="Times New Roman" w:cs="Times New Roman"/>
        </w:rPr>
        <w:t xml:space="preserve"> </w:t>
      </w:r>
      <w:r w:rsidR="008644AC" w:rsidRPr="00D92823">
        <w:rPr>
          <w:rFonts w:ascii="Times New Roman" w:hAnsi="Times New Roman" w:cs="Times New Roman"/>
        </w:rPr>
        <w:t>ha</w:t>
      </w:r>
      <w:r w:rsidRPr="00D92823">
        <w:rPr>
          <w:rFonts w:ascii="Times New Roman" w:hAnsi="Times New Roman" w:cs="Times New Roman"/>
        </w:rPr>
        <w:t xml:space="preserve"> affermato che</w:t>
      </w:r>
      <w:r w:rsidR="00D77F39" w:rsidRPr="00D92823">
        <w:rPr>
          <w:rFonts w:ascii="Times New Roman" w:hAnsi="Times New Roman" w:cs="Times New Roman"/>
        </w:rPr>
        <w:t xml:space="preserve"> «il servizio legale, per essere oggetto di appalto, richiede un elemento di specialità, per prestazione e per modalità organizzativa, rispetto alla mera prestazione di patrocinio legale. L’affidamento di servizi legali è, a questa stregua, configurabile allorquando l’oggetto del servizio non si esaurisca nel patrocinio legale a favore dell’ente, ma si configuri quale modalità organizzativa di un servizio, affidato a professionisti esterni, più complesso e articolato, che può anche comprendere la difesa giudiziale ma in essa non si esaurisce»</w:t>
      </w:r>
      <w:r w:rsidR="00D77F39" w:rsidRPr="00D92823">
        <w:rPr>
          <w:rStyle w:val="Rimandonotaapidipagina"/>
          <w:rFonts w:ascii="Times New Roman" w:hAnsi="Times New Roman" w:cs="Times New Roman"/>
        </w:rPr>
        <w:footnoteReference w:id="4"/>
      </w:r>
      <w:r w:rsidR="00D17318" w:rsidRPr="00D92823">
        <w:rPr>
          <w:rFonts w:ascii="Times New Roman" w:hAnsi="Times New Roman" w:cs="Times New Roman"/>
        </w:rPr>
        <w:t>.</w:t>
      </w:r>
    </w:p>
    <w:p w:rsidR="00EF38A7" w:rsidRPr="00D92823" w:rsidRDefault="00360291" w:rsidP="00D92823">
      <w:pPr>
        <w:ind w:left="567" w:right="140" w:firstLine="850"/>
        <w:jc w:val="both"/>
        <w:rPr>
          <w:rFonts w:ascii="Times New Roman" w:hAnsi="Times New Roman" w:cs="Times New Roman"/>
        </w:rPr>
      </w:pPr>
      <w:r w:rsidRPr="00D92823">
        <w:rPr>
          <w:rFonts w:ascii="Times New Roman" w:hAnsi="Times New Roman" w:cs="Times New Roman"/>
        </w:rPr>
        <w:t>E d</w:t>
      </w:r>
      <w:r w:rsidR="00EF38A7" w:rsidRPr="00D92823">
        <w:rPr>
          <w:rFonts w:ascii="Times New Roman" w:hAnsi="Times New Roman" w:cs="Times New Roman"/>
        </w:rPr>
        <w:t>ella stessa opinione è la Corte dei conti, secondo cui «</w:t>
      </w:r>
      <w:r w:rsidR="001357E6" w:rsidRPr="00D92823">
        <w:rPr>
          <w:rFonts w:ascii="Times New Roman" w:hAnsi="Times New Roman" w:cs="Times New Roman"/>
        </w:rPr>
        <w:t>il confine fra contratto d’opera intellettuale e contratto d’appalto, sul piano civilistico individuabile in base al carattere intellettuale delle prestazioni oggetto del primo e in base al carattere imprenditoriale del soggetto esecutore del secondo, sfuma in relazione alla disciplina dei contratti pubblici</w:t>
      </w:r>
      <w:r w:rsidR="00EE5054" w:rsidRPr="00D92823">
        <w:rPr>
          <w:rFonts w:ascii="Times New Roman" w:hAnsi="Times New Roman" w:cs="Times New Roman"/>
        </w:rPr>
        <w:t>…</w:t>
      </w:r>
      <w:r w:rsidR="001357E6" w:rsidRPr="00D92823">
        <w:rPr>
          <w:rFonts w:ascii="Times New Roman" w:hAnsi="Times New Roman" w:cs="Times New Roman"/>
        </w:rPr>
        <w:t xml:space="preserve"> </w:t>
      </w:r>
      <w:r w:rsidR="00EE5054" w:rsidRPr="00D92823">
        <w:rPr>
          <w:rFonts w:ascii="Times New Roman" w:hAnsi="Times New Roman" w:cs="Times New Roman"/>
        </w:rPr>
        <w:t>[che] adotta quindi una nozione ampia di appalto di servizi che comprende, dal punto di vista soggettivo, anche l’attività del professionista</w:t>
      </w:r>
      <w:r w:rsidR="00EF38A7" w:rsidRPr="00D92823">
        <w:rPr>
          <w:rFonts w:ascii="Times New Roman" w:hAnsi="Times New Roman" w:cs="Times New Roman"/>
        </w:rPr>
        <w:t>»</w:t>
      </w:r>
      <w:r w:rsidR="00EF38A7" w:rsidRPr="00D92823">
        <w:rPr>
          <w:rStyle w:val="Rimandonotaapidipagina"/>
          <w:rFonts w:ascii="Times New Roman" w:hAnsi="Times New Roman" w:cs="Times New Roman"/>
        </w:rPr>
        <w:footnoteReference w:id="5"/>
      </w:r>
      <w:r w:rsidR="00EF38A7" w:rsidRPr="00D92823">
        <w:rPr>
          <w:rFonts w:ascii="Times New Roman" w:hAnsi="Times New Roman" w:cs="Times New Roman"/>
        </w:rPr>
        <w:t>.</w:t>
      </w:r>
    </w:p>
    <w:p w:rsidR="00572F60" w:rsidRPr="00D92823" w:rsidRDefault="00A501FB" w:rsidP="00D92823">
      <w:pPr>
        <w:ind w:left="567" w:right="140" w:firstLine="850"/>
        <w:jc w:val="both"/>
        <w:rPr>
          <w:rFonts w:ascii="Times New Roman" w:hAnsi="Times New Roman" w:cs="Times New Roman"/>
        </w:rPr>
      </w:pPr>
      <w:r w:rsidRPr="00D92823">
        <w:rPr>
          <w:rFonts w:ascii="Times New Roman" w:hAnsi="Times New Roman" w:cs="Times New Roman"/>
        </w:rPr>
        <w:lastRenderedPageBreak/>
        <w:t xml:space="preserve">D’altro canto, </w:t>
      </w:r>
      <w:r w:rsidR="00BD3376" w:rsidRPr="00D92823">
        <w:rPr>
          <w:rFonts w:ascii="Times New Roman" w:hAnsi="Times New Roman" w:cs="Times New Roman"/>
        </w:rPr>
        <w:t>ai fini fiscali,</w:t>
      </w:r>
      <w:r w:rsidRPr="00D92823">
        <w:rPr>
          <w:rFonts w:ascii="Times New Roman" w:hAnsi="Times New Roman" w:cs="Times New Roman"/>
        </w:rPr>
        <w:t xml:space="preserve"> </w:t>
      </w:r>
      <w:r w:rsidR="00572F60" w:rsidRPr="00D92823">
        <w:rPr>
          <w:rFonts w:ascii="Times New Roman" w:hAnsi="Times New Roman" w:cs="Times New Roman"/>
        </w:rPr>
        <w:t>gli introiti prodotti dalle società di avvocati di cui all’art. 4-</w:t>
      </w:r>
      <w:r w:rsidR="00572F60" w:rsidRPr="00D92823">
        <w:rPr>
          <w:rFonts w:ascii="Times New Roman" w:hAnsi="Times New Roman" w:cs="Times New Roman"/>
          <w:i/>
        </w:rPr>
        <w:t>bis</w:t>
      </w:r>
      <w:r w:rsidR="00572F60" w:rsidRPr="00D92823">
        <w:rPr>
          <w:rFonts w:ascii="Times New Roman" w:hAnsi="Times New Roman" w:cs="Times New Roman"/>
        </w:rPr>
        <w:t xml:space="preserve"> della legge 31 dicembre 2012 n. 247, costituiscono reddito d’impresa e non reddito da lavoro autonomo</w:t>
      </w:r>
      <w:r w:rsidR="00572F60" w:rsidRPr="00D92823">
        <w:rPr>
          <w:rStyle w:val="Rimandonotaapidipagina"/>
          <w:rFonts w:ascii="Times New Roman" w:hAnsi="Times New Roman" w:cs="Times New Roman"/>
        </w:rPr>
        <w:footnoteReference w:id="6"/>
      </w:r>
      <w:r w:rsidR="00572F60" w:rsidRPr="00D92823">
        <w:rPr>
          <w:rFonts w:ascii="Times New Roman" w:hAnsi="Times New Roman" w:cs="Times New Roman"/>
        </w:rPr>
        <w:t>.</w:t>
      </w:r>
    </w:p>
    <w:p w:rsidR="00A501FB" w:rsidRPr="00D92823" w:rsidRDefault="00572F60" w:rsidP="00D92823">
      <w:pPr>
        <w:ind w:left="567" w:right="140" w:firstLine="850"/>
        <w:jc w:val="both"/>
        <w:rPr>
          <w:rFonts w:ascii="Times New Roman" w:hAnsi="Times New Roman" w:cs="Times New Roman"/>
        </w:rPr>
      </w:pPr>
      <w:r w:rsidRPr="00D92823">
        <w:rPr>
          <w:rFonts w:ascii="Times New Roman" w:hAnsi="Times New Roman" w:cs="Times New Roman"/>
        </w:rPr>
        <w:t>Ciò in quanto</w:t>
      </w:r>
      <w:r w:rsidR="00684848" w:rsidRPr="00D92823">
        <w:rPr>
          <w:rFonts w:ascii="Times New Roman" w:hAnsi="Times New Roman" w:cs="Times New Roman"/>
        </w:rPr>
        <w:t>,</w:t>
      </w:r>
      <w:r w:rsidRPr="00D92823">
        <w:rPr>
          <w:rFonts w:ascii="Times New Roman" w:hAnsi="Times New Roman" w:cs="Times New Roman"/>
        </w:rPr>
        <w:t xml:space="preserve"> l’esercizio della professione forense svolta in forma societaria costituisce attività d’impresa, risultando </w:t>
      </w:r>
      <w:r w:rsidR="00684848" w:rsidRPr="00D92823">
        <w:rPr>
          <w:rFonts w:ascii="Times New Roman" w:hAnsi="Times New Roman" w:cs="Times New Roman"/>
        </w:rPr>
        <w:t>«</w:t>
      </w:r>
      <w:r w:rsidRPr="00D92823">
        <w:rPr>
          <w:rFonts w:ascii="Times New Roman" w:hAnsi="Times New Roman" w:cs="Times New Roman"/>
        </w:rPr>
        <w:t>determinante il fatto di operare in una veste giuridica societaria, piuttosto che lo svolgimento di un’attività professionale</w:t>
      </w:r>
      <w:r w:rsidR="00684848" w:rsidRPr="00D92823">
        <w:rPr>
          <w:rFonts w:ascii="Times New Roman" w:hAnsi="Times New Roman" w:cs="Times New Roman"/>
        </w:rPr>
        <w:t>» e</w:t>
      </w:r>
      <w:r w:rsidRPr="00D92823">
        <w:rPr>
          <w:rFonts w:ascii="Times New Roman" w:hAnsi="Times New Roman" w:cs="Times New Roman"/>
        </w:rPr>
        <w:t xml:space="preserve"> sembrando «difficile valorizzare l’elemento oggettivo della professione forense esercitata</w:t>
      </w:r>
      <w:r w:rsidR="00684848" w:rsidRPr="00D92823">
        <w:rPr>
          <w:rFonts w:ascii="Times New Roman" w:hAnsi="Times New Roman" w:cs="Times New Roman"/>
        </w:rPr>
        <w:t>,</w:t>
      </w:r>
      <w:r w:rsidRPr="00D92823">
        <w:rPr>
          <w:rFonts w:ascii="Times New Roman" w:hAnsi="Times New Roman" w:cs="Times New Roman"/>
        </w:rPr>
        <w:t xml:space="preserve"> a discapito dell’elemento soggettivo dello schermo societario»</w:t>
      </w:r>
      <w:r w:rsidRPr="00D92823">
        <w:rPr>
          <w:rStyle w:val="Rimandonotaapidipagina"/>
          <w:rFonts w:ascii="Times New Roman" w:hAnsi="Times New Roman" w:cs="Times New Roman"/>
        </w:rPr>
        <w:footnoteReference w:id="7"/>
      </w:r>
      <w:r w:rsidRPr="00D92823">
        <w:rPr>
          <w:rFonts w:ascii="Times New Roman" w:hAnsi="Times New Roman" w:cs="Times New Roman"/>
        </w:rPr>
        <w:t>.</w:t>
      </w:r>
    </w:p>
    <w:p w:rsidR="005A63DB" w:rsidRPr="00D92823" w:rsidRDefault="00684848" w:rsidP="00D92823">
      <w:pPr>
        <w:ind w:left="567" w:right="140" w:firstLine="850"/>
        <w:jc w:val="both"/>
        <w:rPr>
          <w:rFonts w:ascii="Times New Roman" w:hAnsi="Times New Roman" w:cs="Times New Roman"/>
        </w:rPr>
      </w:pPr>
      <w:r w:rsidRPr="00D92823">
        <w:rPr>
          <w:rFonts w:ascii="Times New Roman" w:hAnsi="Times New Roman" w:cs="Times New Roman"/>
        </w:rPr>
        <w:t>Sempre c</w:t>
      </w:r>
      <w:r w:rsidR="00360291" w:rsidRPr="00D92823">
        <w:rPr>
          <w:rFonts w:ascii="Times New Roman" w:hAnsi="Times New Roman" w:cs="Times New Roman"/>
        </w:rPr>
        <w:t>on riferimento alle prestazioni intellettuali forensi, va ricordato che, recentemente,</w:t>
      </w:r>
      <w:r w:rsidR="003A032B" w:rsidRPr="00D92823">
        <w:rPr>
          <w:rFonts w:ascii="Times New Roman" w:hAnsi="Times New Roman" w:cs="Times New Roman"/>
        </w:rPr>
        <w:t xml:space="preserve"> il</w:t>
      </w:r>
      <w:r w:rsidR="005A63DB" w:rsidRPr="00D92823">
        <w:rPr>
          <w:rFonts w:ascii="Times New Roman" w:hAnsi="Times New Roman" w:cs="Times New Roman"/>
        </w:rPr>
        <w:t xml:space="preserve"> Consiglio di Stato ha sospeso l’adozione del parere sulle linee guida per l’affidamento dei servizi legali, di cui alla nota </w:t>
      </w:r>
      <w:r w:rsidR="00360291" w:rsidRPr="00D92823">
        <w:rPr>
          <w:rFonts w:ascii="Times New Roman" w:hAnsi="Times New Roman" w:cs="Times New Roman"/>
        </w:rPr>
        <w:t xml:space="preserve">ANAC </w:t>
      </w:r>
      <w:r w:rsidR="005A63DB" w:rsidRPr="00D92823">
        <w:rPr>
          <w:rFonts w:ascii="Times New Roman" w:hAnsi="Times New Roman" w:cs="Times New Roman"/>
        </w:rPr>
        <w:t xml:space="preserve">3 agosto 2017 n. 98019, </w:t>
      </w:r>
      <w:r w:rsidR="00360291" w:rsidRPr="00D92823">
        <w:rPr>
          <w:rFonts w:ascii="Times New Roman" w:hAnsi="Times New Roman" w:cs="Times New Roman"/>
        </w:rPr>
        <w:t>pone</w:t>
      </w:r>
      <w:r w:rsidR="005A63DB" w:rsidRPr="00D92823">
        <w:rPr>
          <w:rFonts w:ascii="Times New Roman" w:hAnsi="Times New Roman" w:cs="Times New Roman"/>
        </w:rPr>
        <w:t xml:space="preserve">ndo la questione </w:t>
      </w:r>
      <w:r w:rsidR="00360291" w:rsidRPr="00D92823">
        <w:rPr>
          <w:rFonts w:ascii="Times New Roman" w:hAnsi="Times New Roman" w:cs="Times New Roman"/>
        </w:rPr>
        <w:t>che</w:t>
      </w:r>
      <w:r w:rsidR="005A63DB" w:rsidRPr="00D92823">
        <w:rPr>
          <w:rFonts w:ascii="Times New Roman" w:hAnsi="Times New Roman" w:cs="Times New Roman"/>
        </w:rPr>
        <w:t xml:space="preserve"> «la selezione del contraente deve essere necessariamente orientata all’individuazione del professionista più adatto allo svolgimento della prestazione richiesta, secondo criteri che tengano conto della difficoltà dell’incarico e delle competenze necessarie ad espletarlo. Vero è che, tuttavia, per espressa indicazione del codice dei contratti pubblici, i servizi legali di cui all’art. 17, comma 1, </w:t>
      </w:r>
      <w:proofErr w:type="spellStart"/>
      <w:r w:rsidR="005A63DB" w:rsidRPr="00D92823">
        <w:rPr>
          <w:rFonts w:ascii="Times New Roman" w:hAnsi="Times New Roman" w:cs="Times New Roman"/>
        </w:rPr>
        <w:t>lett</w:t>
      </w:r>
      <w:proofErr w:type="spellEnd"/>
      <w:r w:rsidR="005A63DB" w:rsidRPr="00D92823">
        <w:rPr>
          <w:rFonts w:ascii="Times New Roman" w:hAnsi="Times New Roman" w:cs="Times New Roman"/>
        </w:rPr>
        <w:t>. d)</w:t>
      </w:r>
      <w:r w:rsidR="00360291" w:rsidRPr="00D92823">
        <w:rPr>
          <w:rFonts w:ascii="Times New Roman" w:hAnsi="Times New Roman" w:cs="Times New Roman"/>
        </w:rPr>
        <w:t>,</w:t>
      </w:r>
      <w:r w:rsidR="005A63DB" w:rsidRPr="00D92823">
        <w:rPr>
          <w:rFonts w:ascii="Times New Roman" w:hAnsi="Times New Roman" w:cs="Times New Roman"/>
        </w:rPr>
        <w:t xml:space="preserve"> sono esclusi dall’applicazione delle disposizioni del codice, anche in ragione di una rilevante – anche se non esclusiva – componente fiduciaria delle scelte, che pure deve essere tenuta in considerazione. Peraltro, andrebbe anche verificata la compatibilità di una regolazione particolarmente stringente e dettagliata con il divieto di </w:t>
      </w:r>
      <w:proofErr w:type="spellStart"/>
      <w:r w:rsidR="005A63DB" w:rsidRPr="00D92823">
        <w:rPr>
          <w:rFonts w:ascii="Times New Roman" w:hAnsi="Times New Roman" w:cs="Times New Roman"/>
          <w:i/>
        </w:rPr>
        <w:t>gold</w:t>
      </w:r>
      <w:proofErr w:type="spellEnd"/>
      <w:r w:rsidR="005A63DB" w:rsidRPr="00D92823">
        <w:rPr>
          <w:rFonts w:ascii="Times New Roman" w:hAnsi="Times New Roman" w:cs="Times New Roman"/>
          <w:i/>
        </w:rPr>
        <w:t xml:space="preserve"> </w:t>
      </w:r>
      <w:proofErr w:type="spellStart"/>
      <w:r w:rsidR="005A63DB" w:rsidRPr="00D92823">
        <w:rPr>
          <w:rFonts w:ascii="Times New Roman" w:hAnsi="Times New Roman" w:cs="Times New Roman"/>
          <w:i/>
        </w:rPr>
        <w:t>plating</w:t>
      </w:r>
      <w:proofErr w:type="spellEnd"/>
      <w:r w:rsidR="005A63DB" w:rsidRPr="00D92823">
        <w:rPr>
          <w:rFonts w:ascii="Times New Roman" w:hAnsi="Times New Roman" w:cs="Times New Roman"/>
        </w:rPr>
        <w:t> (art. 1 l. 28 gennaio 2016 n. 11, di delega per l’attuazione delle direttive 2014/23/UE, 2014/24/UE e 2014/25/UE del Parlamento europeo e del Consiglio, del 26 febbraio 2014)» e sollecitando</w:t>
      </w:r>
      <w:r w:rsidR="008644AC" w:rsidRPr="00D92823">
        <w:rPr>
          <w:rFonts w:ascii="Times New Roman" w:hAnsi="Times New Roman" w:cs="Times New Roman"/>
        </w:rPr>
        <w:t>,</w:t>
      </w:r>
      <w:r w:rsidR="005A63DB" w:rsidRPr="00D92823">
        <w:rPr>
          <w:rFonts w:ascii="Times New Roman" w:hAnsi="Times New Roman" w:cs="Times New Roman"/>
        </w:rPr>
        <w:t xml:space="preserve"> in proposito</w:t>
      </w:r>
      <w:r w:rsidR="008644AC" w:rsidRPr="00D92823">
        <w:rPr>
          <w:rFonts w:ascii="Times New Roman" w:hAnsi="Times New Roman" w:cs="Times New Roman"/>
        </w:rPr>
        <w:t>,</w:t>
      </w:r>
      <w:r w:rsidR="005A63DB" w:rsidRPr="00D92823">
        <w:rPr>
          <w:rFonts w:ascii="Times New Roman" w:hAnsi="Times New Roman" w:cs="Times New Roman"/>
        </w:rPr>
        <w:t xml:space="preserve"> un apporto valutativo del CNF, del Ministero della Giustizia, del MIT e del Dipartimento per le politiche comunitarie della Presidenza del Consiglio dei Ministri</w:t>
      </w:r>
      <w:r w:rsidR="005A63DB" w:rsidRPr="00D92823">
        <w:rPr>
          <w:rStyle w:val="Rimandonotaapidipagina"/>
          <w:rFonts w:ascii="Times New Roman" w:hAnsi="Times New Roman" w:cs="Times New Roman"/>
        </w:rPr>
        <w:footnoteReference w:id="8"/>
      </w:r>
      <w:r w:rsidR="005A63DB" w:rsidRPr="00D92823">
        <w:rPr>
          <w:rFonts w:ascii="Times New Roman" w:hAnsi="Times New Roman" w:cs="Times New Roman"/>
        </w:rPr>
        <w:t>.</w:t>
      </w:r>
    </w:p>
    <w:p w:rsidR="00BD3FBD" w:rsidRPr="00D92823" w:rsidRDefault="00BD3FBD" w:rsidP="00D92823">
      <w:pPr>
        <w:ind w:left="567" w:right="140" w:firstLine="850"/>
        <w:jc w:val="both"/>
        <w:rPr>
          <w:rFonts w:ascii="Times New Roman" w:hAnsi="Times New Roman" w:cs="Times New Roman"/>
        </w:rPr>
      </w:pPr>
      <w:r w:rsidRPr="00D92823">
        <w:rPr>
          <w:rFonts w:ascii="Times New Roman" w:hAnsi="Times New Roman" w:cs="Times New Roman"/>
        </w:rPr>
        <w:t xml:space="preserve">Mentre, ancor più recentemente, </w:t>
      </w:r>
      <w:r w:rsidR="000A5865" w:rsidRPr="00D92823">
        <w:rPr>
          <w:rFonts w:ascii="Times New Roman" w:hAnsi="Times New Roman" w:cs="Times New Roman"/>
        </w:rPr>
        <w:t>va</w:t>
      </w:r>
      <w:r w:rsidRPr="00D92823">
        <w:rPr>
          <w:rFonts w:ascii="Times New Roman" w:hAnsi="Times New Roman" w:cs="Times New Roman"/>
        </w:rPr>
        <w:t xml:space="preserve"> registra</w:t>
      </w:r>
      <w:r w:rsidR="000A5865" w:rsidRPr="00D92823">
        <w:rPr>
          <w:rFonts w:ascii="Times New Roman" w:hAnsi="Times New Roman" w:cs="Times New Roman"/>
        </w:rPr>
        <w:t>ta</w:t>
      </w:r>
      <w:r w:rsidRPr="00D92823">
        <w:rPr>
          <w:rFonts w:ascii="Times New Roman" w:hAnsi="Times New Roman" w:cs="Times New Roman"/>
        </w:rPr>
        <w:t xml:space="preserve"> l’opinione secondo cui</w:t>
      </w:r>
      <w:r w:rsidR="008644AC" w:rsidRPr="00D92823">
        <w:rPr>
          <w:rFonts w:ascii="Times New Roman" w:hAnsi="Times New Roman" w:cs="Times New Roman"/>
        </w:rPr>
        <w:t>,</w:t>
      </w:r>
      <w:r w:rsidRPr="00D92823">
        <w:rPr>
          <w:rFonts w:ascii="Times New Roman" w:hAnsi="Times New Roman" w:cs="Times New Roman"/>
        </w:rPr>
        <w:t xml:space="preserve"> </w:t>
      </w:r>
      <w:r w:rsidR="00447256" w:rsidRPr="00D92823">
        <w:rPr>
          <w:rFonts w:ascii="Times New Roman" w:hAnsi="Times New Roman" w:cs="Times New Roman"/>
        </w:rPr>
        <w:t xml:space="preserve">anche </w:t>
      </w:r>
      <w:r w:rsidRPr="00D92823">
        <w:rPr>
          <w:rFonts w:ascii="Times New Roman" w:hAnsi="Times New Roman" w:cs="Times New Roman"/>
        </w:rPr>
        <w:t>l</w:t>
      </w:r>
      <w:r w:rsidR="000A5865" w:rsidRPr="00D92823">
        <w:rPr>
          <w:rFonts w:ascii="Times New Roman" w:hAnsi="Times New Roman" w:cs="Times New Roman"/>
        </w:rPr>
        <w:t>a scelta</w:t>
      </w:r>
      <w:r w:rsidRPr="00D92823">
        <w:rPr>
          <w:rFonts w:ascii="Times New Roman" w:hAnsi="Times New Roman" w:cs="Times New Roman"/>
        </w:rPr>
        <w:t xml:space="preserve"> </w:t>
      </w:r>
      <w:r w:rsidR="000A5865" w:rsidRPr="00D92823">
        <w:rPr>
          <w:rFonts w:ascii="Times New Roman" w:hAnsi="Times New Roman" w:cs="Times New Roman"/>
        </w:rPr>
        <w:t>de</w:t>
      </w:r>
      <w:r w:rsidRPr="00D92823">
        <w:rPr>
          <w:rFonts w:ascii="Times New Roman" w:hAnsi="Times New Roman" w:cs="Times New Roman"/>
        </w:rPr>
        <w:t xml:space="preserve">l </w:t>
      </w:r>
      <w:r w:rsidR="00447256" w:rsidRPr="00D92823">
        <w:rPr>
          <w:rFonts w:ascii="Times New Roman" w:hAnsi="Times New Roman" w:cs="Times New Roman"/>
        </w:rPr>
        <w:t xml:space="preserve">singolo </w:t>
      </w:r>
      <w:r w:rsidRPr="00D92823">
        <w:rPr>
          <w:rFonts w:ascii="Times New Roman" w:hAnsi="Times New Roman" w:cs="Times New Roman"/>
        </w:rPr>
        <w:t>legale</w:t>
      </w:r>
      <w:r w:rsidR="000A5865" w:rsidRPr="00D92823">
        <w:rPr>
          <w:rFonts w:ascii="Times New Roman" w:hAnsi="Times New Roman" w:cs="Times New Roman"/>
        </w:rPr>
        <w:t xml:space="preserve"> da parte dell’ente pubblico</w:t>
      </w:r>
      <w:r w:rsidRPr="00D92823">
        <w:rPr>
          <w:rFonts w:ascii="Times New Roman" w:hAnsi="Times New Roman" w:cs="Times New Roman"/>
        </w:rPr>
        <w:t xml:space="preserve">, </w:t>
      </w:r>
      <w:r w:rsidR="00447256" w:rsidRPr="00D92823">
        <w:rPr>
          <w:rFonts w:ascii="Times New Roman" w:hAnsi="Times New Roman" w:cs="Times New Roman"/>
        </w:rPr>
        <w:t>pur non qualificandosi come contratto d’appalto</w:t>
      </w:r>
      <w:r w:rsidR="000A5865" w:rsidRPr="00D92823">
        <w:rPr>
          <w:rFonts w:ascii="Times New Roman" w:hAnsi="Times New Roman" w:cs="Times New Roman"/>
        </w:rPr>
        <w:t xml:space="preserve"> (e non necessitando, quindi, di una procedura comparativa di stampo concorsuale)</w:t>
      </w:r>
      <w:r w:rsidR="00447256" w:rsidRPr="00D92823">
        <w:rPr>
          <w:rFonts w:ascii="Times New Roman" w:hAnsi="Times New Roman" w:cs="Times New Roman"/>
        </w:rPr>
        <w:t xml:space="preserve">, deve </w:t>
      </w:r>
      <w:r w:rsidR="000A5865" w:rsidRPr="00D92823">
        <w:rPr>
          <w:rFonts w:ascii="Times New Roman" w:hAnsi="Times New Roman" w:cs="Times New Roman"/>
        </w:rPr>
        <w:t xml:space="preserve">ugualmente </w:t>
      </w:r>
      <w:r w:rsidR="00447256" w:rsidRPr="00D92823">
        <w:rPr>
          <w:rFonts w:ascii="Times New Roman" w:hAnsi="Times New Roman" w:cs="Times New Roman"/>
        </w:rPr>
        <w:t>essere condotta nel rispetto dei princ</w:t>
      </w:r>
      <w:r w:rsidR="000A5865" w:rsidRPr="00D92823">
        <w:rPr>
          <w:rFonts w:ascii="Times New Roman" w:hAnsi="Times New Roman" w:cs="Times New Roman"/>
        </w:rPr>
        <w:t>ì</w:t>
      </w:r>
      <w:r w:rsidR="00447256" w:rsidRPr="00D92823">
        <w:rPr>
          <w:rFonts w:ascii="Times New Roman" w:hAnsi="Times New Roman" w:cs="Times New Roman"/>
        </w:rPr>
        <w:t xml:space="preserve">pi generali dell’azione amministrativa, </w:t>
      </w:r>
      <w:r w:rsidRPr="00D92823">
        <w:rPr>
          <w:rFonts w:ascii="Times New Roman" w:hAnsi="Times New Roman" w:cs="Times New Roman"/>
        </w:rPr>
        <w:t>comportando la disposizione di risorse pubbliche</w:t>
      </w:r>
      <w:r w:rsidRPr="00D92823">
        <w:rPr>
          <w:rStyle w:val="Rimandonotaapidipagina"/>
          <w:rFonts w:ascii="Times New Roman" w:hAnsi="Times New Roman" w:cs="Times New Roman"/>
        </w:rPr>
        <w:footnoteReference w:id="9"/>
      </w:r>
      <w:r w:rsidR="00447256" w:rsidRPr="00D92823">
        <w:rPr>
          <w:rFonts w:ascii="Times New Roman" w:hAnsi="Times New Roman" w:cs="Times New Roman"/>
        </w:rPr>
        <w:t>.</w:t>
      </w:r>
    </w:p>
    <w:p w:rsidR="0036699F" w:rsidRPr="00D92823" w:rsidRDefault="0036699F" w:rsidP="00D92823">
      <w:pPr>
        <w:ind w:left="567" w:right="140" w:firstLine="850"/>
        <w:jc w:val="both"/>
        <w:rPr>
          <w:rFonts w:ascii="Times New Roman" w:hAnsi="Times New Roman" w:cs="Times New Roman"/>
        </w:rPr>
      </w:pPr>
    </w:p>
    <w:p w:rsidR="0036699F" w:rsidRPr="00D92823" w:rsidRDefault="0036699F" w:rsidP="00D92823">
      <w:pPr>
        <w:numPr>
          <w:ilvl w:val="0"/>
          <w:numId w:val="2"/>
        </w:numPr>
        <w:ind w:left="567" w:right="140" w:firstLine="850"/>
        <w:jc w:val="both"/>
        <w:rPr>
          <w:rFonts w:ascii="Times New Roman" w:hAnsi="Times New Roman" w:cs="Times New Roman"/>
          <w:b/>
        </w:rPr>
      </w:pPr>
      <w:r w:rsidRPr="00D92823">
        <w:rPr>
          <w:rFonts w:ascii="Times New Roman" w:hAnsi="Times New Roman" w:cs="Times New Roman"/>
          <w:b/>
        </w:rPr>
        <w:t>La nozione di operatore economico.</w:t>
      </w:r>
    </w:p>
    <w:p w:rsidR="008A67D8" w:rsidRPr="00D92823" w:rsidRDefault="0036699F" w:rsidP="00D92823">
      <w:pPr>
        <w:ind w:left="567" w:right="140" w:firstLine="850"/>
        <w:jc w:val="both"/>
        <w:rPr>
          <w:rFonts w:ascii="Times New Roman" w:hAnsi="Times New Roman" w:cs="Times New Roman"/>
        </w:rPr>
      </w:pPr>
      <w:r w:rsidRPr="00D92823">
        <w:rPr>
          <w:rFonts w:ascii="Times New Roman" w:hAnsi="Times New Roman" w:cs="Times New Roman"/>
        </w:rPr>
        <w:t>P</w:t>
      </w:r>
      <w:r w:rsidR="008A67D8" w:rsidRPr="00D92823">
        <w:rPr>
          <w:rFonts w:ascii="Times New Roman" w:hAnsi="Times New Roman" w:cs="Times New Roman"/>
        </w:rPr>
        <w:t>ur nell</w:t>
      </w:r>
      <w:r w:rsidR="00360291" w:rsidRPr="00D92823">
        <w:rPr>
          <w:rFonts w:ascii="Times New Roman" w:hAnsi="Times New Roman" w:cs="Times New Roman"/>
        </w:rPr>
        <w:t>’indubbi</w:t>
      </w:r>
      <w:r w:rsidR="008A67D8" w:rsidRPr="00D92823">
        <w:rPr>
          <w:rFonts w:ascii="Times New Roman" w:hAnsi="Times New Roman" w:cs="Times New Roman"/>
        </w:rPr>
        <w:t xml:space="preserve">a complessità della </w:t>
      </w:r>
      <w:r w:rsidR="00360291" w:rsidRPr="00D92823">
        <w:rPr>
          <w:rFonts w:ascii="Times New Roman" w:hAnsi="Times New Roman" w:cs="Times New Roman"/>
        </w:rPr>
        <w:t>materia</w:t>
      </w:r>
      <w:r w:rsidR="008644AC" w:rsidRPr="00D92823">
        <w:rPr>
          <w:rFonts w:ascii="Times New Roman" w:hAnsi="Times New Roman" w:cs="Times New Roman"/>
        </w:rPr>
        <w:t xml:space="preserve"> –</w:t>
      </w:r>
      <w:r w:rsidR="00360291" w:rsidRPr="00D92823">
        <w:rPr>
          <w:rFonts w:ascii="Times New Roman" w:hAnsi="Times New Roman" w:cs="Times New Roman"/>
        </w:rPr>
        <w:t xml:space="preserve"> che coinvolge </w:t>
      </w:r>
      <w:r w:rsidR="008644AC" w:rsidRPr="00D92823">
        <w:rPr>
          <w:rFonts w:ascii="Times New Roman" w:hAnsi="Times New Roman" w:cs="Times New Roman"/>
        </w:rPr>
        <w:t>assieme l’ordinamento</w:t>
      </w:r>
      <w:r w:rsidR="00360291" w:rsidRPr="00D92823">
        <w:rPr>
          <w:rFonts w:ascii="Times New Roman" w:hAnsi="Times New Roman" w:cs="Times New Roman"/>
        </w:rPr>
        <w:t xml:space="preserve"> civil</w:t>
      </w:r>
      <w:r w:rsidR="008644AC" w:rsidRPr="00D92823">
        <w:rPr>
          <w:rFonts w:ascii="Times New Roman" w:hAnsi="Times New Roman" w:cs="Times New Roman"/>
        </w:rPr>
        <w:t>e,</w:t>
      </w:r>
      <w:r w:rsidR="00360291" w:rsidRPr="00D92823">
        <w:rPr>
          <w:rFonts w:ascii="Times New Roman" w:hAnsi="Times New Roman" w:cs="Times New Roman"/>
        </w:rPr>
        <w:t xml:space="preserve"> amministrativ</w:t>
      </w:r>
      <w:r w:rsidR="008644AC" w:rsidRPr="00D92823">
        <w:rPr>
          <w:rFonts w:ascii="Times New Roman" w:hAnsi="Times New Roman" w:cs="Times New Roman"/>
        </w:rPr>
        <w:t>o</w:t>
      </w:r>
      <w:r w:rsidR="00360291" w:rsidRPr="00D92823">
        <w:rPr>
          <w:rFonts w:ascii="Times New Roman" w:hAnsi="Times New Roman" w:cs="Times New Roman"/>
        </w:rPr>
        <w:t xml:space="preserve"> </w:t>
      </w:r>
      <w:r w:rsidR="008644AC" w:rsidRPr="00D92823">
        <w:rPr>
          <w:rFonts w:ascii="Times New Roman" w:hAnsi="Times New Roman" w:cs="Times New Roman"/>
        </w:rPr>
        <w:t>ed euro-unitario –</w:t>
      </w:r>
      <w:r w:rsidR="008A67D8" w:rsidRPr="00D92823">
        <w:rPr>
          <w:rFonts w:ascii="Times New Roman" w:hAnsi="Times New Roman" w:cs="Times New Roman"/>
        </w:rPr>
        <w:t>, quel che appare maggiormente singolare è che</w:t>
      </w:r>
      <w:r w:rsidR="002D28ED" w:rsidRPr="00D92823">
        <w:rPr>
          <w:rFonts w:ascii="Times New Roman" w:hAnsi="Times New Roman" w:cs="Times New Roman"/>
        </w:rPr>
        <w:t xml:space="preserve"> </w:t>
      </w:r>
      <w:r w:rsidR="00206353" w:rsidRPr="00D92823">
        <w:rPr>
          <w:rFonts w:ascii="Times New Roman" w:hAnsi="Times New Roman" w:cs="Times New Roman"/>
        </w:rPr>
        <w:t xml:space="preserve">la </w:t>
      </w:r>
      <w:r w:rsidR="00360291" w:rsidRPr="00D92823">
        <w:rPr>
          <w:rFonts w:ascii="Times New Roman" w:hAnsi="Times New Roman" w:cs="Times New Roman"/>
        </w:rPr>
        <w:t>ri</w:t>
      </w:r>
      <w:r w:rsidR="00206353" w:rsidRPr="00D92823">
        <w:rPr>
          <w:rFonts w:ascii="Times New Roman" w:hAnsi="Times New Roman" w:cs="Times New Roman"/>
        </w:rPr>
        <w:t>qualificazione dell</w:t>
      </w:r>
      <w:r w:rsidR="008A67D8" w:rsidRPr="00D92823">
        <w:rPr>
          <w:rFonts w:ascii="Times New Roman" w:hAnsi="Times New Roman" w:cs="Times New Roman"/>
        </w:rPr>
        <w:t>’incarico</w:t>
      </w:r>
      <w:r w:rsidR="00206353" w:rsidRPr="00D92823">
        <w:rPr>
          <w:rFonts w:ascii="Times New Roman" w:hAnsi="Times New Roman" w:cs="Times New Roman"/>
        </w:rPr>
        <w:t xml:space="preserve"> intellettuale </w:t>
      </w:r>
      <w:r w:rsidR="002D28ED" w:rsidRPr="00D92823">
        <w:rPr>
          <w:rFonts w:ascii="Times New Roman" w:hAnsi="Times New Roman" w:cs="Times New Roman"/>
        </w:rPr>
        <w:t xml:space="preserve">in termini di </w:t>
      </w:r>
      <w:r w:rsidR="00206353" w:rsidRPr="00D92823">
        <w:rPr>
          <w:rFonts w:ascii="Times New Roman" w:hAnsi="Times New Roman" w:cs="Times New Roman"/>
        </w:rPr>
        <w:t>appalto di servizi</w:t>
      </w:r>
      <w:r w:rsidR="00AE5F25" w:rsidRPr="00D92823">
        <w:rPr>
          <w:rFonts w:ascii="Times New Roman" w:hAnsi="Times New Roman" w:cs="Times New Roman"/>
        </w:rPr>
        <w:t xml:space="preserve">, </w:t>
      </w:r>
      <w:r w:rsidR="008A67D8" w:rsidRPr="00D92823">
        <w:rPr>
          <w:rFonts w:ascii="Times New Roman" w:hAnsi="Times New Roman" w:cs="Times New Roman"/>
        </w:rPr>
        <w:t>nonostante</w:t>
      </w:r>
      <w:r w:rsidR="002D28ED" w:rsidRPr="00D92823">
        <w:rPr>
          <w:rFonts w:ascii="Times New Roman" w:hAnsi="Times New Roman" w:cs="Times New Roman"/>
        </w:rPr>
        <w:t xml:space="preserve"> oper</w:t>
      </w:r>
      <w:r w:rsidR="008A67D8" w:rsidRPr="00D92823">
        <w:rPr>
          <w:rFonts w:ascii="Times New Roman" w:hAnsi="Times New Roman" w:cs="Times New Roman"/>
        </w:rPr>
        <w:t>i</w:t>
      </w:r>
      <w:r w:rsidR="002D28ED" w:rsidRPr="00D92823">
        <w:rPr>
          <w:rFonts w:ascii="Times New Roman" w:hAnsi="Times New Roman" w:cs="Times New Roman"/>
        </w:rPr>
        <w:t xml:space="preserve"> </w:t>
      </w:r>
      <w:r w:rsidR="00AE5F25" w:rsidRPr="00D92823">
        <w:rPr>
          <w:rFonts w:ascii="Times New Roman" w:hAnsi="Times New Roman" w:cs="Times New Roman"/>
        </w:rPr>
        <w:t xml:space="preserve">esclusivamente </w:t>
      </w:r>
      <w:r w:rsidR="00241B51" w:rsidRPr="00D92823">
        <w:rPr>
          <w:rFonts w:ascii="Times New Roman" w:hAnsi="Times New Roman" w:cs="Times New Roman"/>
        </w:rPr>
        <w:t xml:space="preserve">in ipotesi </w:t>
      </w:r>
      <w:r w:rsidR="002D28ED" w:rsidRPr="00D92823">
        <w:rPr>
          <w:rFonts w:ascii="Times New Roman" w:hAnsi="Times New Roman" w:cs="Times New Roman"/>
        </w:rPr>
        <w:t>d</w:t>
      </w:r>
      <w:r w:rsidR="00AE5F25" w:rsidRPr="00D92823">
        <w:rPr>
          <w:rFonts w:ascii="Times New Roman" w:hAnsi="Times New Roman" w:cs="Times New Roman"/>
        </w:rPr>
        <w:t>i</w:t>
      </w:r>
      <w:r w:rsidR="002D28ED" w:rsidRPr="00D92823">
        <w:rPr>
          <w:rFonts w:ascii="Times New Roman" w:hAnsi="Times New Roman" w:cs="Times New Roman"/>
        </w:rPr>
        <w:t xml:space="preserve"> partecipazione a</w:t>
      </w:r>
      <w:r w:rsidR="00241B51" w:rsidRPr="00D92823">
        <w:rPr>
          <w:rFonts w:ascii="Times New Roman" w:hAnsi="Times New Roman" w:cs="Times New Roman"/>
        </w:rPr>
        <w:t>d una</w:t>
      </w:r>
      <w:r w:rsidR="002D28ED" w:rsidRPr="00D92823">
        <w:rPr>
          <w:rFonts w:ascii="Times New Roman" w:hAnsi="Times New Roman" w:cs="Times New Roman"/>
        </w:rPr>
        <w:t xml:space="preserve"> gar</w:t>
      </w:r>
      <w:r w:rsidR="00241B51" w:rsidRPr="00D92823">
        <w:rPr>
          <w:rFonts w:ascii="Times New Roman" w:hAnsi="Times New Roman" w:cs="Times New Roman"/>
        </w:rPr>
        <w:t>a</w:t>
      </w:r>
      <w:r w:rsidR="002D28ED" w:rsidRPr="00D92823">
        <w:rPr>
          <w:rFonts w:ascii="Times New Roman" w:hAnsi="Times New Roman" w:cs="Times New Roman"/>
        </w:rPr>
        <w:t xml:space="preserve"> pubblic</w:t>
      </w:r>
      <w:r w:rsidR="00241B51" w:rsidRPr="00D92823">
        <w:rPr>
          <w:rFonts w:ascii="Times New Roman" w:hAnsi="Times New Roman" w:cs="Times New Roman"/>
        </w:rPr>
        <w:t>a</w:t>
      </w:r>
      <w:r w:rsidR="002D28ED" w:rsidRPr="00D92823">
        <w:rPr>
          <w:rFonts w:ascii="Times New Roman" w:hAnsi="Times New Roman" w:cs="Times New Roman"/>
        </w:rPr>
        <w:t xml:space="preserve">, non discende </w:t>
      </w:r>
      <w:r w:rsidR="008A67D8" w:rsidRPr="00D92823">
        <w:rPr>
          <w:rFonts w:ascii="Times New Roman" w:hAnsi="Times New Roman" w:cs="Times New Roman"/>
        </w:rPr>
        <w:t xml:space="preserve">né dalla qualità pubblica dell’ente conferente, né dal fatto </w:t>
      </w:r>
      <w:r w:rsidR="00F962A3" w:rsidRPr="00D92823">
        <w:rPr>
          <w:rFonts w:ascii="Times New Roman" w:hAnsi="Times New Roman" w:cs="Times New Roman"/>
        </w:rPr>
        <w:t xml:space="preserve">che </w:t>
      </w:r>
      <w:r w:rsidR="008A67D8" w:rsidRPr="00D92823">
        <w:rPr>
          <w:rFonts w:ascii="Times New Roman" w:hAnsi="Times New Roman" w:cs="Times New Roman"/>
        </w:rPr>
        <w:t xml:space="preserve">la prestazione </w:t>
      </w:r>
      <w:r w:rsidR="00360291" w:rsidRPr="00D92823">
        <w:rPr>
          <w:rFonts w:ascii="Times New Roman" w:hAnsi="Times New Roman" w:cs="Times New Roman"/>
        </w:rPr>
        <w:t>richiesta</w:t>
      </w:r>
      <w:r w:rsidR="004A2A40" w:rsidRPr="00D92823">
        <w:rPr>
          <w:rFonts w:ascii="Times New Roman" w:hAnsi="Times New Roman" w:cs="Times New Roman"/>
        </w:rPr>
        <w:t xml:space="preserve"> dal committente pubblico</w:t>
      </w:r>
      <w:r w:rsidR="00F962A3" w:rsidRPr="00D92823">
        <w:rPr>
          <w:rFonts w:ascii="Times New Roman" w:hAnsi="Times New Roman" w:cs="Times New Roman"/>
        </w:rPr>
        <w:t xml:space="preserve"> </w:t>
      </w:r>
      <w:r w:rsidR="008A67D8" w:rsidRPr="00D92823">
        <w:rPr>
          <w:rFonts w:ascii="Times New Roman" w:hAnsi="Times New Roman" w:cs="Times New Roman"/>
        </w:rPr>
        <w:t>abbia connot</w:t>
      </w:r>
      <w:r w:rsidR="008B00D2" w:rsidRPr="00D92823">
        <w:rPr>
          <w:rFonts w:ascii="Times New Roman" w:hAnsi="Times New Roman" w:cs="Times New Roman"/>
        </w:rPr>
        <w:t>a</w:t>
      </w:r>
      <w:r w:rsidR="008A67D8" w:rsidRPr="00D92823">
        <w:rPr>
          <w:rFonts w:ascii="Times New Roman" w:hAnsi="Times New Roman" w:cs="Times New Roman"/>
        </w:rPr>
        <w:t>zioni</w:t>
      </w:r>
      <w:r w:rsidR="00770E39" w:rsidRPr="00D92823">
        <w:rPr>
          <w:rFonts w:ascii="Times New Roman" w:hAnsi="Times New Roman" w:cs="Times New Roman"/>
        </w:rPr>
        <w:t xml:space="preserve"> </w:t>
      </w:r>
      <w:r w:rsidR="008A67D8" w:rsidRPr="00D92823">
        <w:rPr>
          <w:rFonts w:ascii="Times New Roman" w:hAnsi="Times New Roman" w:cs="Times New Roman"/>
        </w:rPr>
        <w:t>particolari, diverse da quelle d</w:t>
      </w:r>
      <w:r w:rsidR="004A2A40" w:rsidRPr="00D92823">
        <w:rPr>
          <w:rFonts w:ascii="Times New Roman" w:hAnsi="Times New Roman" w:cs="Times New Roman"/>
        </w:rPr>
        <w:t>ell</w:t>
      </w:r>
      <w:r w:rsidR="008A67D8" w:rsidRPr="00D92823">
        <w:rPr>
          <w:rFonts w:ascii="Times New Roman" w:hAnsi="Times New Roman" w:cs="Times New Roman"/>
        </w:rPr>
        <w:t xml:space="preserve">a prestazione </w:t>
      </w:r>
      <w:r w:rsidR="004A2A40" w:rsidRPr="00D92823">
        <w:rPr>
          <w:rFonts w:ascii="Times New Roman" w:hAnsi="Times New Roman" w:cs="Times New Roman"/>
        </w:rPr>
        <w:t>usual</w:t>
      </w:r>
      <w:r w:rsidR="008A67D8" w:rsidRPr="00D92823">
        <w:rPr>
          <w:rFonts w:ascii="Times New Roman" w:hAnsi="Times New Roman" w:cs="Times New Roman"/>
        </w:rPr>
        <w:t>mente richiesta dal committente privato</w:t>
      </w:r>
      <w:r w:rsidR="00770E39" w:rsidRPr="00D92823">
        <w:rPr>
          <w:rStyle w:val="Rimandonotaapidipagina"/>
          <w:rFonts w:ascii="Times New Roman" w:hAnsi="Times New Roman" w:cs="Times New Roman"/>
        </w:rPr>
        <w:footnoteReference w:id="10"/>
      </w:r>
      <w:r w:rsidR="008A67D8" w:rsidRPr="00D92823">
        <w:rPr>
          <w:rFonts w:ascii="Times New Roman" w:hAnsi="Times New Roman" w:cs="Times New Roman"/>
        </w:rPr>
        <w:t>.</w:t>
      </w:r>
    </w:p>
    <w:p w:rsidR="008C4F8E" w:rsidRPr="00D92823" w:rsidRDefault="008644AC" w:rsidP="00D92823">
      <w:pPr>
        <w:ind w:left="567" w:right="140" w:firstLine="850"/>
        <w:jc w:val="both"/>
        <w:rPr>
          <w:rFonts w:ascii="Times New Roman" w:hAnsi="Times New Roman" w:cs="Times New Roman"/>
        </w:rPr>
      </w:pPr>
      <w:r w:rsidRPr="00D92823">
        <w:rPr>
          <w:rFonts w:ascii="Times New Roman" w:hAnsi="Times New Roman" w:cs="Times New Roman"/>
        </w:rPr>
        <w:lastRenderedPageBreak/>
        <w:t>Essa d</w:t>
      </w:r>
      <w:r w:rsidR="008A67D8" w:rsidRPr="00D92823">
        <w:rPr>
          <w:rFonts w:ascii="Times New Roman" w:hAnsi="Times New Roman" w:cs="Times New Roman"/>
        </w:rPr>
        <w:t>e</w:t>
      </w:r>
      <w:r w:rsidRPr="00D92823">
        <w:rPr>
          <w:rFonts w:ascii="Times New Roman" w:hAnsi="Times New Roman" w:cs="Times New Roman"/>
        </w:rPr>
        <w:t>riva</w:t>
      </w:r>
      <w:r w:rsidR="008A67D8" w:rsidRPr="00D92823">
        <w:rPr>
          <w:rFonts w:ascii="Times New Roman" w:hAnsi="Times New Roman" w:cs="Times New Roman"/>
        </w:rPr>
        <w:t>, invero</w:t>
      </w:r>
      <w:r w:rsidR="002D28ED" w:rsidRPr="00D92823">
        <w:rPr>
          <w:rFonts w:ascii="Times New Roman" w:hAnsi="Times New Roman" w:cs="Times New Roman"/>
        </w:rPr>
        <w:t xml:space="preserve">, </w:t>
      </w:r>
      <w:r w:rsidR="00206353" w:rsidRPr="00D92823">
        <w:rPr>
          <w:rFonts w:ascii="Times New Roman" w:hAnsi="Times New Roman" w:cs="Times New Roman"/>
        </w:rPr>
        <w:t>d</w:t>
      </w:r>
      <w:r w:rsidR="002D28ED" w:rsidRPr="00D92823">
        <w:rPr>
          <w:rFonts w:ascii="Times New Roman" w:hAnsi="Times New Roman" w:cs="Times New Roman"/>
        </w:rPr>
        <w:t>al</w:t>
      </w:r>
      <w:r w:rsidR="00F962A3" w:rsidRPr="00D92823">
        <w:rPr>
          <w:rFonts w:ascii="Times New Roman" w:hAnsi="Times New Roman" w:cs="Times New Roman"/>
        </w:rPr>
        <w:t xml:space="preserve"> fatto che </w:t>
      </w:r>
      <w:r w:rsidR="008A67D8" w:rsidRPr="00D92823">
        <w:rPr>
          <w:rFonts w:ascii="Times New Roman" w:hAnsi="Times New Roman" w:cs="Times New Roman"/>
        </w:rPr>
        <w:t>il professionista</w:t>
      </w:r>
      <w:r w:rsidR="00F962A3" w:rsidRPr="00D92823">
        <w:rPr>
          <w:rFonts w:ascii="Times New Roman" w:hAnsi="Times New Roman" w:cs="Times New Roman"/>
        </w:rPr>
        <w:t>, partecipando all</w:t>
      </w:r>
      <w:r w:rsidR="00AE5F25" w:rsidRPr="00D92823">
        <w:rPr>
          <w:rFonts w:ascii="Times New Roman" w:hAnsi="Times New Roman" w:cs="Times New Roman"/>
        </w:rPr>
        <w:t>’incanto</w:t>
      </w:r>
      <w:r w:rsidR="00F962A3" w:rsidRPr="00D92823">
        <w:rPr>
          <w:rFonts w:ascii="Times New Roman" w:hAnsi="Times New Roman" w:cs="Times New Roman"/>
        </w:rPr>
        <w:t xml:space="preserve">, assume </w:t>
      </w:r>
      <w:r w:rsidR="002D28ED" w:rsidRPr="00D92823">
        <w:rPr>
          <w:rFonts w:ascii="Times New Roman" w:hAnsi="Times New Roman" w:cs="Times New Roman"/>
        </w:rPr>
        <w:t>l</w:t>
      </w:r>
      <w:r w:rsidR="00206353" w:rsidRPr="00D92823">
        <w:rPr>
          <w:rFonts w:ascii="Times New Roman" w:hAnsi="Times New Roman" w:cs="Times New Roman"/>
        </w:rPr>
        <w:t xml:space="preserve">a </w:t>
      </w:r>
      <w:r w:rsidR="008A67D8" w:rsidRPr="00D92823">
        <w:rPr>
          <w:rFonts w:ascii="Times New Roman" w:hAnsi="Times New Roman" w:cs="Times New Roman"/>
        </w:rPr>
        <w:t>(</w:t>
      </w:r>
      <w:r w:rsidR="004A2A40" w:rsidRPr="00D92823">
        <w:rPr>
          <w:rFonts w:ascii="Times New Roman" w:hAnsi="Times New Roman" w:cs="Times New Roman"/>
        </w:rPr>
        <w:t>ulteriore</w:t>
      </w:r>
      <w:r w:rsidR="008A67D8" w:rsidRPr="00D92823">
        <w:rPr>
          <w:rFonts w:ascii="Times New Roman" w:hAnsi="Times New Roman" w:cs="Times New Roman"/>
        </w:rPr>
        <w:t xml:space="preserve">) </w:t>
      </w:r>
      <w:r w:rsidR="00AE5F25" w:rsidRPr="00D92823">
        <w:rPr>
          <w:rFonts w:ascii="Times New Roman" w:hAnsi="Times New Roman" w:cs="Times New Roman"/>
        </w:rPr>
        <w:t>qual</w:t>
      </w:r>
      <w:r w:rsidR="00206353" w:rsidRPr="00D92823">
        <w:rPr>
          <w:rFonts w:ascii="Times New Roman" w:hAnsi="Times New Roman" w:cs="Times New Roman"/>
        </w:rPr>
        <w:t>i</w:t>
      </w:r>
      <w:r w:rsidR="00AE5F25" w:rsidRPr="00D92823">
        <w:rPr>
          <w:rFonts w:ascii="Times New Roman" w:hAnsi="Times New Roman" w:cs="Times New Roman"/>
        </w:rPr>
        <w:t>tà</w:t>
      </w:r>
      <w:r w:rsidR="00206353" w:rsidRPr="00D92823">
        <w:rPr>
          <w:rFonts w:ascii="Times New Roman" w:hAnsi="Times New Roman" w:cs="Times New Roman"/>
        </w:rPr>
        <w:t xml:space="preserve"> </w:t>
      </w:r>
      <w:r w:rsidR="00F962A3" w:rsidRPr="00D92823">
        <w:rPr>
          <w:rFonts w:ascii="Times New Roman" w:hAnsi="Times New Roman" w:cs="Times New Roman"/>
        </w:rPr>
        <w:t>di</w:t>
      </w:r>
      <w:r w:rsidR="00206353" w:rsidRPr="00D92823">
        <w:rPr>
          <w:rFonts w:ascii="Times New Roman" w:hAnsi="Times New Roman" w:cs="Times New Roman"/>
        </w:rPr>
        <w:t xml:space="preserve"> “operatore economico</w:t>
      </w:r>
      <w:r w:rsidR="008C4F8E" w:rsidRPr="00D92823">
        <w:rPr>
          <w:rFonts w:ascii="Times New Roman" w:hAnsi="Times New Roman" w:cs="Times New Roman"/>
        </w:rPr>
        <w:t>”,</w:t>
      </w:r>
      <w:r w:rsidR="00206353" w:rsidRPr="00D92823">
        <w:rPr>
          <w:rFonts w:ascii="Times New Roman" w:hAnsi="Times New Roman" w:cs="Times New Roman"/>
        </w:rPr>
        <w:t xml:space="preserve"> </w:t>
      </w:r>
      <w:r w:rsidR="008A67D8" w:rsidRPr="00D92823">
        <w:rPr>
          <w:rFonts w:ascii="Times New Roman" w:hAnsi="Times New Roman" w:cs="Times New Roman"/>
        </w:rPr>
        <w:t xml:space="preserve">che è il termine </w:t>
      </w:r>
      <w:r w:rsidR="00F962A3" w:rsidRPr="00D92823">
        <w:rPr>
          <w:rFonts w:ascii="Times New Roman" w:hAnsi="Times New Roman" w:cs="Times New Roman"/>
        </w:rPr>
        <w:t>utilizzat</w:t>
      </w:r>
      <w:r w:rsidR="008A67D8" w:rsidRPr="00D92823">
        <w:rPr>
          <w:rFonts w:ascii="Times New Roman" w:hAnsi="Times New Roman" w:cs="Times New Roman"/>
        </w:rPr>
        <w:t>o</w:t>
      </w:r>
      <w:r w:rsidR="00F962A3" w:rsidRPr="00D92823">
        <w:rPr>
          <w:rFonts w:ascii="Times New Roman" w:hAnsi="Times New Roman" w:cs="Times New Roman"/>
        </w:rPr>
        <w:t xml:space="preserve"> a livello europeo, </w:t>
      </w:r>
      <w:r w:rsidR="008C4F8E" w:rsidRPr="00D92823">
        <w:rPr>
          <w:rFonts w:ascii="Times New Roman" w:hAnsi="Times New Roman" w:cs="Times New Roman"/>
        </w:rPr>
        <w:t>sin da</w:t>
      </w:r>
      <w:r w:rsidR="00206353" w:rsidRPr="00D92823">
        <w:rPr>
          <w:rFonts w:ascii="Times New Roman" w:hAnsi="Times New Roman" w:cs="Times New Roman"/>
        </w:rPr>
        <w:t xml:space="preserve">lle direttive </w:t>
      </w:r>
      <w:r w:rsidR="008C4F8E" w:rsidRPr="00D92823">
        <w:rPr>
          <w:rFonts w:ascii="Times New Roman" w:hAnsi="Times New Roman" w:cs="Times New Roman"/>
        </w:rPr>
        <w:t>2004/18/CE e 2004/17/CE</w:t>
      </w:r>
      <w:r w:rsidR="008B6706" w:rsidRPr="00D92823">
        <w:rPr>
          <w:rFonts w:ascii="Times New Roman" w:hAnsi="Times New Roman" w:cs="Times New Roman"/>
        </w:rPr>
        <w:t xml:space="preserve">, per indicare i soggetti ammessi alle gare </w:t>
      </w:r>
      <w:r w:rsidR="008A67D8" w:rsidRPr="00D92823">
        <w:rPr>
          <w:rFonts w:ascii="Times New Roman" w:hAnsi="Times New Roman" w:cs="Times New Roman"/>
        </w:rPr>
        <w:t>pubbliche</w:t>
      </w:r>
      <w:r w:rsidR="008C4F8E" w:rsidRPr="00D92823">
        <w:rPr>
          <w:rFonts w:ascii="Times New Roman" w:hAnsi="Times New Roman" w:cs="Times New Roman"/>
        </w:rPr>
        <w:t>.</w:t>
      </w:r>
    </w:p>
    <w:p w:rsidR="008C4F8E" w:rsidRPr="00D92823" w:rsidRDefault="001D7DA4" w:rsidP="00D92823">
      <w:pPr>
        <w:ind w:left="567" w:right="140" w:firstLine="850"/>
        <w:jc w:val="both"/>
        <w:rPr>
          <w:rFonts w:ascii="Times New Roman" w:hAnsi="Times New Roman" w:cs="Times New Roman"/>
        </w:rPr>
      </w:pPr>
      <w:r w:rsidRPr="00D92823">
        <w:rPr>
          <w:rFonts w:ascii="Times New Roman" w:hAnsi="Times New Roman" w:cs="Times New Roman"/>
        </w:rPr>
        <w:t>Ora, la</w:t>
      </w:r>
      <w:r w:rsidR="008C4F8E" w:rsidRPr="00D92823">
        <w:rPr>
          <w:rFonts w:ascii="Times New Roman" w:hAnsi="Times New Roman" w:cs="Times New Roman"/>
        </w:rPr>
        <w:t xml:space="preserve"> nozione</w:t>
      </w:r>
      <w:r w:rsidR="00F962A3" w:rsidRPr="00D92823">
        <w:rPr>
          <w:rFonts w:ascii="Times New Roman" w:hAnsi="Times New Roman" w:cs="Times New Roman"/>
        </w:rPr>
        <w:t xml:space="preserve"> di “operatore economico”</w:t>
      </w:r>
      <w:r w:rsidR="00206353" w:rsidRPr="00D92823">
        <w:rPr>
          <w:rFonts w:ascii="Times New Roman" w:hAnsi="Times New Roman" w:cs="Times New Roman"/>
        </w:rPr>
        <w:t xml:space="preserve"> non </w:t>
      </w:r>
      <w:r w:rsidR="008C4F8E" w:rsidRPr="00D92823">
        <w:rPr>
          <w:rFonts w:ascii="Times New Roman" w:hAnsi="Times New Roman" w:cs="Times New Roman"/>
        </w:rPr>
        <w:t>è</w:t>
      </w:r>
      <w:r w:rsidR="00206353" w:rsidRPr="00D92823">
        <w:rPr>
          <w:rFonts w:ascii="Times New Roman" w:hAnsi="Times New Roman" w:cs="Times New Roman"/>
        </w:rPr>
        <w:t xml:space="preserve"> sovrapponibile, perché più ampia,</w:t>
      </w:r>
      <w:r w:rsidR="008C4F8E" w:rsidRPr="00D92823">
        <w:rPr>
          <w:rFonts w:ascii="Times New Roman" w:hAnsi="Times New Roman" w:cs="Times New Roman"/>
        </w:rPr>
        <w:t xml:space="preserve"> </w:t>
      </w:r>
      <w:r w:rsidR="00206353" w:rsidRPr="00D92823">
        <w:rPr>
          <w:rFonts w:ascii="Times New Roman" w:hAnsi="Times New Roman" w:cs="Times New Roman"/>
        </w:rPr>
        <w:t xml:space="preserve">alla </w:t>
      </w:r>
      <w:r w:rsidR="008C4F8E" w:rsidRPr="00D92823">
        <w:rPr>
          <w:rFonts w:ascii="Times New Roman" w:hAnsi="Times New Roman" w:cs="Times New Roman"/>
        </w:rPr>
        <w:t xml:space="preserve">nozione </w:t>
      </w:r>
      <w:r w:rsidR="00AE5F25" w:rsidRPr="00D92823">
        <w:rPr>
          <w:rFonts w:ascii="Times New Roman" w:hAnsi="Times New Roman" w:cs="Times New Roman"/>
        </w:rPr>
        <w:t xml:space="preserve">nazionale </w:t>
      </w:r>
      <w:r w:rsidR="008C4F8E" w:rsidRPr="00D92823">
        <w:rPr>
          <w:rFonts w:ascii="Times New Roman" w:hAnsi="Times New Roman" w:cs="Times New Roman"/>
        </w:rPr>
        <w:t xml:space="preserve">di “imprenditore”, </w:t>
      </w:r>
      <w:r w:rsidR="004A2A40" w:rsidRPr="00D92823">
        <w:rPr>
          <w:rFonts w:ascii="Times New Roman" w:hAnsi="Times New Roman" w:cs="Times New Roman"/>
        </w:rPr>
        <w:t xml:space="preserve">venendo ad </w:t>
      </w:r>
      <w:r w:rsidR="008A67D8" w:rsidRPr="00D92823">
        <w:rPr>
          <w:rFonts w:ascii="Times New Roman" w:hAnsi="Times New Roman" w:cs="Times New Roman"/>
        </w:rPr>
        <w:t>identifica</w:t>
      </w:r>
      <w:r w:rsidR="004A2A40" w:rsidRPr="00D92823">
        <w:rPr>
          <w:rFonts w:ascii="Times New Roman" w:hAnsi="Times New Roman" w:cs="Times New Roman"/>
        </w:rPr>
        <w:t>re</w:t>
      </w:r>
      <w:r w:rsidR="008A67D8" w:rsidRPr="00D92823">
        <w:rPr>
          <w:rFonts w:ascii="Times New Roman" w:hAnsi="Times New Roman" w:cs="Times New Roman"/>
        </w:rPr>
        <w:t xml:space="preserve"> </w:t>
      </w:r>
      <w:r w:rsidR="008C4F8E" w:rsidRPr="00D92823">
        <w:rPr>
          <w:rFonts w:ascii="Times New Roman" w:hAnsi="Times New Roman" w:cs="Times New Roman"/>
        </w:rPr>
        <w:t xml:space="preserve">anche soggetti </w:t>
      </w:r>
      <w:r w:rsidR="008A67D8" w:rsidRPr="00D92823">
        <w:rPr>
          <w:rFonts w:ascii="Times New Roman" w:hAnsi="Times New Roman" w:cs="Times New Roman"/>
        </w:rPr>
        <w:t xml:space="preserve">offerenti </w:t>
      </w:r>
      <w:r w:rsidR="008C4F8E" w:rsidRPr="00D92823">
        <w:rPr>
          <w:rFonts w:ascii="Times New Roman" w:hAnsi="Times New Roman" w:cs="Times New Roman"/>
        </w:rPr>
        <w:t xml:space="preserve">che: </w:t>
      </w:r>
      <w:r w:rsidR="008C4F8E" w:rsidRPr="00D92823">
        <w:rPr>
          <w:rFonts w:ascii="Times New Roman" w:hAnsi="Times New Roman" w:cs="Times New Roman"/>
          <w:i/>
        </w:rPr>
        <w:t>a)</w:t>
      </w:r>
      <w:r w:rsidR="008C4F8E" w:rsidRPr="00D92823">
        <w:rPr>
          <w:rFonts w:ascii="Times New Roman" w:hAnsi="Times New Roman" w:cs="Times New Roman"/>
        </w:rPr>
        <w:t xml:space="preserve"> non perseguono un preminente scopo di lucro, </w:t>
      </w:r>
      <w:r w:rsidR="008C4F8E" w:rsidRPr="00D92823">
        <w:rPr>
          <w:rFonts w:ascii="Times New Roman" w:hAnsi="Times New Roman" w:cs="Times New Roman"/>
          <w:i/>
        </w:rPr>
        <w:t>b)</w:t>
      </w:r>
      <w:r w:rsidR="008C4F8E" w:rsidRPr="00D92823">
        <w:rPr>
          <w:rFonts w:ascii="Times New Roman" w:hAnsi="Times New Roman" w:cs="Times New Roman"/>
        </w:rPr>
        <w:t xml:space="preserve"> non dispongono della struttura organizzativa di un’impresa, </w:t>
      </w:r>
      <w:r w:rsidR="008C4F8E" w:rsidRPr="00D92823">
        <w:rPr>
          <w:rFonts w:ascii="Times New Roman" w:hAnsi="Times New Roman" w:cs="Times New Roman"/>
          <w:i/>
        </w:rPr>
        <w:t>c)</w:t>
      </w:r>
      <w:r w:rsidR="008C4F8E" w:rsidRPr="00D92823">
        <w:rPr>
          <w:rFonts w:ascii="Times New Roman" w:hAnsi="Times New Roman" w:cs="Times New Roman"/>
        </w:rPr>
        <w:t xml:space="preserve"> non assicurano una presenza regolare sul mercato</w:t>
      </w:r>
      <w:r w:rsidR="008C4F8E" w:rsidRPr="00D92823">
        <w:rPr>
          <w:rStyle w:val="Rimandonotaapidipagina"/>
          <w:rFonts w:ascii="Times New Roman" w:hAnsi="Times New Roman" w:cs="Times New Roman"/>
        </w:rPr>
        <w:footnoteReference w:id="11"/>
      </w:r>
      <w:r w:rsidR="008C4F8E" w:rsidRPr="00D92823">
        <w:rPr>
          <w:rFonts w:ascii="Times New Roman" w:hAnsi="Times New Roman" w:cs="Times New Roman"/>
        </w:rPr>
        <w:t>.</w:t>
      </w:r>
    </w:p>
    <w:p w:rsidR="00140744" w:rsidRPr="00D92823" w:rsidRDefault="008A67D8" w:rsidP="00D92823">
      <w:pPr>
        <w:ind w:left="567" w:right="140" w:firstLine="850"/>
        <w:jc w:val="both"/>
        <w:rPr>
          <w:rFonts w:ascii="Times New Roman" w:hAnsi="Times New Roman" w:cs="Times New Roman"/>
        </w:rPr>
      </w:pPr>
      <w:r w:rsidRPr="00D92823">
        <w:rPr>
          <w:rFonts w:ascii="Times New Roman" w:hAnsi="Times New Roman" w:cs="Times New Roman"/>
        </w:rPr>
        <w:t xml:space="preserve">Ne consegue che essa </w:t>
      </w:r>
      <w:r w:rsidR="004A2A40" w:rsidRPr="00D92823">
        <w:rPr>
          <w:rFonts w:ascii="Times New Roman" w:hAnsi="Times New Roman" w:cs="Times New Roman"/>
        </w:rPr>
        <w:t xml:space="preserve">ben può </w:t>
      </w:r>
      <w:r w:rsidR="001D7DA4" w:rsidRPr="00D92823">
        <w:rPr>
          <w:rFonts w:ascii="Times New Roman" w:hAnsi="Times New Roman" w:cs="Times New Roman"/>
        </w:rPr>
        <w:t>sussume</w:t>
      </w:r>
      <w:r w:rsidR="004A2A40" w:rsidRPr="00D92823">
        <w:rPr>
          <w:rFonts w:ascii="Times New Roman" w:hAnsi="Times New Roman" w:cs="Times New Roman"/>
        </w:rPr>
        <w:t>re</w:t>
      </w:r>
      <w:r w:rsidR="00E05243" w:rsidRPr="00D92823">
        <w:rPr>
          <w:rFonts w:ascii="Times New Roman" w:hAnsi="Times New Roman" w:cs="Times New Roman"/>
        </w:rPr>
        <w:t xml:space="preserve"> i professionisti che </w:t>
      </w:r>
      <w:r w:rsidR="00AE5F25" w:rsidRPr="00D92823">
        <w:rPr>
          <w:rFonts w:ascii="Times New Roman" w:hAnsi="Times New Roman" w:cs="Times New Roman"/>
        </w:rPr>
        <w:t>competono</w:t>
      </w:r>
      <w:r w:rsidR="007D0C63" w:rsidRPr="00D92823">
        <w:rPr>
          <w:rFonts w:ascii="Times New Roman" w:hAnsi="Times New Roman" w:cs="Times New Roman"/>
        </w:rPr>
        <w:t xml:space="preserve"> </w:t>
      </w:r>
      <w:r w:rsidR="00360291" w:rsidRPr="00D92823">
        <w:rPr>
          <w:rFonts w:ascii="Times New Roman" w:hAnsi="Times New Roman" w:cs="Times New Roman"/>
        </w:rPr>
        <w:t>su</w:t>
      </w:r>
      <w:r w:rsidR="00E05243" w:rsidRPr="00D92823">
        <w:rPr>
          <w:rFonts w:ascii="Times New Roman" w:hAnsi="Times New Roman" w:cs="Times New Roman"/>
        </w:rPr>
        <w:t>l mercato degli appalti pubblici</w:t>
      </w:r>
      <w:r w:rsidRPr="00D92823">
        <w:rPr>
          <w:rFonts w:ascii="Times New Roman" w:hAnsi="Times New Roman" w:cs="Times New Roman"/>
        </w:rPr>
        <w:t>, i quali</w:t>
      </w:r>
      <w:r w:rsidR="00E05243" w:rsidRPr="00D92823">
        <w:rPr>
          <w:rFonts w:ascii="Times New Roman" w:hAnsi="Times New Roman" w:cs="Times New Roman"/>
        </w:rPr>
        <w:t xml:space="preserve"> </w:t>
      </w:r>
      <w:r w:rsidRPr="00D92823">
        <w:rPr>
          <w:rFonts w:ascii="Times New Roman" w:hAnsi="Times New Roman" w:cs="Times New Roman"/>
        </w:rPr>
        <w:t>s</w:t>
      </w:r>
      <w:r w:rsidR="00AE5F25" w:rsidRPr="00D92823">
        <w:rPr>
          <w:rFonts w:ascii="Times New Roman" w:hAnsi="Times New Roman" w:cs="Times New Roman"/>
        </w:rPr>
        <w:t>o</w:t>
      </w:r>
      <w:r w:rsidRPr="00D92823">
        <w:rPr>
          <w:rFonts w:ascii="Times New Roman" w:hAnsi="Times New Roman" w:cs="Times New Roman"/>
        </w:rPr>
        <w:t>no</w:t>
      </w:r>
      <w:r w:rsidR="00E05243" w:rsidRPr="00D92823">
        <w:rPr>
          <w:rFonts w:ascii="Times New Roman" w:hAnsi="Times New Roman" w:cs="Times New Roman"/>
        </w:rPr>
        <w:t xml:space="preserve"> “operatori economici”</w:t>
      </w:r>
      <w:r w:rsidR="007D0C63" w:rsidRPr="00D92823">
        <w:rPr>
          <w:rFonts w:ascii="Times New Roman" w:hAnsi="Times New Roman" w:cs="Times New Roman"/>
        </w:rPr>
        <w:t xml:space="preserve">, </w:t>
      </w:r>
      <w:r w:rsidR="00E05243" w:rsidRPr="00D92823">
        <w:rPr>
          <w:rFonts w:ascii="Times New Roman" w:hAnsi="Times New Roman" w:cs="Times New Roman"/>
        </w:rPr>
        <w:t xml:space="preserve">alla </w:t>
      </w:r>
      <w:r w:rsidRPr="00D92823">
        <w:rPr>
          <w:rFonts w:ascii="Times New Roman" w:hAnsi="Times New Roman" w:cs="Times New Roman"/>
        </w:rPr>
        <w:t xml:space="preserve">stessa </w:t>
      </w:r>
      <w:r w:rsidR="00E05243" w:rsidRPr="00D92823">
        <w:rPr>
          <w:rFonts w:ascii="Times New Roman" w:hAnsi="Times New Roman" w:cs="Times New Roman"/>
        </w:rPr>
        <w:t xml:space="preserve">stregua degli imprenditori e degli altri soggetti </w:t>
      </w:r>
      <w:r w:rsidR="008B00D2" w:rsidRPr="00D92823">
        <w:rPr>
          <w:rFonts w:ascii="Times New Roman" w:hAnsi="Times New Roman" w:cs="Times New Roman"/>
        </w:rPr>
        <w:t>equipar</w:t>
      </w:r>
      <w:r w:rsidR="00E05243" w:rsidRPr="00D92823">
        <w:rPr>
          <w:rFonts w:ascii="Times New Roman" w:hAnsi="Times New Roman" w:cs="Times New Roman"/>
        </w:rPr>
        <w:t>ati.</w:t>
      </w:r>
    </w:p>
    <w:p w:rsidR="00AC04D5" w:rsidRPr="00D92823" w:rsidRDefault="004A2A40" w:rsidP="00D92823">
      <w:pPr>
        <w:ind w:left="567" w:right="140" w:firstLine="850"/>
        <w:jc w:val="both"/>
        <w:rPr>
          <w:rFonts w:ascii="Times New Roman" w:hAnsi="Times New Roman" w:cs="Times New Roman"/>
        </w:rPr>
      </w:pPr>
      <w:r w:rsidRPr="00D92823">
        <w:rPr>
          <w:rFonts w:ascii="Times New Roman" w:hAnsi="Times New Roman" w:cs="Times New Roman"/>
        </w:rPr>
        <w:t>Tuttavia, s</w:t>
      </w:r>
      <w:r w:rsidR="00AA139A" w:rsidRPr="00D92823">
        <w:rPr>
          <w:rFonts w:ascii="Times New Roman" w:hAnsi="Times New Roman" w:cs="Times New Roman"/>
        </w:rPr>
        <w:t>econdo la posizione giurisprudenziale</w:t>
      </w:r>
      <w:r w:rsidR="007D0C63" w:rsidRPr="00D92823">
        <w:rPr>
          <w:rFonts w:ascii="Times New Roman" w:hAnsi="Times New Roman" w:cs="Times New Roman"/>
        </w:rPr>
        <w:t xml:space="preserve"> prevalente</w:t>
      </w:r>
      <w:r w:rsidR="00AA139A" w:rsidRPr="00D92823">
        <w:rPr>
          <w:rFonts w:ascii="Times New Roman" w:hAnsi="Times New Roman" w:cs="Times New Roman"/>
        </w:rPr>
        <w:t>, c</w:t>
      </w:r>
      <w:r w:rsidR="002768F9" w:rsidRPr="00D92823">
        <w:rPr>
          <w:rFonts w:ascii="Times New Roman" w:hAnsi="Times New Roman" w:cs="Times New Roman"/>
        </w:rPr>
        <w:t>ondizione necessaria per</w:t>
      </w:r>
      <w:r w:rsidR="007D0C63" w:rsidRPr="00D92823">
        <w:rPr>
          <w:rFonts w:ascii="Times New Roman" w:hAnsi="Times New Roman" w:cs="Times New Roman"/>
        </w:rPr>
        <w:t>ché</w:t>
      </w:r>
      <w:r w:rsidR="002768F9" w:rsidRPr="00D92823">
        <w:rPr>
          <w:rFonts w:ascii="Times New Roman" w:hAnsi="Times New Roman" w:cs="Times New Roman"/>
        </w:rPr>
        <w:t xml:space="preserve"> </w:t>
      </w:r>
      <w:r w:rsidR="007D0C63" w:rsidRPr="00D92823">
        <w:rPr>
          <w:rFonts w:ascii="Times New Roman" w:hAnsi="Times New Roman" w:cs="Times New Roman"/>
        </w:rPr>
        <w:t xml:space="preserve">il professionista </w:t>
      </w:r>
      <w:r w:rsidR="00AC04D5" w:rsidRPr="00D92823">
        <w:rPr>
          <w:rFonts w:ascii="Times New Roman" w:hAnsi="Times New Roman" w:cs="Times New Roman"/>
        </w:rPr>
        <w:t xml:space="preserve">assuma la qualità di soggetto ammesso alla gara e, quindi, di “operatore economico”, ai sensi dell’art. 3, </w:t>
      </w:r>
      <w:proofErr w:type="spellStart"/>
      <w:r w:rsidR="00AC04D5" w:rsidRPr="00D92823">
        <w:rPr>
          <w:rFonts w:ascii="Times New Roman" w:hAnsi="Times New Roman" w:cs="Times New Roman"/>
        </w:rPr>
        <w:t>lett</w:t>
      </w:r>
      <w:proofErr w:type="spellEnd"/>
      <w:r w:rsidR="00AC04D5" w:rsidRPr="00D92823">
        <w:rPr>
          <w:rFonts w:ascii="Times New Roman" w:hAnsi="Times New Roman" w:cs="Times New Roman"/>
        </w:rPr>
        <w:t xml:space="preserve">. </w:t>
      </w:r>
      <w:proofErr w:type="spellStart"/>
      <w:r w:rsidR="00AC04D5" w:rsidRPr="00D92823">
        <w:rPr>
          <w:rFonts w:ascii="Times New Roman" w:hAnsi="Times New Roman" w:cs="Times New Roman"/>
        </w:rPr>
        <w:t>vvvv</w:t>
      </w:r>
      <w:proofErr w:type="spellEnd"/>
      <w:r w:rsidR="00AC04D5" w:rsidRPr="00D92823">
        <w:rPr>
          <w:rFonts w:ascii="Times New Roman" w:hAnsi="Times New Roman" w:cs="Times New Roman"/>
        </w:rPr>
        <w:t xml:space="preserve">), è che questi partecipi </w:t>
      </w:r>
      <w:r w:rsidRPr="00D92823">
        <w:rPr>
          <w:rFonts w:ascii="Times New Roman" w:hAnsi="Times New Roman" w:cs="Times New Roman"/>
        </w:rPr>
        <w:t xml:space="preserve">alla gara </w:t>
      </w:r>
      <w:r w:rsidR="00AC04D5" w:rsidRPr="00D92823">
        <w:rPr>
          <w:rFonts w:ascii="Times New Roman" w:hAnsi="Times New Roman" w:cs="Times New Roman"/>
        </w:rPr>
        <w:t>direttamente</w:t>
      </w:r>
      <w:r w:rsidRPr="00D92823">
        <w:rPr>
          <w:rFonts w:ascii="Times New Roman" w:hAnsi="Times New Roman" w:cs="Times New Roman"/>
        </w:rPr>
        <w:t>, ossia</w:t>
      </w:r>
      <w:r w:rsidR="00AC04D5" w:rsidRPr="00D92823">
        <w:rPr>
          <w:rFonts w:ascii="Times New Roman" w:hAnsi="Times New Roman" w:cs="Times New Roman"/>
        </w:rPr>
        <w:t xml:space="preserve"> come concorrente e non come soggetto “indicato”, ai fini dell’avvalimento.</w:t>
      </w:r>
    </w:p>
    <w:p w:rsidR="00440D50" w:rsidRPr="00D92823" w:rsidRDefault="00AE30B0" w:rsidP="00D92823">
      <w:pPr>
        <w:ind w:left="567" w:right="140" w:firstLine="850"/>
        <w:jc w:val="both"/>
        <w:rPr>
          <w:rFonts w:ascii="Times New Roman" w:hAnsi="Times New Roman" w:cs="Times New Roman"/>
        </w:rPr>
      </w:pPr>
      <w:r w:rsidRPr="00D92823">
        <w:rPr>
          <w:rFonts w:ascii="Times New Roman" w:hAnsi="Times New Roman" w:cs="Times New Roman"/>
        </w:rPr>
        <w:t>Infatti, l</w:t>
      </w:r>
      <w:r w:rsidR="00B15F8E" w:rsidRPr="00D92823">
        <w:rPr>
          <w:rFonts w:ascii="Times New Roman" w:hAnsi="Times New Roman" w:cs="Times New Roman"/>
        </w:rPr>
        <w:t>a</w:t>
      </w:r>
      <w:r w:rsidR="000A6EDC" w:rsidRPr="00D92823">
        <w:rPr>
          <w:rFonts w:ascii="Times New Roman" w:hAnsi="Times New Roman" w:cs="Times New Roman"/>
        </w:rPr>
        <w:t xml:space="preserve"> possi</w:t>
      </w:r>
      <w:r w:rsidR="00B15F8E" w:rsidRPr="00D92823">
        <w:rPr>
          <w:rFonts w:ascii="Times New Roman" w:hAnsi="Times New Roman" w:cs="Times New Roman"/>
        </w:rPr>
        <w:t>bilità</w:t>
      </w:r>
      <w:r w:rsidR="007A6FD1" w:rsidRPr="00D92823">
        <w:rPr>
          <w:rFonts w:ascii="Times New Roman" w:hAnsi="Times New Roman" w:cs="Times New Roman"/>
        </w:rPr>
        <w:t>,</w:t>
      </w:r>
      <w:r w:rsidR="000A6EDC" w:rsidRPr="00D92823">
        <w:rPr>
          <w:rFonts w:ascii="Times New Roman" w:hAnsi="Times New Roman" w:cs="Times New Roman"/>
        </w:rPr>
        <w:t xml:space="preserve"> </w:t>
      </w:r>
      <w:r w:rsidR="007A6FD1" w:rsidRPr="00D92823">
        <w:rPr>
          <w:rFonts w:ascii="Times New Roman" w:hAnsi="Times New Roman" w:cs="Times New Roman"/>
        </w:rPr>
        <w:t>per l’aggiudicatario privo dei requisiti di partecipazione per la parte relativa ai servizi di progettazione</w:t>
      </w:r>
      <w:r w:rsidR="00183FA7" w:rsidRPr="00D92823">
        <w:rPr>
          <w:rFonts w:ascii="Times New Roman" w:hAnsi="Times New Roman" w:cs="Times New Roman"/>
        </w:rPr>
        <w:t>,</w:t>
      </w:r>
      <w:r w:rsidR="007A6FD1" w:rsidRPr="00D92823">
        <w:rPr>
          <w:rFonts w:ascii="Times New Roman" w:hAnsi="Times New Roman" w:cs="Times New Roman"/>
        </w:rPr>
        <w:t xml:space="preserve"> </w:t>
      </w:r>
      <w:r w:rsidR="000A6EDC" w:rsidRPr="00D92823">
        <w:rPr>
          <w:rFonts w:ascii="Times New Roman" w:hAnsi="Times New Roman" w:cs="Times New Roman"/>
        </w:rPr>
        <w:t>di avvalersi di un progettista “indicato”</w:t>
      </w:r>
      <w:r w:rsidR="007A6FD1" w:rsidRPr="00D92823">
        <w:rPr>
          <w:rFonts w:ascii="Times New Roman" w:hAnsi="Times New Roman" w:cs="Times New Roman"/>
        </w:rPr>
        <w:t xml:space="preserve">, </w:t>
      </w:r>
      <w:r w:rsidR="000A6EDC" w:rsidRPr="00D92823">
        <w:rPr>
          <w:rFonts w:ascii="Times New Roman" w:hAnsi="Times New Roman" w:cs="Times New Roman"/>
        </w:rPr>
        <w:t xml:space="preserve">viene generalmente esclusa </w:t>
      </w:r>
      <w:r w:rsidR="00B15F8E" w:rsidRPr="00D92823">
        <w:rPr>
          <w:rFonts w:ascii="Times New Roman" w:hAnsi="Times New Roman" w:cs="Times New Roman"/>
        </w:rPr>
        <w:t xml:space="preserve">sulla considerazione </w:t>
      </w:r>
      <w:r w:rsidR="00AC04D5" w:rsidRPr="00D92823">
        <w:rPr>
          <w:rFonts w:ascii="Times New Roman" w:hAnsi="Times New Roman" w:cs="Times New Roman"/>
        </w:rPr>
        <w:t xml:space="preserve">che </w:t>
      </w:r>
      <w:r w:rsidR="000A6EDC" w:rsidRPr="00D92823">
        <w:rPr>
          <w:rFonts w:ascii="Times New Roman" w:hAnsi="Times New Roman" w:cs="Times New Roman"/>
        </w:rPr>
        <w:t>ciò</w:t>
      </w:r>
      <w:r w:rsidR="00B15F8E" w:rsidRPr="00D92823">
        <w:rPr>
          <w:rFonts w:ascii="Times New Roman" w:hAnsi="Times New Roman" w:cs="Times New Roman"/>
        </w:rPr>
        <w:t xml:space="preserve"> non tutel</w:t>
      </w:r>
      <w:r w:rsidR="00EA3C49" w:rsidRPr="00D92823">
        <w:rPr>
          <w:rFonts w:ascii="Times New Roman" w:hAnsi="Times New Roman" w:cs="Times New Roman"/>
        </w:rPr>
        <w:t>erebbe</w:t>
      </w:r>
      <w:r w:rsidR="00B15F8E" w:rsidRPr="00D92823">
        <w:rPr>
          <w:rFonts w:ascii="Times New Roman" w:hAnsi="Times New Roman" w:cs="Times New Roman"/>
        </w:rPr>
        <w:t xml:space="preserve"> </w:t>
      </w:r>
      <w:r w:rsidR="00EA3C49" w:rsidRPr="00D92823">
        <w:rPr>
          <w:rFonts w:ascii="Times New Roman" w:hAnsi="Times New Roman" w:cs="Times New Roman"/>
        </w:rPr>
        <w:t xml:space="preserve">gli interessi </w:t>
      </w:r>
      <w:r w:rsidR="00B15F8E" w:rsidRPr="00D92823">
        <w:rPr>
          <w:rFonts w:ascii="Times New Roman" w:hAnsi="Times New Roman" w:cs="Times New Roman"/>
        </w:rPr>
        <w:t>del</w:t>
      </w:r>
      <w:r w:rsidR="000A6EDC" w:rsidRPr="00D92823">
        <w:rPr>
          <w:rFonts w:ascii="Times New Roman" w:hAnsi="Times New Roman" w:cs="Times New Roman"/>
        </w:rPr>
        <w:t xml:space="preserve"> committe</w:t>
      </w:r>
      <w:r w:rsidR="00B15F8E" w:rsidRPr="00D92823">
        <w:rPr>
          <w:rFonts w:ascii="Times New Roman" w:hAnsi="Times New Roman" w:cs="Times New Roman"/>
        </w:rPr>
        <w:t>nte</w:t>
      </w:r>
      <w:r w:rsidR="00EA3C49" w:rsidRPr="00D92823">
        <w:rPr>
          <w:rFonts w:ascii="Times New Roman" w:hAnsi="Times New Roman" w:cs="Times New Roman"/>
        </w:rPr>
        <w:t xml:space="preserve"> pubblico</w:t>
      </w:r>
      <w:r w:rsidR="00B15F8E" w:rsidRPr="00D92823">
        <w:rPr>
          <w:rFonts w:ascii="Times New Roman" w:hAnsi="Times New Roman" w:cs="Times New Roman"/>
        </w:rPr>
        <w:t xml:space="preserve">, perché </w:t>
      </w:r>
      <w:r w:rsidR="005A25AD" w:rsidRPr="00D92823">
        <w:rPr>
          <w:rFonts w:ascii="Times New Roman" w:hAnsi="Times New Roman" w:cs="Times New Roman"/>
        </w:rPr>
        <w:t xml:space="preserve">è </w:t>
      </w:r>
      <w:r w:rsidR="00440D50" w:rsidRPr="00D92823">
        <w:rPr>
          <w:rFonts w:ascii="Times New Roman" w:hAnsi="Times New Roman" w:cs="Times New Roman"/>
        </w:rPr>
        <w:t xml:space="preserve">soltanto </w:t>
      </w:r>
      <w:r w:rsidR="005A25AD" w:rsidRPr="00D92823">
        <w:rPr>
          <w:rFonts w:ascii="Times New Roman" w:hAnsi="Times New Roman" w:cs="Times New Roman"/>
        </w:rPr>
        <w:t>il concorrente ad assumere l’obbligo contrattuale della progettazione, mentre l’ausiliario si limita ad obbligarsi, verso il concorrente e</w:t>
      </w:r>
      <w:r w:rsidR="00AA139A" w:rsidRPr="00D92823">
        <w:rPr>
          <w:rFonts w:ascii="Times New Roman" w:hAnsi="Times New Roman" w:cs="Times New Roman"/>
        </w:rPr>
        <w:t xml:space="preserve"> verso</w:t>
      </w:r>
      <w:r w:rsidR="005A25AD" w:rsidRPr="00D92823">
        <w:rPr>
          <w:rFonts w:ascii="Times New Roman" w:hAnsi="Times New Roman" w:cs="Times New Roman"/>
        </w:rPr>
        <w:t xml:space="preserve"> la stazione appaltante, a mettere a disposizione le risorse necessarie di cui è carente il concorrente</w:t>
      </w:r>
      <w:r w:rsidR="00AA139A" w:rsidRPr="00D92823">
        <w:rPr>
          <w:rFonts w:ascii="Times New Roman" w:hAnsi="Times New Roman" w:cs="Times New Roman"/>
        </w:rPr>
        <w:t>,</w:t>
      </w:r>
      <w:r w:rsidR="005A25AD" w:rsidRPr="00D92823">
        <w:rPr>
          <w:rFonts w:ascii="Times New Roman" w:hAnsi="Times New Roman" w:cs="Times New Roman"/>
        </w:rPr>
        <w:t xml:space="preserve"> mediante apposita dichiarazione</w:t>
      </w:r>
      <w:r w:rsidR="005A25AD" w:rsidRPr="00D92823">
        <w:rPr>
          <w:rStyle w:val="Rimandonotaapidipagina"/>
          <w:rFonts w:ascii="Times New Roman" w:hAnsi="Times New Roman" w:cs="Times New Roman"/>
        </w:rPr>
        <w:footnoteReference w:id="12"/>
      </w:r>
      <w:r w:rsidR="005A25AD" w:rsidRPr="00D92823">
        <w:rPr>
          <w:rFonts w:ascii="Times New Roman" w:hAnsi="Times New Roman" w:cs="Times New Roman"/>
        </w:rPr>
        <w:t>.</w:t>
      </w:r>
    </w:p>
    <w:p w:rsidR="00360291" w:rsidRPr="00D92823" w:rsidRDefault="00AE30B0" w:rsidP="00D92823">
      <w:pPr>
        <w:ind w:left="567" w:right="140" w:firstLine="850"/>
        <w:jc w:val="both"/>
        <w:rPr>
          <w:rFonts w:ascii="Times New Roman" w:hAnsi="Times New Roman" w:cs="Times New Roman"/>
          <w:sz w:val="20"/>
          <w:szCs w:val="20"/>
        </w:rPr>
      </w:pPr>
      <w:r w:rsidRPr="00D92823">
        <w:rPr>
          <w:rFonts w:ascii="Times New Roman" w:hAnsi="Times New Roman" w:cs="Times New Roman"/>
        </w:rPr>
        <w:t>E l</w:t>
      </w:r>
      <w:r w:rsidR="00360291" w:rsidRPr="00D92823">
        <w:rPr>
          <w:rFonts w:ascii="Times New Roman" w:hAnsi="Times New Roman" w:cs="Times New Roman"/>
        </w:rPr>
        <w:t>o stesso va</w:t>
      </w:r>
      <w:r w:rsidR="00183FA7" w:rsidRPr="00D92823">
        <w:rPr>
          <w:rFonts w:ascii="Times New Roman" w:hAnsi="Times New Roman" w:cs="Times New Roman"/>
        </w:rPr>
        <w:t>rr</w:t>
      </w:r>
      <w:r w:rsidR="00360291" w:rsidRPr="00D92823">
        <w:rPr>
          <w:rFonts w:ascii="Times New Roman" w:hAnsi="Times New Roman" w:cs="Times New Roman"/>
        </w:rPr>
        <w:t>e</w:t>
      </w:r>
      <w:r w:rsidR="00183FA7" w:rsidRPr="00D92823">
        <w:rPr>
          <w:rFonts w:ascii="Times New Roman" w:hAnsi="Times New Roman" w:cs="Times New Roman"/>
        </w:rPr>
        <w:t>bbe</w:t>
      </w:r>
      <w:r w:rsidR="00360291" w:rsidRPr="00D92823">
        <w:rPr>
          <w:rFonts w:ascii="Times New Roman" w:hAnsi="Times New Roman" w:cs="Times New Roman"/>
        </w:rPr>
        <w:t>, ovviamente, per l’ipotesi del subavvalimento, in cui è il progettista “indicato” a ricorrere ai requisiti posseduti da terzi</w:t>
      </w:r>
      <w:r w:rsidR="00360291" w:rsidRPr="00D92823">
        <w:rPr>
          <w:rStyle w:val="Rimandonotaapidipagina"/>
          <w:rFonts w:ascii="Times New Roman" w:hAnsi="Times New Roman" w:cs="Times New Roman"/>
        </w:rPr>
        <w:footnoteReference w:id="13"/>
      </w:r>
      <w:r w:rsidR="00360291" w:rsidRPr="00D92823">
        <w:rPr>
          <w:rFonts w:ascii="Times New Roman" w:hAnsi="Times New Roman" w:cs="Times New Roman"/>
          <w:sz w:val="20"/>
          <w:szCs w:val="20"/>
        </w:rPr>
        <w:t>.</w:t>
      </w:r>
    </w:p>
    <w:p w:rsidR="0005187A" w:rsidRPr="00D92823" w:rsidRDefault="000A6EDC" w:rsidP="00D92823">
      <w:pPr>
        <w:ind w:left="567" w:right="140" w:firstLine="850"/>
        <w:jc w:val="both"/>
        <w:rPr>
          <w:rFonts w:ascii="Times New Roman" w:hAnsi="Times New Roman" w:cs="Times New Roman"/>
        </w:rPr>
      </w:pPr>
      <w:r w:rsidRPr="00D92823">
        <w:rPr>
          <w:rFonts w:ascii="Times New Roman" w:hAnsi="Times New Roman" w:cs="Times New Roman"/>
        </w:rPr>
        <w:t xml:space="preserve">Va tuttavia </w:t>
      </w:r>
      <w:r w:rsidR="000A77C7" w:rsidRPr="00D92823">
        <w:rPr>
          <w:rFonts w:ascii="Times New Roman" w:hAnsi="Times New Roman" w:cs="Times New Roman"/>
        </w:rPr>
        <w:t>precisa</w:t>
      </w:r>
      <w:r w:rsidRPr="00D92823">
        <w:rPr>
          <w:rFonts w:ascii="Times New Roman" w:hAnsi="Times New Roman" w:cs="Times New Roman"/>
        </w:rPr>
        <w:t>to</w:t>
      </w:r>
      <w:r w:rsidR="00AE30B0" w:rsidRPr="00D92823">
        <w:rPr>
          <w:rFonts w:ascii="Times New Roman" w:hAnsi="Times New Roman" w:cs="Times New Roman"/>
        </w:rPr>
        <w:t>, per un verso,</w:t>
      </w:r>
      <w:r w:rsidRPr="00D92823">
        <w:rPr>
          <w:rFonts w:ascii="Times New Roman" w:hAnsi="Times New Roman" w:cs="Times New Roman"/>
        </w:rPr>
        <w:t xml:space="preserve"> che</w:t>
      </w:r>
      <w:r w:rsidR="0005187A" w:rsidRPr="00D92823">
        <w:rPr>
          <w:rFonts w:ascii="Times New Roman" w:hAnsi="Times New Roman" w:cs="Times New Roman"/>
        </w:rPr>
        <w:t xml:space="preserve">, con una più recente statuizione, il Consiglio di Stato ha affermato l’ammissibilità dell’avvalimento </w:t>
      </w:r>
      <w:r w:rsidR="000A77C7" w:rsidRPr="00D92823">
        <w:rPr>
          <w:rFonts w:ascii="Times New Roman" w:hAnsi="Times New Roman" w:cs="Times New Roman"/>
        </w:rPr>
        <w:t xml:space="preserve">di un </w:t>
      </w:r>
      <w:r w:rsidR="0005187A" w:rsidRPr="00D92823">
        <w:rPr>
          <w:rFonts w:ascii="Times New Roman" w:hAnsi="Times New Roman" w:cs="Times New Roman"/>
        </w:rPr>
        <w:t xml:space="preserve">professionista esterno, </w:t>
      </w:r>
      <w:r w:rsidR="00183FA7" w:rsidRPr="00D92823">
        <w:rPr>
          <w:rFonts w:ascii="Times New Roman" w:hAnsi="Times New Roman" w:cs="Times New Roman"/>
        </w:rPr>
        <w:t>da parte di</w:t>
      </w:r>
      <w:r w:rsidR="000A77C7" w:rsidRPr="00D92823">
        <w:rPr>
          <w:rFonts w:ascii="Times New Roman" w:hAnsi="Times New Roman" w:cs="Times New Roman"/>
        </w:rPr>
        <w:t xml:space="preserve"> un concorrente (in ispecie, una società tra professionisti), </w:t>
      </w:r>
      <w:r w:rsidR="0005187A" w:rsidRPr="00D92823">
        <w:rPr>
          <w:rFonts w:ascii="Times New Roman" w:hAnsi="Times New Roman" w:cs="Times New Roman"/>
        </w:rPr>
        <w:t xml:space="preserve">«che ne ha bisogno per integrare i requisiti di partecipazione richiesti dal bando… Tale forma di collaborazione consente ad un operatore, che sia privo di elementi </w:t>
      </w:r>
      <w:proofErr w:type="spellStart"/>
      <w:r w:rsidR="0005187A" w:rsidRPr="00D92823">
        <w:rPr>
          <w:rFonts w:ascii="Times New Roman" w:hAnsi="Times New Roman" w:cs="Times New Roman"/>
        </w:rPr>
        <w:t>esperenziali</w:t>
      </w:r>
      <w:proofErr w:type="spellEnd"/>
      <w:r w:rsidR="0005187A" w:rsidRPr="00D92823">
        <w:rPr>
          <w:rFonts w:ascii="Times New Roman" w:hAnsi="Times New Roman" w:cs="Times New Roman"/>
        </w:rPr>
        <w:t xml:space="preserve"> o requisiti economici, di partecipare alle procedure di gara e, d’altra parte, garantisce adeguatamente l’amministrazione, sia nella fase genetica, potendo verificare documentalmente l’effettività dell’impegno dell’ausiliaria, sia nella fase esecutiva, condividendo </w:t>
      </w:r>
      <w:proofErr w:type="spellStart"/>
      <w:r w:rsidR="0005187A" w:rsidRPr="00D92823">
        <w:rPr>
          <w:rFonts w:ascii="Times New Roman" w:hAnsi="Times New Roman" w:cs="Times New Roman"/>
        </w:rPr>
        <w:t>ausiliata</w:t>
      </w:r>
      <w:proofErr w:type="spellEnd"/>
      <w:r w:rsidR="0005187A" w:rsidRPr="00D92823">
        <w:rPr>
          <w:rFonts w:ascii="Times New Roman" w:hAnsi="Times New Roman" w:cs="Times New Roman"/>
        </w:rPr>
        <w:t xml:space="preserve"> ed ausiliaria la responsabilità nell’esecuzione dell’appalto»</w:t>
      </w:r>
      <w:r w:rsidR="0005187A" w:rsidRPr="00D92823">
        <w:rPr>
          <w:rStyle w:val="Rimandonotaapidipagina"/>
          <w:rFonts w:ascii="Times New Roman" w:hAnsi="Times New Roman" w:cs="Times New Roman"/>
        </w:rPr>
        <w:footnoteReference w:id="14"/>
      </w:r>
      <w:r w:rsidR="0005187A" w:rsidRPr="00D92823">
        <w:rPr>
          <w:rFonts w:ascii="Times New Roman" w:hAnsi="Times New Roman" w:cs="Times New Roman"/>
        </w:rPr>
        <w:t>.</w:t>
      </w:r>
    </w:p>
    <w:p w:rsidR="00440D50" w:rsidRPr="00D92823" w:rsidRDefault="00AE30B0" w:rsidP="00D92823">
      <w:pPr>
        <w:ind w:left="567" w:right="140" w:firstLine="850"/>
        <w:jc w:val="both"/>
        <w:rPr>
          <w:rFonts w:ascii="Times New Roman" w:hAnsi="Times New Roman" w:cs="Times New Roman"/>
        </w:rPr>
      </w:pPr>
      <w:r w:rsidRPr="00D92823">
        <w:rPr>
          <w:rFonts w:ascii="Times New Roman" w:hAnsi="Times New Roman" w:cs="Times New Roman"/>
        </w:rPr>
        <w:t>Per altro verso, che l’inter</w:t>
      </w:r>
      <w:r w:rsidR="006F7248" w:rsidRPr="00D92823">
        <w:rPr>
          <w:rFonts w:ascii="Times New Roman" w:hAnsi="Times New Roman" w:cs="Times New Roman"/>
        </w:rPr>
        <w:t xml:space="preserve">a </w:t>
      </w:r>
      <w:r w:rsidR="00183FA7" w:rsidRPr="00D92823">
        <w:rPr>
          <w:rFonts w:ascii="Times New Roman" w:hAnsi="Times New Roman" w:cs="Times New Roman"/>
        </w:rPr>
        <w:t>problematica</w:t>
      </w:r>
      <w:r w:rsidR="00B15F8E" w:rsidRPr="00D92823">
        <w:rPr>
          <w:rFonts w:ascii="Times New Roman" w:hAnsi="Times New Roman" w:cs="Times New Roman"/>
        </w:rPr>
        <w:t xml:space="preserve"> </w:t>
      </w:r>
      <w:r w:rsidR="00AA139A" w:rsidRPr="00D92823">
        <w:rPr>
          <w:rFonts w:ascii="Times New Roman" w:hAnsi="Times New Roman" w:cs="Times New Roman"/>
        </w:rPr>
        <w:t>è stata oggetto di</w:t>
      </w:r>
      <w:r w:rsidR="001630B1" w:rsidRPr="00D92823">
        <w:rPr>
          <w:rFonts w:ascii="Times New Roman" w:hAnsi="Times New Roman" w:cs="Times New Roman"/>
        </w:rPr>
        <w:t xml:space="preserve"> </w:t>
      </w:r>
      <w:r w:rsidR="00081E3A" w:rsidRPr="00D92823">
        <w:rPr>
          <w:rFonts w:ascii="Times New Roman" w:hAnsi="Times New Roman" w:cs="Times New Roman"/>
        </w:rPr>
        <w:t>rinvio</w:t>
      </w:r>
      <w:r w:rsidR="00900BE6" w:rsidRPr="00D92823">
        <w:rPr>
          <w:rFonts w:ascii="Times New Roman" w:hAnsi="Times New Roman" w:cs="Times New Roman"/>
        </w:rPr>
        <w:t xml:space="preserve"> pregiudiziale di compatibilità con l’art. 48 della direttiva 2004/18/CE, ad opera di </w:t>
      </w:r>
      <w:r w:rsidR="00440D50" w:rsidRPr="00D92823">
        <w:rPr>
          <w:rFonts w:ascii="Times New Roman" w:hAnsi="Times New Roman" w:cs="Times New Roman"/>
        </w:rPr>
        <w:t xml:space="preserve">due successive ordinanze di rimessione alla CGUE, nelle quali si </w:t>
      </w:r>
      <w:r w:rsidR="00900BE6" w:rsidRPr="00D92823">
        <w:rPr>
          <w:rFonts w:ascii="Times New Roman" w:hAnsi="Times New Roman" w:cs="Times New Roman"/>
        </w:rPr>
        <w:t xml:space="preserve">è </w:t>
      </w:r>
      <w:r w:rsidR="00440D50" w:rsidRPr="00D92823">
        <w:rPr>
          <w:rFonts w:ascii="Times New Roman" w:hAnsi="Times New Roman" w:cs="Times New Roman"/>
        </w:rPr>
        <w:t>fa</w:t>
      </w:r>
      <w:r w:rsidR="00900BE6" w:rsidRPr="00D92823">
        <w:rPr>
          <w:rFonts w:ascii="Times New Roman" w:hAnsi="Times New Roman" w:cs="Times New Roman"/>
        </w:rPr>
        <w:t xml:space="preserve">tto </w:t>
      </w:r>
      <w:r w:rsidR="00440D50" w:rsidRPr="00D92823">
        <w:rPr>
          <w:rFonts w:ascii="Times New Roman" w:hAnsi="Times New Roman" w:cs="Times New Roman"/>
        </w:rPr>
        <w:t>presente c</w:t>
      </w:r>
      <w:r w:rsidR="00900BE6" w:rsidRPr="00D92823">
        <w:rPr>
          <w:rFonts w:ascii="Times New Roman" w:hAnsi="Times New Roman" w:cs="Times New Roman"/>
        </w:rPr>
        <w:t>om</w:t>
      </w:r>
      <w:r w:rsidR="00440D50" w:rsidRPr="00D92823">
        <w:rPr>
          <w:rFonts w:ascii="Times New Roman" w:hAnsi="Times New Roman" w:cs="Times New Roman"/>
        </w:rPr>
        <w:t>e, viceversa, «secondo la giurisprudenza comunitaria (cfr., da ultimo</w:t>
      </w:r>
      <w:r w:rsidR="00AF27D5" w:rsidRPr="00D92823">
        <w:rPr>
          <w:rFonts w:ascii="Times New Roman" w:hAnsi="Times New Roman" w:cs="Times New Roman"/>
        </w:rPr>
        <w:t>,</w:t>
      </w:r>
      <w:r w:rsidR="00440D50" w:rsidRPr="00D92823">
        <w:rPr>
          <w:rFonts w:ascii="Times New Roman" w:hAnsi="Times New Roman" w:cs="Times New Roman"/>
        </w:rPr>
        <w:t xml:space="preserve"> Corte di giustizia, 10 ottobre 2013, </w:t>
      </w:r>
      <w:r w:rsidR="00AF27D5" w:rsidRPr="00D92823">
        <w:rPr>
          <w:rFonts w:ascii="Times New Roman" w:hAnsi="Times New Roman" w:cs="Times New Roman"/>
        </w:rPr>
        <w:t xml:space="preserve">in </w:t>
      </w:r>
      <w:r w:rsidR="00440D50" w:rsidRPr="00D92823">
        <w:rPr>
          <w:rFonts w:ascii="Times New Roman" w:hAnsi="Times New Roman" w:cs="Times New Roman"/>
        </w:rPr>
        <w:t xml:space="preserve">C-94/12) l’istituto dell’avvalimento </w:t>
      </w:r>
      <w:r w:rsidR="00440D50" w:rsidRPr="00D92823">
        <w:rPr>
          <w:rFonts w:ascii="Times New Roman" w:hAnsi="Times New Roman" w:cs="Times New Roman"/>
        </w:rPr>
        <w:lastRenderedPageBreak/>
        <w:t>si applica non ai soli concorrenti, ma a tutti gli operatori economici, tenuti a qualsiasi titolo a dimostrare il possesso dei requisiti in sede di gara»</w:t>
      </w:r>
      <w:r w:rsidR="00AA139A" w:rsidRPr="00D92823">
        <w:rPr>
          <w:rStyle w:val="Rimandonotaapidipagina"/>
          <w:rFonts w:ascii="Times New Roman" w:hAnsi="Times New Roman" w:cs="Times New Roman"/>
        </w:rPr>
        <w:footnoteReference w:id="15"/>
      </w:r>
      <w:r w:rsidR="00440D50" w:rsidRPr="00D92823">
        <w:rPr>
          <w:rFonts w:ascii="Times New Roman" w:hAnsi="Times New Roman" w:cs="Times New Roman"/>
        </w:rPr>
        <w:t>.</w:t>
      </w:r>
    </w:p>
    <w:p w:rsidR="00AA139A" w:rsidRPr="00D92823" w:rsidRDefault="00AA139A" w:rsidP="00D92823">
      <w:pPr>
        <w:ind w:left="567" w:right="140" w:firstLine="850"/>
        <w:jc w:val="both"/>
        <w:rPr>
          <w:rFonts w:ascii="Times New Roman" w:hAnsi="Times New Roman" w:cs="Times New Roman"/>
        </w:rPr>
      </w:pPr>
    </w:p>
    <w:p w:rsidR="00AA139A" w:rsidRPr="00D92823" w:rsidRDefault="00A36BDB" w:rsidP="00D92823">
      <w:pPr>
        <w:numPr>
          <w:ilvl w:val="0"/>
          <w:numId w:val="2"/>
        </w:numPr>
        <w:ind w:left="567" w:right="140" w:firstLine="850"/>
        <w:jc w:val="both"/>
        <w:rPr>
          <w:rFonts w:ascii="Times New Roman" w:hAnsi="Times New Roman" w:cs="Times New Roman"/>
          <w:b/>
        </w:rPr>
      </w:pPr>
      <w:r w:rsidRPr="00D92823">
        <w:rPr>
          <w:rFonts w:ascii="Times New Roman" w:hAnsi="Times New Roman" w:cs="Times New Roman"/>
          <w:b/>
        </w:rPr>
        <w:t>Funzione e forma del corrispettivo negli appalti pubblici di servizi.</w:t>
      </w:r>
    </w:p>
    <w:p w:rsidR="00117CEF" w:rsidRPr="00D92823" w:rsidRDefault="000D0C61" w:rsidP="00D92823">
      <w:pPr>
        <w:ind w:left="567" w:right="140" w:firstLine="850"/>
        <w:jc w:val="both"/>
        <w:rPr>
          <w:rFonts w:ascii="Times New Roman" w:hAnsi="Times New Roman" w:cs="Times New Roman"/>
        </w:rPr>
      </w:pPr>
      <w:r w:rsidRPr="00D92823">
        <w:rPr>
          <w:rFonts w:ascii="Times New Roman" w:hAnsi="Times New Roman" w:cs="Times New Roman"/>
        </w:rPr>
        <w:t>L</w:t>
      </w:r>
      <w:r w:rsidR="00AA139A" w:rsidRPr="00D92823">
        <w:rPr>
          <w:rFonts w:ascii="Times New Roman" w:hAnsi="Times New Roman" w:cs="Times New Roman"/>
        </w:rPr>
        <w:t>a qualificazione</w:t>
      </w:r>
      <w:r w:rsidR="00D027BB" w:rsidRPr="00D92823">
        <w:rPr>
          <w:rFonts w:ascii="Times New Roman" w:hAnsi="Times New Roman" w:cs="Times New Roman"/>
        </w:rPr>
        <w:t xml:space="preserve"> dell’opera intellettuale </w:t>
      </w:r>
      <w:r w:rsidR="004A2CB6" w:rsidRPr="00D92823">
        <w:rPr>
          <w:rFonts w:ascii="Times New Roman" w:hAnsi="Times New Roman" w:cs="Times New Roman"/>
        </w:rPr>
        <w:t>come</w:t>
      </w:r>
      <w:r w:rsidR="00D027BB" w:rsidRPr="00D92823">
        <w:rPr>
          <w:rFonts w:ascii="Times New Roman" w:hAnsi="Times New Roman" w:cs="Times New Roman"/>
        </w:rPr>
        <w:t xml:space="preserve"> </w:t>
      </w:r>
      <w:r w:rsidR="00EA3C49" w:rsidRPr="00D92823">
        <w:rPr>
          <w:rFonts w:ascii="Times New Roman" w:hAnsi="Times New Roman" w:cs="Times New Roman"/>
        </w:rPr>
        <w:t>“</w:t>
      </w:r>
      <w:r w:rsidR="00D027BB" w:rsidRPr="00D92823">
        <w:rPr>
          <w:rFonts w:ascii="Times New Roman" w:hAnsi="Times New Roman" w:cs="Times New Roman"/>
        </w:rPr>
        <w:t>servizi</w:t>
      </w:r>
      <w:r w:rsidR="004A2CB6" w:rsidRPr="00D92823">
        <w:rPr>
          <w:rFonts w:ascii="Times New Roman" w:hAnsi="Times New Roman" w:cs="Times New Roman"/>
        </w:rPr>
        <w:t>o</w:t>
      </w:r>
      <w:r w:rsidR="00EA3C49" w:rsidRPr="00D92823">
        <w:rPr>
          <w:rFonts w:ascii="Times New Roman" w:hAnsi="Times New Roman" w:cs="Times New Roman"/>
        </w:rPr>
        <w:t>”</w:t>
      </w:r>
      <w:r w:rsidRPr="00D92823">
        <w:rPr>
          <w:rFonts w:ascii="Times New Roman" w:hAnsi="Times New Roman" w:cs="Times New Roman"/>
        </w:rPr>
        <w:t xml:space="preserve"> </w:t>
      </w:r>
      <w:r w:rsidR="00D027BB" w:rsidRPr="00D92823">
        <w:rPr>
          <w:rFonts w:ascii="Times New Roman" w:hAnsi="Times New Roman" w:cs="Times New Roman"/>
        </w:rPr>
        <w:t>determina</w:t>
      </w:r>
      <w:r w:rsidRPr="00D92823">
        <w:rPr>
          <w:rFonts w:ascii="Times New Roman" w:hAnsi="Times New Roman" w:cs="Times New Roman"/>
        </w:rPr>
        <w:t xml:space="preserve"> </w:t>
      </w:r>
      <w:r w:rsidR="00D862AD" w:rsidRPr="00D92823">
        <w:rPr>
          <w:rFonts w:ascii="Times New Roman" w:hAnsi="Times New Roman" w:cs="Times New Roman"/>
        </w:rPr>
        <w:t>non sol</w:t>
      </w:r>
      <w:r w:rsidR="00FF609A" w:rsidRPr="00D92823">
        <w:rPr>
          <w:rFonts w:ascii="Times New Roman" w:hAnsi="Times New Roman" w:cs="Times New Roman"/>
        </w:rPr>
        <w:t>tant</w:t>
      </w:r>
      <w:r w:rsidR="00D862AD" w:rsidRPr="00D92823">
        <w:rPr>
          <w:rFonts w:ascii="Times New Roman" w:hAnsi="Times New Roman" w:cs="Times New Roman"/>
        </w:rPr>
        <w:t xml:space="preserve">o che </w:t>
      </w:r>
      <w:r w:rsidR="00D027BB" w:rsidRPr="00D92823">
        <w:rPr>
          <w:rFonts w:ascii="Times New Roman" w:hAnsi="Times New Roman" w:cs="Times New Roman"/>
        </w:rPr>
        <w:t>l’affidamento</w:t>
      </w:r>
      <w:r w:rsidR="004A2CB6" w:rsidRPr="00D92823">
        <w:rPr>
          <w:rFonts w:ascii="Times New Roman" w:hAnsi="Times New Roman" w:cs="Times New Roman"/>
        </w:rPr>
        <w:t xml:space="preserve"> dell’incarico</w:t>
      </w:r>
      <w:r w:rsidRPr="00D92823">
        <w:rPr>
          <w:rFonts w:ascii="Times New Roman" w:hAnsi="Times New Roman" w:cs="Times New Roman"/>
        </w:rPr>
        <w:t xml:space="preserve"> </w:t>
      </w:r>
      <w:r w:rsidR="000A6EDC" w:rsidRPr="00D92823">
        <w:rPr>
          <w:rFonts w:ascii="Times New Roman" w:hAnsi="Times New Roman" w:cs="Times New Roman"/>
        </w:rPr>
        <w:t>può</w:t>
      </w:r>
      <w:r w:rsidR="00D862AD" w:rsidRPr="00D92823">
        <w:rPr>
          <w:rFonts w:ascii="Times New Roman" w:hAnsi="Times New Roman" w:cs="Times New Roman"/>
        </w:rPr>
        <w:t xml:space="preserve"> avvenire </w:t>
      </w:r>
      <w:r w:rsidR="002A5F75" w:rsidRPr="00D92823">
        <w:rPr>
          <w:rFonts w:ascii="Times New Roman" w:hAnsi="Times New Roman" w:cs="Times New Roman"/>
        </w:rPr>
        <w:t>esclusiva</w:t>
      </w:r>
      <w:r w:rsidR="00B15F8E" w:rsidRPr="00D92823">
        <w:rPr>
          <w:rFonts w:ascii="Times New Roman" w:hAnsi="Times New Roman" w:cs="Times New Roman"/>
        </w:rPr>
        <w:t xml:space="preserve">mente </w:t>
      </w:r>
      <w:r w:rsidRPr="00D92823">
        <w:rPr>
          <w:rFonts w:ascii="Times New Roman" w:hAnsi="Times New Roman" w:cs="Times New Roman"/>
        </w:rPr>
        <w:t xml:space="preserve">tramite </w:t>
      </w:r>
      <w:r w:rsidR="002A5F75" w:rsidRPr="00D92823">
        <w:rPr>
          <w:rFonts w:ascii="Times New Roman" w:hAnsi="Times New Roman" w:cs="Times New Roman"/>
        </w:rPr>
        <w:t xml:space="preserve">una procedura ed un </w:t>
      </w:r>
      <w:r w:rsidR="00D862AD" w:rsidRPr="00D92823">
        <w:rPr>
          <w:rFonts w:ascii="Times New Roman" w:hAnsi="Times New Roman" w:cs="Times New Roman"/>
        </w:rPr>
        <w:t>contratto d’</w:t>
      </w:r>
      <w:r w:rsidRPr="00D92823">
        <w:rPr>
          <w:rFonts w:ascii="Times New Roman" w:hAnsi="Times New Roman" w:cs="Times New Roman"/>
        </w:rPr>
        <w:t>appalto</w:t>
      </w:r>
      <w:r w:rsidR="00B15F8E" w:rsidRPr="00D92823">
        <w:rPr>
          <w:rFonts w:ascii="Times New Roman" w:hAnsi="Times New Roman" w:cs="Times New Roman"/>
        </w:rPr>
        <w:t xml:space="preserve"> (</w:t>
      </w:r>
      <w:r w:rsidRPr="00D92823">
        <w:rPr>
          <w:rFonts w:ascii="Times New Roman" w:hAnsi="Times New Roman" w:cs="Times New Roman"/>
        </w:rPr>
        <w:t xml:space="preserve">e non </w:t>
      </w:r>
      <w:r w:rsidR="00B15F8E" w:rsidRPr="00D92823">
        <w:rPr>
          <w:rFonts w:ascii="Times New Roman" w:hAnsi="Times New Roman" w:cs="Times New Roman"/>
        </w:rPr>
        <w:t xml:space="preserve">già, quindi, </w:t>
      </w:r>
      <w:r w:rsidR="00EB566C" w:rsidRPr="00D92823">
        <w:rPr>
          <w:rFonts w:ascii="Times New Roman" w:hAnsi="Times New Roman" w:cs="Times New Roman"/>
        </w:rPr>
        <w:t>senza evidenza pubblica</w:t>
      </w:r>
      <w:r w:rsidR="00EA3C49" w:rsidRPr="00D92823">
        <w:rPr>
          <w:rFonts w:ascii="Times New Roman" w:hAnsi="Times New Roman" w:cs="Times New Roman"/>
        </w:rPr>
        <w:t xml:space="preserve"> e</w:t>
      </w:r>
      <w:r w:rsidR="00EB566C" w:rsidRPr="00D92823">
        <w:rPr>
          <w:rFonts w:ascii="Times New Roman" w:hAnsi="Times New Roman" w:cs="Times New Roman"/>
        </w:rPr>
        <w:t xml:space="preserve"> con</w:t>
      </w:r>
      <w:r w:rsidR="00EA3C49" w:rsidRPr="00D92823">
        <w:rPr>
          <w:rFonts w:ascii="Times New Roman" w:hAnsi="Times New Roman" w:cs="Times New Roman"/>
        </w:rPr>
        <w:t xml:space="preserve"> un </w:t>
      </w:r>
      <w:r w:rsidRPr="00D92823">
        <w:rPr>
          <w:rFonts w:ascii="Times New Roman" w:hAnsi="Times New Roman" w:cs="Times New Roman"/>
        </w:rPr>
        <w:t>contratto di prestazione di opera</w:t>
      </w:r>
      <w:r w:rsidR="00B15F8E" w:rsidRPr="00D92823">
        <w:rPr>
          <w:rFonts w:ascii="Times New Roman" w:hAnsi="Times New Roman" w:cs="Times New Roman"/>
        </w:rPr>
        <w:t>)</w:t>
      </w:r>
      <w:r w:rsidR="00D027BB" w:rsidRPr="00D92823">
        <w:rPr>
          <w:rFonts w:ascii="Times New Roman" w:hAnsi="Times New Roman" w:cs="Times New Roman"/>
        </w:rPr>
        <w:t xml:space="preserve">, </w:t>
      </w:r>
      <w:r w:rsidR="00C35188" w:rsidRPr="00D92823">
        <w:rPr>
          <w:rFonts w:ascii="Times New Roman" w:hAnsi="Times New Roman" w:cs="Times New Roman"/>
        </w:rPr>
        <w:t xml:space="preserve">ma </w:t>
      </w:r>
      <w:r w:rsidRPr="00D92823">
        <w:rPr>
          <w:rFonts w:ascii="Times New Roman" w:hAnsi="Times New Roman" w:cs="Times New Roman"/>
        </w:rPr>
        <w:t xml:space="preserve">altresì </w:t>
      </w:r>
      <w:r w:rsidR="00D862AD" w:rsidRPr="00D92823">
        <w:rPr>
          <w:rFonts w:ascii="Times New Roman" w:hAnsi="Times New Roman" w:cs="Times New Roman"/>
        </w:rPr>
        <w:t xml:space="preserve">che le norme sull’appalto </w:t>
      </w:r>
      <w:r w:rsidR="00B15F8E" w:rsidRPr="00D92823">
        <w:rPr>
          <w:rFonts w:ascii="Times New Roman" w:hAnsi="Times New Roman" w:cs="Times New Roman"/>
        </w:rPr>
        <w:t>operano</w:t>
      </w:r>
      <w:r w:rsidRPr="00D92823">
        <w:rPr>
          <w:rFonts w:ascii="Times New Roman" w:hAnsi="Times New Roman" w:cs="Times New Roman"/>
        </w:rPr>
        <w:t xml:space="preserve"> </w:t>
      </w:r>
      <w:r w:rsidR="00D862AD" w:rsidRPr="00D92823">
        <w:rPr>
          <w:rFonts w:ascii="Times New Roman" w:hAnsi="Times New Roman" w:cs="Times New Roman"/>
        </w:rPr>
        <w:t>anche</w:t>
      </w:r>
      <w:r w:rsidRPr="00D92823">
        <w:rPr>
          <w:rFonts w:ascii="Times New Roman" w:hAnsi="Times New Roman" w:cs="Times New Roman"/>
        </w:rPr>
        <w:t xml:space="preserve"> </w:t>
      </w:r>
      <w:r w:rsidR="00D862AD" w:rsidRPr="00D92823">
        <w:rPr>
          <w:rFonts w:ascii="Times New Roman" w:hAnsi="Times New Roman" w:cs="Times New Roman"/>
        </w:rPr>
        <w:t>ne</w:t>
      </w:r>
      <w:r w:rsidR="004A2CB6" w:rsidRPr="00D92823">
        <w:rPr>
          <w:rFonts w:ascii="Times New Roman" w:hAnsi="Times New Roman" w:cs="Times New Roman"/>
        </w:rPr>
        <w:t>ll</w:t>
      </w:r>
      <w:r w:rsidR="00D2542A" w:rsidRPr="00D92823">
        <w:rPr>
          <w:rFonts w:ascii="Times New Roman" w:hAnsi="Times New Roman" w:cs="Times New Roman"/>
        </w:rPr>
        <w:t>e</w:t>
      </w:r>
      <w:r w:rsidR="004A2CB6" w:rsidRPr="00D92823">
        <w:rPr>
          <w:rFonts w:ascii="Times New Roman" w:hAnsi="Times New Roman" w:cs="Times New Roman"/>
        </w:rPr>
        <w:t xml:space="preserve"> </w:t>
      </w:r>
      <w:r w:rsidR="00D2542A" w:rsidRPr="00D92823">
        <w:rPr>
          <w:rFonts w:ascii="Times New Roman" w:hAnsi="Times New Roman" w:cs="Times New Roman"/>
        </w:rPr>
        <w:t xml:space="preserve">fasi </w:t>
      </w:r>
      <w:r w:rsidR="00D862AD" w:rsidRPr="00D92823">
        <w:rPr>
          <w:rFonts w:ascii="Times New Roman" w:hAnsi="Times New Roman" w:cs="Times New Roman"/>
        </w:rPr>
        <w:t>successiv</w:t>
      </w:r>
      <w:r w:rsidR="00D2542A" w:rsidRPr="00D92823">
        <w:rPr>
          <w:rFonts w:ascii="Times New Roman" w:hAnsi="Times New Roman" w:cs="Times New Roman"/>
        </w:rPr>
        <w:t>e</w:t>
      </w:r>
      <w:r w:rsidR="00D862AD" w:rsidRPr="00D92823">
        <w:rPr>
          <w:rFonts w:ascii="Times New Roman" w:hAnsi="Times New Roman" w:cs="Times New Roman"/>
        </w:rPr>
        <w:t xml:space="preserve"> </w:t>
      </w:r>
      <w:r w:rsidR="00145427" w:rsidRPr="00D92823">
        <w:rPr>
          <w:rFonts w:ascii="Times New Roman" w:hAnsi="Times New Roman" w:cs="Times New Roman"/>
        </w:rPr>
        <w:t>d</w:t>
      </w:r>
      <w:r w:rsidR="00D862AD" w:rsidRPr="00D92823">
        <w:rPr>
          <w:rFonts w:ascii="Times New Roman" w:hAnsi="Times New Roman" w:cs="Times New Roman"/>
        </w:rPr>
        <w:t>ella</w:t>
      </w:r>
      <w:r w:rsidR="00C35188" w:rsidRPr="00D92823">
        <w:rPr>
          <w:rFonts w:ascii="Times New Roman" w:hAnsi="Times New Roman" w:cs="Times New Roman"/>
        </w:rPr>
        <w:t xml:space="preserve"> </w:t>
      </w:r>
      <w:r w:rsidR="00D862AD" w:rsidRPr="00D92823">
        <w:rPr>
          <w:rFonts w:ascii="Times New Roman" w:hAnsi="Times New Roman" w:cs="Times New Roman"/>
        </w:rPr>
        <w:t>conclusione</w:t>
      </w:r>
      <w:r w:rsidR="00C35188" w:rsidRPr="00D92823">
        <w:rPr>
          <w:rFonts w:ascii="Times New Roman" w:hAnsi="Times New Roman" w:cs="Times New Roman"/>
        </w:rPr>
        <w:t xml:space="preserve"> e </w:t>
      </w:r>
      <w:r w:rsidR="00D862AD" w:rsidRPr="00D92823">
        <w:rPr>
          <w:rFonts w:ascii="Times New Roman" w:hAnsi="Times New Roman" w:cs="Times New Roman"/>
        </w:rPr>
        <w:t>della gest</w:t>
      </w:r>
      <w:r w:rsidR="00145427" w:rsidRPr="00D92823">
        <w:rPr>
          <w:rFonts w:ascii="Times New Roman" w:hAnsi="Times New Roman" w:cs="Times New Roman"/>
        </w:rPr>
        <w:t xml:space="preserve">ione del </w:t>
      </w:r>
      <w:r w:rsidR="00D862AD" w:rsidRPr="00D92823">
        <w:rPr>
          <w:rFonts w:ascii="Times New Roman" w:hAnsi="Times New Roman" w:cs="Times New Roman"/>
        </w:rPr>
        <w:t>rappor</w:t>
      </w:r>
      <w:r w:rsidR="00145427" w:rsidRPr="00D92823">
        <w:rPr>
          <w:rFonts w:ascii="Times New Roman" w:hAnsi="Times New Roman" w:cs="Times New Roman"/>
        </w:rPr>
        <w:t xml:space="preserve">to, </w:t>
      </w:r>
      <w:r w:rsidR="00D862AD" w:rsidRPr="00D92823">
        <w:rPr>
          <w:rFonts w:ascii="Times New Roman" w:hAnsi="Times New Roman" w:cs="Times New Roman"/>
        </w:rPr>
        <w:t>in quanto</w:t>
      </w:r>
      <w:r w:rsidR="00145427" w:rsidRPr="00D92823">
        <w:rPr>
          <w:rFonts w:ascii="Times New Roman" w:hAnsi="Times New Roman" w:cs="Times New Roman"/>
        </w:rPr>
        <w:t xml:space="preserve"> l’art. 30 del codice dei contratti pubblici prescrive che</w:t>
      </w:r>
      <w:r w:rsidR="00D862AD" w:rsidRPr="00D92823">
        <w:rPr>
          <w:rFonts w:ascii="Times New Roman" w:hAnsi="Times New Roman" w:cs="Times New Roman"/>
        </w:rPr>
        <w:t>,</w:t>
      </w:r>
      <w:r w:rsidR="00145427" w:rsidRPr="00D92823">
        <w:rPr>
          <w:rFonts w:ascii="Times New Roman" w:hAnsi="Times New Roman" w:cs="Times New Roman"/>
        </w:rPr>
        <w:t xml:space="preserve"> «per quanto non espressamente previsto nel presente codice e negli atti attuativi</w:t>
      </w:r>
      <w:r w:rsidR="00D862AD" w:rsidRPr="00D92823">
        <w:rPr>
          <w:rFonts w:ascii="Times New Roman" w:hAnsi="Times New Roman" w:cs="Times New Roman"/>
        </w:rPr>
        <w:t xml:space="preserve">, </w:t>
      </w:r>
      <w:r w:rsidR="00145427" w:rsidRPr="00D92823">
        <w:rPr>
          <w:rFonts w:ascii="Times New Roman" w:hAnsi="Times New Roman" w:cs="Times New Roman"/>
        </w:rPr>
        <w:t>… alla stipula del contratto e</w:t>
      </w:r>
      <w:r w:rsidR="00D862AD" w:rsidRPr="00D92823">
        <w:rPr>
          <w:rFonts w:ascii="Times New Roman" w:hAnsi="Times New Roman" w:cs="Times New Roman"/>
        </w:rPr>
        <w:t xml:space="preserve"> alla</w:t>
      </w:r>
      <w:r w:rsidR="00145427" w:rsidRPr="00D92823">
        <w:rPr>
          <w:rFonts w:ascii="Times New Roman" w:hAnsi="Times New Roman" w:cs="Times New Roman"/>
        </w:rPr>
        <w:t xml:space="preserve"> </w:t>
      </w:r>
      <w:r w:rsidR="00D862AD" w:rsidRPr="00D92823">
        <w:rPr>
          <w:rFonts w:ascii="Times New Roman" w:hAnsi="Times New Roman" w:cs="Times New Roman"/>
        </w:rPr>
        <w:t xml:space="preserve">fase di esecuzione </w:t>
      </w:r>
      <w:r w:rsidR="00145427" w:rsidRPr="00D92823">
        <w:rPr>
          <w:rFonts w:ascii="Times New Roman" w:hAnsi="Times New Roman" w:cs="Times New Roman"/>
        </w:rPr>
        <w:t>si applicano le disposizioni del codice civile».</w:t>
      </w:r>
    </w:p>
    <w:p w:rsidR="009B0B9D" w:rsidRPr="00D92823" w:rsidRDefault="00E23054" w:rsidP="00D92823">
      <w:pPr>
        <w:ind w:left="567" w:right="140" w:firstLine="850"/>
        <w:jc w:val="both"/>
        <w:rPr>
          <w:rFonts w:ascii="Times New Roman" w:hAnsi="Times New Roman" w:cs="Times New Roman"/>
        </w:rPr>
      </w:pPr>
      <w:r w:rsidRPr="00D92823">
        <w:rPr>
          <w:rFonts w:ascii="Times New Roman" w:hAnsi="Times New Roman" w:cs="Times New Roman"/>
        </w:rPr>
        <w:t>Sotto l’aspetto strutturale del negozio intercorrente tra la P.A. ed il professionista, tutto q</w:t>
      </w:r>
      <w:r w:rsidR="00D40A7A" w:rsidRPr="00D92823">
        <w:rPr>
          <w:rFonts w:ascii="Times New Roman" w:hAnsi="Times New Roman" w:cs="Times New Roman"/>
        </w:rPr>
        <w:t>uesto</w:t>
      </w:r>
      <w:r w:rsidR="00D862AD" w:rsidRPr="00D92823">
        <w:rPr>
          <w:rFonts w:ascii="Times New Roman" w:hAnsi="Times New Roman" w:cs="Times New Roman"/>
        </w:rPr>
        <w:t xml:space="preserve"> </w:t>
      </w:r>
      <w:r w:rsidR="00B15F8E" w:rsidRPr="00D92823">
        <w:rPr>
          <w:rFonts w:ascii="Times New Roman" w:hAnsi="Times New Roman" w:cs="Times New Roman"/>
        </w:rPr>
        <w:t>produce un mutamento aggiuntivo</w:t>
      </w:r>
      <w:r w:rsidR="004A2CB6" w:rsidRPr="00D92823">
        <w:rPr>
          <w:rFonts w:ascii="Times New Roman" w:hAnsi="Times New Roman" w:cs="Times New Roman"/>
        </w:rPr>
        <w:t xml:space="preserve">, </w:t>
      </w:r>
      <w:r w:rsidR="00D862AD" w:rsidRPr="00D92823">
        <w:rPr>
          <w:rFonts w:ascii="Times New Roman" w:hAnsi="Times New Roman" w:cs="Times New Roman"/>
        </w:rPr>
        <w:t xml:space="preserve">poiché, ai sensi dell’art. 1655 c.c., </w:t>
      </w:r>
      <w:r w:rsidR="004A2CB6" w:rsidRPr="00D92823">
        <w:rPr>
          <w:rFonts w:ascii="Times New Roman" w:hAnsi="Times New Roman" w:cs="Times New Roman"/>
        </w:rPr>
        <w:t xml:space="preserve">l’appalto </w:t>
      </w:r>
      <w:r w:rsidR="00D40A7A" w:rsidRPr="00D92823">
        <w:rPr>
          <w:rFonts w:ascii="Times New Roman" w:hAnsi="Times New Roman" w:cs="Times New Roman"/>
        </w:rPr>
        <w:t>è</w:t>
      </w:r>
      <w:r w:rsidR="004A2CB6" w:rsidRPr="00D92823">
        <w:rPr>
          <w:rFonts w:ascii="Times New Roman" w:hAnsi="Times New Roman" w:cs="Times New Roman"/>
        </w:rPr>
        <w:t xml:space="preserve"> </w:t>
      </w:r>
      <w:r w:rsidR="00B15F8E" w:rsidRPr="00D92823">
        <w:rPr>
          <w:rFonts w:ascii="Times New Roman" w:hAnsi="Times New Roman" w:cs="Times New Roman"/>
        </w:rPr>
        <w:t xml:space="preserve">un </w:t>
      </w:r>
      <w:r w:rsidR="00E60F7E" w:rsidRPr="00D92823">
        <w:rPr>
          <w:rFonts w:ascii="Times New Roman" w:hAnsi="Times New Roman" w:cs="Times New Roman"/>
        </w:rPr>
        <w:t xml:space="preserve">contratto </w:t>
      </w:r>
      <w:r w:rsidR="004A2CB6" w:rsidRPr="00D92823">
        <w:rPr>
          <w:rFonts w:ascii="Times New Roman" w:hAnsi="Times New Roman" w:cs="Times New Roman"/>
        </w:rPr>
        <w:t>avente causa esclusivamente onerosa</w:t>
      </w:r>
      <w:r w:rsidR="009B0B9D" w:rsidRPr="00D92823">
        <w:rPr>
          <w:rFonts w:ascii="Times New Roman" w:hAnsi="Times New Roman" w:cs="Times New Roman"/>
        </w:rPr>
        <w:t>, la cui controprestazione deve consistere esclusivamente «in denaro»</w:t>
      </w:r>
      <w:r w:rsidR="009B0B9D" w:rsidRPr="00D92823">
        <w:rPr>
          <w:rStyle w:val="Rimandonotaapidipagina"/>
          <w:rFonts w:ascii="Times New Roman" w:hAnsi="Times New Roman" w:cs="Times New Roman"/>
        </w:rPr>
        <w:footnoteReference w:id="16"/>
      </w:r>
      <w:r w:rsidR="009B0B9D" w:rsidRPr="00D92823">
        <w:rPr>
          <w:rFonts w:ascii="Times New Roman" w:hAnsi="Times New Roman" w:cs="Times New Roman"/>
        </w:rPr>
        <w:t>.</w:t>
      </w:r>
    </w:p>
    <w:p w:rsidR="009B0B9D" w:rsidRPr="00D92823" w:rsidRDefault="009B0B9D" w:rsidP="00D92823">
      <w:pPr>
        <w:ind w:left="567" w:right="140" w:firstLine="850"/>
        <w:jc w:val="both"/>
        <w:rPr>
          <w:rFonts w:ascii="Times New Roman" w:hAnsi="Times New Roman" w:cs="Times New Roman"/>
        </w:rPr>
      </w:pPr>
      <w:r w:rsidRPr="00D92823">
        <w:rPr>
          <w:rFonts w:ascii="Times New Roman" w:hAnsi="Times New Roman" w:cs="Times New Roman"/>
        </w:rPr>
        <w:t>Diversamente, il contratto d’opera intellettuale può essere eseguito a titolo sia oneroso che gratuito.</w:t>
      </w:r>
    </w:p>
    <w:p w:rsidR="009B0B9D" w:rsidRPr="00D92823" w:rsidRDefault="009B0B9D" w:rsidP="00D92823">
      <w:pPr>
        <w:ind w:left="567" w:right="140" w:firstLine="850"/>
        <w:jc w:val="both"/>
        <w:rPr>
          <w:rFonts w:ascii="Times New Roman" w:hAnsi="Times New Roman" w:cs="Times New Roman"/>
        </w:rPr>
      </w:pPr>
      <w:r w:rsidRPr="00D92823">
        <w:rPr>
          <w:rFonts w:ascii="Times New Roman" w:hAnsi="Times New Roman" w:cs="Times New Roman"/>
        </w:rPr>
        <w:t xml:space="preserve">L’onerosità è </w:t>
      </w:r>
      <w:r w:rsidR="000A6EDC" w:rsidRPr="00D92823">
        <w:rPr>
          <w:rFonts w:ascii="Times New Roman" w:hAnsi="Times New Roman" w:cs="Times New Roman"/>
        </w:rPr>
        <w:t xml:space="preserve">infatti </w:t>
      </w:r>
      <w:r w:rsidRPr="00D92823">
        <w:rPr>
          <w:rFonts w:ascii="Times New Roman" w:hAnsi="Times New Roman" w:cs="Times New Roman"/>
        </w:rPr>
        <w:t>l’elemento normale, ma non essenziale dell’obbligazione del professionista, il quale, per esigere il pagamento, deve provare il conferimento dell’incarico e l’adempimento dello stesso, mentre è onere del committente dimostrare l’eventuale accordo sulla gratuità della prestazione</w:t>
      </w:r>
      <w:r w:rsidRPr="00D92823">
        <w:rPr>
          <w:rStyle w:val="Rimandonotaapidipagina"/>
          <w:rFonts w:ascii="Times New Roman" w:hAnsi="Times New Roman" w:cs="Times New Roman"/>
        </w:rPr>
        <w:footnoteReference w:id="17"/>
      </w:r>
      <w:r w:rsidRPr="00D92823">
        <w:rPr>
          <w:rFonts w:ascii="Times New Roman" w:hAnsi="Times New Roman" w:cs="Times New Roman"/>
        </w:rPr>
        <w:t>.</w:t>
      </w:r>
    </w:p>
    <w:p w:rsidR="004A2CB6" w:rsidRPr="00D92823" w:rsidRDefault="009B0B9D" w:rsidP="00D92823">
      <w:pPr>
        <w:ind w:left="567" w:right="140" w:firstLine="850"/>
        <w:jc w:val="both"/>
        <w:rPr>
          <w:rFonts w:ascii="Times New Roman" w:hAnsi="Times New Roman" w:cs="Times New Roman"/>
        </w:rPr>
      </w:pPr>
      <w:r w:rsidRPr="00D92823">
        <w:rPr>
          <w:rFonts w:ascii="Times New Roman" w:hAnsi="Times New Roman" w:cs="Times New Roman"/>
        </w:rPr>
        <w:t>Tale diversità dipende</w:t>
      </w:r>
      <w:r w:rsidR="00D862AD" w:rsidRPr="00D92823">
        <w:rPr>
          <w:rFonts w:ascii="Times New Roman" w:hAnsi="Times New Roman" w:cs="Times New Roman"/>
        </w:rPr>
        <w:t xml:space="preserve"> </w:t>
      </w:r>
      <w:r w:rsidR="004A2CB6" w:rsidRPr="00D92823">
        <w:rPr>
          <w:rFonts w:ascii="Times New Roman" w:hAnsi="Times New Roman" w:cs="Times New Roman"/>
        </w:rPr>
        <w:t>d</w:t>
      </w:r>
      <w:r w:rsidR="00D862AD" w:rsidRPr="00D92823">
        <w:rPr>
          <w:rFonts w:ascii="Times New Roman" w:hAnsi="Times New Roman" w:cs="Times New Roman"/>
        </w:rPr>
        <w:t>e</w:t>
      </w:r>
      <w:r w:rsidR="004A2CB6" w:rsidRPr="00D92823">
        <w:rPr>
          <w:rFonts w:ascii="Times New Roman" w:hAnsi="Times New Roman" w:cs="Times New Roman"/>
        </w:rPr>
        <w:t>l fatto che</w:t>
      </w:r>
      <w:r w:rsidRPr="00D92823">
        <w:rPr>
          <w:rFonts w:ascii="Times New Roman" w:hAnsi="Times New Roman" w:cs="Times New Roman"/>
        </w:rPr>
        <w:t>, mentre</w:t>
      </w:r>
      <w:r w:rsidR="00D2542A" w:rsidRPr="00D92823">
        <w:rPr>
          <w:rFonts w:ascii="Times New Roman" w:hAnsi="Times New Roman" w:cs="Times New Roman"/>
        </w:rPr>
        <w:t xml:space="preserve"> l’appaltatore rende</w:t>
      </w:r>
      <w:r w:rsidR="004A2CB6" w:rsidRPr="00D92823">
        <w:rPr>
          <w:rFonts w:ascii="Times New Roman" w:hAnsi="Times New Roman" w:cs="Times New Roman"/>
        </w:rPr>
        <w:t xml:space="preserve"> la prestazione attraverso un’organizzazione di impresa, </w:t>
      </w:r>
      <w:r w:rsidRPr="00D92823">
        <w:rPr>
          <w:rFonts w:ascii="Times New Roman" w:hAnsi="Times New Roman" w:cs="Times New Roman"/>
        </w:rPr>
        <w:t>l’obbligazione del professionista è prevalentemente personale</w:t>
      </w:r>
      <w:r w:rsidR="004A2CB6" w:rsidRPr="00D92823">
        <w:rPr>
          <w:rFonts w:ascii="Times New Roman" w:hAnsi="Times New Roman" w:cs="Times New Roman"/>
        </w:rPr>
        <w:t>.</w:t>
      </w:r>
    </w:p>
    <w:p w:rsidR="00A121CF" w:rsidRPr="00D92823" w:rsidRDefault="00A121CF" w:rsidP="00D92823">
      <w:pPr>
        <w:ind w:left="567" w:right="140" w:firstLine="850"/>
        <w:jc w:val="both"/>
        <w:rPr>
          <w:rFonts w:ascii="Times New Roman" w:hAnsi="Times New Roman" w:cs="Times New Roman"/>
        </w:rPr>
      </w:pPr>
      <w:r w:rsidRPr="00D92823">
        <w:rPr>
          <w:rFonts w:ascii="Times New Roman" w:hAnsi="Times New Roman" w:cs="Times New Roman"/>
        </w:rPr>
        <w:t xml:space="preserve">D’altronde, </w:t>
      </w:r>
      <w:r w:rsidR="00CF5C9D" w:rsidRPr="00D92823">
        <w:rPr>
          <w:rFonts w:ascii="Times New Roman" w:hAnsi="Times New Roman" w:cs="Times New Roman"/>
        </w:rPr>
        <w:t>dall’onerosità della pr</w:t>
      </w:r>
      <w:r w:rsidR="00EA3C49" w:rsidRPr="00D92823">
        <w:rPr>
          <w:rFonts w:ascii="Times New Roman" w:hAnsi="Times New Roman" w:cs="Times New Roman"/>
        </w:rPr>
        <w:t>e</w:t>
      </w:r>
      <w:r w:rsidR="00CF5C9D" w:rsidRPr="00D92823">
        <w:rPr>
          <w:rFonts w:ascii="Times New Roman" w:hAnsi="Times New Roman" w:cs="Times New Roman"/>
        </w:rPr>
        <w:t>sta</w:t>
      </w:r>
      <w:r w:rsidR="00EA3C49" w:rsidRPr="00D92823">
        <w:rPr>
          <w:rFonts w:ascii="Times New Roman" w:hAnsi="Times New Roman" w:cs="Times New Roman"/>
        </w:rPr>
        <w:t>zione</w:t>
      </w:r>
      <w:r w:rsidR="00E16EBE" w:rsidRPr="00D92823">
        <w:rPr>
          <w:rFonts w:ascii="Times New Roman" w:hAnsi="Times New Roman" w:cs="Times New Roman"/>
        </w:rPr>
        <w:t>,</w:t>
      </w:r>
      <w:r w:rsidR="00CF5C9D" w:rsidRPr="00D92823">
        <w:rPr>
          <w:rFonts w:ascii="Times New Roman" w:hAnsi="Times New Roman" w:cs="Times New Roman"/>
        </w:rPr>
        <w:t xml:space="preserve"> si fa discendere la serietà ed </w:t>
      </w:r>
      <w:r w:rsidRPr="00D92823">
        <w:rPr>
          <w:rFonts w:ascii="Times New Roman" w:hAnsi="Times New Roman" w:cs="Times New Roman"/>
        </w:rPr>
        <w:t>affidabilit</w:t>
      </w:r>
      <w:r w:rsidR="00CF5C9D" w:rsidRPr="00D92823">
        <w:rPr>
          <w:rFonts w:ascii="Times New Roman" w:hAnsi="Times New Roman" w:cs="Times New Roman"/>
        </w:rPr>
        <w:t>à</w:t>
      </w:r>
      <w:r w:rsidRPr="00D92823">
        <w:rPr>
          <w:rFonts w:ascii="Times New Roman" w:hAnsi="Times New Roman" w:cs="Times New Roman"/>
        </w:rPr>
        <w:t xml:space="preserve"> </w:t>
      </w:r>
      <w:r w:rsidR="00CF5C9D" w:rsidRPr="00D92823">
        <w:rPr>
          <w:rFonts w:ascii="Times New Roman" w:hAnsi="Times New Roman" w:cs="Times New Roman"/>
        </w:rPr>
        <w:t>della stessa, se è vero che, nel diritto vi</w:t>
      </w:r>
      <w:r w:rsidR="00E16EBE" w:rsidRPr="00D92823">
        <w:rPr>
          <w:rFonts w:ascii="Times New Roman" w:hAnsi="Times New Roman" w:cs="Times New Roman"/>
        </w:rPr>
        <w:t>g</w:t>
      </w:r>
      <w:r w:rsidR="00CF5C9D" w:rsidRPr="00D92823">
        <w:rPr>
          <w:rFonts w:ascii="Times New Roman" w:hAnsi="Times New Roman" w:cs="Times New Roman"/>
        </w:rPr>
        <w:t>ente, «g</w:t>
      </w:r>
      <w:r w:rsidRPr="00D92823">
        <w:rPr>
          <w:rFonts w:ascii="Times New Roman" w:hAnsi="Times New Roman" w:cs="Times New Roman"/>
        </w:rPr>
        <w:t>eneralmente si ritiene</w:t>
      </w:r>
      <w:r w:rsidR="00E16EBE" w:rsidRPr="00D92823">
        <w:rPr>
          <w:rFonts w:ascii="Times New Roman" w:hAnsi="Times New Roman" w:cs="Times New Roman"/>
        </w:rPr>
        <w:t>…</w:t>
      </w:r>
      <w:r w:rsidR="00CF5C9D" w:rsidRPr="00D92823">
        <w:rPr>
          <w:rFonts w:ascii="Times New Roman" w:hAnsi="Times New Roman" w:cs="Times New Roman"/>
        </w:rPr>
        <w:t xml:space="preserve"> </w:t>
      </w:r>
      <w:r w:rsidRPr="00D92823">
        <w:rPr>
          <w:rFonts w:ascii="Times New Roman" w:hAnsi="Times New Roman" w:cs="Times New Roman"/>
        </w:rPr>
        <w:t>che l’affidamento vantato da colui che acquista a</w:t>
      </w:r>
      <w:r w:rsidR="00CF5C9D" w:rsidRPr="00D92823">
        <w:rPr>
          <w:rFonts w:ascii="Times New Roman" w:hAnsi="Times New Roman" w:cs="Times New Roman"/>
        </w:rPr>
        <w:t xml:space="preserve"> </w:t>
      </w:r>
      <w:r w:rsidRPr="00D92823">
        <w:rPr>
          <w:rFonts w:ascii="Times New Roman" w:hAnsi="Times New Roman" w:cs="Times New Roman"/>
        </w:rPr>
        <w:t>titolo gratuito sia meritevole di una minore tutela</w:t>
      </w:r>
      <w:r w:rsidR="00E16EBE" w:rsidRPr="00D92823">
        <w:rPr>
          <w:rFonts w:ascii="Times New Roman" w:hAnsi="Times New Roman" w:cs="Times New Roman"/>
        </w:rPr>
        <w:t>,</w:t>
      </w:r>
      <w:r w:rsidRPr="00D92823">
        <w:rPr>
          <w:rFonts w:ascii="Times New Roman" w:hAnsi="Times New Roman" w:cs="Times New Roman"/>
        </w:rPr>
        <w:t xml:space="preserve"> rispetto</w:t>
      </w:r>
      <w:r w:rsidR="00CF5C9D" w:rsidRPr="00D92823">
        <w:rPr>
          <w:rFonts w:ascii="Times New Roman" w:hAnsi="Times New Roman" w:cs="Times New Roman"/>
        </w:rPr>
        <w:t xml:space="preserve"> </w:t>
      </w:r>
      <w:r w:rsidRPr="00D92823">
        <w:rPr>
          <w:rFonts w:ascii="Times New Roman" w:hAnsi="Times New Roman" w:cs="Times New Roman"/>
        </w:rPr>
        <w:t>a quello del contraente a titolo oneroso</w:t>
      </w:r>
      <w:r w:rsidR="00CF5C9D" w:rsidRPr="00D92823">
        <w:rPr>
          <w:rFonts w:ascii="Times New Roman" w:hAnsi="Times New Roman" w:cs="Times New Roman"/>
        </w:rPr>
        <w:t>»</w:t>
      </w:r>
      <w:r w:rsidR="00CF5C9D" w:rsidRPr="00D92823">
        <w:rPr>
          <w:rStyle w:val="Rimandonotaapidipagina"/>
          <w:rFonts w:ascii="Times New Roman" w:hAnsi="Times New Roman" w:cs="Times New Roman"/>
        </w:rPr>
        <w:footnoteReference w:id="18"/>
      </w:r>
      <w:r w:rsidR="00CF5C9D" w:rsidRPr="00D92823">
        <w:rPr>
          <w:rFonts w:ascii="Times New Roman" w:hAnsi="Times New Roman" w:cs="Times New Roman"/>
        </w:rPr>
        <w:t>.</w:t>
      </w:r>
    </w:p>
    <w:p w:rsidR="00E60F7E" w:rsidRPr="00D92823" w:rsidRDefault="00DB0D98" w:rsidP="00D92823">
      <w:pPr>
        <w:ind w:left="567" w:right="140" w:firstLine="850"/>
        <w:jc w:val="both"/>
        <w:rPr>
          <w:rFonts w:ascii="Times New Roman" w:hAnsi="Times New Roman" w:cs="Times New Roman"/>
        </w:rPr>
      </w:pPr>
      <w:r w:rsidRPr="00D92823">
        <w:rPr>
          <w:rFonts w:ascii="Times New Roman" w:hAnsi="Times New Roman" w:cs="Times New Roman"/>
        </w:rPr>
        <w:t>Orbene</w:t>
      </w:r>
      <w:r w:rsidR="00E60F7E" w:rsidRPr="00D92823">
        <w:rPr>
          <w:rFonts w:ascii="Times New Roman" w:hAnsi="Times New Roman" w:cs="Times New Roman"/>
        </w:rPr>
        <w:t xml:space="preserve">, </w:t>
      </w:r>
      <w:r w:rsidR="00EA3C49" w:rsidRPr="00D92823">
        <w:rPr>
          <w:rFonts w:ascii="Times New Roman" w:hAnsi="Times New Roman" w:cs="Times New Roman"/>
        </w:rPr>
        <w:t xml:space="preserve">in base all’art. 1655 c.c., </w:t>
      </w:r>
      <w:r w:rsidR="00E16EBE" w:rsidRPr="00D92823">
        <w:rPr>
          <w:rFonts w:ascii="Times New Roman" w:hAnsi="Times New Roman" w:cs="Times New Roman"/>
        </w:rPr>
        <w:t xml:space="preserve">la funzione economico-sociale dell’appalto privato è rappresentata </w:t>
      </w:r>
      <w:r w:rsidR="00D862AD" w:rsidRPr="00D92823">
        <w:rPr>
          <w:rFonts w:ascii="Times New Roman" w:hAnsi="Times New Roman" w:cs="Times New Roman"/>
        </w:rPr>
        <w:t xml:space="preserve">dall’organizzazione dei mezzi necessari e dalla gestione </w:t>
      </w:r>
      <w:r w:rsidR="00366DAF" w:rsidRPr="00D92823">
        <w:rPr>
          <w:rFonts w:ascii="Times New Roman" w:hAnsi="Times New Roman" w:cs="Times New Roman"/>
        </w:rPr>
        <w:t>autonoma</w:t>
      </w:r>
      <w:r w:rsidR="00D862AD" w:rsidRPr="00D92823">
        <w:rPr>
          <w:rFonts w:ascii="Times New Roman" w:hAnsi="Times New Roman" w:cs="Times New Roman"/>
        </w:rPr>
        <w:t xml:space="preserve"> </w:t>
      </w:r>
      <w:r w:rsidR="00E60F7E" w:rsidRPr="00D92823">
        <w:rPr>
          <w:rFonts w:ascii="Times New Roman" w:hAnsi="Times New Roman" w:cs="Times New Roman"/>
        </w:rPr>
        <w:t>d</w:t>
      </w:r>
      <w:r w:rsidR="00D862AD" w:rsidRPr="00D92823">
        <w:rPr>
          <w:rFonts w:ascii="Times New Roman" w:hAnsi="Times New Roman" w:cs="Times New Roman"/>
        </w:rPr>
        <w:t>e</w:t>
      </w:r>
      <w:r w:rsidR="00E60F7E" w:rsidRPr="00D92823">
        <w:rPr>
          <w:rFonts w:ascii="Times New Roman" w:hAnsi="Times New Roman" w:cs="Times New Roman"/>
        </w:rPr>
        <w:t>ll</w:t>
      </w:r>
      <w:r w:rsidR="00D862AD" w:rsidRPr="00D92823">
        <w:rPr>
          <w:rFonts w:ascii="Times New Roman" w:hAnsi="Times New Roman" w:cs="Times New Roman"/>
        </w:rPr>
        <w:t>a presta</w:t>
      </w:r>
      <w:r w:rsidR="00E60F7E" w:rsidRPr="00D92823">
        <w:rPr>
          <w:rFonts w:ascii="Times New Roman" w:hAnsi="Times New Roman" w:cs="Times New Roman"/>
        </w:rPr>
        <w:t>zione</w:t>
      </w:r>
      <w:r w:rsidR="00D862AD" w:rsidRPr="00D92823">
        <w:rPr>
          <w:rFonts w:ascii="Times New Roman" w:hAnsi="Times New Roman" w:cs="Times New Roman"/>
        </w:rPr>
        <w:t>,</w:t>
      </w:r>
      <w:r w:rsidR="00E60F7E" w:rsidRPr="00D92823">
        <w:rPr>
          <w:rFonts w:ascii="Times New Roman" w:hAnsi="Times New Roman" w:cs="Times New Roman"/>
        </w:rPr>
        <w:t xml:space="preserve"> dietro </w:t>
      </w:r>
      <w:r w:rsidR="00D862AD" w:rsidRPr="00D92823">
        <w:rPr>
          <w:rFonts w:ascii="Times New Roman" w:hAnsi="Times New Roman" w:cs="Times New Roman"/>
        </w:rPr>
        <w:t xml:space="preserve">un </w:t>
      </w:r>
      <w:r w:rsidR="00E60F7E" w:rsidRPr="00D92823">
        <w:rPr>
          <w:rFonts w:ascii="Times New Roman" w:hAnsi="Times New Roman" w:cs="Times New Roman"/>
        </w:rPr>
        <w:t>corrispettivo</w:t>
      </w:r>
      <w:r w:rsidR="00366DAF" w:rsidRPr="00D92823">
        <w:rPr>
          <w:rFonts w:ascii="Times New Roman" w:hAnsi="Times New Roman" w:cs="Times New Roman"/>
        </w:rPr>
        <w:t xml:space="preserve"> pecuniario</w:t>
      </w:r>
      <w:r w:rsidR="00EA3C49" w:rsidRPr="00D92823">
        <w:rPr>
          <w:rFonts w:ascii="Times New Roman" w:hAnsi="Times New Roman" w:cs="Times New Roman"/>
        </w:rPr>
        <w:t>;</w:t>
      </w:r>
      <w:r w:rsidR="00366DAF" w:rsidRPr="00D92823">
        <w:rPr>
          <w:rFonts w:ascii="Times New Roman" w:hAnsi="Times New Roman" w:cs="Times New Roman"/>
        </w:rPr>
        <w:t xml:space="preserve"> </w:t>
      </w:r>
      <w:r w:rsidR="000A6EDC" w:rsidRPr="00D92823">
        <w:rPr>
          <w:rFonts w:ascii="Times New Roman" w:hAnsi="Times New Roman" w:cs="Times New Roman"/>
        </w:rPr>
        <w:t>l’</w:t>
      </w:r>
      <w:r w:rsidR="00366DAF" w:rsidRPr="00D92823">
        <w:rPr>
          <w:rFonts w:ascii="Times New Roman" w:hAnsi="Times New Roman" w:cs="Times New Roman"/>
        </w:rPr>
        <w:t>eventual</w:t>
      </w:r>
      <w:r w:rsidR="000A6EDC" w:rsidRPr="00D92823">
        <w:rPr>
          <w:rFonts w:ascii="Times New Roman" w:hAnsi="Times New Roman" w:cs="Times New Roman"/>
        </w:rPr>
        <w:t>e</w:t>
      </w:r>
      <w:r w:rsidR="00366DAF" w:rsidRPr="00D92823">
        <w:rPr>
          <w:rFonts w:ascii="Times New Roman" w:hAnsi="Times New Roman" w:cs="Times New Roman"/>
        </w:rPr>
        <w:t xml:space="preserve"> </w:t>
      </w:r>
      <w:r w:rsidR="000A6EDC" w:rsidRPr="00D92823">
        <w:rPr>
          <w:rFonts w:ascii="Times New Roman" w:hAnsi="Times New Roman" w:cs="Times New Roman"/>
        </w:rPr>
        <w:t xml:space="preserve">pattuizione di </w:t>
      </w:r>
      <w:r w:rsidR="00366DAF" w:rsidRPr="00D92823">
        <w:rPr>
          <w:rFonts w:ascii="Times New Roman" w:hAnsi="Times New Roman" w:cs="Times New Roman"/>
        </w:rPr>
        <w:t xml:space="preserve">corrispettivi in </w:t>
      </w:r>
      <w:proofErr w:type="spellStart"/>
      <w:r w:rsidR="00366DAF" w:rsidRPr="00D92823">
        <w:rPr>
          <w:rFonts w:ascii="Times New Roman" w:hAnsi="Times New Roman" w:cs="Times New Roman"/>
          <w:i/>
        </w:rPr>
        <w:t>facere</w:t>
      </w:r>
      <w:proofErr w:type="spellEnd"/>
      <w:r w:rsidR="00366DAF" w:rsidRPr="00D92823">
        <w:rPr>
          <w:rFonts w:ascii="Times New Roman" w:hAnsi="Times New Roman" w:cs="Times New Roman"/>
        </w:rPr>
        <w:t xml:space="preserve"> o in natura fuoriesc</w:t>
      </w:r>
      <w:r w:rsidR="000A6EDC" w:rsidRPr="00D92823">
        <w:rPr>
          <w:rFonts w:ascii="Times New Roman" w:hAnsi="Times New Roman" w:cs="Times New Roman"/>
        </w:rPr>
        <w:t>e</w:t>
      </w:r>
      <w:r w:rsidR="00366DAF" w:rsidRPr="00D92823">
        <w:rPr>
          <w:rFonts w:ascii="Times New Roman" w:hAnsi="Times New Roman" w:cs="Times New Roman"/>
        </w:rPr>
        <w:t xml:space="preserve"> da</w:t>
      </w:r>
      <w:r w:rsidR="009B0B9D" w:rsidRPr="00D92823">
        <w:rPr>
          <w:rFonts w:ascii="Times New Roman" w:hAnsi="Times New Roman" w:cs="Times New Roman"/>
        </w:rPr>
        <w:t xml:space="preserve">l </w:t>
      </w:r>
      <w:r w:rsidR="00366DAF" w:rsidRPr="00D92823">
        <w:rPr>
          <w:rFonts w:ascii="Times New Roman" w:hAnsi="Times New Roman" w:cs="Times New Roman"/>
        </w:rPr>
        <w:t>tipo contrattuale</w:t>
      </w:r>
      <w:r w:rsidR="00366DAF" w:rsidRPr="00D92823">
        <w:rPr>
          <w:rStyle w:val="Rimandonotaapidipagina"/>
          <w:rFonts w:ascii="Times New Roman" w:hAnsi="Times New Roman" w:cs="Times New Roman"/>
        </w:rPr>
        <w:footnoteReference w:id="19"/>
      </w:r>
      <w:r w:rsidR="00E16EBE" w:rsidRPr="00D92823">
        <w:rPr>
          <w:rFonts w:ascii="Times New Roman" w:hAnsi="Times New Roman" w:cs="Times New Roman"/>
        </w:rPr>
        <w:t>.</w:t>
      </w:r>
    </w:p>
    <w:p w:rsidR="004A2CB6" w:rsidRPr="00D92823" w:rsidRDefault="009B0B9D" w:rsidP="00D92823">
      <w:pPr>
        <w:ind w:left="567" w:right="140" w:firstLine="850"/>
        <w:jc w:val="both"/>
        <w:rPr>
          <w:rFonts w:ascii="Times New Roman" w:hAnsi="Times New Roman" w:cs="Times New Roman"/>
        </w:rPr>
      </w:pPr>
      <w:r w:rsidRPr="00D92823">
        <w:rPr>
          <w:rFonts w:ascii="Times New Roman" w:hAnsi="Times New Roman" w:cs="Times New Roman"/>
        </w:rPr>
        <w:t>Viceversa, in ambito</w:t>
      </w:r>
      <w:r w:rsidR="00047E1F" w:rsidRPr="00D92823">
        <w:rPr>
          <w:rFonts w:ascii="Times New Roman" w:hAnsi="Times New Roman" w:cs="Times New Roman"/>
        </w:rPr>
        <w:t xml:space="preserve"> pubblico, </w:t>
      </w:r>
      <w:r w:rsidR="00366DAF" w:rsidRPr="00D92823">
        <w:rPr>
          <w:rFonts w:ascii="Times New Roman" w:hAnsi="Times New Roman" w:cs="Times New Roman"/>
        </w:rPr>
        <w:t xml:space="preserve">l’art. 3, </w:t>
      </w:r>
      <w:proofErr w:type="spellStart"/>
      <w:r w:rsidR="00366DAF" w:rsidRPr="00D92823">
        <w:rPr>
          <w:rFonts w:ascii="Times New Roman" w:hAnsi="Times New Roman" w:cs="Times New Roman"/>
        </w:rPr>
        <w:t>lett</w:t>
      </w:r>
      <w:proofErr w:type="spellEnd"/>
      <w:r w:rsidR="00366DAF" w:rsidRPr="00D92823">
        <w:rPr>
          <w:rFonts w:ascii="Times New Roman" w:hAnsi="Times New Roman" w:cs="Times New Roman"/>
        </w:rPr>
        <w:t>. ii), del d.lgs. n. 50/2016 defini</w:t>
      </w:r>
      <w:r w:rsidRPr="00D92823">
        <w:rPr>
          <w:rFonts w:ascii="Times New Roman" w:hAnsi="Times New Roman" w:cs="Times New Roman"/>
        </w:rPr>
        <w:t>sc</w:t>
      </w:r>
      <w:r w:rsidR="00366DAF" w:rsidRPr="00D92823">
        <w:rPr>
          <w:rFonts w:ascii="Times New Roman" w:hAnsi="Times New Roman" w:cs="Times New Roman"/>
        </w:rPr>
        <w:t xml:space="preserve">e </w:t>
      </w:r>
      <w:r w:rsidR="000A6EDC" w:rsidRPr="00D92823">
        <w:rPr>
          <w:rFonts w:ascii="Times New Roman" w:hAnsi="Times New Roman" w:cs="Times New Roman"/>
        </w:rPr>
        <w:t xml:space="preserve">sì </w:t>
      </w:r>
      <w:r w:rsidR="00047E1F" w:rsidRPr="00D92823">
        <w:rPr>
          <w:rFonts w:ascii="Times New Roman" w:hAnsi="Times New Roman" w:cs="Times New Roman"/>
        </w:rPr>
        <w:t>l’app</w:t>
      </w:r>
      <w:r w:rsidR="00D862AD" w:rsidRPr="00D92823">
        <w:rPr>
          <w:rFonts w:ascii="Times New Roman" w:hAnsi="Times New Roman" w:cs="Times New Roman"/>
        </w:rPr>
        <w:t>alt</w:t>
      </w:r>
      <w:r w:rsidR="00047E1F" w:rsidRPr="00D92823">
        <w:rPr>
          <w:rFonts w:ascii="Times New Roman" w:hAnsi="Times New Roman" w:cs="Times New Roman"/>
        </w:rPr>
        <w:t>o</w:t>
      </w:r>
      <w:r w:rsidR="00D862AD" w:rsidRPr="00D92823">
        <w:rPr>
          <w:rFonts w:ascii="Times New Roman" w:hAnsi="Times New Roman" w:cs="Times New Roman"/>
        </w:rPr>
        <w:t xml:space="preserve"> </w:t>
      </w:r>
      <w:r w:rsidR="00366DAF" w:rsidRPr="00D92823">
        <w:rPr>
          <w:rFonts w:ascii="Times New Roman" w:hAnsi="Times New Roman" w:cs="Times New Roman"/>
        </w:rPr>
        <w:t>(</w:t>
      </w:r>
      <w:r w:rsidR="00047E1F" w:rsidRPr="00D92823">
        <w:rPr>
          <w:rFonts w:ascii="Times New Roman" w:hAnsi="Times New Roman" w:cs="Times New Roman"/>
        </w:rPr>
        <w:t>e</w:t>
      </w:r>
      <w:r w:rsidR="00366DAF" w:rsidRPr="00D92823">
        <w:rPr>
          <w:rFonts w:ascii="Times New Roman" w:hAnsi="Times New Roman" w:cs="Times New Roman"/>
        </w:rPr>
        <w:t>,</w:t>
      </w:r>
      <w:r w:rsidR="00047E1F" w:rsidRPr="00D92823">
        <w:rPr>
          <w:rFonts w:ascii="Times New Roman" w:hAnsi="Times New Roman" w:cs="Times New Roman"/>
        </w:rPr>
        <w:t xml:space="preserve"> </w:t>
      </w:r>
      <w:r w:rsidR="00366DAF" w:rsidRPr="00D92823">
        <w:rPr>
          <w:rFonts w:ascii="Times New Roman" w:hAnsi="Times New Roman" w:cs="Times New Roman"/>
        </w:rPr>
        <w:t>di risulta, l’</w:t>
      </w:r>
      <w:r w:rsidR="00047E1F" w:rsidRPr="00D92823">
        <w:rPr>
          <w:rFonts w:ascii="Times New Roman" w:hAnsi="Times New Roman" w:cs="Times New Roman"/>
        </w:rPr>
        <w:t xml:space="preserve">incarico professionale </w:t>
      </w:r>
      <w:r w:rsidR="00EB566C" w:rsidRPr="00D92823">
        <w:rPr>
          <w:rFonts w:ascii="Times New Roman" w:hAnsi="Times New Roman" w:cs="Times New Roman"/>
        </w:rPr>
        <w:t xml:space="preserve">ad esso </w:t>
      </w:r>
      <w:r w:rsidR="00047E1F" w:rsidRPr="00D92823">
        <w:rPr>
          <w:rFonts w:ascii="Times New Roman" w:hAnsi="Times New Roman" w:cs="Times New Roman"/>
        </w:rPr>
        <w:t>assimilato</w:t>
      </w:r>
      <w:r w:rsidRPr="00D92823">
        <w:rPr>
          <w:rFonts w:ascii="Times New Roman" w:hAnsi="Times New Roman" w:cs="Times New Roman"/>
        </w:rPr>
        <w:t>)</w:t>
      </w:r>
      <w:r w:rsidR="00366DAF" w:rsidRPr="00D92823">
        <w:rPr>
          <w:rFonts w:ascii="Times New Roman" w:hAnsi="Times New Roman" w:cs="Times New Roman"/>
        </w:rPr>
        <w:t xml:space="preserve"> </w:t>
      </w:r>
      <w:r w:rsidRPr="00D92823">
        <w:rPr>
          <w:rFonts w:ascii="Times New Roman" w:hAnsi="Times New Roman" w:cs="Times New Roman"/>
        </w:rPr>
        <w:t>qual</w:t>
      </w:r>
      <w:r w:rsidR="00366DAF" w:rsidRPr="00D92823">
        <w:rPr>
          <w:rFonts w:ascii="Times New Roman" w:hAnsi="Times New Roman" w:cs="Times New Roman"/>
        </w:rPr>
        <w:t>e</w:t>
      </w:r>
      <w:r w:rsidR="00047E1F" w:rsidRPr="00D92823">
        <w:rPr>
          <w:rFonts w:ascii="Times New Roman" w:hAnsi="Times New Roman" w:cs="Times New Roman"/>
        </w:rPr>
        <w:t xml:space="preserve"> </w:t>
      </w:r>
      <w:r w:rsidR="00366DAF" w:rsidRPr="00D92823">
        <w:rPr>
          <w:rFonts w:ascii="Times New Roman" w:hAnsi="Times New Roman" w:cs="Times New Roman"/>
        </w:rPr>
        <w:t xml:space="preserve">contratto </w:t>
      </w:r>
      <w:r w:rsidR="004A2CB6" w:rsidRPr="00D92823">
        <w:rPr>
          <w:rFonts w:ascii="Times New Roman" w:hAnsi="Times New Roman" w:cs="Times New Roman"/>
        </w:rPr>
        <w:t>«a titolo oneroso»</w:t>
      </w:r>
      <w:r w:rsidRPr="00D92823">
        <w:rPr>
          <w:rFonts w:ascii="Times New Roman" w:hAnsi="Times New Roman" w:cs="Times New Roman"/>
        </w:rPr>
        <w:t xml:space="preserve">, </w:t>
      </w:r>
      <w:r w:rsidR="000A6EDC" w:rsidRPr="00D92823">
        <w:rPr>
          <w:rFonts w:ascii="Times New Roman" w:hAnsi="Times New Roman" w:cs="Times New Roman"/>
        </w:rPr>
        <w:t xml:space="preserve">ma </w:t>
      </w:r>
      <w:r w:rsidRPr="00D92823">
        <w:rPr>
          <w:rFonts w:ascii="Times New Roman" w:hAnsi="Times New Roman" w:cs="Times New Roman"/>
        </w:rPr>
        <w:t>senza circoscrivere</w:t>
      </w:r>
      <w:r w:rsidR="00E23054" w:rsidRPr="00D92823">
        <w:rPr>
          <w:rFonts w:ascii="Times New Roman" w:hAnsi="Times New Roman" w:cs="Times New Roman"/>
        </w:rPr>
        <w:t xml:space="preserve"> il campo dell’onerosità alle sole controprestazioni pecuniarie, «in denaro», come nel settore privato</w:t>
      </w:r>
      <w:r w:rsidR="004A2CB6" w:rsidRPr="00D92823">
        <w:rPr>
          <w:rFonts w:ascii="Times New Roman" w:hAnsi="Times New Roman" w:cs="Times New Roman"/>
        </w:rPr>
        <w:t>.</w:t>
      </w:r>
    </w:p>
    <w:p w:rsidR="0034061D" w:rsidRPr="00D92823" w:rsidRDefault="0034061D" w:rsidP="00D92823">
      <w:pPr>
        <w:ind w:left="567" w:right="140" w:firstLine="850"/>
        <w:jc w:val="both"/>
        <w:rPr>
          <w:rFonts w:ascii="Times New Roman" w:hAnsi="Times New Roman" w:cs="Times New Roman"/>
        </w:rPr>
      </w:pPr>
      <w:r w:rsidRPr="00D92823">
        <w:rPr>
          <w:rFonts w:ascii="Times New Roman" w:hAnsi="Times New Roman" w:cs="Times New Roman"/>
        </w:rPr>
        <w:t xml:space="preserve">La previsione di una causa onerosa, ma non necessariamente agganciata ad un corrispettivo pecuniario, </w:t>
      </w:r>
      <w:r w:rsidR="00EA3C49" w:rsidRPr="00D92823">
        <w:rPr>
          <w:rFonts w:ascii="Times New Roman" w:hAnsi="Times New Roman" w:cs="Times New Roman"/>
        </w:rPr>
        <w:t>è un precipitato</w:t>
      </w:r>
      <w:r w:rsidRPr="00D92823">
        <w:rPr>
          <w:rFonts w:ascii="Times New Roman" w:hAnsi="Times New Roman" w:cs="Times New Roman"/>
        </w:rPr>
        <w:t xml:space="preserve"> d</w:t>
      </w:r>
      <w:r w:rsidR="00EA3C49" w:rsidRPr="00D92823">
        <w:rPr>
          <w:rFonts w:ascii="Times New Roman" w:hAnsi="Times New Roman" w:cs="Times New Roman"/>
        </w:rPr>
        <w:t>e</w:t>
      </w:r>
      <w:r w:rsidRPr="00D92823">
        <w:rPr>
          <w:rFonts w:ascii="Times New Roman" w:hAnsi="Times New Roman" w:cs="Times New Roman"/>
        </w:rPr>
        <w:t>l recepimento della dirett</w:t>
      </w:r>
      <w:r w:rsidR="00EA3C49" w:rsidRPr="00D92823">
        <w:rPr>
          <w:rFonts w:ascii="Times New Roman" w:hAnsi="Times New Roman" w:cs="Times New Roman"/>
        </w:rPr>
        <w:t>iva 93/37/CE</w:t>
      </w:r>
      <w:r w:rsidR="00AF6382" w:rsidRPr="00D92823">
        <w:rPr>
          <w:rFonts w:ascii="Times New Roman" w:hAnsi="Times New Roman" w:cs="Times New Roman"/>
        </w:rPr>
        <w:t>,</w:t>
      </w:r>
      <w:r w:rsidRPr="00D92823">
        <w:rPr>
          <w:rFonts w:ascii="Times New Roman" w:hAnsi="Times New Roman" w:cs="Times New Roman"/>
        </w:rPr>
        <w:t xml:space="preserve"> sugli appalti pubblici di lavori, in base alla quale «gli appalti pubblici di lavori sono contratti a titolo oneroso»</w:t>
      </w:r>
      <w:r w:rsidRPr="00D92823">
        <w:rPr>
          <w:rStyle w:val="Rimandonotaapidipagina"/>
          <w:rFonts w:ascii="Times New Roman" w:hAnsi="Times New Roman" w:cs="Times New Roman"/>
        </w:rPr>
        <w:footnoteReference w:id="20"/>
      </w:r>
      <w:r w:rsidRPr="00D92823">
        <w:rPr>
          <w:rFonts w:ascii="Times New Roman" w:hAnsi="Times New Roman" w:cs="Times New Roman"/>
        </w:rPr>
        <w:t>.</w:t>
      </w:r>
    </w:p>
    <w:p w:rsidR="00AF6382" w:rsidRPr="00D92823" w:rsidRDefault="00AF6382" w:rsidP="00D92823">
      <w:pPr>
        <w:ind w:left="567" w:right="140" w:firstLine="850"/>
        <w:jc w:val="both"/>
        <w:rPr>
          <w:rFonts w:ascii="Times New Roman" w:hAnsi="Times New Roman" w:cs="Times New Roman"/>
        </w:rPr>
      </w:pPr>
      <w:r w:rsidRPr="00D92823">
        <w:rPr>
          <w:rFonts w:ascii="Times New Roman" w:hAnsi="Times New Roman" w:cs="Times New Roman"/>
        </w:rPr>
        <w:t xml:space="preserve">Sul punto, </w:t>
      </w:r>
      <w:r w:rsidR="00FF609A" w:rsidRPr="00D92823">
        <w:rPr>
          <w:rFonts w:ascii="Times New Roman" w:hAnsi="Times New Roman" w:cs="Times New Roman"/>
        </w:rPr>
        <w:t>infatti, la Corte di giustizia europea</w:t>
      </w:r>
      <w:r w:rsidR="0034061D" w:rsidRPr="00D92823">
        <w:rPr>
          <w:rFonts w:ascii="Times New Roman" w:hAnsi="Times New Roman" w:cs="Times New Roman"/>
        </w:rPr>
        <w:t>, dopo avere inquadrato come appalto di lavori una convenzione con cui il costruttore, a scomputo delle opere di urbanizzazione previste in lottizzazione, si è obbligato con il Comune di Milano a realizzare la struttura esterna di un teatro, ha ritenuto</w:t>
      </w:r>
      <w:r w:rsidR="00EA3C49" w:rsidRPr="00D92823">
        <w:rPr>
          <w:rFonts w:ascii="Times New Roman" w:hAnsi="Times New Roman" w:cs="Times New Roman"/>
        </w:rPr>
        <w:t>,</w:t>
      </w:r>
      <w:r w:rsidRPr="00D92823">
        <w:rPr>
          <w:rFonts w:ascii="Times New Roman" w:hAnsi="Times New Roman" w:cs="Times New Roman"/>
        </w:rPr>
        <w:t xml:space="preserve"> nella fattispecie</w:t>
      </w:r>
      <w:r w:rsidR="00EA3C49" w:rsidRPr="00D92823">
        <w:rPr>
          <w:rFonts w:ascii="Times New Roman" w:hAnsi="Times New Roman" w:cs="Times New Roman"/>
        </w:rPr>
        <w:t>,</w:t>
      </w:r>
      <w:r w:rsidR="0034061D" w:rsidRPr="00D92823">
        <w:rPr>
          <w:rFonts w:ascii="Times New Roman" w:hAnsi="Times New Roman" w:cs="Times New Roman"/>
        </w:rPr>
        <w:t xml:space="preserve"> «sussistente l’elemento relativo al carattere oneroso del contratto», essendo detta pattuizione «idonea ad assicurare l’effetto utile della direttiva»</w:t>
      </w:r>
      <w:r w:rsidRPr="00D92823">
        <w:rPr>
          <w:rFonts w:ascii="Times New Roman" w:hAnsi="Times New Roman" w:cs="Times New Roman"/>
        </w:rPr>
        <w:t>.</w:t>
      </w:r>
    </w:p>
    <w:p w:rsidR="0034061D" w:rsidRPr="00D92823" w:rsidRDefault="00AF6382" w:rsidP="00D92823">
      <w:pPr>
        <w:ind w:left="567" w:right="140" w:firstLine="850"/>
        <w:jc w:val="both"/>
        <w:rPr>
          <w:rFonts w:ascii="Times New Roman" w:hAnsi="Times New Roman" w:cs="Times New Roman"/>
        </w:rPr>
      </w:pPr>
      <w:r w:rsidRPr="00D92823">
        <w:rPr>
          <w:rFonts w:ascii="Times New Roman" w:hAnsi="Times New Roman" w:cs="Times New Roman"/>
        </w:rPr>
        <w:t>In tal modo</w:t>
      </w:r>
      <w:r w:rsidR="0034061D" w:rsidRPr="00D92823">
        <w:rPr>
          <w:rFonts w:ascii="Times New Roman" w:hAnsi="Times New Roman" w:cs="Times New Roman"/>
        </w:rPr>
        <w:t xml:space="preserve">, </w:t>
      </w:r>
      <w:r w:rsidRPr="00D92823">
        <w:rPr>
          <w:rFonts w:ascii="Times New Roman" w:hAnsi="Times New Roman" w:cs="Times New Roman"/>
        </w:rPr>
        <w:t xml:space="preserve">nella materia dei contratti pubblici, la prestazione onerosa non pecuniaria </w:t>
      </w:r>
      <w:r w:rsidR="00FF609A" w:rsidRPr="00D92823">
        <w:rPr>
          <w:rFonts w:ascii="Times New Roman" w:hAnsi="Times New Roman" w:cs="Times New Roman"/>
        </w:rPr>
        <w:t>diventa</w:t>
      </w:r>
      <w:r w:rsidRPr="00D92823">
        <w:rPr>
          <w:rFonts w:ascii="Times New Roman" w:hAnsi="Times New Roman" w:cs="Times New Roman"/>
        </w:rPr>
        <w:t xml:space="preserve"> equipara</w:t>
      </w:r>
      <w:r w:rsidR="00FF609A" w:rsidRPr="00D92823">
        <w:rPr>
          <w:rFonts w:ascii="Times New Roman" w:hAnsi="Times New Roman" w:cs="Times New Roman"/>
        </w:rPr>
        <w:t>bile</w:t>
      </w:r>
      <w:r w:rsidR="0034061D" w:rsidRPr="00D92823">
        <w:rPr>
          <w:rFonts w:ascii="Times New Roman" w:hAnsi="Times New Roman" w:cs="Times New Roman"/>
        </w:rPr>
        <w:t xml:space="preserve">, </w:t>
      </w:r>
      <w:r w:rsidRPr="00D92823">
        <w:rPr>
          <w:rFonts w:ascii="Times New Roman" w:hAnsi="Times New Roman" w:cs="Times New Roman"/>
        </w:rPr>
        <w:t xml:space="preserve">a livello funzionale, </w:t>
      </w:r>
      <w:r w:rsidR="0034061D" w:rsidRPr="00D92823">
        <w:rPr>
          <w:rFonts w:ascii="Times New Roman" w:hAnsi="Times New Roman" w:cs="Times New Roman"/>
        </w:rPr>
        <w:t>alla previsione di un esborso pecuniario</w:t>
      </w:r>
      <w:r w:rsidR="0034061D" w:rsidRPr="00D92823">
        <w:rPr>
          <w:rStyle w:val="Rimandonotaapidipagina"/>
          <w:rFonts w:ascii="Times New Roman" w:hAnsi="Times New Roman" w:cs="Times New Roman"/>
        </w:rPr>
        <w:footnoteReference w:id="21"/>
      </w:r>
      <w:r w:rsidR="0034061D" w:rsidRPr="00D92823">
        <w:rPr>
          <w:rFonts w:ascii="Times New Roman" w:hAnsi="Times New Roman" w:cs="Times New Roman"/>
        </w:rPr>
        <w:t>.</w:t>
      </w:r>
    </w:p>
    <w:p w:rsidR="004A2CB6" w:rsidRPr="00D92823" w:rsidRDefault="00DB0D98" w:rsidP="00D92823">
      <w:pPr>
        <w:ind w:left="567" w:right="140" w:firstLine="850"/>
        <w:jc w:val="both"/>
        <w:rPr>
          <w:rFonts w:ascii="Times New Roman" w:hAnsi="Times New Roman" w:cs="Times New Roman"/>
        </w:rPr>
      </w:pPr>
      <w:r w:rsidRPr="00D92823">
        <w:rPr>
          <w:rFonts w:ascii="Times New Roman" w:hAnsi="Times New Roman" w:cs="Times New Roman"/>
        </w:rPr>
        <w:t>Possono così r</w:t>
      </w:r>
      <w:r w:rsidR="006341CD" w:rsidRPr="00D92823">
        <w:rPr>
          <w:rFonts w:ascii="Times New Roman" w:hAnsi="Times New Roman" w:cs="Times New Roman"/>
        </w:rPr>
        <w:t>ientra</w:t>
      </w:r>
      <w:r w:rsidRPr="00D92823">
        <w:rPr>
          <w:rFonts w:ascii="Times New Roman" w:hAnsi="Times New Roman" w:cs="Times New Roman"/>
        </w:rPr>
        <w:t>re</w:t>
      </w:r>
      <w:r w:rsidR="00AF6382" w:rsidRPr="00D92823">
        <w:rPr>
          <w:rFonts w:ascii="Times New Roman" w:hAnsi="Times New Roman" w:cs="Times New Roman"/>
        </w:rPr>
        <w:t xml:space="preserve"> ne</w:t>
      </w:r>
      <w:r w:rsidR="009B0B9D" w:rsidRPr="00D92823">
        <w:rPr>
          <w:rFonts w:ascii="Times New Roman" w:hAnsi="Times New Roman" w:cs="Times New Roman"/>
        </w:rPr>
        <w:t xml:space="preserve">llo schema tipico dell’appalto pubblico </w:t>
      </w:r>
      <w:r w:rsidR="00AF6382" w:rsidRPr="00D92823">
        <w:rPr>
          <w:rFonts w:ascii="Times New Roman" w:hAnsi="Times New Roman" w:cs="Times New Roman"/>
        </w:rPr>
        <w:t xml:space="preserve">varie ipotesi </w:t>
      </w:r>
      <w:r w:rsidR="004A2CB6" w:rsidRPr="00D92823">
        <w:rPr>
          <w:rFonts w:ascii="Times New Roman" w:hAnsi="Times New Roman" w:cs="Times New Roman"/>
        </w:rPr>
        <w:t>contratt</w:t>
      </w:r>
      <w:r w:rsidR="00AF6382" w:rsidRPr="00D92823">
        <w:rPr>
          <w:rFonts w:ascii="Times New Roman" w:hAnsi="Times New Roman" w:cs="Times New Roman"/>
        </w:rPr>
        <w:t>uali</w:t>
      </w:r>
      <w:r w:rsidR="000A6EDC" w:rsidRPr="00D92823">
        <w:rPr>
          <w:rFonts w:ascii="Times New Roman" w:hAnsi="Times New Roman" w:cs="Times New Roman"/>
        </w:rPr>
        <w:t>,</w:t>
      </w:r>
      <w:r w:rsidR="004A2CB6" w:rsidRPr="00D92823">
        <w:rPr>
          <w:rFonts w:ascii="Times New Roman" w:hAnsi="Times New Roman" w:cs="Times New Roman"/>
        </w:rPr>
        <w:t xml:space="preserve"> i</w:t>
      </w:r>
      <w:r w:rsidR="00641409" w:rsidRPr="00D92823">
        <w:rPr>
          <w:rFonts w:ascii="Times New Roman" w:hAnsi="Times New Roman" w:cs="Times New Roman"/>
        </w:rPr>
        <w:t>l</w:t>
      </w:r>
      <w:r w:rsidR="004A2CB6" w:rsidRPr="00D92823">
        <w:rPr>
          <w:rFonts w:ascii="Times New Roman" w:hAnsi="Times New Roman" w:cs="Times New Roman"/>
        </w:rPr>
        <w:t xml:space="preserve"> cui </w:t>
      </w:r>
      <w:r w:rsidR="00E23054" w:rsidRPr="00D92823">
        <w:rPr>
          <w:rFonts w:ascii="Times New Roman" w:hAnsi="Times New Roman" w:cs="Times New Roman"/>
        </w:rPr>
        <w:t>“prezz</w:t>
      </w:r>
      <w:r w:rsidR="004A2CB6" w:rsidRPr="00D92823">
        <w:rPr>
          <w:rFonts w:ascii="Times New Roman" w:hAnsi="Times New Roman" w:cs="Times New Roman"/>
        </w:rPr>
        <w:t>o</w:t>
      </w:r>
      <w:r w:rsidR="00E23054" w:rsidRPr="00D92823">
        <w:rPr>
          <w:rFonts w:ascii="Times New Roman" w:hAnsi="Times New Roman" w:cs="Times New Roman"/>
        </w:rPr>
        <w:t>”</w:t>
      </w:r>
      <w:r w:rsidR="004A2CB6" w:rsidRPr="00D92823">
        <w:rPr>
          <w:rFonts w:ascii="Times New Roman" w:hAnsi="Times New Roman" w:cs="Times New Roman"/>
        </w:rPr>
        <w:t xml:space="preserve"> </w:t>
      </w:r>
      <w:r w:rsidR="00AF6382" w:rsidRPr="00D92823">
        <w:rPr>
          <w:rFonts w:ascii="Times New Roman" w:hAnsi="Times New Roman" w:cs="Times New Roman"/>
        </w:rPr>
        <w:t>viene</w:t>
      </w:r>
      <w:r w:rsidR="004A2CB6" w:rsidRPr="00D92823">
        <w:rPr>
          <w:rFonts w:ascii="Times New Roman" w:hAnsi="Times New Roman" w:cs="Times New Roman"/>
        </w:rPr>
        <w:t xml:space="preserve"> s</w:t>
      </w:r>
      <w:r w:rsidR="00EA3C49" w:rsidRPr="00D92823">
        <w:rPr>
          <w:rFonts w:ascii="Times New Roman" w:hAnsi="Times New Roman" w:cs="Times New Roman"/>
        </w:rPr>
        <w:t>tabilit</w:t>
      </w:r>
      <w:r w:rsidR="004A2CB6" w:rsidRPr="00D92823">
        <w:rPr>
          <w:rFonts w:ascii="Times New Roman" w:hAnsi="Times New Roman" w:cs="Times New Roman"/>
        </w:rPr>
        <w:t>o in natura</w:t>
      </w:r>
      <w:r w:rsidR="00047E1F" w:rsidRPr="00D92823">
        <w:rPr>
          <w:rFonts w:ascii="Times New Roman" w:hAnsi="Times New Roman" w:cs="Times New Roman"/>
        </w:rPr>
        <w:t>,</w:t>
      </w:r>
      <w:r w:rsidR="004A2CB6" w:rsidRPr="00D92823">
        <w:rPr>
          <w:rFonts w:ascii="Times New Roman" w:hAnsi="Times New Roman" w:cs="Times New Roman"/>
        </w:rPr>
        <w:t xml:space="preserve"> o</w:t>
      </w:r>
      <w:r w:rsidR="00EA3C49" w:rsidRPr="00D92823">
        <w:rPr>
          <w:rFonts w:ascii="Times New Roman" w:hAnsi="Times New Roman" w:cs="Times New Roman"/>
        </w:rPr>
        <w:t>vvero</w:t>
      </w:r>
      <w:r w:rsidR="00D65680" w:rsidRPr="00D92823">
        <w:rPr>
          <w:rFonts w:ascii="Times New Roman" w:hAnsi="Times New Roman" w:cs="Times New Roman"/>
        </w:rPr>
        <w:t xml:space="preserve"> consist</w:t>
      </w:r>
      <w:r w:rsidR="009B0B9D" w:rsidRPr="00D92823">
        <w:rPr>
          <w:rFonts w:ascii="Times New Roman" w:hAnsi="Times New Roman" w:cs="Times New Roman"/>
        </w:rPr>
        <w:t>e</w:t>
      </w:r>
      <w:r w:rsidR="004A2CB6" w:rsidRPr="00D92823">
        <w:rPr>
          <w:rFonts w:ascii="Times New Roman" w:hAnsi="Times New Roman" w:cs="Times New Roman"/>
        </w:rPr>
        <w:t xml:space="preserve"> in una contrapposta obbligazione di </w:t>
      </w:r>
      <w:proofErr w:type="spellStart"/>
      <w:r w:rsidR="004A2CB6" w:rsidRPr="00D92823">
        <w:rPr>
          <w:rFonts w:ascii="Times New Roman" w:hAnsi="Times New Roman" w:cs="Times New Roman"/>
          <w:i/>
        </w:rPr>
        <w:t>facere</w:t>
      </w:r>
      <w:proofErr w:type="spellEnd"/>
      <w:r w:rsidR="004A2CB6" w:rsidRPr="00D92823">
        <w:rPr>
          <w:rFonts w:ascii="Times New Roman" w:hAnsi="Times New Roman" w:cs="Times New Roman"/>
        </w:rPr>
        <w:t xml:space="preserve"> o di </w:t>
      </w:r>
      <w:r w:rsidR="004A2CB6" w:rsidRPr="00D92823">
        <w:rPr>
          <w:rFonts w:ascii="Times New Roman" w:hAnsi="Times New Roman" w:cs="Times New Roman"/>
          <w:i/>
        </w:rPr>
        <w:t>dare</w:t>
      </w:r>
      <w:r w:rsidR="00AF6382" w:rsidRPr="00D92823">
        <w:rPr>
          <w:rFonts w:ascii="Times New Roman" w:hAnsi="Times New Roman" w:cs="Times New Roman"/>
        </w:rPr>
        <w:t xml:space="preserve">, come </w:t>
      </w:r>
      <w:r w:rsidR="006341CD" w:rsidRPr="00D92823">
        <w:rPr>
          <w:rFonts w:ascii="Times New Roman" w:hAnsi="Times New Roman" w:cs="Times New Roman"/>
        </w:rPr>
        <w:t xml:space="preserve">avviene </w:t>
      </w:r>
      <w:r w:rsidR="00342E59" w:rsidRPr="00D92823">
        <w:rPr>
          <w:rFonts w:ascii="Times New Roman" w:hAnsi="Times New Roman" w:cs="Times New Roman"/>
        </w:rPr>
        <w:t>nel</w:t>
      </w:r>
      <w:r w:rsidR="006341CD" w:rsidRPr="00D92823">
        <w:rPr>
          <w:rFonts w:ascii="Times New Roman" w:hAnsi="Times New Roman" w:cs="Times New Roman"/>
        </w:rPr>
        <w:t xml:space="preserve">le </w:t>
      </w:r>
      <w:r w:rsidR="00AF6382" w:rsidRPr="00D92823">
        <w:rPr>
          <w:rFonts w:ascii="Times New Roman" w:hAnsi="Times New Roman" w:cs="Times New Roman"/>
        </w:rPr>
        <w:t>concession</w:t>
      </w:r>
      <w:r w:rsidR="006341CD" w:rsidRPr="00D92823">
        <w:rPr>
          <w:rFonts w:ascii="Times New Roman" w:hAnsi="Times New Roman" w:cs="Times New Roman"/>
        </w:rPr>
        <w:t>i</w:t>
      </w:r>
      <w:r w:rsidR="00AF6382" w:rsidRPr="00D92823">
        <w:rPr>
          <w:rFonts w:ascii="Times New Roman" w:hAnsi="Times New Roman" w:cs="Times New Roman"/>
        </w:rPr>
        <w:t xml:space="preserve"> di lavori e di servizi, d</w:t>
      </w:r>
      <w:r w:rsidR="00641409" w:rsidRPr="00D92823">
        <w:rPr>
          <w:rFonts w:ascii="Times New Roman" w:hAnsi="Times New Roman" w:cs="Times New Roman"/>
        </w:rPr>
        <w:t>ef</w:t>
      </w:r>
      <w:r w:rsidR="00AF6382" w:rsidRPr="00D92823">
        <w:rPr>
          <w:rFonts w:ascii="Times New Roman" w:hAnsi="Times New Roman" w:cs="Times New Roman"/>
        </w:rPr>
        <w:t>i</w:t>
      </w:r>
      <w:r w:rsidR="00641409" w:rsidRPr="00D92823">
        <w:rPr>
          <w:rFonts w:ascii="Times New Roman" w:hAnsi="Times New Roman" w:cs="Times New Roman"/>
        </w:rPr>
        <w:t>nite</w:t>
      </w:r>
      <w:r w:rsidR="00AF6382" w:rsidRPr="00D92823">
        <w:rPr>
          <w:rFonts w:ascii="Times New Roman" w:hAnsi="Times New Roman" w:cs="Times New Roman"/>
        </w:rPr>
        <w:t xml:space="preserve"> </w:t>
      </w:r>
      <w:r w:rsidR="00641409" w:rsidRPr="00D92823">
        <w:rPr>
          <w:rFonts w:ascii="Times New Roman" w:hAnsi="Times New Roman" w:cs="Times New Roman"/>
        </w:rPr>
        <w:t>d</w:t>
      </w:r>
      <w:r w:rsidR="00AF6382" w:rsidRPr="00D92823">
        <w:rPr>
          <w:rFonts w:ascii="Times New Roman" w:hAnsi="Times New Roman" w:cs="Times New Roman"/>
        </w:rPr>
        <w:t xml:space="preserve">all’art. 3, </w:t>
      </w:r>
      <w:proofErr w:type="spellStart"/>
      <w:r w:rsidR="00AF6382" w:rsidRPr="00D92823">
        <w:rPr>
          <w:rFonts w:ascii="Times New Roman" w:hAnsi="Times New Roman" w:cs="Times New Roman"/>
        </w:rPr>
        <w:t>lett</w:t>
      </w:r>
      <w:proofErr w:type="spellEnd"/>
      <w:r w:rsidR="00AF6382" w:rsidRPr="00D92823">
        <w:rPr>
          <w:rFonts w:ascii="Times New Roman" w:hAnsi="Times New Roman" w:cs="Times New Roman"/>
        </w:rPr>
        <w:t xml:space="preserve">. </w:t>
      </w:r>
      <w:proofErr w:type="spellStart"/>
      <w:r w:rsidR="00AF6382" w:rsidRPr="00D92823">
        <w:rPr>
          <w:rFonts w:ascii="Times New Roman" w:hAnsi="Times New Roman" w:cs="Times New Roman"/>
        </w:rPr>
        <w:t>uu</w:t>
      </w:r>
      <w:proofErr w:type="spellEnd"/>
      <w:r w:rsidR="00AF6382" w:rsidRPr="00D92823">
        <w:rPr>
          <w:rFonts w:ascii="Times New Roman" w:hAnsi="Times New Roman" w:cs="Times New Roman"/>
        </w:rPr>
        <w:t xml:space="preserve">) e </w:t>
      </w:r>
      <w:proofErr w:type="spellStart"/>
      <w:r w:rsidR="00AF6382" w:rsidRPr="00D92823">
        <w:rPr>
          <w:rFonts w:ascii="Times New Roman" w:hAnsi="Times New Roman" w:cs="Times New Roman"/>
        </w:rPr>
        <w:t>vv</w:t>
      </w:r>
      <w:proofErr w:type="spellEnd"/>
      <w:r w:rsidR="00AF6382" w:rsidRPr="00D92823">
        <w:rPr>
          <w:rFonts w:ascii="Times New Roman" w:hAnsi="Times New Roman" w:cs="Times New Roman"/>
        </w:rPr>
        <w:t xml:space="preserve">), del codice dei contratti pubblici, </w:t>
      </w:r>
      <w:r w:rsidR="00641409" w:rsidRPr="00D92823">
        <w:rPr>
          <w:rFonts w:ascii="Times New Roman" w:hAnsi="Times New Roman" w:cs="Times New Roman"/>
        </w:rPr>
        <w:t xml:space="preserve">come contratti d’appalto in cui </w:t>
      </w:r>
      <w:r w:rsidR="00AF6382" w:rsidRPr="00D92823">
        <w:rPr>
          <w:rFonts w:ascii="Times New Roman" w:hAnsi="Times New Roman" w:cs="Times New Roman"/>
        </w:rPr>
        <w:t>la stazione appaltante</w:t>
      </w:r>
      <w:r w:rsidR="00641409" w:rsidRPr="00D92823">
        <w:rPr>
          <w:rFonts w:ascii="Times New Roman" w:hAnsi="Times New Roman" w:cs="Times New Roman"/>
        </w:rPr>
        <w:t xml:space="preserve"> riconosce al privato</w:t>
      </w:r>
      <w:r w:rsidR="00AF6382" w:rsidRPr="00D92823">
        <w:rPr>
          <w:rFonts w:ascii="Times New Roman" w:hAnsi="Times New Roman" w:cs="Times New Roman"/>
        </w:rPr>
        <w:t>, a titolo di corrispettivo</w:t>
      </w:r>
      <w:r w:rsidR="006341CD" w:rsidRPr="00D92823">
        <w:rPr>
          <w:rFonts w:ascii="Times New Roman" w:hAnsi="Times New Roman" w:cs="Times New Roman"/>
        </w:rPr>
        <w:t xml:space="preserve"> dell’affidamento</w:t>
      </w:r>
      <w:r w:rsidR="00AF6382" w:rsidRPr="00D92823">
        <w:rPr>
          <w:rFonts w:ascii="Times New Roman" w:hAnsi="Times New Roman" w:cs="Times New Roman"/>
        </w:rPr>
        <w:t>, unicamente il diritto di gestire le opere od i servizi oggetto del contratto, ovvero tale diritto accompagnato da un prezzo in denaro.</w:t>
      </w:r>
    </w:p>
    <w:p w:rsidR="004A2CB6" w:rsidRPr="00D92823" w:rsidRDefault="00641409" w:rsidP="00D92823">
      <w:pPr>
        <w:ind w:left="567" w:right="140" w:firstLine="850"/>
        <w:jc w:val="both"/>
        <w:rPr>
          <w:rFonts w:ascii="Times New Roman" w:hAnsi="Times New Roman" w:cs="Times New Roman"/>
        </w:rPr>
      </w:pPr>
      <w:r w:rsidRPr="00D92823">
        <w:rPr>
          <w:rFonts w:ascii="Times New Roman" w:hAnsi="Times New Roman" w:cs="Times New Roman"/>
        </w:rPr>
        <w:t>A</w:t>
      </w:r>
      <w:r w:rsidR="00342E59" w:rsidRPr="00D92823">
        <w:rPr>
          <w:rFonts w:ascii="Times New Roman" w:hAnsi="Times New Roman" w:cs="Times New Roman"/>
        </w:rPr>
        <w:t>l</w:t>
      </w:r>
      <w:r w:rsidR="006341CD" w:rsidRPr="00D92823">
        <w:rPr>
          <w:rFonts w:ascii="Times New Roman" w:hAnsi="Times New Roman" w:cs="Times New Roman"/>
        </w:rPr>
        <w:t xml:space="preserve">tra </w:t>
      </w:r>
      <w:r w:rsidR="00EA3C49" w:rsidRPr="00D92823">
        <w:rPr>
          <w:rFonts w:ascii="Times New Roman" w:hAnsi="Times New Roman" w:cs="Times New Roman"/>
        </w:rPr>
        <w:t xml:space="preserve">importante </w:t>
      </w:r>
      <w:r w:rsidR="006341CD" w:rsidRPr="00D92823">
        <w:rPr>
          <w:rFonts w:ascii="Times New Roman" w:hAnsi="Times New Roman" w:cs="Times New Roman"/>
        </w:rPr>
        <w:t>ipotesi</w:t>
      </w:r>
      <w:r w:rsidR="004A2CB6" w:rsidRPr="00D92823">
        <w:rPr>
          <w:rFonts w:ascii="Times New Roman" w:hAnsi="Times New Roman" w:cs="Times New Roman"/>
        </w:rPr>
        <w:t xml:space="preserve"> </w:t>
      </w:r>
      <w:r w:rsidR="00FF609A" w:rsidRPr="00D92823">
        <w:rPr>
          <w:rFonts w:ascii="Times New Roman" w:hAnsi="Times New Roman" w:cs="Times New Roman"/>
        </w:rPr>
        <w:t xml:space="preserve">derogatoria </w:t>
      </w:r>
      <w:r w:rsidR="006341CD" w:rsidRPr="00D92823">
        <w:rPr>
          <w:rFonts w:ascii="Times New Roman" w:hAnsi="Times New Roman" w:cs="Times New Roman"/>
        </w:rPr>
        <w:t xml:space="preserve">è </w:t>
      </w:r>
      <w:r w:rsidRPr="00D92823">
        <w:rPr>
          <w:rFonts w:ascii="Times New Roman" w:hAnsi="Times New Roman" w:cs="Times New Roman"/>
        </w:rPr>
        <w:t xml:space="preserve">poi </w:t>
      </w:r>
      <w:r w:rsidR="006341CD" w:rsidRPr="00D92823">
        <w:rPr>
          <w:rFonts w:ascii="Times New Roman" w:hAnsi="Times New Roman" w:cs="Times New Roman"/>
        </w:rPr>
        <w:t>costituita dal</w:t>
      </w:r>
      <w:r w:rsidR="00D65680" w:rsidRPr="00D92823">
        <w:rPr>
          <w:rFonts w:ascii="Times New Roman" w:hAnsi="Times New Roman" w:cs="Times New Roman"/>
        </w:rPr>
        <w:t>l’</w:t>
      </w:r>
      <w:r w:rsidR="004A2CB6" w:rsidRPr="00D92823">
        <w:rPr>
          <w:rFonts w:ascii="Times New Roman" w:hAnsi="Times New Roman" w:cs="Times New Roman"/>
        </w:rPr>
        <w:t xml:space="preserve">appalto con corrispettivo immobiliare, di cui all’art. 191 D.lgs. n. 50/2016, che </w:t>
      </w:r>
      <w:r w:rsidR="00D65680" w:rsidRPr="00D92823">
        <w:rPr>
          <w:rFonts w:ascii="Times New Roman" w:hAnsi="Times New Roman" w:cs="Times New Roman"/>
        </w:rPr>
        <w:t xml:space="preserve">vede </w:t>
      </w:r>
      <w:r w:rsidR="004A2CB6" w:rsidRPr="00D92823">
        <w:rPr>
          <w:rFonts w:ascii="Times New Roman" w:hAnsi="Times New Roman" w:cs="Times New Roman"/>
        </w:rPr>
        <w:t>la sostituzione</w:t>
      </w:r>
      <w:r w:rsidR="00047E1F" w:rsidRPr="00D92823">
        <w:rPr>
          <w:rFonts w:ascii="Times New Roman" w:hAnsi="Times New Roman" w:cs="Times New Roman"/>
        </w:rPr>
        <w:t>,</w:t>
      </w:r>
      <w:r w:rsidR="004A2CB6" w:rsidRPr="00D92823">
        <w:rPr>
          <w:rFonts w:ascii="Times New Roman" w:hAnsi="Times New Roman" w:cs="Times New Roman"/>
        </w:rPr>
        <w:t xml:space="preserve"> integrale o parziale</w:t>
      </w:r>
      <w:r w:rsidR="00047E1F" w:rsidRPr="00D92823">
        <w:rPr>
          <w:rFonts w:ascii="Times New Roman" w:hAnsi="Times New Roman" w:cs="Times New Roman"/>
        </w:rPr>
        <w:t>,</w:t>
      </w:r>
      <w:r w:rsidR="004A2CB6" w:rsidRPr="00D92823">
        <w:rPr>
          <w:rFonts w:ascii="Times New Roman" w:hAnsi="Times New Roman" w:cs="Times New Roman"/>
        </w:rPr>
        <w:t xml:space="preserve"> del prezzo in denaro</w:t>
      </w:r>
      <w:r w:rsidR="00047E1F" w:rsidRPr="00D92823">
        <w:rPr>
          <w:rFonts w:ascii="Times New Roman" w:hAnsi="Times New Roman" w:cs="Times New Roman"/>
        </w:rPr>
        <w:t>,</w:t>
      </w:r>
      <w:r w:rsidR="004A2CB6" w:rsidRPr="00D92823">
        <w:rPr>
          <w:rFonts w:ascii="Times New Roman" w:hAnsi="Times New Roman" w:cs="Times New Roman"/>
        </w:rPr>
        <w:t xml:space="preserve"> con </w:t>
      </w:r>
      <w:r w:rsidR="00D65680" w:rsidRPr="00D92823">
        <w:rPr>
          <w:rFonts w:ascii="Times New Roman" w:hAnsi="Times New Roman" w:cs="Times New Roman"/>
        </w:rPr>
        <w:t>i</w:t>
      </w:r>
      <w:r w:rsidR="004A2CB6" w:rsidRPr="00D92823">
        <w:rPr>
          <w:rFonts w:ascii="Times New Roman" w:hAnsi="Times New Roman" w:cs="Times New Roman"/>
        </w:rPr>
        <w:t>l trasferimento all’appaltatore «della proprietà di beni immobili appartenenti all’amministrazione aggiudicatrice».</w:t>
      </w:r>
    </w:p>
    <w:p w:rsidR="004A2CB6" w:rsidRPr="00D92823" w:rsidRDefault="00143DBF" w:rsidP="00D92823">
      <w:pPr>
        <w:ind w:left="567" w:right="140" w:firstLine="850"/>
        <w:jc w:val="both"/>
        <w:rPr>
          <w:rFonts w:ascii="Times New Roman" w:hAnsi="Times New Roman" w:cs="Times New Roman"/>
        </w:rPr>
      </w:pPr>
      <w:r w:rsidRPr="00D92823">
        <w:rPr>
          <w:rFonts w:ascii="Times New Roman" w:hAnsi="Times New Roman" w:cs="Times New Roman"/>
        </w:rPr>
        <w:t>Trattandosi di</w:t>
      </w:r>
      <w:r w:rsidR="004A2CB6" w:rsidRPr="00D92823">
        <w:rPr>
          <w:rFonts w:ascii="Times New Roman" w:hAnsi="Times New Roman" w:cs="Times New Roman"/>
        </w:rPr>
        <w:t xml:space="preserve"> un</w:t>
      </w:r>
      <w:r w:rsidR="000A6EDC" w:rsidRPr="00D92823">
        <w:rPr>
          <w:rFonts w:ascii="Times New Roman" w:hAnsi="Times New Roman" w:cs="Times New Roman"/>
        </w:rPr>
        <w:t>’</w:t>
      </w:r>
      <w:r w:rsidRPr="00D92823">
        <w:rPr>
          <w:rFonts w:ascii="Times New Roman" w:hAnsi="Times New Roman" w:cs="Times New Roman"/>
        </w:rPr>
        <w:t>evidente</w:t>
      </w:r>
      <w:r w:rsidR="00FF609A" w:rsidRPr="00D92823">
        <w:rPr>
          <w:rFonts w:ascii="Times New Roman" w:hAnsi="Times New Roman" w:cs="Times New Roman"/>
        </w:rPr>
        <w:t xml:space="preserve"> eccezione</w:t>
      </w:r>
      <w:r w:rsidRPr="00D92823">
        <w:rPr>
          <w:rFonts w:ascii="Times New Roman" w:hAnsi="Times New Roman" w:cs="Times New Roman"/>
        </w:rPr>
        <w:t xml:space="preserve"> </w:t>
      </w:r>
      <w:r w:rsidR="004A2CB6" w:rsidRPr="00D92823">
        <w:rPr>
          <w:rFonts w:ascii="Times New Roman" w:hAnsi="Times New Roman" w:cs="Times New Roman"/>
        </w:rPr>
        <w:t xml:space="preserve">alla regola civilistica secondo </w:t>
      </w:r>
      <w:r w:rsidR="00047E1F" w:rsidRPr="00D92823">
        <w:rPr>
          <w:rFonts w:ascii="Times New Roman" w:hAnsi="Times New Roman" w:cs="Times New Roman"/>
        </w:rPr>
        <w:t>cui</w:t>
      </w:r>
      <w:r w:rsidR="004A2CB6" w:rsidRPr="00D92823">
        <w:rPr>
          <w:rFonts w:ascii="Times New Roman" w:hAnsi="Times New Roman" w:cs="Times New Roman"/>
        </w:rPr>
        <w:t xml:space="preserve"> il compenso dovuto all’appaltat</w:t>
      </w:r>
      <w:r w:rsidR="006F7248" w:rsidRPr="00D92823">
        <w:rPr>
          <w:rFonts w:ascii="Times New Roman" w:hAnsi="Times New Roman" w:cs="Times New Roman"/>
        </w:rPr>
        <w:t>o</w:t>
      </w:r>
      <w:r w:rsidR="004A2CB6" w:rsidRPr="00D92823">
        <w:rPr>
          <w:rFonts w:ascii="Times New Roman" w:hAnsi="Times New Roman" w:cs="Times New Roman"/>
        </w:rPr>
        <w:t xml:space="preserve">re </w:t>
      </w:r>
      <w:r w:rsidR="00E23054" w:rsidRPr="00D92823">
        <w:rPr>
          <w:rFonts w:ascii="Times New Roman" w:hAnsi="Times New Roman" w:cs="Times New Roman"/>
        </w:rPr>
        <w:t>è</w:t>
      </w:r>
      <w:r w:rsidR="004A2CB6" w:rsidRPr="00D92823">
        <w:rPr>
          <w:rFonts w:ascii="Times New Roman" w:hAnsi="Times New Roman" w:cs="Times New Roman"/>
        </w:rPr>
        <w:t xml:space="preserve"> necessariamente espresso in una somma di danaro</w:t>
      </w:r>
      <w:r w:rsidRPr="00D92823">
        <w:rPr>
          <w:rFonts w:ascii="Times New Roman" w:hAnsi="Times New Roman" w:cs="Times New Roman"/>
        </w:rPr>
        <w:t xml:space="preserve">, l’istituto </w:t>
      </w:r>
      <w:r w:rsidR="00E23054" w:rsidRPr="00D92823">
        <w:rPr>
          <w:rFonts w:ascii="Times New Roman" w:hAnsi="Times New Roman" w:cs="Times New Roman"/>
        </w:rPr>
        <w:t>è</w:t>
      </w:r>
      <w:r w:rsidRPr="00D92823">
        <w:rPr>
          <w:rFonts w:ascii="Times New Roman" w:hAnsi="Times New Roman" w:cs="Times New Roman"/>
        </w:rPr>
        <w:t xml:space="preserve"> soggetto a </w:t>
      </w:r>
      <w:r w:rsidR="00B70947" w:rsidRPr="00D92823">
        <w:rPr>
          <w:rFonts w:ascii="Times New Roman" w:hAnsi="Times New Roman" w:cs="Times New Roman"/>
        </w:rPr>
        <w:t xml:space="preserve">stretta interpretazione, </w:t>
      </w:r>
      <w:r w:rsidRPr="00D92823">
        <w:rPr>
          <w:rFonts w:ascii="Times New Roman" w:hAnsi="Times New Roman" w:cs="Times New Roman"/>
        </w:rPr>
        <w:t>escludendos</w:t>
      </w:r>
      <w:r w:rsidR="000A6EDC" w:rsidRPr="00D92823">
        <w:rPr>
          <w:rFonts w:ascii="Times New Roman" w:hAnsi="Times New Roman" w:cs="Times New Roman"/>
        </w:rPr>
        <w:t>ene</w:t>
      </w:r>
      <w:r w:rsidR="004A2CB6" w:rsidRPr="00D92823">
        <w:rPr>
          <w:rFonts w:ascii="Times New Roman" w:hAnsi="Times New Roman" w:cs="Times New Roman"/>
        </w:rPr>
        <w:t xml:space="preserve"> </w:t>
      </w:r>
      <w:r w:rsidRPr="00D92823">
        <w:rPr>
          <w:rFonts w:ascii="Times New Roman" w:hAnsi="Times New Roman" w:cs="Times New Roman"/>
        </w:rPr>
        <w:t>l</w:t>
      </w:r>
      <w:r w:rsidR="006F7248" w:rsidRPr="00D92823">
        <w:rPr>
          <w:rFonts w:ascii="Times New Roman" w:hAnsi="Times New Roman" w:cs="Times New Roman"/>
        </w:rPr>
        <w:t>’</w:t>
      </w:r>
      <w:r w:rsidRPr="00D92823">
        <w:rPr>
          <w:rFonts w:ascii="Times New Roman" w:hAnsi="Times New Roman" w:cs="Times New Roman"/>
        </w:rPr>
        <w:t xml:space="preserve">estensione </w:t>
      </w:r>
      <w:r w:rsidR="004A2CB6" w:rsidRPr="00D92823">
        <w:rPr>
          <w:rFonts w:ascii="Times New Roman" w:hAnsi="Times New Roman" w:cs="Times New Roman"/>
        </w:rPr>
        <w:t>analogica, ad es. mediante la previsione del trasferimento di beni mobili (quali le opere provvisionali già esistenti sul cantiere), in favore dell’impresa aggiudicataria, a scomputo del corrispettivo dovuto dall’amministrazione per lo stato avanzamento riferito allo smontaggio delle strutture</w:t>
      </w:r>
      <w:r w:rsidR="004A2CB6" w:rsidRPr="00D92823">
        <w:rPr>
          <w:rStyle w:val="Rimandonotaapidipagina"/>
          <w:rFonts w:ascii="Times New Roman" w:hAnsi="Times New Roman" w:cs="Times New Roman"/>
        </w:rPr>
        <w:footnoteReference w:id="22"/>
      </w:r>
      <w:r w:rsidR="004A2CB6" w:rsidRPr="00D92823">
        <w:rPr>
          <w:rFonts w:ascii="Times New Roman" w:hAnsi="Times New Roman" w:cs="Times New Roman"/>
        </w:rPr>
        <w:t>.</w:t>
      </w:r>
    </w:p>
    <w:p w:rsidR="004A2CB6" w:rsidRPr="00D92823" w:rsidRDefault="0010495A" w:rsidP="00D92823">
      <w:pPr>
        <w:ind w:left="567" w:right="140" w:firstLine="850"/>
        <w:jc w:val="both"/>
        <w:rPr>
          <w:rFonts w:ascii="Times New Roman" w:hAnsi="Times New Roman" w:cs="Times New Roman"/>
        </w:rPr>
      </w:pPr>
      <w:r w:rsidRPr="00D92823">
        <w:rPr>
          <w:rFonts w:ascii="Times New Roman" w:hAnsi="Times New Roman" w:cs="Times New Roman"/>
        </w:rPr>
        <w:t>Dunque,</w:t>
      </w:r>
      <w:r w:rsidR="00FF609A" w:rsidRPr="00D92823">
        <w:rPr>
          <w:rFonts w:ascii="Times New Roman" w:hAnsi="Times New Roman" w:cs="Times New Roman"/>
        </w:rPr>
        <w:t xml:space="preserve"> per come sin qui illustrato,</w:t>
      </w:r>
      <w:r w:rsidRPr="00D92823">
        <w:rPr>
          <w:rFonts w:ascii="Times New Roman" w:hAnsi="Times New Roman" w:cs="Times New Roman"/>
        </w:rPr>
        <w:t xml:space="preserve"> l</w:t>
      </w:r>
      <w:r w:rsidR="00143DBF" w:rsidRPr="00D92823">
        <w:rPr>
          <w:rFonts w:ascii="Times New Roman" w:hAnsi="Times New Roman" w:cs="Times New Roman"/>
        </w:rPr>
        <w:t>a</w:t>
      </w:r>
      <w:r w:rsidR="00047E1F" w:rsidRPr="00D92823">
        <w:rPr>
          <w:rFonts w:ascii="Times New Roman" w:hAnsi="Times New Roman" w:cs="Times New Roman"/>
        </w:rPr>
        <w:t xml:space="preserve"> </w:t>
      </w:r>
      <w:r w:rsidR="00143DBF" w:rsidRPr="00D92823">
        <w:rPr>
          <w:rFonts w:ascii="Times New Roman" w:hAnsi="Times New Roman" w:cs="Times New Roman"/>
        </w:rPr>
        <w:t xml:space="preserve">causa </w:t>
      </w:r>
      <w:r w:rsidR="00047E1F" w:rsidRPr="00D92823">
        <w:rPr>
          <w:rFonts w:ascii="Times New Roman" w:hAnsi="Times New Roman" w:cs="Times New Roman"/>
        </w:rPr>
        <w:t>onerosa</w:t>
      </w:r>
      <w:r w:rsidR="00143DBF" w:rsidRPr="00D92823">
        <w:rPr>
          <w:rFonts w:ascii="Times New Roman" w:hAnsi="Times New Roman" w:cs="Times New Roman"/>
        </w:rPr>
        <w:t xml:space="preserve"> che</w:t>
      </w:r>
      <w:r w:rsidR="00047E1F" w:rsidRPr="00D92823">
        <w:rPr>
          <w:rFonts w:ascii="Times New Roman" w:hAnsi="Times New Roman" w:cs="Times New Roman"/>
        </w:rPr>
        <w:t xml:space="preserve"> </w:t>
      </w:r>
      <w:r w:rsidR="00143DBF" w:rsidRPr="00D92823">
        <w:rPr>
          <w:rFonts w:ascii="Times New Roman" w:hAnsi="Times New Roman" w:cs="Times New Roman"/>
        </w:rPr>
        <w:t xml:space="preserve">accomuna </w:t>
      </w:r>
      <w:r w:rsidR="00B20EF0" w:rsidRPr="00D92823">
        <w:rPr>
          <w:rFonts w:ascii="Times New Roman" w:hAnsi="Times New Roman" w:cs="Times New Roman"/>
        </w:rPr>
        <w:t xml:space="preserve">il settore </w:t>
      </w:r>
      <w:r w:rsidR="00FF609A" w:rsidRPr="00D92823">
        <w:rPr>
          <w:rFonts w:ascii="Times New Roman" w:hAnsi="Times New Roman" w:cs="Times New Roman"/>
        </w:rPr>
        <w:t>privato e quello pubblico</w:t>
      </w:r>
      <w:r w:rsidR="00143DBF" w:rsidRPr="00D92823">
        <w:rPr>
          <w:rFonts w:ascii="Times New Roman" w:hAnsi="Times New Roman" w:cs="Times New Roman"/>
        </w:rPr>
        <w:t xml:space="preserve"> </w:t>
      </w:r>
      <w:r w:rsidR="00047E1F" w:rsidRPr="00D92823">
        <w:rPr>
          <w:rFonts w:ascii="Times New Roman" w:hAnsi="Times New Roman" w:cs="Times New Roman"/>
        </w:rPr>
        <w:t>fa sì</w:t>
      </w:r>
      <w:r w:rsidR="004A2CB6" w:rsidRPr="00D92823">
        <w:rPr>
          <w:rFonts w:ascii="Times New Roman" w:hAnsi="Times New Roman" w:cs="Times New Roman"/>
        </w:rPr>
        <w:t xml:space="preserve"> </w:t>
      </w:r>
      <w:r w:rsidR="00047E1F" w:rsidRPr="00D92823">
        <w:rPr>
          <w:rFonts w:ascii="Times New Roman" w:hAnsi="Times New Roman" w:cs="Times New Roman"/>
        </w:rPr>
        <w:t xml:space="preserve">che </w:t>
      </w:r>
      <w:r w:rsidR="00143DBF" w:rsidRPr="00D92823">
        <w:rPr>
          <w:rFonts w:ascii="Times New Roman" w:hAnsi="Times New Roman" w:cs="Times New Roman"/>
        </w:rPr>
        <w:t xml:space="preserve">il contratto </w:t>
      </w:r>
      <w:r w:rsidR="00B20EF0" w:rsidRPr="00D92823">
        <w:rPr>
          <w:rFonts w:ascii="Times New Roman" w:hAnsi="Times New Roman" w:cs="Times New Roman"/>
        </w:rPr>
        <w:t xml:space="preserve">d’appalto </w:t>
      </w:r>
      <w:r w:rsidR="0034061D" w:rsidRPr="00D92823">
        <w:rPr>
          <w:rFonts w:ascii="Times New Roman" w:hAnsi="Times New Roman" w:cs="Times New Roman"/>
        </w:rPr>
        <w:t xml:space="preserve">di servizi professionali </w:t>
      </w:r>
      <w:r w:rsidR="00047E1F" w:rsidRPr="00D92823">
        <w:rPr>
          <w:rFonts w:ascii="Times New Roman" w:hAnsi="Times New Roman" w:cs="Times New Roman"/>
        </w:rPr>
        <w:t xml:space="preserve">non </w:t>
      </w:r>
      <w:r w:rsidR="00143DBF" w:rsidRPr="00D92823">
        <w:rPr>
          <w:rFonts w:ascii="Times New Roman" w:hAnsi="Times New Roman" w:cs="Times New Roman"/>
        </w:rPr>
        <w:t>tolleri</w:t>
      </w:r>
      <w:r w:rsidR="004A2CB6" w:rsidRPr="00D92823">
        <w:rPr>
          <w:rFonts w:ascii="Times New Roman" w:hAnsi="Times New Roman" w:cs="Times New Roman"/>
        </w:rPr>
        <w:t xml:space="preserve"> </w:t>
      </w:r>
      <w:r w:rsidR="00143DBF" w:rsidRPr="00D92823">
        <w:rPr>
          <w:rFonts w:ascii="Times New Roman" w:hAnsi="Times New Roman" w:cs="Times New Roman"/>
        </w:rPr>
        <w:t xml:space="preserve">l’assenza di </w:t>
      </w:r>
      <w:r w:rsidR="004A2CB6" w:rsidRPr="00D92823">
        <w:rPr>
          <w:rFonts w:ascii="Times New Roman" w:hAnsi="Times New Roman" w:cs="Times New Roman"/>
        </w:rPr>
        <w:t>un corrispettivo a carico del committente.</w:t>
      </w:r>
    </w:p>
    <w:p w:rsidR="004A2CB6" w:rsidRPr="00D92823" w:rsidRDefault="004A2CB6" w:rsidP="00D92823">
      <w:pPr>
        <w:ind w:left="567" w:right="140" w:firstLine="850"/>
        <w:jc w:val="both"/>
        <w:rPr>
          <w:rFonts w:ascii="Times New Roman" w:hAnsi="Times New Roman" w:cs="Times New Roman"/>
        </w:rPr>
      </w:pPr>
      <w:r w:rsidRPr="00D92823">
        <w:rPr>
          <w:rFonts w:ascii="Times New Roman" w:hAnsi="Times New Roman" w:cs="Times New Roman"/>
        </w:rPr>
        <w:t xml:space="preserve">Nell’eventualità, </w:t>
      </w:r>
      <w:r w:rsidR="00143DBF" w:rsidRPr="00D92823">
        <w:rPr>
          <w:rFonts w:ascii="Times New Roman" w:hAnsi="Times New Roman" w:cs="Times New Roman"/>
        </w:rPr>
        <w:t>l’operazione si configura</w:t>
      </w:r>
      <w:r w:rsidRPr="00D92823">
        <w:rPr>
          <w:rFonts w:ascii="Times New Roman" w:hAnsi="Times New Roman" w:cs="Times New Roman"/>
        </w:rPr>
        <w:t xml:space="preserve"> come </w:t>
      </w:r>
      <w:r w:rsidR="00155306" w:rsidRPr="00D92823">
        <w:rPr>
          <w:rFonts w:ascii="Times New Roman" w:hAnsi="Times New Roman" w:cs="Times New Roman"/>
        </w:rPr>
        <w:t xml:space="preserve">un contratto atipico o come </w:t>
      </w:r>
      <w:r w:rsidR="00143DBF" w:rsidRPr="00D92823">
        <w:rPr>
          <w:rFonts w:ascii="Times New Roman" w:hAnsi="Times New Roman" w:cs="Times New Roman"/>
        </w:rPr>
        <w:t xml:space="preserve">una </w:t>
      </w:r>
      <w:r w:rsidRPr="00D92823">
        <w:rPr>
          <w:rFonts w:ascii="Times New Roman" w:hAnsi="Times New Roman" w:cs="Times New Roman"/>
        </w:rPr>
        <w:t xml:space="preserve">donazione obbligatoria indiretta, ossia </w:t>
      </w:r>
      <w:r w:rsidR="0087683A" w:rsidRPr="00D92823">
        <w:rPr>
          <w:rFonts w:ascii="Times New Roman" w:hAnsi="Times New Roman" w:cs="Times New Roman"/>
        </w:rPr>
        <w:t>un</w:t>
      </w:r>
      <w:r w:rsidR="00047E1F" w:rsidRPr="00D92823">
        <w:rPr>
          <w:rFonts w:ascii="Times New Roman" w:hAnsi="Times New Roman" w:cs="Times New Roman"/>
        </w:rPr>
        <w:t xml:space="preserve"> </w:t>
      </w:r>
      <w:r w:rsidRPr="00D92823">
        <w:rPr>
          <w:rFonts w:ascii="Times New Roman" w:hAnsi="Times New Roman" w:cs="Times New Roman"/>
        </w:rPr>
        <w:t>negozio giuridico atipico che, pur non avendo la forma della donazione, è mosso da fine di liberalità ed ha lo scopo e l’effetto di arricchire g</w:t>
      </w:r>
      <w:r w:rsidRPr="00D92823">
        <w:rPr>
          <w:rFonts w:ascii="Times New Roman" w:hAnsi="Times New Roman" w:cs="Times New Roman"/>
          <w:bCs/>
        </w:rPr>
        <w:t>ratuitamente</w:t>
      </w:r>
      <w:r w:rsidRPr="00D92823">
        <w:rPr>
          <w:rFonts w:ascii="Times New Roman" w:hAnsi="Times New Roman" w:cs="Times New Roman"/>
        </w:rPr>
        <w:t xml:space="preserve"> il beneficiario</w:t>
      </w:r>
      <w:r w:rsidRPr="00D92823">
        <w:rPr>
          <w:rStyle w:val="Rimandonotaapidipagina"/>
          <w:rFonts w:ascii="Times New Roman" w:hAnsi="Times New Roman" w:cs="Times New Roman"/>
        </w:rPr>
        <w:footnoteReference w:id="23"/>
      </w:r>
      <w:r w:rsidR="00143DBF" w:rsidRPr="00D92823">
        <w:rPr>
          <w:rFonts w:ascii="Times New Roman" w:hAnsi="Times New Roman" w:cs="Times New Roman"/>
        </w:rPr>
        <w:t xml:space="preserve"> e che,</w:t>
      </w:r>
      <w:r w:rsidRPr="00D92823">
        <w:rPr>
          <w:rFonts w:ascii="Times New Roman" w:hAnsi="Times New Roman" w:cs="Times New Roman"/>
        </w:rPr>
        <w:t xml:space="preserve"> come tutte le donazioni indirette, rest</w:t>
      </w:r>
      <w:r w:rsidR="00143DBF" w:rsidRPr="00D92823">
        <w:rPr>
          <w:rFonts w:ascii="Times New Roman" w:hAnsi="Times New Roman" w:cs="Times New Roman"/>
        </w:rPr>
        <w:t>a</w:t>
      </w:r>
      <w:r w:rsidRPr="00D92823">
        <w:rPr>
          <w:rFonts w:ascii="Times New Roman" w:hAnsi="Times New Roman" w:cs="Times New Roman"/>
        </w:rPr>
        <w:t xml:space="preserve"> soggett</w:t>
      </w:r>
      <w:r w:rsidR="00143DBF" w:rsidRPr="00D92823">
        <w:rPr>
          <w:rFonts w:ascii="Times New Roman" w:hAnsi="Times New Roman" w:cs="Times New Roman"/>
        </w:rPr>
        <w:t>a</w:t>
      </w:r>
      <w:r w:rsidRPr="00D92823">
        <w:rPr>
          <w:rFonts w:ascii="Times New Roman" w:hAnsi="Times New Roman" w:cs="Times New Roman"/>
        </w:rPr>
        <w:t xml:space="preserve"> alle norme </w:t>
      </w:r>
      <w:r w:rsidR="00143DBF" w:rsidRPr="00D92823">
        <w:rPr>
          <w:rFonts w:ascii="Times New Roman" w:hAnsi="Times New Roman" w:cs="Times New Roman"/>
        </w:rPr>
        <w:t>gener</w:t>
      </w:r>
      <w:r w:rsidRPr="00D92823">
        <w:rPr>
          <w:rFonts w:ascii="Times New Roman" w:hAnsi="Times New Roman" w:cs="Times New Roman"/>
        </w:rPr>
        <w:t xml:space="preserve">ali sulla riunione fittizia del </w:t>
      </w:r>
      <w:proofErr w:type="spellStart"/>
      <w:r w:rsidRPr="00D92823">
        <w:rPr>
          <w:rFonts w:ascii="Times New Roman" w:hAnsi="Times New Roman" w:cs="Times New Roman"/>
          <w:i/>
          <w:iCs/>
        </w:rPr>
        <w:t>donatum</w:t>
      </w:r>
      <w:proofErr w:type="spellEnd"/>
      <w:r w:rsidRPr="00D92823">
        <w:rPr>
          <w:rFonts w:ascii="Times New Roman" w:hAnsi="Times New Roman" w:cs="Times New Roman"/>
        </w:rPr>
        <w:t xml:space="preserve"> al </w:t>
      </w:r>
      <w:proofErr w:type="spellStart"/>
      <w:r w:rsidRPr="00D92823">
        <w:rPr>
          <w:rFonts w:ascii="Times New Roman" w:hAnsi="Times New Roman" w:cs="Times New Roman"/>
          <w:i/>
          <w:iCs/>
        </w:rPr>
        <w:t>relictum</w:t>
      </w:r>
      <w:proofErr w:type="spellEnd"/>
      <w:r w:rsidRPr="00D92823">
        <w:rPr>
          <w:rFonts w:ascii="Times New Roman" w:hAnsi="Times New Roman" w:cs="Times New Roman"/>
        </w:rPr>
        <w:t xml:space="preserve"> nella successione del disponente, </w:t>
      </w:r>
      <w:r w:rsidR="00143DBF" w:rsidRPr="00D92823">
        <w:rPr>
          <w:rFonts w:ascii="Times New Roman" w:hAnsi="Times New Roman" w:cs="Times New Roman"/>
        </w:rPr>
        <w:t>su</w:t>
      </w:r>
      <w:r w:rsidRPr="00D92823">
        <w:rPr>
          <w:rFonts w:ascii="Times New Roman" w:hAnsi="Times New Roman" w:cs="Times New Roman"/>
        </w:rPr>
        <w:t>lla collazione e</w:t>
      </w:r>
      <w:r w:rsidR="00143DBF" w:rsidRPr="00D92823">
        <w:rPr>
          <w:rFonts w:ascii="Times New Roman" w:hAnsi="Times New Roman" w:cs="Times New Roman"/>
        </w:rPr>
        <w:t xml:space="preserve"> su</w:t>
      </w:r>
      <w:r w:rsidRPr="00D92823">
        <w:rPr>
          <w:rFonts w:ascii="Times New Roman" w:hAnsi="Times New Roman" w:cs="Times New Roman"/>
        </w:rPr>
        <w:t>ll’azione di riduzione delle donazioni.</w:t>
      </w:r>
    </w:p>
    <w:p w:rsidR="00181942" w:rsidRPr="00D92823" w:rsidRDefault="00181942" w:rsidP="00D92823">
      <w:pPr>
        <w:ind w:left="567" w:right="140" w:firstLine="850"/>
        <w:jc w:val="both"/>
        <w:rPr>
          <w:rFonts w:ascii="Times New Roman" w:hAnsi="Times New Roman" w:cs="Times New Roman"/>
        </w:rPr>
      </w:pPr>
    </w:p>
    <w:p w:rsidR="00181942" w:rsidRPr="00D92823" w:rsidRDefault="00181942" w:rsidP="00D92823">
      <w:pPr>
        <w:numPr>
          <w:ilvl w:val="0"/>
          <w:numId w:val="2"/>
        </w:numPr>
        <w:ind w:left="567" w:right="140" w:firstLine="850"/>
        <w:jc w:val="both"/>
        <w:rPr>
          <w:rFonts w:ascii="Times New Roman" w:hAnsi="Times New Roman" w:cs="Times New Roman"/>
          <w:b/>
        </w:rPr>
      </w:pPr>
      <w:r w:rsidRPr="00D92823">
        <w:rPr>
          <w:rFonts w:ascii="Times New Roman" w:hAnsi="Times New Roman" w:cs="Times New Roman"/>
          <w:b/>
        </w:rPr>
        <w:t>La determinazione del corrispettivo.</w:t>
      </w:r>
    </w:p>
    <w:p w:rsidR="00342E59" w:rsidRPr="00D92823" w:rsidRDefault="00FF609A" w:rsidP="00D92823">
      <w:pPr>
        <w:ind w:left="567" w:right="140" w:firstLine="850"/>
        <w:jc w:val="both"/>
        <w:rPr>
          <w:rFonts w:ascii="Times New Roman" w:hAnsi="Times New Roman" w:cs="Times New Roman"/>
        </w:rPr>
      </w:pPr>
      <w:r w:rsidRPr="00D92823">
        <w:rPr>
          <w:rFonts w:ascii="Times New Roman" w:hAnsi="Times New Roman" w:cs="Times New Roman"/>
        </w:rPr>
        <w:t xml:space="preserve">Quanto alla </w:t>
      </w:r>
      <w:r w:rsidR="00342E59" w:rsidRPr="00D92823">
        <w:rPr>
          <w:rFonts w:ascii="Times New Roman" w:hAnsi="Times New Roman" w:cs="Times New Roman"/>
        </w:rPr>
        <w:t>determinazione del corrispettivo</w:t>
      </w:r>
      <w:r w:rsidR="00181942" w:rsidRPr="00D92823">
        <w:rPr>
          <w:rFonts w:ascii="Times New Roman" w:hAnsi="Times New Roman" w:cs="Times New Roman"/>
        </w:rPr>
        <w:t>,</w:t>
      </w:r>
      <w:r w:rsidR="00342E59" w:rsidRPr="00D92823">
        <w:rPr>
          <w:rFonts w:ascii="Times New Roman" w:hAnsi="Times New Roman" w:cs="Times New Roman"/>
        </w:rPr>
        <w:t xml:space="preserve"> </w:t>
      </w:r>
      <w:r w:rsidRPr="00D92823">
        <w:rPr>
          <w:rFonts w:ascii="Times New Roman" w:hAnsi="Times New Roman" w:cs="Times New Roman"/>
        </w:rPr>
        <w:t xml:space="preserve">per </w:t>
      </w:r>
      <w:r w:rsidR="00342E59" w:rsidRPr="00D92823">
        <w:rPr>
          <w:rFonts w:ascii="Times New Roman" w:hAnsi="Times New Roman" w:cs="Times New Roman"/>
        </w:rPr>
        <w:t xml:space="preserve">le </w:t>
      </w:r>
      <w:r w:rsidR="00DE7D38" w:rsidRPr="00D92823">
        <w:rPr>
          <w:rFonts w:ascii="Times New Roman" w:hAnsi="Times New Roman" w:cs="Times New Roman"/>
        </w:rPr>
        <w:t xml:space="preserve">sole </w:t>
      </w:r>
      <w:r w:rsidR="00342E59" w:rsidRPr="00D92823">
        <w:rPr>
          <w:rFonts w:ascii="Times New Roman" w:hAnsi="Times New Roman" w:cs="Times New Roman"/>
        </w:rPr>
        <w:t>prestazioni professionali tecniche</w:t>
      </w:r>
      <w:r w:rsidR="00181942" w:rsidRPr="00D92823">
        <w:rPr>
          <w:rFonts w:ascii="Times New Roman" w:hAnsi="Times New Roman" w:cs="Times New Roman"/>
        </w:rPr>
        <w:t xml:space="preserve"> (quindi, non per i “servizi legali”)</w:t>
      </w:r>
      <w:r w:rsidR="00342E59" w:rsidRPr="00D92823">
        <w:rPr>
          <w:rFonts w:ascii="Times New Roman" w:hAnsi="Times New Roman" w:cs="Times New Roman"/>
        </w:rPr>
        <w:t>, l’art. 24</w:t>
      </w:r>
      <w:r w:rsidR="00EA3C49" w:rsidRPr="00D92823">
        <w:rPr>
          <w:rFonts w:ascii="Times New Roman" w:hAnsi="Times New Roman" w:cs="Times New Roman"/>
        </w:rPr>
        <w:t>, comma 8,</w:t>
      </w:r>
      <w:r w:rsidR="00342E59" w:rsidRPr="00D92823">
        <w:rPr>
          <w:rFonts w:ascii="Times New Roman" w:hAnsi="Times New Roman" w:cs="Times New Roman"/>
        </w:rPr>
        <w:t xml:space="preserve"> del codice del contratti pubblici rinvia ad un decreto del</w:t>
      </w:r>
      <w:r w:rsidR="002111BC" w:rsidRPr="00D92823">
        <w:rPr>
          <w:rFonts w:ascii="Times New Roman" w:hAnsi="Times New Roman" w:cs="Times New Roman"/>
        </w:rPr>
        <w:t xml:space="preserve"> Ministro della giustizia, di concerto con il Ministro delle infrastrutture e dei trasporti, </w:t>
      </w:r>
      <w:r w:rsidR="00342E59" w:rsidRPr="00D92823">
        <w:rPr>
          <w:rFonts w:ascii="Times New Roman" w:hAnsi="Times New Roman" w:cs="Times New Roman"/>
        </w:rPr>
        <w:t>l’approvazione</w:t>
      </w:r>
      <w:r w:rsidR="002111BC" w:rsidRPr="00D92823">
        <w:rPr>
          <w:rFonts w:ascii="Times New Roman" w:hAnsi="Times New Roman" w:cs="Times New Roman"/>
        </w:rPr>
        <w:t xml:space="preserve"> </w:t>
      </w:r>
      <w:r w:rsidR="00342E59" w:rsidRPr="00D92823">
        <w:rPr>
          <w:rFonts w:ascii="Times New Roman" w:hAnsi="Times New Roman" w:cs="Times New Roman"/>
        </w:rPr>
        <w:t xml:space="preserve">di apposite </w:t>
      </w:r>
      <w:r w:rsidR="002111BC" w:rsidRPr="00D92823">
        <w:rPr>
          <w:rFonts w:ascii="Times New Roman" w:hAnsi="Times New Roman" w:cs="Times New Roman"/>
        </w:rPr>
        <w:t>tabelle</w:t>
      </w:r>
      <w:r w:rsidR="00342E59" w:rsidRPr="00D92823">
        <w:rPr>
          <w:rFonts w:ascii="Times New Roman" w:hAnsi="Times New Roman" w:cs="Times New Roman"/>
        </w:rPr>
        <w:t>,</w:t>
      </w:r>
      <w:r w:rsidR="002111BC" w:rsidRPr="00D92823">
        <w:rPr>
          <w:rFonts w:ascii="Times New Roman" w:hAnsi="Times New Roman" w:cs="Times New Roman"/>
        </w:rPr>
        <w:t xml:space="preserve"> commisura</w:t>
      </w:r>
      <w:r w:rsidR="00EA3C49" w:rsidRPr="00D92823">
        <w:rPr>
          <w:rFonts w:ascii="Times New Roman" w:hAnsi="Times New Roman" w:cs="Times New Roman"/>
        </w:rPr>
        <w:t>t</w:t>
      </w:r>
      <w:r w:rsidR="00342E59" w:rsidRPr="00D92823">
        <w:rPr>
          <w:rFonts w:ascii="Times New Roman" w:hAnsi="Times New Roman" w:cs="Times New Roman"/>
        </w:rPr>
        <w:t>e</w:t>
      </w:r>
      <w:r w:rsidR="002111BC" w:rsidRPr="00D92823">
        <w:rPr>
          <w:rFonts w:ascii="Times New Roman" w:hAnsi="Times New Roman" w:cs="Times New Roman"/>
        </w:rPr>
        <w:t xml:space="preserve"> al livello qualitativo delle prestazioni e delle attività </w:t>
      </w:r>
      <w:r w:rsidR="00342E59" w:rsidRPr="00D92823">
        <w:rPr>
          <w:rFonts w:ascii="Times New Roman" w:hAnsi="Times New Roman" w:cs="Times New Roman"/>
        </w:rPr>
        <w:t>richieste</w:t>
      </w:r>
      <w:r w:rsidR="006C03E9" w:rsidRPr="00D92823">
        <w:rPr>
          <w:rStyle w:val="Rimandonotaapidipagina"/>
          <w:rFonts w:ascii="Times New Roman" w:hAnsi="Times New Roman" w:cs="Times New Roman"/>
        </w:rPr>
        <w:footnoteReference w:id="24"/>
      </w:r>
      <w:r w:rsidR="002111BC" w:rsidRPr="00D92823">
        <w:rPr>
          <w:rFonts w:ascii="Times New Roman" w:hAnsi="Times New Roman" w:cs="Times New Roman"/>
        </w:rPr>
        <w:t>.</w:t>
      </w:r>
    </w:p>
    <w:p w:rsidR="00342E59" w:rsidRPr="00D92823" w:rsidRDefault="00FF609A" w:rsidP="00D92823">
      <w:pPr>
        <w:ind w:left="567" w:right="140" w:firstLine="850"/>
        <w:jc w:val="both"/>
        <w:rPr>
          <w:rFonts w:ascii="Times New Roman" w:hAnsi="Times New Roman" w:cs="Times New Roman"/>
        </w:rPr>
      </w:pPr>
      <w:r w:rsidRPr="00D92823">
        <w:rPr>
          <w:rFonts w:ascii="Times New Roman" w:hAnsi="Times New Roman" w:cs="Times New Roman"/>
        </w:rPr>
        <w:t>L’importo</w:t>
      </w:r>
      <w:r w:rsidR="002111BC" w:rsidRPr="00D92823">
        <w:rPr>
          <w:rFonts w:ascii="Times New Roman" w:hAnsi="Times New Roman" w:cs="Times New Roman"/>
        </w:rPr>
        <w:t xml:space="preserve"> </w:t>
      </w:r>
      <w:r w:rsidR="00342E59" w:rsidRPr="00D92823">
        <w:rPr>
          <w:rFonts w:ascii="Times New Roman" w:hAnsi="Times New Roman" w:cs="Times New Roman"/>
        </w:rPr>
        <w:t>così risultant</w:t>
      </w:r>
      <w:r w:rsidR="00641409" w:rsidRPr="00D92823">
        <w:rPr>
          <w:rFonts w:ascii="Times New Roman" w:hAnsi="Times New Roman" w:cs="Times New Roman"/>
        </w:rPr>
        <w:t>e</w:t>
      </w:r>
      <w:r w:rsidR="00342E59" w:rsidRPr="00D92823">
        <w:rPr>
          <w:rFonts w:ascii="Times New Roman" w:hAnsi="Times New Roman" w:cs="Times New Roman"/>
        </w:rPr>
        <w:t xml:space="preserve"> </w:t>
      </w:r>
      <w:r w:rsidR="00DE7D38" w:rsidRPr="00D92823">
        <w:rPr>
          <w:rFonts w:ascii="Times New Roman" w:hAnsi="Times New Roman" w:cs="Times New Roman"/>
        </w:rPr>
        <w:t>va</w:t>
      </w:r>
      <w:r w:rsidR="00342E59" w:rsidRPr="00D92823">
        <w:rPr>
          <w:rFonts w:ascii="Times New Roman" w:hAnsi="Times New Roman" w:cs="Times New Roman"/>
        </w:rPr>
        <w:t xml:space="preserve"> </w:t>
      </w:r>
      <w:r w:rsidR="002111BC" w:rsidRPr="00D92823">
        <w:rPr>
          <w:rFonts w:ascii="Times New Roman" w:hAnsi="Times New Roman" w:cs="Times New Roman"/>
        </w:rPr>
        <w:t>utilizzat</w:t>
      </w:r>
      <w:r w:rsidR="00641409" w:rsidRPr="00D92823">
        <w:rPr>
          <w:rFonts w:ascii="Times New Roman" w:hAnsi="Times New Roman" w:cs="Times New Roman"/>
        </w:rPr>
        <w:t>o</w:t>
      </w:r>
      <w:r w:rsidR="002111BC" w:rsidRPr="00D92823">
        <w:rPr>
          <w:rFonts w:ascii="Times New Roman" w:hAnsi="Times New Roman" w:cs="Times New Roman"/>
        </w:rPr>
        <w:t xml:space="preserve"> dalle stazioni appaltanti </w:t>
      </w:r>
      <w:r w:rsidR="00342E59" w:rsidRPr="00D92823">
        <w:rPr>
          <w:rFonts w:ascii="Times New Roman" w:hAnsi="Times New Roman" w:cs="Times New Roman"/>
        </w:rPr>
        <w:t>«</w:t>
      </w:r>
      <w:r w:rsidR="002111BC" w:rsidRPr="00D92823">
        <w:rPr>
          <w:rFonts w:ascii="Times New Roman" w:hAnsi="Times New Roman" w:cs="Times New Roman"/>
        </w:rPr>
        <w:t>quale criterio o base di riferimento</w:t>
      </w:r>
      <w:r w:rsidR="00342E59" w:rsidRPr="00D92823">
        <w:rPr>
          <w:rFonts w:ascii="Times New Roman" w:hAnsi="Times New Roman" w:cs="Times New Roman"/>
        </w:rPr>
        <w:t>,</w:t>
      </w:r>
      <w:r w:rsidR="002111BC" w:rsidRPr="00D92823">
        <w:rPr>
          <w:rFonts w:ascii="Times New Roman" w:hAnsi="Times New Roman" w:cs="Times New Roman"/>
        </w:rPr>
        <w:t xml:space="preserve"> ai fini dell’individuazione dell’importo </w:t>
      </w:r>
      <w:r w:rsidR="00342E59" w:rsidRPr="00D92823">
        <w:rPr>
          <w:rFonts w:ascii="Times New Roman" w:hAnsi="Times New Roman" w:cs="Times New Roman"/>
        </w:rPr>
        <w:t>d</w:t>
      </w:r>
      <w:r w:rsidR="002111BC" w:rsidRPr="00D92823">
        <w:rPr>
          <w:rFonts w:ascii="Times New Roman" w:hAnsi="Times New Roman" w:cs="Times New Roman"/>
        </w:rPr>
        <w:t>a porre a base di gara dell</w:t>
      </w:r>
      <w:r w:rsidR="00342E59" w:rsidRPr="00D92823">
        <w:rPr>
          <w:rFonts w:ascii="Times New Roman" w:hAnsi="Times New Roman" w:cs="Times New Roman"/>
        </w:rPr>
        <w:t>’</w:t>
      </w:r>
      <w:r w:rsidR="002111BC" w:rsidRPr="00D92823">
        <w:rPr>
          <w:rFonts w:ascii="Times New Roman" w:hAnsi="Times New Roman" w:cs="Times New Roman"/>
        </w:rPr>
        <w:t>affidamento</w:t>
      </w:r>
      <w:r w:rsidR="00342E59" w:rsidRPr="00D92823">
        <w:rPr>
          <w:rFonts w:ascii="Times New Roman" w:hAnsi="Times New Roman" w:cs="Times New Roman"/>
        </w:rPr>
        <w:t>».</w:t>
      </w:r>
    </w:p>
    <w:p w:rsidR="00641409" w:rsidRPr="00D92823" w:rsidRDefault="00EA3C49" w:rsidP="00D92823">
      <w:pPr>
        <w:ind w:left="567" w:right="140" w:firstLine="850"/>
        <w:jc w:val="both"/>
        <w:rPr>
          <w:rFonts w:ascii="Times New Roman" w:hAnsi="Times New Roman" w:cs="Times New Roman"/>
        </w:rPr>
      </w:pPr>
      <w:r w:rsidRPr="00D92823">
        <w:rPr>
          <w:rFonts w:ascii="Times New Roman" w:hAnsi="Times New Roman" w:cs="Times New Roman"/>
        </w:rPr>
        <w:t>Detto</w:t>
      </w:r>
      <w:r w:rsidR="00641409" w:rsidRPr="00D92823">
        <w:rPr>
          <w:rFonts w:ascii="Times New Roman" w:hAnsi="Times New Roman" w:cs="Times New Roman"/>
        </w:rPr>
        <w:t xml:space="preserve"> corrispettivo, </w:t>
      </w:r>
      <w:r w:rsidR="00181942" w:rsidRPr="00D92823">
        <w:rPr>
          <w:rFonts w:ascii="Times New Roman" w:hAnsi="Times New Roman" w:cs="Times New Roman"/>
        </w:rPr>
        <w:t>sempre per le prestazioni professionali tecniche,</w:t>
      </w:r>
      <w:r w:rsidR="00641409" w:rsidRPr="00D92823">
        <w:rPr>
          <w:rFonts w:ascii="Times New Roman" w:hAnsi="Times New Roman" w:cs="Times New Roman"/>
        </w:rPr>
        <w:t xml:space="preserve"> dev’</w:t>
      </w:r>
      <w:r w:rsidR="0036059B" w:rsidRPr="00D92823">
        <w:rPr>
          <w:rFonts w:ascii="Times New Roman" w:hAnsi="Times New Roman" w:cs="Times New Roman"/>
        </w:rPr>
        <w:t>essere</w:t>
      </w:r>
      <w:r w:rsidR="00641409" w:rsidRPr="00D92823">
        <w:rPr>
          <w:rFonts w:ascii="Times New Roman" w:hAnsi="Times New Roman" w:cs="Times New Roman"/>
        </w:rPr>
        <w:t xml:space="preserve"> effettivo</w:t>
      </w:r>
      <w:r w:rsidR="0036059B" w:rsidRPr="00D92823">
        <w:rPr>
          <w:rFonts w:ascii="Times New Roman" w:hAnsi="Times New Roman" w:cs="Times New Roman"/>
        </w:rPr>
        <w:t xml:space="preserve"> e non aleatorio</w:t>
      </w:r>
      <w:r w:rsidR="00641409" w:rsidRPr="00D92823">
        <w:rPr>
          <w:rFonts w:ascii="Times New Roman" w:hAnsi="Times New Roman" w:cs="Times New Roman"/>
        </w:rPr>
        <w:t>.</w:t>
      </w:r>
    </w:p>
    <w:p w:rsidR="00342E59" w:rsidRPr="00D92823" w:rsidRDefault="00641409" w:rsidP="00D92823">
      <w:pPr>
        <w:ind w:left="567" w:right="140" w:firstLine="850"/>
        <w:jc w:val="both"/>
        <w:rPr>
          <w:rFonts w:ascii="Times New Roman" w:hAnsi="Times New Roman" w:cs="Times New Roman"/>
        </w:rPr>
      </w:pPr>
      <w:r w:rsidRPr="00D92823">
        <w:rPr>
          <w:rFonts w:ascii="Times New Roman" w:hAnsi="Times New Roman" w:cs="Times New Roman"/>
        </w:rPr>
        <w:t xml:space="preserve">Sotto il primo aspetto, </w:t>
      </w:r>
      <w:r w:rsidR="00EA3C49" w:rsidRPr="00D92823">
        <w:rPr>
          <w:rFonts w:ascii="Times New Roman" w:hAnsi="Times New Roman" w:cs="Times New Roman"/>
        </w:rPr>
        <w:t>il comma 8-</w:t>
      </w:r>
      <w:r w:rsidR="00EA3C49" w:rsidRPr="00D92823">
        <w:rPr>
          <w:rFonts w:ascii="Times New Roman" w:hAnsi="Times New Roman" w:cs="Times New Roman"/>
          <w:i/>
        </w:rPr>
        <w:t>ter</w:t>
      </w:r>
      <w:r w:rsidR="00342E59" w:rsidRPr="00D92823">
        <w:rPr>
          <w:rFonts w:ascii="Times New Roman" w:hAnsi="Times New Roman" w:cs="Times New Roman"/>
        </w:rPr>
        <w:t xml:space="preserve"> </w:t>
      </w:r>
      <w:r w:rsidRPr="00D92823">
        <w:rPr>
          <w:rFonts w:ascii="Times New Roman" w:hAnsi="Times New Roman" w:cs="Times New Roman"/>
        </w:rPr>
        <w:t>stabili</w:t>
      </w:r>
      <w:r w:rsidR="00EA3C49" w:rsidRPr="00D92823">
        <w:rPr>
          <w:rFonts w:ascii="Times New Roman" w:hAnsi="Times New Roman" w:cs="Times New Roman"/>
        </w:rPr>
        <w:t>sce</w:t>
      </w:r>
      <w:r w:rsidRPr="00D92823">
        <w:rPr>
          <w:rFonts w:ascii="Times New Roman" w:hAnsi="Times New Roman" w:cs="Times New Roman"/>
        </w:rPr>
        <w:t xml:space="preserve"> che</w:t>
      </w:r>
      <w:r w:rsidR="0036059B" w:rsidRPr="00D92823">
        <w:rPr>
          <w:rFonts w:ascii="Times New Roman" w:hAnsi="Times New Roman" w:cs="Times New Roman"/>
        </w:rPr>
        <w:t>, «nei contratti aventi ad oggetto servizi di ingegneria e architettura, la stazione appaltante non può prevedere quale corrispettivo forme di sponsorizzazione o di rimborso, ad eccezione dei contratti relativi ai beni culturali, secondo quanto previsto dall’</w:t>
      </w:r>
      <w:hyperlink r:id="rId9" w:anchor="151" w:history="1">
        <w:r w:rsidR="0036059B" w:rsidRPr="00D92823">
          <w:rPr>
            <w:rFonts w:ascii="Times New Roman" w:hAnsi="Times New Roman" w:cs="Times New Roman"/>
          </w:rPr>
          <w:t>art. 151</w:t>
        </w:r>
      </w:hyperlink>
      <w:r w:rsidR="0036059B" w:rsidRPr="00D92823">
        <w:rPr>
          <w:rFonts w:ascii="Times New Roman" w:hAnsi="Times New Roman" w:cs="Times New Roman"/>
        </w:rPr>
        <w:t>».</w:t>
      </w:r>
      <w:r w:rsidRPr="00D92823">
        <w:rPr>
          <w:rFonts w:ascii="Times New Roman" w:hAnsi="Times New Roman" w:cs="Times New Roman"/>
        </w:rPr>
        <w:t xml:space="preserve"> </w:t>
      </w:r>
    </w:p>
    <w:p w:rsidR="002111BC" w:rsidRPr="00D92823" w:rsidRDefault="00641409" w:rsidP="00D92823">
      <w:pPr>
        <w:ind w:left="567" w:right="140" w:firstLine="850"/>
        <w:jc w:val="both"/>
        <w:rPr>
          <w:rFonts w:ascii="Times New Roman" w:hAnsi="Times New Roman" w:cs="Times New Roman"/>
        </w:rPr>
      </w:pPr>
      <w:r w:rsidRPr="00D92823">
        <w:rPr>
          <w:rFonts w:ascii="Times New Roman" w:hAnsi="Times New Roman" w:cs="Times New Roman"/>
        </w:rPr>
        <w:t>Sotto il secondo</w:t>
      </w:r>
      <w:r w:rsidR="00342E59" w:rsidRPr="00D92823">
        <w:rPr>
          <w:rFonts w:ascii="Times New Roman" w:hAnsi="Times New Roman" w:cs="Times New Roman"/>
        </w:rPr>
        <w:t xml:space="preserve">, </w:t>
      </w:r>
      <w:r w:rsidR="00EA3C49" w:rsidRPr="00D92823">
        <w:rPr>
          <w:rFonts w:ascii="Times New Roman" w:hAnsi="Times New Roman" w:cs="Times New Roman"/>
        </w:rPr>
        <w:t>il comma 8-</w:t>
      </w:r>
      <w:r w:rsidR="00EA3C49" w:rsidRPr="00D92823">
        <w:rPr>
          <w:rFonts w:ascii="Times New Roman" w:hAnsi="Times New Roman" w:cs="Times New Roman"/>
          <w:i/>
        </w:rPr>
        <w:t>bis</w:t>
      </w:r>
      <w:r w:rsidR="00EA3C49" w:rsidRPr="00D92823">
        <w:rPr>
          <w:rFonts w:ascii="Times New Roman" w:hAnsi="Times New Roman" w:cs="Times New Roman"/>
        </w:rPr>
        <w:t xml:space="preserve"> </w:t>
      </w:r>
      <w:r w:rsidR="00342E59" w:rsidRPr="00D92823">
        <w:rPr>
          <w:rFonts w:ascii="Times New Roman" w:hAnsi="Times New Roman" w:cs="Times New Roman"/>
        </w:rPr>
        <w:t xml:space="preserve">prescrive che </w:t>
      </w:r>
      <w:r w:rsidR="0036059B" w:rsidRPr="00D92823">
        <w:rPr>
          <w:rFonts w:ascii="Times New Roman" w:hAnsi="Times New Roman" w:cs="Times New Roman"/>
        </w:rPr>
        <w:t>«la corresponsione dei compensi relativi allo svolgimento della progettazione e delle attività tecnico-amministrative ad essa connesse» non può essere subordinata, dalla stazione appaltante, «all’ottenimento del finanziamento dell’opera progettata».</w:t>
      </w:r>
    </w:p>
    <w:p w:rsidR="00287761" w:rsidRPr="00D92823" w:rsidRDefault="00DE7D38" w:rsidP="00D92823">
      <w:pPr>
        <w:ind w:left="567" w:right="140" w:firstLine="850"/>
        <w:jc w:val="both"/>
        <w:rPr>
          <w:rFonts w:ascii="Times New Roman" w:hAnsi="Times New Roman" w:cs="Times New Roman"/>
        </w:rPr>
      </w:pPr>
      <w:r w:rsidRPr="00D92823">
        <w:rPr>
          <w:rFonts w:ascii="Times New Roman" w:hAnsi="Times New Roman" w:cs="Times New Roman"/>
        </w:rPr>
        <w:t>La mancanza, nel codice dei contratti pubblici, di previsioni analoghe alle precedenti, a vantaggio dei “servizi legali”, è oggi, almeno in parte, colmata dall’entrata in vigore del</w:t>
      </w:r>
      <w:r w:rsidR="00287761" w:rsidRPr="00D92823">
        <w:rPr>
          <w:rFonts w:ascii="Times New Roman" w:hAnsi="Times New Roman" w:cs="Times New Roman"/>
        </w:rPr>
        <w:t>l’art. 19-</w:t>
      </w:r>
      <w:r w:rsidR="00287761" w:rsidRPr="00D92823">
        <w:rPr>
          <w:rFonts w:ascii="Times New Roman" w:hAnsi="Times New Roman" w:cs="Times New Roman"/>
          <w:i/>
        </w:rPr>
        <w:t>quatordecies</w:t>
      </w:r>
      <w:r w:rsidR="00287761" w:rsidRPr="00D92823">
        <w:rPr>
          <w:rFonts w:ascii="Times New Roman" w:hAnsi="Times New Roman" w:cs="Times New Roman"/>
        </w:rPr>
        <w:t xml:space="preserve">, comma 3, del </w:t>
      </w:r>
      <w:proofErr w:type="spellStart"/>
      <w:r w:rsidR="00287761" w:rsidRPr="00D92823">
        <w:rPr>
          <w:rFonts w:ascii="Times New Roman" w:hAnsi="Times New Roman" w:cs="Times New Roman"/>
        </w:rPr>
        <w:t>d.l.</w:t>
      </w:r>
      <w:proofErr w:type="spellEnd"/>
      <w:r w:rsidR="00287761" w:rsidRPr="00D92823">
        <w:rPr>
          <w:rFonts w:ascii="Times New Roman" w:hAnsi="Times New Roman" w:cs="Times New Roman"/>
        </w:rPr>
        <w:t xml:space="preserve"> 16 ottobre 2017 n. 148, convertito, con modifiche, dalla legge 4 dicembre 2017 n. 172, </w:t>
      </w:r>
      <w:r w:rsidRPr="00D92823">
        <w:rPr>
          <w:rFonts w:ascii="Times New Roman" w:hAnsi="Times New Roman" w:cs="Times New Roman"/>
        </w:rPr>
        <w:t xml:space="preserve">che </w:t>
      </w:r>
      <w:r w:rsidR="00287761" w:rsidRPr="00D92823">
        <w:rPr>
          <w:rFonts w:ascii="Times New Roman" w:hAnsi="Times New Roman" w:cs="Times New Roman"/>
        </w:rPr>
        <w:t>ha esteso alla pubblica amministrazione «il principio dell’equo compenso</w:t>
      </w:r>
      <w:r w:rsidR="00EA3C49" w:rsidRPr="00D92823">
        <w:rPr>
          <w:rFonts w:ascii="Times New Roman" w:hAnsi="Times New Roman" w:cs="Times New Roman"/>
        </w:rPr>
        <w:t>,</w:t>
      </w:r>
      <w:r w:rsidR="00287761" w:rsidRPr="00D92823">
        <w:rPr>
          <w:rFonts w:ascii="Times New Roman" w:hAnsi="Times New Roman" w:cs="Times New Roman"/>
        </w:rPr>
        <w:t xml:space="preserve"> in relazione alle prestazioni rese dai professionisti in esecuzione di incarichi conferiti dopo la data di entrata in vigore della legge di conversione del presente decreto»</w:t>
      </w:r>
      <w:r w:rsidR="00BD3FBD" w:rsidRPr="00D92823">
        <w:rPr>
          <w:rFonts w:ascii="Times New Roman" w:hAnsi="Times New Roman" w:cs="Times New Roman"/>
        </w:rPr>
        <w:t xml:space="preserve"> (6 dicembre 2017)</w:t>
      </w:r>
      <w:r w:rsidR="00350F7F" w:rsidRPr="00D92823">
        <w:rPr>
          <w:rStyle w:val="Rimandonotaapidipagina"/>
          <w:rFonts w:ascii="Times New Roman" w:hAnsi="Times New Roman" w:cs="Times New Roman"/>
        </w:rPr>
        <w:footnoteReference w:id="25"/>
      </w:r>
      <w:r w:rsidR="00BD3FBD" w:rsidRPr="00D92823">
        <w:rPr>
          <w:rFonts w:ascii="Times New Roman" w:hAnsi="Times New Roman" w:cs="Times New Roman"/>
        </w:rPr>
        <w:t>.</w:t>
      </w:r>
    </w:p>
    <w:p w:rsidR="0090006F" w:rsidRPr="00D92823" w:rsidRDefault="0090006F" w:rsidP="00D92823">
      <w:pPr>
        <w:ind w:left="567" w:right="140" w:firstLine="850"/>
        <w:jc w:val="both"/>
        <w:rPr>
          <w:rFonts w:ascii="Times New Roman" w:hAnsi="Times New Roman" w:cs="Times New Roman"/>
        </w:rPr>
      </w:pPr>
      <w:r w:rsidRPr="00D92823">
        <w:rPr>
          <w:rFonts w:ascii="Times New Roman" w:hAnsi="Times New Roman" w:cs="Times New Roman"/>
        </w:rPr>
        <w:t xml:space="preserve">Secondo la legge, l’equo compenso, </w:t>
      </w:r>
      <w:r w:rsidR="00EA3C49" w:rsidRPr="00D92823">
        <w:rPr>
          <w:rFonts w:ascii="Times New Roman" w:hAnsi="Times New Roman" w:cs="Times New Roman"/>
        </w:rPr>
        <w:t xml:space="preserve">già </w:t>
      </w:r>
      <w:r w:rsidRPr="00D92823">
        <w:rPr>
          <w:rFonts w:ascii="Times New Roman" w:hAnsi="Times New Roman" w:cs="Times New Roman"/>
        </w:rPr>
        <w:t>operante nei rapporti tra professionisti e clienti c.d. forti (banche, assicurazioni, grandi imprese)</w:t>
      </w:r>
      <w:r w:rsidR="00EA3C49" w:rsidRPr="00D92823">
        <w:rPr>
          <w:rFonts w:ascii="Times New Roman" w:hAnsi="Times New Roman" w:cs="Times New Roman"/>
        </w:rPr>
        <w:t>,</w:t>
      </w:r>
      <w:r w:rsidRPr="00D92823">
        <w:rPr>
          <w:rFonts w:ascii="Times New Roman" w:hAnsi="Times New Roman" w:cs="Times New Roman"/>
        </w:rPr>
        <w:t xml:space="preserve"> è quello che risulta conforme ad un apposito decreto del Ministro della giustizia</w:t>
      </w:r>
      <w:r w:rsidR="00BC0594" w:rsidRPr="00D92823">
        <w:rPr>
          <w:rFonts w:ascii="Times New Roman" w:hAnsi="Times New Roman" w:cs="Times New Roman"/>
        </w:rPr>
        <w:t>, in quanto</w:t>
      </w:r>
      <w:r w:rsidRPr="00D92823">
        <w:rPr>
          <w:rFonts w:ascii="Times New Roman" w:hAnsi="Times New Roman" w:cs="Times New Roman"/>
        </w:rPr>
        <w:t xml:space="preserve"> proporzionato alla quantità ed alla qualità del lavoro svolto, nonché al contenuto e</w:t>
      </w:r>
      <w:r w:rsidR="00EA3C49" w:rsidRPr="00D92823">
        <w:rPr>
          <w:rFonts w:ascii="Times New Roman" w:hAnsi="Times New Roman" w:cs="Times New Roman"/>
        </w:rPr>
        <w:t>d</w:t>
      </w:r>
      <w:r w:rsidRPr="00D92823">
        <w:rPr>
          <w:rFonts w:ascii="Times New Roman" w:hAnsi="Times New Roman" w:cs="Times New Roman"/>
        </w:rPr>
        <w:t xml:space="preserve"> alle caratteristiche della prestazione.</w:t>
      </w:r>
    </w:p>
    <w:p w:rsidR="00287761" w:rsidRPr="00D92823" w:rsidRDefault="00BC0594" w:rsidP="00D92823">
      <w:pPr>
        <w:ind w:left="567" w:right="140" w:firstLine="850"/>
        <w:jc w:val="both"/>
        <w:rPr>
          <w:rFonts w:ascii="Times New Roman" w:hAnsi="Times New Roman" w:cs="Times New Roman"/>
        </w:rPr>
      </w:pPr>
      <w:r w:rsidRPr="00D92823">
        <w:rPr>
          <w:rFonts w:ascii="Times New Roman" w:hAnsi="Times New Roman" w:cs="Times New Roman"/>
        </w:rPr>
        <w:t>Le clausole che prevedono</w:t>
      </w:r>
      <w:r w:rsidR="0090006F" w:rsidRPr="00D92823">
        <w:rPr>
          <w:rFonts w:ascii="Times New Roman" w:hAnsi="Times New Roman" w:cs="Times New Roman"/>
        </w:rPr>
        <w:t xml:space="preserve"> compensi inferiori s</w:t>
      </w:r>
      <w:r w:rsidR="00806D39" w:rsidRPr="00D92823">
        <w:rPr>
          <w:rFonts w:ascii="Times New Roman" w:hAnsi="Times New Roman" w:cs="Times New Roman"/>
        </w:rPr>
        <w:t xml:space="preserve">ono </w:t>
      </w:r>
      <w:r w:rsidRPr="00D92823">
        <w:rPr>
          <w:rFonts w:ascii="Times New Roman" w:hAnsi="Times New Roman" w:cs="Times New Roman"/>
        </w:rPr>
        <w:t xml:space="preserve">vessatorie e, dunque, </w:t>
      </w:r>
      <w:r w:rsidR="00BD3FBD" w:rsidRPr="00D92823">
        <w:rPr>
          <w:rFonts w:ascii="Times New Roman" w:hAnsi="Times New Roman" w:cs="Times New Roman"/>
        </w:rPr>
        <w:t>null</w:t>
      </w:r>
      <w:r w:rsidRPr="00D92823">
        <w:rPr>
          <w:rFonts w:ascii="Times New Roman" w:hAnsi="Times New Roman" w:cs="Times New Roman"/>
        </w:rPr>
        <w:t>e di diritto</w:t>
      </w:r>
      <w:r w:rsidR="00287761" w:rsidRPr="00D92823">
        <w:rPr>
          <w:rFonts w:ascii="Times New Roman" w:hAnsi="Times New Roman" w:cs="Times New Roman"/>
        </w:rPr>
        <w:t xml:space="preserve">, </w:t>
      </w:r>
      <w:r w:rsidR="00BD3FBD" w:rsidRPr="00D92823">
        <w:rPr>
          <w:rFonts w:ascii="Times New Roman" w:hAnsi="Times New Roman" w:cs="Times New Roman"/>
        </w:rPr>
        <w:t>mentre l’incarico resta valido</w:t>
      </w:r>
      <w:r w:rsidR="00287761" w:rsidRPr="00D92823">
        <w:rPr>
          <w:rFonts w:ascii="Times New Roman" w:hAnsi="Times New Roman" w:cs="Times New Roman"/>
        </w:rPr>
        <w:t>.</w:t>
      </w:r>
    </w:p>
    <w:p w:rsidR="005C4659" w:rsidRPr="00D92823" w:rsidRDefault="00AF27D5" w:rsidP="00D92823">
      <w:pPr>
        <w:ind w:left="567" w:right="140" w:firstLine="850"/>
        <w:jc w:val="both"/>
        <w:rPr>
          <w:rFonts w:ascii="Times New Roman" w:hAnsi="Times New Roman" w:cs="Times New Roman"/>
        </w:rPr>
      </w:pPr>
      <w:r w:rsidRPr="00D92823">
        <w:rPr>
          <w:rFonts w:ascii="Times New Roman" w:hAnsi="Times New Roman" w:cs="Times New Roman"/>
        </w:rPr>
        <w:t>Inoltre, c</w:t>
      </w:r>
      <w:r w:rsidR="008E57F1" w:rsidRPr="00D92823">
        <w:rPr>
          <w:rFonts w:ascii="Times New Roman" w:hAnsi="Times New Roman" w:cs="Times New Roman"/>
        </w:rPr>
        <w:t>on la stessa legge n. 172 del 2017, il diritto all’</w:t>
      </w:r>
      <w:r w:rsidR="005C4659" w:rsidRPr="00D92823">
        <w:rPr>
          <w:rFonts w:ascii="Times New Roman" w:hAnsi="Times New Roman" w:cs="Times New Roman"/>
        </w:rPr>
        <w:t>equo compenso</w:t>
      </w:r>
      <w:r w:rsidR="008E57F1" w:rsidRPr="00D92823">
        <w:rPr>
          <w:rFonts w:ascii="Times New Roman" w:hAnsi="Times New Roman" w:cs="Times New Roman"/>
        </w:rPr>
        <w:t xml:space="preserve"> nei rapporti con la P.A.</w:t>
      </w:r>
      <w:r w:rsidR="005C4659" w:rsidRPr="00D92823">
        <w:rPr>
          <w:rFonts w:ascii="Times New Roman" w:hAnsi="Times New Roman" w:cs="Times New Roman"/>
        </w:rPr>
        <w:t>, inizialmente previsto per le sole professioni legali, è stato esteso a tutt</w:t>
      </w:r>
      <w:r w:rsidR="008E57F1" w:rsidRPr="00D92823">
        <w:rPr>
          <w:rFonts w:ascii="Times New Roman" w:hAnsi="Times New Roman" w:cs="Times New Roman"/>
        </w:rPr>
        <w:t>i</w:t>
      </w:r>
      <w:r w:rsidR="005C4659" w:rsidRPr="00D92823">
        <w:rPr>
          <w:rFonts w:ascii="Times New Roman" w:hAnsi="Times New Roman" w:cs="Times New Roman"/>
        </w:rPr>
        <w:t xml:space="preserve"> </w:t>
      </w:r>
      <w:r w:rsidR="008E57F1" w:rsidRPr="00D92823">
        <w:rPr>
          <w:rFonts w:ascii="Times New Roman" w:hAnsi="Times New Roman" w:cs="Times New Roman"/>
        </w:rPr>
        <w:t xml:space="preserve">i </w:t>
      </w:r>
      <w:r w:rsidR="005C4659" w:rsidRPr="00D92823">
        <w:rPr>
          <w:rFonts w:ascii="Times New Roman" w:hAnsi="Times New Roman" w:cs="Times New Roman"/>
        </w:rPr>
        <w:t>profession</w:t>
      </w:r>
      <w:r w:rsidR="008E57F1" w:rsidRPr="00D92823">
        <w:rPr>
          <w:rFonts w:ascii="Times New Roman" w:hAnsi="Times New Roman" w:cs="Times New Roman"/>
        </w:rPr>
        <w:t>ist</w:t>
      </w:r>
      <w:r w:rsidR="005C4659" w:rsidRPr="00D92823">
        <w:rPr>
          <w:rFonts w:ascii="Times New Roman" w:hAnsi="Times New Roman" w:cs="Times New Roman"/>
        </w:rPr>
        <w:t>i</w:t>
      </w:r>
      <w:r w:rsidR="008E57F1" w:rsidRPr="00D92823">
        <w:rPr>
          <w:rFonts w:ascii="Times New Roman" w:hAnsi="Times New Roman" w:cs="Times New Roman"/>
        </w:rPr>
        <w:t xml:space="preserve"> iscritti in ordini e collegi.</w:t>
      </w:r>
    </w:p>
    <w:p w:rsidR="00E30F19" w:rsidRPr="00D92823" w:rsidRDefault="00AF27D5" w:rsidP="00D92823">
      <w:pPr>
        <w:ind w:left="567" w:right="140" w:firstLine="850"/>
        <w:jc w:val="both"/>
        <w:rPr>
          <w:rFonts w:ascii="Times New Roman" w:hAnsi="Times New Roman" w:cs="Times New Roman"/>
        </w:rPr>
      </w:pPr>
      <w:r w:rsidRPr="00D92823">
        <w:rPr>
          <w:rFonts w:ascii="Times New Roman" w:hAnsi="Times New Roman" w:cs="Times New Roman"/>
        </w:rPr>
        <w:t>P</w:t>
      </w:r>
      <w:r w:rsidR="00806D39" w:rsidRPr="00D92823">
        <w:rPr>
          <w:rFonts w:ascii="Times New Roman" w:hAnsi="Times New Roman" w:cs="Times New Roman"/>
        </w:rPr>
        <w:t xml:space="preserve">roprio </w:t>
      </w:r>
      <w:r w:rsidR="00DE7D38" w:rsidRPr="00D92823">
        <w:rPr>
          <w:rFonts w:ascii="Times New Roman" w:hAnsi="Times New Roman" w:cs="Times New Roman"/>
        </w:rPr>
        <w:t>in ragione dell’impatto che la novella reca sull</w:t>
      </w:r>
      <w:r w:rsidR="00BC2AE5" w:rsidRPr="00D92823">
        <w:rPr>
          <w:rFonts w:ascii="Times New Roman" w:hAnsi="Times New Roman" w:cs="Times New Roman"/>
        </w:rPr>
        <w:t xml:space="preserve">a disciplina </w:t>
      </w:r>
      <w:r w:rsidR="00DE7D38" w:rsidRPr="00D92823">
        <w:rPr>
          <w:rFonts w:ascii="Times New Roman" w:hAnsi="Times New Roman" w:cs="Times New Roman"/>
        </w:rPr>
        <w:t>d</w:t>
      </w:r>
      <w:r w:rsidR="00BC2AE5" w:rsidRPr="00D92823">
        <w:rPr>
          <w:rFonts w:ascii="Times New Roman" w:hAnsi="Times New Roman" w:cs="Times New Roman"/>
        </w:rPr>
        <w:t>e</w:t>
      </w:r>
      <w:r w:rsidR="00DE7D38" w:rsidRPr="00D92823">
        <w:rPr>
          <w:rFonts w:ascii="Times New Roman" w:hAnsi="Times New Roman" w:cs="Times New Roman"/>
        </w:rPr>
        <w:t xml:space="preserve">i servizi </w:t>
      </w:r>
      <w:r w:rsidR="00BC2AE5" w:rsidRPr="00D92823">
        <w:rPr>
          <w:rFonts w:ascii="Times New Roman" w:hAnsi="Times New Roman" w:cs="Times New Roman"/>
        </w:rPr>
        <w:t>professionali regolati</w:t>
      </w:r>
      <w:r w:rsidR="00DE7D38" w:rsidRPr="00D92823">
        <w:rPr>
          <w:rFonts w:ascii="Times New Roman" w:hAnsi="Times New Roman" w:cs="Times New Roman"/>
        </w:rPr>
        <w:t xml:space="preserve"> dal codice dei contratti pubblici</w:t>
      </w:r>
      <w:r w:rsidR="00806D39" w:rsidRPr="00D92823">
        <w:rPr>
          <w:rFonts w:ascii="Times New Roman" w:hAnsi="Times New Roman" w:cs="Times New Roman"/>
        </w:rPr>
        <w:t xml:space="preserve">, </w:t>
      </w:r>
      <w:r w:rsidR="00BC2AE5" w:rsidRPr="00D92823">
        <w:rPr>
          <w:rFonts w:ascii="Times New Roman" w:hAnsi="Times New Roman" w:cs="Times New Roman"/>
        </w:rPr>
        <w:t xml:space="preserve">il Consiglio di Stato, </w:t>
      </w:r>
      <w:r w:rsidR="00806D39" w:rsidRPr="00D92823">
        <w:rPr>
          <w:rFonts w:ascii="Times New Roman" w:hAnsi="Times New Roman" w:cs="Times New Roman"/>
        </w:rPr>
        <w:t xml:space="preserve">in sede di parere sulle linee guida ANAC in tema di affidamento di servizi di architettura </w:t>
      </w:r>
      <w:proofErr w:type="spellStart"/>
      <w:r w:rsidR="00806D39" w:rsidRPr="00D92823">
        <w:rPr>
          <w:rFonts w:ascii="Times New Roman" w:hAnsi="Times New Roman" w:cs="Times New Roman"/>
        </w:rPr>
        <w:t>ed</w:t>
      </w:r>
      <w:proofErr w:type="spellEnd"/>
      <w:r w:rsidR="00806D39" w:rsidRPr="00D92823">
        <w:rPr>
          <w:rFonts w:ascii="Times New Roman" w:hAnsi="Times New Roman" w:cs="Times New Roman"/>
        </w:rPr>
        <w:t xml:space="preserve"> ingegneria, ha segnalato la necessità di un «coordinamento con la recente introduzione dell’obbligo di riconoscere alle prestazioni rese dai professionisti in esecuzione di incarichi conferiti dalla pubblica amministrazione un equo compenso»</w:t>
      </w:r>
      <w:r w:rsidR="00806D39" w:rsidRPr="00D92823">
        <w:rPr>
          <w:rStyle w:val="Rimandonotaapidipagina"/>
          <w:rFonts w:ascii="Times New Roman" w:hAnsi="Times New Roman" w:cs="Times New Roman"/>
        </w:rPr>
        <w:footnoteReference w:id="26"/>
      </w:r>
      <w:r w:rsidR="00806D39" w:rsidRPr="00D92823">
        <w:rPr>
          <w:rFonts w:ascii="Times New Roman" w:hAnsi="Times New Roman" w:cs="Times New Roman"/>
        </w:rPr>
        <w:t>.</w:t>
      </w:r>
    </w:p>
    <w:p w:rsidR="00BC2AE5" w:rsidRPr="00D92823" w:rsidRDefault="00AF27D5" w:rsidP="00D92823">
      <w:pPr>
        <w:ind w:left="567" w:right="140" w:firstLine="850"/>
        <w:jc w:val="both"/>
        <w:rPr>
          <w:rFonts w:ascii="Times New Roman" w:hAnsi="Times New Roman" w:cs="Times New Roman"/>
        </w:rPr>
      </w:pPr>
      <w:r w:rsidRPr="00D92823">
        <w:rPr>
          <w:rFonts w:ascii="Times New Roman" w:hAnsi="Times New Roman" w:cs="Times New Roman"/>
        </w:rPr>
        <w:t>D</w:t>
      </w:r>
      <w:r w:rsidR="00BC2AE5" w:rsidRPr="00D92823">
        <w:rPr>
          <w:rFonts w:ascii="Times New Roman" w:hAnsi="Times New Roman" w:cs="Times New Roman"/>
        </w:rPr>
        <w:t>etto opinamento del Consiglio di Stato impone</w:t>
      </w:r>
      <w:r w:rsidRPr="00D92823">
        <w:rPr>
          <w:rFonts w:ascii="Times New Roman" w:hAnsi="Times New Roman" w:cs="Times New Roman"/>
        </w:rPr>
        <w:t xml:space="preserve"> </w:t>
      </w:r>
      <w:r w:rsidR="00BC2AE5" w:rsidRPr="00D92823">
        <w:rPr>
          <w:rFonts w:ascii="Times New Roman" w:hAnsi="Times New Roman" w:cs="Times New Roman"/>
        </w:rPr>
        <w:t xml:space="preserve">all’interprete di rivedere, alla luce della normativa sull’equo compenso, </w:t>
      </w:r>
      <w:r w:rsidRPr="00D92823">
        <w:rPr>
          <w:rFonts w:ascii="Times New Roman" w:hAnsi="Times New Roman" w:cs="Times New Roman"/>
        </w:rPr>
        <w:t>talun</w:t>
      </w:r>
      <w:r w:rsidR="00BC2AE5" w:rsidRPr="00D92823">
        <w:rPr>
          <w:rFonts w:ascii="Times New Roman" w:hAnsi="Times New Roman" w:cs="Times New Roman"/>
        </w:rPr>
        <w:t>i arresti giurisprudenziali in materia di incarichi professionali, che si sono consolidati negli anni.</w:t>
      </w:r>
    </w:p>
    <w:p w:rsidR="00E30F19" w:rsidRPr="00D92823" w:rsidRDefault="005F0B69" w:rsidP="00D92823">
      <w:pPr>
        <w:ind w:left="567" w:right="140" w:firstLine="850"/>
        <w:jc w:val="both"/>
        <w:rPr>
          <w:rFonts w:ascii="Times New Roman" w:hAnsi="Times New Roman" w:cs="Times New Roman"/>
        </w:rPr>
      </w:pPr>
      <w:r w:rsidRPr="00D92823">
        <w:rPr>
          <w:rFonts w:ascii="Times New Roman" w:hAnsi="Times New Roman" w:cs="Times New Roman"/>
        </w:rPr>
        <w:t>Questo vale,</w:t>
      </w:r>
      <w:r w:rsidR="007512D9" w:rsidRPr="00D92823">
        <w:rPr>
          <w:rFonts w:ascii="Times New Roman" w:hAnsi="Times New Roman" w:cs="Times New Roman"/>
        </w:rPr>
        <w:t xml:space="preserve"> anzitutto, </w:t>
      </w:r>
      <w:r w:rsidRPr="00D92823">
        <w:rPr>
          <w:rFonts w:ascii="Times New Roman" w:hAnsi="Times New Roman" w:cs="Times New Roman"/>
        </w:rPr>
        <w:t>con riferimento al</w:t>
      </w:r>
      <w:r w:rsidR="007512D9" w:rsidRPr="00D92823">
        <w:rPr>
          <w:rFonts w:ascii="Times New Roman" w:hAnsi="Times New Roman" w:cs="Times New Roman"/>
        </w:rPr>
        <w:t xml:space="preserve">l’orientamento </w:t>
      </w:r>
      <w:r w:rsidR="007273E6" w:rsidRPr="00D92823">
        <w:rPr>
          <w:rFonts w:ascii="Times New Roman" w:hAnsi="Times New Roman" w:cs="Times New Roman"/>
        </w:rPr>
        <w:t xml:space="preserve">formatosi </w:t>
      </w:r>
      <w:r w:rsidRPr="00D92823">
        <w:rPr>
          <w:rFonts w:ascii="Times New Roman" w:hAnsi="Times New Roman" w:cs="Times New Roman"/>
        </w:rPr>
        <w:t>sull’offerta di un prezzo pari (o molto prossimo) a zero</w:t>
      </w:r>
      <w:r w:rsidR="00A8716A" w:rsidRPr="00D92823">
        <w:rPr>
          <w:rFonts w:ascii="Times New Roman" w:hAnsi="Times New Roman" w:cs="Times New Roman"/>
        </w:rPr>
        <w:t>,</w:t>
      </w:r>
      <w:r w:rsidR="007273E6" w:rsidRPr="00D92823">
        <w:rPr>
          <w:rFonts w:ascii="Times New Roman" w:hAnsi="Times New Roman" w:cs="Times New Roman"/>
        </w:rPr>
        <w:t xml:space="preserve"> </w:t>
      </w:r>
      <w:r w:rsidRPr="00D92823">
        <w:rPr>
          <w:rFonts w:ascii="Times New Roman" w:hAnsi="Times New Roman" w:cs="Times New Roman"/>
        </w:rPr>
        <w:t xml:space="preserve">la quale </w:t>
      </w:r>
      <w:r w:rsidR="007512D9" w:rsidRPr="00D92823">
        <w:rPr>
          <w:rFonts w:ascii="Times New Roman" w:hAnsi="Times New Roman" w:cs="Times New Roman"/>
        </w:rPr>
        <w:t xml:space="preserve">è </w:t>
      </w:r>
      <w:r w:rsidRPr="00D92823">
        <w:rPr>
          <w:rFonts w:ascii="Times New Roman" w:hAnsi="Times New Roman" w:cs="Times New Roman"/>
        </w:rPr>
        <w:t>in</w:t>
      </w:r>
      <w:r w:rsidR="007512D9" w:rsidRPr="00D92823">
        <w:rPr>
          <w:rFonts w:ascii="Times New Roman" w:hAnsi="Times New Roman" w:cs="Times New Roman"/>
        </w:rPr>
        <w:t xml:space="preserve">ammissibile, </w:t>
      </w:r>
      <w:r w:rsidRPr="00D92823">
        <w:rPr>
          <w:rFonts w:ascii="Times New Roman" w:hAnsi="Times New Roman" w:cs="Times New Roman"/>
        </w:rPr>
        <w:t xml:space="preserve">perché da </w:t>
      </w:r>
      <w:r w:rsidR="007512D9" w:rsidRPr="00D92823">
        <w:rPr>
          <w:rFonts w:ascii="Times New Roman" w:hAnsi="Times New Roman" w:cs="Times New Roman"/>
        </w:rPr>
        <w:t>considera</w:t>
      </w:r>
      <w:r w:rsidRPr="00D92823">
        <w:rPr>
          <w:rFonts w:ascii="Times New Roman" w:hAnsi="Times New Roman" w:cs="Times New Roman"/>
        </w:rPr>
        <w:t>rsi</w:t>
      </w:r>
      <w:r w:rsidR="007512D9" w:rsidRPr="00D92823">
        <w:rPr>
          <w:rFonts w:ascii="Times New Roman" w:hAnsi="Times New Roman" w:cs="Times New Roman"/>
        </w:rPr>
        <w:t xml:space="preserve"> alla stregua di una “mancata offerta”</w:t>
      </w:r>
      <w:r w:rsidR="007512D9" w:rsidRPr="00D92823">
        <w:rPr>
          <w:rStyle w:val="Rimandonotaapidipagina"/>
          <w:rFonts w:ascii="Times New Roman" w:hAnsi="Times New Roman" w:cs="Times New Roman"/>
        </w:rPr>
        <w:footnoteReference w:id="27"/>
      </w:r>
      <w:r w:rsidR="007273E6" w:rsidRPr="00D92823">
        <w:rPr>
          <w:rFonts w:ascii="Times New Roman" w:hAnsi="Times New Roman" w:cs="Times New Roman"/>
        </w:rPr>
        <w:t>.</w:t>
      </w:r>
    </w:p>
    <w:p w:rsidR="005F0B69" w:rsidRPr="00D92823" w:rsidRDefault="005F0B69" w:rsidP="00D92823">
      <w:pPr>
        <w:ind w:left="567" w:right="140" w:firstLine="850"/>
        <w:jc w:val="both"/>
        <w:rPr>
          <w:rFonts w:ascii="Times New Roman" w:hAnsi="Times New Roman" w:cs="Times New Roman"/>
        </w:rPr>
      </w:pPr>
      <w:r w:rsidRPr="00D92823">
        <w:rPr>
          <w:rFonts w:ascii="Times New Roman" w:hAnsi="Times New Roman" w:cs="Times New Roman"/>
        </w:rPr>
        <w:t xml:space="preserve">Tale arresto, trova </w:t>
      </w:r>
      <w:r w:rsidR="005C4659" w:rsidRPr="00D92823">
        <w:rPr>
          <w:rFonts w:ascii="Times New Roman" w:hAnsi="Times New Roman" w:cs="Times New Roman"/>
        </w:rPr>
        <w:t xml:space="preserve">sicuramente </w:t>
      </w:r>
      <w:r w:rsidRPr="00D92823">
        <w:rPr>
          <w:rFonts w:ascii="Times New Roman" w:hAnsi="Times New Roman" w:cs="Times New Roman"/>
        </w:rPr>
        <w:t>conferma nella nuova disciplina sull’equo compenso.</w:t>
      </w:r>
    </w:p>
    <w:p w:rsidR="00155306" w:rsidRPr="00D92823" w:rsidRDefault="00CF605B" w:rsidP="00D92823">
      <w:pPr>
        <w:ind w:left="567" w:right="140" w:firstLine="850"/>
        <w:jc w:val="both"/>
        <w:rPr>
          <w:rFonts w:ascii="Times New Roman" w:hAnsi="Times New Roman" w:cs="Times New Roman"/>
        </w:rPr>
      </w:pPr>
      <w:r w:rsidRPr="00D92823">
        <w:rPr>
          <w:rFonts w:ascii="Times New Roman" w:hAnsi="Times New Roman" w:cs="Times New Roman"/>
        </w:rPr>
        <w:t>A d</w:t>
      </w:r>
      <w:r w:rsidR="005F0B69" w:rsidRPr="00D92823">
        <w:rPr>
          <w:rFonts w:ascii="Times New Roman" w:hAnsi="Times New Roman" w:cs="Times New Roman"/>
        </w:rPr>
        <w:t xml:space="preserve">iversa </w:t>
      </w:r>
      <w:r w:rsidRPr="00D92823">
        <w:rPr>
          <w:rFonts w:ascii="Times New Roman" w:hAnsi="Times New Roman" w:cs="Times New Roman"/>
        </w:rPr>
        <w:t>conclusione deve invece</w:t>
      </w:r>
      <w:r w:rsidR="00F73D61" w:rsidRPr="00D92823">
        <w:rPr>
          <w:rFonts w:ascii="Times New Roman" w:hAnsi="Times New Roman" w:cs="Times New Roman"/>
        </w:rPr>
        <w:t xml:space="preserve"> </w:t>
      </w:r>
      <w:r w:rsidR="005C4659" w:rsidRPr="00D92823">
        <w:rPr>
          <w:rFonts w:ascii="Times New Roman" w:hAnsi="Times New Roman" w:cs="Times New Roman"/>
        </w:rPr>
        <w:t xml:space="preserve">giungersi, </w:t>
      </w:r>
      <w:r w:rsidRPr="00D92823">
        <w:rPr>
          <w:rFonts w:ascii="Times New Roman" w:hAnsi="Times New Roman" w:cs="Times New Roman"/>
        </w:rPr>
        <w:t xml:space="preserve">con riguardo al </w:t>
      </w:r>
      <w:r w:rsidR="00A8716A" w:rsidRPr="00D92823">
        <w:rPr>
          <w:rFonts w:ascii="Times New Roman" w:hAnsi="Times New Roman" w:cs="Times New Roman"/>
          <w:i/>
        </w:rPr>
        <w:t>correttivo</w:t>
      </w:r>
      <w:r w:rsidRPr="00D92823">
        <w:rPr>
          <w:rFonts w:ascii="Times New Roman" w:hAnsi="Times New Roman" w:cs="Times New Roman"/>
        </w:rPr>
        <w:t xml:space="preserve"> </w:t>
      </w:r>
      <w:r w:rsidR="00AF27D5" w:rsidRPr="00D92823">
        <w:rPr>
          <w:rFonts w:ascii="Times New Roman" w:hAnsi="Times New Roman" w:cs="Times New Roman"/>
        </w:rPr>
        <w:t xml:space="preserve">apportato </w:t>
      </w:r>
      <w:r w:rsidRPr="00D92823">
        <w:rPr>
          <w:rFonts w:ascii="Times New Roman" w:hAnsi="Times New Roman" w:cs="Times New Roman"/>
        </w:rPr>
        <w:t>alla predetta regola, secondo cui</w:t>
      </w:r>
      <w:r w:rsidR="00AF27D5" w:rsidRPr="00D92823">
        <w:rPr>
          <w:rFonts w:ascii="Times New Roman" w:hAnsi="Times New Roman" w:cs="Times New Roman"/>
        </w:rPr>
        <w:t>,</w:t>
      </w:r>
      <w:r w:rsidRPr="00D92823">
        <w:rPr>
          <w:rFonts w:ascii="Times New Roman" w:hAnsi="Times New Roman" w:cs="Times New Roman"/>
        </w:rPr>
        <w:t xml:space="preserve"> </w:t>
      </w:r>
      <w:r w:rsidR="00155306" w:rsidRPr="00D92823">
        <w:rPr>
          <w:rFonts w:ascii="Times New Roman" w:hAnsi="Times New Roman" w:cs="Times New Roman"/>
        </w:rPr>
        <w:t xml:space="preserve">anche </w:t>
      </w:r>
      <w:r w:rsidR="00A8716A" w:rsidRPr="00D92823">
        <w:rPr>
          <w:rFonts w:ascii="Times New Roman" w:hAnsi="Times New Roman" w:cs="Times New Roman"/>
        </w:rPr>
        <w:t xml:space="preserve">«un utile apparentemente modesto può comportare un vantaggio importante, come nel caso di ricadute positive che possono discendere per l’impresa in termini di qualificazione, pubblicità, </w:t>
      </w:r>
      <w:r w:rsidR="00A8716A" w:rsidRPr="00D92823">
        <w:rPr>
          <w:rFonts w:ascii="Times New Roman" w:hAnsi="Times New Roman" w:cs="Times New Roman"/>
          <w:i/>
        </w:rPr>
        <w:t>curriculum</w:t>
      </w:r>
      <w:r w:rsidR="00A8716A" w:rsidRPr="00D92823">
        <w:rPr>
          <w:rFonts w:ascii="Times New Roman" w:hAnsi="Times New Roman" w:cs="Times New Roman"/>
        </w:rPr>
        <w:t>, dall’essersi aggiudicata e dall</w:t>
      </w:r>
      <w:r w:rsidR="00EB566C" w:rsidRPr="00D92823">
        <w:rPr>
          <w:rFonts w:ascii="Times New Roman" w:hAnsi="Times New Roman" w:cs="Times New Roman"/>
        </w:rPr>
        <w:t>’</w:t>
      </w:r>
      <w:r w:rsidR="00A8716A" w:rsidRPr="00D92823">
        <w:rPr>
          <w:rFonts w:ascii="Times New Roman" w:hAnsi="Times New Roman" w:cs="Times New Roman"/>
        </w:rPr>
        <w:t>avere poi portato a termine un prestigioso appalto</w:t>
      </w:r>
      <w:r w:rsidR="005C4659" w:rsidRPr="00D92823">
        <w:rPr>
          <w:rFonts w:ascii="Times New Roman" w:hAnsi="Times New Roman" w:cs="Times New Roman"/>
        </w:rPr>
        <w:t>».</w:t>
      </w:r>
    </w:p>
    <w:p w:rsidR="00A8716A" w:rsidRPr="00D92823" w:rsidRDefault="005C4659" w:rsidP="00D92823">
      <w:pPr>
        <w:ind w:left="567" w:right="140" w:firstLine="850"/>
        <w:jc w:val="both"/>
        <w:rPr>
          <w:rFonts w:ascii="Times New Roman" w:hAnsi="Times New Roman" w:cs="Times New Roman"/>
        </w:rPr>
      </w:pPr>
      <w:r w:rsidRPr="00D92823">
        <w:rPr>
          <w:rFonts w:ascii="Times New Roman" w:hAnsi="Times New Roman" w:cs="Times New Roman"/>
        </w:rPr>
        <w:t xml:space="preserve">Pertanto, </w:t>
      </w:r>
      <w:r w:rsidR="00155306" w:rsidRPr="00D92823">
        <w:rPr>
          <w:rFonts w:ascii="Times New Roman" w:hAnsi="Times New Roman" w:cs="Times New Roman"/>
        </w:rPr>
        <w:t>prima di configurare un’</w:t>
      </w:r>
      <w:r w:rsidRPr="00D92823">
        <w:rPr>
          <w:rFonts w:ascii="Times New Roman" w:hAnsi="Times New Roman" w:cs="Times New Roman"/>
        </w:rPr>
        <w:t xml:space="preserve">offerta economica </w:t>
      </w:r>
      <w:r w:rsidR="00155306" w:rsidRPr="00D92823">
        <w:rPr>
          <w:rFonts w:ascii="Times New Roman" w:hAnsi="Times New Roman" w:cs="Times New Roman"/>
        </w:rPr>
        <w:t xml:space="preserve">complessivamente pari a zero, ma </w:t>
      </w:r>
      <w:r w:rsidRPr="00D92823">
        <w:rPr>
          <w:rFonts w:ascii="Times New Roman" w:hAnsi="Times New Roman" w:cs="Times New Roman"/>
        </w:rPr>
        <w:t xml:space="preserve">composta da più voci, in termini di </w:t>
      </w:r>
      <w:r w:rsidR="00A8716A" w:rsidRPr="00D92823">
        <w:rPr>
          <w:rFonts w:ascii="Times New Roman" w:hAnsi="Times New Roman" w:cs="Times New Roman"/>
        </w:rPr>
        <w:t xml:space="preserve">mancata offerta, </w:t>
      </w:r>
      <w:r w:rsidRPr="00D92823">
        <w:rPr>
          <w:rFonts w:ascii="Times New Roman" w:hAnsi="Times New Roman" w:cs="Times New Roman"/>
        </w:rPr>
        <w:t>«</w:t>
      </w:r>
      <w:r w:rsidR="00A8716A" w:rsidRPr="00D92823">
        <w:rPr>
          <w:rFonts w:ascii="Times New Roman" w:hAnsi="Times New Roman" w:cs="Times New Roman"/>
        </w:rPr>
        <w:t>è necessario ponderare, per comprendere se ci si trovi di fronte ad un’offerta affidabile e seria, l’offerta nel suo complesso»</w:t>
      </w:r>
      <w:r w:rsidR="00A8716A" w:rsidRPr="00D92823">
        <w:rPr>
          <w:rStyle w:val="Rimandonotaapidipagina"/>
          <w:rFonts w:ascii="Times New Roman" w:hAnsi="Times New Roman" w:cs="Times New Roman"/>
        </w:rPr>
        <w:footnoteReference w:id="28"/>
      </w:r>
      <w:r w:rsidR="00A8716A" w:rsidRPr="00D92823">
        <w:rPr>
          <w:rFonts w:ascii="Times New Roman" w:hAnsi="Times New Roman" w:cs="Times New Roman"/>
        </w:rPr>
        <w:t>.</w:t>
      </w:r>
    </w:p>
    <w:p w:rsidR="007512D9" w:rsidRPr="00D92823" w:rsidRDefault="005C4659" w:rsidP="00D92823">
      <w:pPr>
        <w:ind w:left="567" w:right="140" w:firstLine="850"/>
        <w:jc w:val="both"/>
        <w:rPr>
          <w:rFonts w:ascii="Times New Roman" w:hAnsi="Times New Roman" w:cs="Times New Roman"/>
        </w:rPr>
      </w:pPr>
      <w:r w:rsidRPr="00D92823">
        <w:rPr>
          <w:rFonts w:ascii="Times New Roman" w:hAnsi="Times New Roman" w:cs="Times New Roman"/>
        </w:rPr>
        <w:t>T</w:t>
      </w:r>
      <w:r w:rsidR="00A8716A" w:rsidRPr="00D92823">
        <w:rPr>
          <w:rFonts w:ascii="Times New Roman" w:hAnsi="Times New Roman" w:cs="Times New Roman"/>
        </w:rPr>
        <w:t>ale arresto</w:t>
      </w:r>
      <w:r w:rsidRPr="00D92823">
        <w:rPr>
          <w:rFonts w:ascii="Times New Roman" w:hAnsi="Times New Roman" w:cs="Times New Roman"/>
        </w:rPr>
        <w:t>, invero,</w:t>
      </w:r>
      <w:r w:rsidR="00A8716A" w:rsidRPr="00D92823">
        <w:rPr>
          <w:rFonts w:ascii="Times New Roman" w:hAnsi="Times New Roman" w:cs="Times New Roman"/>
        </w:rPr>
        <w:t xml:space="preserve"> appare </w:t>
      </w:r>
      <w:r w:rsidR="002214A4" w:rsidRPr="00D92823">
        <w:rPr>
          <w:rFonts w:ascii="Times New Roman" w:hAnsi="Times New Roman" w:cs="Times New Roman"/>
        </w:rPr>
        <w:t xml:space="preserve">oggi </w:t>
      </w:r>
      <w:r w:rsidRPr="00D92823">
        <w:rPr>
          <w:rFonts w:ascii="Times New Roman" w:hAnsi="Times New Roman" w:cs="Times New Roman"/>
        </w:rPr>
        <w:t xml:space="preserve">difficilmente </w:t>
      </w:r>
      <w:r w:rsidR="00AF27D5" w:rsidRPr="00D92823">
        <w:rPr>
          <w:rFonts w:ascii="Times New Roman" w:hAnsi="Times New Roman" w:cs="Times New Roman"/>
        </w:rPr>
        <w:t xml:space="preserve">sostenibile, quanto </w:t>
      </w:r>
      <w:r w:rsidR="007273E6" w:rsidRPr="00D92823">
        <w:rPr>
          <w:rFonts w:ascii="Times New Roman" w:hAnsi="Times New Roman" w:cs="Times New Roman"/>
        </w:rPr>
        <w:t>alla materia degli incarichi professionali</w:t>
      </w:r>
      <w:r w:rsidRPr="00D92823">
        <w:rPr>
          <w:rFonts w:ascii="Times New Roman" w:hAnsi="Times New Roman" w:cs="Times New Roman"/>
        </w:rPr>
        <w:t>, alla luce della normativa sull’equo compenso</w:t>
      </w:r>
      <w:r w:rsidR="007273E6" w:rsidRPr="00D92823">
        <w:rPr>
          <w:rFonts w:ascii="Times New Roman" w:hAnsi="Times New Roman" w:cs="Times New Roman"/>
        </w:rPr>
        <w:t>.</w:t>
      </w:r>
    </w:p>
    <w:p w:rsidR="009B5141" w:rsidRPr="00D92823" w:rsidRDefault="002214A4" w:rsidP="00D92823">
      <w:pPr>
        <w:ind w:left="567" w:right="140" w:firstLine="850"/>
        <w:jc w:val="both"/>
        <w:rPr>
          <w:rFonts w:ascii="Times New Roman" w:hAnsi="Times New Roman" w:cs="Times New Roman"/>
        </w:rPr>
      </w:pPr>
      <w:r w:rsidRPr="00D92823">
        <w:rPr>
          <w:rFonts w:ascii="Times New Roman" w:hAnsi="Times New Roman" w:cs="Times New Roman"/>
        </w:rPr>
        <w:t>Oltre a ciò, l</w:t>
      </w:r>
      <w:r w:rsidR="0049548A" w:rsidRPr="00D92823">
        <w:rPr>
          <w:rFonts w:ascii="Times New Roman" w:hAnsi="Times New Roman" w:cs="Times New Roman"/>
        </w:rPr>
        <w:t>’art. 24</w:t>
      </w:r>
      <w:r w:rsidRPr="00D92823">
        <w:rPr>
          <w:rFonts w:ascii="Times New Roman" w:hAnsi="Times New Roman" w:cs="Times New Roman"/>
        </w:rPr>
        <w:t>, comma 8-</w:t>
      </w:r>
      <w:r w:rsidRPr="00D92823">
        <w:rPr>
          <w:rFonts w:ascii="Times New Roman" w:hAnsi="Times New Roman" w:cs="Times New Roman"/>
          <w:i/>
        </w:rPr>
        <w:t>ter</w:t>
      </w:r>
      <w:r w:rsidR="00155306" w:rsidRPr="00D92823">
        <w:rPr>
          <w:rFonts w:ascii="Times New Roman" w:hAnsi="Times New Roman" w:cs="Times New Roman"/>
        </w:rPr>
        <w:t xml:space="preserve"> (prima) e la disciplina sull’equo compenso (dopo)</w:t>
      </w:r>
      <w:r w:rsidRPr="00D92823">
        <w:rPr>
          <w:rFonts w:ascii="Times New Roman" w:hAnsi="Times New Roman" w:cs="Times New Roman"/>
        </w:rPr>
        <w:t xml:space="preserve"> ha</w:t>
      </w:r>
      <w:r w:rsidR="00155306" w:rsidRPr="00D92823">
        <w:rPr>
          <w:rFonts w:ascii="Times New Roman" w:hAnsi="Times New Roman" w:cs="Times New Roman"/>
        </w:rPr>
        <w:t>nno</w:t>
      </w:r>
      <w:r w:rsidR="0049548A" w:rsidRPr="00D92823">
        <w:rPr>
          <w:rFonts w:ascii="Times New Roman" w:hAnsi="Times New Roman" w:cs="Times New Roman"/>
        </w:rPr>
        <w:t xml:space="preserve"> </w:t>
      </w:r>
      <w:r w:rsidRPr="00D92823">
        <w:rPr>
          <w:rFonts w:ascii="Times New Roman" w:hAnsi="Times New Roman" w:cs="Times New Roman"/>
        </w:rPr>
        <w:t>definitivamente s</w:t>
      </w:r>
      <w:r w:rsidR="00155306" w:rsidRPr="00D92823">
        <w:rPr>
          <w:rFonts w:ascii="Times New Roman" w:hAnsi="Times New Roman" w:cs="Times New Roman"/>
        </w:rPr>
        <w:t>pent</w:t>
      </w:r>
      <w:r w:rsidR="0049548A" w:rsidRPr="00D92823">
        <w:rPr>
          <w:rFonts w:ascii="Times New Roman" w:hAnsi="Times New Roman" w:cs="Times New Roman"/>
        </w:rPr>
        <w:t>o un</w:t>
      </w:r>
      <w:r w:rsidR="00441199" w:rsidRPr="00D92823">
        <w:rPr>
          <w:rFonts w:ascii="Times New Roman" w:hAnsi="Times New Roman" w:cs="Times New Roman"/>
        </w:rPr>
        <w:t xml:space="preserve"> dibattito</w:t>
      </w:r>
      <w:r w:rsidR="00155306" w:rsidRPr="00D92823">
        <w:rPr>
          <w:rFonts w:ascii="Times New Roman" w:hAnsi="Times New Roman" w:cs="Times New Roman"/>
        </w:rPr>
        <w:t xml:space="preserve"> che si era </w:t>
      </w:r>
      <w:r w:rsidR="0049548A" w:rsidRPr="00D92823">
        <w:rPr>
          <w:rFonts w:ascii="Times New Roman" w:hAnsi="Times New Roman" w:cs="Times New Roman"/>
        </w:rPr>
        <w:t>acces</w:t>
      </w:r>
      <w:r w:rsidR="00441199" w:rsidRPr="00D92823">
        <w:rPr>
          <w:rFonts w:ascii="Times New Roman" w:hAnsi="Times New Roman" w:cs="Times New Roman"/>
        </w:rPr>
        <w:t>o</w:t>
      </w:r>
      <w:r w:rsidR="00AF27D5" w:rsidRPr="00D92823">
        <w:rPr>
          <w:rFonts w:ascii="Times New Roman" w:hAnsi="Times New Roman" w:cs="Times New Roman"/>
        </w:rPr>
        <w:t xml:space="preserve"> nel mondo delle professioni</w:t>
      </w:r>
      <w:r w:rsidR="0049548A" w:rsidRPr="00D92823">
        <w:rPr>
          <w:rFonts w:ascii="Times New Roman" w:hAnsi="Times New Roman" w:cs="Times New Roman"/>
        </w:rPr>
        <w:t xml:space="preserve">, </w:t>
      </w:r>
      <w:r w:rsidRPr="00D92823">
        <w:rPr>
          <w:rFonts w:ascii="Times New Roman" w:hAnsi="Times New Roman" w:cs="Times New Roman"/>
        </w:rPr>
        <w:t xml:space="preserve">sancendo </w:t>
      </w:r>
      <w:r w:rsidR="0049548A" w:rsidRPr="00D92823">
        <w:rPr>
          <w:rFonts w:ascii="Times New Roman" w:hAnsi="Times New Roman" w:cs="Times New Roman"/>
        </w:rPr>
        <w:t xml:space="preserve">l’impossibilità che, </w:t>
      </w:r>
      <w:r w:rsidR="00AF27D5" w:rsidRPr="00D92823">
        <w:rPr>
          <w:rFonts w:ascii="Times New Roman" w:hAnsi="Times New Roman" w:cs="Times New Roman"/>
        </w:rPr>
        <w:t xml:space="preserve">per il futuro, </w:t>
      </w:r>
      <w:r w:rsidR="0049548A" w:rsidRPr="00D92823">
        <w:rPr>
          <w:rFonts w:ascii="Times New Roman" w:hAnsi="Times New Roman" w:cs="Times New Roman"/>
        </w:rPr>
        <w:t xml:space="preserve">nei servizi di ingegneria e architettura, possano essere previsti, </w:t>
      </w:r>
      <w:r w:rsidR="00BC0594" w:rsidRPr="00D92823">
        <w:rPr>
          <w:rFonts w:ascii="Times New Roman" w:hAnsi="Times New Roman" w:cs="Times New Roman"/>
        </w:rPr>
        <w:t>«</w:t>
      </w:r>
      <w:r w:rsidR="0049548A" w:rsidRPr="00D92823">
        <w:rPr>
          <w:rFonts w:ascii="Times New Roman" w:hAnsi="Times New Roman" w:cs="Times New Roman"/>
        </w:rPr>
        <w:t>a titolo di corrispettivo</w:t>
      </w:r>
      <w:r w:rsidR="00BC0594" w:rsidRPr="00D92823">
        <w:rPr>
          <w:rFonts w:ascii="Times New Roman" w:hAnsi="Times New Roman" w:cs="Times New Roman"/>
        </w:rPr>
        <w:t>»</w:t>
      </w:r>
      <w:r w:rsidR="0049548A" w:rsidRPr="00D92823">
        <w:rPr>
          <w:rFonts w:ascii="Times New Roman" w:hAnsi="Times New Roman" w:cs="Times New Roman"/>
        </w:rPr>
        <w:t>, forme di rimborso delle spese</w:t>
      </w:r>
      <w:r w:rsidRPr="00D92823">
        <w:rPr>
          <w:rStyle w:val="Rimandonotaapidipagina"/>
          <w:rFonts w:ascii="Times New Roman" w:hAnsi="Times New Roman" w:cs="Times New Roman"/>
        </w:rPr>
        <w:footnoteReference w:id="29"/>
      </w:r>
      <w:r w:rsidR="0049548A" w:rsidRPr="00D92823">
        <w:rPr>
          <w:rFonts w:ascii="Times New Roman" w:hAnsi="Times New Roman" w:cs="Times New Roman"/>
        </w:rPr>
        <w:t>.</w:t>
      </w:r>
    </w:p>
    <w:p w:rsidR="0049548A" w:rsidRPr="00D92823" w:rsidRDefault="0049548A" w:rsidP="00D92823">
      <w:pPr>
        <w:ind w:left="567" w:right="140" w:firstLine="850"/>
        <w:jc w:val="both"/>
        <w:rPr>
          <w:rFonts w:ascii="Times New Roman" w:hAnsi="Times New Roman" w:cs="Times New Roman"/>
        </w:rPr>
      </w:pPr>
      <w:r w:rsidRPr="00D92823">
        <w:rPr>
          <w:rFonts w:ascii="Times New Roman" w:hAnsi="Times New Roman" w:cs="Times New Roman"/>
        </w:rPr>
        <w:t xml:space="preserve">La </w:t>
      </w:r>
      <w:r w:rsidRPr="00D92823">
        <w:rPr>
          <w:rFonts w:ascii="Times New Roman" w:hAnsi="Times New Roman" w:cs="Times New Roman"/>
          <w:i/>
        </w:rPr>
        <w:t>que</w:t>
      </w:r>
      <w:r w:rsidR="002214A4" w:rsidRPr="00D92823">
        <w:rPr>
          <w:rFonts w:ascii="Times New Roman" w:hAnsi="Times New Roman" w:cs="Times New Roman"/>
          <w:i/>
        </w:rPr>
        <w:t>rell</w:t>
      </w:r>
      <w:r w:rsidRPr="00D92823">
        <w:rPr>
          <w:rFonts w:ascii="Times New Roman" w:hAnsi="Times New Roman" w:cs="Times New Roman"/>
          <w:i/>
        </w:rPr>
        <w:t>e</w:t>
      </w:r>
      <w:r w:rsidRPr="00D92823">
        <w:rPr>
          <w:rFonts w:ascii="Times New Roman" w:hAnsi="Times New Roman" w:cs="Times New Roman"/>
        </w:rPr>
        <w:t xml:space="preserve"> </w:t>
      </w:r>
      <w:r w:rsidR="00AF27D5" w:rsidRPr="00D92823">
        <w:rPr>
          <w:rFonts w:ascii="Times New Roman" w:hAnsi="Times New Roman" w:cs="Times New Roman"/>
        </w:rPr>
        <w:t>è</w:t>
      </w:r>
      <w:r w:rsidRPr="00D92823">
        <w:rPr>
          <w:rFonts w:ascii="Times New Roman" w:hAnsi="Times New Roman" w:cs="Times New Roman"/>
        </w:rPr>
        <w:t xml:space="preserve"> sorta, a seguito di una decisione </w:t>
      </w:r>
      <w:r w:rsidR="00BC0594" w:rsidRPr="00D92823">
        <w:rPr>
          <w:rFonts w:ascii="Times New Roman" w:hAnsi="Times New Roman" w:cs="Times New Roman"/>
        </w:rPr>
        <w:t xml:space="preserve">del giudice </w:t>
      </w:r>
      <w:r w:rsidRPr="00D92823">
        <w:rPr>
          <w:rFonts w:ascii="Times New Roman" w:hAnsi="Times New Roman" w:cs="Times New Roman"/>
        </w:rPr>
        <w:t>amministrativ</w:t>
      </w:r>
      <w:r w:rsidR="00BC0594" w:rsidRPr="00D92823">
        <w:rPr>
          <w:rFonts w:ascii="Times New Roman" w:hAnsi="Times New Roman" w:cs="Times New Roman"/>
        </w:rPr>
        <w:t>o,</w:t>
      </w:r>
      <w:r w:rsidRPr="00D92823">
        <w:rPr>
          <w:rFonts w:ascii="Times New Roman" w:hAnsi="Times New Roman" w:cs="Times New Roman"/>
        </w:rPr>
        <w:t xml:space="preserve"> </w:t>
      </w:r>
      <w:r w:rsidR="002214A4" w:rsidRPr="00D92823">
        <w:rPr>
          <w:rFonts w:ascii="Times New Roman" w:hAnsi="Times New Roman" w:cs="Times New Roman"/>
        </w:rPr>
        <w:t xml:space="preserve">che </w:t>
      </w:r>
      <w:r w:rsidR="00C47D08" w:rsidRPr="00D92823">
        <w:rPr>
          <w:rFonts w:ascii="Times New Roman" w:hAnsi="Times New Roman" w:cs="Times New Roman"/>
        </w:rPr>
        <w:t>h</w:t>
      </w:r>
      <w:r w:rsidR="002214A4" w:rsidRPr="00D92823">
        <w:rPr>
          <w:rFonts w:ascii="Times New Roman" w:hAnsi="Times New Roman" w:cs="Times New Roman"/>
        </w:rPr>
        <w:t>a</w:t>
      </w:r>
      <w:r w:rsidR="00B64922" w:rsidRPr="00D92823">
        <w:rPr>
          <w:rFonts w:ascii="Times New Roman" w:hAnsi="Times New Roman" w:cs="Times New Roman"/>
        </w:rPr>
        <w:t xml:space="preserve"> giudicat</w:t>
      </w:r>
      <w:r w:rsidR="002214A4" w:rsidRPr="00D92823">
        <w:rPr>
          <w:rFonts w:ascii="Times New Roman" w:hAnsi="Times New Roman" w:cs="Times New Roman"/>
        </w:rPr>
        <w:t>o</w:t>
      </w:r>
      <w:r w:rsidR="00B64922" w:rsidRPr="00D92823">
        <w:rPr>
          <w:rFonts w:ascii="Times New Roman" w:hAnsi="Times New Roman" w:cs="Times New Roman"/>
        </w:rPr>
        <w:t xml:space="preserve"> legittima la scelta di un’amministrazione comunale di bandire </w:t>
      </w:r>
      <w:r w:rsidR="00F73D61" w:rsidRPr="00D92823">
        <w:rPr>
          <w:rFonts w:ascii="Times New Roman" w:hAnsi="Times New Roman" w:cs="Times New Roman"/>
        </w:rPr>
        <w:t xml:space="preserve">– </w:t>
      </w:r>
      <w:r w:rsidR="00AF27D5" w:rsidRPr="00D92823">
        <w:rPr>
          <w:rFonts w:ascii="Times New Roman" w:hAnsi="Times New Roman" w:cs="Times New Roman"/>
        </w:rPr>
        <w:t xml:space="preserve">ovviamente, </w:t>
      </w:r>
      <w:r w:rsidR="00F73D61" w:rsidRPr="00D92823">
        <w:rPr>
          <w:rFonts w:ascii="Times New Roman" w:hAnsi="Times New Roman" w:cs="Times New Roman"/>
        </w:rPr>
        <w:t>prima dell’entrata in vigore del D.lgs. n. 56</w:t>
      </w:r>
      <w:r w:rsidR="00B2344A" w:rsidRPr="00D92823">
        <w:rPr>
          <w:rFonts w:ascii="Times New Roman" w:hAnsi="Times New Roman" w:cs="Times New Roman"/>
        </w:rPr>
        <w:t>/2017</w:t>
      </w:r>
      <w:r w:rsidR="00F73D61" w:rsidRPr="00D92823">
        <w:rPr>
          <w:rFonts w:ascii="Times New Roman" w:hAnsi="Times New Roman" w:cs="Times New Roman"/>
        </w:rPr>
        <w:t xml:space="preserve"> –</w:t>
      </w:r>
      <w:r w:rsidR="00B64922" w:rsidRPr="00D92823">
        <w:rPr>
          <w:rFonts w:ascii="Times New Roman" w:hAnsi="Times New Roman" w:cs="Times New Roman"/>
        </w:rPr>
        <w:t xml:space="preserve"> </w:t>
      </w:r>
      <w:r w:rsidRPr="00D92823">
        <w:rPr>
          <w:rFonts w:ascii="Times New Roman" w:hAnsi="Times New Roman" w:cs="Times New Roman"/>
        </w:rPr>
        <w:t xml:space="preserve">una gara per l’affidamento di un incarico di progettazione, </w:t>
      </w:r>
      <w:r w:rsidR="00B64922" w:rsidRPr="00D92823">
        <w:rPr>
          <w:rFonts w:ascii="Times New Roman" w:hAnsi="Times New Roman" w:cs="Times New Roman"/>
        </w:rPr>
        <w:t>a fronte del</w:t>
      </w:r>
      <w:r w:rsidRPr="00D92823">
        <w:rPr>
          <w:rFonts w:ascii="Times New Roman" w:hAnsi="Times New Roman" w:cs="Times New Roman"/>
        </w:rPr>
        <w:t xml:space="preserve"> </w:t>
      </w:r>
      <w:r w:rsidR="00B64922" w:rsidRPr="00D92823">
        <w:rPr>
          <w:rFonts w:ascii="Times New Roman" w:hAnsi="Times New Roman" w:cs="Times New Roman"/>
        </w:rPr>
        <w:t>sol</w:t>
      </w:r>
      <w:r w:rsidRPr="00D92823">
        <w:rPr>
          <w:rFonts w:ascii="Times New Roman" w:hAnsi="Times New Roman" w:cs="Times New Roman"/>
        </w:rPr>
        <w:t>o rimborso spese</w:t>
      </w:r>
      <w:r w:rsidR="00946B26" w:rsidRPr="00D92823">
        <w:rPr>
          <w:rStyle w:val="Rimandonotaapidipagina"/>
          <w:rFonts w:ascii="Times New Roman" w:hAnsi="Times New Roman" w:cs="Times New Roman"/>
        </w:rPr>
        <w:footnoteReference w:id="30"/>
      </w:r>
      <w:r w:rsidRPr="00D92823">
        <w:rPr>
          <w:rFonts w:ascii="Times New Roman" w:hAnsi="Times New Roman" w:cs="Times New Roman"/>
        </w:rPr>
        <w:t>.</w:t>
      </w:r>
    </w:p>
    <w:p w:rsidR="007601A2" w:rsidRPr="00D92823" w:rsidRDefault="007601A2" w:rsidP="00D92823">
      <w:pPr>
        <w:ind w:left="567" w:right="140" w:firstLine="850"/>
        <w:jc w:val="both"/>
        <w:rPr>
          <w:rFonts w:ascii="Times New Roman" w:hAnsi="Times New Roman" w:cs="Times New Roman"/>
        </w:rPr>
      </w:pPr>
      <w:r w:rsidRPr="00D92823">
        <w:rPr>
          <w:rFonts w:ascii="Times New Roman" w:hAnsi="Times New Roman" w:cs="Times New Roman"/>
        </w:rPr>
        <w:t xml:space="preserve">La pronuncia muove dalla considerazione per cui </w:t>
      </w:r>
      <w:r w:rsidR="00946B26" w:rsidRPr="00D92823">
        <w:rPr>
          <w:rFonts w:ascii="Times New Roman" w:hAnsi="Times New Roman" w:cs="Times New Roman"/>
        </w:rPr>
        <w:t>«</w:t>
      </w:r>
      <w:r w:rsidRPr="00D92823">
        <w:rPr>
          <w:rFonts w:ascii="Times New Roman" w:hAnsi="Times New Roman" w:cs="Times New Roman"/>
        </w:rPr>
        <w:t xml:space="preserve">l’espressione </w:t>
      </w:r>
      <w:r w:rsidR="00B2344A" w:rsidRPr="00D92823">
        <w:rPr>
          <w:rFonts w:ascii="Times New Roman" w:hAnsi="Times New Roman" w:cs="Times New Roman"/>
        </w:rPr>
        <w:t>“</w:t>
      </w:r>
      <w:r w:rsidRPr="00D92823">
        <w:rPr>
          <w:rFonts w:ascii="Times New Roman" w:hAnsi="Times New Roman" w:cs="Times New Roman"/>
        </w:rPr>
        <w:t>contratti a titolo oneroso</w:t>
      </w:r>
      <w:r w:rsidR="00B2344A" w:rsidRPr="00D92823">
        <w:rPr>
          <w:rFonts w:ascii="Times New Roman" w:hAnsi="Times New Roman" w:cs="Times New Roman"/>
        </w:rPr>
        <w:t>”</w:t>
      </w:r>
      <w:r w:rsidRPr="00D92823">
        <w:rPr>
          <w:rFonts w:ascii="Times New Roman" w:hAnsi="Times New Roman" w:cs="Times New Roman"/>
        </w:rPr>
        <w:t xml:space="preserve"> può assumere</w:t>
      </w:r>
      <w:r w:rsidR="00BC0594" w:rsidRPr="00D92823">
        <w:rPr>
          <w:rFonts w:ascii="Times New Roman" w:hAnsi="Times New Roman" w:cs="Times New Roman"/>
        </w:rPr>
        <w:t>,</w:t>
      </w:r>
      <w:r w:rsidRPr="00D92823">
        <w:rPr>
          <w:rFonts w:ascii="Times New Roman" w:hAnsi="Times New Roman" w:cs="Times New Roman"/>
        </w:rPr>
        <w:t xml:space="preserve"> per il contratto pubblico</w:t>
      </w:r>
      <w:r w:rsidR="00BC0594" w:rsidRPr="00D92823">
        <w:rPr>
          <w:rFonts w:ascii="Times New Roman" w:hAnsi="Times New Roman" w:cs="Times New Roman"/>
        </w:rPr>
        <w:t>,</w:t>
      </w:r>
      <w:r w:rsidRPr="00D92823">
        <w:rPr>
          <w:rFonts w:ascii="Times New Roman" w:hAnsi="Times New Roman" w:cs="Times New Roman"/>
        </w:rPr>
        <w:t xml:space="preserve"> un significato attenuato o in parte diverso rispetto all’accezione tradizionale e propria del mondo interprivato. In realtà, la </w:t>
      </w:r>
      <w:r w:rsidRPr="00D92823">
        <w:rPr>
          <w:rFonts w:ascii="Times New Roman" w:hAnsi="Times New Roman" w:cs="Times New Roman"/>
          <w:i/>
        </w:rPr>
        <w:t>ratio</w:t>
      </w:r>
      <w:r w:rsidRPr="00D92823">
        <w:rPr>
          <w:rFonts w:ascii="Times New Roman" w:hAnsi="Times New Roman" w:cs="Times New Roman"/>
        </w:rPr>
        <w:t xml:space="preserve"> di mercato</w:t>
      </w:r>
      <w:r w:rsidR="00F5666B" w:rsidRPr="00D92823">
        <w:rPr>
          <w:rFonts w:ascii="Times New Roman" w:hAnsi="Times New Roman" w:cs="Times New Roman"/>
        </w:rPr>
        <w:t>…</w:t>
      </w:r>
      <w:r w:rsidRPr="00D92823">
        <w:rPr>
          <w:rFonts w:ascii="Times New Roman" w:hAnsi="Times New Roman" w:cs="Times New Roman"/>
        </w:rPr>
        <w:t>, di garanzia della serietà dell’offerta e di affidabilità dell’offerente, può essere ragionevolmente assicurata da altri vantaggi, economicamente apprezzabili anche se non direttamente finanziari, potenzialmente derivanti dal contratto</w:t>
      </w:r>
      <w:r w:rsidR="00BC0594" w:rsidRPr="00D92823">
        <w:rPr>
          <w:rFonts w:ascii="Times New Roman" w:hAnsi="Times New Roman" w:cs="Times New Roman"/>
        </w:rPr>
        <w:t>»</w:t>
      </w:r>
      <w:r w:rsidR="00946B26" w:rsidRPr="00D92823">
        <w:rPr>
          <w:rStyle w:val="Rimandonotaapidipagina"/>
          <w:rFonts w:ascii="Times New Roman" w:hAnsi="Times New Roman" w:cs="Times New Roman"/>
        </w:rPr>
        <w:footnoteReference w:id="31"/>
      </w:r>
      <w:r w:rsidRPr="00D92823">
        <w:rPr>
          <w:rFonts w:ascii="Times New Roman" w:hAnsi="Times New Roman" w:cs="Times New Roman"/>
        </w:rPr>
        <w:t>.</w:t>
      </w:r>
    </w:p>
    <w:p w:rsidR="00F5666B" w:rsidRPr="00D92823" w:rsidRDefault="00EA4F6E" w:rsidP="00D92823">
      <w:pPr>
        <w:ind w:left="567" w:right="140" w:firstLine="850"/>
        <w:jc w:val="both"/>
        <w:rPr>
          <w:rFonts w:ascii="Times New Roman" w:hAnsi="Times New Roman" w:cs="Times New Roman"/>
        </w:rPr>
      </w:pPr>
      <w:r w:rsidRPr="00D92823">
        <w:rPr>
          <w:rFonts w:ascii="Times New Roman" w:hAnsi="Times New Roman" w:cs="Times New Roman"/>
        </w:rPr>
        <w:t>Nella specie concreta</w:t>
      </w:r>
      <w:r w:rsidR="00F5666B" w:rsidRPr="00D92823">
        <w:rPr>
          <w:rFonts w:ascii="Times New Roman" w:hAnsi="Times New Roman" w:cs="Times New Roman"/>
        </w:rPr>
        <w:t xml:space="preserve">, tali vantaggi </w:t>
      </w:r>
      <w:r w:rsidR="00AF27D5" w:rsidRPr="00D92823">
        <w:rPr>
          <w:rFonts w:ascii="Times New Roman" w:hAnsi="Times New Roman" w:cs="Times New Roman"/>
        </w:rPr>
        <w:t>s</w:t>
      </w:r>
      <w:r w:rsidR="00F5666B" w:rsidRPr="00D92823">
        <w:rPr>
          <w:rFonts w:ascii="Times New Roman" w:hAnsi="Times New Roman" w:cs="Times New Roman"/>
        </w:rPr>
        <w:t xml:space="preserve">ono individuati nel «potenziale ritorno di immagine per il professionista… che rappresenta un interesse economico, seppure mediato, che appare superare </w:t>
      </w:r>
      <w:r w:rsidRPr="00D92823">
        <w:rPr>
          <w:rFonts w:ascii="Times New Roman" w:hAnsi="Times New Roman" w:cs="Times New Roman"/>
        </w:rPr>
        <w:t>–</w:t>
      </w:r>
      <w:r w:rsidR="00F5666B" w:rsidRPr="00D92823">
        <w:rPr>
          <w:rFonts w:ascii="Times New Roman" w:hAnsi="Times New Roman" w:cs="Times New Roman"/>
        </w:rPr>
        <w:t xml:space="preserve"> alla luce della ricordata speciale </w:t>
      </w:r>
      <w:r w:rsidR="00F5666B" w:rsidRPr="00D92823">
        <w:rPr>
          <w:rFonts w:ascii="Times New Roman" w:hAnsi="Times New Roman" w:cs="Times New Roman"/>
          <w:i/>
        </w:rPr>
        <w:t>ratio</w:t>
      </w:r>
      <w:r w:rsidRPr="00D92823">
        <w:rPr>
          <w:rFonts w:ascii="Times New Roman" w:hAnsi="Times New Roman" w:cs="Times New Roman"/>
        </w:rPr>
        <w:t xml:space="preserve"> –</w:t>
      </w:r>
      <w:r w:rsidR="00F5666B" w:rsidRPr="00D92823">
        <w:rPr>
          <w:rFonts w:ascii="Times New Roman" w:hAnsi="Times New Roman" w:cs="Times New Roman"/>
        </w:rPr>
        <w:t xml:space="preserve"> il divieto di non onerosità dell’appalto pubblico, e consente una rilettura critica dell’asserita natura gratuita del contratto di redazione del piano strutturale del Comune di Catanzaro. L’effetto, indiretto, di potenziale promozione esterna dell’appaltatore, come conseguenza della comunicazione al pubblico dell’esecuzione della prestazione professionale, appare costituire, nella struttura e nella funzione concreta del contratto pubblico, di cui qui si verte, una controprestazione contrattuale anche se a risultato aleatorio, in quanto l’eventuale mancato ritorno (positivo) di immagine (che è naturalmente collegato alla qualità dell’esecuzione della prestazione) non può dare luogo ad effetti risolutivi o risarcitori».</w:t>
      </w:r>
    </w:p>
    <w:p w:rsidR="0006025A" w:rsidRPr="00D92823" w:rsidRDefault="0006025A" w:rsidP="00D92823">
      <w:pPr>
        <w:ind w:left="567" w:right="140" w:firstLine="850"/>
        <w:jc w:val="both"/>
        <w:rPr>
          <w:rFonts w:ascii="Times New Roman" w:hAnsi="Times New Roman" w:cs="Times New Roman"/>
        </w:rPr>
      </w:pPr>
      <w:r w:rsidRPr="00D92823">
        <w:rPr>
          <w:rFonts w:ascii="Times New Roman" w:hAnsi="Times New Roman" w:cs="Times New Roman"/>
        </w:rPr>
        <w:t xml:space="preserve">La decisione, </w:t>
      </w:r>
      <w:r w:rsidR="00B2344A" w:rsidRPr="00D92823">
        <w:rPr>
          <w:rFonts w:ascii="Times New Roman" w:hAnsi="Times New Roman" w:cs="Times New Roman"/>
        </w:rPr>
        <w:t>contrastante con la prassi dell’ANAC</w:t>
      </w:r>
      <w:r w:rsidR="00B2344A" w:rsidRPr="00D92823">
        <w:rPr>
          <w:rStyle w:val="Rimandonotaapidipagina"/>
          <w:rFonts w:ascii="Times New Roman" w:hAnsi="Times New Roman" w:cs="Times New Roman"/>
        </w:rPr>
        <w:footnoteReference w:id="32"/>
      </w:r>
      <w:r w:rsidR="00B2344A" w:rsidRPr="00D92823">
        <w:rPr>
          <w:rFonts w:ascii="Times New Roman" w:hAnsi="Times New Roman" w:cs="Times New Roman"/>
        </w:rPr>
        <w:t xml:space="preserve"> ed </w:t>
      </w:r>
      <w:r w:rsidR="009E58CC" w:rsidRPr="00D92823">
        <w:rPr>
          <w:rFonts w:ascii="Times New Roman" w:hAnsi="Times New Roman" w:cs="Times New Roman"/>
        </w:rPr>
        <w:t xml:space="preserve">alquanto </w:t>
      </w:r>
      <w:r w:rsidRPr="00D92823">
        <w:rPr>
          <w:rFonts w:ascii="Times New Roman" w:hAnsi="Times New Roman" w:cs="Times New Roman"/>
        </w:rPr>
        <w:t>criticata in dottrina</w:t>
      </w:r>
      <w:r w:rsidRPr="00D92823">
        <w:rPr>
          <w:rStyle w:val="Rimandonotaapidipagina"/>
          <w:rFonts w:ascii="Times New Roman" w:hAnsi="Times New Roman" w:cs="Times New Roman"/>
        </w:rPr>
        <w:footnoteReference w:id="33"/>
      </w:r>
      <w:r w:rsidRPr="00D92823">
        <w:rPr>
          <w:rFonts w:ascii="Times New Roman" w:hAnsi="Times New Roman" w:cs="Times New Roman"/>
        </w:rPr>
        <w:t>,</w:t>
      </w:r>
      <w:r w:rsidR="00040A8C" w:rsidRPr="00D92823">
        <w:rPr>
          <w:rFonts w:ascii="Times New Roman" w:hAnsi="Times New Roman" w:cs="Times New Roman"/>
        </w:rPr>
        <w:t xml:space="preserve"> </w:t>
      </w:r>
      <w:r w:rsidR="009E58CC" w:rsidRPr="00D92823">
        <w:rPr>
          <w:rFonts w:ascii="Times New Roman" w:hAnsi="Times New Roman" w:cs="Times New Roman"/>
        </w:rPr>
        <w:t>deve, per l’appunto, ritenersi</w:t>
      </w:r>
      <w:r w:rsidR="00040A8C" w:rsidRPr="00D92823">
        <w:rPr>
          <w:rFonts w:ascii="Times New Roman" w:hAnsi="Times New Roman" w:cs="Times New Roman"/>
        </w:rPr>
        <w:t xml:space="preserve"> superata</w:t>
      </w:r>
      <w:r w:rsidR="00943594" w:rsidRPr="00D92823">
        <w:rPr>
          <w:rFonts w:ascii="Times New Roman" w:hAnsi="Times New Roman" w:cs="Times New Roman"/>
        </w:rPr>
        <w:t>,</w:t>
      </w:r>
      <w:r w:rsidR="00040A8C" w:rsidRPr="00D92823">
        <w:rPr>
          <w:rFonts w:ascii="Times New Roman" w:hAnsi="Times New Roman" w:cs="Times New Roman"/>
        </w:rPr>
        <w:t xml:space="preserve"> </w:t>
      </w:r>
      <w:r w:rsidR="00EA4F6E" w:rsidRPr="00D92823">
        <w:rPr>
          <w:rFonts w:ascii="Times New Roman" w:hAnsi="Times New Roman" w:cs="Times New Roman"/>
        </w:rPr>
        <w:t>con</w:t>
      </w:r>
      <w:r w:rsidR="009E58CC" w:rsidRPr="00D92823">
        <w:rPr>
          <w:rFonts w:ascii="Times New Roman" w:hAnsi="Times New Roman" w:cs="Times New Roman"/>
        </w:rPr>
        <w:t xml:space="preserve"> </w:t>
      </w:r>
      <w:r w:rsidR="00040A8C" w:rsidRPr="00D92823">
        <w:rPr>
          <w:rFonts w:ascii="Times New Roman" w:hAnsi="Times New Roman" w:cs="Times New Roman"/>
        </w:rPr>
        <w:t xml:space="preserve">l’entrata in vigore </w:t>
      </w:r>
      <w:r w:rsidR="009E58CC" w:rsidRPr="00D92823">
        <w:rPr>
          <w:rFonts w:ascii="Times New Roman" w:hAnsi="Times New Roman" w:cs="Times New Roman"/>
        </w:rPr>
        <w:t xml:space="preserve">sia </w:t>
      </w:r>
      <w:r w:rsidR="00040A8C" w:rsidRPr="00D92823">
        <w:rPr>
          <w:rFonts w:ascii="Times New Roman" w:hAnsi="Times New Roman" w:cs="Times New Roman"/>
        </w:rPr>
        <w:t>del nuovo testo dell’art. 24 del codice</w:t>
      </w:r>
      <w:r w:rsidR="00345572" w:rsidRPr="00D92823">
        <w:rPr>
          <w:rFonts w:ascii="Times New Roman" w:hAnsi="Times New Roman" w:cs="Times New Roman"/>
        </w:rPr>
        <w:t xml:space="preserve"> dei contratti pubblici</w:t>
      </w:r>
      <w:r w:rsidR="00040A8C" w:rsidRPr="00D92823">
        <w:rPr>
          <w:rFonts w:ascii="Times New Roman" w:hAnsi="Times New Roman" w:cs="Times New Roman"/>
        </w:rPr>
        <w:t>, sia della normativa sull’equo compenso.</w:t>
      </w:r>
    </w:p>
    <w:p w:rsidR="00ED3952" w:rsidRPr="00D92823" w:rsidRDefault="00ED3952" w:rsidP="00D92823">
      <w:pPr>
        <w:ind w:left="567" w:right="140" w:firstLine="850"/>
        <w:jc w:val="both"/>
        <w:rPr>
          <w:rFonts w:ascii="Times New Roman" w:hAnsi="Times New Roman" w:cs="Times New Roman"/>
        </w:rPr>
      </w:pPr>
      <w:r w:rsidRPr="00D92823">
        <w:rPr>
          <w:rFonts w:ascii="Times New Roman" w:hAnsi="Times New Roman" w:cs="Times New Roman"/>
        </w:rPr>
        <w:t>Rimane</w:t>
      </w:r>
      <w:r w:rsidR="004B2373" w:rsidRPr="00D92823">
        <w:rPr>
          <w:rFonts w:ascii="Times New Roman" w:hAnsi="Times New Roman" w:cs="Times New Roman"/>
        </w:rPr>
        <w:t xml:space="preserve"> forse</w:t>
      </w:r>
      <w:r w:rsidRPr="00D92823">
        <w:rPr>
          <w:rFonts w:ascii="Times New Roman" w:hAnsi="Times New Roman" w:cs="Times New Roman"/>
        </w:rPr>
        <w:t xml:space="preserve"> un</w:t>
      </w:r>
      <w:r w:rsidR="00EA4F6E" w:rsidRPr="00D92823">
        <w:rPr>
          <w:rFonts w:ascii="Times New Roman" w:hAnsi="Times New Roman" w:cs="Times New Roman"/>
        </w:rPr>
        <w:t>’</w:t>
      </w:r>
      <w:r w:rsidR="002214A4" w:rsidRPr="00D92823">
        <w:rPr>
          <w:rFonts w:ascii="Times New Roman" w:hAnsi="Times New Roman" w:cs="Times New Roman"/>
        </w:rPr>
        <w:t>ultim</w:t>
      </w:r>
      <w:r w:rsidR="00EA4F6E" w:rsidRPr="00D92823">
        <w:rPr>
          <w:rFonts w:ascii="Times New Roman" w:hAnsi="Times New Roman" w:cs="Times New Roman"/>
        </w:rPr>
        <w:t>a</w:t>
      </w:r>
      <w:r w:rsidRPr="00D92823">
        <w:rPr>
          <w:rFonts w:ascii="Times New Roman" w:hAnsi="Times New Roman" w:cs="Times New Roman"/>
        </w:rPr>
        <w:t xml:space="preserve"> problema</w:t>
      </w:r>
      <w:r w:rsidR="00EA4F6E" w:rsidRPr="00D92823">
        <w:rPr>
          <w:rFonts w:ascii="Times New Roman" w:hAnsi="Times New Roman" w:cs="Times New Roman"/>
        </w:rPr>
        <w:t>tica aperta</w:t>
      </w:r>
      <w:r w:rsidRPr="00D92823">
        <w:rPr>
          <w:rFonts w:ascii="Times New Roman" w:hAnsi="Times New Roman" w:cs="Times New Roman"/>
        </w:rPr>
        <w:t xml:space="preserve">, che </w:t>
      </w:r>
      <w:r w:rsidR="00165B53" w:rsidRPr="00D92823">
        <w:rPr>
          <w:rFonts w:ascii="Times New Roman" w:hAnsi="Times New Roman" w:cs="Times New Roman"/>
        </w:rPr>
        <w:t>solo apparentemente</w:t>
      </w:r>
      <w:r w:rsidRPr="00D92823">
        <w:rPr>
          <w:rFonts w:ascii="Times New Roman" w:hAnsi="Times New Roman" w:cs="Times New Roman"/>
        </w:rPr>
        <w:t xml:space="preserve"> esula dalle vicende </w:t>
      </w:r>
      <w:r w:rsidR="002214A4" w:rsidRPr="00D92823">
        <w:rPr>
          <w:rFonts w:ascii="Times New Roman" w:hAnsi="Times New Roman" w:cs="Times New Roman"/>
        </w:rPr>
        <w:t>relative a</w:t>
      </w:r>
      <w:r w:rsidRPr="00D92823">
        <w:rPr>
          <w:rFonts w:ascii="Times New Roman" w:hAnsi="Times New Roman" w:cs="Times New Roman"/>
        </w:rPr>
        <w:t xml:space="preserve">i professionisti, ma che </w:t>
      </w:r>
      <w:r w:rsidR="002214A4" w:rsidRPr="00D92823">
        <w:rPr>
          <w:rFonts w:ascii="Times New Roman" w:hAnsi="Times New Roman" w:cs="Times New Roman"/>
        </w:rPr>
        <w:t xml:space="preserve">comunque </w:t>
      </w:r>
      <w:r w:rsidRPr="00D92823">
        <w:rPr>
          <w:rFonts w:ascii="Times New Roman" w:hAnsi="Times New Roman" w:cs="Times New Roman"/>
        </w:rPr>
        <w:t>è bene menzionare, perché è oggetto di rinvio pregiudiziale alla CGUE.</w:t>
      </w:r>
    </w:p>
    <w:p w:rsidR="00ED3952" w:rsidRPr="00D92823" w:rsidRDefault="00ED3952" w:rsidP="00D92823">
      <w:pPr>
        <w:ind w:left="567" w:right="140" w:firstLine="850"/>
        <w:jc w:val="both"/>
        <w:rPr>
          <w:rFonts w:ascii="Times New Roman" w:hAnsi="Times New Roman" w:cs="Times New Roman"/>
        </w:rPr>
      </w:pPr>
      <w:r w:rsidRPr="00D92823">
        <w:rPr>
          <w:rFonts w:ascii="Times New Roman" w:hAnsi="Times New Roman" w:cs="Times New Roman"/>
        </w:rPr>
        <w:t>Ess</w:t>
      </w:r>
      <w:r w:rsidR="00EA4F6E" w:rsidRPr="00D92823">
        <w:rPr>
          <w:rFonts w:ascii="Times New Roman" w:hAnsi="Times New Roman" w:cs="Times New Roman"/>
        </w:rPr>
        <w:t>a</w:t>
      </w:r>
      <w:r w:rsidRPr="00D92823">
        <w:rPr>
          <w:rFonts w:ascii="Times New Roman" w:hAnsi="Times New Roman" w:cs="Times New Roman"/>
        </w:rPr>
        <w:t xml:space="preserve"> riguarda </w:t>
      </w:r>
      <w:r w:rsidR="009B5141" w:rsidRPr="00D92823">
        <w:rPr>
          <w:rFonts w:ascii="Times New Roman" w:hAnsi="Times New Roman" w:cs="Times New Roman"/>
        </w:rPr>
        <w:t>i</w:t>
      </w:r>
      <w:r w:rsidR="002214A4" w:rsidRPr="00D92823">
        <w:rPr>
          <w:rFonts w:ascii="Times New Roman" w:hAnsi="Times New Roman" w:cs="Times New Roman"/>
        </w:rPr>
        <w:t>l c</w:t>
      </w:r>
      <w:r w:rsidR="009B5141" w:rsidRPr="00D92823">
        <w:rPr>
          <w:rFonts w:ascii="Times New Roman" w:hAnsi="Times New Roman" w:cs="Times New Roman"/>
        </w:rPr>
        <w:t>o</w:t>
      </w:r>
      <w:r w:rsidR="002214A4" w:rsidRPr="00D92823">
        <w:rPr>
          <w:rFonts w:ascii="Times New Roman" w:hAnsi="Times New Roman" w:cs="Times New Roman"/>
        </w:rPr>
        <w:t xml:space="preserve">ntenzioso apertosi sulla concessione, da parte della Regione Veneto, di un finanziamento di scopo in favore di un ospedale religioso classificato, </w:t>
      </w:r>
      <w:r w:rsidR="00D914B4" w:rsidRPr="00D92823">
        <w:rPr>
          <w:rFonts w:ascii="Times New Roman" w:hAnsi="Times New Roman" w:cs="Times New Roman"/>
        </w:rPr>
        <w:t>fin</w:t>
      </w:r>
      <w:r w:rsidR="008C0267" w:rsidRPr="00D92823">
        <w:rPr>
          <w:rFonts w:ascii="Times New Roman" w:hAnsi="Times New Roman" w:cs="Times New Roman"/>
        </w:rPr>
        <w:t>al</w:t>
      </w:r>
      <w:r w:rsidR="00D914B4" w:rsidRPr="00D92823">
        <w:rPr>
          <w:rFonts w:ascii="Times New Roman" w:hAnsi="Times New Roman" w:cs="Times New Roman"/>
        </w:rPr>
        <w:t>i</w:t>
      </w:r>
      <w:r w:rsidR="008C0267" w:rsidRPr="00D92823">
        <w:rPr>
          <w:rFonts w:ascii="Times New Roman" w:hAnsi="Times New Roman" w:cs="Times New Roman"/>
        </w:rPr>
        <w:t>zzato</w:t>
      </w:r>
      <w:r w:rsidR="00D914B4" w:rsidRPr="00D92823">
        <w:rPr>
          <w:rFonts w:ascii="Times New Roman" w:hAnsi="Times New Roman" w:cs="Times New Roman"/>
        </w:rPr>
        <w:t xml:space="preserve"> </w:t>
      </w:r>
      <w:r w:rsidR="008C0267" w:rsidRPr="00D92823">
        <w:rPr>
          <w:rFonts w:ascii="Times New Roman" w:hAnsi="Times New Roman" w:cs="Times New Roman"/>
        </w:rPr>
        <w:t>a</w:t>
      </w:r>
      <w:r w:rsidR="00D914B4" w:rsidRPr="00D92823">
        <w:rPr>
          <w:rFonts w:ascii="Times New Roman" w:hAnsi="Times New Roman" w:cs="Times New Roman"/>
        </w:rPr>
        <w:t xml:space="preserve">lla </w:t>
      </w:r>
      <w:r w:rsidR="008C0267" w:rsidRPr="00D92823">
        <w:rPr>
          <w:rFonts w:ascii="Times New Roman" w:hAnsi="Times New Roman" w:cs="Times New Roman"/>
        </w:rPr>
        <w:t>realizza</w:t>
      </w:r>
      <w:r w:rsidR="00D914B4" w:rsidRPr="00D92823">
        <w:rPr>
          <w:rFonts w:ascii="Times New Roman" w:hAnsi="Times New Roman" w:cs="Times New Roman"/>
        </w:rPr>
        <w:t>zione di uno specifico prodotto</w:t>
      </w:r>
      <w:r w:rsidR="008C0267" w:rsidRPr="00D92823">
        <w:rPr>
          <w:rFonts w:ascii="Times New Roman" w:hAnsi="Times New Roman" w:cs="Times New Roman"/>
        </w:rPr>
        <w:t xml:space="preserve"> terapeutico</w:t>
      </w:r>
      <w:r w:rsidR="00165B53" w:rsidRPr="00D92823">
        <w:rPr>
          <w:rFonts w:ascii="Times New Roman" w:hAnsi="Times New Roman" w:cs="Times New Roman"/>
        </w:rPr>
        <w:t>,</w:t>
      </w:r>
      <w:r w:rsidRPr="00D92823">
        <w:rPr>
          <w:rFonts w:ascii="Times New Roman" w:hAnsi="Times New Roman" w:cs="Times New Roman"/>
        </w:rPr>
        <w:t xml:space="preserve"> </w:t>
      </w:r>
      <w:r w:rsidR="009B5141" w:rsidRPr="00D92823">
        <w:rPr>
          <w:rFonts w:ascii="Times New Roman" w:hAnsi="Times New Roman" w:cs="Times New Roman"/>
        </w:rPr>
        <w:t>a</w:t>
      </w:r>
      <w:r w:rsidR="002214A4" w:rsidRPr="00D92823">
        <w:rPr>
          <w:rFonts w:ascii="Times New Roman" w:hAnsi="Times New Roman" w:cs="Times New Roman"/>
        </w:rPr>
        <w:t xml:space="preserve"> fronte del quale</w:t>
      </w:r>
      <w:r w:rsidR="009B5141" w:rsidRPr="00D92823">
        <w:rPr>
          <w:rFonts w:ascii="Times New Roman" w:hAnsi="Times New Roman" w:cs="Times New Roman"/>
        </w:rPr>
        <w:t xml:space="preserve"> </w:t>
      </w:r>
      <w:r w:rsidR="002214A4" w:rsidRPr="00D92823">
        <w:rPr>
          <w:rFonts w:ascii="Times New Roman" w:hAnsi="Times New Roman" w:cs="Times New Roman"/>
        </w:rPr>
        <w:t>i</w:t>
      </w:r>
      <w:r w:rsidRPr="00D92823">
        <w:rPr>
          <w:rFonts w:ascii="Times New Roman" w:hAnsi="Times New Roman" w:cs="Times New Roman"/>
        </w:rPr>
        <w:t xml:space="preserve">l </w:t>
      </w:r>
      <w:r w:rsidR="00EA4F6E" w:rsidRPr="00D92823">
        <w:rPr>
          <w:rFonts w:ascii="Times New Roman" w:hAnsi="Times New Roman" w:cs="Times New Roman"/>
        </w:rPr>
        <w:t>sogget</w:t>
      </w:r>
      <w:r w:rsidRPr="00D92823">
        <w:rPr>
          <w:rFonts w:ascii="Times New Roman" w:hAnsi="Times New Roman" w:cs="Times New Roman"/>
        </w:rPr>
        <w:t>to beneficiario</w:t>
      </w:r>
      <w:r w:rsidR="002214A4" w:rsidRPr="00D92823">
        <w:rPr>
          <w:rFonts w:ascii="Times New Roman" w:hAnsi="Times New Roman" w:cs="Times New Roman"/>
        </w:rPr>
        <w:t xml:space="preserve"> si è </w:t>
      </w:r>
      <w:r w:rsidRPr="00D92823">
        <w:rPr>
          <w:rFonts w:ascii="Times New Roman" w:hAnsi="Times New Roman" w:cs="Times New Roman"/>
        </w:rPr>
        <w:t>impegn</w:t>
      </w:r>
      <w:r w:rsidR="002214A4" w:rsidRPr="00D92823">
        <w:rPr>
          <w:rFonts w:ascii="Times New Roman" w:hAnsi="Times New Roman" w:cs="Times New Roman"/>
        </w:rPr>
        <w:t>at</w:t>
      </w:r>
      <w:r w:rsidRPr="00D92823">
        <w:rPr>
          <w:rFonts w:ascii="Times New Roman" w:hAnsi="Times New Roman" w:cs="Times New Roman"/>
        </w:rPr>
        <w:t xml:space="preserve">o </w:t>
      </w:r>
      <w:r w:rsidR="002214A4" w:rsidRPr="00D92823">
        <w:rPr>
          <w:rFonts w:ascii="Times New Roman" w:hAnsi="Times New Roman" w:cs="Times New Roman"/>
        </w:rPr>
        <w:t>a</w:t>
      </w:r>
      <w:r w:rsidRPr="00D92823">
        <w:rPr>
          <w:rFonts w:ascii="Times New Roman" w:hAnsi="Times New Roman" w:cs="Times New Roman"/>
        </w:rPr>
        <w:t xml:space="preserve"> fornire</w:t>
      </w:r>
      <w:r w:rsidR="000115B4" w:rsidRPr="00D92823">
        <w:rPr>
          <w:rFonts w:ascii="Times New Roman" w:hAnsi="Times New Roman" w:cs="Times New Roman"/>
        </w:rPr>
        <w:t xml:space="preserve"> </w:t>
      </w:r>
      <w:r w:rsidR="00D914B4" w:rsidRPr="00D92823">
        <w:rPr>
          <w:rFonts w:ascii="Times New Roman" w:hAnsi="Times New Roman" w:cs="Times New Roman"/>
        </w:rPr>
        <w:t xml:space="preserve">lo stesso prodotto </w:t>
      </w:r>
      <w:r w:rsidR="000115B4" w:rsidRPr="00D92823">
        <w:rPr>
          <w:rFonts w:ascii="Times New Roman" w:hAnsi="Times New Roman" w:cs="Times New Roman"/>
        </w:rPr>
        <w:t>alle strutture sanitarie pubbliche</w:t>
      </w:r>
      <w:r w:rsidR="002214A4" w:rsidRPr="00D92823">
        <w:rPr>
          <w:rFonts w:ascii="Times New Roman" w:hAnsi="Times New Roman" w:cs="Times New Roman"/>
        </w:rPr>
        <w:t xml:space="preserve"> che ne avessero fatto richiesta</w:t>
      </w:r>
      <w:r w:rsidR="009B5141" w:rsidRPr="00D92823">
        <w:rPr>
          <w:rFonts w:ascii="Times New Roman" w:hAnsi="Times New Roman" w:cs="Times New Roman"/>
        </w:rPr>
        <w:t xml:space="preserve">, </w:t>
      </w:r>
      <w:r w:rsidR="00D914B4" w:rsidRPr="00D92823">
        <w:rPr>
          <w:rFonts w:ascii="Times New Roman" w:hAnsi="Times New Roman" w:cs="Times New Roman"/>
        </w:rPr>
        <w:t>senza ulteriore procedura di gara</w:t>
      </w:r>
      <w:r w:rsidR="00165B53" w:rsidRPr="00D92823">
        <w:rPr>
          <w:rFonts w:ascii="Times New Roman" w:hAnsi="Times New Roman" w:cs="Times New Roman"/>
        </w:rPr>
        <w:t xml:space="preserve"> e </w:t>
      </w:r>
      <w:r w:rsidR="009B5141" w:rsidRPr="00D92823">
        <w:rPr>
          <w:rFonts w:ascii="Times New Roman" w:hAnsi="Times New Roman" w:cs="Times New Roman"/>
        </w:rPr>
        <w:t>dietro rimborso delle sole spese di trasporto</w:t>
      </w:r>
      <w:r w:rsidR="00EA4F6E" w:rsidRPr="00D92823">
        <w:rPr>
          <w:rStyle w:val="Rimandonotaapidipagina"/>
          <w:rFonts w:ascii="Times New Roman" w:hAnsi="Times New Roman" w:cs="Times New Roman"/>
        </w:rPr>
        <w:footnoteReference w:id="34"/>
      </w:r>
      <w:r w:rsidRPr="00D92823">
        <w:rPr>
          <w:rFonts w:ascii="Times New Roman" w:hAnsi="Times New Roman" w:cs="Times New Roman"/>
        </w:rPr>
        <w:t>.</w:t>
      </w:r>
    </w:p>
    <w:p w:rsidR="00165B53" w:rsidRPr="00D92823" w:rsidRDefault="00EA4F6E" w:rsidP="00D92823">
      <w:pPr>
        <w:ind w:left="567" w:right="140" w:firstLine="850"/>
        <w:jc w:val="both"/>
        <w:rPr>
          <w:rFonts w:ascii="Times New Roman" w:hAnsi="Times New Roman" w:cs="Times New Roman"/>
        </w:rPr>
      </w:pPr>
      <w:r w:rsidRPr="00D92823">
        <w:rPr>
          <w:rFonts w:ascii="Times New Roman" w:hAnsi="Times New Roman" w:cs="Times New Roman"/>
        </w:rPr>
        <w:t>Q</w:t>
      </w:r>
      <w:r w:rsidR="008C0267" w:rsidRPr="00D92823">
        <w:rPr>
          <w:rFonts w:ascii="Times New Roman" w:hAnsi="Times New Roman" w:cs="Times New Roman"/>
        </w:rPr>
        <w:t>uel</w:t>
      </w:r>
      <w:r w:rsidRPr="00D92823">
        <w:rPr>
          <w:rFonts w:ascii="Times New Roman" w:hAnsi="Times New Roman" w:cs="Times New Roman"/>
        </w:rPr>
        <w:t xml:space="preserve"> che v</w:t>
      </w:r>
      <w:r w:rsidR="000115B4" w:rsidRPr="00D92823">
        <w:rPr>
          <w:rFonts w:ascii="Times New Roman" w:hAnsi="Times New Roman" w:cs="Times New Roman"/>
        </w:rPr>
        <w:t>a compre</w:t>
      </w:r>
      <w:r w:rsidRPr="00D92823">
        <w:rPr>
          <w:rFonts w:ascii="Times New Roman" w:hAnsi="Times New Roman" w:cs="Times New Roman"/>
        </w:rPr>
        <w:t>so è</w:t>
      </w:r>
      <w:r w:rsidR="000115B4" w:rsidRPr="00D92823">
        <w:rPr>
          <w:rFonts w:ascii="Times New Roman" w:hAnsi="Times New Roman" w:cs="Times New Roman"/>
        </w:rPr>
        <w:t xml:space="preserve"> se</w:t>
      </w:r>
      <w:r w:rsidRPr="00D92823">
        <w:rPr>
          <w:rFonts w:ascii="Times New Roman" w:hAnsi="Times New Roman" w:cs="Times New Roman"/>
        </w:rPr>
        <w:t>, nel sinallagma</w:t>
      </w:r>
      <w:r w:rsidR="00165B53" w:rsidRPr="00D92823">
        <w:rPr>
          <w:rFonts w:ascii="Times New Roman" w:hAnsi="Times New Roman" w:cs="Times New Roman"/>
        </w:rPr>
        <w:t xml:space="preserve"> </w:t>
      </w:r>
      <w:r w:rsidR="004B2373" w:rsidRPr="00D92823">
        <w:rPr>
          <w:rFonts w:ascii="Times New Roman" w:hAnsi="Times New Roman" w:cs="Times New Roman"/>
        </w:rPr>
        <w:t>“</w:t>
      </w:r>
      <w:r w:rsidRPr="00D92823">
        <w:rPr>
          <w:rFonts w:ascii="Times New Roman" w:hAnsi="Times New Roman" w:cs="Times New Roman"/>
        </w:rPr>
        <w:t>finanziamento</w:t>
      </w:r>
      <w:r w:rsidR="00886E36" w:rsidRPr="00D92823">
        <w:rPr>
          <w:rFonts w:ascii="Times New Roman" w:hAnsi="Times New Roman" w:cs="Times New Roman"/>
        </w:rPr>
        <w:t xml:space="preserve"> regionale</w:t>
      </w:r>
      <w:r w:rsidRPr="00D92823">
        <w:rPr>
          <w:rFonts w:ascii="Times New Roman" w:hAnsi="Times New Roman" w:cs="Times New Roman"/>
        </w:rPr>
        <w:t xml:space="preserve"> </w:t>
      </w:r>
      <w:r w:rsidRPr="00D92823">
        <w:rPr>
          <w:rFonts w:ascii="Times New Roman" w:hAnsi="Times New Roman" w:cs="Times New Roman"/>
          <w:i/>
        </w:rPr>
        <w:t>vs.</w:t>
      </w:r>
      <w:r w:rsidR="00165B53" w:rsidRPr="00D92823">
        <w:rPr>
          <w:rFonts w:ascii="Times New Roman" w:hAnsi="Times New Roman" w:cs="Times New Roman"/>
        </w:rPr>
        <w:t xml:space="preserve"> fornitura gratuita </w:t>
      </w:r>
      <w:r w:rsidR="00886E36" w:rsidRPr="00D92823">
        <w:rPr>
          <w:rFonts w:ascii="Times New Roman" w:hAnsi="Times New Roman" w:cs="Times New Roman"/>
        </w:rPr>
        <w:t>ad aziende regionali</w:t>
      </w:r>
      <w:r w:rsidR="004B2373" w:rsidRPr="00D92823">
        <w:rPr>
          <w:rFonts w:ascii="Times New Roman" w:hAnsi="Times New Roman" w:cs="Times New Roman"/>
        </w:rPr>
        <w:t>”</w:t>
      </w:r>
      <w:r w:rsidRPr="00D92823">
        <w:rPr>
          <w:rFonts w:ascii="Times New Roman" w:hAnsi="Times New Roman" w:cs="Times New Roman"/>
        </w:rPr>
        <w:t>,</w:t>
      </w:r>
      <w:r w:rsidR="00165B53" w:rsidRPr="00D92823">
        <w:rPr>
          <w:rFonts w:ascii="Times New Roman" w:hAnsi="Times New Roman" w:cs="Times New Roman"/>
        </w:rPr>
        <w:t xml:space="preserve"> si</w:t>
      </w:r>
      <w:r w:rsidRPr="00D92823">
        <w:rPr>
          <w:rFonts w:ascii="Times New Roman" w:hAnsi="Times New Roman" w:cs="Times New Roman"/>
        </w:rPr>
        <w:t>a</w:t>
      </w:r>
      <w:r w:rsidR="00165B53" w:rsidRPr="00D92823">
        <w:rPr>
          <w:rFonts w:ascii="Times New Roman" w:hAnsi="Times New Roman" w:cs="Times New Roman"/>
        </w:rPr>
        <w:t xml:space="preserve"> </w:t>
      </w:r>
      <w:r w:rsidRPr="00D92823">
        <w:rPr>
          <w:rFonts w:ascii="Times New Roman" w:hAnsi="Times New Roman" w:cs="Times New Roman"/>
        </w:rPr>
        <w:t xml:space="preserve">ravvisabile un </w:t>
      </w:r>
      <w:r w:rsidR="00165B53" w:rsidRPr="00D92823">
        <w:rPr>
          <w:rFonts w:ascii="Times New Roman" w:hAnsi="Times New Roman" w:cs="Times New Roman"/>
        </w:rPr>
        <w:t xml:space="preserve">contratto </w:t>
      </w:r>
      <w:r w:rsidRPr="00D92823">
        <w:rPr>
          <w:rFonts w:ascii="Times New Roman" w:hAnsi="Times New Roman" w:cs="Times New Roman"/>
        </w:rPr>
        <w:t xml:space="preserve">pubblico </w:t>
      </w:r>
      <w:r w:rsidR="00165B53" w:rsidRPr="00D92823">
        <w:rPr>
          <w:rFonts w:ascii="Times New Roman" w:hAnsi="Times New Roman" w:cs="Times New Roman"/>
        </w:rPr>
        <w:t xml:space="preserve">d’appalto, </w:t>
      </w:r>
      <w:r w:rsidR="00BA55DB" w:rsidRPr="00D92823">
        <w:rPr>
          <w:rFonts w:ascii="Times New Roman" w:hAnsi="Times New Roman" w:cs="Times New Roman"/>
        </w:rPr>
        <w:t>sul presupposto che «l’esecutore della fornitura riceva un significativo vantaggio economico da parte di un’amministrazione pubblica, allorché sia ragionevole ritenere, che detto finanziamento sia finalizzato proprio alla realizzazione del servizio o della fornitura in favore di altre amministrazioni pubbliche»</w:t>
      </w:r>
      <w:r w:rsidR="00886E36" w:rsidRPr="00D92823">
        <w:rPr>
          <w:rFonts w:ascii="Times New Roman" w:hAnsi="Times New Roman" w:cs="Times New Roman"/>
        </w:rPr>
        <w:t>,</w:t>
      </w:r>
      <w:r w:rsidR="008C0267" w:rsidRPr="00D92823">
        <w:rPr>
          <w:rFonts w:ascii="Times New Roman" w:hAnsi="Times New Roman" w:cs="Times New Roman"/>
        </w:rPr>
        <w:t xml:space="preserve"> e se esso sia compatibile con la normativa europea</w:t>
      </w:r>
      <w:r w:rsidR="000115B4" w:rsidRPr="00D92823">
        <w:rPr>
          <w:rFonts w:ascii="Times New Roman" w:hAnsi="Times New Roman" w:cs="Times New Roman"/>
        </w:rPr>
        <w:t>.</w:t>
      </w:r>
    </w:p>
    <w:p w:rsidR="007512D9" w:rsidRPr="00D92823" w:rsidRDefault="008C0267" w:rsidP="00D92823">
      <w:pPr>
        <w:ind w:left="567" w:right="140" w:firstLine="850"/>
        <w:jc w:val="both"/>
        <w:rPr>
          <w:rFonts w:ascii="Times New Roman" w:hAnsi="Times New Roman" w:cs="Times New Roman"/>
        </w:rPr>
      </w:pPr>
      <w:r w:rsidRPr="00D92823">
        <w:rPr>
          <w:rFonts w:ascii="Times New Roman" w:hAnsi="Times New Roman" w:cs="Times New Roman"/>
        </w:rPr>
        <w:t>Ebbene</w:t>
      </w:r>
      <w:r w:rsidR="00EA4F6E" w:rsidRPr="00D92823">
        <w:rPr>
          <w:rFonts w:ascii="Times New Roman" w:hAnsi="Times New Roman" w:cs="Times New Roman"/>
        </w:rPr>
        <w:t xml:space="preserve">, ove un simile </w:t>
      </w:r>
      <w:r w:rsidR="00F55F73" w:rsidRPr="00D92823">
        <w:rPr>
          <w:rFonts w:ascii="Times New Roman" w:hAnsi="Times New Roman" w:cs="Times New Roman"/>
        </w:rPr>
        <w:t xml:space="preserve">collegamento negoziale </w:t>
      </w:r>
      <w:r w:rsidR="00EA4F6E" w:rsidRPr="00D92823">
        <w:rPr>
          <w:rFonts w:ascii="Times New Roman" w:hAnsi="Times New Roman" w:cs="Times New Roman"/>
        </w:rPr>
        <w:t xml:space="preserve">si </w:t>
      </w:r>
      <w:r w:rsidR="009B5141" w:rsidRPr="00D92823">
        <w:rPr>
          <w:rFonts w:ascii="Times New Roman" w:hAnsi="Times New Roman" w:cs="Times New Roman"/>
        </w:rPr>
        <w:t>ri</w:t>
      </w:r>
      <w:r w:rsidR="00EA4F6E" w:rsidRPr="00D92823">
        <w:rPr>
          <w:rFonts w:ascii="Times New Roman" w:hAnsi="Times New Roman" w:cs="Times New Roman"/>
        </w:rPr>
        <w:t xml:space="preserve">proponga all’interno di un rapporto tra un’amministrazione </w:t>
      </w:r>
      <w:r w:rsidR="00D914B4" w:rsidRPr="00D92823">
        <w:rPr>
          <w:rFonts w:ascii="Times New Roman" w:hAnsi="Times New Roman" w:cs="Times New Roman"/>
        </w:rPr>
        <w:t>(</w:t>
      </w:r>
      <w:r w:rsidR="00EA4F6E" w:rsidRPr="00D92823">
        <w:rPr>
          <w:rFonts w:ascii="Times New Roman" w:hAnsi="Times New Roman" w:cs="Times New Roman"/>
        </w:rPr>
        <w:t>finanziatrice</w:t>
      </w:r>
      <w:r w:rsidR="00D914B4" w:rsidRPr="00D92823">
        <w:rPr>
          <w:rFonts w:ascii="Times New Roman" w:hAnsi="Times New Roman" w:cs="Times New Roman"/>
        </w:rPr>
        <w:t>)</w:t>
      </w:r>
      <w:r w:rsidR="00EA4F6E" w:rsidRPr="00D92823">
        <w:rPr>
          <w:rFonts w:ascii="Times New Roman" w:hAnsi="Times New Roman" w:cs="Times New Roman"/>
        </w:rPr>
        <w:t xml:space="preserve"> ed un professionista </w:t>
      </w:r>
      <w:r w:rsidR="00D914B4" w:rsidRPr="00D92823">
        <w:rPr>
          <w:rFonts w:ascii="Times New Roman" w:hAnsi="Times New Roman" w:cs="Times New Roman"/>
        </w:rPr>
        <w:t>(</w:t>
      </w:r>
      <w:r w:rsidR="00EA4F6E" w:rsidRPr="00D92823">
        <w:rPr>
          <w:rFonts w:ascii="Times New Roman" w:hAnsi="Times New Roman" w:cs="Times New Roman"/>
        </w:rPr>
        <w:t>beneficiario</w:t>
      </w:r>
      <w:r w:rsidR="00D914B4" w:rsidRPr="00D92823">
        <w:rPr>
          <w:rFonts w:ascii="Times New Roman" w:hAnsi="Times New Roman" w:cs="Times New Roman"/>
        </w:rPr>
        <w:t>)</w:t>
      </w:r>
      <w:r w:rsidR="00EA4F6E" w:rsidRPr="00D92823">
        <w:rPr>
          <w:rFonts w:ascii="Times New Roman" w:hAnsi="Times New Roman" w:cs="Times New Roman"/>
        </w:rPr>
        <w:t>, a sua volta obbligatosi a rendere servizi intellettuali gratuiti,</w:t>
      </w:r>
      <w:r w:rsidR="009B5141" w:rsidRPr="00D92823">
        <w:rPr>
          <w:rFonts w:ascii="Times New Roman" w:hAnsi="Times New Roman" w:cs="Times New Roman"/>
        </w:rPr>
        <w:t xml:space="preserve"> e </w:t>
      </w:r>
      <w:r w:rsidRPr="00D92823">
        <w:rPr>
          <w:rFonts w:ascii="Times New Roman" w:hAnsi="Times New Roman" w:cs="Times New Roman"/>
        </w:rPr>
        <w:t>sia</w:t>
      </w:r>
      <w:r w:rsidR="009B5141" w:rsidRPr="00D92823">
        <w:rPr>
          <w:rFonts w:ascii="Times New Roman" w:hAnsi="Times New Roman" w:cs="Times New Roman"/>
        </w:rPr>
        <w:t xml:space="preserve"> da qualificare </w:t>
      </w:r>
      <w:r w:rsidR="00F55F73" w:rsidRPr="00D92823">
        <w:rPr>
          <w:rFonts w:ascii="Times New Roman" w:hAnsi="Times New Roman" w:cs="Times New Roman"/>
        </w:rPr>
        <w:t xml:space="preserve">vuoi </w:t>
      </w:r>
      <w:r w:rsidR="009B5141" w:rsidRPr="00D92823">
        <w:rPr>
          <w:rFonts w:ascii="Times New Roman" w:hAnsi="Times New Roman" w:cs="Times New Roman"/>
        </w:rPr>
        <w:t xml:space="preserve">in termini di appalto di servizi, </w:t>
      </w:r>
      <w:r w:rsidR="00F55F73" w:rsidRPr="00D92823">
        <w:rPr>
          <w:rFonts w:ascii="Times New Roman" w:hAnsi="Times New Roman" w:cs="Times New Roman"/>
        </w:rPr>
        <w:t xml:space="preserve">vuoi in termini di incarico di opera intellettuale, </w:t>
      </w:r>
      <w:r w:rsidR="009B5141" w:rsidRPr="00D92823">
        <w:rPr>
          <w:rFonts w:ascii="Times New Roman" w:hAnsi="Times New Roman" w:cs="Times New Roman"/>
        </w:rPr>
        <w:t>la domanda che ne seguirebbe è se esso sia coerente, o meno, con la normativa sull’equo compenso.</w:t>
      </w:r>
    </w:p>
    <w:p w:rsidR="002E721B" w:rsidRPr="00D92823" w:rsidRDefault="002E721B" w:rsidP="00D92823">
      <w:pPr>
        <w:ind w:left="567" w:right="140" w:firstLine="850"/>
        <w:jc w:val="both"/>
        <w:rPr>
          <w:rFonts w:ascii="Times New Roman" w:hAnsi="Times New Roman" w:cs="Times New Roman"/>
        </w:rPr>
      </w:pPr>
    </w:p>
    <w:p w:rsidR="002E721B" w:rsidRPr="00D92823" w:rsidRDefault="002E721B" w:rsidP="00D92823">
      <w:pPr>
        <w:spacing w:line="240" w:lineRule="auto"/>
        <w:ind w:left="567" w:right="140" w:firstLine="850"/>
        <w:jc w:val="right"/>
        <w:rPr>
          <w:rFonts w:ascii="Times New Roman" w:hAnsi="Times New Roman" w:cs="Times New Roman"/>
        </w:rPr>
      </w:pPr>
      <w:r w:rsidRPr="00D92823">
        <w:rPr>
          <w:rFonts w:ascii="Times New Roman" w:hAnsi="Times New Roman" w:cs="Times New Roman"/>
        </w:rPr>
        <w:t>Nicola Durante</w:t>
      </w:r>
    </w:p>
    <w:p w:rsidR="002E721B" w:rsidRDefault="002E721B" w:rsidP="00D92823">
      <w:pPr>
        <w:spacing w:line="240" w:lineRule="auto"/>
        <w:ind w:left="567" w:right="140" w:firstLine="850"/>
        <w:jc w:val="right"/>
        <w:rPr>
          <w:rFonts w:ascii="Times New Roman" w:hAnsi="Times New Roman" w:cs="Times New Roman"/>
        </w:rPr>
      </w:pPr>
      <w:r w:rsidRPr="00D92823">
        <w:rPr>
          <w:rFonts w:ascii="Times New Roman" w:hAnsi="Times New Roman" w:cs="Times New Roman"/>
        </w:rPr>
        <w:t>Pres. Sezione T</w:t>
      </w:r>
      <w:r w:rsidR="006E56C6">
        <w:rPr>
          <w:rFonts w:ascii="Times New Roman" w:hAnsi="Times New Roman" w:cs="Times New Roman"/>
        </w:rPr>
        <w:t>ar Catanzaro</w:t>
      </w:r>
    </w:p>
    <w:p w:rsidR="006E56C6" w:rsidRPr="00D92823" w:rsidRDefault="006E56C6" w:rsidP="00D92823">
      <w:pPr>
        <w:spacing w:line="240" w:lineRule="auto"/>
        <w:ind w:left="567" w:right="140" w:firstLine="850"/>
        <w:jc w:val="right"/>
        <w:rPr>
          <w:rFonts w:ascii="Times New Roman" w:hAnsi="Times New Roman" w:cs="Times New Roman"/>
        </w:rPr>
      </w:pPr>
      <w:r>
        <w:rPr>
          <w:rFonts w:ascii="Times New Roman" w:hAnsi="Times New Roman" w:cs="Times New Roman"/>
        </w:rPr>
        <w:t>Pubblicato il 22 marzo 2018</w:t>
      </w:r>
    </w:p>
    <w:sectPr w:rsidR="006E56C6" w:rsidRPr="00D92823" w:rsidSect="007719AE">
      <w:footerReference w:type="default" r:id="rId10"/>
      <w:pgSz w:w="11906" w:h="16838"/>
      <w:pgMar w:top="1843" w:right="1134" w:bottom="212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69F" w:rsidRDefault="0095069F" w:rsidP="00322AEA">
      <w:pPr>
        <w:spacing w:after="0" w:line="240" w:lineRule="auto"/>
      </w:pPr>
      <w:r>
        <w:separator/>
      </w:r>
    </w:p>
  </w:endnote>
  <w:endnote w:type="continuationSeparator" w:id="0">
    <w:p w:rsidR="0095069F" w:rsidRDefault="0095069F" w:rsidP="0032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414156"/>
      <w:docPartObj>
        <w:docPartGallery w:val="Page Numbers (Bottom of Page)"/>
        <w:docPartUnique/>
      </w:docPartObj>
    </w:sdtPr>
    <w:sdtEndPr>
      <w:rPr>
        <w:rFonts w:ascii="Times New Roman" w:hAnsi="Times New Roman" w:cs="Times New Roman"/>
        <w:sz w:val="16"/>
        <w:szCs w:val="16"/>
      </w:rPr>
    </w:sdtEndPr>
    <w:sdtContent>
      <w:p w:rsidR="00D92823" w:rsidRPr="00D92823" w:rsidRDefault="00D92823">
        <w:pPr>
          <w:pStyle w:val="Pidipagina"/>
          <w:jc w:val="center"/>
          <w:rPr>
            <w:rFonts w:ascii="Times New Roman" w:hAnsi="Times New Roman" w:cs="Times New Roman"/>
            <w:sz w:val="16"/>
            <w:szCs w:val="16"/>
          </w:rPr>
        </w:pPr>
        <w:r w:rsidRPr="00D92823">
          <w:rPr>
            <w:rFonts w:ascii="Times New Roman" w:hAnsi="Times New Roman" w:cs="Times New Roman"/>
            <w:sz w:val="16"/>
            <w:szCs w:val="16"/>
          </w:rPr>
          <w:fldChar w:fldCharType="begin"/>
        </w:r>
        <w:r w:rsidRPr="00D92823">
          <w:rPr>
            <w:rFonts w:ascii="Times New Roman" w:hAnsi="Times New Roman" w:cs="Times New Roman"/>
            <w:sz w:val="16"/>
            <w:szCs w:val="16"/>
          </w:rPr>
          <w:instrText>PAGE   \* MERGEFORMAT</w:instrText>
        </w:r>
        <w:r w:rsidRPr="00D92823">
          <w:rPr>
            <w:rFonts w:ascii="Times New Roman" w:hAnsi="Times New Roman" w:cs="Times New Roman"/>
            <w:sz w:val="16"/>
            <w:szCs w:val="16"/>
          </w:rPr>
          <w:fldChar w:fldCharType="separate"/>
        </w:r>
        <w:r w:rsidR="006E56C6">
          <w:rPr>
            <w:rFonts w:ascii="Times New Roman" w:hAnsi="Times New Roman" w:cs="Times New Roman"/>
            <w:noProof/>
            <w:sz w:val="16"/>
            <w:szCs w:val="16"/>
          </w:rPr>
          <w:t>8</w:t>
        </w:r>
        <w:r w:rsidRPr="00D92823">
          <w:rPr>
            <w:rFonts w:ascii="Times New Roman" w:hAnsi="Times New Roman" w:cs="Times New Roman"/>
            <w:sz w:val="16"/>
            <w:szCs w:val="16"/>
          </w:rPr>
          <w:fldChar w:fldCharType="end"/>
        </w:r>
      </w:p>
    </w:sdtContent>
  </w:sdt>
  <w:p w:rsidR="000227FF" w:rsidRDefault="000227F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69F" w:rsidRDefault="0095069F" w:rsidP="00322AEA">
      <w:pPr>
        <w:spacing w:after="0" w:line="240" w:lineRule="auto"/>
      </w:pPr>
      <w:r>
        <w:separator/>
      </w:r>
    </w:p>
  </w:footnote>
  <w:footnote w:type="continuationSeparator" w:id="0">
    <w:p w:rsidR="0095069F" w:rsidRDefault="0095069F" w:rsidP="00322AEA">
      <w:pPr>
        <w:spacing w:after="0" w:line="240" w:lineRule="auto"/>
      </w:pPr>
      <w:r>
        <w:continuationSeparator/>
      </w:r>
    </w:p>
  </w:footnote>
  <w:footnote w:id="1">
    <w:p w:rsidR="006E56C6" w:rsidRDefault="006E56C6" w:rsidP="00740027">
      <w:pPr>
        <w:pStyle w:val="Testonotaapidipagina"/>
        <w:jc w:val="both"/>
        <w:rPr>
          <w:rFonts w:ascii="Times New Roman" w:hAnsi="Times New Roman" w:cs="Times New Roman"/>
        </w:rPr>
      </w:pPr>
      <w:r w:rsidRPr="006E56C6">
        <w:rPr>
          <w:rFonts w:ascii="Times New Roman" w:hAnsi="Times New Roman" w:cs="Times New Roman"/>
        </w:rPr>
        <w:t>(*) Relazione al convegno organizzato dall’Università degli studi di Catanzaro e dal T.A.R. Calabria, il 21 maggio 2018, sul tema “Appalto di servizi e gratuità della prestazione. A proposito di un recente dibattito giurisprudenziale”.</w:t>
      </w:r>
    </w:p>
    <w:p w:rsidR="00740027" w:rsidRPr="00D92823" w:rsidRDefault="00740027" w:rsidP="00740027">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w:t>
      </w:r>
      <w:proofErr w:type="spellStart"/>
      <w:r w:rsidRPr="00D92823">
        <w:rPr>
          <w:rFonts w:ascii="Times New Roman" w:hAnsi="Times New Roman" w:cs="Times New Roman"/>
        </w:rPr>
        <w:t>Rosapepe</w:t>
      </w:r>
      <w:proofErr w:type="spellEnd"/>
      <w:r w:rsidRPr="00D92823">
        <w:rPr>
          <w:rFonts w:ascii="Times New Roman" w:hAnsi="Times New Roman" w:cs="Times New Roman"/>
        </w:rPr>
        <w:t xml:space="preserve">, </w:t>
      </w:r>
      <w:r w:rsidRPr="00D92823">
        <w:rPr>
          <w:rFonts w:ascii="Times New Roman" w:hAnsi="Times New Roman" w:cs="Times New Roman"/>
          <w:i/>
        </w:rPr>
        <w:t>L’appalto</w:t>
      </w:r>
      <w:r w:rsidRPr="00D92823">
        <w:rPr>
          <w:rFonts w:ascii="Times New Roman" w:hAnsi="Times New Roman" w:cs="Times New Roman"/>
        </w:rPr>
        <w:t xml:space="preserve">, in </w:t>
      </w:r>
      <w:proofErr w:type="gramStart"/>
      <w:r w:rsidRPr="00D92823">
        <w:rPr>
          <w:rFonts w:ascii="Times New Roman" w:hAnsi="Times New Roman" w:cs="Times New Roman"/>
        </w:rPr>
        <w:t>AA.VV.,</w:t>
      </w:r>
      <w:proofErr w:type="gramEnd"/>
      <w:r w:rsidRPr="00D92823">
        <w:rPr>
          <w:rFonts w:ascii="Times New Roman" w:hAnsi="Times New Roman" w:cs="Times New Roman"/>
        </w:rPr>
        <w:t xml:space="preserve"> </w:t>
      </w:r>
      <w:r w:rsidRPr="00D92823">
        <w:rPr>
          <w:rFonts w:ascii="Times New Roman" w:hAnsi="Times New Roman" w:cs="Times New Roman"/>
          <w:i/>
        </w:rPr>
        <w:t>Contratti d’impresa</w:t>
      </w:r>
      <w:r w:rsidR="002550E2" w:rsidRPr="00D92823">
        <w:rPr>
          <w:rFonts w:ascii="Times New Roman" w:hAnsi="Times New Roman" w:cs="Times New Roman"/>
        </w:rPr>
        <w:t>, Milano, 1993, 240</w:t>
      </w:r>
      <w:r w:rsidRPr="00D92823">
        <w:rPr>
          <w:rFonts w:ascii="Times New Roman" w:hAnsi="Times New Roman" w:cs="Times New Roman"/>
        </w:rPr>
        <w:t>.</w:t>
      </w:r>
    </w:p>
  </w:footnote>
  <w:footnote w:id="2">
    <w:p w:rsidR="00740027" w:rsidRPr="00D92823" w:rsidRDefault="00740027" w:rsidP="00740027">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Cass. </w:t>
      </w:r>
      <w:proofErr w:type="gramStart"/>
      <w:r w:rsidRPr="00D92823">
        <w:rPr>
          <w:rFonts w:ascii="Times New Roman" w:hAnsi="Times New Roman" w:cs="Times New Roman"/>
        </w:rPr>
        <w:t>civ.,</w:t>
      </w:r>
      <w:proofErr w:type="gramEnd"/>
      <w:r w:rsidRPr="00D92823">
        <w:rPr>
          <w:rFonts w:ascii="Times New Roman" w:hAnsi="Times New Roman" w:cs="Times New Roman"/>
        </w:rPr>
        <w:t xml:space="preserve"> Sez. II, 27 gennaio 1997 n. 819.</w:t>
      </w:r>
    </w:p>
  </w:footnote>
  <w:footnote w:id="3">
    <w:p w:rsidR="00117CEF" w:rsidRPr="00D92823" w:rsidRDefault="00117CEF" w:rsidP="0086746C">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T</w:t>
      </w:r>
      <w:r w:rsidR="00142D89" w:rsidRPr="00D92823">
        <w:rPr>
          <w:rFonts w:ascii="Times New Roman" w:hAnsi="Times New Roman" w:cs="Times New Roman"/>
        </w:rPr>
        <w:t>.</w:t>
      </w:r>
      <w:r w:rsidRPr="00D92823">
        <w:rPr>
          <w:rFonts w:ascii="Times New Roman" w:hAnsi="Times New Roman" w:cs="Times New Roman"/>
        </w:rPr>
        <w:t>A</w:t>
      </w:r>
      <w:r w:rsidR="00142D89" w:rsidRPr="00D92823">
        <w:rPr>
          <w:rFonts w:ascii="Times New Roman" w:hAnsi="Times New Roman" w:cs="Times New Roman"/>
        </w:rPr>
        <w:t>.</w:t>
      </w:r>
      <w:r w:rsidRPr="00D92823">
        <w:rPr>
          <w:rFonts w:ascii="Times New Roman" w:hAnsi="Times New Roman" w:cs="Times New Roman"/>
        </w:rPr>
        <w:t>R</w:t>
      </w:r>
      <w:r w:rsidR="00142D89" w:rsidRPr="00D92823">
        <w:rPr>
          <w:rFonts w:ascii="Times New Roman" w:hAnsi="Times New Roman" w:cs="Times New Roman"/>
        </w:rPr>
        <w:t>.</w:t>
      </w:r>
      <w:r w:rsidRPr="00D92823">
        <w:rPr>
          <w:rFonts w:ascii="Times New Roman" w:hAnsi="Times New Roman" w:cs="Times New Roman"/>
        </w:rPr>
        <w:t xml:space="preserve"> Lazio, Latina,</w:t>
      </w:r>
      <w:r w:rsidR="00365E83" w:rsidRPr="00D92823">
        <w:rPr>
          <w:rFonts w:ascii="Times New Roman" w:hAnsi="Times New Roman" w:cs="Times New Roman"/>
        </w:rPr>
        <w:t xml:space="preserve"> 20 luglio</w:t>
      </w:r>
      <w:r w:rsidRPr="00D92823">
        <w:rPr>
          <w:rFonts w:ascii="Times New Roman" w:hAnsi="Times New Roman" w:cs="Times New Roman"/>
        </w:rPr>
        <w:t xml:space="preserve"> </w:t>
      </w:r>
      <w:r w:rsidR="00365E83" w:rsidRPr="00D92823">
        <w:rPr>
          <w:rFonts w:ascii="Times New Roman" w:hAnsi="Times New Roman" w:cs="Times New Roman"/>
        </w:rPr>
        <w:t xml:space="preserve">2011 </w:t>
      </w:r>
      <w:r w:rsidRPr="00D92823">
        <w:rPr>
          <w:rFonts w:ascii="Times New Roman" w:hAnsi="Times New Roman" w:cs="Times New Roman"/>
        </w:rPr>
        <w:t>n. 604.</w:t>
      </w:r>
    </w:p>
  </w:footnote>
  <w:footnote w:id="4">
    <w:p w:rsidR="00D77F39" w:rsidRPr="00D92823" w:rsidRDefault="00D77F39" w:rsidP="0086746C">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Cons. Stato, Sez. V, 11 maggio 2012 n. 2730, che richiama AVCP, determinazione 7 luglio 2011 n. 4.</w:t>
      </w:r>
    </w:p>
  </w:footnote>
  <w:footnote w:id="5">
    <w:p w:rsidR="00EF38A7" w:rsidRPr="00D92823" w:rsidRDefault="00EF38A7" w:rsidP="0086746C">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Corte conti, Sez. </w:t>
      </w:r>
      <w:r w:rsidR="00E05243" w:rsidRPr="00D92823">
        <w:rPr>
          <w:rFonts w:ascii="Times New Roman" w:hAnsi="Times New Roman" w:cs="Times New Roman"/>
        </w:rPr>
        <w:t>c</w:t>
      </w:r>
      <w:r w:rsidRPr="00D92823">
        <w:rPr>
          <w:rFonts w:ascii="Times New Roman" w:hAnsi="Times New Roman" w:cs="Times New Roman"/>
        </w:rPr>
        <w:t>ontr</w:t>
      </w:r>
      <w:r w:rsidR="00E05243" w:rsidRPr="00D92823">
        <w:rPr>
          <w:rFonts w:ascii="Times New Roman" w:hAnsi="Times New Roman" w:cs="Times New Roman"/>
        </w:rPr>
        <w:t>.</w:t>
      </w:r>
      <w:r w:rsidRPr="00D92823">
        <w:rPr>
          <w:rFonts w:ascii="Times New Roman" w:hAnsi="Times New Roman" w:cs="Times New Roman"/>
        </w:rPr>
        <w:t xml:space="preserve"> Lombardia, 15 maggio 2014 n. 178.</w:t>
      </w:r>
    </w:p>
  </w:footnote>
  <w:footnote w:id="6">
    <w:p w:rsidR="00572F60" w:rsidRPr="00D92823" w:rsidRDefault="00572F60" w:rsidP="00572F60">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Agenzia delle entrate, risoluzione su interpello 7 maggio 2018 n. 35/E.</w:t>
      </w:r>
    </w:p>
  </w:footnote>
  <w:footnote w:id="7">
    <w:p w:rsidR="00572F60" w:rsidRPr="00D92823" w:rsidRDefault="00572F60" w:rsidP="00572F60">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M</w:t>
      </w:r>
      <w:r w:rsidR="001B66CF" w:rsidRPr="00D92823">
        <w:rPr>
          <w:rFonts w:ascii="Times New Roman" w:hAnsi="Times New Roman" w:cs="Times New Roman"/>
        </w:rPr>
        <w:t>EF</w:t>
      </w:r>
      <w:r w:rsidRPr="00D92823">
        <w:rPr>
          <w:rFonts w:ascii="Times New Roman" w:hAnsi="Times New Roman" w:cs="Times New Roman"/>
        </w:rPr>
        <w:t>, Direzione della legislazione tributaria e del federalismo fiscale, parere 19 dicembre 2017 n. 43619.</w:t>
      </w:r>
    </w:p>
  </w:footnote>
  <w:footnote w:id="8">
    <w:p w:rsidR="005A63DB" w:rsidRPr="00D92823" w:rsidRDefault="005A63DB" w:rsidP="005A63DB">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Cons. </w:t>
      </w:r>
      <w:r w:rsidR="009D28C2" w:rsidRPr="00D92823">
        <w:rPr>
          <w:rFonts w:ascii="Times New Roman" w:hAnsi="Times New Roman" w:cs="Times New Roman"/>
        </w:rPr>
        <w:t>S</w:t>
      </w:r>
      <w:r w:rsidRPr="00D92823">
        <w:rPr>
          <w:rFonts w:ascii="Times New Roman" w:hAnsi="Times New Roman" w:cs="Times New Roman"/>
        </w:rPr>
        <w:t xml:space="preserve">tato, Comm. </w:t>
      </w:r>
      <w:r w:rsidR="002768F9" w:rsidRPr="00D92823">
        <w:rPr>
          <w:rFonts w:ascii="Times New Roman" w:hAnsi="Times New Roman" w:cs="Times New Roman"/>
        </w:rPr>
        <w:t>s</w:t>
      </w:r>
      <w:r w:rsidRPr="00D92823">
        <w:rPr>
          <w:rFonts w:ascii="Times New Roman" w:hAnsi="Times New Roman" w:cs="Times New Roman"/>
        </w:rPr>
        <w:t>pec., 6 ottobre 2017 n. 2109.</w:t>
      </w:r>
    </w:p>
  </w:footnote>
  <w:footnote w:id="9">
    <w:p w:rsidR="00BD3FBD" w:rsidRPr="00D92823" w:rsidRDefault="00BD3FBD" w:rsidP="00447256">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T.A.R. Puglia, Bari, Sez. II, 11 dicembre 2017 n. 1289</w:t>
      </w:r>
      <w:r w:rsidR="00447256" w:rsidRPr="00D92823">
        <w:rPr>
          <w:rFonts w:ascii="Times New Roman" w:hAnsi="Times New Roman" w:cs="Times New Roman"/>
        </w:rPr>
        <w:t>, in relazione ad un avviso pubblico per l’affidamento di singoli incarichi di difesa in giudizio</w:t>
      </w:r>
      <w:r w:rsidRPr="00D92823">
        <w:rPr>
          <w:rFonts w:ascii="Times New Roman" w:hAnsi="Times New Roman" w:cs="Times New Roman"/>
        </w:rPr>
        <w:t>.</w:t>
      </w:r>
    </w:p>
  </w:footnote>
  <w:footnote w:id="10">
    <w:p w:rsidR="00770E39" w:rsidRPr="00D92823" w:rsidRDefault="00770E39" w:rsidP="00770E39">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Non a caso, il progettista pubblico e quello privato rispondono entrambi dinanzi al giudice ordinario dei danni cagionati al committente, stante la natura meramente privatistica del loro rapporto, a differenza del direttore dei lavori, che ne risponde dinanzi alla Corte dei conti, essendo legato alla P.A. da un vero e proprio rapporto di servizio (cfr. Cass. </w:t>
      </w:r>
      <w:proofErr w:type="gramStart"/>
      <w:r w:rsidRPr="00D92823">
        <w:rPr>
          <w:rFonts w:ascii="Times New Roman" w:hAnsi="Times New Roman" w:cs="Times New Roman"/>
        </w:rPr>
        <w:t>civ.,</w:t>
      </w:r>
      <w:proofErr w:type="gramEnd"/>
      <w:r w:rsidRPr="00D92823">
        <w:rPr>
          <w:rFonts w:ascii="Times New Roman" w:hAnsi="Times New Roman" w:cs="Times New Roman"/>
        </w:rPr>
        <w:t xml:space="preserve"> Sez. un., 23 settembre 2016 n. 18691).</w:t>
      </w:r>
    </w:p>
  </w:footnote>
  <w:footnote w:id="11">
    <w:p w:rsidR="008C4F8E" w:rsidRPr="00D92823" w:rsidRDefault="008C4F8E" w:rsidP="008C4F8E">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CGCE, Sez. IV, 23 dicembre 2009, </w:t>
      </w:r>
      <w:proofErr w:type="spellStart"/>
      <w:r w:rsidRPr="00D92823">
        <w:rPr>
          <w:rFonts w:ascii="Times New Roman" w:hAnsi="Times New Roman" w:cs="Times New Roman"/>
        </w:rPr>
        <w:t>CoNisma</w:t>
      </w:r>
      <w:proofErr w:type="spellEnd"/>
      <w:r w:rsidRPr="00D92823">
        <w:rPr>
          <w:rFonts w:ascii="Times New Roman" w:hAnsi="Times New Roman" w:cs="Times New Roman"/>
        </w:rPr>
        <w:t xml:space="preserve">, in C-305/08 e 18 dicembre 2007, </w:t>
      </w:r>
      <w:proofErr w:type="spellStart"/>
      <w:r w:rsidRPr="00D92823">
        <w:rPr>
          <w:rFonts w:ascii="Times New Roman" w:hAnsi="Times New Roman" w:cs="Times New Roman"/>
        </w:rPr>
        <w:t>Frigerio</w:t>
      </w:r>
      <w:proofErr w:type="spellEnd"/>
      <w:r w:rsidRPr="00D92823">
        <w:rPr>
          <w:rFonts w:ascii="Times New Roman" w:hAnsi="Times New Roman" w:cs="Times New Roman"/>
        </w:rPr>
        <w:t>, in C-357/06.</w:t>
      </w:r>
    </w:p>
  </w:footnote>
  <w:footnote w:id="12">
    <w:p w:rsidR="005A25AD" w:rsidRPr="00D92823" w:rsidRDefault="005A25AD" w:rsidP="005A25AD">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Cons. Stato, Sez. </w:t>
      </w:r>
      <w:r w:rsidRPr="00D92823">
        <w:rPr>
          <w:rFonts w:ascii="Times New Roman" w:hAnsi="Times New Roman" w:cs="Times New Roman"/>
          <w:iCs/>
        </w:rPr>
        <w:t xml:space="preserve">V, </w:t>
      </w:r>
      <w:r w:rsidR="0084022B" w:rsidRPr="00D92823">
        <w:rPr>
          <w:rFonts w:ascii="Times New Roman" w:hAnsi="Times New Roman" w:cs="Times New Roman"/>
          <w:iCs/>
        </w:rPr>
        <w:t xml:space="preserve">21 novembre 2016 n. 4881 e </w:t>
      </w:r>
      <w:r w:rsidRPr="00D92823">
        <w:rPr>
          <w:rFonts w:ascii="Times New Roman" w:hAnsi="Times New Roman" w:cs="Times New Roman"/>
          <w:iCs/>
        </w:rPr>
        <w:t>13 marzo 2014 n. 1251.</w:t>
      </w:r>
    </w:p>
  </w:footnote>
  <w:footnote w:id="13">
    <w:p w:rsidR="00360291" w:rsidRPr="00D92823" w:rsidRDefault="00360291" w:rsidP="00360291">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Cons. Stato, Sez. III, 1 ottobre 2012 n. 5161.</w:t>
      </w:r>
    </w:p>
  </w:footnote>
  <w:footnote w:id="14">
    <w:p w:rsidR="0005187A" w:rsidRPr="00D92823" w:rsidRDefault="0005187A" w:rsidP="0005187A">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Cons. Stato, Sez. V, 19 aprile 2018 n. 2381.</w:t>
      </w:r>
    </w:p>
  </w:footnote>
  <w:footnote w:id="15">
    <w:p w:rsidR="00AA139A" w:rsidRPr="00D92823" w:rsidRDefault="00AA139A" w:rsidP="00AA139A">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Cons. Stato, Sez. V, </w:t>
      </w:r>
      <w:proofErr w:type="spellStart"/>
      <w:r w:rsidRPr="00D92823">
        <w:rPr>
          <w:rFonts w:ascii="Times New Roman" w:hAnsi="Times New Roman" w:cs="Times New Roman"/>
        </w:rPr>
        <w:t>ord</w:t>
      </w:r>
      <w:proofErr w:type="spellEnd"/>
      <w:r w:rsidRPr="00D92823">
        <w:rPr>
          <w:rFonts w:ascii="Times New Roman" w:hAnsi="Times New Roman" w:cs="Times New Roman"/>
        </w:rPr>
        <w:t xml:space="preserve">. 4 giugno 2015 n. 2737 </w:t>
      </w:r>
      <w:r w:rsidR="0084022B" w:rsidRPr="00D92823">
        <w:rPr>
          <w:rFonts w:ascii="Times New Roman" w:hAnsi="Times New Roman" w:cs="Times New Roman"/>
        </w:rPr>
        <w:t>(relativa ad un giudizio poi rinunziato)</w:t>
      </w:r>
      <w:r w:rsidR="0084022B" w:rsidRPr="00D92823">
        <w:rPr>
          <w:rFonts w:ascii="Times New Roman" w:hAnsi="Times New Roman" w:cs="Times New Roman"/>
          <w:sz w:val="18"/>
          <w:szCs w:val="18"/>
        </w:rPr>
        <w:t xml:space="preserve"> </w:t>
      </w:r>
      <w:r w:rsidRPr="00D92823">
        <w:rPr>
          <w:rFonts w:ascii="Times New Roman" w:hAnsi="Times New Roman" w:cs="Times New Roman"/>
        </w:rPr>
        <w:t>e</w:t>
      </w:r>
      <w:r w:rsidR="00B15F8E" w:rsidRPr="00D92823">
        <w:rPr>
          <w:rFonts w:ascii="Times New Roman" w:hAnsi="Times New Roman" w:cs="Times New Roman"/>
        </w:rPr>
        <w:t>d</w:t>
      </w:r>
      <w:r w:rsidRPr="00D92823">
        <w:rPr>
          <w:rFonts w:ascii="Times New Roman" w:hAnsi="Times New Roman" w:cs="Times New Roman"/>
        </w:rPr>
        <w:t xml:space="preserve"> </w:t>
      </w:r>
      <w:proofErr w:type="spellStart"/>
      <w:r w:rsidR="00B15F8E" w:rsidRPr="00D92823">
        <w:rPr>
          <w:rFonts w:ascii="Times New Roman" w:hAnsi="Times New Roman" w:cs="Times New Roman"/>
        </w:rPr>
        <w:t>ord</w:t>
      </w:r>
      <w:proofErr w:type="spellEnd"/>
      <w:r w:rsidR="00B15F8E" w:rsidRPr="00D92823">
        <w:rPr>
          <w:rFonts w:ascii="Times New Roman" w:hAnsi="Times New Roman" w:cs="Times New Roman"/>
        </w:rPr>
        <w:t xml:space="preserve">. </w:t>
      </w:r>
      <w:r w:rsidRPr="00D92823">
        <w:rPr>
          <w:rFonts w:ascii="Times New Roman" w:hAnsi="Times New Roman" w:cs="Times New Roman"/>
        </w:rPr>
        <w:t>17 febbraio 2016 n. 636.</w:t>
      </w:r>
    </w:p>
  </w:footnote>
  <w:footnote w:id="16">
    <w:p w:rsidR="009B0B9D" w:rsidRPr="00D92823" w:rsidRDefault="009B0B9D" w:rsidP="009B0B9D">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Cass. </w:t>
      </w:r>
      <w:proofErr w:type="gramStart"/>
      <w:r w:rsidRPr="00D92823">
        <w:rPr>
          <w:rFonts w:ascii="Times New Roman" w:hAnsi="Times New Roman" w:cs="Times New Roman"/>
        </w:rPr>
        <w:t>civ.,</w:t>
      </w:r>
      <w:proofErr w:type="gramEnd"/>
      <w:r w:rsidRPr="00D92823">
        <w:rPr>
          <w:rFonts w:ascii="Times New Roman" w:hAnsi="Times New Roman" w:cs="Times New Roman"/>
        </w:rPr>
        <w:t xml:space="preserve"> Sez. I, 5 agosto 1995 n. 8630.</w:t>
      </w:r>
    </w:p>
  </w:footnote>
  <w:footnote w:id="17">
    <w:p w:rsidR="009B0B9D" w:rsidRPr="00D92823" w:rsidRDefault="009B0B9D" w:rsidP="009B0B9D">
      <w:pPr>
        <w:pStyle w:val="Testonotaapidipagina"/>
        <w:jc w:val="both"/>
        <w:rPr>
          <w:rFonts w:ascii="Times New Roman" w:hAnsi="Times New Roman" w:cs="Times New Roman"/>
          <w:lang w:val="fr-FR"/>
        </w:rPr>
      </w:pPr>
      <w:r w:rsidRPr="00D92823">
        <w:rPr>
          <w:rStyle w:val="Rimandonotaapidipagina"/>
          <w:rFonts w:ascii="Times New Roman" w:hAnsi="Times New Roman" w:cs="Times New Roman"/>
        </w:rPr>
        <w:footnoteRef/>
      </w:r>
      <w:r w:rsidRPr="00D92823">
        <w:rPr>
          <w:rFonts w:ascii="Times New Roman" w:hAnsi="Times New Roman" w:cs="Times New Roman"/>
          <w:lang w:val="fr-FR"/>
        </w:rPr>
        <w:t xml:space="preserve"> Cass. </w:t>
      </w:r>
      <w:proofErr w:type="gramStart"/>
      <w:r w:rsidRPr="00D92823">
        <w:rPr>
          <w:rFonts w:ascii="Times New Roman" w:hAnsi="Times New Roman" w:cs="Times New Roman"/>
          <w:lang w:val="fr-FR"/>
        </w:rPr>
        <w:t>civ.,</w:t>
      </w:r>
      <w:proofErr w:type="gramEnd"/>
      <w:r w:rsidRPr="00D92823">
        <w:rPr>
          <w:rFonts w:ascii="Times New Roman" w:hAnsi="Times New Roman" w:cs="Times New Roman"/>
          <w:lang w:val="fr-FR"/>
        </w:rPr>
        <w:t xml:space="preserve"> </w:t>
      </w:r>
      <w:proofErr w:type="spellStart"/>
      <w:r w:rsidRPr="00D92823">
        <w:rPr>
          <w:rFonts w:ascii="Times New Roman" w:hAnsi="Times New Roman" w:cs="Times New Roman"/>
          <w:lang w:val="fr-FR"/>
        </w:rPr>
        <w:t>Sez</w:t>
      </w:r>
      <w:proofErr w:type="spellEnd"/>
      <w:r w:rsidRPr="00D92823">
        <w:rPr>
          <w:rFonts w:ascii="Times New Roman" w:hAnsi="Times New Roman" w:cs="Times New Roman"/>
          <w:lang w:val="fr-FR"/>
        </w:rPr>
        <w:t>. II, 23 novembre 2016 n. 23893.</w:t>
      </w:r>
    </w:p>
  </w:footnote>
  <w:footnote w:id="18">
    <w:p w:rsidR="00CF5C9D" w:rsidRPr="00D92823" w:rsidRDefault="00CF5C9D" w:rsidP="00CF5C9D">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Guerriero, </w:t>
      </w:r>
      <w:r w:rsidRPr="00D92823">
        <w:rPr>
          <w:rFonts w:ascii="Times New Roman" w:hAnsi="Times New Roman" w:cs="Times New Roman"/>
          <w:i/>
        </w:rPr>
        <w:t>Il (difficile) perimetro applicativo del negozio a titolo gratuito</w:t>
      </w:r>
      <w:r w:rsidRPr="00D92823">
        <w:rPr>
          <w:rFonts w:ascii="Times New Roman" w:hAnsi="Times New Roman" w:cs="Times New Roman"/>
        </w:rPr>
        <w:t xml:space="preserve">, in </w:t>
      </w:r>
      <w:r w:rsidRPr="00D92823">
        <w:rPr>
          <w:rFonts w:ascii="Times New Roman" w:hAnsi="Times New Roman" w:cs="Times New Roman"/>
          <w:i/>
        </w:rPr>
        <w:t>Iurisprudentia.it</w:t>
      </w:r>
      <w:r w:rsidRPr="00D92823">
        <w:rPr>
          <w:rFonts w:ascii="Times New Roman" w:hAnsi="Times New Roman" w:cs="Times New Roman"/>
        </w:rPr>
        <w:t>, 9 novembre 2017.</w:t>
      </w:r>
    </w:p>
  </w:footnote>
  <w:footnote w:id="19">
    <w:p w:rsidR="00366DAF" w:rsidRPr="00D92823" w:rsidRDefault="00366DAF" w:rsidP="00366DAF">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Giannattasio, </w:t>
      </w:r>
      <w:r w:rsidRPr="00D92823">
        <w:rPr>
          <w:rFonts w:ascii="Times New Roman" w:hAnsi="Times New Roman" w:cs="Times New Roman"/>
          <w:i/>
        </w:rPr>
        <w:t>L’appalto</w:t>
      </w:r>
      <w:r w:rsidRPr="00D92823">
        <w:rPr>
          <w:rFonts w:ascii="Times New Roman" w:hAnsi="Times New Roman" w:cs="Times New Roman"/>
        </w:rPr>
        <w:t xml:space="preserve">, in </w:t>
      </w:r>
      <w:proofErr w:type="spellStart"/>
      <w:r w:rsidRPr="00D92823">
        <w:rPr>
          <w:rFonts w:ascii="Times New Roman" w:hAnsi="Times New Roman" w:cs="Times New Roman"/>
          <w:i/>
        </w:rPr>
        <w:t>Tratt</w:t>
      </w:r>
      <w:proofErr w:type="spellEnd"/>
      <w:r w:rsidRPr="00D92823">
        <w:rPr>
          <w:rFonts w:ascii="Times New Roman" w:hAnsi="Times New Roman" w:cs="Times New Roman"/>
          <w:i/>
        </w:rPr>
        <w:t>. Cicu-</w:t>
      </w:r>
      <w:proofErr w:type="spellStart"/>
      <w:r w:rsidRPr="00D92823">
        <w:rPr>
          <w:rFonts w:ascii="Times New Roman" w:hAnsi="Times New Roman" w:cs="Times New Roman"/>
          <w:i/>
        </w:rPr>
        <w:t>Messineo</w:t>
      </w:r>
      <w:proofErr w:type="spellEnd"/>
      <w:r w:rsidRPr="00D92823">
        <w:rPr>
          <w:rFonts w:ascii="Times New Roman" w:hAnsi="Times New Roman" w:cs="Times New Roman"/>
        </w:rPr>
        <w:t>, Milano, 1967, pag. 99.</w:t>
      </w:r>
    </w:p>
  </w:footnote>
  <w:footnote w:id="20">
    <w:p w:rsidR="0034061D" w:rsidRPr="00D92823" w:rsidRDefault="0034061D" w:rsidP="0034061D">
      <w:pPr>
        <w:autoSpaceDE w:val="0"/>
        <w:autoSpaceDN w:val="0"/>
        <w:adjustRightInd w:val="0"/>
        <w:spacing w:after="0" w:line="240" w:lineRule="auto"/>
        <w:jc w:val="both"/>
        <w:rPr>
          <w:rFonts w:ascii="Times New Roman" w:hAnsi="Times New Roman" w:cs="Times New Roman"/>
          <w:sz w:val="20"/>
          <w:szCs w:val="20"/>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w:t>
      </w:r>
      <w:proofErr w:type="spellStart"/>
      <w:r w:rsidRPr="00D92823">
        <w:rPr>
          <w:rFonts w:ascii="Times New Roman" w:hAnsi="Times New Roman" w:cs="Times New Roman"/>
          <w:sz w:val="20"/>
          <w:szCs w:val="20"/>
        </w:rPr>
        <w:t>Caranta</w:t>
      </w:r>
      <w:proofErr w:type="spellEnd"/>
      <w:r w:rsidRPr="00D92823">
        <w:rPr>
          <w:rFonts w:ascii="Times New Roman" w:hAnsi="Times New Roman" w:cs="Times New Roman"/>
          <w:sz w:val="20"/>
          <w:szCs w:val="20"/>
        </w:rPr>
        <w:t xml:space="preserve">, </w:t>
      </w:r>
      <w:r w:rsidRPr="00D92823">
        <w:rPr>
          <w:rFonts w:ascii="Times New Roman" w:hAnsi="Times New Roman" w:cs="Times New Roman"/>
          <w:i/>
          <w:sz w:val="20"/>
          <w:szCs w:val="20"/>
        </w:rPr>
        <w:t>I contratti pubblici</w:t>
      </w:r>
      <w:r w:rsidRPr="00D92823">
        <w:rPr>
          <w:rFonts w:ascii="Times New Roman" w:hAnsi="Times New Roman" w:cs="Times New Roman"/>
          <w:sz w:val="20"/>
          <w:szCs w:val="20"/>
        </w:rPr>
        <w:t xml:space="preserve">, II </w:t>
      </w:r>
      <w:proofErr w:type="gramStart"/>
      <w:r w:rsidRPr="00D92823">
        <w:rPr>
          <w:rFonts w:ascii="Times New Roman" w:hAnsi="Times New Roman" w:cs="Times New Roman"/>
          <w:sz w:val="20"/>
          <w:szCs w:val="20"/>
        </w:rPr>
        <w:t>ed.,</w:t>
      </w:r>
      <w:proofErr w:type="gramEnd"/>
      <w:r w:rsidRPr="00D92823">
        <w:rPr>
          <w:rFonts w:ascii="Times New Roman" w:hAnsi="Times New Roman" w:cs="Times New Roman"/>
          <w:sz w:val="20"/>
          <w:szCs w:val="20"/>
        </w:rPr>
        <w:t xml:space="preserve"> Torino,</w:t>
      </w:r>
      <w:r w:rsidRPr="00D92823">
        <w:rPr>
          <w:rFonts w:ascii="Times New Roman" w:hAnsi="Times New Roman" w:cs="Times New Roman"/>
          <w:color w:val="222222"/>
        </w:rPr>
        <w:t xml:space="preserve"> </w:t>
      </w:r>
      <w:proofErr w:type="spellStart"/>
      <w:r w:rsidRPr="00D92823">
        <w:rPr>
          <w:rFonts w:ascii="Times New Roman" w:hAnsi="Times New Roman" w:cs="Times New Roman"/>
          <w:sz w:val="20"/>
          <w:szCs w:val="20"/>
        </w:rPr>
        <w:t>Giappichelli</w:t>
      </w:r>
      <w:proofErr w:type="spellEnd"/>
      <w:r w:rsidRPr="00D92823">
        <w:rPr>
          <w:rFonts w:ascii="Times New Roman" w:hAnsi="Times New Roman" w:cs="Times New Roman"/>
          <w:sz w:val="20"/>
          <w:szCs w:val="20"/>
        </w:rPr>
        <w:t xml:space="preserve">, 2012, 212 ss.; </w:t>
      </w:r>
      <w:proofErr w:type="spellStart"/>
      <w:r w:rsidRPr="00D92823">
        <w:rPr>
          <w:rFonts w:ascii="Times New Roman" w:hAnsi="Times New Roman" w:cs="Times New Roman"/>
          <w:sz w:val="20"/>
          <w:szCs w:val="20"/>
        </w:rPr>
        <w:t>Dallari</w:t>
      </w:r>
      <w:proofErr w:type="spellEnd"/>
      <w:r w:rsidRPr="00D92823">
        <w:rPr>
          <w:rFonts w:ascii="Times New Roman" w:hAnsi="Times New Roman" w:cs="Times New Roman"/>
          <w:sz w:val="20"/>
          <w:szCs w:val="20"/>
        </w:rPr>
        <w:t xml:space="preserve">, </w:t>
      </w:r>
      <w:r w:rsidRPr="00D92823">
        <w:rPr>
          <w:rFonts w:ascii="Times New Roman" w:hAnsi="Times New Roman" w:cs="Times New Roman"/>
          <w:i/>
          <w:sz w:val="20"/>
          <w:szCs w:val="20"/>
        </w:rPr>
        <w:t>Le opere a scomputo degli oneri di urbanizzazione</w:t>
      </w:r>
      <w:r w:rsidRPr="00D92823">
        <w:rPr>
          <w:rFonts w:ascii="Times New Roman" w:hAnsi="Times New Roman" w:cs="Times New Roman"/>
          <w:sz w:val="20"/>
          <w:szCs w:val="20"/>
        </w:rPr>
        <w:t xml:space="preserve">, in </w:t>
      </w:r>
      <w:proofErr w:type="spellStart"/>
      <w:r w:rsidRPr="00D92823">
        <w:rPr>
          <w:rFonts w:ascii="Times New Roman" w:hAnsi="Times New Roman" w:cs="Times New Roman"/>
          <w:sz w:val="20"/>
          <w:szCs w:val="20"/>
        </w:rPr>
        <w:t>Mastragostino</w:t>
      </w:r>
      <w:proofErr w:type="spellEnd"/>
      <w:r w:rsidRPr="00D92823">
        <w:rPr>
          <w:rFonts w:ascii="Times New Roman" w:hAnsi="Times New Roman" w:cs="Times New Roman"/>
          <w:i/>
          <w:sz w:val="20"/>
          <w:szCs w:val="20"/>
        </w:rPr>
        <w:t xml:space="preserve"> </w:t>
      </w:r>
      <w:r w:rsidRPr="00D92823">
        <w:rPr>
          <w:rFonts w:ascii="Times New Roman" w:hAnsi="Times New Roman" w:cs="Times New Roman"/>
          <w:sz w:val="20"/>
          <w:szCs w:val="20"/>
        </w:rPr>
        <w:t xml:space="preserve">(a cura di), </w:t>
      </w:r>
      <w:r w:rsidRPr="00D92823">
        <w:rPr>
          <w:rFonts w:ascii="Times New Roman" w:hAnsi="Times New Roman" w:cs="Times New Roman"/>
          <w:i/>
          <w:sz w:val="20"/>
          <w:szCs w:val="20"/>
        </w:rPr>
        <w:t>La collaborazione pubblico-privato e l’ordinamento amministrativo. Dinamiche e modelli di partenariato in base alle recenti riforme</w:t>
      </w:r>
      <w:r w:rsidRPr="00D92823">
        <w:rPr>
          <w:rFonts w:ascii="Times New Roman" w:hAnsi="Times New Roman" w:cs="Times New Roman"/>
          <w:sz w:val="20"/>
          <w:szCs w:val="20"/>
        </w:rPr>
        <w:t>, Torino,</w:t>
      </w:r>
      <w:r w:rsidRPr="00D92823">
        <w:rPr>
          <w:rFonts w:ascii="Times New Roman" w:hAnsi="Times New Roman" w:cs="Times New Roman"/>
          <w:color w:val="222222"/>
        </w:rPr>
        <w:t xml:space="preserve"> </w:t>
      </w:r>
      <w:proofErr w:type="spellStart"/>
      <w:r w:rsidRPr="00D92823">
        <w:rPr>
          <w:rFonts w:ascii="Times New Roman" w:hAnsi="Times New Roman" w:cs="Times New Roman"/>
          <w:sz w:val="20"/>
          <w:szCs w:val="20"/>
        </w:rPr>
        <w:t>Giappichelli</w:t>
      </w:r>
      <w:proofErr w:type="spellEnd"/>
      <w:r w:rsidRPr="00D92823">
        <w:rPr>
          <w:rFonts w:ascii="Times New Roman" w:hAnsi="Times New Roman" w:cs="Times New Roman"/>
          <w:sz w:val="20"/>
          <w:szCs w:val="20"/>
        </w:rPr>
        <w:t>, 2011, 415 ss.</w:t>
      </w:r>
    </w:p>
  </w:footnote>
  <w:footnote w:id="21">
    <w:p w:rsidR="0034061D" w:rsidRPr="00D92823" w:rsidRDefault="0034061D" w:rsidP="0034061D">
      <w:pPr>
        <w:pStyle w:val="Nessunaspaziatura"/>
        <w:jc w:val="both"/>
        <w:rPr>
          <w:rFonts w:ascii="Times New Roman" w:hAnsi="Times New Roman" w:cs="Times New Roman"/>
          <w:sz w:val="20"/>
          <w:szCs w:val="20"/>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w:t>
      </w:r>
      <w:r w:rsidRPr="00D92823">
        <w:rPr>
          <w:rFonts w:ascii="Times New Roman" w:hAnsi="Times New Roman" w:cs="Times New Roman"/>
          <w:sz w:val="20"/>
          <w:szCs w:val="20"/>
        </w:rPr>
        <w:t>CGCE, Sez. VI, 12 luglio 20</w:t>
      </w:r>
      <w:r w:rsidR="00A07E33" w:rsidRPr="00D92823">
        <w:rPr>
          <w:rFonts w:ascii="Times New Roman" w:hAnsi="Times New Roman" w:cs="Times New Roman"/>
          <w:sz w:val="20"/>
          <w:szCs w:val="20"/>
        </w:rPr>
        <w:t>0</w:t>
      </w:r>
      <w:r w:rsidRPr="00D92823">
        <w:rPr>
          <w:rFonts w:ascii="Times New Roman" w:hAnsi="Times New Roman" w:cs="Times New Roman"/>
          <w:sz w:val="20"/>
          <w:szCs w:val="20"/>
        </w:rPr>
        <w:t>1, Bicocca, in C-399/98, § 76.</w:t>
      </w:r>
    </w:p>
  </w:footnote>
  <w:footnote w:id="22">
    <w:p w:rsidR="004A2CB6" w:rsidRPr="00D92823" w:rsidRDefault="004A2CB6" w:rsidP="004A2CB6">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ANAC, parere di precontenzioso 17 luglio 2013 n. 126. </w:t>
      </w:r>
    </w:p>
  </w:footnote>
  <w:footnote w:id="23">
    <w:p w:rsidR="004A2CB6" w:rsidRPr="00D92823" w:rsidRDefault="004A2CB6" w:rsidP="004A2CB6">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w:t>
      </w:r>
      <w:r w:rsidR="00A612C1" w:rsidRPr="00D92823">
        <w:rPr>
          <w:rFonts w:ascii="Times New Roman" w:hAnsi="Times New Roman" w:cs="Times New Roman"/>
        </w:rPr>
        <w:t>Giannattasio,</w:t>
      </w:r>
      <w:r w:rsidR="00A612C1" w:rsidRPr="00D92823">
        <w:rPr>
          <w:rFonts w:ascii="Times New Roman" w:hAnsi="Times New Roman" w:cs="Times New Roman"/>
          <w:i/>
        </w:rPr>
        <w:t xml:space="preserve"> op. </w:t>
      </w:r>
      <w:proofErr w:type="spellStart"/>
      <w:r w:rsidR="00A612C1" w:rsidRPr="00D92823">
        <w:rPr>
          <w:rFonts w:ascii="Times New Roman" w:hAnsi="Times New Roman" w:cs="Times New Roman"/>
          <w:i/>
        </w:rPr>
        <w:t>loc</w:t>
      </w:r>
      <w:proofErr w:type="spellEnd"/>
      <w:r w:rsidR="00A612C1" w:rsidRPr="00D92823">
        <w:rPr>
          <w:rFonts w:ascii="Times New Roman" w:hAnsi="Times New Roman" w:cs="Times New Roman"/>
          <w:i/>
        </w:rPr>
        <w:t>. cit</w:t>
      </w:r>
      <w:r w:rsidRPr="00D92823">
        <w:rPr>
          <w:rFonts w:ascii="Times New Roman" w:hAnsi="Times New Roman" w:cs="Times New Roman"/>
        </w:rPr>
        <w:t>.</w:t>
      </w:r>
    </w:p>
  </w:footnote>
  <w:footnote w:id="24">
    <w:p w:rsidR="006C03E9" w:rsidRPr="00D92823" w:rsidRDefault="006C03E9" w:rsidP="006C03E9">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Attualmente, è vigente il D.M. 17 giugno 2016.</w:t>
      </w:r>
    </w:p>
  </w:footnote>
  <w:footnote w:id="25">
    <w:p w:rsidR="00350F7F" w:rsidRPr="00D92823" w:rsidRDefault="00350F7F" w:rsidP="00350F7F">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Carbone, </w:t>
      </w:r>
      <w:r w:rsidRPr="00D92823">
        <w:rPr>
          <w:rFonts w:ascii="Times New Roman" w:hAnsi="Times New Roman" w:cs="Times New Roman"/>
          <w:i/>
        </w:rPr>
        <w:t>L’equo compenso dei liberi professionisti: le novità della legge di bilancio 2018</w:t>
      </w:r>
      <w:r w:rsidRPr="00D92823">
        <w:rPr>
          <w:rFonts w:ascii="Times New Roman" w:hAnsi="Times New Roman" w:cs="Times New Roman"/>
        </w:rPr>
        <w:t xml:space="preserve">, in </w:t>
      </w:r>
      <w:r w:rsidRPr="00D92823">
        <w:rPr>
          <w:rFonts w:ascii="Times New Roman" w:hAnsi="Times New Roman" w:cs="Times New Roman"/>
          <w:i/>
        </w:rPr>
        <w:t>Il Quotidiano giuridico</w:t>
      </w:r>
      <w:r w:rsidRPr="00D92823">
        <w:rPr>
          <w:rFonts w:ascii="Times New Roman" w:hAnsi="Times New Roman" w:cs="Times New Roman"/>
        </w:rPr>
        <w:t>, 2018.</w:t>
      </w:r>
    </w:p>
  </w:footnote>
  <w:footnote w:id="26">
    <w:p w:rsidR="00806D39" w:rsidRPr="00D92823" w:rsidRDefault="00806D39" w:rsidP="00806D39">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Cons. Stato, Comm. Spec., 22 dicembre 2017 n. 2698.</w:t>
      </w:r>
    </w:p>
  </w:footnote>
  <w:footnote w:id="27">
    <w:p w:rsidR="007512D9" w:rsidRPr="00D92823" w:rsidRDefault="007512D9" w:rsidP="007512D9">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Cons. Stato, Sez. III, 1 marzo 2016 n. 1307; Sez. V, 16 luglio 2010 n. 4624; Sez. III, 15 gennaio 2013 n. 177; </w:t>
      </w:r>
      <w:r w:rsidRPr="00D92823">
        <w:rPr>
          <w:rFonts w:ascii="Times New Roman" w:hAnsi="Times New Roman" w:cs="Times New Roman"/>
          <w:i/>
        </w:rPr>
        <w:t>contra</w:t>
      </w:r>
      <w:r w:rsidRPr="00D92823">
        <w:rPr>
          <w:rFonts w:ascii="Times New Roman" w:hAnsi="Times New Roman" w:cs="Times New Roman"/>
        </w:rPr>
        <w:t>, tuttavia, Cons. Stato, Sez. VI, 17 settembre 2009 n. 5583</w:t>
      </w:r>
      <w:r w:rsidR="007273E6" w:rsidRPr="00D92823">
        <w:rPr>
          <w:rFonts w:ascii="Times New Roman" w:hAnsi="Times New Roman" w:cs="Times New Roman"/>
        </w:rPr>
        <w:t>.</w:t>
      </w:r>
    </w:p>
  </w:footnote>
  <w:footnote w:id="28">
    <w:p w:rsidR="00A8716A" w:rsidRPr="00D92823" w:rsidRDefault="00A8716A" w:rsidP="00A8716A">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Cons. Stato, Sez. V, 30 ottobre 2017 n. 4978.</w:t>
      </w:r>
    </w:p>
  </w:footnote>
  <w:footnote w:id="29">
    <w:p w:rsidR="002214A4" w:rsidRPr="00D92823" w:rsidRDefault="002214A4" w:rsidP="002214A4">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La disposizione è stata introdotta con il D.lgs. 19 aprile 2017 n. 56.</w:t>
      </w:r>
    </w:p>
  </w:footnote>
  <w:footnote w:id="30">
    <w:p w:rsidR="00946B26" w:rsidRPr="00D92823" w:rsidRDefault="00946B26" w:rsidP="00946B26">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Marzano, </w:t>
      </w:r>
      <w:r w:rsidRPr="00D92823">
        <w:rPr>
          <w:rFonts w:ascii="Times New Roman" w:hAnsi="Times New Roman" w:cs="Times New Roman"/>
          <w:i/>
        </w:rPr>
        <w:t>Affidamento di incarico professionale senza corrispettivo: il potenziale ritorno di immagine per il professionista quale utilità economicamente apprezzabile in sostituzione del compenso</w:t>
      </w:r>
      <w:r w:rsidRPr="00D92823">
        <w:rPr>
          <w:rFonts w:ascii="Times New Roman" w:hAnsi="Times New Roman" w:cs="Times New Roman"/>
        </w:rPr>
        <w:t xml:space="preserve">, in </w:t>
      </w:r>
      <w:r w:rsidRPr="00D92823">
        <w:rPr>
          <w:rFonts w:ascii="Times New Roman" w:hAnsi="Times New Roman" w:cs="Times New Roman"/>
          <w:i/>
        </w:rPr>
        <w:t xml:space="preserve">Dir. </w:t>
      </w:r>
      <w:proofErr w:type="spellStart"/>
      <w:r w:rsidRPr="00D92823">
        <w:rPr>
          <w:rFonts w:ascii="Times New Roman" w:hAnsi="Times New Roman" w:cs="Times New Roman"/>
          <w:i/>
        </w:rPr>
        <w:t>amm</w:t>
      </w:r>
      <w:proofErr w:type="spellEnd"/>
      <w:r w:rsidRPr="00D92823">
        <w:rPr>
          <w:rFonts w:ascii="Times New Roman" w:hAnsi="Times New Roman" w:cs="Times New Roman"/>
          <w:i/>
        </w:rPr>
        <w:t>.</w:t>
      </w:r>
      <w:r w:rsidRPr="00D92823">
        <w:rPr>
          <w:rFonts w:ascii="Times New Roman" w:hAnsi="Times New Roman" w:cs="Times New Roman"/>
        </w:rPr>
        <w:t xml:space="preserve"> 2018, 168 ss.</w:t>
      </w:r>
    </w:p>
  </w:footnote>
  <w:footnote w:id="31">
    <w:p w:rsidR="00946B26" w:rsidRPr="00D92823" w:rsidRDefault="00946B26" w:rsidP="00946B26">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Cons. Stato, Sez. V, 3 ottobre 2017 n. 4614.</w:t>
      </w:r>
    </w:p>
  </w:footnote>
  <w:footnote w:id="32">
    <w:p w:rsidR="00B2344A" w:rsidRPr="00D92823" w:rsidRDefault="00B2344A" w:rsidP="00B2344A">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ANAC, determinazione 5 dicembre 2001 n. 24.</w:t>
      </w:r>
    </w:p>
  </w:footnote>
  <w:footnote w:id="33">
    <w:p w:rsidR="0006025A" w:rsidRPr="00D92823" w:rsidRDefault="0006025A" w:rsidP="0006025A">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w:t>
      </w:r>
      <w:proofErr w:type="spellStart"/>
      <w:r w:rsidRPr="00D92823">
        <w:rPr>
          <w:rFonts w:ascii="Times New Roman" w:hAnsi="Times New Roman" w:cs="Times New Roman"/>
        </w:rPr>
        <w:t>Clarich</w:t>
      </w:r>
      <w:proofErr w:type="spellEnd"/>
      <w:r w:rsidRPr="00D92823">
        <w:rPr>
          <w:rFonts w:ascii="Times New Roman" w:hAnsi="Times New Roman" w:cs="Times New Roman"/>
        </w:rPr>
        <w:t xml:space="preserve">, </w:t>
      </w:r>
      <w:r w:rsidRPr="00D92823">
        <w:rPr>
          <w:rFonts w:ascii="Times New Roman" w:hAnsi="Times New Roman" w:cs="Times New Roman"/>
          <w:i/>
        </w:rPr>
        <w:t>Appalti senza compenso. Sull’affidamento gratuito</w:t>
      </w:r>
      <w:r w:rsidR="004B2373" w:rsidRPr="00D92823">
        <w:rPr>
          <w:rFonts w:ascii="Times New Roman" w:hAnsi="Times New Roman" w:cs="Times New Roman"/>
          <w:i/>
        </w:rPr>
        <w:t>,</w:t>
      </w:r>
      <w:r w:rsidRPr="00D92823">
        <w:rPr>
          <w:rFonts w:ascii="Times New Roman" w:hAnsi="Times New Roman" w:cs="Times New Roman"/>
          <w:i/>
        </w:rPr>
        <w:t xml:space="preserve"> il rischio sotto traccia di un rapporto di scambio</w:t>
      </w:r>
      <w:r w:rsidRPr="00D92823">
        <w:rPr>
          <w:rFonts w:ascii="Times New Roman" w:hAnsi="Times New Roman" w:cs="Times New Roman"/>
        </w:rPr>
        <w:t xml:space="preserve">, in </w:t>
      </w:r>
      <w:r w:rsidRPr="00D92823">
        <w:rPr>
          <w:rFonts w:ascii="Times New Roman" w:hAnsi="Times New Roman" w:cs="Times New Roman"/>
          <w:i/>
        </w:rPr>
        <w:t>Edilizia</w:t>
      </w:r>
      <w:r w:rsidR="00F7271F" w:rsidRPr="00D92823">
        <w:rPr>
          <w:rFonts w:ascii="Times New Roman" w:hAnsi="Times New Roman" w:cs="Times New Roman"/>
          <w:i/>
        </w:rPr>
        <w:t xml:space="preserve"> </w:t>
      </w:r>
      <w:r w:rsidRPr="00D92823">
        <w:rPr>
          <w:rFonts w:ascii="Times New Roman" w:hAnsi="Times New Roman" w:cs="Times New Roman"/>
          <w:i/>
        </w:rPr>
        <w:t>e territorio</w:t>
      </w:r>
      <w:r w:rsidR="0090006F" w:rsidRPr="00D92823">
        <w:rPr>
          <w:rFonts w:ascii="Times New Roman" w:hAnsi="Times New Roman" w:cs="Times New Roman"/>
          <w:i/>
        </w:rPr>
        <w:t>,</w:t>
      </w:r>
      <w:r w:rsidRPr="00D92823">
        <w:rPr>
          <w:rFonts w:ascii="Times New Roman" w:hAnsi="Times New Roman" w:cs="Times New Roman"/>
        </w:rPr>
        <w:t xml:space="preserve"> </w:t>
      </w:r>
      <w:r w:rsidRPr="00D92823">
        <w:rPr>
          <w:rFonts w:ascii="Times New Roman" w:hAnsi="Times New Roman" w:cs="Times New Roman"/>
          <w:i/>
        </w:rPr>
        <w:t>Il Sole 24</w:t>
      </w:r>
      <w:r w:rsidR="0090006F" w:rsidRPr="00D92823">
        <w:rPr>
          <w:rFonts w:ascii="Times New Roman" w:hAnsi="Times New Roman" w:cs="Times New Roman"/>
          <w:i/>
        </w:rPr>
        <w:t>-</w:t>
      </w:r>
      <w:r w:rsidRPr="00D92823">
        <w:rPr>
          <w:rFonts w:ascii="Times New Roman" w:hAnsi="Times New Roman" w:cs="Times New Roman"/>
          <w:i/>
        </w:rPr>
        <w:t>Ore</w:t>
      </w:r>
      <w:r w:rsidRPr="00D92823">
        <w:rPr>
          <w:rFonts w:ascii="Times New Roman" w:hAnsi="Times New Roman" w:cs="Times New Roman"/>
        </w:rPr>
        <w:t>, 5 ottobre 2017.</w:t>
      </w:r>
    </w:p>
  </w:footnote>
  <w:footnote w:id="34">
    <w:p w:rsidR="00EA4F6E" w:rsidRPr="00D92823" w:rsidRDefault="00EA4F6E" w:rsidP="00EA4F6E">
      <w:pPr>
        <w:pStyle w:val="Testonotaapidipagina"/>
        <w:jc w:val="both"/>
        <w:rPr>
          <w:rFonts w:ascii="Times New Roman" w:hAnsi="Times New Roman" w:cs="Times New Roman"/>
        </w:rPr>
      </w:pPr>
      <w:r w:rsidRPr="00D92823">
        <w:rPr>
          <w:rStyle w:val="Rimandonotaapidipagina"/>
          <w:rFonts w:ascii="Times New Roman" w:hAnsi="Times New Roman" w:cs="Times New Roman"/>
        </w:rPr>
        <w:footnoteRef/>
      </w:r>
      <w:r w:rsidRPr="00D92823">
        <w:rPr>
          <w:rFonts w:ascii="Times New Roman" w:hAnsi="Times New Roman" w:cs="Times New Roman"/>
        </w:rPr>
        <w:t xml:space="preserve"> Cons. Stato, Sez. V, 4 ottobre 2017 n. 4631.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B14BB"/>
    <w:multiLevelType w:val="hybridMultilevel"/>
    <w:tmpl w:val="115AEB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FA4053"/>
    <w:multiLevelType w:val="hybridMultilevel"/>
    <w:tmpl w:val="60F2C130"/>
    <w:lvl w:ilvl="0" w:tplc="7D386162">
      <w:start w:val="3"/>
      <w:numFmt w:val="decimal"/>
      <w:lvlText w:val="%1"/>
      <w:lvlJc w:val="left"/>
      <w:pPr>
        <w:ind w:left="765" w:hanging="360"/>
      </w:pPr>
      <w:rPr>
        <w:rFonts w:hint="default"/>
      </w:r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2" w15:restartNumberingAfterBreak="0">
    <w:nsid w:val="5D8C1BD9"/>
    <w:multiLevelType w:val="multilevel"/>
    <w:tmpl w:val="1AB6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7B0AA9"/>
    <w:multiLevelType w:val="hybridMultilevel"/>
    <w:tmpl w:val="115AEB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61"/>
    <w:rsid w:val="000115B4"/>
    <w:rsid w:val="000227FF"/>
    <w:rsid w:val="00040A8C"/>
    <w:rsid w:val="00047E1F"/>
    <w:rsid w:val="0005187A"/>
    <w:rsid w:val="0006025A"/>
    <w:rsid w:val="00081E3A"/>
    <w:rsid w:val="000A5865"/>
    <w:rsid w:val="000A6EDC"/>
    <w:rsid w:val="000A77C7"/>
    <w:rsid w:val="000B3262"/>
    <w:rsid w:val="000C00F0"/>
    <w:rsid w:val="000C02F4"/>
    <w:rsid w:val="000C4857"/>
    <w:rsid w:val="000D0C61"/>
    <w:rsid w:val="000E79C0"/>
    <w:rsid w:val="000F7E91"/>
    <w:rsid w:val="0010495A"/>
    <w:rsid w:val="00112BC4"/>
    <w:rsid w:val="00117CEF"/>
    <w:rsid w:val="001357E6"/>
    <w:rsid w:val="0014068E"/>
    <w:rsid w:val="00140744"/>
    <w:rsid w:val="00141A8A"/>
    <w:rsid w:val="00142D89"/>
    <w:rsid w:val="00143DBF"/>
    <w:rsid w:val="00145427"/>
    <w:rsid w:val="00155306"/>
    <w:rsid w:val="001630B1"/>
    <w:rsid w:val="00163C35"/>
    <w:rsid w:val="00165B53"/>
    <w:rsid w:val="00181942"/>
    <w:rsid w:val="00183FA7"/>
    <w:rsid w:val="001A0809"/>
    <w:rsid w:val="001B3B40"/>
    <w:rsid w:val="001B66CF"/>
    <w:rsid w:val="001C34B1"/>
    <w:rsid w:val="001C6EC9"/>
    <w:rsid w:val="001D1961"/>
    <w:rsid w:val="001D7DA4"/>
    <w:rsid w:val="001E4432"/>
    <w:rsid w:val="001F2921"/>
    <w:rsid w:val="00206353"/>
    <w:rsid w:val="002063A2"/>
    <w:rsid w:val="002111BC"/>
    <w:rsid w:val="002214A4"/>
    <w:rsid w:val="00225FAB"/>
    <w:rsid w:val="00241B51"/>
    <w:rsid w:val="00246366"/>
    <w:rsid w:val="002550E2"/>
    <w:rsid w:val="00256E8E"/>
    <w:rsid w:val="00262CE3"/>
    <w:rsid w:val="002651A3"/>
    <w:rsid w:val="00273FB6"/>
    <w:rsid w:val="00273FE2"/>
    <w:rsid w:val="002768F9"/>
    <w:rsid w:val="0028069E"/>
    <w:rsid w:val="0028646F"/>
    <w:rsid w:val="0028665B"/>
    <w:rsid w:val="00287761"/>
    <w:rsid w:val="002A3366"/>
    <w:rsid w:val="002A5F75"/>
    <w:rsid w:val="002B4742"/>
    <w:rsid w:val="002C098C"/>
    <w:rsid w:val="002C71FA"/>
    <w:rsid w:val="002D28ED"/>
    <w:rsid w:val="002E721B"/>
    <w:rsid w:val="00322AEA"/>
    <w:rsid w:val="0034061D"/>
    <w:rsid w:val="00341C0E"/>
    <w:rsid w:val="00342E59"/>
    <w:rsid w:val="00345572"/>
    <w:rsid w:val="00350F7F"/>
    <w:rsid w:val="00351EEB"/>
    <w:rsid w:val="00360291"/>
    <w:rsid w:val="0036059B"/>
    <w:rsid w:val="00365E83"/>
    <w:rsid w:val="0036699F"/>
    <w:rsid w:val="00366DAF"/>
    <w:rsid w:val="00385538"/>
    <w:rsid w:val="00386288"/>
    <w:rsid w:val="003A032B"/>
    <w:rsid w:val="003B0DDB"/>
    <w:rsid w:val="003C0252"/>
    <w:rsid w:val="003C3A54"/>
    <w:rsid w:val="003F0483"/>
    <w:rsid w:val="004207D8"/>
    <w:rsid w:val="004317E8"/>
    <w:rsid w:val="004342B9"/>
    <w:rsid w:val="00440D50"/>
    <w:rsid w:val="00441199"/>
    <w:rsid w:val="00447256"/>
    <w:rsid w:val="00461DBA"/>
    <w:rsid w:val="00490F11"/>
    <w:rsid w:val="00494FC0"/>
    <w:rsid w:val="0049548A"/>
    <w:rsid w:val="00497997"/>
    <w:rsid w:val="004A2A40"/>
    <w:rsid w:val="004A2CB6"/>
    <w:rsid w:val="004B2373"/>
    <w:rsid w:val="0050247C"/>
    <w:rsid w:val="00510536"/>
    <w:rsid w:val="00516689"/>
    <w:rsid w:val="00540B8B"/>
    <w:rsid w:val="0055738A"/>
    <w:rsid w:val="00572F60"/>
    <w:rsid w:val="00591601"/>
    <w:rsid w:val="005A1FE9"/>
    <w:rsid w:val="005A25AD"/>
    <w:rsid w:val="005A63DB"/>
    <w:rsid w:val="005C4659"/>
    <w:rsid w:val="005E7EB3"/>
    <w:rsid w:val="005F0B69"/>
    <w:rsid w:val="0060147E"/>
    <w:rsid w:val="00606D00"/>
    <w:rsid w:val="006212E8"/>
    <w:rsid w:val="006341CD"/>
    <w:rsid w:val="00641409"/>
    <w:rsid w:val="0066740B"/>
    <w:rsid w:val="00684848"/>
    <w:rsid w:val="00690814"/>
    <w:rsid w:val="006C03E9"/>
    <w:rsid w:val="006D13B0"/>
    <w:rsid w:val="006E56C6"/>
    <w:rsid w:val="006F54B3"/>
    <w:rsid w:val="006F7248"/>
    <w:rsid w:val="00715F26"/>
    <w:rsid w:val="00717D9C"/>
    <w:rsid w:val="007273E6"/>
    <w:rsid w:val="00735A82"/>
    <w:rsid w:val="00740027"/>
    <w:rsid w:val="007512D9"/>
    <w:rsid w:val="007601A2"/>
    <w:rsid w:val="00770E39"/>
    <w:rsid w:val="007719AE"/>
    <w:rsid w:val="00783111"/>
    <w:rsid w:val="007A2383"/>
    <w:rsid w:val="007A6FD1"/>
    <w:rsid w:val="007B7DAB"/>
    <w:rsid w:val="007C0266"/>
    <w:rsid w:val="007C2D94"/>
    <w:rsid w:val="007D0C63"/>
    <w:rsid w:val="007D56BB"/>
    <w:rsid w:val="00806D39"/>
    <w:rsid w:val="008160C0"/>
    <w:rsid w:val="00821816"/>
    <w:rsid w:val="0082559D"/>
    <w:rsid w:val="00826F35"/>
    <w:rsid w:val="0084022B"/>
    <w:rsid w:val="008644AC"/>
    <w:rsid w:val="0086746C"/>
    <w:rsid w:val="0087683A"/>
    <w:rsid w:val="00886E36"/>
    <w:rsid w:val="008A67D8"/>
    <w:rsid w:val="008B00D2"/>
    <w:rsid w:val="008B6706"/>
    <w:rsid w:val="008C0267"/>
    <w:rsid w:val="008C1685"/>
    <w:rsid w:val="008C3022"/>
    <w:rsid w:val="008C4F8E"/>
    <w:rsid w:val="008E43EF"/>
    <w:rsid w:val="008E57F1"/>
    <w:rsid w:val="008F1EB8"/>
    <w:rsid w:val="0090006F"/>
    <w:rsid w:val="00900BE6"/>
    <w:rsid w:val="00933B04"/>
    <w:rsid w:val="00934253"/>
    <w:rsid w:val="00936AAB"/>
    <w:rsid w:val="00943594"/>
    <w:rsid w:val="00946B26"/>
    <w:rsid w:val="0095069F"/>
    <w:rsid w:val="0095618D"/>
    <w:rsid w:val="00971BD8"/>
    <w:rsid w:val="009B0B9D"/>
    <w:rsid w:val="009B5141"/>
    <w:rsid w:val="009D28C2"/>
    <w:rsid w:val="009E58CC"/>
    <w:rsid w:val="00A0108B"/>
    <w:rsid w:val="00A07E33"/>
    <w:rsid w:val="00A121CF"/>
    <w:rsid w:val="00A252C9"/>
    <w:rsid w:val="00A303AA"/>
    <w:rsid w:val="00A36BDB"/>
    <w:rsid w:val="00A501FB"/>
    <w:rsid w:val="00A612C1"/>
    <w:rsid w:val="00A71EF2"/>
    <w:rsid w:val="00A8716A"/>
    <w:rsid w:val="00AA0095"/>
    <w:rsid w:val="00AA139A"/>
    <w:rsid w:val="00AB32A7"/>
    <w:rsid w:val="00AC04D5"/>
    <w:rsid w:val="00AD29A0"/>
    <w:rsid w:val="00AD42D8"/>
    <w:rsid w:val="00AE30B0"/>
    <w:rsid w:val="00AE5F25"/>
    <w:rsid w:val="00AF27D5"/>
    <w:rsid w:val="00AF2F18"/>
    <w:rsid w:val="00AF6382"/>
    <w:rsid w:val="00B15F8E"/>
    <w:rsid w:val="00B20EF0"/>
    <w:rsid w:val="00B2344A"/>
    <w:rsid w:val="00B3021A"/>
    <w:rsid w:val="00B4603C"/>
    <w:rsid w:val="00B60774"/>
    <w:rsid w:val="00B64922"/>
    <w:rsid w:val="00B70947"/>
    <w:rsid w:val="00B92DDF"/>
    <w:rsid w:val="00B96F0E"/>
    <w:rsid w:val="00BA55DB"/>
    <w:rsid w:val="00BB7A28"/>
    <w:rsid w:val="00BC0594"/>
    <w:rsid w:val="00BC2AE5"/>
    <w:rsid w:val="00BD3376"/>
    <w:rsid w:val="00BD3FBD"/>
    <w:rsid w:val="00BF2C76"/>
    <w:rsid w:val="00C01CC4"/>
    <w:rsid w:val="00C06D56"/>
    <w:rsid w:val="00C07FEA"/>
    <w:rsid w:val="00C35188"/>
    <w:rsid w:val="00C47D08"/>
    <w:rsid w:val="00C54FFC"/>
    <w:rsid w:val="00C93B1A"/>
    <w:rsid w:val="00CA40F7"/>
    <w:rsid w:val="00CB42A2"/>
    <w:rsid w:val="00CD6EFE"/>
    <w:rsid w:val="00CF5A94"/>
    <w:rsid w:val="00CF5C9D"/>
    <w:rsid w:val="00CF605B"/>
    <w:rsid w:val="00D027BB"/>
    <w:rsid w:val="00D100C2"/>
    <w:rsid w:val="00D17318"/>
    <w:rsid w:val="00D2542A"/>
    <w:rsid w:val="00D40A7A"/>
    <w:rsid w:val="00D40BB6"/>
    <w:rsid w:val="00D65680"/>
    <w:rsid w:val="00D742FD"/>
    <w:rsid w:val="00D77F39"/>
    <w:rsid w:val="00D862AD"/>
    <w:rsid w:val="00D914B4"/>
    <w:rsid w:val="00D92823"/>
    <w:rsid w:val="00DB0D98"/>
    <w:rsid w:val="00DB1121"/>
    <w:rsid w:val="00DE7D38"/>
    <w:rsid w:val="00DF3E90"/>
    <w:rsid w:val="00E05243"/>
    <w:rsid w:val="00E16286"/>
    <w:rsid w:val="00E16EBE"/>
    <w:rsid w:val="00E23054"/>
    <w:rsid w:val="00E24DDB"/>
    <w:rsid w:val="00E30F19"/>
    <w:rsid w:val="00E60F7E"/>
    <w:rsid w:val="00E80D61"/>
    <w:rsid w:val="00E81FFE"/>
    <w:rsid w:val="00EA0F53"/>
    <w:rsid w:val="00EA3C49"/>
    <w:rsid w:val="00EA4F6E"/>
    <w:rsid w:val="00EB566C"/>
    <w:rsid w:val="00EC428A"/>
    <w:rsid w:val="00ED2946"/>
    <w:rsid w:val="00ED3952"/>
    <w:rsid w:val="00ED54EA"/>
    <w:rsid w:val="00EE5054"/>
    <w:rsid w:val="00EF38A7"/>
    <w:rsid w:val="00F12677"/>
    <w:rsid w:val="00F44796"/>
    <w:rsid w:val="00F55F73"/>
    <w:rsid w:val="00F5666B"/>
    <w:rsid w:val="00F7271F"/>
    <w:rsid w:val="00F73D61"/>
    <w:rsid w:val="00F962A3"/>
    <w:rsid w:val="00FD4EB9"/>
    <w:rsid w:val="00FE3722"/>
    <w:rsid w:val="00FF60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DE704-AEEF-47B2-B85C-C39C77E5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1D1961"/>
    <w:rPr>
      <w:b/>
      <w:bCs/>
    </w:rPr>
  </w:style>
  <w:style w:type="character" w:styleId="Enfasicorsivo">
    <w:name w:val="Emphasis"/>
    <w:basedOn w:val="Carpredefinitoparagrafo"/>
    <w:uiPriority w:val="20"/>
    <w:qFormat/>
    <w:rsid w:val="001D1961"/>
    <w:rPr>
      <w:i/>
      <w:iCs/>
    </w:rPr>
  </w:style>
  <w:style w:type="character" w:styleId="Collegamentoipertestuale">
    <w:name w:val="Hyperlink"/>
    <w:basedOn w:val="Carpredefinitoparagrafo"/>
    <w:uiPriority w:val="99"/>
    <w:semiHidden/>
    <w:unhideWhenUsed/>
    <w:rsid w:val="001D1961"/>
    <w:rPr>
      <w:color w:val="0000FF"/>
      <w:u w:val="single"/>
    </w:rPr>
  </w:style>
  <w:style w:type="paragraph" w:styleId="NormaleWeb">
    <w:name w:val="Normal (Web)"/>
    <w:basedOn w:val="Normale"/>
    <w:uiPriority w:val="99"/>
    <w:semiHidden/>
    <w:unhideWhenUsed/>
    <w:rsid w:val="001D19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sivo1">
    <w:name w:val="corsivo1"/>
    <w:basedOn w:val="Carpredefinitoparagrafo"/>
    <w:rsid w:val="0066740B"/>
    <w:rPr>
      <w:i/>
      <w:iCs/>
      <w:sz w:val="18"/>
      <w:szCs w:val="18"/>
    </w:rPr>
  </w:style>
  <w:style w:type="character" w:customStyle="1" w:styleId="resultlisthighlightterm1">
    <w:name w:val="resultlisthighlightterm1"/>
    <w:basedOn w:val="Carpredefinitoparagrafo"/>
    <w:rsid w:val="00DF3E90"/>
    <w:rPr>
      <w:b/>
      <w:bCs/>
      <w:color w:val="FF0000"/>
      <w:sz w:val="18"/>
      <w:szCs w:val="18"/>
    </w:rPr>
  </w:style>
  <w:style w:type="paragraph" w:styleId="Testonotaapidipagina">
    <w:name w:val="footnote text"/>
    <w:basedOn w:val="Normale"/>
    <w:link w:val="TestonotaapidipaginaCarattere"/>
    <w:uiPriority w:val="99"/>
    <w:unhideWhenUsed/>
    <w:rsid w:val="00322A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22AEA"/>
    <w:rPr>
      <w:sz w:val="20"/>
      <w:szCs w:val="20"/>
    </w:rPr>
  </w:style>
  <w:style w:type="character" w:styleId="Rimandonotaapidipagina">
    <w:name w:val="footnote reference"/>
    <w:basedOn w:val="Carpredefinitoparagrafo"/>
    <w:uiPriority w:val="99"/>
    <w:semiHidden/>
    <w:unhideWhenUsed/>
    <w:rsid w:val="00322AEA"/>
    <w:rPr>
      <w:vertAlign w:val="superscript"/>
    </w:rPr>
  </w:style>
  <w:style w:type="paragraph" w:customStyle="1" w:styleId="popolo">
    <w:name w:val="popolo"/>
    <w:basedOn w:val="Normale"/>
    <w:rsid w:val="00D027BB"/>
    <w:pPr>
      <w:spacing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2768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isultato">
    <w:name w:val="risultato"/>
    <w:basedOn w:val="Carpredefinitoparagrafo"/>
    <w:rsid w:val="004A2CB6"/>
  </w:style>
  <w:style w:type="paragraph" w:styleId="Nessunaspaziatura">
    <w:name w:val="No Spacing"/>
    <w:uiPriority w:val="1"/>
    <w:qFormat/>
    <w:rsid w:val="000E79C0"/>
    <w:pPr>
      <w:spacing w:after="0" w:line="240" w:lineRule="auto"/>
    </w:pPr>
  </w:style>
  <w:style w:type="paragraph" w:styleId="Intestazione">
    <w:name w:val="header"/>
    <w:basedOn w:val="Normale"/>
    <w:link w:val="IntestazioneCarattere"/>
    <w:uiPriority w:val="99"/>
    <w:unhideWhenUsed/>
    <w:rsid w:val="000227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27FF"/>
  </w:style>
  <w:style w:type="paragraph" w:styleId="Pidipagina">
    <w:name w:val="footer"/>
    <w:basedOn w:val="Normale"/>
    <w:link w:val="PidipaginaCarattere"/>
    <w:uiPriority w:val="99"/>
    <w:unhideWhenUsed/>
    <w:rsid w:val="000227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2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9185">
      <w:bodyDiv w:val="1"/>
      <w:marLeft w:val="0"/>
      <w:marRight w:val="0"/>
      <w:marTop w:val="0"/>
      <w:marBottom w:val="0"/>
      <w:divBdr>
        <w:top w:val="none" w:sz="0" w:space="0" w:color="auto"/>
        <w:left w:val="none" w:sz="0" w:space="0" w:color="auto"/>
        <w:bottom w:val="none" w:sz="0" w:space="0" w:color="auto"/>
        <w:right w:val="none" w:sz="0" w:space="0" w:color="auto"/>
      </w:divBdr>
      <w:divsChild>
        <w:div w:id="1345670993">
          <w:marLeft w:val="0"/>
          <w:marRight w:val="0"/>
          <w:marTop w:val="0"/>
          <w:marBottom w:val="0"/>
          <w:divBdr>
            <w:top w:val="none" w:sz="0" w:space="0" w:color="auto"/>
            <w:left w:val="none" w:sz="0" w:space="0" w:color="auto"/>
            <w:bottom w:val="none" w:sz="0" w:space="0" w:color="auto"/>
            <w:right w:val="none" w:sz="0" w:space="0" w:color="auto"/>
          </w:divBdr>
          <w:divsChild>
            <w:div w:id="641275290">
              <w:marLeft w:val="0"/>
              <w:marRight w:val="0"/>
              <w:marTop w:val="0"/>
              <w:marBottom w:val="0"/>
              <w:divBdr>
                <w:top w:val="none" w:sz="0" w:space="0" w:color="auto"/>
                <w:left w:val="none" w:sz="0" w:space="0" w:color="auto"/>
                <w:bottom w:val="none" w:sz="0" w:space="0" w:color="auto"/>
                <w:right w:val="none" w:sz="0" w:space="0" w:color="auto"/>
              </w:divBdr>
              <w:divsChild>
                <w:div w:id="112142153">
                  <w:marLeft w:val="0"/>
                  <w:marRight w:val="0"/>
                  <w:marTop w:val="0"/>
                  <w:marBottom w:val="0"/>
                  <w:divBdr>
                    <w:top w:val="none" w:sz="0" w:space="0" w:color="auto"/>
                    <w:left w:val="none" w:sz="0" w:space="0" w:color="auto"/>
                    <w:bottom w:val="none" w:sz="0" w:space="0" w:color="auto"/>
                    <w:right w:val="none" w:sz="0" w:space="0" w:color="auto"/>
                  </w:divBdr>
                  <w:divsChild>
                    <w:div w:id="891187895">
                      <w:marLeft w:val="0"/>
                      <w:marRight w:val="0"/>
                      <w:marTop w:val="0"/>
                      <w:marBottom w:val="0"/>
                      <w:divBdr>
                        <w:top w:val="none" w:sz="0" w:space="0" w:color="auto"/>
                        <w:left w:val="none" w:sz="0" w:space="0" w:color="auto"/>
                        <w:bottom w:val="none" w:sz="0" w:space="0" w:color="auto"/>
                        <w:right w:val="none" w:sz="0" w:space="0" w:color="auto"/>
                      </w:divBdr>
                      <w:divsChild>
                        <w:div w:id="1526824817">
                          <w:marLeft w:val="0"/>
                          <w:marRight w:val="0"/>
                          <w:marTop w:val="0"/>
                          <w:marBottom w:val="0"/>
                          <w:divBdr>
                            <w:top w:val="none" w:sz="0" w:space="0" w:color="auto"/>
                            <w:left w:val="none" w:sz="0" w:space="0" w:color="auto"/>
                            <w:bottom w:val="none" w:sz="0" w:space="0" w:color="auto"/>
                            <w:right w:val="none" w:sz="0" w:space="0" w:color="auto"/>
                          </w:divBdr>
                          <w:divsChild>
                            <w:div w:id="2039891345">
                              <w:marLeft w:val="0"/>
                              <w:marRight w:val="0"/>
                              <w:marTop w:val="0"/>
                              <w:marBottom w:val="0"/>
                              <w:divBdr>
                                <w:top w:val="none" w:sz="0" w:space="0" w:color="auto"/>
                                <w:left w:val="none" w:sz="0" w:space="0" w:color="auto"/>
                                <w:bottom w:val="none" w:sz="0" w:space="0" w:color="auto"/>
                                <w:right w:val="none" w:sz="0" w:space="0" w:color="auto"/>
                              </w:divBdr>
                              <w:divsChild>
                                <w:div w:id="17218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215096">
      <w:bodyDiv w:val="1"/>
      <w:marLeft w:val="0"/>
      <w:marRight w:val="0"/>
      <w:marTop w:val="0"/>
      <w:marBottom w:val="0"/>
      <w:divBdr>
        <w:top w:val="none" w:sz="0" w:space="0" w:color="auto"/>
        <w:left w:val="none" w:sz="0" w:space="0" w:color="auto"/>
        <w:bottom w:val="none" w:sz="0" w:space="0" w:color="auto"/>
        <w:right w:val="none" w:sz="0" w:space="0" w:color="auto"/>
      </w:divBdr>
      <w:divsChild>
        <w:div w:id="890196024">
          <w:marLeft w:val="0"/>
          <w:marRight w:val="0"/>
          <w:marTop w:val="0"/>
          <w:marBottom w:val="0"/>
          <w:divBdr>
            <w:top w:val="none" w:sz="0" w:space="0" w:color="auto"/>
            <w:left w:val="none" w:sz="0" w:space="0" w:color="auto"/>
            <w:bottom w:val="none" w:sz="0" w:space="0" w:color="auto"/>
            <w:right w:val="none" w:sz="0" w:space="0" w:color="auto"/>
          </w:divBdr>
          <w:divsChild>
            <w:div w:id="1592154967">
              <w:marLeft w:val="-225"/>
              <w:marRight w:val="-225"/>
              <w:marTop w:val="0"/>
              <w:marBottom w:val="0"/>
              <w:divBdr>
                <w:top w:val="none" w:sz="0" w:space="0" w:color="auto"/>
                <w:left w:val="none" w:sz="0" w:space="0" w:color="auto"/>
                <w:bottom w:val="none" w:sz="0" w:space="0" w:color="auto"/>
                <w:right w:val="none" w:sz="0" w:space="0" w:color="auto"/>
              </w:divBdr>
              <w:divsChild>
                <w:div w:id="255864667">
                  <w:marLeft w:val="0"/>
                  <w:marRight w:val="0"/>
                  <w:marTop w:val="0"/>
                  <w:marBottom w:val="0"/>
                  <w:divBdr>
                    <w:top w:val="none" w:sz="0" w:space="0" w:color="auto"/>
                    <w:left w:val="none" w:sz="0" w:space="0" w:color="auto"/>
                    <w:bottom w:val="none" w:sz="0" w:space="0" w:color="auto"/>
                    <w:right w:val="none" w:sz="0" w:space="0" w:color="auto"/>
                  </w:divBdr>
                  <w:divsChild>
                    <w:div w:id="2115710553">
                      <w:marLeft w:val="-225"/>
                      <w:marRight w:val="-225"/>
                      <w:marTop w:val="0"/>
                      <w:marBottom w:val="0"/>
                      <w:divBdr>
                        <w:top w:val="none" w:sz="0" w:space="0" w:color="auto"/>
                        <w:left w:val="none" w:sz="0" w:space="0" w:color="auto"/>
                        <w:bottom w:val="none" w:sz="0" w:space="0" w:color="auto"/>
                        <w:right w:val="none" w:sz="0" w:space="0" w:color="auto"/>
                      </w:divBdr>
                      <w:divsChild>
                        <w:div w:id="669524317">
                          <w:marLeft w:val="0"/>
                          <w:marRight w:val="0"/>
                          <w:marTop w:val="0"/>
                          <w:marBottom w:val="0"/>
                          <w:divBdr>
                            <w:top w:val="none" w:sz="0" w:space="0" w:color="auto"/>
                            <w:left w:val="none" w:sz="0" w:space="0" w:color="auto"/>
                            <w:bottom w:val="none" w:sz="0" w:space="0" w:color="auto"/>
                            <w:right w:val="none" w:sz="0" w:space="0" w:color="auto"/>
                          </w:divBdr>
                          <w:divsChild>
                            <w:div w:id="20845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944411">
      <w:bodyDiv w:val="1"/>
      <w:marLeft w:val="0"/>
      <w:marRight w:val="0"/>
      <w:marTop w:val="0"/>
      <w:marBottom w:val="0"/>
      <w:divBdr>
        <w:top w:val="none" w:sz="0" w:space="0" w:color="auto"/>
        <w:left w:val="none" w:sz="0" w:space="0" w:color="auto"/>
        <w:bottom w:val="none" w:sz="0" w:space="0" w:color="auto"/>
        <w:right w:val="none" w:sz="0" w:space="0" w:color="auto"/>
      </w:divBdr>
      <w:divsChild>
        <w:div w:id="418212672">
          <w:marLeft w:val="0"/>
          <w:marRight w:val="0"/>
          <w:marTop w:val="0"/>
          <w:marBottom w:val="0"/>
          <w:divBdr>
            <w:top w:val="none" w:sz="0" w:space="0" w:color="auto"/>
            <w:left w:val="none" w:sz="0" w:space="0" w:color="auto"/>
            <w:bottom w:val="none" w:sz="0" w:space="0" w:color="auto"/>
            <w:right w:val="none" w:sz="0" w:space="0" w:color="auto"/>
          </w:divBdr>
          <w:divsChild>
            <w:div w:id="1566333699">
              <w:marLeft w:val="-225"/>
              <w:marRight w:val="-225"/>
              <w:marTop w:val="0"/>
              <w:marBottom w:val="0"/>
              <w:divBdr>
                <w:top w:val="none" w:sz="0" w:space="0" w:color="auto"/>
                <w:left w:val="none" w:sz="0" w:space="0" w:color="auto"/>
                <w:bottom w:val="none" w:sz="0" w:space="0" w:color="auto"/>
                <w:right w:val="none" w:sz="0" w:space="0" w:color="auto"/>
              </w:divBdr>
              <w:divsChild>
                <w:div w:id="534001727">
                  <w:marLeft w:val="0"/>
                  <w:marRight w:val="0"/>
                  <w:marTop w:val="0"/>
                  <w:marBottom w:val="0"/>
                  <w:divBdr>
                    <w:top w:val="none" w:sz="0" w:space="0" w:color="auto"/>
                    <w:left w:val="none" w:sz="0" w:space="0" w:color="auto"/>
                    <w:bottom w:val="none" w:sz="0" w:space="0" w:color="auto"/>
                    <w:right w:val="none" w:sz="0" w:space="0" w:color="auto"/>
                  </w:divBdr>
                  <w:divsChild>
                    <w:div w:id="1552230487">
                      <w:marLeft w:val="-225"/>
                      <w:marRight w:val="-225"/>
                      <w:marTop w:val="0"/>
                      <w:marBottom w:val="0"/>
                      <w:divBdr>
                        <w:top w:val="none" w:sz="0" w:space="0" w:color="auto"/>
                        <w:left w:val="none" w:sz="0" w:space="0" w:color="auto"/>
                        <w:bottom w:val="none" w:sz="0" w:space="0" w:color="auto"/>
                        <w:right w:val="none" w:sz="0" w:space="0" w:color="auto"/>
                      </w:divBdr>
                      <w:divsChild>
                        <w:div w:id="1136528077">
                          <w:marLeft w:val="0"/>
                          <w:marRight w:val="0"/>
                          <w:marTop w:val="0"/>
                          <w:marBottom w:val="0"/>
                          <w:divBdr>
                            <w:top w:val="none" w:sz="0" w:space="0" w:color="auto"/>
                            <w:left w:val="none" w:sz="0" w:space="0" w:color="auto"/>
                            <w:bottom w:val="none" w:sz="0" w:space="0" w:color="auto"/>
                            <w:right w:val="none" w:sz="0" w:space="0" w:color="auto"/>
                          </w:divBdr>
                          <w:divsChild>
                            <w:div w:id="7270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401702">
      <w:bodyDiv w:val="1"/>
      <w:marLeft w:val="0"/>
      <w:marRight w:val="0"/>
      <w:marTop w:val="0"/>
      <w:marBottom w:val="0"/>
      <w:divBdr>
        <w:top w:val="none" w:sz="0" w:space="0" w:color="auto"/>
        <w:left w:val="none" w:sz="0" w:space="0" w:color="auto"/>
        <w:bottom w:val="none" w:sz="0" w:space="0" w:color="auto"/>
        <w:right w:val="none" w:sz="0" w:space="0" w:color="auto"/>
      </w:divBdr>
      <w:divsChild>
        <w:div w:id="1950234309">
          <w:marLeft w:val="0"/>
          <w:marRight w:val="0"/>
          <w:marTop w:val="0"/>
          <w:marBottom w:val="0"/>
          <w:divBdr>
            <w:top w:val="none" w:sz="0" w:space="0" w:color="auto"/>
            <w:left w:val="none" w:sz="0" w:space="0" w:color="auto"/>
            <w:bottom w:val="none" w:sz="0" w:space="0" w:color="auto"/>
            <w:right w:val="none" w:sz="0" w:space="0" w:color="auto"/>
          </w:divBdr>
          <w:divsChild>
            <w:div w:id="1760373469">
              <w:marLeft w:val="0"/>
              <w:marRight w:val="0"/>
              <w:marTop w:val="0"/>
              <w:marBottom w:val="0"/>
              <w:divBdr>
                <w:top w:val="none" w:sz="0" w:space="0" w:color="auto"/>
                <w:left w:val="none" w:sz="0" w:space="0" w:color="auto"/>
                <w:bottom w:val="none" w:sz="0" w:space="0" w:color="auto"/>
                <w:right w:val="none" w:sz="0" w:space="0" w:color="auto"/>
              </w:divBdr>
              <w:divsChild>
                <w:div w:id="926420175">
                  <w:marLeft w:val="0"/>
                  <w:marRight w:val="0"/>
                  <w:marTop w:val="0"/>
                  <w:marBottom w:val="0"/>
                  <w:divBdr>
                    <w:top w:val="none" w:sz="0" w:space="0" w:color="auto"/>
                    <w:left w:val="none" w:sz="0" w:space="0" w:color="auto"/>
                    <w:bottom w:val="none" w:sz="0" w:space="0" w:color="auto"/>
                    <w:right w:val="none" w:sz="0" w:space="0" w:color="auto"/>
                  </w:divBdr>
                  <w:divsChild>
                    <w:div w:id="495463865">
                      <w:marLeft w:val="0"/>
                      <w:marRight w:val="2205"/>
                      <w:marTop w:val="0"/>
                      <w:marBottom w:val="0"/>
                      <w:divBdr>
                        <w:top w:val="none" w:sz="0" w:space="0" w:color="auto"/>
                        <w:left w:val="none" w:sz="0" w:space="0" w:color="auto"/>
                        <w:bottom w:val="none" w:sz="0" w:space="0" w:color="auto"/>
                        <w:right w:val="none" w:sz="0" w:space="0" w:color="auto"/>
                      </w:divBdr>
                      <w:divsChild>
                        <w:div w:id="1374042617">
                          <w:marLeft w:val="0"/>
                          <w:marRight w:val="0"/>
                          <w:marTop w:val="0"/>
                          <w:marBottom w:val="0"/>
                          <w:divBdr>
                            <w:top w:val="none" w:sz="0" w:space="0" w:color="auto"/>
                            <w:left w:val="none" w:sz="0" w:space="0" w:color="auto"/>
                            <w:bottom w:val="none" w:sz="0" w:space="0" w:color="auto"/>
                            <w:right w:val="none" w:sz="0" w:space="0" w:color="auto"/>
                          </w:divBdr>
                          <w:divsChild>
                            <w:div w:id="1908688679">
                              <w:marLeft w:val="0"/>
                              <w:marRight w:val="0"/>
                              <w:marTop w:val="0"/>
                              <w:marBottom w:val="0"/>
                              <w:divBdr>
                                <w:top w:val="none" w:sz="0" w:space="0" w:color="auto"/>
                                <w:left w:val="none" w:sz="0" w:space="0" w:color="auto"/>
                                <w:bottom w:val="none" w:sz="0" w:space="0" w:color="auto"/>
                                <w:right w:val="none" w:sz="0" w:space="0" w:color="auto"/>
                              </w:divBdr>
                              <w:divsChild>
                                <w:div w:id="17538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850908">
      <w:bodyDiv w:val="1"/>
      <w:marLeft w:val="0"/>
      <w:marRight w:val="0"/>
      <w:marTop w:val="0"/>
      <w:marBottom w:val="0"/>
      <w:divBdr>
        <w:top w:val="none" w:sz="0" w:space="0" w:color="auto"/>
        <w:left w:val="none" w:sz="0" w:space="0" w:color="auto"/>
        <w:bottom w:val="none" w:sz="0" w:space="0" w:color="auto"/>
        <w:right w:val="none" w:sz="0" w:space="0" w:color="auto"/>
      </w:divBdr>
      <w:divsChild>
        <w:div w:id="1646159050">
          <w:marLeft w:val="0"/>
          <w:marRight w:val="0"/>
          <w:marTop w:val="15"/>
          <w:marBottom w:val="0"/>
          <w:divBdr>
            <w:top w:val="none" w:sz="0" w:space="0" w:color="auto"/>
            <w:left w:val="none" w:sz="0" w:space="0" w:color="auto"/>
            <w:bottom w:val="none" w:sz="0" w:space="0" w:color="auto"/>
            <w:right w:val="none" w:sz="0" w:space="0" w:color="auto"/>
          </w:divBdr>
          <w:divsChild>
            <w:div w:id="1091468983">
              <w:marLeft w:val="0"/>
              <w:marRight w:val="0"/>
              <w:marTop w:val="0"/>
              <w:marBottom w:val="0"/>
              <w:divBdr>
                <w:top w:val="none" w:sz="0" w:space="0" w:color="auto"/>
                <w:left w:val="none" w:sz="0" w:space="0" w:color="auto"/>
                <w:bottom w:val="none" w:sz="0" w:space="0" w:color="auto"/>
                <w:right w:val="none" w:sz="0" w:space="0" w:color="auto"/>
              </w:divBdr>
              <w:divsChild>
                <w:div w:id="1079982082">
                  <w:marLeft w:val="0"/>
                  <w:marRight w:val="0"/>
                  <w:marTop w:val="0"/>
                  <w:marBottom w:val="0"/>
                  <w:divBdr>
                    <w:top w:val="none" w:sz="0" w:space="0" w:color="auto"/>
                    <w:left w:val="none" w:sz="0" w:space="0" w:color="auto"/>
                    <w:bottom w:val="none" w:sz="0" w:space="0" w:color="auto"/>
                    <w:right w:val="none" w:sz="0" w:space="0" w:color="auto"/>
                  </w:divBdr>
                  <w:divsChild>
                    <w:div w:id="1259220099">
                      <w:marLeft w:val="0"/>
                      <w:marRight w:val="0"/>
                      <w:marTop w:val="100"/>
                      <w:marBottom w:val="100"/>
                      <w:divBdr>
                        <w:top w:val="none" w:sz="0" w:space="0" w:color="auto"/>
                        <w:left w:val="none" w:sz="0" w:space="0" w:color="auto"/>
                        <w:bottom w:val="none" w:sz="0" w:space="0" w:color="auto"/>
                        <w:right w:val="none" w:sz="0" w:space="0" w:color="auto"/>
                      </w:divBdr>
                      <w:divsChild>
                        <w:div w:id="206138841">
                          <w:marLeft w:val="0"/>
                          <w:marRight w:val="0"/>
                          <w:marTop w:val="0"/>
                          <w:marBottom w:val="75"/>
                          <w:divBdr>
                            <w:top w:val="none" w:sz="0" w:space="0" w:color="auto"/>
                            <w:left w:val="none" w:sz="0" w:space="0" w:color="auto"/>
                            <w:bottom w:val="none" w:sz="0" w:space="0" w:color="auto"/>
                            <w:right w:val="none" w:sz="0" w:space="0" w:color="auto"/>
                          </w:divBdr>
                          <w:divsChild>
                            <w:div w:id="8392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633581">
      <w:bodyDiv w:val="1"/>
      <w:marLeft w:val="0"/>
      <w:marRight w:val="0"/>
      <w:marTop w:val="0"/>
      <w:marBottom w:val="0"/>
      <w:divBdr>
        <w:top w:val="none" w:sz="0" w:space="0" w:color="auto"/>
        <w:left w:val="none" w:sz="0" w:space="0" w:color="auto"/>
        <w:bottom w:val="none" w:sz="0" w:space="0" w:color="auto"/>
        <w:right w:val="none" w:sz="0" w:space="0" w:color="auto"/>
      </w:divBdr>
      <w:divsChild>
        <w:div w:id="42875640">
          <w:marLeft w:val="0"/>
          <w:marRight w:val="0"/>
          <w:marTop w:val="0"/>
          <w:marBottom w:val="0"/>
          <w:divBdr>
            <w:top w:val="none" w:sz="0" w:space="0" w:color="auto"/>
            <w:left w:val="none" w:sz="0" w:space="0" w:color="auto"/>
            <w:bottom w:val="none" w:sz="0" w:space="0" w:color="auto"/>
            <w:right w:val="none" w:sz="0" w:space="0" w:color="auto"/>
          </w:divBdr>
          <w:divsChild>
            <w:div w:id="1446390397">
              <w:marLeft w:val="-225"/>
              <w:marRight w:val="-225"/>
              <w:marTop w:val="0"/>
              <w:marBottom w:val="0"/>
              <w:divBdr>
                <w:top w:val="none" w:sz="0" w:space="0" w:color="auto"/>
                <w:left w:val="none" w:sz="0" w:space="0" w:color="auto"/>
                <w:bottom w:val="none" w:sz="0" w:space="0" w:color="auto"/>
                <w:right w:val="none" w:sz="0" w:space="0" w:color="auto"/>
              </w:divBdr>
              <w:divsChild>
                <w:div w:id="1760323693">
                  <w:marLeft w:val="0"/>
                  <w:marRight w:val="0"/>
                  <w:marTop w:val="0"/>
                  <w:marBottom w:val="0"/>
                  <w:divBdr>
                    <w:top w:val="none" w:sz="0" w:space="0" w:color="auto"/>
                    <w:left w:val="none" w:sz="0" w:space="0" w:color="auto"/>
                    <w:bottom w:val="none" w:sz="0" w:space="0" w:color="auto"/>
                    <w:right w:val="none" w:sz="0" w:space="0" w:color="auto"/>
                  </w:divBdr>
                  <w:divsChild>
                    <w:div w:id="1910575271">
                      <w:marLeft w:val="-225"/>
                      <w:marRight w:val="-225"/>
                      <w:marTop w:val="0"/>
                      <w:marBottom w:val="0"/>
                      <w:divBdr>
                        <w:top w:val="none" w:sz="0" w:space="0" w:color="auto"/>
                        <w:left w:val="none" w:sz="0" w:space="0" w:color="auto"/>
                        <w:bottom w:val="none" w:sz="0" w:space="0" w:color="auto"/>
                        <w:right w:val="none" w:sz="0" w:space="0" w:color="auto"/>
                      </w:divBdr>
                      <w:divsChild>
                        <w:div w:id="1732072040">
                          <w:marLeft w:val="0"/>
                          <w:marRight w:val="0"/>
                          <w:marTop w:val="0"/>
                          <w:marBottom w:val="0"/>
                          <w:divBdr>
                            <w:top w:val="none" w:sz="0" w:space="0" w:color="auto"/>
                            <w:left w:val="none" w:sz="0" w:space="0" w:color="auto"/>
                            <w:bottom w:val="none" w:sz="0" w:space="0" w:color="auto"/>
                            <w:right w:val="none" w:sz="0" w:space="0" w:color="auto"/>
                          </w:divBdr>
                          <w:divsChild>
                            <w:div w:id="57077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16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iocataldi.it/guide_legali/appa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5C9DF-D4EB-469B-840E-CF3AE4BF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3994</Words>
  <Characters>22772</Characters>
  <Application>Microsoft Office Word</Application>
  <DocSecurity>4</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FERRARI Giulia</cp:lastModifiedBy>
  <cp:revision>2</cp:revision>
  <dcterms:created xsi:type="dcterms:W3CDTF">2018-05-22T12:30:00Z</dcterms:created>
  <dcterms:modified xsi:type="dcterms:W3CDTF">2018-05-22T12:30:00Z</dcterms:modified>
</cp:coreProperties>
</file>