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DCF" w:rsidRPr="00853A7E" w:rsidRDefault="00853A7E" w:rsidP="00463DCF">
      <w:pPr>
        <w:spacing w:line="360" w:lineRule="auto"/>
        <w:ind w:left="851" w:right="851"/>
        <w:jc w:val="center"/>
        <w:rPr>
          <w:rFonts w:ascii="Garamond" w:eastAsia="Lucida Sans Unicode" w:hAnsi="Garamond" w:cs="Times New Roman"/>
          <w:b/>
          <w:color w:val="000000" w:themeColor="text1"/>
          <w:sz w:val="36"/>
          <w:szCs w:val="36"/>
        </w:rPr>
      </w:pPr>
      <w:r w:rsidRPr="00853A7E">
        <w:rPr>
          <w:rFonts w:ascii="Garamond" w:eastAsia="Lucida Sans Unicode" w:hAnsi="Garamond" w:cs="Times New Roman"/>
          <w:b/>
          <w:color w:val="000000" w:themeColor="text1"/>
          <w:sz w:val="36"/>
          <w:szCs w:val="36"/>
        </w:rPr>
        <w:t xml:space="preserve">Note critiche sulla “funzionalizzazione” </w:t>
      </w:r>
    </w:p>
    <w:p w:rsidR="00463DCF" w:rsidRPr="00853A7E" w:rsidRDefault="00853A7E" w:rsidP="00463DCF">
      <w:pPr>
        <w:spacing w:line="360" w:lineRule="auto"/>
        <w:ind w:left="851" w:right="851"/>
        <w:jc w:val="center"/>
        <w:rPr>
          <w:rFonts w:ascii="Garamond" w:eastAsia="Lucida Sans Unicode" w:hAnsi="Garamond" w:cs="Times New Roman"/>
          <w:b/>
          <w:i/>
          <w:color w:val="000000" w:themeColor="text1"/>
          <w:sz w:val="36"/>
          <w:szCs w:val="36"/>
        </w:rPr>
      </w:pPr>
      <w:proofErr w:type="gramStart"/>
      <w:r w:rsidRPr="00853A7E">
        <w:rPr>
          <w:rFonts w:ascii="Garamond" w:eastAsia="Lucida Sans Unicode" w:hAnsi="Garamond" w:cs="Times New Roman"/>
          <w:b/>
          <w:color w:val="000000" w:themeColor="text1"/>
          <w:sz w:val="36"/>
          <w:szCs w:val="36"/>
        </w:rPr>
        <w:t>dell’accesso</w:t>
      </w:r>
      <w:proofErr w:type="gramEnd"/>
      <w:r w:rsidRPr="00853A7E">
        <w:rPr>
          <w:rFonts w:ascii="Garamond" w:eastAsia="Lucida Sans Unicode" w:hAnsi="Garamond" w:cs="Times New Roman"/>
          <w:b/>
          <w:color w:val="000000" w:themeColor="text1"/>
          <w:sz w:val="36"/>
          <w:szCs w:val="36"/>
        </w:rPr>
        <w:t xml:space="preserve"> civico generalizzato</w:t>
      </w:r>
    </w:p>
    <w:p w:rsidR="00D70FCF" w:rsidRPr="00634CBB" w:rsidRDefault="00D70FCF" w:rsidP="00E501EB">
      <w:pPr>
        <w:spacing w:line="360" w:lineRule="auto"/>
        <w:ind w:left="851" w:right="851"/>
        <w:jc w:val="both"/>
        <w:rPr>
          <w:rFonts w:ascii="Garamond" w:hAnsi="Garamond" w:cs="Times New Roman"/>
          <w:b/>
          <w:color w:val="000000" w:themeColor="text1"/>
        </w:rPr>
      </w:pPr>
    </w:p>
    <w:p w:rsidR="00D70FCF" w:rsidRPr="00634CBB" w:rsidRDefault="00853A7E" w:rsidP="00E501EB">
      <w:pPr>
        <w:spacing w:line="360" w:lineRule="auto"/>
        <w:ind w:left="851" w:right="851"/>
        <w:jc w:val="both"/>
        <w:rPr>
          <w:rFonts w:ascii="Garamond" w:hAnsi="Garamond" w:cs="Times New Roman"/>
          <w:b/>
          <w:color w:val="000000" w:themeColor="text1"/>
        </w:rPr>
      </w:pPr>
      <w:r>
        <w:rPr>
          <w:rFonts w:ascii="Garamond" w:hAnsi="Garamond" w:cs="Times New Roman"/>
          <w:b/>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512445</wp:posOffset>
                </wp:positionH>
                <wp:positionV relativeFrom="paragraph">
                  <wp:posOffset>156845</wp:posOffset>
                </wp:positionV>
                <wp:extent cx="5009515" cy="4858385"/>
                <wp:effectExtent l="13335" t="8890" r="635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4858385"/>
                        </a:xfrm>
                        <a:prstGeom prst="rect">
                          <a:avLst/>
                        </a:prstGeom>
                        <a:solidFill>
                          <a:srgbClr val="FFFFFF"/>
                        </a:solidFill>
                        <a:ln w="9525">
                          <a:solidFill>
                            <a:srgbClr val="000000"/>
                          </a:solidFill>
                          <a:miter lim="800000"/>
                          <a:headEnd/>
                          <a:tailEnd/>
                        </a:ln>
                      </wps:spPr>
                      <wps:txbx>
                        <w:txbxContent>
                          <w:p w:rsidR="00A556E5" w:rsidRPr="00634CBB" w:rsidRDefault="00B86D92" w:rsidP="008E6D21">
                            <w:pPr>
                              <w:jc w:val="both"/>
                              <w:rPr>
                                <w:rFonts w:ascii="Garamond" w:hAnsi="Garamond" w:cs="Times New Roman"/>
                                <w:color w:val="000000" w:themeColor="text1"/>
                              </w:rPr>
                            </w:pPr>
                            <w:r w:rsidRPr="00634CBB">
                              <w:rPr>
                                <w:rFonts w:ascii="Garamond" w:eastAsia="Cambria" w:hAnsi="Garamond" w:cs="Times New Roman"/>
                                <w:color w:val="000000" w:themeColor="text1"/>
                              </w:rPr>
                              <w:t xml:space="preserve">ABSTRACT </w:t>
                            </w:r>
                            <w:r w:rsidR="00A556E5" w:rsidRPr="00634CBB">
                              <w:rPr>
                                <w:rFonts w:ascii="Garamond" w:eastAsia="Cambria" w:hAnsi="Garamond" w:cs="Times New Roman"/>
                                <w:color w:val="000000" w:themeColor="text1"/>
                              </w:rPr>
                              <w:t xml:space="preserve">L’accesso civico generalizzato è, per definizione, un diritto che </w:t>
                            </w:r>
                            <w:r w:rsidR="00A556E5" w:rsidRPr="00634CBB">
                              <w:rPr>
                                <w:rFonts w:ascii="Garamond" w:hAnsi="Garamond" w:cs="Times New Roman"/>
                                <w:color w:val="000000" w:themeColor="text1"/>
                              </w:rPr>
                              <w:t xml:space="preserve">spetta a </w:t>
                            </w:r>
                            <w:r w:rsidR="00A556E5" w:rsidRPr="00634CBB">
                              <w:rPr>
                                <w:rFonts w:ascii="Garamond" w:hAnsi="Garamond" w:cs="Times New Roman"/>
                                <w:i/>
                                <w:color w:val="000000" w:themeColor="text1"/>
                              </w:rPr>
                              <w:t xml:space="preserve">“chiunque”, “indipendentemente dalla titolarità di situazioni giuridicamente rilevanti” </w:t>
                            </w:r>
                            <w:r w:rsidR="00A556E5" w:rsidRPr="00634CBB">
                              <w:rPr>
                                <w:rFonts w:ascii="Garamond" w:hAnsi="Garamond" w:cs="Times New Roman"/>
                                <w:color w:val="000000" w:themeColor="text1"/>
                              </w:rPr>
                              <w:t>[art. 7, comma 1, lett. h) Legge delega n. 241/2015],</w:t>
                            </w:r>
                            <w:r w:rsidR="00A556E5" w:rsidRPr="00634CBB">
                              <w:rPr>
                                <w:rFonts w:ascii="Garamond" w:hAnsi="Garamond" w:cs="Times New Roman"/>
                                <w:i/>
                                <w:color w:val="000000" w:themeColor="text1"/>
                              </w:rPr>
                              <w:t xml:space="preserve"> che “non e' sottoposto ad alcuna limitazione quanto alla legittimazione soggettiva del richiedente.”</w:t>
                            </w:r>
                            <w:r w:rsidR="00A556E5" w:rsidRPr="00634CBB">
                              <w:rPr>
                                <w:rFonts w:ascii="Garamond" w:hAnsi="Garamond" w:cs="Times New Roman"/>
                                <w:color w:val="000000" w:themeColor="text1"/>
                              </w:rPr>
                              <w:t xml:space="preserve"> (</w:t>
                            </w:r>
                            <w:proofErr w:type="gramStart"/>
                            <w:r w:rsidR="00A556E5" w:rsidRPr="00634CBB">
                              <w:rPr>
                                <w:rFonts w:ascii="Garamond" w:hAnsi="Garamond" w:cs="Times New Roman"/>
                                <w:color w:val="000000" w:themeColor="text1"/>
                              </w:rPr>
                              <w:t>art.</w:t>
                            </w:r>
                            <w:proofErr w:type="gramEnd"/>
                            <w:r w:rsidR="00A556E5" w:rsidRPr="00634CBB">
                              <w:rPr>
                                <w:rFonts w:ascii="Garamond" w:hAnsi="Garamond" w:cs="Times New Roman"/>
                                <w:color w:val="000000" w:themeColor="text1"/>
                              </w:rPr>
                              <w:t xml:space="preserve"> 5, comma 3, D.Lgs. 33/2013) e la cui unica ragione d’essere sta nello “</w:t>
                            </w:r>
                            <w:r w:rsidR="00A556E5" w:rsidRPr="00634CBB">
                              <w:rPr>
                                <w:rFonts w:ascii="Garamond" w:hAnsi="Garamond" w:cs="Times New Roman"/>
                                <w:i/>
                                <w:color w:val="000000" w:themeColor="text1"/>
                              </w:rPr>
                              <w:t xml:space="preserve">scopo di favorire forme diffuse di controllo sul perseguimento delle funzioni istituzionali e sull'utilizzo delle risorse pubbliche e di promuovere la partecipazione al dibattito pubblico” </w:t>
                            </w:r>
                            <w:r w:rsidR="00A556E5" w:rsidRPr="00634CBB">
                              <w:rPr>
                                <w:rFonts w:ascii="Garamond" w:hAnsi="Garamond" w:cs="Times New Roman"/>
                                <w:color w:val="000000" w:themeColor="text1"/>
                              </w:rPr>
                              <w:t>(art. 5, comma 2, D.Lgs. 33/2013), sì che la relativa istanza “</w:t>
                            </w:r>
                            <w:r w:rsidR="00A556E5" w:rsidRPr="00634CBB">
                              <w:rPr>
                                <w:rFonts w:ascii="Garamond" w:hAnsi="Garamond" w:cs="Times New Roman"/>
                                <w:i/>
                                <w:color w:val="000000" w:themeColor="text1"/>
                              </w:rPr>
                              <w:t xml:space="preserve">non richiede motivazione” </w:t>
                            </w:r>
                            <w:r w:rsidR="00A556E5" w:rsidRPr="00634CBB">
                              <w:rPr>
                                <w:rFonts w:ascii="Garamond" w:hAnsi="Garamond" w:cs="Times New Roman"/>
                                <w:color w:val="000000" w:themeColor="text1"/>
                              </w:rPr>
                              <w:t>(art. 5, comma 3, D.Lgs. 33/2013).</w:t>
                            </w:r>
                          </w:p>
                          <w:p w:rsidR="00A556E5" w:rsidRPr="00634CBB" w:rsidRDefault="00A556E5" w:rsidP="008E6D21">
                            <w:pPr>
                              <w:jc w:val="both"/>
                              <w:rPr>
                                <w:rFonts w:ascii="Garamond" w:hAnsi="Garamond" w:cs="Times New Roman"/>
                                <w:color w:val="000000" w:themeColor="text1"/>
                              </w:rPr>
                            </w:pPr>
                            <w:r w:rsidRPr="00634CBB">
                              <w:rPr>
                                <w:rFonts w:ascii="Garamond" w:hAnsi="Garamond" w:cs="Times New Roman"/>
                                <w:color w:val="000000" w:themeColor="text1"/>
                              </w:rPr>
                              <w:t>Una delle questioni più rilevanti</w:t>
                            </w:r>
                            <w:r w:rsidR="006858D4" w:rsidRPr="00634CBB">
                              <w:rPr>
                                <w:rFonts w:ascii="Garamond" w:hAnsi="Garamond" w:cs="Times New Roman"/>
                                <w:color w:val="000000" w:themeColor="text1"/>
                              </w:rPr>
                              <w:t>,</w:t>
                            </w:r>
                            <w:r w:rsidRPr="00634CBB">
                              <w:rPr>
                                <w:rFonts w:ascii="Garamond" w:hAnsi="Garamond" w:cs="Times New Roman"/>
                                <w:color w:val="000000" w:themeColor="text1"/>
                              </w:rPr>
                              <w:t xml:space="preserve"> sul piano </w:t>
                            </w:r>
                            <w:r w:rsidR="006858D4" w:rsidRPr="00634CBB">
                              <w:rPr>
                                <w:rFonts w:ascii="Garamond" w:hAnsi="Garamond" w:cs="Times New Roman"/>
                                <w:color w:val="000000" w:themeColor="text1"/>
                              </w:rPr>
                              <w:t>pratico e teorico, poste in questo primo periodo di applicazione dell’istituto</w:t>
                            </w:r>
                            <w:r w:rsidR="00634CBB">
                              <w:rPr>
                                <w:rFonts w:ascii="Garamond" w:hAnsi="Garamond" w:cs="Times New Roman"/>
                                <w:color w:val="000000" w:themeColor="text1"/>
                              </w:rPr>
                              <w:t>,</w:t>
                            </w:r>
                            <w:r w:rsidR="006858D4"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concerne la possibilità o meno di sindacare le “finalità” dell’istanza e le “effettive motivazioni” dell’istante, verificandone la coerenza rispetto alla </w:t>
                            </w:r>
                            <w:r w:rsidRPr="00634CBB">
                              <w:rPr>
                                <w:rFonts w:ascii="Garamond" w:hAnsi="Garamond" w:cs="Times New Roman"/>
                                <w:i/>
                                <w:color w:val="000000" w:themeColor="text1"/>
                              </w:rPr>
                              <w:t>ratio</w:t>
                            </w:r>
                            <w:r w:rsidR="006858D4" w:rsidRPr="00634CBB">
                              <w:rPr>
                                <w:rFonts w:ascii="Garamond" w:hAnsi="Garamond" w:cs="Times New Roman"/>
                                <w:color w:val="000000" w:themeColor="text1"/>
                              </w:rPr>
                              <w:t xml:space="preserve"> </w:t>
                            </w:r>
                            <w:r w:rsidR="006858D4" w:rsidRPr="00634CBB">
                              <w:rPr>
                                <w:rFonts w:ascii="Garamond" w:hAnsi="Garamond" w:cs="Times New Roman"/>
                                <w:i/>
                                <w:color w:val="000000" w:themeColor="text1"/>
                              </w:rPr>
                              <w:t>legis</w:t>
                            </w:r>
                            <w:r w:rsidRPr="00634CBB">
                              <w:rPr>
                                <w:rFonts w:ascii="Garamond" w:hAnsi="Garamond" w:cs="Times New Roman"/>
                                <w:color w:val="000000" w:themeColor="text1"/>
                              </w:rPr>
                              <w:t>.</w:t>
                            </w:r>
                          </w:p>
                          <w:p w:rsidR="00F612AD" w:rsidRPr="00634CBB" w:rsidRDefault="00F612AD" w:rsidP="00F612AD">
                            <w:pPr>
                              <w:jc w:val="both"/>
                              <w:rPr>
                                <w:rFonts w:ascii="Garamond" w:hAnsi="Garamond" w:cs="Times New Roman"/>
                                <w:color w:val="000000" w:themeColor="text1"/>
                              </w:rPr>
                            </w:pPr>
                            <w:r w:rsidRPr="00634CBB">
                              <w:rPr>
                                <w:rFonts w:ascii="Garamond" w:hAnsi="Garamond" w:cs="Times New Roman"/>
                                <w:color w:val="000000" w:themeColor="text1"/>
                              </w:rPr>
                              <w:t>La risposta al quesito sembra essere negativa, perchè i</w:t>
                            </w:r>
                            <w:r w:rsidR="006858D4" w:rsidRPr="00634CBB">
                              <w:rPr>
                                <w:rFonts w:ascii="Garamond" w:hAnsi="Garamond" w:cs="Times New Roman"/>
                                <w:color w:val="000000" w:themeColor="text1"/>
                              </w:rPr>
                              <w:t xml:space="preserve">l dato normativo depone </w:t>
                            </w:r>
                            <w:r w:rsidRPr="00634CBB">
                              <w:rPr>
                                <w:rFonts w:ascii="Garamond" w:hAnsi="Garamond" w:cs="Times New Roman"/>
                                <w:color w:val="000000" w:themeColor="text1"/>
                              </w:rPr>
                              <w:t xml:space="preserve">inequivocabilmente </w:t>
                            </w:r>
                            <w:r w:rsidR="006858D4" w:rsidRPr="00634CBB">
                              <w:rPr>
                                <w:rFonts w:ascii="Garamond" w:hAnsi="Garamond" w:cs="Times New Roman"/>
                                <w:color w:val="000000" w:themeColor="text1"/>
                              </w:rPr>
                              <w:t xml:space="preserve">nel senso della netta emancipazione di questo tipo di accesso dal vincolo della “strumentalità” rispetto ad una dimensione di interessi (pubblici o privati) che non sia quella propria ed insindacabile del richiedente, il cui diritto conoscitivo è riconosciuto </w:t>
                            </w:r>
                            <w:r w:rsidR="006858D4" w:rsidRPr="00634CBB">
                              <w:rPr>
                                <w:rFonts w:ascii="Garamond" w:hAnsi="Garamond" w:cs="Times New Roman"/>
                                <w:i/>
                                <w:color w:val="000000" w:themeColor="text1"/>
                              </w:rPr>
                              <w:t>ex se</w:t>
                            </w:r>
                            <w:r w:rsidR="006858D4" w:rsidRPr="00634CBB">
                              <w:rPr>
                                <w:rFonts w:ascii="Garamond" w:hAnsi="Garamond" w:cs="Times New Roman"/>
                                <w:color w:val="000000" w:themeColor="text1"/>
                              </w:rPr>
                              <w:t xml:space="preserve"> come espressione della </w:t>
                            </w:r>
                            <w:r w:rsidR="006858D4" w:rsidRPr="00634CBB">
                              <w:rPr>
                                <w:rFonts w:ascii="Garamond" w:hAnsi="Garamond" w:cs="Times New Roman"/>
                                <w:i/>
                                <w:color w:val="000000" w:themeColor="text1"/>
                              </w:rPr>
                              <w:t>“libertà di informazione”</w:t>
                            </w:r>
                            <w:r w:rsidR="006858D4" w:rsidRPr="00634CBB">
                              <w:rPr>
                                <w:rFonts w:ascii="Garamond" w:hAnsi="Garamond" w:cs="Times New Roman"/>
                                <w:color w:val="000000" w:themeColor="text1"/>
                              </w:rPr>
                              <w:t xml:space="preserve"> [art. 7, comma 1, lett. h) Legge delega n. 124/2015].</w:t>
                            </w:r>
                          </w:p>
                          <w:p w:rsidR="00F612AD" w:rsidRPr="00634CBB" w:rsidRDefault="00F612AD" w:rsidP="00F612AD">
                            <w:pPr>
                              <w:jc w:val="both"/>
                              <w:rPr>
                                <w:rFonts w:ascii="Garamond" w:hAnsi="Garamond" w:cs="Times New Roman"/>
                                <w:color w:val="000000" w:themeColor="text1"/>
                              </w:rPr>
                            </w:pPr>
                            <w:r w:rsidRPr="00634CBB">
                              <w:rPr>
                                <w:rFonts w:ascii="Garamond" w:hAnsi="Garamond" w:cs="Times New Roman"/>
                                <w:color w:val="000000" w:themeColor="text1"/>
                              </w:rPr>
                              <w:t xml:space="preserve">Ne consegue che il giudizio di ponderazione dell’interesse conoscitivo con gli altri contrapposti interessi (a cominciare dalla tutela dei dati personali) non potrà che essere svolto sulla base di criteri “oggettivi”, avuto riguardo al </w:t>
                            </w:r>
                            <w:r w:rsidRPr="00634CBB">
                              <w:rPr>
                                <w:rFonts w:ascii="Garamond" w:hAnsi="Garamond" w:cs="Times New Roman"/>
                                <w:i/>
                                <w:color w:val="000000" w:themeColor="text1"/>
                              </w:rPr>
                              <w:t>“pregiudizio concreto”</w:t>
                            </w:r>
                            <w:r w:rsidRPr="00634CBB">
                              <w:rPr>
                                <w:rFonts w:ascii="Garamond" w:hAnsi="Garamond" w:cs="Times New Roman"/>
                                <w:color w:val="000000" w:themeColor="text1"/>
                              </w:rPr>
                              <w:t xml:space="preserve"> arrecabile a </w:t>
                            </w:r>
                            <w:r w:rsidR="00B86D92" w:rsidRPr="00634CBB">
                              <w:rPr>
                                <w:rFonts w:ascii="Garamond" w:hAnsi="Garamond" w:cs="Times New Roman"/>
                                <w:color w:val="000000" w:themeColor="text1"/>
                              </w:rPr>
                              <w:t>detti</w:t>
                            </w:r>
                            <w:r w:rsidRPr="00634CBB">
                              <w:rPr>
                                <w:rFonts w:ascii="Garamond" w:hAnsi="Garamond" w:cs="Times New Roman"/>
                                <w:color w:val="000000" w:themeColor="text1"/>
                              </w:rPr>
                              <w:t xml:space="preserve"> interessi, come prevede l’art. 5-bis, comma 2, del D.Lgs. 33/2013. </w:t>
                            </w:r>
                          </w:p>
                          <w:p w:rsidR="00A556E5" w:rsidRPr="00634CBB" w:rsidRDefault="00F612AD" w:rsidP="008E6D21">
                            <w:pPr>
                              <w:jc w:val="both"/>
                              <w:rPr>
                                <w:rFonts w:ascii="Garamond" w:hAnsi="Garamond" w:cs="Times New Roman"/>
                                <w:color w:val="000000" w:themeColor="text1"/>
                              </w:rPr>
                            </w:pPr>
                            <w:r w:rsidRPr="00634CBB">
                              <w:rPr>
                                <w:rFonts w:ascii="Garamond" w:hAnsi="Garamond" w:cs="Times New Roman"/>
                                <w:color w:val="000000" w:themeColor="text1"/>
                              </w:rPr>
                              <w:t xml:space="preserve">Né la “funzionalizzazione” dell’accesso </w:t>
                            </w:r>
                            <w:r w:rsidR="00B86D92" w:rsidRPr="00634CBB">
                              <w:rPr>
                                <w:rFonts w:ascii="Garamond" w:hAnsi="Garamond" w:cs="Times New Roman"/>
                                <w:color w:val="000000" w:themeColor="text1"/>
                              </w:rPr>
                              <w:t>civico generalizzato può essere recuperata mediante la figura dell</w:t>
                            </w:r>
                            <w:proofErr w:type="gramStart"/>
                            <w:r w:rsidR="00B86D92" w:rsidRPr="00634CBB">
                              <w:rPr>
                                <w:rFonts w:ascii="Garamond" w:hAnsi="Garamond" w:cs="Times New Roman"/>
                                <w:color w:val="000000" w:themeColor="text1"/>
                              </w:rPr>
                              <w:t>’”abuso</w:t>
                            </w:r>
                            <w:proofErr w:type="gramEnd"/>
                            <w:r w:rsidR="00B86D92" w:rsidRPr="00634CBB">
                              <w:rPr>
                                <w:rFonts w:ascii="Garamond" w:hAnsi="Garamond" w:cs="Times New Roman"/>
                                <w:color w:val="000000" w:themeColor="text1"/>
                              </w:rPr>
                              <w:t xml:space="preserve"> del diritto”, atteso che esso è “limite modale” dell’”esercizio del diritto”, ma non consente di indagare le “motivazion</w:t>
                            </w:r>
                            <w:r w:rsidR="005A46AB">
                              <w:rPr>
                                <w:rFonts w:ascii="Garamond" w:hAnsi="Garamond" w:cs="Times New Roman"/>
                                <w:color w:val="000000" w:themeColor="text1"/>
                              </w:rPr>
                              <w:t>i” dello stesso, ricavandone un’</w:t>
                            </w:r>
                            <w:r w:rsidR="00B86D92" w:rsidRPr="00634CBB">
                              <w:rPr>
                                <w:rFonts w:ascii="Garamond" w:hAnsi="Garamond" w:cs="Times New Roman"/>
                                <w:color w:val="000000" w:themeColor="text1"/>
                              </w:rPr>
                              <w:t>ulteriore limitazione del suo contenuto.</w:t>
                            </w: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roofErr w:type="gramStart"/>
                            <w:r w:rsidRPr="00634CBB">
                              <w:rPr>
                                <w:rFonts w:ascii="Garamond" w:hAnsi="Garamond" w:cs="Times New Roman"/>
                                <w:color w:val="000000" w:themeColor="text1"/>
                              </w:rPr>
                              <w:t>che</w:t>
                            </w:r>
                            <w:proofErr w:type="gramEnd"/>
                            <w:r w:rsidRPr="00634CBB">
                              <w:rPr>
                                <w:rFonts w:ascii="Garamond" w:hAnsi="Garamond" w:cs="Times New Roman"/>
                                <w:color w:val="000000" w:themeColor="text1"/>
                              </w:rPr>
                              <w:t xml:space="preserve"> essa sembra prestarsi ad alterare, per via interpretativa, i connotati di un istituto chiaramente concepito e voluto dal legislatore come a-causale.</w:t>
                            </w:r>
                          </w:p>
                          <w:p w:rsidR="00A556E5" w:rsidRPr="00634CBB" w:rsidRDefault="00A556E5" w:rsidP="008E6D21">
                            <w:pPr>
                              <w:rPr>
                                <w:rFonts w:ascii="Garamond" w:hAnsi="Garamon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35pt;margin-top:12.35pt;width:394.45pt;height:38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">
                <v:textbox>
                  <w:txbxContent>
                    <w:p w:rsidR="00A556E5" w:rsidRPr="00634CBB" w:rsidRDefault="00B86D92" w:rsidP="008E6D21">
                      <w:pPr>
                        <w:jc w:val="both"/>
                        <w:rPr>
                          <w:rFonts w:ascii="Garamond" w:hAnsi="Garamond" w:cs="Times New Roman"/>
                          <w:color w:val="000000" w:themeColor="text1"/>
                        </w:rPr>
                      </w:pPr>
                      <w:r w:rsidRPr="00634CBB">
                        <w:rPr>
                          <w:rFonts w:ascii="Garamond" w:eastAsia="Cambria" w:hAnsi="Garamond" w:cs="Times New Roman"/>
                          <w:color w:val="000000" w:themeColor="text1"/>
                        </w:rPr>
                        <w:t xml:space="preserve">ABSTRACT </w:t>
                      </w:r>
                      <w:r w:rsidR="00A556E5" w:rsidRPr="00634CBB">
                        <w:rPr>
                          <w:rFonts w:ascii="Garamond" w:eastAsia="Cambria" w:hAnsi="Garamond" w:cs="Times New Roman"/>
                          <w:color w:val="000000" w:themeColor="text1"/>
                        </w:rPr>
                        <w:t xml:space="preserve">L’accesso civico generalizzato è, per definizione, un diritto che </w:t>
                      </w:r>
                      <w:r w:rsidR="00A556E5" w:rsidRPr="00634CBB">
                        <w:rPr>
                          <w:rFonts w:ascii="Garamond" w:hAnsi="Garamond" w:cs="Times New Roman"/>
                          <w:color w:val="000000" w:themeColor="text1"/>
                        </w:rPr>
                        <w:t xml:space="preserve">spetta a </w:t>
                      </w:r>
                      <w:r w:rsidR="00A556E5" w:rsidRPr="00634CBB">
                        <w:rPr>
                          <w:rFonts w:ascii="Garamond" w:hAnsi="Garamond" w:cs="Times New Roman"/>
                          <w:i/>
                          <w:color w:val="000000" w:themeColor="text1"/>
                        </w:rPr>
                        <w:t xml:space="preserve">“chiunque”, “indipendentemente dalla titolarità di situazioni giuridicamente rilevanti” </w:t>
                      </w:r>
                      <w:r w:rsidR="00A556E5" w:rsidRPr="00634CBB">
                        <w:rPr>
                          <w:rFonts w:ascii="Garamond" w:hAnsi="Garamond" w:cs="Times New Roman"/>
                          <w:color w:val="000000" w:themeColor="text1"/>
                        </w:rPr>
                        <w:t>[art. 7, comma 1, lett. h) Legge delega n. 241/2015],</w:t>
                      </w:r>
                      <w:r w:rsidR="00A556E5" w:rsidRPr="00634CBB">
                        <w:rPr>
                          <w:rFonts w:ascii="Garamond" w:hAnsi="Garamond" w:cs="Times New Roman"/>
                          <w:i/>
                          <w:color w:val="000000" w:themeColor="text1"/>
                        </w:rPr>
                        <w:t xml:space="preserve"> che “non e' sottoposto ad alcuna limitazione quanto alla legittimazione soggettiva del richiedente.”</w:t>
                      </w:r>
                      <w:r w:rsidR="00A556E5" w:rsidRPr="00634CBB">
                        <w:rPr>
                          <w:rFonts w:ascii="Garamond" w:hAnsi="Garamond" w:cs="Times New Roman"/>
                          <w:color w:val="000000" w:themeColor="text1"/>
                        </w:rPr>
                        <w:t xml:space="preserve"> (</w:t>
                      </w:r>
                      <w:proofErr w:type="gramStart"/>
                      <w:r w:rsidR="00A556E5" w:rsidRPr="00634CBB">
                        <w:rPr>
                          <w:rFonts w:ascii="Garamond" w:hAnsi="Garamond" w:cs="Times New Roman"/>
                          <w:color w:val="000000" w:themeColor="text1"/>
                        </w:rPr>
                        <w:t>art.</w:t>
                      </w:r>
                      <w:proofErr w:type="gramEnd"/>
                      <w:r w:rsidR="00A556E5" w:rsidRPr="00634CBB">
                        <w:rPr>
                          <w:rFonts w:ascii="Garamond" w:hAnsi="Garamond" w:cs="Times New Roman"/>
                          <w:color w:val="000000" w:themeColor="text1"/>
                        </w:rPr>
                        <w:t xml:space="preserve"> 5, comma 3, D.Lgs. 33/2013) e la cui unica ragione d’essere sta nello “</w:t>
                      </w:r>
                      <w:r w:rsidR="00A556E5" w:rsidRPr="00634CBB">
                        <w:rPr>
                          <w:rFonts w:ascii="Garamond" w:hAnsi="Garamond" w:cs="Times New Roman"/>
                          <w:i/>
                          <w:color w:val="000000" w:themeColor="text1"/>
                        </w:rPr>
                        <w:t xml:space="preserve">scopo di favorire forme diffuse di controllo sul perseguimento delle funzioni istituzionali e sull'utilizzo delle risorse pubbliche e di promuovere la partecipazione al dibattito pubblico” </w:t>
                      </w:r>
                      <w:r w:rsidR="00A556E5" w:rsidRPr="00634CBB">
                        <w:rPr>
                          <w:rFonts w:ascii="Garamond" w:hAnsi="Garamond" w:cs="Times New Roman"/>
                          <w:color w:val="000000" w:themeColor="text1"/>
                        </w:rPr>
                        <w:t>(art. 5, comma 2, D.Lgs. 33/2013), sì che la relativa istanza “</w:t>
                      </w:r>
                      <w:r w:rsidR="00A556E5" w:rsidRPr="00634CBB">
                        <w:rPr>
                          <w:rFonts w:ascii="Garamond" w:hAnsi="Garamond" w:cs="Times New Roman"/>
                          <w:i/>
                          <w:color w:val="000000" w:themeColor="text1"/>
                        </w:rPr>
                        <w:t xml:space="preserve">non richiede motivazione” </w:t>
                      </w:r>
                      <w:r w:rsidR="00A556E5" w:rsidRPr="00634CBB">
                        <w:rPr>
                          <w:rFonts w:ascii="Garamond" w:hAnsi="Garamond" w:cs="Times New Roman"/>
                          <w:color w:val="000000" w:themeColor="text1"/>
                        </w:rPr>
                        <w:t>(art. 5, comma 3, D.Lgs. 33/2013).</w:t>
                      </w:r>
                    </w:p>
                    <w:p w:rsidR="00A556E5" w:rsidRPr="00634CBB" w:rsidRDefault="00A556E5" w:rsidP="008E6D21">
                      <w:pPr>
                        <w:jc w:val="both"/>
                        <w:rPr>
                          <w:rFonts w:ascii="Garamond" w:hAnsi="Garamond" w:cs="Times New Roman"/>
                          <w:color w:val="000000" w:themeColor="text1"/>
                        </w:rPr>
                      </w:pPr>
                      <w:r w:rsidRPr="00634CBB">
                        <w:rPr>
                          <w:rFonts w:ascii="Garamond" w:hAnsi="Garamond" w:cs="Times New Roman"/>
                          <w:color w:val="000000" w:themeColor="text1"/>
                        </w:rPr>
                        <w:t>Una delle questioni più rilevanti</w:t>
                      </w:r>
                      <w:r w:rsidR="006858D4" w:rsidRPr="00634CBB">
                        <w:rPr>
                          <w:rFonts w:ascii="Garamond" w:hAnsi="Garamond" w:cs="Times New Roman"/>
                          <w:color w:val="000000" w:themeColor="text1"/>
                        </w:rPr>
                        <w:t>,</w:t>
                      </w:r>
                      <w:r w:rsidRPr="00634CBB">
                        <w:rPr>
                          <w:rFonts w:ascii="Garamond" w:hAnsi="Garamond" w:cs="Times New Roman"/>
                          <w:color w:val="000000" w:themeColor="text1"/>
                        </w:rPr>
                        <w:t xml:space="preserve"> sul piano </w:t>
                      </w:r>
                      <w:r w:rsidR="006858D4" w:rsidRPr="00634CBB">
                        <w:rPr>
                          <w:rFonts w:ascii="Garamond" w:hAnsi="Garamond" w:cs="Times New Roman"/>
                          <w:color w:val="000000" w:themeColor="text1"/>
                        </w:rPr>
                        <w:t>pratico e teorico, poste in questo primo periodo di applicazione dell’istituto</w:t>
                      </w:r>
                      <w:r w:rsidR="00634CBB">
                        <w:rPr>
                          <w:rFonts w:ascii="Garamond" w:hAnsi="Garamond" w:cs="Times New Roman"/>
                          <w:color w:val="000000" w:themeColor="text1"/>
                        </w:rPr>
                        <w:t>,</w:t>
                      </w:r>
                      <w:r w:rsidR="006858D4"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concerne la possibilità o meno di sindacare le “finalità” dell’istanza e le “effettive motivazioni” dell’istante, verificandone la coerenza rispetto alla </w:t>
                      </w:r>
                      <w:r w:rsidRPr="00634CBB">
                        <w:rPr>
                          <w:rFonts w:ascii="Garamond" w:hAnsi="Garamond" w:cs="Times New Roman"/>
                          <w:i/>
                          <w:color w:val="000000" w:themeColor="text1"/>
                        </w:rPr>
                        <w:t>ratio</w:t>
                      </w:r>
                      <w:r w:rsidR="006858D4" w:rsidRPr="00634CBB">
                        <w:rPr>
                          <w:rFonts w:ascii="Garamond" w:hAnsi="Garamond" w:cs="Times New Roman"/>
                          <w:color w:val="000000" w:themeColor="text1"/>
                        </w:rPr>
                        <w:t xml:space="preserve"> </w:t>
                      </w:r>
                      <w:r w:rsidR="006858D4" w:rsidRPr="00634CBB">
                        <w:rPr>
                          <w:rFonts w:ascii="Garamond" w:hAnsi="Garamond" w:cs="Times New Roman"/>
                          <w:i/>
                          <w:color w:val="000000" w:themeColor="text1"/>
                        </w:rPr>
                        <w:t>legis</w:t>
                      </w:r>
                      <w:r w:rsidRPr="00634CBB">
                        <w:rPr>
                          <w:rFonts w:ascii="Garamond" w:hAnsi="Garamond" w:cs="Times New Roman"/>
                          <w:color w:val="000000" w:themeColor="text1"/>
                        </w:rPr>
                        <w:t>.</w:t>
                      </w:r>
                    </w:p>
                    <w:p w:rsidR="00F612AD" w:rsidRPr="00634CBB" w:rsidRDefault="00F612AD" w:rsidP="00F612AD">
                      <w:pPr>
                        <w:jc w:val="both"/>
                        <w:rPr>
                          <w:rFonts w:ascii="Garamond" w:hAnsi="Garamond" w:cs="Times New Roman"/>
                          <w:color w:val="000000" w:themeColor="text1"/>
                        </w:rPr>
                      </w:pPr>
                      <w:r w:rsidRPr="00634CBB">
                        <w:rPr>
                          <w:rFonts w:ascii="Garamond" w:hAnsi="Garamond" w:cs="Times New Roman"/>
                          <w:color w:val="000000" w:themeColor="text1"/>
                        </w:rPr>
                        <w:t>La risposta al quesito sembra essere negativa, perchè i</w:t>
                      </w:r>
                      <w:r w:rsidR="006858D4" w:rsidRPr="00634CBB">
                        <w:rPr>
                          <w:rFonts w:ascii="Garamond" w:hAnsi="Garamond" w:cs="Times New Roman"/>
                          <w:color w:val="000000" w:themeColor="text1"/>
                        </w:rPr>
                        <w:t xml:space="preserve">l dato normativo depone </w:t>
                      </w:r>
                      <w:r w:rsidRPr="00634CBB">
                        <w:rPr>
                          <w:rFonts w:ascii="Garamond" w:hAnsi="Garamond" w:cs="Times New Roman"/>
                          <w:color w:val="000000" w:themeColor="text1"/>
                        </w:rPr>
                        <w:t xml:space="preserve">inequivocabilmente </w:t>
                      </w:r>
                      <w:r w:rsidR="006858D4" w:rsidRPr="00634CBB">
                        <w:rPr>
                          <w:rFonts w:ascii="Garamond" w:hAnsi="Garamond" w:cs="Times New Roman"/>
                          <w:color w:val="000000" w:themeColor="text1"/>
                        </w:rPr>
                        <w:t xml:space="preserve">nel senso della netta emancipazione di questo tipo di accesso dal vincolo della “strumentalità” rispetto ad una dimensione di interessi (pubblici o privati) che non sia quella propria ed insindacabile del richiedente, il cui diritto conoscitivo è riconosciuto </w:t>
                      </w:r>
                      <w:r w:rsidR="006858D4" w:rsidRPr="00634CBB">
                        <w:rPr>
                          <w:rFonts w:ascii="Garamond" w:hAnsi="Garamond" w:cs="Times New Roman"/>
                          <w:i/>
                          <w:color w:val="000000" w:themeColor="text1"/>
                        </w:rPr>
                        <w:t>ex se</w:t>
                      </w:r>
                      <w:r w:rsidR="006858D4" w:rsidRPr="00634CBB">
                        <w:rPr>
                          <w:rFonts w:ascii="Garamond" w:hAnsi="Garamond" w:cs="Times New Roman"/>
                          <w:color w:val="000000" w:themeColor="text1"/>
                        </w:rPr>
                        <w:t xml:space="preserve"> come espressione della </w:t>
                      </w:r>
                      <w:r w:rsidR="006858D4" w:rsidRPr="00634CBB">
                        <w:rPr>
                          <w:rFonts w:ascii="Garamond" w:hAnsi="Garamond" w:cs="Times New Roman"/>
                          <w:i/>
                          <w:color w:val="000000" w:themeColor="text1"/>
                        </w:rPr>
                        <w:t>“libertà di informazione”</w:t>
                      </w:r>
                      <w:r w:rsidR="006858D4" w:rsidRPr="00634CBB">
                        <w:rPr>
                          <w:rFonts w:ascii="Garamond" w:hAnsi="Garamond" w:cs="Times New Roman"/>
                          <w:color w:val="000000" w:themeColor="text1"/>
                        </w:rPr>
                        <w:t xml:space="preserve"> [art. 7, comma 1, lett. h) Legge delega n. 124/2015].</w:t>
                      </w:r>
                    </w:p>
                    <w:p w:rsidR="00F612AD" w:rsidRPr="00634CBB" w:rsidRDefault="00F612AD" w:rsidP="00F612AD">
                      <w:pPr>
                        <w:jc w:val="both"/>
                        <w:rPr>
                          <w:rFonts w:ascii="Garamond" w:hAnsi="Garamond" w:cs="Times New Roman"/>
                          <w:color w:val="000000" w:themeColor="text1"/>
                        </w:rPr>
                      </w:pPr>
                      <w:r w:rsidRPr="00634CBB">
                        <w:rPr>
                          <w:rFonts w:ascii="Garamond" w:hAnsi="Garamond" w:cs="Times New Roman"/>
                          <w:color w:val="000000" w:themeColor="text1"/>
                        </w:rPr>
                        <w:t xml:space="preserve">Ne consegue che il giudizio di ponderazione dell’interesse conoscitivo con gli altri contrapposti interessi (a cominciare dalla tutela dei dati personali) non potrà che essere svolto sulla base di criteri “oggettivi”, avuto riguardo al </w:t>
                      </w:r>
                      <w:r w:rsidRPr="00634CBB">
                        <w:rPr>
                          <w:rFonts w:ascii="Garamond" w:hAnsi="Garamond" w:cs="Times New Roman"/>
                          <w:i/>
                          <w:color w:val="000000" w:themeColor="text1"/>
                        </w:rPr>
                        <w:t>“pregiudizio concreto”</w:t>
                      </w:r>
                      <w:r w:rsidRPr="00634CBB">
                        <w:rPr>
                          <w:rFonts w:ascii="Garamond" w:hAnsi="Garamond" w:cs="Times New Roman"/>
                          <w:color w:val="000000" w:themeColor="text1"/>
                        </w:rPr>
                        <w:t xml:space="preserve"> arrecabile a </w:t>
                      </w:r>
                      <w:r w:rsidR="00B86D92" w:rsidRPr="00634CBB">
                        <w:rPr>
                          <w:rFonts w:ascii="Garamond" w:hAnsi="Garamond" w:cs="Times New Roman"/>
                          <w:color w:val="000000" w:themeColor="text1"/>
                        </w:rPr>
                        <w:t>detti</w:t>
                      </w:r>
                      <w:r w:rsidRPr="00634CBB">
                        <w:rPr>
                          <w:rFonts w:ascii="Garamond" w:hAnsi="Garamond" w:cs="Times New Roman"/>
                          <w:color w:val="000000" w:themeColor="text1"/>
                        </w:rPr>
                        <w:t xml:space="preserve"> interessi, come prevede l’art. 5-bis, comma 2, del D.Lgs. 33/2013. </w:t>
                      </w:r>
                    </w:p>
                    <w:p w:rsidR="00A556E5" w:rsidRPr="00634CBB" w:rsidRDefault="00F612AD" w:rsidP="008E6D21">
                      <w:pPr>
                        <w:jc w:val="both"/>
                        <w:rPr>
                          <w:rFonts w:ascii="Garamond" w:hAnsi="Garamond" w:cs="Times New Roman"/>
                          <w:color w:val="000000" w:themeColor="text1"/>
                        </w:rPr>
                      </w:pPr>
                      <w:r w:rsidRPr="00634CBB">
                        <w:rPr>
                          <w:rFonts w:ascii="Garamond" w:hAnsi="Garamond" w:cs="Times New Roman"/>
                          <w:color w:val="000000" w:themeColor="text1"/>
                        </w:rPr>
                        <w:t xml:space="preserve">Né la “funzionalizzazione” dell’accesso </w:t>
                      </w:r>
                      <w:r w:rsidR="00B86D92" w:rsidRPr="00634CBB">
                        <w:rPr>
                          <w:rFonts w:ascii="Garamond" w:hAnsi="Garamond" w:cs="Times New Roman"/>
                          <w:color w:val="000000" w:themeColor="text1"/>
                        </w:rPr>
                        <w:t>civico generalizzato può essere recuperata mediante la figura dell</w:t>
                      </w:r>
                      <w:proofErr w:type="gramStart"/>
                      <w:r w:rsidR="00B86D92" w:rsidRPr="00634CBB">
                        <w:rPr>
                          <w:rFonts w:ascii="Garamond" w:hAnsi="Garamond" w:cs="Times New Roman"/>
                          <w:color w:val="000000" w:themeColor="text1"/>
                        </w:rPr>
                        <w:t>’”abuso</w:t>
                      </w:r>
                      <w:proofErr w:type="gramEnd"/>
                      <w:r w:rsidR="00B86D92" w:rsidRPr="00634CBB">
                        <w:rPr>
                          <w:rFonts w:ascii="Garamond" w:hAnsi="Garamond" w:cs="Times New Roman"/>
                          <w:color w:val="000000" w:themeColor="text1"/>
                        </w:rPr>
                        <w:t xml:space="preserve"> del diritto”, atteso che esso è “limite modale” dell’”esercizio del diritto”, ma non consente di indagare le “motivazion</w:t>
                      </w:r>
                      <w:r w:rsidR="005A46AB">
                        <w:rPr>
                          <w:rFonts w:ascii="Garamond" w:hAnsi="Garamond" w:cs="Times New Roman"/>
                          <w:color w:val="000000" w:themeColor="text1"/>
                        </w:rPr>
                        <w:t>i” dello stesso, ricavandone un’</w:t>
                      </w:r>
                      <w:r w:rsidR="00B86D92" w:rsidRPr="00634CBB">
                        <w:rPr>
                          <w:rFonts w:ascii="Garamond" w:hAnsi="Garamond" w:cs="Times New Roman"/>
                          <w:color w:val="000000" w:themeColor="text1"/>
                        </w:rPr>
                        <w:t>ulteriore limitazione del suo contenuto.</w:t>
                      </w: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
                    <w:p w:rsidR="00A556E5" w:rsidRPr="00634CBB" w:rsidRDefault="00A556E5" w:rsidP="008E6D21">
                      <w:pPr>
                        <w:jc w:val="both"/>
                        <w:rPr>
                          <w:rFonts w:ascii="Garamond" w:hAnsi="Garamond" w:cs="Times New Roman"/>
                          <w:color w:val="000000" w:themeColor="text1"/>
                        </w:rPr>
                      </w:pPr>
                      <w:proofErr w:type="gramStart"/>
                      <w:r w:rsidRPr="00634CBB">
                        <w:rPr>
                          <w:rFonts w:ascii="Garamond" w:hAnsi="Garamond" w:cs="Times New Roman"/>
                          <w:color w:val="000000" w:themeColor="text1"/>
                        </w:rPr>
                        <w:t>che</w:t>
                      </w:r>
                      <w:proofErr w:type="gramEnd"/>
                      <w:r w:rsidRPr="00634CBB">
                        <w:rPr>
                          <w:rFonts w:ascii="Garamond" w:hAnsi="Garamond" w:cs="Times New Roman"/>
                          <w:color w:val="000000" w:themeColor="text1"/>
                        </w:rPr>
                        <w:t xml:space="preserve"> essa sembra prestarsi ad alterare, per via interpretativa, i connotati di un istituto chiaramente concepito e voluto dal legislatore come a-causale.</w:t>
                      </w:r>
                    </w:p>
                    <w:p w:rsidR="00A556E5" w:rsidRPr="00634CBB" w:rsidRDefault="00A556E5" w:rsidP="008E6D21">
                      <w:pPr>
                        <w:rPr>
                          <w:rFonts w:ascii="Garamond" w:hAnsi="Garamond"/>
                        </w:rPr>
                      </w:pPr>
                    </w:p>
                  </w:txbxContent>
                </v:textbox>
              </v:shape>
            </w:pict>
          </mc:Fallback>
        </mc:AlternateContent>
      </w:r>
    </w:p>
    <w:p w:rsidR="00D70FCF" w:rsidRPr="00634CBB" w:rsidRDefault="00D70FCF" w:rsidP="00E501EB">
      <w:pPr>
        <w:spacing w:line="360" w:lineRule="auto"/>
        <w:ind w:left="851" w:right="851"/>
        <w:jc w:val="both"/>
        <w:rPr>
          <w:rFonts w:ascii="Garamond" w:hAnsi="Garamond" w:cs="Times New Roman"/>
          <w:b/>
          <w:color w:val="000000" w:themeColor="text1"/>
        </w:rPr>
      </w:pPr>
    </w:p>
    <w:p w:rsidR="00D70FCF" w:rsidRPr="00634CBB" w:rsidRDefault="00D70FCF" w:rsidP="00E501EB">
      <w:pPr>
        <w:spacing w:line="360" w:lineRule="auto"/>
        <w:ind w:left="851" w:right="851"/>
        <w:jc w:val="both"/>
        <w:rPr>
          <w:rFonts w:ascii="Garamond" w:hAnsi="Garamond" w:cs="Times New Roman"/>
          <w:b/>
          <w:color w:val="000000" w:themeColor="text1"/>
        </w:rPr>
      </w:pPr>
    </w:p>
    <w:p w:rsidR="008E6D21" w:rsidRPr="00634CBB" w:rsidRDefault="008E6D21" w:rsidP="000C63AE">
      <w:pPr>
        <w:ind w:left="851" w:right="851"/>
        <w:jc w:val="both"/>
        <w:rPr>
          <w:rFonts w:ascii="Garamond" w:hAnsi="Garamond" w:cs="Times New Roman"/>
          <w:b/>
          <w:color w:val="000000" w:themeColor="text1"/>
          <w:u w:val="single"/>
        </w:rPr>
      </w:pPr>
    </w:p>
    <w:p w:rsidR="008E6D21" w:rsidRPr="00634CBB" w:rsidRDefault="008E6D21" w:rsidP="000C63AE">
      <w:pPr>
        <w:ind w:left="851" w:right="851"/>
        <w:jc w:val="both"/>
        <w:rPr>
          <w:rFonts w:ascii="Garamond" w:hAnsi="Garamond" w:cs="Times New Roman"/>
          <w:b/>
          <w:color w:val="000000" w:themeColor="text1"/>
          <w:u w:val="single"/>
        </w:rPr>
      </w:pPr>
    </w:p>
    <w:p w:rsidR="008E6D21" w:rsidRPr="00634CBB" w:rsidRDefault="008E6D21" w:rsidP="000C63AE">
      <w:pPr>
        <w:ind w:left="851" w:right="851"/>
        <w:jc w:val="both"/>
        <w:rPr>
          <w:rFonts w:ascii="Garamond" w:hAnsi="Garamond" w:cs="Times New Roman"/>
          <w:b/>
          <w:color w:val="000000" w:themeColor="text1"/>
          <w:u w:val="single"/>
        </w:rPr>
      </w:pPr>
    </w:p>
    <w:p w:rsidR="008E6D21" w:rsidRPr="00634CBB" w:rsidRDefault="008E6D21" w:rsidP="000C63AE">
      <w:pPr>
        <w:ind w:left="851" w:right="851"/>
        <w:jc w:val="both"/>
        <w:rPr>
          <w:rFonts w:ascii="Garamond" w:hAnsi="Garamond" w:cs="Times New Roman"/>
          <w:b/>
          <w:color w:val="000000" w:themeColor="text1"/>
          <w:u w:val="single"/>
        </w:rPr>
      </w:pPr>
    </w:p>
    <w:p w:rsidR="008E6D21" w:rsidRPr="00634CBB" w:rsidRDefault="008E6D21" w:rsidP="000C63AE">
      <w:pPr>
        <w:ind w:left="851" w:right="851"/>
        <w:jc w:val="both"/>
        <w:rPr>
          <w:rFonts w:ascii="Garamond" w:hAnsi="Garamond" w:cs="Times New Roman"/>
          <w:b/>
          <w:color w:val="000000" w:themeColor="text1"/>
          <w:u w:val="single"/>
        </w:rPr>
      </w:pPr>
    </w:p>
    <w:p w:rsidR="008E6D21" w:rsidRPr="00634CBB" w:rsidRDefault="008E6D21" w:rsidP="000C63AE">
      <w:pPr>
        <w:ind w:left="851" w:right="851"/>
        <w:jc w:val="both"/>
        <w:rPr>
          <w:rFonts w:ascii="Garamond" w:hAnsi="Garamond" w:cs="Times New Roman"/>
          <w:b/>
          <w:color w:val="000000" w:themeColor="text1"/>
          <w:u w:val="single"/>
        </w:rPr>
      </w:pPr>
    </w:p>
    <w:p w:rsidR="008E6D21" w:rsidRPr="00634CBB" w:rsidRDefault="008E6D21" w:rsidP="000C63AE">
      <w:pPr>
        <w:ind w:left="851" w:right="851"/>
        <w:jc w:val="both"/>
        <w:rPr>
          <w:rFonts w:ascii="Garamond" w:hAnsi="Garamond" w:cs="Times New Roman"/>
          <w:b/>
          <w:color w:val="000000" w:themeColor="text1"/>
          <w:u w:val="single"/>
        </w:rPr>
      </w:pPr>
    </w:p>
    <w:p w:rsidR="008E6D21" w:rsidRPr="00634CBB" w:rsidRDefault="008E6D21" w:rsidP="000C63AE">
      <w:pPr>
        <w:ind w:left="851" w:right="851"/>
        <w:jc w:val="both"/>
        <w:rPr>
          <w:rFonts w:ascii="Garamond" w:hAnsi="Garamond" w:cs="Times New Roman"/>
          <w:b/>
          <w:color w:val="000000" w:themeColor="text1"/>
          <w:u w:val="single"/>
        </w:rPr>
      </w:pPr>
    </w:p>
    <w:p w:rsidR="008E6D21" w:rsidRPr="00634CBB" w:rsidRDefault="008E6D21" w:rsidP="000C63AE">
      <w:pPr>
        <w:ind w:left="851" w:right="851"/>
        <w:jc w:val="both"/>
        <w:rPr>
          <w:rFonts w:ascii="Garamond" w:hAnsi="Garamond" w:cs="Times New Roman"/>
          <w:b/>
          <w:color w:val="000000" w:themeColor="text1"/>
          <w:u w:val="single"/>
        </w:rPr>
      </w:pPr>
    </w:p>
    <w:p w:rsidR="008E6D21" w:rsidRPr="00634CBB" w:rsidRDefault="008E6D21" w:rsidP="000C63AE">
      <w:pPr>
        <w:ind w:left="851" w:right="851"/>
        <w:jc w:val="both"/>
        <w:rPr>
          <w:rFonts w:ascii="Garamond" w:hAnsi="Garamond" w:cs="Times New Roman"/>
          <w:b/>
          <w:color w:val="000000" w:themeColor="text1"/>
          <w:u w:val="single"/>
        </w:rPr>
      </w:pPr>
    </w:p>
    <w:p w:rsidR="008E6D21" w:rsidRPr="00634CBB" w:rsidRDefault="008E6D21" w:rsidP="000C63AE">
      <w:pPr>
        <w:ind w:left="851" w:right="851"/>
        <w:jc w:val="both"/>
        <w:rPr>
          <w:rFonts w:ascii="Garamond" w:hAnsi="Garamond" w:cs="Times New Roman"/>
          <w:b/>
          <w:color w:val="000000" w:themeColor="text1"/>
          <w:u w:val="single"/>
        </w:rPr>
      </w:pPr>
    </w:p>
    <w:p w:rsidR="006858D4" w:rsidRPr="00634CBB" w:rsidRDefault="006858D4" w:rsidP="000C63AE">
      <w:pPr>
        <w:ind w:left="851" w:right="851"/>
        <w:jc w:val="both"/>
        <w:rPr>
          <w:rFonts w:ascii="Garamond" w:hAnsi="Garamond" w:cs="Times New Roman"/>
          <w:b/>
          <w:color w:val="000000" w:themeColor="text1"/>
          <w:u w:val="single"/>
        </w:rPr>
      </w:pPr>
    </w:p>
    <w:p w:rsidR="006858D4" w:rsidRPr="00634CBB" w:rsidRDefault="006858D4" w:rsidP="000C63AE">
      <w:pPr>
        <w:ind w:left="851" w:right="851"/>
        <w:jc w:val="both"/>
        <w:rPr>
          <w:rFonts w:ascii="Garamond" w:hAnsi="Garamond" w:cs="Times New Roman"/>
          <w:b/>
          <w:color w:val="000000" w:themeColor="text1"/>
          <w:u w:val="single"/>
        </w:rPr>
      </w:pPr>
    </w:p>
    <w:p w:rsidR="006858D4" w:rsidRPr="00634CBB" w:rsidRDefault="006858D4" w:rsidP="000C63AE">
      <w:pPr>
        <w:ind w:left="851" w:right="851"/>
        <w:jc w:val="both"/>
        <w:rPr>
          <w:rFonts w:ascii="Garamond" w:hAnsi="Garamond" w:cs="Times New Roman"/>
          <w:b/>
          <w:color w:val="000000" w:themeColor="text1"/>
          <w:u w:val="single"/>
        </w:rPr>
      </w:pPr>
    </w:p>
    <w:p w:rsidR="006858D4" w:rsidRPr="00634CBB" w:rsidRDefault="006858D4" w:rsidP="000C63AE">
      <w:pPr>
        <w:ind w:left="851" w:right="851"/>
        <w:jc w:val="both"/>
        <w:rPr>
          <w:rFonts w:ascii="Garamond" w:hAnsi="Garamond" w:cs="Times New Roman"/>
          <w:b/>
          <w:color w:val="000000" w:themeColor="text1"/>
          <w:u w:val="single"/>
        </w:rPr>
      </w:pPr>
    </w:p>
    <w:p w:rsidR="006858D4" w:rsidRPr="00634CBB" w:rsidRDefault="006858D4" w:rsidP="000C63AE">
      <w:pPr>
        <w:ind w:left="851" w:right="851"/>
        <w:jc w:val="both"/>
        <w:rPr>
          <w:rFonts w:ascii="Garamond" w:hAnsi="Garamond" w:cs="Times New Roman"/>
          <w:b/>
          <w:color w:val="000000" w:themeColor="text1"/>
          <w:u w:val="single"/>
        </w:rPr>
      </w:pPr>
    </w:p>
    <w:p w:rsidR="006858D4" w:rsidRPr="00634CBB" w:rsidRDefault="006858D4" w:rsidP="000C63AE">
      <w:pPr>
        <w:ind w:left="851" w:right="851"/>
        <w:jc w:val="both"/>
        <w:rPr>
          <w:rFonts w:ascii="Garamond" w:hAnsi="Garamond" w:cs="Times New Roman"/>
          <w:b/>
          <w:color w:val="000000" w:themeColor="text1"/>
          <w:u w:val="single"/>
        </w:rPr>
      </w:pPr>
    </w:p>
    <w:p w:rsidR="006858D4" w:rsidRPr="00634CBB" w:rsidRDefault="006858D4" w:rsidP="000C63AE">
      <w:pPr>
        <w:ind w:left="851" w:right="851"/>
        <w:jc w:val="both"/>
        <w:rPr>
          <w:rFonts w:ascii="Garamond" w:hAnsi="Garamond" w:cs="Times New Roman"/>
          <w:b/>
          <w:color w:val="000000" w:themeColor="text1"/>
          <w:u w:val="single"/>
        </w:rPr>
      </w:pPr>
    </w:p>
    <w:p w:rsidR="00F612AD" w:rsidRPr="00634CBB" w:rsidRDefault="00F612AD" w:rsidP="000C63AE">
      <w:pPr>
        <w:ind w:left="851" w:right="851"/>
        <w:jc w:val="both"/>
        <w:rPr>
          <w:rFonts w:ascii="Garamond" w:hAnsi="Garamond" w:cs="Times New Roman"/>
          <w:b/>
          <w:color w:val="000000" w:themeColor="text1"/>
          <w:u w:val="single"/>
        </w:rPr>
      </w:pPr>
    </w:p>
    <w:p w:rsidR="00F612AD" w:rsidRPr="00634CBB" w:rsidRDefault="00F612AD" w:rsidP="000C63AE">
      <w:pPr>
        <w:ind w:left="851" w:right="851"/>
        <w:jc w:val="both"/>
        <w:rPr>
          <w:rFonts w:ascii="Garamond" w:hAnsi="Garamond" w:cs="Times New Roman"/>
          <w:b/>
          <w:color w:val="000000" w:themeColor="text1"/>
          <w:u w:val="single"/>
        </w:rPr>
      </w:pPr>
    </w:p>
    <w:p w:rsidR="00F612AD" w:rsidRPr="00634CBB" w:rsidRDefault="00F612AD" w:rsidP="000C63AE">
      <w:pPr>
        <w:ind w:left="851" w:right="851"/>
        <w:jc w:val="both"/>
        <w:rPr>
          <w:rFonts w:ascii="Garamond" w:hAnsi="Garamond" w:cs="Times New Roman"/>
          <w:b/>
          <w:color w:val="000000" w:themeColor="text1"/>
          <w:u w:val="single"/>
        </w:rPr>
      </w:pPr>
    </w:p>
    <w:p w:rsidR="00463DCF" w:rsidRPr="00634CBB" w:rsidRDefault="00463DCF" w:rsidP="000C63AE">
      <w:pPr>
        <w:ind w:left="851" w:right="851"/>
        <w:jc w:val="both"/>
        <w:rPr>
          <w:rFonts w:ascii="Garamond" w:hAnsi="Garamond" w:cs="Times New Roman"/>
          <w:b/>
          <w:color w:val="000000" w:themeColor="text1"/>
          <w:u w:val="single"/>
        </w:rPr>
      </w:pPr>
    </w:p>
    <w:p w:rsidR="00634CBB" w:rsidRDefault="00634CBB" w:rsidP="000C63AE">
      <w:pPr>
        <w:ind w:left="851" w:right="851"/>
        <w:jc w:val="both"/>
        <w:rPr>
          <w:rFonts w:ascii="Garamond" w:hAnsi="Garamond" w:cs="Times New Roman"/>
          <w:b/>
          <w:color w:val="000000" w:themeColor="text1"/>
          <w:u w:val="single"/>
        </w:rPr>
      </w:pPr>
    </w:p>
    <w:p w:rsidR="00634CBB" w:rsidRDefault="00634CBB" w:rsidP="000C63AE">
      <w:pPr>
        <w:ind w:left="851" w:right="851"/>
        <w:jc w:val="both"/>
        <w:rPr>
          <w:rFonts w:ascii="Garamond" w:hAnsi="Garamond" w:cs="Times New Roman"/>
          <w:b/>
          <w:color w:val="000000" w:themeColor="text1"/>
          <w:u w:val="single"/>
        </w:rPr>
      </w:pPr>
    </w:p>
    <w:p w:rsidR="00634CBB" w:rsidRDefault="00634CBB" w:rsidP="000C63AE">
      <w:pPr>
        <w:ind w:left="851" w:right="851"/>
        <w:jc w:val="both"/>
        <w:rPr>
          <w:rFonts w:ascii="Garamond" w:hAnsi="Garamond" w:cs="Times New Roman"/>
          <w:b/>
          <w:color w:val="000000" w:themeColor="text1"/>
          <w:u w:val="single"/>
        </w:rPr>
      </w:pPr>
    </w:p>
    <w:p w:rsidR="00634CBB" w:rsidRDefault="00634CBB" w:rsidP="000C63AE">
      <w:pPr>
        <w:ind w:left="851" w:right="851"/>
        <w:jc w:val="both"/>
        <w:rPr>
          <w:rFonts w:ascii="Garamond" w:hAnsi="Garamond" w:cs="Times New Roman"/>
          <w:b/>
          <w:color w:val="000000" w:themeColor="text1"/>
          <w:u w:val="single"/>
        </w:rPr>
      </w:pPr>
    </w:p>
    <w:p w:rsidR="000C63AE" w:rsidRPr="00634CBB" w:rsidRDefault="00D70FCF" w:rsidP="000C63AE">
      <w:pPr>
        <w:ind w:left="851" w:right="851"/>
        <w:jc w:val="both"/>
        <w:rPr>
          <w:rFonts w:ascii="Garamond" w:hAnsi="Garamond" w:cs="Times New Roman"/>
          <w:color w:val="000000" w:themeColor="text1"/>
        </w:rPr>
      </w:pPr>
      <w:r w:rsidRPr="00634CBB">
        <w:rPr>
          <w:rFonts w:ascii="Garamond" w:hAnsi="Garamond" w:cs="Times New Roman"/>
          <w:b/>
          <w:color w:val="000000" w:themeColor="text1"/>
          <w:u w:val="single"/>
        </w:rPr>
        <w:t>Sommario</w:t>
      </w:r>
      <w:r w:rsidRPr="00634CBB">
        <w:rPr>
          <w:rFonts w:ascii="Garamond" w:hAnsi="Garamond" w:cs="Times New Roman"/>
          <w:b/>
          <w:color w:val="000000" w:themeColor="text1"/>
        </w:rPr>
        <w:t>: 1</w:t>
      </w:r>
      <w:r w:rsidR="000C63AE" w:rsidRPr="00634CBB">
        <w:rPr>
          <w:rFonts w:ascii="Garamond" w:hAnsi="Garamond" w:cs="Times New Roman"/>
          <w:b/>
          <w:color w:val="000000" w:themeColor="text1"/>
        </w:rPr>
        <w:t>.</w:t>
      </w:r>
      <w:r w:rsidR="00D21EF0" w:rsidRPr="00634CBB">
        <w:rPr>
          <w:rFonts w:ascii="Garamond" w:hAnsi="Garamond" w:cs="Times New Roman"/>
          <w:b/>
          <w:color w:val="000000" w:themeColor="text1"/>
        </w:rPr>
        <w:t xml:space="preserve"> </w:t>
      </w:r>
      <w:r w:rsidR="00826E96" w:rsidRPr="00634CBB">
        <w:rPr>
          <w:rFonts w:ascii="Garamond" w:hAnsi="Garamond" w:cs="Times New Roman"/>
          <w:b/>
          <w:color w:val="000000" w:themeColor="text1"/>
        </w:rPr>
        <w:t xml:space="preserve">Premessa: accesso civico generalizzato e tutela della privacy. </w:t>
      </w:r>
      <w:r w:rsidR="000C63AE" w:rsidRPr="00634CBB">
        <w:rPr>
          <w:rFonts w:ascii="Garamond" w:hAnsi="Garamond" w:cs="Times New Roman"/>
          <w:b/>
          <w:color w:val="000000" w:themeColor="text1"/>
        </w:rPr>
        <w:t>2.</w:t>
      </w:r>
      <w:r w:rsidR="00826E96" w:rsidRPr="00634CBB">
        <w:rPr>
          <w:rFonts w:ascii="Garamond" w:hAnsi="Garamond" w:cs="Times New Roman"/>
          <w:b/>
          <w:color w:val="000000" w:themeColor="text1"/>
        </w:rPr>
        <w:t xml:space="preserve"> L’accesso civico generalizzato (introdotto dal Decreto legislativo 25 maggio 2016 n. 97) e l’art. 5-bis del Decreto Legislativo 14 marzo 2013 n. 33. 3</w:t>
      </w:r>
      <w:r w:rsidR="000C63AE" w:rsidRPr="00634CBB">
        <w:rPr>
          <w:rFonts w:ascii="Garamond" w:hAnsi="Garamond" w:cs="Times New Roman"/>
          <w:b/>
          <w:color w:val="000000" w:themeColor="text1"/>
        </w:rPr>
        <w:t>.</w:t>
      </w:r>
      <w:r w:rsidR="00826E96" w:rsidRPr="00634CBB">
        <w:rPr>
          <w:rFonts w:ascii="Garamond" w:hAnsi="Garamond" w:cs="Times New Roman"/>
          <w:b/>
          <w:color w:val="000000" w:themeColor="text1"/>
        </w:rPr>
        <w:t xml:space="preserve"> I primi orientamenti del Garante per la privacy. 4</w:t>
      </w:r>
      <w:r w:rsidR="000C63AE" w:rsidRPr="00634CBB">
        <w:rPr>
          <w:rFonts w:ascii="Garamond" w:hAnsi="Garamond" w:cs="Times New Roman"/>
          <w:b/>
          <w:color w:val="000000" w:themeColor="text1"/>
        </w:rPr>
        <w:t>.</w:t>
      </w:r>
      <w:r w:rsidR="00826E96" w:rsidRPr="00634CBB">
        <w:rPr>
          <w:rFonts w:ascii="Garamond" w:hAnsi="Garamond" w:cs="Times New Roman"/>
          <w:b/>
          <w:color w:val="000000" w:themeColor="text1"/>
        </w:rPr>
        <w:t xml:space="preserve"> La </w:t>
      </w:r>
      <w:r w:rsidR="007376CD" w:rsidRPr="00634CBB">
        <w:rPr>
          <w:rFonts w:ascii="Garamond" w:hAnsi="Garamond" w:cs="Times New Roman"/>
          <w:b/>
          <w:color w:val="000000" w:themeColor="text1"/>
        </w:rPr>
        <w:t xml:space="preserve">posizione del Garante per la privacy sulla </w:t>
      </w:r>
      <w:r w:rsidR="00826E96" w:rsidRPr="00634CBB">
        <w:rPr>
          <w:rFonts w:ascii="Garamond" w:hAnsi="Garamond" w:cs="Times New Roman"/>
          <w:b/>
          <w:color w:val="000000" w:themeColor="text1"/>
        </w:rPr>
        <w:t>questione della sindacabilità delle “finalità” dell’istanza di accesso civico generalizzato e delle “effettive motivazioni” dell’istante. 5</w:t>
      </w:r>
      <w:r w:rsidR="000C63AE" w:rsidRPr="00634CBB">
        <w:rPr>
          <w:rFonts w:ascii="Garamond" w:hAnsi="Garamond" w:cs="Times New Roman"/>
          <w:b/>
          <w:color w:val="000000" w:themeColor="text1"/>
        </w:rPr>
        <w:t>.</w:t>
      </w:r>
      <w:r w:rsidR="00826E96" w:rsidRPr="00634CBB">
        <w:rPr>
          <w:rFonts w:ascii="Garamond" w:hAnsi="Garamond" w:cs="Times New Roman"/>
          <w:b/>
          <w:color w:val="000000" w:themeColor="text1"/>
        </w:rPr>
        <w:t xml:space="preserve"> Argomenti pro e contro l’ammissibilità di un sindacato sulle “effettive motivazioni” dell’istanza di accesso civico generalizzato. </w:t>
      </w:r>
      <w:r w:rsidR="000C63AE" w:rsidRPr="00634CBB">
        <w:rPr>
          <w:rFonts w:ascii="Garamond" w:hAnsi="Garamond" w:cs="Times New Roman"/>
          <w:b/>
          <w:color w:val="000000" w:themeColor="text1"/>
        </w:rPr>
        <w:t>5.1.</w:t>
      </w:r>
      <w:r w:rsidR="00826E96" w:rsidRPr="00634CBB">
        <w:rPr>
          <w:rFonts w:ascii="Garamond" w:hAnsi="Garamond" w:cs="Times New Roman"/>
          <w:b/>
          <w:color w:val="000000" w:themeColor="text1"/>
        </w:rPr>
        <w:t xml:space="preserve"> Argomenti a favore. </w:t>
      </w:r>
      <w:r w:rsidR="000C63AE" w:rsidRPr="00634CBB">
        <w:rPr>
          <w:rFonts w:ascii="Garamond" w:hAnsi="Garamond" w:cs="Times New Roman"/>
          <w:b/>
          <w:color w:val="000000" w:themeColor="text1"/>
        </w:rPr>
        <w:t>5.2.</w:t>
      </w:r>
      <w:r w:rsidR="00826E96" w:rsidRPr="00634CBB">
        <w:rPr>
          <w:rFonts w:ascii="Garamond" w:hAnsi="Garamond" w:cs="Times New Roman"/>
          <w:b/>
          <w:color w:val="000000" w:themeColor="text1"/>
        </w:rPr>
        <w:t xml:space="preserve"> Argomenti contro. 6</w:t>
      </w:r>
      <w:r w:rsidR="000C63AE" w:rsidRPr="00634CBB">
        <w:rPr>
          <w:rFonts w:ascii="Garamond" w:hAnsi="Garamond" w:cs="Times New Roman"/>
          <w:b/>
          <w:color w:val="000000" w:themeColor="text1"/>
        </w:rPr>
        <w:t>.</w:t>
      </w:r>
      <w:r w:rsidR="00826E96" w:rsidRPr="00634CBB">
        <w:rPr>
          <w:rFonts w:ascii="Garamond" w:hAnsi="Garamond" w:cs="Times New Roman"/>
          <w:b/>
          <w:color w:val="000000" w:themeColor="text1"/>
        </w:rPr>
        <w:t xml:space="preserve"> Sull</w:t>
      </w:r>
      <w:proofErr w:type="gramStart"/>
      <w:r w:rsidR="00826E96" w:rsidRPr="00634CBB">
        <w:rPr>
          <w:rFonts w:ascii="Garamond" w:hAnsi="Garamond" w:cs="Times New Roman"/>
          <w:b/>
          <w:color w:val="000000" w:themeColor="text1"/>
        </w:rPr>
        <w:t>’”abuso</w:t>
      </w:r>
      <w:proofErr w:type="gramEnd"/>
      <w:r w:rsidR="00826E96" w:rsidRPr="00634CBB">
        <w:rPr>
          <w:rFonts w:ascii="Garamond" w:hAnsi="Garamond" w:cs="Times New Roman"/>
          <w:b/>
          <w:color w:val="000000" w:themeColor="text1"/>
        </w:rPr>
        <w:t>” del diritto di accesso civico generalizzato. 7</w:t>
      </w:r>
      <w:r w:rsidR="000C63AE" w:rsidRPr="00634CBB">
        <w:rPr>
          <w:rFonts w:ascii="Garamond" w:hAnsi="Garamond" w:cs="Times New Roman"/>
          <w:b/>
          <w:color w:val="000000" w:themeColor="text1"/>
        </w:rPr>
        <w:t>.</w:t>
      </w:r>
      <w:r w:rsidR="00826E96" w:rsidRPr="00634CBB">
        <w:rPr>
          <w:rFonts w:ascii="Garamond" w:hAnsi="Garamond" w:cs="Times New Roman"/>
          <w:b/>
          <w:color w:val="000000" w:themeColor="text1"/>
        </w:rPr>
        <w:t xml:space="preserve"> La posizione della giurisprudenza amministrativa. </w:t>
      </w:r>
      <w:r w:rsidR="000C63AE" w:rsidRPr="00634CBB">
        <w:rPr>
          <w:rFonts w:ascii="Garamond" w:hAnsi="Garamond" w:cs="Times New Roman"/>
          <w:b/>
          <w:color w:val="000000" w:themeColor="text1"/>
        </w:rPr>
        <w:t>8.</w:t>
      </w:r>
      <w:r w:rsidR="00826E96" w:rsidRPr="00634CBB">
        <w:rPr>
          <w:rFonts w:ascii="Garamond" w:hAnsi="Garamond" w:cs="Times New Roman"/>
          <w:b/>
          <w:color w:val="000000" w:themeColor="text1"/>
        </w:rPr>
        <w:t xml:space="preserve"> Il giudizio di ponderazione degli interessi contrapposti ai sensi dell’art. 5-bis, comma 2, D.Lgs. 33/2013.</w:t>
      </w:r>
      <w:r w:rsidR="000C63AE" w:rsidRPr="00634CBB">
        <w:rPr>
          <w:rFonts w:ascii="Garamond" w:hAnsi="Garamond" w:cs="Times New Roman"/>
          <w:b/>
          <w:color w:val="000000" w:themeColor="text1"/>
        </w:rPr>
        <w:t xml:space="preserve"> 9. Le potenzialità applicative dell</w:t>
      </w:r>
      <w:proofErr w:type="gramStart"/>
      <w:r w:rsidR="000C63AE" w:rsidRPr="00634CBB">
        <w:rPr>
          <w:rFonts w:ascii="Garamond" w:hAnsi="Garamond" w:cs="Times New Roman"/>
          <w:b/>
          <w:color w:val="000000" w:themeColor="text1"/>
        </w:rPr>
        <w:t>’”accesso</w:t>
      </w:r>
      <w:proofErr w:type="gramEnd"/>
      <w:r w:rsidR="000C63AE" w:rsidRPr="00634CBB">
        <w:rPr>
          <w:rFonts w:ascii="Garamond" w:hAnsi="Garamond" w:cs="Times New Roman"/>
          <w:b/>
          <w:color w:val="000000" w:themeColor="text1"/>
        </w:rPr>
        <w:t xml:space="preserve"> parziale” con oscuramento dei dati personali.</w:t>
      </w:r>
    </w:p>
    <w:p w:rsidR="00826E96" w:rsidRPr="00634CBB" w:rsidRDefault="00826E96" w:rsidP="00826E96">
      <w:pPr>
        <w:spacing w:line="360" w:lineRule="auto"/>
        <w:ind w:left="851" w:right="851"/>
        <w:jc w:val="both"/>
        <w:rPr>
          <w:rFonts w:ascii="Garamond" w:eastAsia="Cambria" w:hAnsi="Garamond" w:cs="Times New Roman"/>
          <w:color w:val="000000" w:themeColor="text1"/>
        </w:rPr>
      </w:pPr>
    </w:p>
    <w:p w:rsidR="00634CBB" w:rsidRDefault="00634CBB" w:rsidP="00E501EB">
      <w:pPr>
        <w:spacing w:line="360" w:lineRule="auto"/>
        <w:ind w:left="851" w:right="851"/>
        <w:jc w:val="both"/>
        <w:rPr>
          <w:rFonts w:ascii="Garamond" w:hAnsi="Garamond" w:cs="Times New Roman"/>
          <w:b/>
          <w:color w:val="000000" w:themeColor="text1"/>
        </w:rPr>
      </w:pPr>
    </w:p>
    <w:p w:rsidR="003210CC" w:rsidRPr="00634CBB" w:rsidRDefault="00D70FCF" w:rsidP="00E501EB">
      <w:pPr>
        <w:spacing w:line="360" w:lineRule="auto"/>
        <w:ind w:left="851" w:right="851"/>
        <w:jc w:val="both"/>
        <w:rPr>
          <w:rFonts w:ascii="Garamond" w:hAnsi="Garamond" w:cs="Times New Roman"/>
          <w:b/>
          <w:color w:val="000000" w:themeColor="text1"/>
        </w:rPr>
      </w:pPr>
      <w:r w:rsidRPr="00634CBB">
        <w:rPr>
          <w:rFonts w:ascii="Garamond" w:hAnsi="Garamond" w:cs="Times New Roman"/>
          <w:b/>
          <w:color w:val="000000" w:themeColor="text1"/>
        </w:rPr>
        <w:lastRenderedPageBreak/>
        <w:t>1</w:t>
      </w:r>
      <w:r w:rsidR="000C63AE" w:rsidRPr="00634CBB">
        <w:rPr>
          <w:rFonts w:ascii="Garamond" w:hAnsi="Garamond" w:cs="Times New Roman"/>
          <w:b/>
          <w:color w:val="000000" w:themeColor="text1"/>
        </w:rPr>
        <w:t>.</w:t>
      </w:r>
      <w:r w:rsidR="003210CC" w:rsidRPr="00634CBB">
        <w:rPr>
          <w:rFonts w:ascii="Garamond" w:hAnsi="Garamond" w:cs="Times New Roman"/>
          <w:b/>
          <w:color w:val="000000" w:themeColor="text1"/>
        </w:rPr>
        <w:t xml:space="preserve"> </w:t>
      </w:r>
      <w:r w:rsidR="00D21EF0" w:rsidRPr="00634CBB">
        <w:rPr>
          <w:rFonts w:ascii="Garamond" w:hAnsi="Garamond" w:cs="Times New Roman"/>
          <w:b/>
          <w:color w:val="000000" w:themeColor="text1"/>
        </w:rPr>
        <w:t xml:space="preserve">Premessa: accesso civico generalizzato e tutela della privacy. </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Storicamente, agli occhi del Legislatore e dell’interprete, il Diritto di accesso ed il Diritto alla riservatezza sono protagonisti sulla scena del diritto che mal si sopportano reciprocamente.</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Tale idiosincrasia </w:t>
      </w:r>
      <w:r w:rsidR="00D21EF0" w:rsidRPr="00634CBB">
        <w:rPr>
          <w:rFonts w:ascii="Garamond" w:hAnsi="Garamond" w:cs="Times New Roman"/>
          <w:color w:val="000000" w:themeColor="text1"/>
        </w:rPr>
        <w:t xml:space="preserve">è in parte fisiologica in quanto </w:t>
      </w:r>
      <w:r w:rsidRPr="00634CBB">
        <w:rPr>
          <w:rFonts w:ascii="Garamond" w:hAnsi="Garamond" w:cs="Times New Roman"/>
          <w:color w:val="000000" w:themeColor="text1"/>
        </w:rPr>
        <w:t>nasce, per così dire, dalla differente inclinazion</w:t>
      </w:r>
      <w:r w:rsidR="00D21EF0" w:rsidRPr="00634CBB">
        <w:rPr>
          <w:rFonts w:ascii="Garamond" w:hAnsi="Garamond" w:cs="Times New Roman"/>
          <w:color w:val="000000" w:themeColor="text1"/>
        </w:rPr>
        <w:t>e naturale dei due attori, volti</w:t>
      </w:r>
      <w:r w:rsidRPr="00634CBB">
        <w:rPr>
          <w:rFonts w:ascii="Garamond" w:hAnsi="Garamond" w:cs="Times New Roman"/>
          <w:color w:val="000000" w:themeColor="text1"/>
        </w:rPr>
        <w:t xml:space="preserve"> il primo (diritto di accesso) alla acquisizione </w:t>
      </w:r>
      <w:r w:rsidR="00D70FCF" w:rsidRPr="00634CBB">
        <w:rPr>
          <w:rFonts w:ascii="Garamond" w:hAnsi="Garamond" w:cs="Times New Roman"/>
          <w:color w:val="000000" w:themeColor="text1"/>
        </w:rPr>
        <w:t>e</w:t>
      </w:r>
      <w:r w:rsidR="00C40B40" w:rsidRPr="00634CBB">
        <w:rPr>
          <w:rFonts w:ascii="Garamond" w:hAnsi="Garamond" w:cs="Times New Roman"/>
          <w:color w:val="000000" w:themeColor="text1"/>
        </w:rPr>
        <w:t>d</w:t>
      </w:r>
      <w:r w:rsidR="00D70FCF" w:rsidRPr="00634CBB">
        <w:rPr>
          <w:rFonts w:ascii="Garamond" w:hAnsi="Garamond" w:cs="Times New Roman"/>
          <w:color w:val="000000" w:themeColor="text1"/>
        </w:rPr>
        <w:t xml:space="preserve"> </w:t>
      </w:r>
      <w:r w:rsidR="00C40B40" w:rsidRPr="00634CBB">
        <w:rPr>
          <w:rFonts w:ascii="Garamond" w:hAnsi="Garamond" w:cs="Times New Roman"/>
          <w:color w:val="000000" w:themeColor="text1"/>
        </w:rPr>
        <w:t>alla circolazione</w:t>
      </w:r>
      <w:r w:rsidR="00D21EF0"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delle informazioni detenute dalla Pubblica Amministrazione e </w:t>
      </w:r>
      <w:r w:rsidR="00C40B40" w:rsidRPr="00634CBB">
        <w:rPr>
          <w:rFonts w:ascii="Garamond" w:hAnsi="Garamond" w:cs="Times New Roman"/>
          <w:color w:val="000000" w:themeColor="text1"/>
        </w:rPr>
        <w:t xml:space="preserve">il secondo </w:t>
      </w:r>
      <w:r w:rsidRPr="00634CBB">
        <w:rPr>
          <w:rFonts w:ascii="Garamond" w:hAnsi="Garamond" w:cs="Times New Roman"/>
          <w:color w:val="000000" w:themeColor="text1"/>
        </w:rPr>
        <w:t xml:space="preserve">(diritto alla riservatezza) ad impedire la comunicazione, la divulgazione e la diffusione al pubblico delle informazioni, se non la stessa conoscenza delle informazioni da parte dei </w:t>
      </w:r>
      <w:proofErr w:type="gramStart"/>
      <w:r w:rsidRPr="00634CBB">
        <w:rPr>
          <w:rFonts w:ascii="Garamond" w:hAnsi="Garamond" w:cs="Times New Roman"/>
          <w:color w:val="000000" w:themeColor="text1"/>
        </w:rPr>
        <w:t xml:space="preserve">terzi </w:t>
      </w:r>
      <w:r w:rsidRPr="00634CBB">
        <w:rPr>
          <w:rStyle w:val="Rimandonotaapidipagina"/>
          <w:rFonts w:ascii="Garamond" w:hAnsi="Garamond" w:cs="Times New Roman"/>
          <w:color w:val="000000" w:themeColor="text1"/>
        </w:rPr>
        <w:footnoteReference w:id="1"/>
      </w:r>
      <w:r w:rsidRPr="00634CBB">
        <w:rPr>
          <w:rFonts w:ascii="Garamond" w:hAnsi="Garamond" w:cs="Times New Roman"/>
          <w:color w:val="000000" w:themeColor="text1"/>
        </w:rPr>
        <w:t>.</w:t>
      </w:r>
      <w:proofErr w:type="gramEnd"/>
    </w:p>
    <w:p w:rsidR="003210CC" w:rsidRPr="00634CBB" w:rsidRDefault="003D6A49"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La ragione d’essere</w:t>
      </w:r>
      <w:r w:rsidR="00D21EF0" w:rsidRPr="00634CBB">
        <w:rPr>
          <w:rFonts w:ascii="Garamond" w:hAnsi="Garamond" w:cs="Times New Roman"/>
          <w:color w:val="000000" w:themeColor="text1"/>
        </w:rPr>
        <w:t xml:space="preserve"> dei due Diritti </w:t>
      </w:r>
      <w:r w:rsidRPr="00634CBB">
        <w:rPr>
          <w:rFonts w:ascii="Garamond" w:hAnsi="Garamond" w:cs="Times New Roman"/>
          <w:color w:val="000000" w:themeColor="text1"/>
        </w:rPr>
        <w:t xml:space="preserve">è </w:t>
      </w:r>
      <w:r w:rsidR="00D21EF0" w:rsidRPr="00634CBB">
        <w:rPr>
          <w:rFonts w:ascii="Garamond" w:hAnsi="Garamond" w:cs="Times New Roman"/>
          <w:color w:val="000000" w:themeColor="text1"/>
        </w:rPr>
        <w:t xml:space="preserve">quindi </w:t>
      </w:r>
      <w:r w:rsidRPr="00634CBB">
        <w:rPr>
          <w:rFonts w:ascii="Garamond" w:hAnsi="Garamond" w:cs="Times New Roman"/>
          <w:color w:val="000000" w:themeColor="text1"/>
        </w:rPr>
        <w:t>evidentemente antitetica</w:t>
      </w:r>
      <w:r w:rsidR="003210CC" w:rsidRPr="00634CBB">
        <w:rPr>
          <w:rFonts w:ascii="Garamond" w:hAnsi="Garamond" w:cs="Times New Roman"/>
          <w:color w:val="000000" w:themeColor="text1"/>
        </w:rPr>
        <w:t xml:space="preserve"> sul piano fattuale, prima ancora che giuridico, stante che l’accesso implica la necessaria esteriorizzazione delle informaz</w:t>
      </w:r>
      <w:r w:rsidR="00C33A03" w:rsidRPr="00634CBB">
        <w:rPr>
          <w:rFonts w:ascii="Garamond" w:hAnsi="Garamond" w:cs="Times New Roman"/>
          <w:color w:val="000000" w:themeColor="text1"/>
        </w:rPr>
        <w:t xml:space="preserve">ioni, mentre la riservatezza </w:t>
      </w:r>
      <w:r w:rsidR="003210CC" w:rsidRPr="00634CBB">
        <w:rPr>
          <w:rFonts w:ascii="Garamond" w:hAnsi="Garamond" w:cs="Times New Roman"/>
          <w:color w:val="000000" w:themeColor="text1"/>
        </w:rPr>
        <w:t xml:space="preserve">presuppone la limitazione </w:t>
      </w:r>
      <w:r w:rsidR="00C33A03" w:rsidRPr="00634CBB">
        <w:rPr>
          <w:rFonts w:ascii="Garamond" w:hAnsi="Garamond" w:cs="Times New Roman"/>
          <w:color w:val="000000" w:themeColor="text1"/>
        </w:rPr>
        <w:t xml:space="preserve">della circolazione delle informazioni, </w:t>
      </w:r>
      <w:r w:rsidR="003210CC" w:rsidRPr="00634CBB">
        <w:rPr>
          <w:rFonts w:ascii="Garamond" w:hAnsi="Garamond" w:cs="Times New Roman"/>
          <w:color w:val="000000" w:themeColor="text1"/>
        </w:rPr>
        <w:t xml:space="preserve">a tutela della sfera intima della persona.  </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Aggiungasi che i due attori hanno differente origine e provenienza</w:t>
      </w:r>
      <w:r w:rsidR="003D6A49" w:rsidRPr="00634CBB">
        <w:rPr>
          <w:rFonts w:ascii="Garamond" w:hAnsi="Garamond" w:cs="Times New Roman"/>
          <w:color w:val="000000" w:themeColor="text1"/>
        </w:rPr>
        <w:t xml:space="preserve"> anche sul piano ordinamentale</w:t>
      </w:r>
      <w:r w:rsidRPr="00634CBB">
        <w:rPr>
          <w:rFonts w:ascii="Garamond" w:hAnsi="Garamond" w:cs="Times New Roman"/>
          <w:color w:val="000000" w:themeColor="text1"/>
        </w:rPr>
        <w:t xml:space="preserve">, visto che l’accesso nasce come prerogativa del “cittadino” (rectius: del “contribuente”) </w:t>
      </w:r>
      <w:r w:rsidR="003D6A49" w:rsidRPr="00634CBB">
        <w:rPr>
          <w:rFonts w:ascii="Garamond" w:hAnsi="Garamond" w:cs="Times New Roman"/>
          <w:color w:val="000000" w:themeColor="text1"/>
        </w:rPr>
        <w:t xml:space="preserve">nei confronti della Pubblica Amministrazione </w:t>
      </w:r>
      <w:r w:rsidRPr="00634CBB">
        <w:rPr>
          <w:rFonts w:ascii="Garamond" w:hAnsi="Garamond" w:cs="Times New Roman"/>
          <w:color w:val="000000" w:themeColor="text1"/>
        </w:rPr>
        <w:t xml:space="preserve">nell’ambito dell’ordinamento </w:t>
      </w:r>
      <w:proofErr w:type="gramStart"/>
      <w:r w:rsidRPr="00634CBB">
        <w:rPr>
          <w:rFonts w:ascii="Garamond" w:hAnsi="Garamond" w:cs="Times New Roman"/>
          <w:color w:val="000000" w:themeColor="text1"/>
        </w:rPr>
        <w:t xml:space="preserve">pubblicistico </w:t>
      </w:r>
      <w:r w:rsidRPr="00634CBB">
        <w:rPr>
          <w:rStyle w:val="Rimandonotaapidipagina"/>
          <w:rFonts w:ascii="Garamond" w:hAnsi="Garamond" w:cs="Times New Roman"/>
          <w:color w:val="000000" w:themeColor="text1"/>
        </w:rPr>
        <w:footnoteReference w:id="2"/>
      </w:r>
      <w:r w:rsidRPr="00634CBB">
        <w:rPr>
          <w:rFonts w:ascii="Garamond" w:hAnsi="Garamond" w:cs="Times New Roman"/>
          <w:color w:val="000000" w:themeColor="text1"/>
        </w:rPr>
        <w:t>,</w:t>
      </w:r>
      <w:proofErr w:type="gramEnd"/>
      <w:r w:rsidRPr="00634CBB">
        <w:rPr>
          <w:rFonts w:ascii="Garamond" w:hAnsi="Garamond" w:cs="Times New Roman"/>
          <w:color w:val="000000" w:themeColor="text1"/>
        </w:rPr>
        <w:t xml:space="preserve"> mentre la riservatezza è patrimonio del singolo individuo, riconosciuto nel contesto dell’elaborazione privatistica dei diritti della personalità </w:t>
      </w:r>
      <w:r w:rsidRPr="00634CBB">
        <w:rPr>
          <w:rStyle w:val="Rimandonotaapidipagina"/>
          <w:rFonts w:ascii="Garamond" w:hAnsi="Garamond" w:cs="Times New Roman"/>
          <w:color w:val="000000" w:themeColor="text1"/>
        </w:rPr>
        <w:footnoteReference w:id="3"/>
      </w:r>
      <w:r w:rsidRPr="00634CBB">
        <w:rPr>
          <w:rFonts w:ascii="Garamond" w:hAnsi="Garamond" w:cs="Times New Roman"/>
          <w:color w:val="000000" w:themeColor="text1"/>
        </w:rPr>
        <w:t>.</w:t>
      </w:r>
      <w:r w:rsidRPr="00634CBB">
        <w:rPr>
          <w:rFonts w:ascii="Garamond" w:hAnsi="Garamond" w:cs="Times New Roman"/>
          <w:color w:val="000000" w:themeColor="text1"/>
        </w:rPr>
        <w:tab/>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E’ così parso, per lungo tempo, </w:t>
      </w:r>
      <w:r w:rsidR="00C33A03" w:rsidRPr="00634CBB">
        <w:rPr>
          <w:rFonts w:ascii="Garamond" w:hAnsi="Garamond" w:cs="Times New Roman"/>
          <w:color w:val="000000" w:themeColor="text1"/>
        </w:rPr>
        <w:t>a</w:t>
      </w:r>
      <w:r w:rsidRPr="00634CBB">
        <w:rPr>
          <w:rFonts w:ascii="Garamond" w:hAnsi="Garamond" w:cs="Times New Roman"/>
          <w:color w:val="000000" w:themeColor="text1"/>
        </w:rPr>
        <w:t>l Legislatore di pote</w:t>
      </w:r>
      <w:r w:rsidR="003D6A49" w:rsidRPr="00634CBB">
        <w:rPr>
          <w:rFonts w:ascii="Garamond" w:hAnsi="Garamond" w:cs="Times New Roman"/>
          <w:color w:val="000000" w:themeColor="text1"/>
        </w:rPr>
        <w:t>r</w:t>
      </w:r>
      <w:r w:rsidRPr="00634CBB">
        <w:rPr>
          <w:rFonts w:ascii="Garamond" w:hAnsi="Garamond" w:cs="Times New Roman"/>
          <w:color w:val="000000" w:themeColor="text1"/>
        </w:rPr>
        <w:t xml:space="preserve"> risolvere il fisiologico conflitto tra i due </w:t>
      </w:r>
      <w:r w:rsidR="003D6A49" w:rsidRPr="00634CBB">
        <w:rPr>
          <w:rFonts w:ascii="Garamond" w:hAnsi="Garamond" w:cs="Times New Roman"/>
          <w:color w:val="000000" w:themeColor="text1"/>
        </w:rPr>
        <w:t xml:space="preserve">antagonisti </w:t>
      </w:r>
      <w:r w:rsidRPr="00634CBB">
        <w:rPr>
          <w:rFonts w:ascii="Garamond" w:hAnsi="Garamond" w:cs="Times New Roman"/>
          <w:color w:val="000000" w:themeColor="text1"/>
        </w:rPr>
        <w:t xml:space="preserve">con </w:t>
      </w:r>
      <w:r w:rsidR="0039286E" w:rsidRPr="00634CBB">
        <w:rPr>
          <w:rFonts w:ascii="Garamond" w:hAnsi="Garamond" w:cs="Times New Roman"/>
          <w:color w:val="000000" w:themeColor="text1"/>
        </w:rPr>
        <w:t xml:space="preserve">una pregiudiziale prevalenza </w:t>
      </w:r>
      <w:r w:rsidRPr="00634CBB">
        <w:rPr>
          <w:rFonts w:ascii="Garamond" w:hAnsi="Garamond" w:cs="Times New Roman"/>
          <w:color w:val="000000" w:themeColor="text1"/>
        </w:rPr>
        <w:t xml:space="preserve">dell’uno </w:t>
      </w:r>
      <w:r w:rsidR="008546D8" w:rsidRPr="00634CBB">
        <w:rPr>
          <w:rFonts w:ascii="Garamond" w:hAnsi="Garamond" w:cs="Times New Roman"/>
          <w:color w:val="000000" w:themeColor="text1"/>
        </w:rPr>
        <w:t xml:space="preserve">(diritto alla riservatezza) </w:t>
      </w:r>
      <w:r w:rsidRPr="00634CBB">
        <w:rPr>
          <w:rFonts w:ascii="Garamond" w:hAnsi="Garamond" w:cs="Times New Roman"/>
          <w:color w:val="000000" w:themeColor="text1"/>
        </w:rPr>
        <w:t xml:space="preserve">a </w:t>
      </w:r>
      <w:r w:rsidR="0039286E" w:rsidRPr="00634CBB">
        <w:rPr>
          <w:rFonts w:ascii="Garamond" w:hAnsi="Garamond" w:cs="Times New Roman"/>
          <w:color w:val="000000" w:themeColor="text1"/>
        </w:rPr>
        <w:t xml:space="preserve">scapito </w:t>
      </w:r>
      <w:r w:rsidRPr="00634CBB">
        <w:rPr>
          <w:rFonts w:ascii="Garamond" w:hAnsi="Garamond" w:cs="Times New Roman"/>
          <w:color w:val="000000" w:themeColor="text1"/>
        </w:rPr>
        <w:t>dell’altro</w:t>
      </w:r>
      <w:r w:rsidR="008546D8" w:rsidRPr="00634CBB">
        <w:rPr>
          <w:rFonts w:ascii="Garamond" w:hAnsi="Garamond" w:cs="Times New Roman"/>
          <w:color w:val="000000" w:themeColor="text1"/>
        </w:rPr>
        <w:t xml:space="preserve"> (diritto d’accesso)</w:t>
      </w:r>
      <w:r w:rsidRPr="00634CBB">
        <w:rPr>
          <w:rFonts w:ascii="Garamond" w:hAnsi="Garamond" w:cs="Times New Roman"/>
          <w:color w:val="000000" w:themeColor="text1"/>
        </w:rPr>
        <w:t>, apparendo impossibile una loro pacifica convivenza.</w:t>
      </w:r>
    </w:p>
    <w:p w:rsidR="0039286E"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Uscendo dalla metafora, può dirsi che il sistema ordinamentale interno ha lungamente concepito il rapporto tra il diritto di accesso ed il diri</w:t>
      </w:r>
      <w:r w:rsidR="003D6A49" w:rsidRPr="00634CBB">
        <w:rPr>
          <w:rFonts w:ascii="Garamond" w:hAnsi="Garamond" w:cs="Times New Roman"/>
          <w:color w:val="000000" w:themeColor="text1"/>
        </w:rPr>
        <w:t>tto alla riservatezza in termini</w:t>
      </w:r>
      <w:r w:rsidRPr="00634CBB">
        <w:rPr>
          <w:rFonts w:ascii="Garamond" w:hAnsi="Garamond" w:cs="Times New Roman"/>
          <w:color w:val="000000" w:themeColor="text1"/>
        </w:rPr>
        <w:t xml:space="preserve"> di </w:t>
      </w:r>
      <w:r w:rsidRPr="00634CBB">
        <w:rPr>
          <w:rFonts w:ascii="Garamond" w:hAnsi="Garamond" w:cs="Times New Roman"/>
          <w:color w:val="000000" w:themeColor="text1"/>
        </w:rPr>
        <w:lastRenderedPageBreak/>
        <w:t>incompatibilità, privilegiando criteri rigidi di risoluzione del conflitto</w:t>
      </w:r>
      <w:r w:rsidR="003D6A49" w:rsidRPr="00634CBB">
        <w:rPr>
          <w:rFonts w:ascii="Garamond" w:hAnsi="Garamond" w:cs="Times New Roman"/>
          <w:color w:val="000000" w:themeColor="text1"/>
        </w:rPr>
        <w:t xml:space="preserve"> </w:t>
      </w:r>
      <w:r w:rsidR="0039286E" w:rsidRPr="00634CBB">
        <w:rPr>
          <w:rFonts w:ascii="Garamond" w:hAnsi="Garamond" w:cs="Times New Roman"/>
          <w:color w:val="000000" w:themeColor="text1"/>
        </w:rPr>
        <w:t xml:space="preserve">nel segno della </w:t>
      </w:r>
      <w:r w:rsidRPr="00634CBB">
        <w:rPr>
          <w:rFonts w:ascii="Garamond" w:hAnsi="Garamond" w:cs="Times New Roman"/>
          <w:color w:val="000000" w:themeColor="text1"/>
        </w:rPr>
        <w:t>prevale</w:t>
      </w:r>
      <w:r w:rsidR="0039286E" w:rsidRPr="00634CBB">
        <w:rPr>
          <w:rFonts w:ascii="Garamond" w:hAnsi="Garamond" w:cs="Times New Roman"/>
          <w:color w:val="000000" w:themeColor="text1"/>
        </w:rPr>
        <w:t>nza dell’uno rispetto all’altro.</w:t>
      </w:r>
    </w:p>
    <w:p w:rsidR="003210CC" w:rsidRPr="00634CBB" w:rsidRDefault="0039286E"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Ed</w:t>
      </w:r>
      <w:r w:rsidR="003210CC" w:rsidRPr="00634CBB">
        <w:rPr>
          <w:rFonts w:ascii="Garamond" w:hAnsi="Garamond" w:cs="Times New Roman"/>
          <w:color w:val="000000" w:themeColor="text1"/>
        </w:rPr>
        <w:t xml:space="preserve"> in questo quadro il diritto alla riservatezza ha avuto gioco facile nel rita</w:t>
      </w:r>
      <w:r w:rsidRPr="00634CBB">
        <w:rPr>
          <w:rFonts w:ascii="Garamond" w:hAnsi="Garamond" w:cs="Times New Roman"/>
          <w:color w:val="000000" w:themeColor="text1"/>
        </w:rPr>
        <w:t xml:space="preserve">gliarsi un ruolo dominante, per </w:t>
      </w:r>
      <w:r w:rsidR="003210CC" w:rsidRPr="00634CBB">
        <w:rPr>
          <w:rFonts w:ascii="Garamond" w:hAnsi="Garamond" w:cs="Times New Roman"/>
          <w:color w:val="000000" w:themeColor="text1"/>
        </w:rPr>
        <w:t xml:space="preserve">la complicità di due fattori: da una parte il livello impari di tutela giuridica riconosciuta ai due diritti, dall’altra il dogma della “strumentalità” del diritto di accesso. </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Sotto il pr</w:t>
      </w:r>
      <w:r w:rsidR="00664527" w:rsidRPr="00634CBB">
        <w:rPr>
          <w:rFonts w:ascii="Garamond" w:hAnsi="Garamond" w:cs="Times New Roman"/>
          <w:color w:val="000000" w:themeColor="text1"/>
        </w:rPr>
        <w:t xml:space="preserve">imo profilo, </w:t>
      </w:r>
      <w:r w:rsidRPr="00634CBB">
        <w:rPr>
          <w:rFonts w:ascii="Garamond" w:hAnsi="Garamond" w:cs="Times New Roman"/>
          <w:color w:val="000000" w:themeColor="text1"/>
        </w:rPr>
        <w:t xml:space="preserve">mentre la riservatezza trovava dignità costituzionale sotto l’ombrello dell’art. 2 (che tutela i diritti inviolabili dell’uomo) e, per alcuni aspetti, dell’art. 21 della Costituzione (che garantisce la libertà di </w:t>
      </w:r>
      <w:r w:rsidR="00664527" w:rsidRPr="00634CBB">
        <w:rPr>
          <w:rFonts w:ascii="Garamond" w:hAnsi="Garamond" w:cs="Times New Roman"/>
          <w:color w:val="000000" w:themeColor="text1"/>
        </w:rPr>
        <w:t>manifestazione del pensiero, e</w:t>
      </w:r>
      <w:r w:rsidRPr="00634CBB">
        <w:rPr>
          <w:rFonts w:ascii="Garamond" w:hAnsi="Garamond" w:cs="Times New Roman"/>
          <w:color w:val="000000" w:themeColor="text1"/>
        </w:rPr>
        <w:t>, ne</w:t>
      </w:r>
      <w:r w:rsidR="00664527" w:rsidRPr="00634CBB">
        <w:rPr>
          <w:rFonts w:ascii="Garamond" w:hAnsi="Garamond" w:cs="Times New Roman"/>
          <w:color w:val="000000" w:themeColor="text1"/>
        </w:rPr>
        <w:t xml:space="preserve">l suo aspetto negativo, </w:t>
      </w:r>
      <w:r w:rsidRPr="00634CBB">
        <w:rPr>
          <w:rFonts w:ascii="Garamond" w:hAnsi="Garamond" w:cs="Times New Roman"/>
          <w:color w:val="000000" w:themeColor="text1"/>
        </w:rPr>
        <w:t xml:space="preserve">anche il cd. "right to be </w:t>
      </w:r>
      <w:proofErr w:type="spellStart"/>
      <w:r w:rsidRPr="00634CBB">
        <w:rPr>
          <w:rFonts w:ascii="Garamond" w:hAnsi="Garamond" w:cs="Times New Roman"/>
          <w:color w:val="000000" w:themeColor="text1"/>
        </w:rPr>
        <w:t>silent</w:t>
      </w:r>
      <w:proofErr w:type="spellEnd"/>
      <w:r w:rsidRPr="00634CBB">
        <w:rPr>
          <w:rFonts w:ascii="Garamond" w:hAnsi="Garamond" w:cs="Times New Roman"/>
          <w:color w:val="000000" w:themeColor="text1"/>
        </w:rPr>
        <w:t>"</w:t>
      </w:r>
      <w:proofErr w:type="gramStart"/>
      <w:r w:rsidRPr="00634CBB">
        <w:rPr>
          <w:rFonts w:ascii="Garamond" w:hAnsi="Garamond" w:cs="Times New Roman"/>
          <w:color w:val="000000" w:themeColor="text1"/>
        </w:rPr>
        <w:t xml:space="preserve">) </w:t>
      </w:r>
      <w:r w:rsidRPr="00634CBB">
        <w:rPr>
          <w:rStyle w:val="Rimandonotaapidipagina"/>
          <w:rFonts w:ascii="Garamond" w:hAnsi="Garamond" w:cs="Times New Roman"/>
          <w:color w:val="000000" w:themeColor="text1"/>
        </w:rPr>
        <w:footnoteReference w:id="4"/>
      </w:r>
      <w:r w:rsidRPr="00634CBB">
        <w:rPr>
          <w:rFonts w:ascii="Garamond" w:hAnsi="Garamond" w:cs="Times New Roman"/>
          <w:color w:val="000000" w:themeColor="text1"/>
        </w:rPr>
        <w:t>,</w:t>
      </w:r>
      <w:proofErr w:type="gramEnd"/>
      <w:r w:rsidRPr="00634CBB">
        <w:rPr>
          <w:rFonts w:ascii="Garamond" w:hAnsi="Garamond" w:cs="Times New Roman"/>
          <w:color w:val="000000" w:themeColor="text1"/>
        </w:rPr>
        <w:t xml:space="preserve"> nonché delle Convenzioni internazionali </w:t>
      </w:r>
      <w:r w:rsidRPr="00634CBB">
        <w:rPr>
          <w:rStyle w:val="Rimandonotaapidipagina"/>
          <w:rFonts w:ascii="Garamond" w:hAnsi="Garamond" w:cs="Times New Roman"/>
          <w:color w:val="000000" w:themeColor="text1"/>
        </w:rPr>
        <w:footnoteReference w:id="5"/>
      </w:r>
      <w:r w:rsidRPr="00634CBB">
        <w:rPr>
          <w:rFonts w:ascii="Garamond" w:hAnsi="Garamond" w:cs="Times New Roman"/>
          <w:color w:val="000000" w:themeColor="text1"/>
        </w:rPr>
        <w:t xml:space="preserve">, il diritto di accesso è rimasto per lungo tempo privo di copertura costituzionale, nonostante gli sforzi della dottrina e della giurisprudenza di ricondurre il principio di trasparenza </w:t>
      </w:r>
      <w:r w:rsidR="00664527" w:rsidRPr="00634CBB">
        <w:rPr>
          <w:rFonts w:ascii="Garamond" w:hAnsi="Garamond" w:cs="Times New Roman"/>
          <w:color w:val="000000" w:themeColor="text1"/>
        </w:rPr>
        <w:t xml:space="preserve">e di pubblicità </w:t>
      </w:r>
      <w:r w:rsidRPr="00634CBB">
        <w:rPr>
          <w:rFonts w:ascii="Garamond" w:hAnsi="Garamond" w:cs="Times New Roman"/>
          <w:color w:val="000000" w:themeColor="text1"/>
        </w:rPr>
        <w:t xml:space="preserve">dell’azione amministrativa nell’ambito dell’art. 97 della Costituzione </w:t>
      </w:r>
      <w:r w:rsidRPr="00634CBB">
        <w:rPr>
          <w:rStyle w:val="Rimandonotaapidipagina"/>
          <w:rFonts w:ascii="Garamond" w:hAnsi="Garamond" w:cs="Times New Roman"/>
          <w:color w:val="000000" w:themeColor="text1"/>
        </w:rPr>
        <w:footnoteReference w:id="6"/>
      </w:r>
      <w:r w:rsidRPr="00634CBB">
        <w:rPr>
          <w:rFonts w:ascii="Garamond" w:hAnsi="Garamond" w:cs="Times New Roman"/>
          <w:color w:val="000000" w:themeColor="text1"/>
        </w:rPr>
        <w:t>.</w:t>
      </w:r>
    </w:p>
    <w:p w:rsidR="003210CC" w:rsidRPr="00634CBB" w:rsidRDefault="003210CC" w:rsidP="00E501EB">
      <w:pPr>
        <w:spacing w:line="360" w:lineRule="auto"/>
        <w:ind w:left="851" w:right="851"/>
        <w:jc w:val="both"/>
        <w:rPr>
          <w:rFonts w:ascii="Garamond" w:eastAsia="Cambria" w:hAnsi="Garamond" w:cs="Times New Roman"/>
          <w:color w:val="000000" w:themeColor="text1"/>
        </w:rPr>
      </w:pPr>
      <w:r w:rsidRPr="00634CBB">
        <w:rPr>
          <w:rFonts w:ascii="Garamond" w:hAnsi="Garamond" w:cs="Times New Roman"/>
          <w:color w:val="000000" w:themeColor="text1"/>
        </w:rPr>
        <w:t xml:space="preserve">Sotto il secondo profilo, è noto che il diritto di accesso è stato storicamente concepito come una situazione giuridica </w:t>
      </w:r>
      <w:r w:rsidR="00CE004E" w:rsidRPr="00634CBB">
        <w:rPr>
          <w:rFonts w:ascii="Garamond" w:hAnsi="Garamond" w:cs="Times New Roman"/>
          <w:color w:val="000000" w:themeColor="text1"/>
        </w:rPr>
        <w:t>“</w:t>
      </w:r>
      <w:r w:rsidRPr="00634CBB">
        <w:rPr>
          <w:rFonts w:ascii="Garamond" w:hAnsi="Garamond" w:cs="Times New Roman"/>
          <w:color w:val="000000" w:themeColor="text1"/>
        </w:rPr>
        <w:t>strumentale</w:t>
      </w:r>
      <w:r w:rsidR="00CE004E" w:rsidRPr="00634CBB">
        <w:rPr>
          <w:rFonts w:ascii="Garamond" w:hAnsi="Garamond" w:cs="Times New Roman"/>
          <w:color w:val="000000" w:themeColor="text1"/>
        </w:rPr>
        <w:t>”</w:t>
      </w:r>
      <w:r w:rsidR="001A4D72" w:rsidRPr="00634CBB">
        <w:rPr>
          <w:rFonts w:ascii="Garamond" w:hAnsi="Garamond" w:cs="Times New Roman"/>
          <w:color w:val="000000" w:themeColor="text1"/>
        </w:rPr>
        <w:t xml:space="preserve"> (ovvero </w:t>
      </w:r>
      <w:r w:rsidRPr="00634CBB">
        <w:rPr>
          <w:rFonts w:ascii="Garamond" w:hAnsi="Garamond" w:cs="Times New Roman"/>
          <w:color w:val="000000" w:themeColor="text1"/>
        </w:rPr>
        <w:t>ancillare</w:t>
      </w:r>
      <w:r w:rsidR="001A4D72" w:rsidRPr="00634CBB">
        <w:rPr>
          <w:rFonts w:ascii="Garamond" w:hAnsi="Garamond" w:cs="Times New Roman"/>
          <w:color w:val="000000" w:themeColor="text1"/>
        </w:rPr>
        <w:t>)</w:t>
      </w:r>
      <w:r w:rsidRPr="00634CBB">
        <w:rPr>
          <w:rFonts w:ascii="Garamond" w:hAnsi="Garamond" w:cs="Times New Roman"/>
          <w:color w:val="000000" w:themeColor="text1"/>
        </w:rPr>
        <w:t xml:space="preserve"> rispetto ad altri sottostanti interessi giuridicamente rilevanti e quindi previsto e tutelato dall’ordinamento non già come bene della vita autonomamente apprezzabile, ma per la tutela di </w:t>
      </w:r>
      <w:r w:rsidRPr="00634CBB">
        <w:rPr>
          <w:rFonts w:ascii="Garamond" w:eastAsia="Cambria" w:hAnsi="Garamond" w:cs="Times New Roman"/>
          <w:color w:val="000000" w:themeColor="text1"/>
        </w:rPr>
        <w:t xml:space="preserve">altri e connessi </w:t>
      </w:r>
      <w:proofErr w:type="gramStart"/>
      <w:r w:rsidRPr="00634CBB">
        <w:rPr>
          <w:rFonts w:ascii="Garamond" w:eastAsia="Cambria" w:hAnsi="Garamond" w:cs="Times New Roman"/>
          <w:color w:val="000000" w:themeColor="text1"/>
        </w:rPr>
        <w:t xml:space="preserve">interessi </w:t>
      </w:r>
      <w:r w:rsidRPr="00634CBB">
        <w:rPr>
          <w:rStyle w:val="Rimandonotaapidipagina"/>
          <w:rFonts w:ascii="Garamond" w:eastAsia="Cambria" w:hAnsi="Garamond" w:cs="Times New Roman"/>
          <w:color w:val="000000" w:themeColor="text1"/>
        </w:rPr>
        <w:footnoteReference w:id="7"/>
      </w:r>
      <w:r w:rsidRPr="00634CBB">
        <w:rPr>
          <w:rFonts w:ascii="Garamond" w:eastAsia="Cambria" w:hAnsi="Garamond" w:cs="Times New Roman"/>
          <w:color w:val="000000" w:themeColor="text1"/>
        </w:rPr>
        <w:t>.</w:t>
      </w:r>
      <w:proofErr w:type="gramEnd"/>
    </w:p>
    <w:p w:rsidR="003210CC" w:rsidRPr="00634CBB" w:rsidRDefault="001A4D72" w:rsidP="00E501EB">
      <w:pPr>
        <w:spacing w:line="360" w:lineRule="auto"/>
        <w:ind w:left="851" w:right="851"/>
        <w:jc w:val="both"/>
        <w:rPr>
          <w:rFonts w:ascii="Garamond" w:hAnsi="Garamond" w:cs="Times New Roman"/>
          <w:color w:val="000000" w:themeColor="text1"/>
        </w:rPr>
      </w:pPr>
      <w:r w:rsidRPr="00634CBB">
        <w:rPr>
          <w:rFonts w:ascii="Garamond" w:eastAsia="Cambria" w:hAnsi="Garamond" w:cs="Times New Roman"/>
          <w:color w:val="000000" w:themeColor="text1"/>
        </w:rPr>
        <w:t>T</w:t>
      </w:r>
      <w:r w:rsidR="003210CC" w:rsidRPr="00634CBB">
        <w:rPr>
          <w:rFonts w:ascii="Garamond" w:eastAsia="Cambria" w:hAnsi="Garamond" w:cs="Times New Roman"/>
          <w:color w:val="000000" w:themeColor="text1"/>
        </w:rPr>
        <w:t>ale concezione traspare in chiaro nella Legge 241/90 (tanto nella sua versione originaria, quanto in quella rivisitata a seguito della riforma del 2005), la cui impostazione non lascia dubbi sulla netta prevalenza della tutela della riservatezza, intesa come causa assoluta di esclusione dell’</w:t>
      </w:r>
      <w:r w:rsidR="00664527" w:rsidRPr="00634CBB">
        <w:rPr>
          <w:rFonts w:ascii="Garamond" w:eastAsia="Cambria" w:hAnsi="Garamond" w:cs="Times New Roman"/>
          <w:color w:val="000000" w:themeColor="text1"/>
        </w:rPr>
        <w:t xml:space="preserve">accesso (seppure demandandone </w:t>
      </w:r>
      <w:r w:rsidR="00664527" w:rsidRPr="00634CBB">
        <w:rPr>
          <w:rFonts w:ascii="Garamond" w:eastAsia="Cambria" w:hAnsi="Garamond" w:cs="Times New Roman"/>
          <w:color w:val="000000" w:themeColor="text1"/>
        </w:rPr>
        <w:lastRenderedPageBreak/>
        <w:t>l’attuazione</w:t>
      </w:r>
      <w:r w:rsidR="003210CC" w:rsidRPr="00634CBB">
        <w:rPr>
          <w:rFonts w:ascii="Garamond" w:eastAsia="Cambria" w:hAnsi="Garamond" w:cs="Times New Roman"/>
          <w:color w:val="000000" w:themeColor="text1"/>
        </w:rPr>
        <w:t xml:space="preserve"> ad apposito regolamento governativo ex art. 24, comma 6, L.</w:t>
      </w:r>
      <w:r w:rsidR="00664527" w:rsidRPr="00634CBB">
        <w:rPr>
          <w:rFonts w:ascii="Garamond" w:eastAsia="Cambria" w:hAnsi="Garamond" w:cs="Times New Roman"/>
          <w:color w:val="000000" w:themeColor="text1"/>
        </w:rPr>
        <w:t xml:space="preserve"> 241/90), salvo poi ammettere l</w:t>
      </w:r>
      <w:r w:rsidR="003210CC" w:rsidRPr="00634CBB">
        <w:rPr>
          <w:rFonts w:ascii="Garamond" w:eastAsia="Cambria" w:hAnsi="Garamond" w:cs="Times New Roman"/>
          <w:color w:val="000000" w:themeColor="text1"/>
        </w:rPr>
        <w:t xml:space="preserve">a possibile prevalenza del diritto di accesso mediante il ricorso alla “stampella” del diritto di difesa ex art. 24, comma 7 </w:t>
      </w:r>
      <w:r w:rsidR="003210CC" w:rsidRPr="00634CBB">
        <w:rPr>
          <w:rStyle w:val="Rimandonotaapidipagina"/>
          <w:rFonts w:ascii="Garamond" w:eastAsia="Cambria" w:hAnsi="Garamond" w:cs="Times New Roman"/>
          <w:color w:val="000000" w:themeColor="text1"/>
        </w:rPr>
        <w:footnoteReference w:id="8"/>
      </w:r>
      <w:r w:rsidR="003210CC" w:rsidRPr="00634CBB">
        <w:rPr>
          <w:rFonts w:ascii="Garamond" w:eastAsia="Cambria" w:hAnsi="Garamond" w:cs="Times New Roman"/>
          <w:color w:val="000000" w:themeColor="text1"/>
        </w:rPr>
        <w:t xml:space="preserve">.    </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Questa situa</w:t>
      </w:r>
      <w:r w:rsidR="00CE004E" w:rsidRPr="00634CBB">
        <w:rPr>
          <w:rFonts w:ascii="Garamond" w:hAnsi="Garamond" w:cs="Times New Roman"/>
          <w:color w:val="000000" w:themeColor="text1"/>
        </w:rPr>
        <w:t>zione di netto sbilanciamento tra i due d</w:t>
      </w:r>
      <w:r w:rsidRPr="00634CBB">
        <w:rPr>
          <w:rFonts w:ascii="Garamond" w:hAnsi="Garamond" w:cs="Times New Roman"/>
          <w:color w:val="000000" w:themeColor="text1"/>
        </w:rPr>
        <w:t>iritti a favore della riservatezza (protrattasi e consolidatasi per lungo tempo e proprio per questo motivo di difficile sradicamento anche a livello culturale) ha cominciato a vacillare sotto la spinta del legislatore comunitario che, con particolare riguardo ad alcuni specifici beni di primaria rilevanza pu</w:t>
      </w:r>
      <w:r w:rsidR="00CE004E" w:rsidRPr="00634CBB">
        <w:rPr>
          <w:rFonts w:ascii="Garamond" w:hAnsi="Garamond" w:cs="Times New Roman"/>
          <w:color w:val="000000" w:themeColor="text1"/>
        </w:rPr>
        <w:t xml:space="preserve">bblica (ambiente), ha indotto </w:t>
      </w:r>
      <w:r w:rsidRPr="00634CBB">
        <w:rPr>
          <w:rFonts w:ascii="Garamond" w:hAnsi="Garamond" w:cs="Times New Roman"/>
          <w:color w:val="000000" w:themeColor="text1"/>
        </w:rPr>
        <w:t>il legislatore italiano a prendere atto della possi</w:t>
      </w:r>
      <w:r w:rsidR="00CE004E" w:rsidRPr="00634CBB">
        <w:rPr>
          <w:rFonts w:ascii="Garamond" w:hAnsi="Garamond" w:cs="Times New Roman"/>
          <w:color w:val="000000" w:themeColor="text1"/>
        </w:rPr>
        <w:t xml:space="preserve">bile convivenza dei due diritti su un piano </w:t>
      </w:r>
      <w:r w:rsidRPr="00634CBB">
        <w:rPr>
          <w:rFonts w:ascii="Garamond" w:hAnsi="Garamond" w:cs="Times New Roman"/>
          <w:color w:val="000000" w:themeColor="text1"/>
        </w:rPr>
        <w:t>di pari valenza.</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Ci riferiamo, in particolare, al D.Lgs. 24 febbraio 1997 n. 39 di </w:t>
      </w:r>
      <w:r w:rsidRPr="00634CBB">
        <w:rPr>
          <w:rFonts w:ascii="Garamond" w:hAnsi="Garamond" w:cs="Times New Roman"/>
          <w:i/>
          <w:color w:val="000000" w:themeColor="text1"/>
        </w:rPr>
        <w:t>“Attuazione della direttiva 90/313/CEE, concernente la libertà di accesso alle informazioni in materia di ambiente”</w:t>
      </w:r>
      <w:r w:rsidRPr="00634CBB">
        <w:rPr>
          <w:rFonts w:ascii="Garamond" w:hAnsi="Garamond" w:cs="Times New Roman"/>
          <w:color w:val="000000" w:themeColor="text1"/>
        </w:rPr>
        <w:t xml:space="preserve">, </w:t>
      </w:r>
      <w:r w:rsidR="00CE004E" w:rsidRPr="00634CBB">
        <w:rPr>
          <w:rFonts w:ascii="Garamond" w:hAnsi="Garamond" w:cs="Times New Roman"/>
          <w:color w:val="000000" w:themeColor="text1"/>
        </w:rPr>
        <w:t xml:space="preserve">ove </w:t>
      </w:r>
      <w:r w:rsidRPr="00634CBB">
        <w:rPr>
          <w:rFonts w:ascii="Garamond" w:hAnsi="Garamond" w:cs="Times New Roman"/>
          <w:color w:val="000000" w:themeColor="text1"/>
        </w:rPr>
        <w:t xml:space="preserve">per la prima volta </w:t>
      </w:r>
      <w:r w:rsidR="00CE004E" w:rsidRPr="00634CBB">
        <w:rPr>
          <w:rFonts w:ascii="Garamond" w:hAnsi="Garamond" w:cs="Times New Roman"/>
          <w:color w:val="000000" w:themeColor="text1"/>
        </w:rPr>
        <w:t xml:space="preserve">si riconosce </w:t>
      </w:r>
      <w:r w:rsidRPr="00634CBB">
        <w:rPr>
          <w:rFonts w:ascii="Garamond" w:hAnsi="Garamond" w:cs="Times New Roman"/>
          <w:color w:val="000000" w:themeColor="text1"/>
        </w:rPr>
        <w:t xml:space="preserve">la necessità di una ponderazione, caso per caso, dei due valori in campo, riconoscendo la prevalenza del diritto alla riservatezza soltanto ove </w:t>
      </w:r>
      <w:r w:rsidR="00CE004E" w:rsidRPr="00634CBB">
        <w:rPr>
          <w:rFonts w:ascii="Garamond" w:hAnsi="Garamond" w:cs="Times New Roman"/>
          <w:color w:val="000000" w:themeColor="text1"/>
        </w:rPr>
        <w:t xml:space="preserve">effettivamente </w:t>
      </w:r>
      <w:r w:rsidRPr="00634CBB">
        <w:rPr>
          <w:rFonts w:ascii="Garamond" w:hAnsi="Garamond" w:cs="Times New Roman"/>
          <w:color w:val="000000" w:themeColor="text1"/>
        </w:rPr>
        <w:t>risulti che l’ostensione dell’informazione richiesta</w:t>
      </w:r>
      <w:r w:rsidR="00CE004E" w:rsidRPr="00634CBB">
        <w:rPr>
          <w:rFonts w:ascii="Garamond" w:hAnsi="Garamond" w:cs="Times New Roman"/>
          <w:color w:val="000000" w:themeColor="text1"/>
        </w:rPr>
        <w:t xml:space="preserve"> sia</w:t>
      </w:r>
      <w:r w:rsidRPr="00634CBB">
        <w:rPr>
          <w:rFonts w:ascii="Garamond" w:hAnsi="Garamond" w:cs="Times New Roman"/>
          <w:color w:val="000000" w:themeColor="text1"/>
        </w:rPr>
        <w:t xml:space="preserve"> suscettibile di produrre “un pregiudizio concreto e attuale” a tale diritto (art. 4, comma 2, D.Lgs. 39/1997).</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Detta innovativa </w:t>
      </w:r>
      <w:r w:rsidR="001A4D72" w:rsidRPr="00634CBB">
        <w:rPr>
          <w:rFonts w:ascii="Garamond" w:hAnsi="Garamond" w:cs="Times New Roman"/>
          <w:color w:val="000000" w:themeColor="text1"/>
        </w:rPr>
        <w:t>configurazione</w:t>
      </w:r>
      <w:r w:rsidR="00CE004E" w:rsidRPr="00634CBB">
        <w:rPr>
          <w:rFonts w:ascii="Garamond" w:hAnsi="Garamond" w:cs="Times New Roman"/>
          <w:color w:val="000000" w:themeColor="text1"/>
        </w:rPr>
        <w:t xml:space="preserve"> </w:t>
      </w:r>
      <w:r w:rsidRPr="00634CBB">
        <w:rPr>
          <w:rFonts w:ascii="Garamond" w:hAnsi="Garamond" w:cs="Times New Roman"/>
          <w:color w:val="000000" w:themeColor="text1"/>
        </w:rPr>
        <w:t>del rapporto tra diritto di accesso e diritto alla riservatezza, posti</w:t>
      </w:r>
      <w:r w:rsidR="00CE004E" w:rsidRPr="00634CBB">
        <w:rPr>
          <w:rFonts w:ascii="Garamond" w:hAnsi="Garamond" w:cs="Times New Roman"/>
          <w:color w:val="000000" w:themeColor="text1"/>
        </w:rPr>
        <w:t>, almeno in partenza,</w:t>
      </w:r>
      <w:r w:rsidRPr="00634CBB">
        <w:rPr>
          <w:rFonts w:ascii="Garamond" w:hAnsi="Garamond" w:cs="Times New Roman"/>
          <w:color w:val="000000" w:themeColor="text1"/>
        </w:rPr>
        <w:t xml:space="preserve"> su un piano </w:t>
      </w:r>
      <w:r w:rsidR="00CE004E" w:rsidRPr="00634CBB">
        <w:rPr>
          <w:rFonts w:ascii="Garamond" w:hAnsi="Garamond" w:cs="Times New Roman"/>
          <w:color w:val="000000" w:themeColor="text1"/>
        </w:rPr>
        <w:t>di reciproca parità</w:t>
      </w:r>
      <w:r w:rsidR="00664527" w:rsidRPr="00634CBB">
        <w:rPr>
          <w:rFonts w:ascii="Garamond" w:hAnsi="Garamond" w:cs="Times New Roman"/>
          <w:color w:val="000000" w:themeColor="text1"/>
        </w:rPr>
        <w:t>, è stata poi confermata da</w:t>
      </w:r>
      <w:r w:rsidRPr="00634CBB">
        <w:rPr>
          <w:rFonts w:ascii="Garamond" w:hAnsi="Garamond" w:cs="Times New Roman"/>
          <w:color w:val="000000" w:themeColor="text1"/>
        </w:rPr>
        <w:t>l successivo Decreto legislativo di attuazione della normativa comunitaria in materia di informazioni ambientali (D.Lgs. 19 agosto 2005 n. 195, di attuazione della direttiva 2003/4/CE, ad oggi vigente), che, con maggior dettaglio, ha demandato all</w:t>
      </w:r>
      <w:proofErr w:type="gramStart"/>
      <w:r w:rsidRPr="00634CBB">
        <w:rPr>
          <w:rFonts w:ascii="Garamond" w:hAnsi="Garamond" w:cs="Times New Roman"/>
          <w:color w:val="000000" w:themeColor="text1"/>
        </w:rPr>
        <w:t>’</w:t>
      </w:r>
      <w:r w:rsidRPr="00634CBB">
        <w:rPr>
          <w:rFonts w:ascii="Garamond" w:hAnsi="Garamond" w:cs="Times New Roman"/>
          <w:i/>
          <w:color w:val="000000" w:themeColor="text1"/>
        </w:rPr>
        <w:t>“</w:t>
      </w:r>
      <w:proofErr w:type="gramEnd"/>
      <w:r w:rsidRPr="00634CBB">
        <w:rPr>
          <w:rFonts w:ascii="Garamond" w:hAnsi="Garamond" w:cs="Times New Roman"/>
          <w:i/>
          <w:color w:val="000000" w:themeColor="text1"/>
        </w:rPr>
        <w:t>autorità pubblica”</w:t>
      </w:r>
      <w:r w:rsidRPr="00634CBB">
        <w:rPr>
          <w:rFonts w:ascii="Garamond" w:hAnsi="Garamond" w:cs="Times New Roman"/>
          <w:color w:val="000000" w:themeColor="text1"/>
        </w:rPr>
        <w:t xml:space="preserve"> </w:t>
      </w:r>
      <w:r w:rsidRPr="00634CBB">
        <w:rPr>
          <w:rFonts w:ascii="Garamond" w:hAnsi="Garamond" w:cs="Times New Roman"/>
          <w:i/>
          <w:color w:val="000000" w:themeColor="text1"/>
        </w:rPr>
        <w:t>“una valutazione ponderata fra l'interesse pubblico all'informazione ambientale e l'interesse tutelato dall'esclusione dall'accesso</w:t>
      </w:r>
      <w:r w:rsidRPr="00634CBB">
        <w:rPr>
          <w:rFonts w:ascii="Garamond" w:hAnsi="Garamond" w:cs="Times New Roman"/>
          <w:color w:val="000000" w:themeColor="text1"/>
        </w:rPr>
        <w:t>”</w:t>
      </w:r>
      <w:r w:rsidRPr="00634CBB">
        <w:rPr>
          <w:rFonts w:ascii="Garamond" w:hAnsi="Garamond" w:cs="Times New Roman"/>
          <w:i/>
          <w:color w:val="000000" w:themeColor="text1"/>
        </w:rPr>
        <w:t xml:space="preserve">, </w:t>
      </w:r>
      <w:r w:rsidRPr="00634CBB">
        <w:rPr>
          <w:rFonts w:ascii="Garamond" w:hAnsi="Garamond" w:cs="Times New Roman"/>
          <w:color w:val="000000" w:themeColor="text1"/>
        </w:rPr>
        <w:t xml:space="preserve">aggiungendo </w:t>
      </w:r>
      <w:r w:rsidR="00664527" w:rsidRPr="00634CBB">
        <w:rPr>
          <w:rFonts w:ascii="Garamond" w:hAnsi="Garamond" w:cs="Times New Roman"/>
          <w:color w:val="000000" w:themeColor="text1"/>
        </w:rPr>
        <w:t xml:space="preserve">peraltro </w:t>
      </w:r>
      <w:r w:rsidRPr="00634CBB">
        <w:rPr>
          <w:rFonts w:ascii="Garamond" w:hAnsi="Garamond" w:cs="Times New Roman"/>
          <w:color w:val="000000" w:themeColor="text1"/>
        </w:rPr>
        <w:t xml:space="preserve">un criterio interpretativo preferenziale per il diritto di accesso, le cui esclusioni vanno intese </w:t>
      </w:r>
      <w:r w:rsidRPr="00634CBB">
        <w:rPr>
          <w:rFonts w:ascii="Garamond" w:hAnsi="Garamond" w:cs="Times New Roman"/>
          <w:i/>
          <w:color w:val="000000" w:themeColor="text1"/>
        </w:rPr>
        <w:t>“in modo restrittivo</w:t>
      </w:r>
      <w:r w:rsidRPr="00634CBB">
        <w:rPr>
          <w:rFonts w:ascii="Garamond" w:hAnsi="Garamond" w:cs="Times New Roman"/>
          <w:color w:val="000000" w:themeColor="text1"/>
        </w:rPr>
        <w:t>”.</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Trattasi, per tutta evidenza, di un modo di intendere il rapporto tra i due diritti del tutto inedito rispetto all’impostazione originaria, perché presuppone la pari dignità degli stessi e la necessità di dirimere eventuali conflitti mediante un’attenta valutazione del caso concreto, rimessa, volta per volta, alla decisione della Pubblica Amministrazione.</w:t>
      </w:r>
    </w:p>
    <w:p w:rsidR="003210CC" w:rsidRPr="00634CBB" w:rsidRDefault="003210CC" w:rsidP="00E501EB">
      <w:pPr>
        <w:spacing w:line="360" w:lineRule="auto"/>
        <w:ind w:left="851" w:right="851"/>
        <w:jc w:val="both"/>
        <w:rPr>
          <w:rFonts w:ascii="Garamond" w:hAnsi="Garamond" w:cs="Times New Roman"/>
          <w:i/>
          <w:color w:val="000000" w:themeColor="text1"/>
        </w:rPr>
      </w:pPr>
      <w:r w:rsidRPr="00634CBB">
        <w:rPr>
          <w:rFonts w:ascii="Garamond" w:hAnsi="Garamond" w:cs="Times New Roman"/>
          <w:color w:val="000000" w:themeColor="text1"/>
        </w:rPr>
        <w:lastRenderedPageBreak/>
        <w:t>Ma il passaggio ancora più rilevante e</w:t>
      </w:r>
      <w:r w:rsidR="001A4D72" w:rsidRPr="00634CBB">
        <w:rPr>
          <w:rFonts w:ascii="Garamond" w:hAnsi="Garamond" w:cs="Times New Roman"/>
          <w:color w:val="000000" w:themeColor="text1"/>
        </w:rPr>
        <w:t>d</w:t>
      </w:r>
      <w:r w:rsidRPr="00634CBB">
        <w:rPr>
          <w:rFonts w:ascii="Garamond" w:hAnsi="Garamond" w:cs="Times New Roman"/>
          <w:color w:val="000000" w:themeColor="text1"/>
        </w:rPr>
        <w:t xml:space="preserve"> innovativo della normativa nazionale di derivazione europea risiede nella chiara volontà di dirimere il rapporto tra i due interessi in gioco (quello conoscitivo dell’accesso e quello intimistico della riservatezza) non già secondo criteri di prevalenza, ma </w:t>
      </w:r>
      <w:r w:rsidR="000A6900" w:rsidRPr="00634CBB">
        <w:rPr>
          <w:rFonts w:ascii="Garamond" w:hAnsi="Garamond" w:cs="Times New Roman"/>
          <w:color w:val="000000" w:themeColor="text1"/>
        </w:rPr>
        <w:t xml:space="preserve">con </w:t>
      </w:r>
      <w:r w:rsidRPr="00634CBB">
        <w:rPr>
          <w:rFonts w:ascii="Garamond" w:hAnsi="Garamond" w:cs="Times New Roman"/>
          <w:color w:val="000000" w:themeColor="text1"/>
        </w:rPr>
        <w:t>la composizione ed il contemporaneo soddisfa</w:t>
      </w:r>
      <w:r w:rsidR="00CE004E" w:rsidRPr="00634CBB">
        <w:rPr>
          <w:rFonts w:ascii="Garamond" w:hAnsi="Garamond" w:cs="Times New Roman"/>
          <w:color w:val="000000" w:themeColor="text1"/>
        </w:rPr>
        <w:t>cimento di entrambi, mediante l</w:t>
      </w:r>
      <w:r w:rsidR="000A6900" w:rsidRPr="00634CBB">
        <w:rPr>
          <w:rFonts w:ascii="Garamond" w:hAnsi="Garamond" w:cs="Times New Roman"/>
          <w:color w:val="000000" w:themeColor="text1"/>
        </w:rPr>
        <w:t>’</w:t>
      </w:r>
      <w:r w:rsidR="008E0210" w:rsidRPr="00634CBB">
        <w:rPr>
          <w:rFonts w:ascii="Garamond" w:hAnsi="Garamond" w:cs="Times New Roman"/>
          <w:color w:val="000000" w:themeColor="text1"/>
        </w:rPr>
        <w:t>”</w:t>
      </w:r>
      <w:r w:rsidRPr="00634CBB">
        <w:rPr>
          <w:rFonts w:ascii="Garamond" w:hAnsi="Garamond" w:cs="Times New Roman"/>
          <w:color w:val="000000" w:themeColor="text1"/>
        </w:rPr>
        <w:t>accoglimento parziale</w:t>
      </w:r>
      <w:r w:rsidR="008E0210" w:rsidRPr="00634CBB">
        <w:rPr>
          <w:rFonts w:ascii="Garamond" w:hAnsi="Garamond" w:cs="Times New Roman"/>
          <w:color w:val="000000" w:themeColor="text1"/>
        </w:rPr>
        <w:t>”</w:t>
      </w:r>
      <w:r w:rsidRPr="00634CBB">
        <w:rPr>
          <w:rFonts w:ascii="Garamond" w:hAnsi="Garamond" w:cs="Times New Roman"/>
          <w:color w:val="000000" w:themeColor="text1"/>
        </w:rPr>
        <w:t xml:space="preserve"> dell’istanza di accesso</w:t>
      </w:r>
      <w:r w:rsidR="00CE004E" w:rsidRPr="00634CBB">
        <w:rPr>
          <w:rFonts w:ascii="Garamond" w:hAnsi="Garamond" w:cs="Times New Roman"/>
          <w:color w:val="000000" w:themeColor="text1"/>
        </w:rPr>
        <w:t xml:space="preserve"> </w:t>
      </w:r>
      <w:r w:rsidR="008E0210" w:rsidRPr="00634CBB">
        <w:rPr>
          <w:rStyle w:val="Rimandonotaapidipagina"/>
          <w:rFonts w:ascii="Garamond" w:hAnsi="Garamond" w:cs="Times New Roman"/>
          <w:color w:val="000000" w:themeColor="text1"/>
        </w:rPr>
        <w:footnoteReference w:id="9"/>
      </w:r>
      <w:r w:rsidR="000A6900" w:rsidRPr="00634CBB">
        <w:rPr>
          <w:rFonts w:ascii="Garamond" w:hAnsi="Garamond" w:cs="Times New Roman"/>
          <w:color w:val="000000" w:themeColor="text1"/>
        </w:rPr>
        <w:t>,</w:t>
      </w:r>
      <w:r w:rsidRPr="00634CBB">
        <w:rPr>
          <w:rFonts w:ascii="Garamond" w:hAnsi="Garamond" w:cs="Times New Roman"/>
          <w:color w:val="000000" w:themeColor="text1"/>
        </w:rPr>
        <w:t xml:space="preserve"> </w:t>
      </w:r>
      <w:r w:rsidR="000A6900" w:rsidRPr="00634CBB">
        <w:rPr>
          <w:rFonts w:ascii="Garamond" w:hAnsi="Garamond" w:cs="Times New Roman"/>
          <w:color w:val="000000" w:themeColor="text1"/>
        </w:rPr>
        <w:t>provvedimento</w:t>
      </w:r>
      <w:r w:rsidR="00CE004E" w:rsidRPr="00634CBB">
        <w:rPr>
          <w:rFonts w:ascii="Garamond" w:hAnsi="Garamond" w:cs="Times New Roman"/>
          <w:color w:val="000000" w:themeColor="text1"/>
        </w:rPr>
        <w:t xml:space="preserve"> in grado di contemperare gli opposti interessi, agevolmente attuabile con </w:t>
      </w:r>
      <w:r w:rsidRPr="00634CBB">
        <w:rPr>
          <w:rFonts w:ascii="Garamond" w:hAnsi="Garamond" w:cs="Times New Roman"/>
          <w:color w:val="000000" w:themeColor="text1"/>
        </w:rPr>
        <w:t xml:space="preserve">il semplice espediente </w:t>
      </w:r>
      <w:r w:rsidR="000A6900" w:rsidRPr="00634CBB">
        <w:rPr>
          <w:rFonts w:ascii="Garamond" w:hAnsi="Garamond" w:cs="Times New Roman"/>
          <w:color w:val="000000" w:themeColor="text1"/>
        </w:rPr>
        <w:t xml:space="preserve">tecnico </w:t>
      </w:r>
      <w:r w:rsidRPr="00634CBB">
        <w:rPr>
          <w:rFonts w:ascii="Garamond" w:hAnsi="Garamond" w:cs="Times New Roman"/>
          <w:color w:val="000000" w:themeColor="text1"/>
        </w:rPr>
        <w:t>dell’oscuramento parziale dei dati personali, che consente di tutelare efficacemente un diritto (riservatezza) senza sacrificare l’altro (accesso).</w:t>
      </w:r>
      <w:r w:rsidRPr="00634CBB">
        <w:rPr>
          <w:rFonts w:ascii="Garamond" w:hAnsi="Garamond" w:cs="Times New Roman"/>
          <w:i/>
          <w:color w:val="000000" w:themeColor="text1"/>
        </w:rPr>
        <w:t xml:space="preserve"> </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Nel frattempo, il quadro costituzionale è mutato e lo stesso diritto europeo si è evoluto </w:t>
      </w:r>
      <w:r w:rsidR="008E0210" w:rsidRPr="00634CBB">
        <w:rPr>
          <w:rFonts w:ascii="Garamond" w:hAnsi="Garamond" w:cs="Times New Roman"/>
          <w:color w:val="000000" w:themeColor="text1"/>
        </w:rPr>
        <w:t>in via giurisprudenziale nel senso</w:t>
      </w:r>
      <w:r w:rsidRPr="00634CBB">
        <w:rPr>
          <w:rFonts w:ascii="Garamond" w:hAnsi="Garamond" w:cs="Times New Roman"/>
          <w:color w:val="000000" w:themeColor="text1"/>
        </w:rPr>
        <w:t xml:space="preserve"> </w:t>
      </w:r>
      <w:r w:rsidR="008E0210" w:rsidRPr="00634CBB">
        <w:rPr>
          <w:rFonts w:ascii="Garamond" w:hAnsi="Garamond" w:cs="Times New Roman"/>
          <w:color w:val="000000" w:themeColor="text1"/>
        </w:rPr>
        <w:t>del</w:t>
      </w:r>
      <w:r w:rsidRPr="00634CBB">
        <w:rPr>
          <w:rFonts w:ascii="Garamond" w:hAnsi="Garamond" w:cs="Times New Roman"/>
          <w:color w:val="000000" w:themeColor="text1"/>
        </w:rPr>
        <w:t>la pari dignità dei due diritti</w:t>
      </w:r>
      <w:r w:rsidR="008E0210" w:rsidRPr="00634CBB">
        <w:rPr>
          <w:rFonts w:ascii="Garamond" w:hAnsi="Garamond" w:cs="Times New Roman"/>
          <w:color w:val="000000" w:themeColor="text1"/>
        </w:rPr>
        <w:t>, anche al di là</w:t>
      </w:r>
      <w:r w:rsidRPr="00634CBB">
        <w:rPr>
          <w:rFonts w:ascii="Garamond" w:hAnsi="Garamond" w:cs="Times New Roman"/>
          <w:color w:val="000000" w:themeColor="text1"/>
        </w:rPr>
        <w:t xml:space="preserve"> </w:t>
      </w:r>
      <w:r w:rsidR="008E0210" w:rsidRPr="00634CBB">
        <w:rPr>
          <w:rFonts w:ascii="Garamond" w:hAnsi="Garamond" w:cs="Times New Roman"/>
          <w:color w:val="000000" w:themeColor="text1"/>
        </w:rPr>
        <w:t>de</w:t>
      </w:r>
      <w:r w:rsidRPr="00634CBB">
        <w:rPr>
          <w:rFonts w:ascii="Garamond" w:hAnsi="Garamond" w:cs="Times New Roman"/>
          <w:color w:val="000000" w:themeColor="text1"/>
        </w:rPr>
        <w:t>l particolare settore delle informazioni ambientali.</w:t>
      </w:r>
    </w:p>
    <w:p w:rsidR="003210CC" w:rsidRPr="00634CBB" w:rsidRDefault="000A6900" w:rsidP="00E501EB">
      <w:pPr>
        <w:spacing w:line="360" w:lineRule="auto"/>
        <w:ind w:left="851" w:right="851"/>
        <w:jc w:val="both"/>
        <w:rPr>
          <w:rFonts w:ascii="Garamond" w:hAnsi="Garamond" w:cs="Times New Roman"/>
          <w:color w:val="000000" w:themeColor="text1"/>
          <w:shd w:val="clear" w:color="auto" w:fill="FFFFFF"/>
        </w:rPr>
      </w:pPr>
      <w:r w:rsidRPr="00634CBB">
        <w:rPr>
          <w:rFonts w:ascii="Garamond" w:hAnsi="Garamond" w:cs="Times New Roman"/>
          <w:color w:val="000000" w:themeColor="text1"/>
        </w:rPr>
        <w:t>Il diritto di accesso è</w:t>
      </w:r>
      <w:r w:rsidR="008E0210" w:rsidRPr="00634CBB">
        <w:rPr>
          <w:rFonts w:ascii="Garamond" w:hAnsi="Garamond" w:cs="Times New Roman"/>
          <w:color w:val="000000" w:themeColor="text1"/>
        </w:rPr>
        <w:t>, così,</w:t>
      </w:r>
      <w:r w:rsidR="003210CC"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assunto al rango di </w:t>
      </w:r>
      <w:r w:rsidR="003210CC" w:rsidRPr="00634CBB">
        <w:rPr>
          <w:rFonts w:ascii="Garamond" w:hAnsi="Garamond" w:cs="Times New Roman"/>
          <w:color w:val="000000" w:themeColor="text1"/>
        </w:rPr>
        <w:t xml:space="preserve">diritto </w:t>
      </w:r>
      <w:r w:rsidRPr="00634CBB">
        <w:rPr>
          <w:rFonts w:ascii="Garamond" w:hAnsi="Garamond" w:cs="Times New Roman"/>
          <w:color w:val="000000" w:themeColor="text1"/>
        </w:rPr>
        <w:t>costituzionalmente tutelato</w:t>
      </w:r>
      <w:r w:rsidR="003210CC"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in quanto afferente </w:t>
      </w:r>
      <w:r w:rsidR="003210CC" w:rsidRPr="00634CBB">
        <w:rPr>
          <w:rFonts w:ascii="Garamond" w:hAnsi="Garamond" w:cs="Times New Roman"/>
          <w:color w:val="000000" w:themeColor="text1"/>
        </w:rPr>
        <w:t>ai “</w:t>
      </w:r>
      <w:r w:rsidR="003210CC" w:rsidRPr="00634CBB">
        <w:rPr>
          <w:rFonts w:ascii="Garamond" w:hAnsi="Garamond" w:cs="Times New Roman"/>
          <w:i/>
          <w:color w:val="000000" w:themeColor="text1"/>
        </w:rPr>
        <w:t xml:space="preserve">livelli essenziali delle prestazioni </w:t>
      </w:r>
      <w:r w:rsidR="003210CC" w:rsidRPr="00634CBB">
        <w:rPr>
          <w:rFonts w:ascii="Garamond" w:hAnsi="Garamond" w:cs="Times New Roman"/>
          <w:i/>
          <w:color w:val="000000" w:themeColor="text1"/>
          <w:shd w:val="clear" w:color="auto" w:fill="FFFFFF"/>
        </w:rPr>
        <w:t xml:space="preserve">concernenti i diritti civili e sociali che devono essere garantiti su tutto il territorio nazionale” </w:t>
      </w:r>
      <w:r w:rsidR="003210CC" w:rsidRPr="00634CBB">
        <w:rPr>
          <w:rFonts w:ascii="Garamond" w:hAnsi="Garamond" w:cs="Times New Roman"/>
          <w:color w:val="000000" w:themeColor="text1"/>
          <w:shd w:val="clear" w:color="auto" w:fill="FFFFFF"/>
        </w:rPr>
        <w:t xml:space="preserve">ai sensi dell’art. 117, comma 2, lett. m) della </w:t>
      </w:r>
      <w:proofErr w:type="gramStart"/>
      <w:r w:rsidR="003210CC" w:rsidRPr="00634CBB">
        <w:rPr>
          <w:rFonts w:ascii="Garamond" w:hAnsi="Garamond" w:cs="Times New Roman"/>
          <w:color w:val="000000" w:themeColor="text1"/>
          <w:shd w:val="clear" w:color="auto" w:fill="FFFFFF"/>
        </w:rPr>
        <w:t xml:space="preserve">Costituzione </w:t>
      </w:r>
      <w:r w:rsidR="003210CC" w:rsidRPr="00634CBB">
        <w:rPr>
          <w:rStyle w:val="Rimandonotaapidipagina"/>
          <w:rFonts w:ascii="Garamond" w:hAnsi="Garamond" w:cs="Times New Roman"/>
          <w:color w:val="000000" w:themeColor="text1"/>
          <w:shd w:val="clear" w:color="auto" w:fill="FFFFFF"/>
        </w:rPr>
        <w:footnoteReference w:id="10"/>
      </w:r>
      <w:r w:rsidR="003210CC" w:rsidRPr="00634CBB">
        <w:rPr>
          <w:rFonts w:ascii="Garamond" w:hAnsi="Garamond" w:cs="Times New Roman"/>
          <w:color w:val="000000" w:themeColor="text1"/>
          <w:shd w:val="clear" w:color="auto" w:fill="FFFFFF"/>
        </w:rPr>
        <w:t>.</w:t>
      </w:r>
      <w:proofErr w:type="gramEnd"/>
    </w:p>
    <w:p w:rsidR="003210CC" w:rsidRPr="00634CBB" w:rsidRDefault="00664527" w:rsidP="00E501EB">
      <w:pPr>
        <w:spacing w:line="360" w:lineRule="auto"/>
        <w:ind w:left="851" w:right="851"/>
        <w:jc w:val="both"/>
        <w:rPr>
          <w:rFonts w:ascii="Garamond" w:hAnsi="Garamond" w:cs="Times New Roman"/>
          <w:bCs/>
          <w:color w:val="000000" w:themeColor="text1"/>
        </w:rPr>
      </w:pPr>
      <w:r w:rsidRPr="00634CBB">
        <w:rPr>
          <w:rFonts w:ascii="Garamond" w:hAnsi="Garamond" w:cs="Times New Roman"/>
          <w:color w:val="000000" w:themeColor="text1"/>
        </w:rPr>
        <w:t xml:space="preserve">D’altra parte, </w:t>
      </w:r>
      <w:r w:rsidR="003210CC" w:rsidRPr="00634CBB">
        <w:rPr>
          <w:rFonts w:ascii="Garamond" w:hAnsi="Garamond" w:cs="Times New Roman"/>
          <w:color w:val="000000" w:themeColor="text1"/>
        </w:rPr>
        <w:t xml:space="preserve">la Corte europea dei diritti dell’uomo (CEDU) ha riconosciuto che </w:t>
      </w:r>
      <w:r w:rsidR="003210CC" w:rsidRPr="00634CBB">
        <w:rPr>
          <w:rFonts w:ascii="Garamond" w:hAnsi="Garamond" w:cs="Times New Roman"/>
          <w:bCs/>
          <w:color w:val="000000" w:themeColor="text1"/>
        </w:rPr>
        <w:t xml:space="preserve">il diritto di accesso alle informazioni detenute dalle P.A. può assurgere, in determinate circostanze ed a determinate condizioni, a </w:t>
      </w:r>
      <w:r w:rsidR="008E0210" w:rsidRPr="00634CBB">
        <w:rPr>
          <w:rFonts w:ascii="Garamond" w:hAnsi="Garamond" w:cs="Times New Roman"/>
          <w:bCs/>
          <w:i/>
          <w:color w:val="000000" w:themeColor="text1"/>
        </w:rPr>
        <w:t>“</w:t>
      </w:r>
      <w:r w:rsidR="003210CC" w:rsidRPr="00634CBB">
        <w:rPr>
          <w:rFonts w:ascii="Garamond" w:hAnsi="Garamond" w:cs="Times New Roman"/>
          <w:bCs/>
          <w:i/>
          <w:color w:val="000000" w:themeColor="text1"/>
        </w:rPr>
        <w:t>diritto fondamentale dell’uomo</w:t>
      </w:r>
      <w:r w:rsidR="008E0210" w:rsidRPr="00634CBB">
        <w:rPr>
          <w:rFonts w:ascii="Garamond" w:hAnsi="Garamond" w:cs="Times New Roman"/>
          <w:bCs/>
          <w:i/>
          <w:color w:val="000000" w:themeColor="text1"/>
        </w:rPr>
        <w:t>”</w:t>
      </w:r>
      <w:r w:rsidR="003210CC" w:rsidRPr="00634CBB">
        <w:rPr>
          <w:rFonts w:ascii="Garamond" w:hAnsi="Garamond" w:cs="Times New Roman"/>
          <w:bCs/>
          <w:color w:val="000000" w:themeColor="text1"/>
        </w:rPr>
        <w:t xml:space="preserve">, in quanto rientrante nella c.d. </w:t>
      </w:r>
      <w:r w:rsidR="003210CC" w:rsidRPr="00634CBB">
        <w:rPr>
          <w:rFonts w:ascii="Garamond" w:hAnsi="Garamond" w:cs="Times New Roman"/>
          <w:bCs/>
          <w:i/>
          <w:color w:val="000000" w:themeColor="text1"/>
        </w:rPr>
        <w:t>“libertà di espressione”</w:t>
      </w:r>
      <w:r w:rsidR="008E0210" w:rsidRPr="00634CBB">
        <w:rPr>
          <w:rFonts w:ascii="Garamond" w:hAnsi="Garamond" w:cs="Times New Roman"/>
          <w:bCs/>
          <w:color w:val="000000" w:themeColor="text1"/>
        </w:rPr>
        <w:t xml:space="preserve">, </w:t>
      </w:r>
      <w:r w:rsidR="003210CC" w:rsidRPr="00634CBB">
        <w:rPr>
          <w:rFonts w:ascii="Garamond" w:hAnsi="Garamond" w:cs="Times New Roman"/>
          <w:bCs/>
          <w:color w:val="000000" w:themeColor="text1"/>
        </w:rPr>
        <w:t xml:space="preserve">riconosciuta </w:t>
      </w:r>
      <w:r w:rsidR="008E0210" w:rsidRPr="00634CBB">
        <w:rPr>
          <w:rFonts w:ascii="Garamond" w:hAnsi="Garamond" w:cs="Times New Roman"/>
          <w:bCs/>
          <w:color w:val="000000" w:themeColor="text1"/>
        </w:rPr>
        <w:t xml:space="preserve">e tutelata </w:t>
      </w:r>
      <w:r w:rsidR="003210CC" w:rsidRPr="00634CBB">
        <w:rPr>
          <w:rFonts w:ascii="Garamond" w:hAnsi="Garamond" w:cs="Times New Roman"/>
          <w:bCs/>
          <w:color w:val="000000" w:themeColor="text1"/>
        </w:rPr>
        <w:t>dalle Convenzioni europee (</w:t>
      </w:r>
      <w:r w:rsidR="003210CC" w:rsidRPr="00634CBB">
        <w:rPr>
          <w:rFonts w:ascii="Garamond" w:hAnsi="Garamond" w:cs="Times New Roman"/>
          <w:color w:val="000000" w:themeColor="text1"/>
        </w:rPr>
        <w:t xml:space="preserve">art. 10 della </w:t>
      </w:r>
      <w:r w:rsidR="003210CC" w:rsidRPr="00634CBB">
        <w:rPr>
          <w:rFonts w:ascii="Garamond" w:hAnsi="Garamond" w:cs="Times New Roman"/>
          <w:bCs/>
          <w:color w:val="000000" w:themeColor="text1"/>
        </w:rPr>
        <w:t>Convenzione europea per la salvaguardia dei diritti dell'uomo e delle libertà fondamentali del 1952 e art. 11</w:t>
      </w:r>
      <w:r w:rsidR="008E0210" w:rsidRPr="00634CBB">
        <w:rPr>
          <w:rFonts w:ascii="Garamond" w:hAnsi="Garamond" w:cs="Times New Roman"/>
          <w:bCs/>
          <w:color w:val="000000" w:themeColor="text1"/>
        </w:rPr>
        <w:t xml:space="preserve"> della Carta di Nizza del 2000) e</w:t>
      </w:r>
      <w:r w:rsidR="003210CC" w:rsidRPr="00634CBB">
        <w:rPr>
          <w:rFonts w:ascii="Garamond" w:hAnsi="Garamond" w:cs="Times New Roman"/>
          <w:bCs/>
          <w:color w:val="000000" w:themeColor="text1"/>
        </w:rPr>
        <w:t xml:space="preserve"> rispetto alla quale è vietata l’</w:t>
      </w:r>
      <w:r w:rsidR="003210CC" w:rsidRPr="00634CBB">
        <w:rPr>
          <w:rFonts w:ascii="Garamond" w:hAnsi="Garamond" w:cs="Times New Roman"/>
          <w:bCs/>
          <w:i/>
          <w:color w:val="000000" w:themeColor="text1"/>
        </w:rPr>
        <w:t>”</w:t>
      </w:r>
      <w:r w:rsidR="003210CC" w:rsidRPr="00634CBB">
        <w:rPr>
          <w:rFonts w:ascii="Garamond" w:hAnsi="Garamond" w:cs="Times New Roman"/>
          <w:i/>
          <w:color w:val="000000" w:themeColor="text1"/>
        </w:rPr>
        <w:t>ingerenza” “da parte delle autorità pubbliche”</w:t>
      </w:r>
      <w:r w:rsidR="003210CC" w:rsidRPr="00634CBB">
        <w:rPr>
          <w:rFonts w:ascii="Garamond" w:hAnsi="Garamond" w:cs="Times New Roman"/>
          <w:color w:val="000000" w:themeColor="text1"/>
        </w:rPr>
        <w:t xml:space="preserve"> </w:t>
      </w:r>
      <w:r w:rsidR="003210CC" w:rsidRPr="00634CBB">
        <w:rPr>
          <w:rStyle w:val="Rimandonotaapidipagina"/>
          <w:rFonts w:ascii="Garamond" w:hAnsi="Garamond" w:cs="Times New Roman"/>
          <w:color w:val="000000" w:themeColor="text1"/>
        </w:rPr>
        <w:footnoteReference w:id="11"/>
      </w:r>
      <w:r w:rsidR="003210CC" w:rsidRPr="00634CBB">
        <w:rPr>
          <w:rFonts w:ascii="Garamond" w:hAnsi="Garamond" w:cs="Times New Roman"/>
          <w:color w:val="000000" w:themeColor="text1"/>
        </w:rPr>
        <w:t>.</w:t>
      </w:r>
    </w:p>
    <w:p w:rsidR="003210CC" w:rsidRPr="00634CBB" w:rsidRDefault="003210CC" w:rsidP="00E501EB">
      <w:pPr>
        <w:spacing w:line="360" w:lineRule="auto"/>
        <w:ind w:left="851" w:right="851"/>
        <w:jc w:val="both"/>
        <w:rPr>
          <w:rFonts w:ascii="Garamond" w:hAnsi="Garamond" w:cs="Times New Roman"/>
          <w:b/>
          <w:color w:val="000000" w:themeColor="text1"/>
        </w:rPr>
      </w:pPr>
    </w:p>
    <w:p w:rsidR="003210CC" w:rsidRPr="00634CBB" w:rsidRDefault="008E0210" w:rsidP="00E501EB">
      <w:pPr>
        <w:spacing w:line="360" w:lineRule="auto"/>
        <w:ind w:left="851" w:right="851"/>
        <w:jc w:val="both"/>
        <w:rPr>
          <w:rFonts w:ascii="Garamond" w:hAnsi="Garamond" w:cs="Times New Roman"/>
          <w:b/>
          <w:color w:val="000000" w:themeColor="text1"/>
        </w:rPr>
      </w:pPr>
      <w:r w:rsidRPr="00634CBB">
        <w:rPr>
          <w:rFonts w:ascii="Garamond" w:hAnsi="Garamond" w:cs="Times New Roman"/>
          <w:b/>
          <w:color w:val="000000" w:themeColor="text1"/>
        </w:rPr>
        <w:t>2</w:t>
      </w:r>
      <w:r w:rsidR="000C63AE" w:rsidRPr="00634CBB">
        <w:rPr>
          <w:rFonts w:ascii="Garamond" w:hAnsi="Garamond" w:cs="Times New Roman"/>
          <w:b/>
          <w:color w:val="000000" w:themeColor="text1"/>
        </w:rPr>
        <w:t>.</w:t>
      </w:r>
      <w:r w:rsidR="003210CC" w:rsidRPr="00634CBB">
        <w:rPr>
          <w:rFonts w:ascii="Garamond" w:hAnsi="Garamond" w:cs="Times New Roman"/>
          <w:b/>
          <w:color w:val="000000" w:themeColor="text1"/>
        </w:rPr>
        <w:t xml:space="preserve"> L’accesso civico generalizzato (introdotto dal Decreto legislativo 25 maggio 2016 n. 97) e l’art. 5-bis del Decreto Legislativo 14 marzo 2013 n. 33. </w:t>
      </w:r>
    </w:p>
    <w:p w:rsidR="008E0210"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lastRenderedPageBreak/>
        <w:t>In questo quadro codificato e di diritto vivente</w:t>
      </w:r>
      <w:r w:rsidR="00664527" w:rsidRPr="00634CBB">
        <w:rPr>
          <w:rFonts w:ascii="Garamond" w:hAnsi="Garamond" w:cs="Times New Roman"/>
          <w:color w:val="000000" w:themeColor="text1"/>
        </w:rPr>
        <w:t xml:space="preserve"> si inserisc</w:t>
      </w:r>
      <w:r w:rsidR="008E6D21" w:rsidRPr="00634CBB">
        <w:rPr>
          <w:rFonts w:ascii="Garamond" w:hAnsi="Garamond" w:cs="Times New Roman"/>
          <w:color w:val="000000" w:themeColor="text1"/>
        </w:rPr>
        <w:t>ono prima il Decreto Legislativo n. 33/2013 e</w:t>
      </w:r>
      <w:r w:rsidRPr="00634CBB">
        <w:rPr>
          <w:rFonts w:ascii="Garamond" w:hAnsi="Garamond" w:cs="Times New Roman"/>
          <w:color w:val="000000" w:themeColor="text1"/>
        </w:rPr>
        <w:t xml:space="preserve"> </w:t>
      </w:r>
      <w:r w:rsidR="008E6D21" w:rsidRPr="00634CBB">
        <w:rPr>
          <w:rFonts w:ascii="Garamond" w:hAnsi="Garamond" w:cs="Times New Roman"/>
          <w:color w:val="000000" w:themeColor="text1"/>
        </w:rPr>
        <w:t xml:space="preserve">poi </w:t>
      </w:r>
      <w:r w:rsidRPr="00634CBB">
        <w:rPr>
          <w:rFonts w:ascii="Garamond" w:hAnsi="Garamond" w:cs="Times New Roman"/>
          <w:color w:val="000000" w:themeColor="text1"/>
        </w:rPr>
        <w:t>l’istituto dell</w:t>
      </w:r>
      <w:proofErr w:type="gramStart"/>
      <w:r w:rsidRPr="00634CBB">
        <w:rPr>
          <w:rFonts w:ascii="Garamond" w:hAnsi="Garamond" w:cs="Times New Roman"/>
          <w:color w:val="000000" w:themeColor="text1"/>
        </w:rPr>
        <w:t>’</w:t>
      </w:r>
      <w:r w:rsidR="008E0210" w:rsidRPr="00634CBB">
        <w:rPr>
          <w:rFonts w:ascii="Garamond" w:hAnsi="Garamond" w:cs="Times New Roman"/>
          <w:color w:val="000000" w:themeColor="text1"/>
        </w:rPr>
        <w:t>”</w:t>
      </w:r>
      <w:r w:rsidRPr="00634CBB">
        <w:rPr>
          <w:rFonts w:ascii="Garamond" w:hAnsi="Garamond" w:cs="Times New Roman"/>
          <w:color w:val="000000" w:themeColor="text1"/>
        </w:rPr>
        <w:t>accesso</w:t>
      </w:r>
      <w:proofErr w:type="gramEnd"/>
      <w:r w:rsidRPr="00634CBB">
        <w:rPr>
          <w:rFonts w:ascii="Garamond" w:hAnsi="Garamond" w:cs="Times New Roman"/>
          <w:color w:val="000000" w:themeColor="text1"/>
        </w:rPr>
        <w:t xml:space="preserve"> civico generalizzato</w:t>
      </w:r>
      <w:r w:rsidR="008E0210" w:rsidRPr="00634CBB">
        <w:rPr>
          <w:rFonts w:ascii="Garamond" w:hAnsi="Garamond" w:cs="Times New Roman"/>
          <w:color w:val="000000" w:themeColor="text1"/>
        </w:rPr>
        <w:t>”, introdotto dal D.Lgs. 97/2016, la cui disciplina non poteva non risentire dell’evoluzione sopra vista.</w:t>
      </w:r>
    </w:p>
    <w:p w:rsidR="003210CC" w:rsidRPr="00634CBB" w:rsidRDefault="008E6D21" w:rsidP="00E501EB">
      <w:pPr>
        <w:spacing w:line="360" w:lineRule="auto"/>
        <w:ind w:left="851" w:right="851"/>
        <w:jc w:val="both"/>
        <w:rPr>
          <w:rFonts w:ascii="Garamond" w:eastAsia="Cambria" w:hAnsi="Garamond" w:cs="Times New Roman"/>
          <w:color w:val="000000" w:themeColor="text1"/>
        </w:rPr>
      </w:pPr>
      <w:r w:rsidRPr="00634CBB">
        <w:rPr>
          <w:rFonts w:ascii="Garamond" w:hAnsi="Garamond" w:cs="Times New Roman"/>
          <w:color w:val="000000" w:themeColor="text1"/>
        </w:rPr>
        <w:t>A cominciare dal</w:t>
      </w:r>
      <w:r w:rsidR="005567A7" w:rsidRPr="00634CBB">
        <w:rPr>
          <w:rFonts w:ascii="Garamond" w:hAnsi="Garamond" w:cs="Times New Roman"/>
          <w:color w:val="000000" w:themeColor="text1"/>
        </w:rPr>
        <w:t>la conferma</w:t>
      </w:r>
      <w:r w:rsidR="003210CC" w:rsidRPr="00634CBB">
        <w:rPr>
          <w:rFonts w:ascii="Garamond" w:hAnsi="Garamond" w:cs="Times New Roman"/>
          <w:color w:val="000000" w:themeColor="text1"/>
        </w:rPr>
        <w:t xml:space="preserve"> che tutte le </w:t>
      </w:r>
      <w:r w:rsidR="003210CC" w:rsidRPr="00634CBB">
        <w:rPr>
          <w:rFonts w:ascii="Garamond" w:eastAsia="Cambria" w:hAnsi="Garamond" w:cs="Times New Roman"/>
          <w:color w:val="000000" w:themeColor="text1"/>
        </w:rPr>
        <w:t xml:space="preserve">disposizioni del Decreto, ivi comprese quelle riguardanti il diritto di accesso civico, </w:t>
      </w:r>
      <w:r w:rsidR="003210CC" w:rsidRPr="00634CBB">
        <w:rPr>
          <w:rFonts w:ascii="Garamond" w:eastAsia="Cambria" w:hAnsi="Garamond" w:cs="Times New Roman"/>
          <w:i/>
          <w:color w:val="000000" w:themeColor="text1"/>
        </w:rPr>
        <w:t>“</w:t>
      </w:r>
      <w:r w:rsidR="003210CC" w:rsidRPr="00634CBB">
        <w:rPr>
          <w:rFonts w:ascii="Garamond" w:hAnsi="Garamond" w:cs="Times New Roman"/>
          <w:i/>
          <w:color w:val="000000" w:themeColor="text1"/>
        </w:rPr>
        <w:t>integrano l'individuazione del livello essenziale delle prestazioni erogate dalle amministrazioni pubbliche a fini di trasparenza, prevenzione, contrasto della corruzione e della cattiva amministrazione, a norma dell'articolo 117, secondo comma, lettera m), della Costituzione …”</w:t>
      </w:r>
      <w:r w:rsidR="003210CC" w:rsidRPr="00634CBB">
        <w:rPr>
          <w:rFonts w:ascii="Garamond" w:hAnsi="Garamond" w:cs="Times New Roman"/>
          <w:color w:val="000000" w:themeColor="text1"/>
        </w:rPr>
        <w:t xml:space="preserve"> (</w:t>
      </w:r>
      <w:r w:rsidR="003210CC" w:rsidRPr="00634CBB">
        <w:rPr>
          <w:rFonts w:ascii="Garamond" w:eastAsia="Cambria" w:hAnsi="Garamond" w:cs="Times New Roman"/>
          <w:color w:val="000000" w:themeColor="text1"/>
        </w:rPr>
        <w:t>art. 1</w:t>
      </w:r>
      <w:r w:rsidRPr="00634CBB">
        <w:rPr>
          <w:rFonts w:ascii="Garamond" w:eastAsia="Cambria" w:hAnsi="Garamond" w:cs="Times New Roman"/>
          <w:color w:val="000000" w:themeColor="text1"/>
        </w:rPr>
        <w:t>, comma</w:t>
      </w:r>
      <w:r w:rsidR="003210CC" w:rsidRPr="00634CBB">
        <w:rPr>
          <w:rFonts w:ascii="Garamond" w:eastAsia="Cambria" w:hAnsi="Garamond" w:cs="Times New Roman"/>
          <w:color w:val="000000" w:themeColor="text1"/>
        </w:rPr>
        <w:t xml:space="preserve"> 3</w:t>
      </w:r>
      <w:r w:rsidRPr="00634CBB">
        <w:rPr>
          <w:rFonts w:ascii="Garamond" w:eastAsia="Cambria" w:hAnsi="Garamond" w:cs="Times New Roman"/>
          <w:color w:val="000000" w:themeColor="text1"/>
        </w:rPr>
        <w:t>,</w:t>
      </w:r>
      <w:r w:rsidR="003210CC" w:rsidRPr="00634CBB">
        <w:rPr>
          <w:rFonts w:ascii="Garamond" w:eastAsia="Cambria" w:hAnsi="Garamond" w:cs="Times New Roman"/>
          <w:color w:val="000000" w:themeColor="text1"/>
        </w:rPr>
        <w:t xml:space="preserve"> D.Lgs. 33/2013).</w:t>
      </w:r>
    </w:p>
    <w:p w:rsidR="003210CC" w:rsidRPr="00634CBB" w:rsidRDefault="005567A7" w:rsidP="00E501EB">
      <w:pPr>
        <w:spacing w:line="360" w:lineRule="auto"/>
        <w:ind w:left="851" w:right="851"/>
        <w:jc w:val="both"/>
        <w:rPr>
          <w:rFonts w:ascii="Garamond" w:eastAsia="Cambria" w:hAnsi="Garamond" w:cs="Times New Roman"/>
          <w:color w:val="000000" w:themeColor="text1"/>
        </w:rPr>
      </w:pPr>
      <w:r w:rsidRPr="00634CBB">
        <w:rPr>
          <w:rFonts w:ascii="Garamond" w:eastAsia="Cambria" w:hAnsi="Garamond" w:cs="Times New Roman"/>
          <w:color w:val="000000" w:themeColor="text1"/>
        </w:rPr>
        <w:t>Il che ha indotto il Legislatore</w:t>
      </w:r>
      <w:r w:rsidR="003210CC" w:rsidRPr="00634CBB">
        <w:rPr>
          <w:rFonts w:ascii="Garamond" w:eastAsia="Cambria" w:hAnsi="Garamond" w:cs="Times New Roman"/>
          <w:color w:val="000000" w:themeColor="text1"/>
        </w:rPr>
        <w:t>, in continuità con il metodo inaugurato dal diritto europeo, a strutturare il rapporto tra il nuovo istituto ed il diritto alla riservatezza in termini paritari, con ciò distanziandosi marcatamente dal modello della Legge 241/90.</w:t>
      </w:r>
    </w:p>
    <w:p w:rsidR="003210CC" w:rsidRPr="00634CBB" w:rsidRDefault="00ED7463" w:rsidP="00E501EB">
      <w:pPr>
        <w:spacing w:line="360" w:lineRule="auto"/>
        <w:ind w:left="851" w:right="851"/>
        <w:jc w:val="both"/>
        <w:rPr>
          <w:rFonts w:ascii="Garamond" w:eastAsia="Cambria" w:hAnsi="Garamond" w:cs="Times New Roman"/>
          <w:color w:val="000000" w:themeColor="text1"/>
        </w:rPr>
      </w:pPr>
      <w:r w:rsidRPr="00634CBB">
        <w:rPr>
          <w:rFonts w:ascii="Garamond" w:eastAsia="Cambria" w:hAnsi="Garamond" w:cs="Times New Roman"/>
          <w:color w:val="000000" w:themeColor="text1"/>
        </w:rPr>
        <w:t>Sotto questo profilo</w:t>
      </w:r>
      <w:r w:rsidR="003210CC" w:rsidRPr="00634CBB">
        <w:rPr>
          <w:rFonts w:ascii="Garamond" w:eastAsia="Cambria" w:hAnsi="Garamond" w:cs="Times New Roman"/>
          <w:color w:val="000000" w:themeColor="text1"/>
        </w:rPr>
        <w:t xml:space="preserve">, la necessità di differenziare il sistema dei rapporti tra accesso </w:t>
      </w:r>
      <w:r w:rsidR="008E6D21" w:rsidRPr="00634CBB">
        <w:rPr>
          <w:rFonts w:ascii="Garamond" w:eastAsia="Cambria" w:hAnsi="Garamond" w:cs="Times New Roman"/>
          <w:color w:val="000000" w:themeColor="text1"/>
        </w:rPr>
        <w:t xml:space="preserve">civico </w:t>
      </w:r>
      <w:r w:rsidR="003210CC" w:rsidRPr="00634CBB">
        <w:rPr>
          <w:rFonts w:ascii="Garamond" w:eastAsia="Cambria" w:hAnsi="Garamond" w:cs="Times New Roman"/>
          <w:color w:val="000000" w:themeColor="text1"/>
        </w:rPr>
        <w:t>e privacy da quello previsto dalla Legge generale sull</w:t>
      </w:r>
      <w:proofErr w:type="gramStart"/>
      <w:r w:rsidR="003210CC" w:rsidRPr="00634CBB">
        <w:rPr>
          <w:rFonts w:ascii="Garamond" w:eastAsia="Cambria" w:hAnsi="Garamond" w:cs="Times New Roman"/>
          <w:color w:val="000000" w:themeColor="text1"/>
        </w:rPr>
        <w:t>’</w:t>
      </w:r>
      <w:r w:rsidR="008E6D21" w:rsidRPr="00634CBB">
        <w:rPr>
          <w:rFonts w:ascii="Garamond" w:eastAsia="Cambria" w:hAnsi="Garamond" w:cs="Times New Roman"/>
          <w:color w:val="000000" w:themeColor="text1"/>
        </w:rPr>
        <w:t>”</w:t>
      </w:r>
      <w:r w:rsidR="003210CC" w:rsidRPr="00634CBB">
        <w:rPr>
          <w:rFonts w:ascii="Garamond" w:eastAsia="Cambria" w:hAnsi="Garamond" w:cs="Times New Roman"/>
          <w:color w:val="000000" w:themeColor="text1"/>
        </w:rPr>
        <w:t>accesso</w:t>
      </w:r>
      <w:proofErr w:type="gramEnd"/>
      <w:r w:rsidR="003210CC" w:rsidRPr="00634CBB">
        <w:rPr>
          <w:rFonts w:ascii="Garamond" w:eastAsia="Cambria" w:hAnsi="Garamond" w:cs="Times New Roman"/>
          <w:color w:val="000000" w:themeColor="text1"/>
        </w:rPr>
        <w:t xml:space="preserve"> documentale</w:t>
      </w:r>
      <w:r w:rsidR="008E6D21" w:rsidRPr="00634CBB">
        <w:rPr>
          <w:rFonts w:ascii="Garamond" w:eastAsia="Cambria" w:hAnsi="Garamond" w:cs="Times New Roman"/>
          <w:color w:val="000000" w:themeColor="text1"/>
        </w:rPr>
        <w:t>”</w:t>
      </w:r>
      <w:r w:rsidR="003210CC" w:rsidRPr="00634CBB">
        <w:rPr>
          <w:rFonts w:ascii="Garamond" w:eastAsia="Cambria" w:hAnsi="Garamond" w:cs="Times New Roman"/>
          <w:color w:val="000000" w:themeColor="text1"/>
        </w:rPr>
        <w:t xml:space="preserve"> deriva da una ragione intrinseca alla natura ed ai caratteri stessi del nuovo </w:t>
      </w:r>
      <w:r w:rsidR="008E6D21" w:rsidRPr="00634CBB">
        <w:rPr>
          <w:rFonts w:ascii="Garamond" w:eastAsia="Cambria" w:hAnsi="Garamond" w:cs="Times New Roman"/>
          <w:color w:val="000000" w:themeColor="text1"/>
        </w:rPr>
        <w:t>istituto, che – a differenza dell’altro</w:t>
      </w:r>
      <w:r w:rsidR="003210CC" w:rsidRPr="00634CBB">
        <w:rPr>
          <w:rFonts w:ascii="Garamond" w:eastAsia="Cambria" w:hAnsi="Garamond" w:cs="Times New Roman"/>
          <w:color w:val="000000" w:themeColor="text1"/>
        </w:rPr>
        <w:t xml:space="preserve"> - nasce libero dal vincolo condizionante d</w:t>
      </w:r>
      <w:r w:rsidR="005567A7" w:rsidRPr="00634CBB">
        <w:rPr>
          <w:rFonts w:ascii="Garamond" w:eastAsia="Cambria" w:hAnsi="Garamond" w:cs="Times New Roman"/>
          <w:color w:val="000000" w:themeColor="text1"/>
        </w:rPr>
        <w:t>el</w:t>
      </w:r>
      <w:r w:rsidRPr="00634CBB">
        <w:rPr>
          <w:rFonts w:ascii="Garamond" w:eastAsia="Cambria" w:hAnsi="Garamond" w:cs="Times New Roman"/>
          <w:color w:val="000000" w:themeColor="text1"/>
        </w:rPr>
        <w:t>la “strumentalità” rispetto ad</w:t>
      </w:r>
      <w:r w:rsidR="003210CC" w:rsidRPr="00634CBB">
        <w:rPr>
          <w:rFonts w:ascii="Garamond" w:eastAsia="Cambria" w:hAnsi="Garamond" w:cs="Times New Roman"/>
          <w:color w:val="000000" w:themeColor="text1"/>
        </w:rPr>
        <w:t xml:space="preserve"> altri </w:t>
      </w:r>
      <w:r w:rsidR="005567A7" w:rsidRPr="00634CBB">
        <w:rPr>
          <w:rFonts w:ascii="Garamond" w:eastAsia="Cambria" w:hAnsi="Garamond" w:cs="Times New Roman"/>
          <w:color w:val="000000" w:themeColor="text1"/>
        </w:rPr>
        <w:t xml:space="preserve">(eventuali) </w:t>
      </w:r>
      <w:r w:rsidR="003210CC" w:rsidRPr="00634CBB">
        <w:rPr>
          <w:rFonts w:ascii="Garamond" w:eastAsia="Cambria" w:hAnsi="Garamond" w:cs="Times New Roman"/>
          <w:color w:val="000000" w:themeColor="text1"/>
        </w:rPr>
        <w:t>interessi giuridici sottostanti.</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eastAsia="Cambria" w:hAnsi="Garamond" w:cs="Times New Roman"/>
          <w:color w:val="000000" w:themeColor="text1"/>
        </w:rPr>
        <w:t xml:space="preserve">L’accesso civico generalizzato è, invero, per definizione un diritto che </w:t>
      </w:r>
      <w:r w:rsidRPr="00634CBB">
        <w:rPr>
          <w:rFonts w:ascii="Garamond" w:hAnsi="Garamond" w:cs="Times New Roman"/>
          <w:color w:val="000000" w:themeColor="text1"/>
        </w:rPr>
        <w:t xml:space="preserve">spetta a </w:t>
      </w:r>
      <w:r w:rsidRPr="00634CBB">
        <w:rPr>
          <w:rFonts w:ascii="Garamond" w:hAnsi="Garamond" w:cs="Times New Roman"/>
          <w:i/>
          <w:color w:val="000000" w:themeColor="text1"/>
        </w:rPr>
        <w:t xml:space="preserve">“chiunque”, “indipendentemente dalla titolarità di situazioni giuridicamente rilevanti” </w:t>
      </w:r>
      <w:r w:rsidR="00ED7463" w:rsidRPr="00634CBB">
        <w:rPr>
          <w:rFonts w:ascii="Garamond" w:hAnsi="Garamond" w:cs="Times New Roman"/>
          <w:color w:val="000000" w:themeColor="text1"/>
        </w:rPr>
        <w:t>[</w:t>
      </w:r>
      <w:r w:rsidRPr="00634CBB">
        <w:rPr>
          <w:rFonts w:ascii="Garamond" w:hAnsi="Garamond" w:cs="Times New Roman"/>
          <w:color w:val="000000" w:themeColor="text1"/>
        </w:rPr>
        <w:t>art. 7, comma 1, le</w:t>
      </w:r>
      <w:r w:rsidR="00ED7463" w:rsidRPr="00634CBB">
        <w:rPr>
          <w:rFonts w:ascii="Garamond" w:hAnsi="Garamond" w:cs="Times New Roman"/>
          <w:color w:val="000000" w:themeColor="text1"/>
        </w:rPr>
        <w:t>tt. h) Legge delega n. 241/2015]</w:t>
      </w:r>
      <w:r w:rsidRPr="00634CBB">
        <w:rPr>
          <w:rFonts w:ascii="Garamond" w:hAnsi="Garamond" w:cs="Times New Roman"/>
          <w:color w:val="000000" w:themeColor="text1"/>
        </w:rPr>
        <w:t>,</w:t>
      </w:r>
      <w:r w:rsidRPr="00634CBB">
        <w:rPr>
          <w:rFonts w:ascii="Garamond" w:hAnsi="Garamond" w:cs="Times New Roman"/>
          <w:i/>
          <w:color w:val="000000" w:themeColor="text1"/>
        </w:rPr>
        <w:t xml:space="preserve"> che “non e' sottoposto ad alcuna limitazione quanto alla legittimazione soggettiva del richiedente.”</w:t>
      </w:r>
      <w:r w:rsidRPr="00634CBB">
        <w:rPr>
          <w:rFonts w:ascii="Garamond" w:hAnsi="Garamond" w:cs="Times New Roman"/>
          <w:color w:val="000000" w:themeColor="text1"/>
        </w:rPr>
        <w:t xml:space="preserve"> (</w:t>
      </w:r>
      <w:proofErr w:type="gramStart"/>
      <w:r w:rsidRPr="00634CBB">
        <w:rPr>
          <w:rFonts w:ascii="Garamond" w:hAnsi="Garamond" w:cs="Times New Roman"/>
          <w:color w:val="000000" w:themeColor="text1"/>
        </w:rPr>
        <w:t>art.</w:t>
      </w:r>
      <w:proofErr w:type="gramEnd"/>
      <w:r w:rsidRPr="00634CBB">
        <w:rPr>
          <w:rFonts w:ascii="Garamond" w:hAnsi="Garamond" w:cs="Times New Roman"/>
          <w:color w:val="000000" w:themeColor="text1"/>
        </w:rPr>
        <w:t xml:space="preserve"> 5, comma 3, D.Lgs. 33/2013) e la cui unica ragione d’essere sta nello “</w:t>
      </w:r>
      <w:r w:rsidRPr="00634CBB">
        <w:rPr>
          <w:rFonts w:ascii="Garamond" w:hAnsi="Garamond" w:cs="Times New Roman"/>
          <w:i/>
          <w:color w:val="000000" w:themeColor="text1"/>
        </w:rPr>
        <w:t xml:space="preserve">scopo di favorire forme diffuse di controllo sul perseguimento delle funzioni istituzionali e sull'utilizzo delle risorse pubbliche e di promuovere la partecipazione al dibattito pubblico” </w:t>
      </w:r>
      <w:r w:rsidRPr="00634CBB">
        <w:rPr>
          <w:rFonts w:ascii="Garamond" w:hAnsi="Garamond" w:cs="Times New Roman"/>
          <w:color w:val="000000" w:themeColor="text1"/>
        </w:rPr>
        <w:t>(a</w:t>
      </w:r>
      <w:r w:rsidR="008E6D21" w:rsidRPr="00634CBB">
        <w:rPr>
          <w:rFonts w:ascii="Garamond" w:hAnsi="Garamond" w:cs="Times New Roman"/>
          <w:color w:val="000000" w:themeColor="text1"/>
        </w:rPr>
        <w:t>rt. 5, comma 2, D.Lgs. 33/2013), sì che</w:t>
      </w:r>
      <w:r w:rsidRPr="00634CBB">
        <w:rPr>
          <w:rFonts w:ascii="Garamond" w:hAnsi="Garamond" w:cs="Times New Roman"/>
          <w:color w:val="000000" w:themeColor="text1"/>
        </w:rPr>
        <w:t xml:space="preserve"> la relativa istanza “</w:t>
      </w:r>
      <w:r w:rsidRPr="00634CBB">
        <w:rPr>
          <w:rFonts w:ascii="Garamond" w:hAnsi="Garamond" w:cs="Times New Roman"/>
          <w:i/>
          <w:color w:val="000000" w:themeColor="text1"/>
        </w:rPr>
        <w:t xml:space="preserve">non richiede motivazione” </w:t>
      </w:r>
      <w:r w:rsidRPr="00634CBB">
        <w:rPr>
          <w:rFonts w:ascii="Garamond" w:hAnsi="Garamond" w:cs="Times New Roman"/>
          <w:color w:val="000000" w:themeColor="text1"/>
        </w:rPr>
        <w:t>(art. 5, comma 3, D.Lgs. 33/2013).</w:t>
      </w:r>
    </w:p>
    <w:p w:rsidR="003210CC" w:rsidRPr="00634CBB" w:rsidRDefault="003210CC" w:rsidP="00E501EB">
      <w:pPr>
        <w:spacing w:line="360" w:lineRule="auto"/>
        <w:ind w:left="851" w:right="851"/>
        <w:jc w:val="both"/>
        <w:rPr>
          <w:rFonts w:ascii="Garamond" w:eastAsia="Cambria" w:hAnsi="Garamond" w:cs="Times New Roman"/>
          <w:color w:val="000000" w:themeColor="text1"/>
        </w:rPr>
      </w:pPr>
      <w:r w:rsidRPr="00634CBB">
        <w:rPr>
          <w:rFonts w:ascii="Garamond" w:eastAsia="Cambria" w:hAnsi="Garamond" w:cs="Times New Roman"/>
          <w:color w:val="000000" w:themeColor="text1"/>
        </w:rPr>
        <w:t xml:space="preserve">Così congetturato, non era, pertanto, neppure ipotizzabile un sistema di risoluzione del conflitto con il diritto alla riservatezza imperniato (come nella Legge 241/90) sulla </w:t>
      </w:r>
      <w:r w:rsidR="00F23C47" w:rsidRPr="00634CBB">
        <w:rPr>
          <w:rFonts w:ascii="Garamond" w:eastAsia="Cambria" w:hAnsi="Garamond" w:cs="Times New Roman"/>
          <w:color w:val="000000" w:themeColor="text1"/>
        </w:rPr>
        <w:t>“</w:t>
      </w:r>
      <w:r w:rsidRPr="00634CBB">
        <w:rPr>
          <w:rFonts w:ascii="Garamond" w:eastAsia="Cambria" w:hAnsi="Garamond" w:cs="Times New Roman"/>
          <w:color w:val="000000" w:themeColor="text1"/>
        </w:rPr>
        <w:t>necessità di curare e difendere gli interessi giuridici</w:t>
      </w:r>
      <w:r w:rsidR="00F23C47" w:rsidRPr="00634CBB">
        <w:rPr>
          <w:rFonts w:ascii="Garamond" w:eastAsia="Cambria" w:hAnsi="Garamond" w:cs="Times New Roman"/>
          <w:color w:val="000000" w:themeColor="text1"/>
        </w:rPr>
        <w:t>”</w:t>
      </w:r>
      <w:r w:rsidRPr="00634CBB">
        <w:rPr>
          <w:rFonts w:ascii="Garamond" w:eastAsia="Cambria" w:hAnsi="Garamond" w:cs="Times New Roman"/>
          <w:color w:val="000000" w:themeColor="text1"/>
        </w:rPr>
        <w:t xml:space="preserve"> dell’istante, trattandosi di un criterio che sottende e presuppone una dimensione </w:t>
      </w:r>
      <w:r w:rsidR="00F23C47" w:rsidRPr="00634CBB">
        <w:rPr>
          <w:rFonts w:ascii="Garamond" w:eastAsia="Cambria" w:hAnsi="Garamond" w:cs="Times New Roman"/>
          <w:color w:val="000000" w:themeColor="text1"/>
        </w:rPr>
        <w:t xml:space="preserve">“privatistica” </w:t>
      </w:r>
      <w:r w:rsidRPr="00634CBB">
        <w:rPr>
          <w:rFonts w:ascii="Garamond" w:eastAsia="Cambria" w:hAnsi="Garamond" w:cs="Times New Roman"/>
          <w:color w:val="000000" w:themeColor="text1"/>
        </w:rPr>
        <w:t xml:space="preserve">dell’accesso avulsa dalla logica del </w:t>
      </w:r>
      <w:r w:rsidR="00F23C47" w:rsidRPr="00634CBB">
        <w:rPr>
          <w:rFonts w:ascii="Garamond" w:eastAsia="Cambria" w:hAnsi="Garamond" w:cs="Times New Roman"/>
          <w:color w:val="000000" w:themeColor="text1"/>
        </w:rPr>
        <w:t>nuovo istituto, strettamente apparentato ai “diritti civici”.</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eastAsia="Cambria" w:hAnsi="Garamond" w:cs="Times New Roman"/>
          <w:color w:val="000000" w:themeColor="text1"/>
        </w:rPr>
        <w:t>Si è scelto, pertanto, di ripercorrere la strada</w:t>
      </w:r>
      <w:r w:rsidR="00F031DB" w:rsidRPr="00634CBB">
        <w:rPr>
          <w:rFonts w:ascii="Garamond" w:eastAsia="Cambria" w:hAnsi="Garamond" w:cs="Times New Roman"/>
          <w:color w:val="000000" w:themeColor="text1"/>
        </w:rPr>
        <w:t>,</w:t>
      </w:r>
      <w:r w:rsidRPr="00634CBB">
        <w:rPr>
          <w:rFonts w:ascii="Garamond" w:eastAsia="Cambria" w:hAnsi="Garamond" w:cs="Times New Roman"/>
          <w:color w:val="000000" w:themeColor="text1"/>
        </w:rPr>
        <w:t xml:space="preserve"> di coniazione europea, già sperimentata con l’accesso alle informazioni ambientali, prevedendo che l’accesso civico debba essere escluso soltanto quando “</w:t>
      </w:r>
      <w:r w:rsidRPr="00634CBB">
        <w:rPr>
          <w:rFonts w:ascii="Garamond" w:hAnsi="Garamond" w:cs="Times New Roman"/>
          <w:i/>
          <w:color w:val="000000" w:themeColor="text1"/>
        </w:rPr>
        <w:t xml:space="preserve">il diniego e' necessario per evitare un pregiudizio concreto alla tutela” </w:t>
      </w:r>
      <w:r w:rsidRPr="00634CBB">
        <w:rPr>
          <w:rFonts w:ascii="Garamond" w:hAnsi="Garamond" w:cs="Times New Roman"/>
          <w:color w:val="000000" w:themeColor="text1"/>
        </w:rPr>
        <w:t>di uno degli interessi privati indicata dalla norma, tra cui “</w:t>
      </w:r>
      <w:r w:rsidRPr="00634CBB">
        <w:rPr>
          <w:rFonts w:ascii="Garamond" w:hAnsi="Garamond" w:cs="Times New Roman"/>
          <w:i/>
          <w:color w:val="000000" w:themeColor="text1"/>
        </w:rPr>
        <w:t xml:space="preserve">a) la protezione dei dati personali, in conformità con la disciplina legislativa in materia;” </w:t>
      </w:r>
      <w:r w:rsidRPr="00634CBB">
        <w:rPr>
          <w:rFonts w:ascii="Garamond" w:hAnsi="Garamond" w:cs="Times New Roman"/>
          <w:color w:val="000000" w:themeColor="text1"/>
        </w:rPr>
        <w:t>(art. 5-bis, comma 2, D.Lgs. 33/2013).</w:t>
      </w:r>
    </w:p>
    <w:p w:rsidR="00F031DB" w:rsidRPr="00634CBB" w:rsidRDefault="00F23C47"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lastRenderedPageBreak/>
        <w:t xml:space="preserve">L’opzione è stata, quindi, quella di </w:t>
      </w:r>
      <w:r w:rsidR="003210CC" w:rsidRPr="00634CBB">
        <w:rPr>
          <w:rFonts w:ascii="Garamond" w:hAnsi="Garamond" w:cs="Times New Roman"/>
          <w:color w:val="000000" w:themeColor="text1"/>
        </w:rPr>
        <w:t xml:space="preserve">una “limitazione relativa” del diritto di accesso (secondo la terminologia suggerita da Anac con le </w:t>
      </w:r>
      <w:r w:rsidR="00F40380" w:rsidRPr="00634CBB">
        <w:rPr>
          <w:rFonts w:ascii="Garamond" w:hAnsi="Garamond" w:cs="Times New Roman"/>
          <w:color w:val="000000" w:themeColor="text1"/>
        </w:rPr>
        <w:t>“</w:t>
      </w:r>
      <w:r w:rsidR="003210CC" w:rsidRPr="00634CBB">
        <w:rPr>
          <w:rFonts w:ascii="Garamond" w:hAnsi="Garamond" w:cs="Times New Roman"/>
          <w:color w:val="000000" w:themeColor="text1"/>
        </w:rPr>
        <w:t>Linee guida</w:t>
      </w:r>
      <w:r w:rsidR="00F40380" w:rsidRPr="00634CBB">
        <w:rPr>
          <w:rFonts w:ascii="Garamond" w:hAnsi="Garamond" w:cs="Times New Roman"/>
          <w:color w:val="000000" w:themeColor="text1"/>
        </w:rPr>
        <w:t>”</w:t>
      </w:r>
      <w:r w:rsidR="003210CC" w:rsidRPr="00634CBB">
        <w:rPr>
          <w:rFonts w:ascii="Garamond" w:hAnsi="Garamond" w:cs="Times New Roman"/>
          <w:color w:val="000000" w:themeColor="text1"/>
        </w:rPr>
        <w:t xml:space="preserve"> di cui diremo </w:t>
      </w:r>
      <w:r w:rsidR="00F031DB" w:rsidRPr="00634CBB">
        <w:rPr>
          <w:rFonts w:ascii="Garamond" w:hAnsi="Garamond" w:cs="Times New Roman"/>
          <w:i/>
          <w:color w:val="000000" w:themeColor="text1"/>
        </w:rPr>
        <w:t>infra</w:t>
      </w:r>
      <w:r w:rsidR="003210CC" w:rsidRPr="00634CBB">
        <w:rPr>
          <w:rFonts w:ascii="Garamond" w:hAnsi="Garamond" w:cs="Times New Roman"/>
          <w:color w:val="000000" w:themeColor="text1"/>
        </w:rPr>
        <w:t>), la cui applicazione è rimessa alle singole Pubbliche Amministrazioni, chiamate ad individuare, volta per volta ed in relazione al caso concreto, il diritto da considerarsi prev</w:t>
      </w:r>
      <w:r w:rsidR="00F031DB" w:rsidRPr="00634CBB">
        <w:rPr>
          <w:rFonts w:ascii="Garamond" w:hAnsi="Garamond" w:cs="Times New Roman"/>
          <w:color w:val="000000" w:themeColor="text1"/>
        </w:rPr>
        <w:t xml:space="preserve">alente, all’esito di una ponderata valutazione </w:t>
      </w:r>
      <w:r w:rsidR="007F7EE9" w:rsidRPr="00634CBB">
        <w:rPr>
          <w:rFonts w:ascii="Garamond" w:hAnsi="Garamond" w:cs="Times New Roman"/>
          <w:color w:val="000000" w:themeColor="text1"/>
        </w:rPr>
        <w:t>degli interessi in gioco.</w:t>
      </w:r>
      <w:r w:rsidR="003210CC" w:rsidRPr="00634CBB">
        <w:rPr>
          <w:rFonts w:ascii="Garamond" w:hAnsi="Garamond" w:cs="Times New Roman"/>
          <w:color w:val="000000" w:themeColor="text1"/>
        </w:rPr>
        <w:t xml:space="preserve"> </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Nulla di nuovo quindi</w:t>
      </w:r>
      <w:r w:rsidR="00F23C47" w:rsidRPr="00634CBB">
        <w:rPr>
          <w:rFonts w:ascii="Garamond" w:hAnsi="Garamond" w:cs="Times New Roman"/>
          <w:color w:val="000000" w:themeColor="text1"/>
        </w:rPr>
        <w:t xml:space="preserve"> rispetto all</w:t>
      </w:r>
      <w:r w:rsidR="00F40380" w:rsidRPr="00634CBB">
        <w:rPr>
          <w:rFonts w:ascii="Garamond" w:hAnsi="Garamond" w:cs="Times New Roman"/>
          <w:color w:val="000000" w:themeColor="text1"/>
        </w:rPr>
        <w:t>e precedenti esperienze normative di matrice europea</w:t>
      </w:r>
      <w:r w:rsidRPr="00634CBB">
        <w:rPr>
          <w:rFonts w:ascii="Garamond" w:hAnsi="Garamond" w:cs="Times New Roman"/>
          <w:color w:val="000000" w:themeColor="text1"/>
        </w:rPr>
        <w:t>, ma molto di nuovo rispetto alla Legge 241/90, con la quale si demandava ad un Regolamento governativo (peral</w:t>
      </w:r>
      <w:r w:rsidR="00F23C47" w:rsidRPr="00634CBB">
        <w:rPr>
          <w:rFonts w:ascii="Garamond" w:hAnsi="Garamond" w:cs="Times New Roman"/>
          <w:color w:val="000000" w:themeColor="text1"/>
        </w:rPr>
        <w:t xml:space="preserve">tro mai </w:t>
      </w:r>
      <w:r w:rsidR="00F40380" w:rsidRPr="00634CBB">
        <w:rPr>
          <w:rFonts w:ascii="Garamond" w:hAnsi="Garamond" w:cs="Times New Roman"/>
          <w:color w:val="000000" w:themeColor="text1"/>
        </w:rPr>
        <w:t xml:space="preserve">rinnovato </w:t>
      </w:r>
      <w:r w:rsidR="00F23C47" w:rsidRPr="00634CBB">
        <w:rPr>
          <w:rFonts w:ascii="Garamond" w:hAnsi="Garamond" w:cs="Times New Roman"/>
          <w:color w:val="000000" w:themeColor="text1"/>
        </w:rPr>
        <w:t xml:space="preserve">dopo </w:t>
      </w:r>
      <w:r w:rsidRPr="00634CBB">
        <w:rPr>
          <w:rFonts w:ascii="Garamond" w:hAnsi="Garamond" w:cs="Times New Roman"/>
          <w:color w:val="000000" w:themeColor="text1"/>
        </w:rPr>
        <w:t>la riforma del 2005) i singoli casi di esclusione per ragioni di riservatezza, imperniando la prevalenza del diritto di accesso su un altro e diverso diritto, quello di difesa (ex art. 24, comma 7).</w:t>
      </w:r>
    </w:p>
    <w:p w:rsidR="00F23C47"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Può essere interessante </w:t>
      </w:r>
      <w:r w:rsidR="00F23C47" w:rsidRPr="00634CBB">
        <w:rPr>
          <w:rFonts w:ascii="Garamond" w:hAnsi="Garamond" w:cs="Times New Roman"/>
          <w:color w:val="000000" w:themeColor="text1"/>
        </w:rPr>
        <w:t xml:space="preserve">notare </w:t>
      </w:r>
      <w:r w:rsidRPr="00634CBB">
        <w:rPr>
          <w:rFonts w:ascii="Garamond" w:hAnsi="Garamond" w:cs="Times New Roman"/>
          <w:color w:val="000000" w:themeColor="text1"/>
        </w:rPr>
        <w:t xml:space="preserve">che </w:t>
      </w:r>
      <w:r w:rsidR="00F23C47" w:rsidRPr="00634CBB">
        <w:rPr>
          <w:rFonts w:ascii="Garamond" w:hAnsi="Garamond" w:cs="Times New Roman"/>
          <w:color w:val="000000" w:themeColor="text1"/>
        </w:rPr>
        <w:t xml:space="preserve">l’impatto innovativo di </w:t>
      </w:r>
      <w:r w:rsidRPr="00634CBB">
        <w:rPr>
          <w:rFonts w:ascii="Garamond" w:hAnsi="Garamond" w:cs="Times New Roman"/>
          <w:color w:val="000000" w:themeColor="text1"/>
        </w:rPr>
        <w:t>siffatta impostazione suscitò, già a lavori in corso, immediate critiche da parte del Garante per la privac</w:t>
      </w:r>
      <w:r w:rsidR="007F7EE9" w:rsidRPr="00634CBB">
        <w:rPr>
          <w:rFonts w:ascii="Garamond" w:hAnsi="Garamond" w:cs="Times New Roman"/>
          <w:color w:val="000000" w:themeColor="text1"/>
        </w:rPr>
        <w:t>y, il quale, preoccupato per l’</w:t>
      </w:r>
      <w:r w:rsidRPr="00634CBB">
        <w:rPr>
          <w:rFonts w:ascii="Garamond" w:hAnsi="Garamond" w:cs="Times New Roman"/>
          <w:color w:val="000000" w:themeColor="text1"/>
        </w:rPr>
        <w:t>eccesso di discrezionalità delle Pubbliche Amministrazioni</w:t>
      </w:r>
      <w:r w:rsidR="00F23C47" w:rsidRPr="00634CBB">
        <w:rPr>
          <w:rFonts w:ascii="Garamond" w:hAnsi="Garamond" w:cs="Times New Roman"/>
          <w:color w:val="000000" w:themeColor="text1"/>
        </w:rPr>
        <w:t xml:space="preserve"> che sembrava profilarsi all’orizzonte, </w:t>
      </w:r>
      <w:r w:rsidRPr="00634CBB">
        <w:rPr>
          <w:rFonts w:ascii="Garamond" w:hAnsi="Garamond" w:cs="Times New Roman"/>
          <w:color w:val="000000" w:themeColor="text1"/>
        </w:rPr>
        <w:t xml:space="preserve">propose sostanzialmente un ritorno (quantomeno parziale) al tradizionale modello del regolamento </w:t>
      </w:r>
      <w:proofErr w:type="gramStart"/>
      <w:r w:rsidRPr="00634CBB">
        <w:rPr>
          <w:rFonts w:ascii="Garamond" w:hAnsi="Garamond" w:cs="Times New Roman"/>
          <w:color w:val="000000" w:themeColor="text1"/>
        </w:rPr>
        <w:t xml:space="preserve">governativo </w:t>
      </w:r>
      <w:r w:rsidRPr="00634CBB">
        <w:rPr>
          <w:rStyle w:val="Rimandonotaapidipagina"/>
          <w:rFonts w:ascii="Garamond" w:hAnsi="Garamond" w:cs="Times New Roman"/>
          <w:color w:val="000000" w:themeColor="text1"/>
        </w:rPr>
        <w:footnoteReference w:id="12"/>
      </w:r>
      <w:r w:rsidRPr="00634CBB">
        <w:rPr>
          <w:rFonts w:ascii="Garamond" w:hAnsi="Garamond" w:cs="Times New Roman"/>
          <w:color w:val="000000" w:themeColor="text1"/>
        </w:rPr>
        <w:t>.</w:t>
      </w:r>
      <w:proofErr w:type="gramEnd"/>
      <w:r w:rsidRPr="00634CBB">
        <w:rPr>
          <w:rFonts w:ascii="Garamond" w:hAnsi="Garamond" w:cs="Times New Roman"/>
          <w:color w:val="000000" w:themeColor="text1"/>
        </w:rPr>
        <w:t xml:space="preserve">  </w:t>
      </w:r>
      <w:r w:rsidRPr="00634CBB">
        <w:rPr>
          <w:rFonts w:ascii="Garamond" w:hAnsi="Garamond" w:cs="Times New Roman"/>
          <w:color w:val="000000" w:themeColor="text1"/>
        </w:rPr>
        <w:tab/>
      </w:r>
    </w:p>
    <w:p w:rsidR="00F23C47" w:rsidRPr="00634CBB" w:rsidRDefault="00EE2941"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Invero, l’ampia</w:t>
      </w:r>
      <w:r w:rsidR="003210CC" w:rsidRPr="00634CBB">
        <w:rPr>
          <w:rFonts w:ascii="Garamond" w:hAnsi="Garamond" w:cs="Times New Roman"/>
          <w:color w:val="000000" w:themeColor="text1"/>
        </w:rPr>
        <w:t xml:space="preserve"> </w:t>
      </w:r>
      <w:r w:rsidRPr="00634CBB">
        <w:rPr>
          <w:rFonts w:ascii="Garamond" w:hAnsi="Garamond" w:cs="Times New Roman"/>
          <w:color w:val="000000" w:themeColor="text1"/>
        </w:rPr>
        <w:t>discrezionalità d</w:t>
      </w:r>
      <w:r w:rsidR="003210CC" w:rsidRPr="00634CBB">
        <w:rPr>
          <w:rFonts w:ascii="Garamond" w:hAnsi="Garamond" w:cs="Times New Roman"/>
          <w:color w:val="000000" w:themeColor="text1"/>
        </w:rPr>
        <w:t xml:space="preserve">ella fase decisoria ed il conseguente rischio di un’interpretazione disomogenea delle norme da parte delle singole Amministrazioni è </w:t>
      </w:r>
      <w:r w:rsidR="003210CC" w:rsidRPr="00634CBB">
        <w:rPr>
          <w:rFonts w:ascii="Garamond" w:hAnsi="Garamond" w:cs="Times New Roman"/>
          <w:color w:val="000000" w:themeColor="text1"/>
        </w:rPr>
        <w:lastRenderedPageBreak/>
        <w:t xml:space="preserve">un problema </w:t>
      </w:r>
      <w:proofErr w:type="gramStart"/>
      <w:r w:rsidR="003210CC" w:rsidRPr="00634CBB">
        <w:rPr>
          <w:rFonts w:ascii="Garamond" w:hAnsi="Garamond" w:cs="Times New Roman"/>
          <w:color w:val="000000" w:themeColor="text1"/>
        </w:rPr>
        <w:t>reale</w:t>
      </w:r>
      <w:r w:rsidRPr="00634CBB">
        <w:rPr>
          <w:rFonts w:ascii="Garamond" w:hAnsi="Garamond" w:cs="Times New Roman"/>
          <w:color w:val="000000" w:themeColor="text1"/>
        </w:rPr>
        <w:t xml:space="preserve"> </w:t>
      </w:r>
      <w:r w:rsidRPr="00634CBB">
        <w:rPr>
          <w:rStyle w:val="Rimandonotaapidipagina"/>
          <w:rFonts w:ascii="Garamond" w:hAnsi="Garamond" w:cs="Times New Roman"/>
          <w:color w:val="000000" w:themeColor="text1"/>
        </w:rPr>
        <w:footnoteReference w:id="13"/>
      </w:r>
      <w:r w:rsidR="003210CC" w:rsidRPr="00634CBB">
        <w:rPr>
          <w:rFonts w:ascii="Garamond" w:hAnsi="Garamond" w:cs="Times New Roman"/>
          <w:color w:val="000000" w:themeColor="text1"/>
        </w:rPr>
        <w:t>,</w:t>
      </w:r>
      <w:proofErr w:type="gramEnd"/>
      <w:r w:rsidR="003210CC" w:rsidRPr="00634CBB">
        <w:rPr>
          <w:rFonts w:ascii="Garamond" w:hAnsi="Garamond" w:cs="Times New Roman"/>
          <w:color w:val="000000" w:themeColor="text1"/>
        </w:rPr>
        <w:t xml:space="preserve"> che lo stesso legislatore ha tentato di mitigare con lo strume</w:t>
      </w:r>
      <w:r w:rsidR="00F031DB" w:rsidRPr="00634CBB">
        <w:rPr>
          <w:rFonts w:ascii="Garamond" w:hAnsi="Garamond" w:cs="Times New Roman"/>
          <w:color w:val="000000" w:themeColor="text1"/>
        </w:rPr>
        <w:t>nto delle “Linee guida”</w:t>
      </w:r>
      <w:r w:rsidR="003210CC" w:rsidRPr="00634CBB">
        <w:rPr>
          <w:rFonts w:ascii="Garamond" w:hAnsi="Garamond" w:cs="Times New Roman"/>
          <w:color w:val="000000" w:themeColor="text1"/>
        </w:rPr>
        <w:t xml:space="preserve"> previste dall’art. 5-bis, comma 6, del D.Lgs. 33/2013 </w:t>
      </w:r>
      <w:r w:rsidR="00F23C47" w:rsidRPr="00634CBB">
        <w:rPr>
          <w:rStyle w:val="Rimandonotaapidipagina"/>
          <w:rFonts w:ascii="Garamond" w:hAnsi="Garamond" w:cs="Times New Roman"/>
          <w:color w:val="000000" w:themeColor="text1"/>
        </w:rPr>
        <w:footnoteReference w:id="14"/>
      </w:r>
      <w:r w:rsidR="00F23C47" w:rsidRPr="00634CBB">
        <w:rPr>
          <w:rFonts w:ascii="Garamond" w:hAnsi="Garamond" w:cs="Times New Roman"/>
          <w:color w:val="000000" w:themeColor="text1"/>
        </w:rPr>
        <w:t xml:space="preserve">. </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Come noto, le prime </w:t>
      </w:r>
      <w:r w:rsidRPr="00634CBB">
        <w:rPr>
          <w:rFonts w:ascii="Garamond" w:hAnsi="Garamond" w:cs="Times New Roman"/>
          <w:i/>
          <w:color w:val="000000" w:themeColor="text1"/>
        </w:rPr>
        <w:t>“Linee guida recanti indicazioni operative ai fini della definizione delle esclusioni e dei limiti all’accesso civico di cui al</w:t>
      </w:r>
      <w:r w:rsidR="00A3466E" w:rsidRPr="00634CBB">
        <w:rPr>
          <w:rFonts w:ascii="Garamond" w:hAnsi="Garamond" w:cs="Times New Roman"/>
          <w:i/>
          <w:color w:val="000000" w:themeColor="text1"/>
        </w:rPr>
        <w:t>l</w:t>
      </w:r>
      <w:r w:rsidRPr="00634CBB">
        <w:rPr>
          <w:rFonts w:ascii="Garamond" w:hAnsi="Garamond" w:cs="Times New Roman"/>
          <w:i/>
          <w:color w:val="000000" w:themeColor="text1"/>
        </w:rPr>
        <w:t xml:space="preserve">’art. 5 co. 2 del D.Lgs. 33/2013” </w:t>
      </w:r>
      <w:r w:rsidRPr="00634CBB">
        <w:rPr>
          <w:rFonts w:ascii="Garamond" w:hAnsi="Garamond" w:cs="Times New Roman"/>
          <w:color w:val="000000" w:themeColor="text1"/>
        </w:rPr>
        <w:t>sono state adottate dall’A</w:t>
      </w:r>
      <w:r w:rsidR="00F031DB" w:rsidRPr="00634CBB">
        <w:rPr>
          <w:rFonts w:ascii="Garamond" w:hAnsi="Garamond" w:cs="Times New Roman"/>
          <w:color w:val="000000" w:themeColor="text1"/>
        </w:rPr>
        <w:t xml:space="preserve">utorità </w:t>
      </w:r>
      <w:r w:rsidRPr="00634CBB">
        <w:rPr>
          <w:rFonts w:ascii="Garamond" w:hAnsi="Garamond" w:cs="Times New Roman"/>
          <w:color w:val="000000" w:themeColor="text1"/>
        </w:rPr>
        <w:t>N</w:t>
      </w:r>
      <w:r w:rsidR="00F031DB" w:rsidRPr="00634CBB">
        <w:rPr>
          <w:rFonts w:ascii="Garamond" w:hAnsi="Garamond" w:cs="Times New Roman"/>
          <w:color w:val="000000" w:themeColor="text1"/>
        </w:rPr>
        <w:t>azionale Anticorruzione</w:t>
      </w:r>
      <w:r w:rsidRPr="00634CBB">
        <w:rPr>
          <w:rFonts w:ascii="Garamond" w:hAnsi="Garamond" w:cs="Times New Roman"/>
          <w:color w:val="000000" w:themeColor="text1"/>
        </w:rPr>
        <w:t>, d’intesa con il Garante per la privacy, con delibera n. 1309 del 28 dicembre 2016 e</w:t>
      </w:r>
      <w:r w:rsidR="00EE512C" w:rsidRPr="00634CBB">
        <w:rPr>
          <w:rFonts w:ascii="Garamond" w:hAnsi="Garamond" w:cs="Times New Roman"/>
          <w:color w:val="000000" w:themeColor="text1"/>
        </w:rPr>
        <w:t>d</w:t>
      </w:r>
      <w:r w:rsidRPr="00634CBB">
        <w:rPr>
          <w:rFonts w:ascii="Garamond" w:hAnsi="Garamond" w:cs="Times New Roman"/>
          <w:color w:val="000000" w:themeColor="text1"/>
        </w:rPr>
        <w:t xml:space="preserve"> </w:t>
      </w:r>
      <w:r w:rsidR="00EE512C" w:rsidRPr="00634CBB">
        <w:rPr>
          <w:rFonts w:ascii="Garamond" w:hAnsi="Garamond" w:cs="Times New Roman"/>
          <w:color w:val="000000" w:themeColor="text1"/>
        </w:rPr>
        <w:t xml:space="preserve">esse </w:t>
      </w:r>
      <w:r w:rsidRPr="00634CBB">
        <w:rPr>
          <w:rFonts w:ascii="Garamond" w:hAnsi="Garamond" w:cs="Times New Roman"/>
          <w:color w:val="000000" w:themeColor="text1"/>
        </w:rPr>
        <w:t>non pare abbia</w:t>
      </w:r>
      <w:r w:rsidR="00EE512C" w:rsidRPr="00634CBB">
        <w:rPr>
          <w:rFonts w:ascii="Garamond" w:hAnsi="Garamond" w:cs="Times New Roman"/>
          <w:color w:val="000000" w:themeColor="text1"/>
        </w:rPr>
        <w:t>no</w:t>
      </w:r>
      <w:r w:rsidRPr="00634CBB">
        <w:rPr>
          <w:rFonts w:ascii="Garamond" w:hAnsi="Garamond" w:cs="Times New Roman"/>
          <w:color w:val="000000" w:themeColor="text1"/>
        </w:rPr>
        <w:t xml:space="preserve"> sortito </w:t>
      </w:r>
      <w:r w:rsidR="00EE512C" w:rsidRPr="00634CBB">
        <w:rPr>
          <w:rFonts w:ascii="Garamond" w:hAnsi="Garamond" w:cs="Times New Roman"/>
          <w:color w:val="000000" w:themeColor="text1"/>
        </w:rPr>
        <w:t>l’effetto</w:t>
      </w:r>
      <w:r w:rsidRPr="00634CBB">
        <w:rPr>
          <w:rFonts w:ascii="Garamond" w:hAnsi="Garamond" w:cs="Times New Roman"/>
          <w:color w:val="000000" w:themeColor="text1"/>
        </w:rPr>
        <w:t xml:space="preserve"> </w:t>
      </w:r>
      <w:r w:rsidR="00EE512C" w:rsidRPr="00634CBB">
        <w:rPr>
          <w:rFonts w:ascii="Garamond" w:hAnsi="Garamond" w:cs="Times New Roman"/>
          <w:color w:val="000000" w:themeColor="text1"/>
        </w:rPr>
        <w:t xml:space="preserve">sperato di </w:t>
      </w:r>
      <w:r w:rsidR="00F031DB" w:rsidRPr="00634CBB">
        <w:rPr>
          <w:rFonts w:ascii="Garamond" w:hAnsi="Garamond" w:cs="Times New Roman"/>
          <w:color w:val="000000" w:themeColor="text1"/>
        </w:rPr>
        <w:t>conferire “certezza” o “prevedibilità” a</w:t>
      </w:r>
      <w:r w:rsidR="00EE512C" w:rsidRPr="00634CBB">
        <w:rPr>
          <w:rFonts w:ascii="Garamond" w:hAnsi="Garamond" w:cs="Times New Roman"/>
          <w:color w:val="000000" w:themeColor="text1"/>
        </w:rPr>
        <w:t xml:space="preserve">lle decisioni amministrative; </w:t>
      </w:r>
      <w:r w:rsidR="00F031DB" w:rsidRPr="00634CBB">
        <w:rPr>
          <w:rFonts w:ascii="Garamond" w:hAnsi="Garamond" w:cs="Times New Roman"/>
          <w:color w:val="000000" w:themeColor="text1"/>
        </w:rPr>
        <w:lastRenderedPageBreak/>
        <w:t xml:space="preserve">situazione </w:t>
      </w:r>
      <w:r w:rsidR="00EE512C" w:rsidRPr="00634CBB">
        <w:rPr>
          <w:rFonts w:ascii="Garamond" w:hAnsi="Garamond" w:cs="Times New Roman"/>
          <w:color w:val="000000" w:themeColor="text1"/>
        </w:rPr>
        <w:t xml:space="preserve">che pare potersi attribuire </w:t>
      </w:r>
      <w:r w:rsidRPr="00634CBB">
        <w:rPr>
          <w:rFonts w:ascii="Garamond" w:hAnsi="Garamond" w:cs="Times New Roman"/>
          <w:color w:val="000000" w:themeColor="text1"/>
        </w:rPr>
        <w:t xml:space="preserve">sia </w:t>
      </w:r>
      <w:r w:rsidR="00EE512C" w:rsidRPr="00634CBB">
        <w:rPr>
          <w:rFonts w:ascii="Garamond" w:hAnsi="Garamond" w:cs="Times New Roman"/>
          <w:color w:val="000000" w:themeColor="text1"/>
        </w:rPr>
        <w:t xml:space="preserve">alla eccessiva </w:t>
      </w:r>
      <w:r w:rsidRPr="00634CBB">
        <w:rPr>
          <w:rFonts w:ascii="Garamond" w:hAnsi="Garamond" w:cs="Times New Roman"/>
          <w:color w:val="000000" w:themeColor="text1"/>
        </w:rPr>
        <w:t xml:space="preserve">genericità dei criteri </w:t>
      </w:r>
      <w:proofErr w:type="gramStart"/>
      <w:r w:rsidRPr="00634CBB">
        <w:rPr>
          <w:rFonts w:ascii="Garamond" w:hAnsi="Garamond" w:cs="Times New Roman"/>
          <w:color w:val="000000" w:themeColor="text1"/>
        </w:rPr>
        <w:t xml:space="preserve">proposti </w:t>
      </w:r>
      <w:r w:rsidRPr="00634CBB">
        <w:rPr>
          <w:rStyle w:val="Rimandonotaapidipagina"/>
          <w:rFonts w:ascii="Garamond" w:hAnsi="Garamond" w:cs="Times New Roman"/>
          <w:color w:val="000000" w:themeColor="text1"/>
        </w:rPr>
        <w:footnoteReference w:id="15"/>
      </w:r>
      <w:r w:rsidR="007F7EE9" w:rsidRPr="00634CBB">
        <w:rPr>
          <w:rFonts w:ascii="Garamond" w:hAnsi="Garamond" w:cs="Times New Roman"/>
          <w:color w:val="000000" w:themeColor="text1"/>
        </w:rPr>
        <w:t>,</w:t>
      </w:r>
      <w:proofErr w:type="gramEnd"/>
      <w:r w:rsidR="007F7EE9" w:rsidRPr="00634CBB">
        <w:rPr>
          <w:rFonts w:ascii="Garamond" w:hAnsi="Garamond" w:cs="Times New Roman"/>
          <w:color w:val="000000" w:themeColor="text1"/>
        </w:rPr>
        <w:t xml:space="preserve"> sia a</w:t>
      </w:r>
      <w:r w:rsidRPr="00634CBB">
        <w:rPr>
          <w:rFonts w:ascii="Garamond" w:hAnsi="Garamond" w:cs="Times New Roman"/>
          <w:color w:val="000000" w:themeColor="text1"/>
        </w:rPr>
        <w:t>i limiti propri della</w:t>
      </w:r>
      <w:r w:rsidR="00F031DB" w:rsidRPr="00634CBB">
        <w:rPr>
          <w:rFonts w:ascii="Garamond" w:hAnsi="Garamond" w:cs="Times New Roman"/>
          <w:color w:val="000000" w:themeColor="text1"/>
        </w:rPr>
        <w:t xml:space="preserve"> natura dello strumento regolatore</w:t>
      </w:r>
      <w:r w:rsidRPr="00634CBB">
        <w:rPr>
          <w:rFonts w:ascii="Garamond" w:hAnsi="Garamond" w:cs="Times New Roman"/>
          <w:color w:val="000000" w:themeColor="text1"/>
        </w:rPr>
        <w:t xml:space="preserve"> </w:t>
      </w:r>
      <w:r w:rsidRPr="00634CBB">
        <w:rPr>
          <w:rStyle w:val="Rimandonotaapidipagina"/>
          <w:rFonts w:ascii="Garamond" w:hAnsi="Garamond" w:cs="Times New Roman"/>
          <w:color w:val="000000" w:themeColor="text1"/>
        </w:rPr>
        <w:footnoteReference w:id="16"/>
      </w:r>
      <w:r w:rsidRPr="00634CBB">
        <w:rPr>
          <w:rFonts w:ascii="Garamond" w:hAnsi="Garamond" w:cs="Times New Roman"/>
          <w:color w:val="000000" w:themeColor="text1"/>
        </w:rPr>
        <w:t xml:space="preserve">.  </w:t>
      </w:r>
    </w:p>
    <w:p w:rsidR="003210CC" w:rsidRPr="00634CBB" w:rsidRDefault="003210CC" w:rsidP="00E501EB">
      <w:pPr>
        <w:spacing w:line="360" w:lineRule="auto"/>
        <w:ind w:left="851" w:right="851"/>
        <w:jc w:val="both"/>
        <w:rPr>
          <w:rFonts w:ascii="Garamond" w:hAnsi="Garamond" w:cs="Times New Roman"/>
          <w:b/>
          <w:color w:val="000000" w:themeColor="text1"/>
        </w:rPr>
      </w:pPr>
    </w:p>
    <w:p w:rsidR="00E734F3" w:rsidRPr="00634CBB" w:rsidRDefault="00D84B10" w:rsidP="00E501EB">
      <w:pPr>
        <w:spacing w:line="360" w:lineRule="auto"/>
        <w:ind w:left="851" w:right="851"/>
        <w:jc w:val="both"/>
        <w:rPr>
          <w:rFonts w:ascii="Garamond" w:hAnsi="Garamond" w:cs="Times New Roman"/>
          <w:b/>
          <w:color w:val="000000" w:themeColor="text1"/>
        </w:rPr>
      </w:pPr>
      <w:r w:rsidRPr="00634CBB">
        <w:rPr>
          <w:rFonts w:ascii="Garamond" w:hAnsi="Garamond" w:cs="Times New Roman"/>
          <w:b/>
          <w:color w:val="000000" w:themeColor="text1"/>
        </w:rPr>
        <w:t>3</w:t>
      </w:r>
      <w:r w:rsidR="000C63AE" w:rsidRPr="00634CBB">
        <w:rPr>
          <w:rFonts w:ascii="Garamond" w:hAnsi="Garamond" w:cs="Times New Roman"/>
          <w:b/>
          <w:color w:val="000000" w:themeColor="text1"/>
        </w:rPr>
        <w:t>.</w:t>
      </w:r>
      <w:r w:rsidR="003210CC" w:rsidRPr="00634CBB">
        <w:rPr>
          <w:rFonts w:ascii="Garamond" w:hAnsi="Garamond" w:cs="Times New Roman"/>
          <w:b/>
          <w:color w:val="000000" w:themeColor="text1"/>
        </w:rPr>
        <w:t xml:space="preserve"> I primi orientamenti del Garante per la privacy</w:t>
      </w:r>
      <w:r w:rsidR="00E734F3" w:rsidRPr="00634CBB">
        <w:rPr>
          <w:rFonts w:ascii="Garamond" w:hAnsi="Garamond" w:cs="Times New Roman"/>
          <w:b/>
          <w:color w:val="000000" w:themeColor="text1"/>
        </w:rPr>
        <w:t>.</w:t>
      </w:r>
    </w:p>
    <w:p w:rsidR="003210CC" w:rsidRPr="00634CBB" w:rsidRDefault="00F40380"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Nel sistema ideato </w:t>
      </w:r>
      <w:r w:rsidR="003210CC" w:rsidRPr="00634CBB">
        <w:rPr>
          <w:rFonts w:ascii="Garamond" w:hAnsi="Garamond" w:cs="Times New Roman"/>
          <w:color w:val="000000" w:themeColor="text1"/>
        </w:rPr>
        <w:t>dal legislatore per l’attuazione dell’istituto dell’accesso civico generalizzato il Garante per la p</w:t>
      </w:r>
      <w:r w:rsidR="00E734F3" w:rsidRPr="00634CBB">
        <w:rPr>
          <w:rFonts w:ascii="Garamond" w:hAnsi="Garamond" w:cs="Times New Roman"/>
          <w:color w:val="000000" w:themeColor="text1"/>
        </w:rPr>
        <w:t xml:space="preserve">rivacy svolge un ruolo </w:t>
      </w:r>
      <w:r w:rsidR="003210CC" w:rsidRPr="00634CBB">
        <w:rPr>
          <w:rFonts w:ascii="Garamond" w:hAnsi="Garamond" w:cs="Times New Roman"/>
          <w:color w:val="000000" w:themeColor="text1"/>
        </w:rPr>
        <w:t xml:space="preserve">importante, non soltanto </w:t>
      </w:r>
      <w:r w:rsidRPr="00634CBB">
        <w:rPr>
          <w:rFonts w:ascii="Garamond" w:hAnsi="Garamond" w:cs="Times New Roman"/>
          <w:color w:val="000000" w:themeColor="text1"/>
        </w:rPr>
        <w:t>nella fase de</w:t>
      </w:r>
      <w:r w:rsidR="00416B15" w:rsidRPr="00634CBB">
        <w:rPr>
          <w:rFonts w:ascii="Garamond" w:hAnsi="Garamond" w:cs="Times New Roman"/>
          <w:color w:val="000000" w:themeColor="text1"/>
        </w:rPr>
        <w:t>lla formazione del</w:t>
      </w:r>
      <w:r w:rsidR="003210CC" w:rsidRPr="00634CBB">
        <w:rPr>
          <w:rFonts w:ascii="Garamond" w:hAnsi="Garamond" w:cs="Times New Roman"/>
          <w:color w:val="000000" w:themeColor="text1"/>
        </w:rPr>
        <w:t xml:space="preserve">le “Linee guida”, ma anche per il suo </w:t>
      </w:r>
      <w:r w:rsidR="00416B15" w:rsidRPr="00634CBB">
        <w:rPr>
          <w:rFonts w:ascii="Garamond" w:hAnsi="Garamond" w:cs="Times New Roman"/>
          <w:color w:val="000000" w:themeColor="text1"/>
        </w:rPr>
        <w:t xml:space="preserve">diretto </w:t>
      </w:r>
      <w:r w:rsidR="003210CC" w:rsidRPr="00634CBB">
        <w:rPr>
          <w:rFonts w:ascii="Garamond" w:hAnsi="Garamond" w:cs="Times New Roman"/>
          <w:color w:val="000000" w:themeColor="text1"/>
        </w:rPr>
        <w:t xml:space="preserve">coinvolgimento nei procedimenti di </w:t>
      </w:r>
      <w:r w:rsidR="00E734F3" w:rsidRPr="00634CBB">
        <w:rPr>
          <w:rFonts w:ascii="Garamond" w:hAnsi="Garamond" w:cs="Times New Roman"/>
          <w:color w:val="000000" w:themeColor="text1"/>
        </w:rPr>
        <w:t>“</w:t>
      </w:r>
      <w:r w:rsidR="003210CC" w:rsidRPr="00634CBB">
        <w:rPr>
          <w:rFonts w:ascii="Garamond" w:hAnsi="Garamond" w:cs="Times New Roman"/>
          <w:color w:val="000000" w:themeColor="text1"/>
        </w:rPr>
        <w:t>riesame</w:t>
      </w:r>
      <w:r w:rsidR="00E734F3" w:rsidRPr="00634CBB">
        <w:rPr>
          <w:rFonts w:ascii="Garamond" w:hAnsi="Garamond" w:cs="Times New Roman"/>
          <w:color w:val="000000" w:themeColor="text1"/>
        </w:rPr>
        <w:t>”</w:t>
      </w:r>
      <w:r w:rsidR="003210CC" w:rsidRPr="00634CBB">
        <w:rPr>
          <w:rFonts w:ascii="Garamond" w:hAnsi="Garamond" w:cs="Times New Roman"/>
          <w:color w:val="000000" w:themeColor="text1"/>
        </w:rPr>
        <w:t xml:space="preserve"> delle decisioni assunte in pri</w:t>
      </w:r>
      <w:r w:rsidR="00E734F3" w:rsidRPr="00634CBB">
        <w:rPr>
          <w:rFonts w:ascii="Garamond" w:hAnsi="Garamond" w:cs="Times New Roman"/>
          <w:color w:val="000000" w:themeColor="text1"/>
        </w:rPr>
        <w:t>ma istanza dalle Amministrazioni, facoltativamente attivabile</w:t>
      </w:r>
      <w:r w:rsidR="003210CC" w:rsidRPr="00634CBB">
        <w:rPr>
          <w:rFonts w:ascii="Garamond" w:hAnsi="Garamond" w:cs="Times New Roman"/>
          <w:color w:val="000000" w:themeColor="text1"/>
        </w:rPr>
        <w:t xml:space="preserve"> dagli </w:t>
      </w:r>
      <w:proofErr w:type="gramStart"/>
      <w:r w:rsidR="003210CC" w:rsidRPr="00634CBB">
        <w:rPr>
          <w:rFonts w:ascii="Garamond" w:hAnsi="Garamond" w:cs="Times New Roman"/>
          <w:color w:val="000000" w:themeColor="text1"/>
        </w:rPr>
        <w:t xml:space="preserve">interessati </w:t>
      </w:r>
      <w:r w:rsidR="003210CC" w:rsidRPr="00634CBB">
        <w:rPr>
          <w:rStyle w:val="Rimandonotaapidipagina"/>
          <w:rFonts w:ascii="Garamond" w:hAnsi="Garamond" w:cs="Times New Roman"/>
          <w:color w:val="000000" w:themeColor="text1"/>
        </w:rPr>
        <w:footnoteReference w:id="17"/>
      </w:r>
      <w:r w:rsidR="003210CC" w:rsidRPr="00634CBB">
        <w:rPr>
          <w:rFonts w:ascii="Garamond" w:hAnsi="Garamond" w:cs="Times New Roman"/>
          <w:color w:val="000000" w:themeColor="text1"/>
        </w:rPr>
        <w:t>.</w:t>
      </w:r>
      <w:proofErr w:type="gramEnd"/>
    </w:p>
    <w:p w:rsidR="003210CC" w:rsidRPr="00634CBB" w:rsidRDefault="00E734F3"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Invero, benchè </w:t>
      </w:r>
      <w:r w:rsidR="00416B15" w:rsidRPr="00634CBB">
        <w:rPr>
          <w:rFonts w:ascii="Garamond" w:hAnsi="Garamond" w:cs="Times New Roman"/>
          <w:color w:val="000000" w:themeColor="text1"/>
        </w:rPr>
        <w:t>il parere del Garante</w:t>
      </w:r>
      <w:r w:rsidR="003210CC" w:rsidRPr="00634CBB">
        <w:rPr>
          <w:rFonts w:ascii="Garamond" w:hAnsi="Garamond" w:cs="Times New Roman"/>
          <w:color w:val="000000" w:themeColor="text1"/>
        </w:rPr>
        <w:t xml:space="preserve">, in assenza di una specifica </w:t>
      </w:r>
      <w:r w:rsidR="00676B9B" w:rsidRPr="00634CBB">
        <w:rPr>
          <w:rFonts w:ascii="Garamond" w:hAnsi="Garamond" w:cs="Times New Roman"/>
          <w:color w:val="000000" w:themeColor="text1"/>
        </w:rPr>
        <w:t xml:space="preserve">prescrizione </w:t>
      </w:r>
      <w:r w:rsidR="003210CC" w:rsidRPr="00634CBB">
        <w:rPr>
          <w:rFonts w:ascii="Garamond" w:hAnsi="Garamond" w:cs="Times New Roman"/>
          <w:color w:val="000000" w:themeColor="text1"/>
        </w:rPr>
        <w:t>normati</w:t>
      </w:r>
      <w:r w:rsidR="00416B15" w:rsidRPr="00634CBB">
        <w:rPr>
          <w:rFonts w:ascii="Garamond" w:hAnsi="Garamond" w:cs="Times New Roman"/>
          <w:color w:val="000000" w:themeColor="text1"/>
        </w:rPr>
        <w:t>va sul punto, non sembra possa</w:t>
      </w:r>
      <w:r w:rsidR="003210CC" w:rsidRPr="00634CBB">
        <w:rPr>
          <w:rFonts w:ascii="Garamond" w:hAnsi="Garamond" w:cs="Times New Roman"/>
          <w:color w:val="000000" w:themeColor="text1"/>
        </w:rPr>
        <w:t xml:space="preserve"> avere carattere vincolante per le Amministrazioni</w:t>
      </w:r>
      <w:r w:rsidRPr="00634CBB">
        <w:rPr>
          <w:rFonts w:ascii="Garamond" w:hAnsi="Garamond" w:cs="Times New Roman"/>
          <w:color w:val="000000" w:themeColor="text1"/>
        </w:rPr>
        <w:t xml:space="preserve"> richiedenti</w:t>
      </w:r>
      <w:r w:rsidR="00676B9B" w:rsidRPr="00634CBB">
        <w:rPr>
          <w:rFonts w:ascii="Garamond" w:hAnsi="Garamond" w:cs="Times New Roman"/>
          <w:color w:val="000000" w:themeColor="text1"/>
        </w:rPr>
        <w:t xml:space="preserve"> </w:t>
      </w:r>
      <w:r w:rsidR="00676B9B" w:rsidRPr="00634CBB">
        <w:rPr>
          <w:rStyle w:val="Rimandonotaapidipagina"/>
          <w:rFonts w:ascii="Garamond" w:hAnsi="Garamond" w:cs="Times New Roman"/>
          <w:color w:val="000000" w:themeColor="text1"/>
        </w:rPr>
        <w:footnoteReference w:id="18"/>
      </w:r>
      <w:r w:rsidR="00416B15" w:rsidRPr="00634CBB">
        <w:rPr>
          <w:rFonts w:ascii="Garamond" w:hAnsi="Garamond" w:cs="Times New Roman"/>
          <w:color w:val="000000" w:themeColor="text1"/>
        </w:rPr>
        <w:t>, esso rappresenta</w:t>
      </w:r>
      <w:r w:rsidR="003210CC" w:rsidRPr="00634CBB">
        <w:rPr>
          <w:rFonts w:ascii="Garamond" w:hAnsi="Garamond" w:cs="Times New Roman"/>
          <w:color w:val="000000" w:themeColor="text1"/>
        </w:rPr>
        <w:t xml:space="preserve"> un passaggio necessario (il parere è certamente obbligatorio) ed uno strumento interpretativo autorevole, che assume innegabilmente un certo rilievo </w:t>
      </w:r>
      <w:r w:rsidR="00676B9B" w:rsidRPr="00634CBB">
        <w:rPr>
          <w:rFonts w:ascii="Garamond" w:hAnsi="Garamond" w:cs="Times New Roman"/>
          <w:color w:val="000000" w:themeColor="text1"/>
        </w:rPr>
        <w:t xml:space="preserve">sia </w:t>
      </w:r>
      <w:r w:rsidRPr="00634CBB">
        <w:rPr>
          <w:rFonts w:ascii="Garamond" w:hAnsi="Garamond" w:cs="Times New Roman"/>
          <w:color w:val="000000" w:themeColor="text1"/>
        </w:rPr>
        <w:t>nella definizione del singolo</w:t>
      </w:r>
      <w:r w:rsidR="003210CC" w:rsidRPr="00634CBB">
        <w:rPr>
          <w:rFonts w:ascii="Garamond" w:hAnsi="Garamond" w:cs="Times New Roman"/>
          <w:color w:val="000000" w:themeColor="text1"/>
        </w:rPr>
        <w:t xml:space="preserve"> pr</w:t>
      </w:r>
      <w:r w:rsidR="00D46446" w:rsidRPr="00634CBB">
        <w:rPr>
          <w:rFonts w:ascii="Garamond" w:hAnsi="Garamond" w:cs="Times New Roman"/>
          <w:color w:val="000000" w:themeColor="text1"/>
        </w:rPr>
        <w:t xml:space="preserve">ocedimento </w:t>
      </w:r>
      <w:r w:rsidR="00676B9B" w:rsidRPr="00634CBB">
        <w:rPr>
          <w:rFonts w:ascii="Garamond" w:hAnsi="Garamond" w:cs="Times New Roman"/>
          <w:color w:val="000000" w:themeColor="text1"/>
        </w:rPr>
        <w:t xml:space="preserve">(atteso che </w:t>
      </w:r>
      <w:r w:rsidR="00676B9B" w:rsidRPr="00634CBB">
        <w:rPr>
          <w:rFonts w:ascii="Garamond" w:hAnsi="Garamond" w:cs="Times New Roman"/>
          <w:color w:val="000000" w:themeColor="text1"/>
        </w:rPr>
        <w:lastRenderedPageBreak/>
        <w:t>l’Amministrazione che dissente dal parere richiesto ha un obbligo di motivazione rafforzata), sia</w:t>
      </w:r>
      <w:r w:rsidRPr="00634CBB">
        <w:rPr>
          <w:rFonts w:ascii="Garamond" w:hAnsi="Garamond" w:cs="Times New Roman"/>
          <w:color w:val="000000" w:themeColor="text1"/>
        </w:rPr>
        <w:t xml:space="preserve">, più in generale, </w:t>
      </w:r>
      <w:r w:rsidR="00D46446" w:rsidRPr="00634CBB">
        <w:rPr>
          <w:rFonts w:ascii="Garamond" w:hAnsi="Garamond" w:cs="Times New Roman"/>
          <w:color w:val="000000" w:themeColor="text1"/>
        </w:rPr>
        <w:t>nella formazione di una “prassi” in materia</w:t>
      </w:r>
      <w:r w:rsidR="003210CC" w:rsidRPr="00634CBB">
        <w:rPr>
          <w:rFonts w:ascii="Garamond" w:hAnsi="Garamond" w:cs="Times New Roman"/>
          <w:color w:val="000000" w:themeColor="text1"/>
        </w:rPr>
        <w:t>.</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E’ quindi doveroso, a distanza di </w:t>
      </w:r>
      <w:r w:rsidR="00676B9B" w:rsidRPr="00634CBB">
        <w:rPr>
          <w:rFonts w:ascii="Garamond" w:hAnsi="Garamond" w:cs="Times New Roman"/>
          <w:color w:val="000000" w:themeColor="text1"/>
        </w:rPr>
        <w:t xml:space="preserve">più </w:t>
      </w:r>
      <w:r w:rsidRPr="00634CBB">
        <w:rPr>
          <w:rFonts w:ascii="Garamond" w:hAnsi="Garamond" w:cs="Times New Roman"/>
          <w:color w:val="000000" w:themeColor="text1"/>
        </w:rPr>
        <w:t>un anno dall’entrata in vigore dell’istituto, fare una sintetica ricognizione degli orientamenti del Garante.</w:t>
      </w:r>
    </w:p>
    <w:p w:rsidR="003210CC" w:rsidRPr="00634CBB" w:rsidRDefault="003210CC"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Anzitutto, un primo dato di tipo meramente quantit</w:t>
      </w:r>
      <w:r w:rsidR="00717F81" w:rsidRPr="00634CBB">
        <w:rPr>
          <w:rFonts w:ascii="Garamond" w:hAnsi="Garamond" w:cs="Times New Roman"/>
          <w:color w:val="000000" w:themeColor="text1"/>
        </w:rPr>
        <w:t>ativo: la gran parte dei</w:t>
      </w:r>
      <w:r w:rsidR="00676B9B" w:rsidRPr="00634CBB">
        <w:rPr>
          <w:rFonts w:ascii="Garamond" w:hAnsi="Garamond" w:cs="Times New Roman"/>
          <w:color w:val="000000" w:themeColor="text1"/>
        </w:rPr>
        <w:t xml:space="preserve"> pareri </w:t>
      </w:r>
      <w:r w:rsidR="00717F81" w:rsidRPr="00634CBB">
        <w:rPr>
          <w:rFonts w:ascii="Garamond" w:hAnsi="Garamond" w:cs="Times New Roman"/>
          <w:color w:val="000000" w:themeColor="text1"/>
        </w:rPr>
        <w:t xml:space="preserve">resi dal Garante </w:t>
      </w:r>
      <w:r w:rsidR="00676B9B" w:rsidRPr="00634CBB">
        <w:rPr>
          <w:rFonts w:ascii="Garamond" w:hAnsi="Garamond" w:cs="Times New Roman"/>
          <w:color w:val="000000" w:themeColor="text1"/>
        </w:rPr>
        <w:t xml:space="preserve">va nel senso </w:t>
      </w:r>
      <w:r w:rsidRPr="00634CBB">
        <w:rPr>
          <w:rFonts w:ascii="Garamond" w:hAnsi="Garamond" w:cs="Times New Roman"/>
          <w:color w:val="000000" w:themeColor="text1"/>
        </w:rPr>
        <w:t>della reiezione dell’istanza di accesso.</w:t>
      </w:r>
    </w:p>
    <w:p w:rsidR="000C7AB4" w:rsidRPr="00634CBB" w:rsidRDefault="003210CC" w:rsidP="000C7AB4">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Ma il dato quantitativo sarebbe, in realtà, poco significativo, se non fosse accompagnato dalla emersione di </w:t>
      </w:r>
      <w:r w:rsidR="000C7AB4" w:rsidRPr="00634CBB">
        <w:rPr>
          <w:rFonts w:ascii="Garamond" w:hAnsi="Garamond" w:cs="Times New Roman"/>
          <w:color w:val="000000" w:themeColor="text1"/>
        </w:rPr>
        <w:t>un chiaro indirizzo interpretativo</w:t>
      </w:r>
      <w:r w:rsidRPr="00634CBB">
        <w:rPr>
          <w:rFonts w:ascii="Garamond" w:hAnsi="Garamond" w:cs="Times New Roman"/>
          <w:color w:val="000000" w:themeColor="text1"/>
        </w:rPr>
        <w:t xml:space="preserve"> che</w:t>
      </w:r>
      <w:r w:rsidR="000C7AB4" w:rsidRPr="00634CBB">
        <w:rPr>
          <w:rFonts w:ascii="Garamond" w:hAnsi="Garamond" w:cs="Times New Roman"/>
          <w:color w:val="000000" w:themeColor="text1"/>
        </w:rPr>
        <w:t xml:space="preserve"> </w:t>
      </w:r>
      <w:r w:rsidR="00717F81" w:rsidRPr="00634CBB">
        <w:rPr>
          <w:rFonts w:ascii="Garamond" w:hAnsi="Garamond" w:cs="Times New Roman"/>
          <w:color w:val="000000" w:themeColor="text1"/>
        </w:rPr>
        <w:t>sembra volersi ricongiungere</w:t>
      </w:r>
      <w:r w:rsidR="000C7AB4" w:rsidRPr="00634CBB">
        <w:rPr>
          <w:rFonts w:ascii="Garamond" w:hAnsi="Garamond" w:cs="Times New Roman"/>
          <w:color w:val="000000" w:themeColor="text1"/>
        </w:rPr>
        <w:t xml:space="preserve"> con la tradizionale visione di assoluta intangibilità del diritto alla tutela dei dati personali.</w:t>
      </w:r>
    </w:p>
    <w:p w:rsidR="00717F81" w:rsidRPr="00634CBB" w:rsidRDefault="000C7AB4" w:rsidP="000C7AB4">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Tanto da far pensare che, il Garante, nel pur meritevole </w:t>
      </w:r>
      <w:r w:rsidR="00717F81" w:rsidRPr="00634CBB">
        <w:rPr>
          <w:rFonts w:ascii="Garamond" w:hAnsi="Garamond" w:cs="Times New Roman"/>
          <w:color w:val="000000" w:themeColor="text1"/>
        </w:rPr>
        <w:t xml:space="preserve">esercizio </w:t>
      </w:r>
      <w:r w:rsidRPr="00634CBB">
        <w:rPr>
          <w:rFonts w:ascii="Garamond" w:hAnsi="Garamond" w:cs="Times New Roman"/>
          <w:color w:val="000000" w:themeColor="text1"/>
        </w:rPr>
        <w:t xml:space="preserve">della propria </w:t>
      </w:r>
      <w:proofErr w:type="spellStart"/>
      <w:r w:rsidRPr="00634CBB">
        <w:rPr>
          <w:rFonts w:ascii="Garamond" w:hAnsi="Garamond" w:cs="Times New Roman"/>
          <w:i/>
          <w:color w:val="000000" w:themeColor="text1"/>
        </w:rPr>
        <w:t>mission</w:t>
      </w:r>
      <w:proofErr w:type="spellEnd"/>
      <w:r w:rsidRPr="00634CBB">
        <w:rPr>
          <w:rFonts w:ascii="Garamond" w:hAnsi="Garamond" w:cs="Times New Roman"/>
          <w:i/>
          <w:color w:val="000000" w:themeColor="text1"/>
        </w:rPr>
        <w:t xml:space="preserve"> </w:t>
      </w:r>
      <w:r w:rsidRPr="00634CBB">
        <w:rPr>
          <w:rFonts w:ascii="Garamond" w:hAnsi="Garamond" w:cs="Times New Roman"/>
          <w:color w:val="000000" w:themeColor="text1"/>
        </w:rPr>
        <w:t xml:space="preserve">istituzionale, stia cadendo nella </w:t>
      </w:r>
      <w:r w:rsidR="00717F81" w:rsidRPr="00634CBB">
        <w:rPr>
          <w:rFonts w:ascii="Garamond" w:hAnsi="Garamond" w:cs="Times New Roman"/>
          <w:color w:val="000000" w:themeColor="text1"/>
        </w:rPr>
        <w:t xml:space="preserve">(comprensibile) </w:t>
      </w:r>
      <w:r w:rsidRPr="00634CBB">
        <w:rPr>
          <w:rFonts w:ascii="Garamond" w:hAnsi="Garamond" w:cs="Times New Roman"/>
          <w:color w:val="000000" w:themeColor="text1"/>
        </w:rPr>
        <w:t xml:space="preserve">tentazione di massimizzare la rilevanza degli interessi di cui si fa interprete, </w:t>
      </w:r>
      <w:r w:rsidR="007C7A82" w:rsidRPr="00634CBB">
        <w:rPr>
          <w:rFonts w:ascii="Garamond" w:hAnsi="Garamond" w:cs="Times New Roman"/>
          <w:color w:val="000000" w:themeColor="text1"/>
        </w:rPr>
        <w:t xml:space="preserve">in coerenza, del resto, </w:t>
      </w:r>
      <w:r w:rsidR="00717F81" w:rsidRPr="00634CBB">
        <w:rPr>
          <w:rFonts w:ascii="Garamond" w:hAnsi="Garamond" w:cs="Times New Roman"/>
          <w:color w:val="000000" w:themeColor="text1"/>
        </w:rPr>
        <w:t>con l’approccio fortemente critico manifestato</w:t>
      </w:r>
      <w:r w:rsidR="007C7A82" w:rsidRPr="00634CBB">
        <w:rPr>
          <w:rFonts w:ascii="Garamond" w:hAnsi="Garamond" w:cs="Times New Roman"/>
          <w:color w:val="000000" w:themeColor="text1"/>
        </w:rPr>
        <w:t>, sin dall’inizio,</w:t>
      </w:r>
      <w:r w:rsidR="00717F81" w:rsidRPr="00634CBB">
        <w:rPr>
          <w:rFonts w:ascii="Garamond" w:hAnsi="Garamond" w:cs="Times New Roman"/>
          <w:color w:val="000000" w:themeColor="text1"/>
        </w:rPr>
        <w:t xml:space="preserve"> nei confronti del nuovo </w:t>
      </w:r>
      <w:proofErr w:type="gramStart"/>
      <w:r w:rsidR="00717F81" w:rsidRPr="00634CBB">
        <w:rPr>
          <w:rFonts w:ascii="Garamond" w:hAnsi="Garamond" w:cs="Times New Roman"/>
          <w:color w:val="000000" w:themeColor="text1"/>
        </w:rPr>
        <w:t xml:space="preserve">istituto </w:t>
      </w:r>
      <w:r w:rsidR="00717F81" w:rsidRPr="00634CBB">
        <w:rPr>
          <w:rStyle w:val="Rimandonotaapidipagina"/>
          <w:rFonts w:ascii="Garamond" w:hAnsi="Garamond" w:cs="Times New Roman"/>
          <w:color w:val="000000" w:themeColor="text1"/>
        </w:rPr>
        <w:footnoteReference w:id="19"/>
      </w:r>
      <w:r w:rsidR="00717F81" w:rsidRPr="00634CBB">
        <w:rPr>
          <w:rFonts w:ascii="Garamond" w:hAnsi="Garamond" w:cs="Times New Roman"/>
          <w:color w:val="000000" w:themeColor="text1"/>
        </w:rPr>
        <w:t>.</w:t>
      </w:r>
      <w:proofErr w:type="gramEnd"/>
    </w:p>
    <w:p w:rsidR="003210CC" w:rsidRPr="00634CBB" w:rsidRDefault="00717F81"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Con l’effetto</w:t>
      </w:r>
      <w:r w:rsidR="00416B15" w:rsidRPr="00634CBB">
        <w:rPr>
          <w:rFonts w:ascii="Garamond" w:hAnsi="Garamond" w:cs="Times New Roman"/>
          <w:color w:val="000000" w:themeColor="text1"/>
        </w:rPr>
        <w:t xml:space="preserve"> di rallentare</w:t>
      </w:r>
      <w:r w:rsidR="000C7AB4" w:rsidRPr="00634CBB">
        <w:rPr>
          <w:rFonts w:ascii="Garamond" w:hAnsi="Garamond" w:cs="Times New Roman"/>
          <w:color w:val="000000" w:themeColor="text1"/>
        </w:rPr>
        <w:t xml:space="preserve"> il processo di equiordinazione del diritto di accesso civico </w:t>
      </w:r>
      <w:r w:rsidRPr="00634CBB">
        <w:rPr>
          <w:rFonts w:ascii="Garamond" w:hAnsi="Garamond" w:cs="Times New Roman"/>
          <w:color w:val="000000" w:themeColor="text1"/>
        </w:rPr>
        <w:t xml:space="preserve">voluto dal Legislatore </w:t>
      </w:r>
      <w:r w:rsidR="005F5C25" w:rsidRPr="00634CBB">
        <w:rPr>
          <w:rFonts w:ascii="Garamond" w:hAnsi="Garamond" w:cs="Times New Roman"/>
          <w:color w:val="000000" w:themeColor="text1"/>
        </w:rPr>
        <w:t xml:space="preserve">e di </w:t>
      </w:r>
      <w:r w:rsidR="003210CC" w:rsidRPr="00634CBB">
        <w:rPr>
          <w:rFonts w:ascii="Garamond" w:hAnsi="Garamond" w:cs="Times New Roman"/>
          <w:color w:val="000000" w:themeColor="text1"/>
        </w:rPr>
        <w:t>limitar</w:t>
      </w:r>
      <w:r w:rsidR="005F5C25" w:rsidRPr="00634CBB">
        <w:rPr>
          <w:rFonts w:ascii="Garamond" w:hAnsi="Garamond" w:cs="Times New Roman"/>
          <w:color w:val="000000" w:themeColor="text1"/>
        </w:rPr>
        <w:t>n</w:t>
      </w:r>
      <w:r w:rsidR="003210CC" w:rsidRPr="00634CBB">
        <w:rPr>
          <w:rFonts w:ascii="Garamond" w:hAnsi="Garamond" w:cs="Times New Roman"/>
          <w:color w:val="000000" w:themeColor="text1"/>
        </w:rPr>
        <w:t xml:space="preserve">e </w:t>
      </w:r>
      <w:r w:rsidR="00416B15" w:rsidRPr="00634CBB">
        <w:rPr>
          <w:rFonts w:ascii="Garamond" w:hAnsi="Garamond" w:cs="Times New Roman"/>
          <w:color w:val="000000" w:themeColor="text1"/>
        </w:rPr>
        <w:t xml:space="preserve">sensibilmente </w:t>
      </w:r>
      <w:r w:rsidR="003210CC" w:rsidRPr="00634CBB">
        <w:rPr>
          <w:rFonts w:ascii="Garamond" w:hAnsi="Garamond" w:cs="Times New Roman"/>
          <w:color w:val="000000" w:themeColor="text1"/>
        </w:rPr>
        <w:t>l’ambito oggetti</w:t>
      </w:r>
      <w:r w:rsidR="005F5C25" w:rsidRPr="00634CBB">
        <w:rPr>
          <w:rFonts w:ascii="Garamond" w:hAnsi="Garamond" w:cs="Times New Roman"/>
          <w:color w:val="000000" w:themeColor="text1"/>
        </w:rPr>
        <w:t>vo di applicazione</w:t>
      </w:r>
      <w:r w:rsidR="003210CC" w:rsidRPr="00634CBB">
        <w:rPr>
          <w:rFonts w:ascii="Garamond" w:hAnsi="Garamond" w:cs="Times New Roman"/>
          <w:color w:val="000000" w:themeColor="text1"/>
        </w:rPr>
        <w:t>.</w:t>
      </w:r>
    </w:p>
    <w:p w:rsidR="00E578DC" w:rsidRPr="00634CBB" w:rsidRDefault="005F5C25" w:rsidP="00E578DC">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Ma vediamo alcuni casi concreti </w:t>
      </w:r>
      <w:r w:rsidR="001066A5" w:rsidRPr="00634CBB">
        <w:rPr>
          <w:rFonts w:ascii="Garamond" w:hAnsi="Garamond" w:cs="Times New Roman"/>
          <w:color w:val="000000" w:themeColor="text1"/>
        </w:rPr>
        <w:t>emblematici dell’orientamento de</w:t>
      </w:r>
      <w:r w:rsidRPr="00634CBB">
        <w:rPr>
          <w:rFonts w:ascii="Garamond" w:hAnsi="Garamond" w:cs="Times New Roman"/>
          <w:color w:val="000000" w:themeColor="text1"/>
        </w:rPr>
        <w:t>l Garante.</w:t>
      </w:r>
    </w:p>
    <w:p w:rsidR="001066A5" w:rsidRPr="00634CBB" w:rsidRDefault="00E578DC" w:rsidP="001066A5">
      <w:pPr>
        <w:spacing w:line="360" w:lineRule="auto"/>
        <w:ind w:left="851" w:right="851"/>
        <w:jc w:val="both"/>
        <w:rPr>
          <w:rFonts w:ascii="Garamond" w:hAnsi="Garamond" w:cs="Times New Roman"/>
          <w:color w:val="000000"/>
        </w:rPr>
      </w:pPr>
      <w:r w:rsidRPr="00634CBB">
        <w:rPr>
          <w:rFonts w:ascii="Garamond" w:hAnsi="Garamond" w:cs="Times New Roman"/>
          <w:color w:val="000000" w:themeColor="text1"/>
        </w:rPr>
        <w:t>In tema di procedure per la scelta d</w:t>
      </w:r>
      <w:r w:rsidR="00416B15" w:rsidRPr="00634CBB">
        <w:rPr>
          <w:rFonts w:ascii="Garamond" w:hAnsi="Garamond" w:cs="Times New Roman"/>
          <w:color w:val="000000" w:themeColor="text1"/>
        </w:rPr>
        <w:t>el contraente privato, secondo i</w:t>
      </w:r>
      <w:r w:rsidRPr="00634CBB">
        <w:rPr>
          <w:rFonts w:ascii="Garamond" w:hAnsi="Garamond" w:cs="Times New Roman"/>
          <w:color w:val="000000" w:themeColor="text1"/>
        </w:rPr>
        <w:t xml:space="preserve">l Garante </w:t>
      </w:r>
      <w:r w:rsidRPr="00634CBB">
        <w:rPr>
          <w:rFonts w:ascii="Garamond" w:hAnsi="Garamond" w:cs="Times New Roman"/>
          <w:color w:val="000000"/>
        </w:rPr>
        <w:t>non sono ostensibili le “manifestazioni di interesse” all’assunzione di un incarico (di Presidente di un’Autorità pubblica)</w:t>
      </w:r>
      <w:r w:rsidR="001066A5" w:rsidRPr="00634CBB">
        <w:rPr>
          <w:rFonts w:ascii="Garamond" w:hAnsi="Garamond" w:cs="Times New Roman"/>
          <w:color w:val="000000"/>
        </w:rPr>
        <w:t>,</w:t>
      </w:r>
      <w:r w:rsidRPr="00634CBB">
        <w:rPr>
          <w:rFonts w:ascii="Garamond" w:hAnsi="Garamond" w:cs="Times New Roman"/>
          <w:color w:val="000000"/>
        </w:rPr>
        <w:t xml:space="preserve"> unitamente al </w:t>
      </w:r>
      <w:r w:rsidRPr="00634CBB">
        <w:rPr>
          <w:rFonts w:ascii="Garamond" w:hAnsi="Garamond" w:cs="Times New Roman"/>
          <w:i/>
          <w:color w:val="000000"/>
        </w:rPr>
        <w:t>curriculum vitae</w:t>
      </w:r>
      <w:r w:rsidRPr="00634CBB">
        <w:rPr>
          <w:rFonts w:ascii="Garamond" w:hAnsi="Garamond" w:cs="Times New Roman"/>
          <w:color w:val="000000"/>
        </w:rPr>
        <w:t xml:space="preserve">, anche in considerazione del fatto che nel relativo avviso pubblico era </w:t>
      </w:r>
      <w:r w:rsidR="001066A5" w:rsidRPr="00634CBB">
        <w:rPr>
          <w:rFonts w:ascii="Garamond" w:hAnsi="Garamond" w:cs="Times New Roman"/>
          <w:color w:val="000000"/>
        </w:rPr>
        <w:t xml:space="preserve">stato </w:t>
      </w:r>
      <w:r w:rsidRPr="00634CBB">
        <w:rPr>
          <w:rFonts w:ascii="Garamond" w:hAnsi="Garamond" w:cs="Times New Roman"/>
          <w:color w:val="000000"/>
        </w:rPr>
        <w:t>espressamente previsto che detta documentazione non sarebbe stata pubblicata (par. n. 162 del 30.03.2017 – doc. web n. 6393422</w:t>
      </w:r>
      <w:proofErr w:type="gramStart"/>
      <w:r w:rsidRPr="00634CBB">
        <w:rPr>
          <w:rFonts w:ascii="Garamond" w:hAnsi="Garamond" w:cs="Times New Roman"/>
          <w:color w:val="000000"/>
        </w:rPr>
        <w:t>)</w:t>
      </w:r>
      <w:r w:rsidR="001066A5" w:rsidRPr="00634CBB">
        <w:rPr>
          <w:rFonts w:ascii="Garamond" w:hAnsi="Garamond" w:cs="Times New Roman"/>
          <w:color w:val="000000"/>
        </w:rPr>
        <w:t xml:space="preserve"> </w:t>
      </w:r>
      <w:r w:rsidR="001066A5" w:rsidRPr="00634CBB">
        <w:rPr>
          <w:rStyle w:val="Rimandonotaapidipagina"/>
          <w:rFonts w:ascii="Garamond" w:hAnsi="Garamond" w:cs="Times New Roman"/>
          <w:color w:val="000000"/>
        </w:rPr>
        <w:footnoteReference w:id="20"/>
      </w:r>
      <w:r w:rsidRPr="00634CBB">
        <w:rPr>
          <w:rFonts w:ascii="Garamond" w:hAnsi="Garamond" w:cs="Times New Roman"/>
          <w:color w:val="000000"/>
        </w:rPr>
        <w:t>.</w:t>
      </w:r>
      <w:proofErr w:type="gramEnd"/>
    </w:p>
    <w:p w:rsidR="00D328B4" w:rsidRPr="00634CBB" w:rsidRDefault="00416B15" w:rsidP="00D328B4">
      <w:pPr>
        <w:spacing w:line="360" w:lineRule="auto"/>
        <w:ind w:left="851" w:right="851"/>
        <w:jc w:val="both"/>
        <w:rPr>
          <w:rFonts w:ascii="Garamond" w:hAnsi="Garamond" w:cs="Times New Roman"/>
          <w:color w:val="000000"/>
        </w:rPr>
      </w:pPr>
      <w:r w:rsidRPr="00634CBB">
        <w:rPr>
          <w:rFonts w:ascii="Garamond" w:hAnsi="Garamond" w:cs="Times New Roman"/>
          <w:color w:val="000000"/>
        </w:rPr>
        <w:t>Sempre ad avviso del Garante, n</w:t>
      </w:r>
      <w:r w:rsidR="0055559E" w:rsidRPr="00634CBB">
        <w:rPr>
          <w:rFonts w:ascii="Garamond" w:hAnsi="Garamond" w:cs="Times New Roman"/>
          <w:color w:val="000000"/>
        </w:rPr>
        <w:t xml:space="preserve">on </w:t>
      </w:r>
      <w:r w:rsidR="00D328B4" w:rsidRPr="00634CBB">
        <w:rPr>
          <w:rFonts w:ascii="Garamond" w:hAnsi="Garamond" w:cs="Times New Roman"/>
          <w:color w:val="000000"/>
        </w:rPr>
        <w:t>può darsi accesso ad un elenco di immobili</w:t>
      </w:r>
      <w:r w:rsidRPr="00634CBB">
        <w:rPr>
          <w:rFonts w:ascii="Garamond" w:hAnsi="Garamond" w:cs="Times New Roman"/>
          <w:color w:val="000000"/>
        </w:rPr>
        <w:t>,</w:t>
      </w:r>
      <w:r w:rsidR="00D328B4" w:rsidRPr="00634CBB">
        <w:rPr>
          <w:rFonts w:ascii="Garamond" w:hAnsi="Garamond" w:cs="Times New Roman"/>
          <w:color w:val="000000"/>
        </w:rPr>
        <w:t xml:space="preserve"> </w:t>
      </w:r>
      <w:r w:rsidRPr="00634CBB">
        <w:rPr>
          <w:rFonts w:ascii="Garamond" w:hAnsi="Garamond" w:cs="Times New Roman"/>
          <w:color w:val="000000"/>
        </w:rPr>
        <w:t xml:space="preserve">detenuto </w:t>
      </w:r>
      <w:r w:rsidR="00D328B4" w:rsidRPr="00634CBB">
        <w:rPr>
          <w:rFonts w:ascii="Garamond" w:hAnsi="Garamond" w:cs="Times New Roman"/>
          <w:color w:val="000000"/>
        </w:rPr>
        <w:t xml:space="preserve">dalla P.A., dal quale possono evincersi informazioni su “dati personali” di diversa natura, come l’esserne proprietario o possessore, l’avervi fissato la residenza, il tenore di vita e la situazione patrimoniale del proprietario/possessore in relazione alle </w:t>
      </w:r>
      <w:r w:rsidR="00D328B4" w:rsidRPr="00634CBB">
        <w:rPr>
          <w:rFonts w:ascii="Garamond" w:hAnsi="Garamond" w:cs="Times New Roman"/>
          <w:color w:val="000000"/>
        </w:rPr>
        <w:lastRenderedPageBreak/>
        <w:t xml:space="preserve">particolari caratteristiche dell’immobile (par. n. 506 del 30.11.2017 – doc. web </w:t>
      </w:r>
      <w:proofErr w:type="gramStart"/>
      <w:r w:rsidR="00D328B4" w:rsidRPr="00634CBB">
        <w:rPr>
          <w:rFonts w:ascii="Garamond" w:hAnsi="Garamond" w:cs="Times New Roman"/>
          <w:color w:val="000000"/>
        </w:rPr>
        <w:t xml:space="preserve">7316508 </w:t>
      </w:r>
      <w:r w:rsidR="00D328B4" w:rsidRPr="00634CBB">
        <w:rPr>
          <w:rStyle w:val="Rimandonotaapidipagina"/>
          <w:rFonts w:ascii="Garamond" w:hAnsi="Garamond" w:cs="Times New Roman"/>
          <w:color w:val="000000"/>
        </w:rPr>
        <w:footnoteReference w:id="21"/>
      </w:r>
      <w:r w:rsidR="003C1BFD" w:rsidRPr="00634CBB">
        <w:rPr>
          <w:rFonts w:ascii="Garamond" w:hAnsi="Garamond" w:cs="Times New Roman"/>
          <w:color w:val="000000"/>
        </w:rPr>
        <w:t>)</w:t>
      </w:r>
      <w:proofErr w:type="gramEnd"/>
      <w:r w:rsidR="00D328B4" w:rsidRPr="00634CBB">
        <w:rPr>
          <w:rFonts w:ascii="Garamond" w:hAnsi="Garamond" w:cs="Times New Roman"/>
          <w:color w:val="000000"/>
        </w:rPr>
        <w:t xml:space="preserve">. </w:t>
      </w:r>
    </w:p>
    <w:p w:rsidR="00D328B4" w:rsidRPr="00634CBB" w:rsidRDefault="00D328B4" w:rsidP="00D328B4">
      <w:pPr>
        <w:spacing w:line="360" w:lineRule="auto"/>
        <w:ind w:left="851" w:right="851"/>
        <w:jc w:val="both"/>
        <w:rPr>
          <w:rFonts w:ascii="Garamond" w:hAnsi="Garamond" w:cs="Times New Roman"/>
          <w:color w:val="000000"/>
        </w:rPr>
      </w:pPr>
      <w:r w:rsidRPr="00634CBB">
        <w:rPr>
          <w:rFonts w:ascii="Garamond" w:hAnsi="Garamond" w:cs="Times New Roman"/>
          <w:color w:val="000000" w:themeColor="text1"/>
        </w:rPr>
        <w:t xml:space="preserve">In materia di pubblico impiego, per il Garante non è ottenibile, mediante accesso civico generalizzato, il </w:t>
      </w:r>
      <w:r w:rsidRPr="00634CBB">
        <w:rPr>
          <w:rFonts w:ascii="Garamond" w:hAnsi="Garamond" w:cs="Times New Roman"/>
          <w:color w:val="000000"/>
        </w:rPr>
        <w:t xml:space="preserve">certificato di laurea e l’attestazione dell’anzianità di servizio </w:t>
      </w:r>
      <w:r w:rsidR="00F40380" w:rsidRPr="00634CBB">
        <w:rPr>
          <w:rFonts w:ascii="Garamond" w:hAnsi="Garamond" w:cs="Times New Roman"/>
          <w:color w:val="000000"/>
        </w:rPr>
        <w:t xml:space="preserve">di un pubblico dipendente, </w:t>
      </w:r>
      <w:r w:rsidRPr="00634CBB">
        <w:rPr>
          <w:rFonts w:ascii="Garamond" w:hAnsi="Garamond" w:cs="Times New Roman"/>
          <w:color w:val="000000"/>
        </w:rPr>
        <w:t xml:space="preserve">documentazione </w:t>
      </w:r>
      <w:r w:rsidR="00F40380" w:rsidRPr="00634CBB">
        <w:rPr>
          <w:rFonts w:ascii="Garamond" w:hAnsi="Garamond" w:cs="Times New Roman"/>
          <w:color w:val="000000"/>
        </w:rPr>
        <w:t xml:space="preserve">rilevante per </w:t>
      </w:r>
      <w:r w:rsidRPr="00634CBB">
        <w:rPr>
          <w:rFonts w:ascii="Garamond" w:hAnsi="Garamond" w:cs="Times New Roman"/>
          <w:color w:val="000000"/>
        </w:rPr>
        <w:t>il conseguimento della qualifica dirigenziale (par. n. 18 del 18.01.2018 – doc. web 7688820).</w:t>
      </w:r>
    </w:p>
    <w:p w:rsidR="001474BD" w:rsidRPr="00634CBB" w:rsidRDefault="0055559E" w:rsidP="001474BD">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Parimenti, non sono accessibili, neppure parzialmente, gli elaborati scritti presentati dal candidato ad un pubblico concorso (par. n. 246 del 24.05.2017 – doc. web 6495600; par. n. 433 del 26.10.2017 – doc. web 7156158</w:t>
      </w:r>
      <w:proofErr w:type="gramStart"/>
      <w:r w:rsidRPr="00634CBB">
        <w:rPr>
          <w:rFonts w:ascii="Garamond" w:hAnsi="Garamond" w:cs="Times New Roman"/>
          <w:color w:val="000000" w:themeColor="text1"/>
        </w:rPr>
        <w:t xml:space="preserve">) </w:t>
      </w:r>
      <w:r w:rsidRPr="00634CBB">
        <w:rPr>
          <w:rStyle w:val="Rimandonotaapidipagina"/>
          <w:rFonts w:ascii="Garamond" w:hAnsi="Garamond" w:cs="Times New Roman"/>
          <w:color w:val="000000" w:themeColor="text1"/>
        </w:rPr>
        <w:footnoteReference w:id="22"/>
      </w:r>
      <w:r w:rsidRPr="00634CBB">
        <w:rPr>
          <w:rFonts w:ascii="Garamond" w:hAnsi="Garamond" w:cs="Times New Roman"/>
          <w:color w:val="000000" w:themeColor="text1"/>
        </w:rPr>
        <w:t>.</w:t>
      </w:r>
      <w:proofErr w:type="gramEnd"/>
      <w:r w:rsidRPr="00634CBB">
        <w:rPr>
          <w:rFonts w:ascii="Garamond" w:hAnsi="Garamond" w:cs="Times New Roman"/>
          <w:color w:val="000000" w:themeColor="text1"/>
        </w:rPr>
        <w:t xml:space="preserve"> </w:t>
      </w:r>
    </w:p>
    <w:p w:rsidR="001474BD" w:rsidRPr="00634CBB" w:rsidRDefault="0055559E" w:rsidP="001474BD">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Con riguardo ai procedimenti edilizi, </w:t>
      </w:r>
      <w:r w:rsidR="001474BD" w:rsidRPr="00634CBB">
        <w:rPr>
          <w:rFonts w:ascii="Garamond" w:hAnsi="Garamond" w:cs="Times New Roman"/>
          <w:color w:val="000000"/>
        </w:rPr>
        <w:t xml:space="preserve">non sarebbero ostensibili mediante accesso civico generalizzato i relativi atti ed informazioni, né in forma integrale, né in forma riassuntiva, potendo tutt’al più ammettersi l’accesso ad alcuni “dati statistici” (es. numero e tipologia di titoli edilizi rilasciati, numero e tipologia di interventi assentiti sul territorio di riferimento, </w:t>
      </w:r>
      <w:r w:rsidR="001474BD" w:rsidRPr="00634CBB">
        <w:rPr>
          <w:rFonts w:ascii="Garamond" w:hAnsi="Garamond" w:cs="Times New Roman"/>
          <w:i/>
          <w:color w:val="000000"/>
        </w:rPr>
        <w:t xml:space="preserve">et </w:t>
      </w:r>
      <w:proofErr w:type="spellStart"/>
      <w:r w:rsidR="001474BD" w:rsidRPr="00634CBB">
        <w:rPr>
          <w:rFonts w:ascii="Garamond" w:hAnsi="Garamond" w:cs="Times New Roman"/>
          <w:i/>
          <w:color w:val="000000"/>
        </w:rPr>
        <w:t>similia</w:t>
      </w:r>
      <w:proofErr w:type="spellEnd"/>
      <w:r w:rsidR="001474BD" w:rsidRPr="00634CBB">
        <w:rPr>
          <w:rFonts w:ascii="Garamond" w:hAnsi="Garamond" w:cs="Times New Roman"/>
          <w:color w:val="000000"/>
        </w:rPr>
        <w:t>) (par. n. 360 del 10.08.2017 – doc. web 6969290; par. n. 25 del 18.01.2018 – doc. web 7688896</w:t>
      </w:r>
      <w:proofErr w:type="gramStart"/>
      <w:r w:rsidR="001474BD" w:rsidRPr="00634CBB">
        <w:rPr>
          <w:rFonts w:ascii="Garamond" w:hAnsi="Garamond" w:cs="Times New Roman"/>
          <w:color w:val="000000"/>
        </w:rPr>
        <w:t xml:space="preserve">) </w:t>
      </w:r>
      <w:r w:rsidR="001474BD" w:rsidRPr="00634CBB">
        <w:rPr>
          <w:rStyle w:val="Rimandonotaapidipagina"/>
          <w:rFonts w:ascii="Garamond" w:hAnsi="Garamond" w:cs="Times New Roman"/>
          <w:color w:val="000000"/>
        </w:rPr>
        <w:footnoteReference w:id="23"/>
      </w:r>
      <w:r w:rsidR="001474BD" w:rsidRPr="00634CBB">
        <w:rPr>
          <w:rFonts w:ascii="Garamond" w:hAnsi="Garamond" w:cs="Times New Roman"/>
          <w:color w:val="000000"/>
        </w:rPr>
        <w:t>.</w:t>
      </w:r>
      <w:proofErr w:type="gramEnd"/>
    </w:p>
    <w:p w:rsidR="0055559E" w:rsidRPr="00634CBB" w:rsidRDefault="001474BD" w:rsidP="0055559E">
      <w:pPr>
        <w:spacing w:line="360" w:lineRule="auto"/>
        <w:ind w:left="851" w:right="851"/>
        <w:jc w:val="both"/>
        <w:rPr>
          <w:rFonts w:ascii="Garamond" w:hAnsi="Garamond" w:cs="Times New Roman"/>
          <w:color w:val="000000"/>
        </w:rPr>
      </w:pPr>
      <w:r w:rsidRPr="00634CBB">
        <w:rPr>
          <w:rFonts w:ascii="Garamond" w:hAnsi="Garamond" w:cs="Times New Roman"/>
          <w:color w:val="000000"/>
        </w:rPr>
        <w:t>Analogamente, s</w:t>
      </w:r>
      <w:r w:rsidR="0055559E" w:rsidRPr="00634CBB">
        <w:rPr>
          <w:rFonts w:ascii="Garamond" w:hAnsi="Garamond" w:cs="Times New Roman"/>
          <w:color w:val="000000"/>
        </w:rPr>
        <w:t xml:space="preserve">econdo il Garante, </w:t>
      </w:r>
      <w:r w:rsidR="003C1BFD" w:rsidRPr="00634CBB">
        <w:rPr>
          <w:rFonts w:ascii="Garamond" w:hAnsi="Garamond" w:cs="Times New Roman"/>
          <w:color w:val="000000"/>
        </w:rPr>
        <w:t>non sarebbero</w:t>
      </w:r>
      <w:r w:rsidR="0055559E" w:rsidRPr="00634CBB">
        <w:rPr>
          <w:rFonts w:ascii="Garamond" w:hAnsi="Garamond" w:cs="Times New Roman"/>
          <w:color w:val="000000"/>
        </w:rPr>
        <w:t xml:space="preserve"> ostensibili mediante l’accesso civico generalizzato gli atti relativi ai procedimenti sanzionatori per abusi edilizi (e ciò neppure se la relativa istanza è stata presentata dal denunciante), atteso che la possibilità di utilizzare tali informazioni potrebbe pregiudicare concretamente il diritto alla riservatezza dell’interessato (par. n. 295 del 28.06.2017 – doc. web n. 6693221).</w:t>
      </w:r>
    </w:p>
    <w:p w:rsidR="0055559E" w:rsidRPr="00634CBB" w:rsidRDefault="0055559E" w:rsidP="00E501EB">
      <w:pPr>
        <w:spacing w:line="360" w:lineRule="auto"/>
        <w:ind w:left="851" w:right="851"/>
        <w:jc w:val="both"/>
        <w:rPr>
          <w:rFonts w:ascii="Garamond" w:hAnsi="Garamond" w:cs="Times New Roman"/>
          <w:color w:val="000000" w:themeColor="text1"/>
        </w:rPr>
      </w:pPr>
    </w:p>
    <w:p w:rsidR="007B6871" w:rsidRPr="00634CBB" w:rsidRDefault="00D84B10" w:rsidP="007B6871">
      <w:pPr>
        <w:spacing w:line="360" w:lineRule="auto"/>
        <w:ind w:left="851" w:right="851"/>
        <w:jc w:val="both"/>
        <w:rPr>
          <w:rFonts w:ascii="Garamond" w:hAnsi="Garamond" w:cs="Times New Roman"/>
          <w:b/>
          <w:color w:val="000000" w:themeColor="text1"/>
        </w:rPr>
      </w:pPr>
      <w:r w:rsidRPr="00634CBB">
        <w:rPr>
          <w:rFonts w:ascii="Garamond" w:hAnsi="Garamond" w:cs="Times New Roman"/>
          <w:b/>
          <w:color w:val="000000" w:themeColor="text1"/>
        </w:rPr>
        <w:lastRenderedPageBreak/>
        <w:t>4</w:t>
      </w:r>
      <w:r w:rsidR="000C63AE" w:rsidRPr="00634CBB">
        <w:rPr>
          <w:rFonts w:ascii="Garamond" w:hAnsi="Garamond" w:cs="Times New Roman"/>
          <w:b/>
          <w:color w:val="000000" w:themeColor="text1"/>
        </w:rPr>
        <w:t>.</w:t>
      </w:r>
      <w:r w:rsidR="007B6871" w:rsidRPr="00634CBB">
        <w:rPr>
          <w:rFonts w:ascii="Garamond" w:hAnsi="Garamond" w:cs="Times New Roman"/>
          <w:b/>
          <w:color w:val="000000" w:themeColor="text1"/>
        </w:rPr>
        <w:t xml:space="preserve"> La </w:t>
      </w:r>
      <w:r w:rsidR="007376CD" w:rsidRPr="00634CBB">
        <w:rPr>
          <w:rFonts w:ascii="Garamond" w:hAnsi="Garamond" w:cs="Times New Roman"/>
          <w:b/>
          <w:color w:val="000000" w:themeColor="text1"/>
        </w:rPr>
        <w:t xml:space="preserve">posizione del Garante per la privacy sulla </w:t>
      </w:r>
      <w:r w:rsidR="007B6871" w:rsidRPr="00634CBB">
        <w:rPr>
          <w:rFonts w:ascii="Garamond" w:hAnsi="Garamond" w:cs="Times New Roman"/>
          <w:b/>
          <w:color w:val="000000" w:themeColor="text1"/>
        </w:rPr>
        <w:t>questione della sindacabilità delle “finalità” dell’istanza di accesso civico generalizzato e delle “effe</w:t>
      </w:r>
      <w:r w:rsidR="00FB3895" w:rsidRPr="00634CBB">
        <w:rPr>
          <w:rFonts w:ascii="Garamond" w:hAnsi="Garamond" w:cs="Times New Roman"/>
          <w:b/>
          <w:color w:val="000000" w:themeColor="text1"/>
        </w:rPr>
        <w:t>ttive m</w:t>
      </w:r>
      <w:r w:rsidR="007376CD" w:rsidRPr="00634CBB">
        <w:rPr>
          <w:rFonts w:ascii="Garamond" w:hAnsi="Garamond" w:cs="Times New Roman"/>
          <w:b/>
          <w:color w:val="000000" w:themeColor="text1"/>
        </w:rPr>
        <w:t xml:space="preserve">otivazioni” dell’istante. </w:t>
      </w:r>
    </w:p>
    <w:p w:rsidR="003210CC" w:rsidRPr="00634CBB" w:rsidRDefault="007B6871"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Il percorso interpretativo intrapreso </w:t>
      </w:r>
      <w:r w:rsidR="009606C6" w:rsidRPr="00634CBB">
        <w:rPr>
          <w:rFonts w:ascii="Garamond" w:hAnsi="Garamond" w:cs="Times New Roman"/>
          <w:color w:val="000000" w:themeColor="text1"/>
        </w:rPr>
        <w:t>dal Garante va incrociandosi</w:t>
      </w:r>
      <w:r w:rsidR="00AA75E3" w:rsidRPr="00634CBB">
        <w:rPr>
          <w:rFonts w:ascii="Garamond" w:hAnsi="Garamond" w:cs="Times New Roman"/>
          <w:color w:val="000000" w:themeColor="text1"/>
        </w:rPr>
        <w:t xml:space="preserve"> </w:t>
      </w:r>
      <w:r w:rsidR="009606C6" w:rsidRPr="00634CBB">
        <w:rPr>
          <w:rFonts w:ascii="Garamond" w:hAnsi="Garamond" w:cs="Times New Roman"/>
          <w:color w:val="000000" w:themeColor="text1"/>
        </w:rPr>
        <w:t xml:space="preserve">con una delle questioni più delicate </w:t>
      </w:r>
      <w:r w:rsidR="00AA75E3" w:rsidRPr="00634CBB">
        <w:rPr>
          <w:rFonts w:ascii="Garamond" w:hAnsi="Garamond" w:cs="Times New Roman"/>
          <w:color w:val="000000" w:themeColor="text1"/>
        </w:rPr>
        <w:t xml:space="preserve">- </w:t>
      </w:r>
      <w:r w:rsidR="009606C6" w:rsidRPr="00634CBB">
        <w:rPr>
          <w:rFonts w:ascii="Garamond" w:hAnsi="Garamond" w:cs="Times New Roman"/>
          <w:color w:val="000000" w:themeColor="text1"/>
        </w:rPr>
        <w:t xml:space="preserve">e dense di risvolti pratici </w:t>
      </w:r>
      <w:r w:rsidR="00AA75E3" w:rsidRPr="00634CBB">
        <w:rPr>
          <w:rFonts w:ascii="Garamond" w:hAnsi="Garamond" w:cs="Times New Roman"/>
          <w:color w:val="000000" w:themeColor="text1"/>
        </w:rPr>
        <w:t xml:space="preserve">- </w:t>
      </w:r>
      <w:r w:rsidR="009606C6" w:rsidRPr="00634CBB">
        <w:rPr>
          <w:rFonts w:ascii="Garamond" w:hAnsi="Garamond" w:cs="Times New Roman"/>
          <w:color w:val="000000" w:themeColor="text1"/>
        </w:rPr>
        <w:t>riguardanti l’istituto dell’</w:t>
      </w:r>
      <w:r w:rsidR="00AA75E3" w:rsidRPr="00634CBB">
        <w:rPr>
          <w:rFonts w:ascii="Garamond" w:hAnsi="Garamond" w:cs="Times New Roman"/>
          <w:color w:val="000000" w:themeColor="text1"/>
        </w:rPr>
        <w:t>accesso civico generalizzato, quella</w:t>
      </w:r>
      <w:r w:rsidR="009606C6" w:rsidRPr="00634CBB">
        <w:rPr>
          <w:rFonts w:ascii="Garamond" w:hAnsi="Garamond" w:cs="Times New Roman"/>
          <w:color w:val="000000" w:themeColor="text1"/>
        </w:rPr>
        <w:t xml:space="preserve"> </w:t>
      </w:r>
      <w:r w:rsidR="003210CC" w:rsidRPr="00634CBB">
        <w:rPr>
          <w:rFonts w:ascii="Garamond" w:hAnsi="Garamond" w:cs="Times New Roman"/>
          <w:color w:val="000000" w:themeColor="text1"/>
        </w:rPr>
        <w:t xml:space="preserve">della sindacabilità o meno della “finalità” dell’istanza di accesso </w:t>
      </w:r>
      <w:r w:rsidR="009606C6" w:rsidRPr="00634CBB">
        <w:rPr>
          <w:rFonts w:ascii="Garamond" w:hAnsi="Garamond" w:cs="Times New Roman"/>
          <w:color w:val="000000" w:themeColor="text1"/>
        </w:rPr>
        <w:t>e</w:t>
      </w:r>
      <w:r w:rsidR="003210CC" w:rsidRPr="00634CBB">
        <w:rPr>
          <w:rFonts w:ascii="Garamond" w:hAnsi="Garamond" w:cs="Times New Roman"/>
          <w:color w:val="000000" w:themeColor="text1"/>
        </w:rPr>
        <w:t xml:space="preserve"> delle “effettive motivazioni” dell’istante.</w:t>
      </w:r>
    </w:p>
    <w:p w:rsidR="003210CC" w:rsidRPr="00634CBB" w:rsidRDefault="009606C6"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Invero, con </w:t>
      </w:r>
      <w:r w:rsidR="003210CC" w:rsidRPr="00634CBB">
        <w:rPr>
          <w:rFonts w:ascii="Garamond" w:hAnsi="Garamond" w:cs="Times New Roman"/>
          <w:color w:val="000000" w:themeColor="text1"/>
        </w:rPr>
        <w:t>i diversi p</w:t>
      </w:r>
      <w:r w:rsidRPr="00634CBB">
        <w:rPr>
          <w:rFonts w:ascii="Garamond" w:hAnsi="Garamond" w:cs="Times New Roman"/>
          <w:color w:val="000000" w:themeColor="text1"/>
        </w:rPr>
        <w:t xml:space="preserve">areri resi in questo primo periodo </w:t>
      </w:r>
      <w:r w:rsidR="003210CC" w:rsidRPr="00634CBB">
        <w:rPr>
          <w:rFonts w:ascii="Garamond" w:hAnsi="Garamond" w:cs="Times New Roman"/>
          <w:color w:val="000000" w:themeColor="text1"/>
        </w:rPr>
        <w:t>di vigenza dell’isti</w:t>
      </w:r>
      <w:r w:rsidRPr="00634CBB">
        <w:rPr>
          <w:rFonts w:ascii="Garamond" w:hAnsi="Garamond" w:cs="Times New Roman"/>
          <w:color w:val="000000" w:themeColor="text1"/>
        </w:rPr>
        <w:t xml:space="preserve">tuto, il Garante ha </w:t>
      </w:r>
      <w:r w:rsidR="00AA75E3" w:rsidRPr="00634CBB">
        <w:rPr>
          <w:rFonts w:ascii="Garamond" w:hAnsi="Garamond" w:cs="Times New Roman"/>
          <w:color w:val="000000" w:themeColor="text1"/>
        </w:rPr>
        <w:t>mostrato (</w:t>
      </w:r>
      <w:r w:rsidR="003210CC" w:rsidRPr="00634CBB">
        <w:rPr>
          <w:rFonts w:ascii="Garamond" w:hAnsi="Garamond" w:cs="Times New Roman"/>
          <w:color w:val="000000" w:themeColor="text1"/>
        </w:rPr>
        <w:t>la maggior parte delle volte in modo implicito,</w:t>
      </w:r>
      <w:r w:rsidRPr="00634CBB">
        <w:rPr>
          <w:rFonts w:ascii="Garamond" w:hAnsi="Garamond" w:cs="Times New Roman"/>
          <w:color w:val="000000" w:themeColor="text1"/>
        </w:rPr>
        <w:t xml:space="preserve"> ma talvolta in modo</w:t>
      </w:r>
      <w:r w:rsidR="00AA75E3" w:rsidRPr="00634CBB">
        <w:rPr>
          <w:rFonts w:ascii="Garamond" w:hAnsi="Garamond" w:cs="Times New Roman"/>
          <w:color w:val="000000" w:themeColor="text1"/>
        </w:rPr>
        <w:t xml:space="preserve"> chiaro ed evidente)</w:t>
      </w:r>
      <w:r w:rsidRPr="00634CBB">
        <w:rPr>
          <w:rFonts w:ascii="Garamond" w:hAnsi="Garamond" w:cs="Times New Roman"/>
          <w:color w:val="000000" w:themeColor="text1"/>
        </w:rPr>
        <w:t xml:space="preserve"> di ritenere che detto </w:t>
      </w:r>
      <w:r w:rsidR="003210CC" w:rsidRPr="00634CBB">
        <w:rPr>
          <w:rFonts w:ascii="Garamond" w:hAnsi="Garamond" w:cs="Times New Roman"/>
          <w:color w:val="000000" w:themeColor="text1"/>
        </w:rPr>
        <w:t xml:space="preserve">elemento </w:t>
      </w:r>
      <w:r w:rsidRPr="00634CBB">
        <w:rPr>
          <w:rFonts w:ascii="Garamond" w:hAnsi="Garamond" w:cs="Times New Roman"/>
          <w:color w:val="000000" w:themeColor="text1"/>
        </w:rPr>
        <w:t xml:space="preserve">(quello </w:t>
      </w:r>
      <w:r w:rsidR="003210CC" w:rsidRPr="00634CBB">
        <w:rPr>
          <w:rFonts w:ascii="Garamond" w:hAnsi="Garamond" w:cs="Times New Roman"/>
          <w:color w:val="000000" w:themeColor="text1"/>
        </w:rPr>
        <w:t xml:space="preserve">della “finalità” </w:t>
      </w:r>
      <w:r w:rsidRPr="00634CBB">
        <w:rPr>
          <w:rFonts w:ascii="Garamond" w:hAnsi="Garamond" w:cs="Times New Roman"/>
          <w:color w:val="000000" w:themeColor="text1"/>
        </w:rPr>
        <w:t>sottesa a</w:t>
      </w:r>
      <w:r w:rsidR="003210CC" w:rsidRPr="00634CBB">
        <w:rPr>
          <w:rFonts w:ascii="Garamond" w:hAnsi="Garamond" w:cs="Times New Roman"/>
          <w:color w:val="000000" w:themeColor="text1"/>
        </w:rPr>
        <w:t>ll’istanza di accesso</w:t>
      </w:r>
      <w:r w:rsidRPr="00634CBB">
        <w:rPr>
          <w:rFonts w:ascii="Garamond" w:hAnsi="Garamond" w:cs="Times New Roman"/>
          <w:color w:val="000000" w:themeColor="text1"/>
        </w:rPr>
        <w:t>)</w:t>
      </w:r>
      <w:r w:rsidR="003210CC" w:rsidRPr="00634CBB">
        <w:rPr>
          <w:rFonts w:ascii="Garamond" w:hAnsi="Garamond" w:cs="Times New Roman"/>
          <w:color w:val="000000" w:themeColor="text1"/>
        </w:rPr>
        <w:t xml:space="preserve"> possa e debba considerarsi nella ponderazione degli interessi in gioco e segnatamente nella comparazione </w:t>
      </w:r>
      <w:r w:rsidR="00AA75E3" w:rsidRPr="00634CBB">
        <w:rPr>
          <w:rFonts w:ascii="Garamond" w:hAnsi="Garamond" w:cs="Times New Roman"/>
          <w:color w:val="000000" w:themeColor="text1"/>
        </w:rPr>
        <w:t xml:space="preserve">dell’interesse conoscitivo </w:t>
      </w:r>
      <w:r w:rsidR="003210CC" w:rsidRPr="00634CBB">
        <w:rPr>
          <w:rFonts w:ascii="Garamond" w:hAnsi="Garamond" w:cs="Times New Roman"/>
          <w:color w:val="000000" w:themeColor="text1"/>
        </w:rPr>
        <w:t xml:space="preserve">con l’interesse alla tutela dei dati personali. </w:t>
      </w:r>
    </w:p>
    <w:p w:rsidR="00A768EA" w:rsidRPr="00634CBB" w:rsidRDefault="003210CC" w:rsidP="00A768EA">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Il Garante </w:t>
      </w:r>
      <w:r w:rsidR="00AA75E3" w:rsidRPr="00634CBB">
        <w:rPr>
          <w:rFonts w:ascii="Garamond" w:hAnsi="Garamond" w:cs="Times New Roman"/>
          <w:color w:val="000000" w:themeColor="text1"/>
        </w:rPr>
        <w:t xml:space="preserve">pone la questione in termini di </w:t>
      </w:r>
      <w:r w:rsidR="00AA75E3" w:rsidRPr="00634CBB">
        <w:rPr>
          <w:rFonts w:ascii="Garamond" w:hAnsi="Garamond" w:cs="Times New Roman"/>
          <w:i/>
          <w:color w:val="000000" w:themeColor="text1"/>
        </w:rPr>
        <w:t>“non necessità”</w:t>
      </w:r>
      <w:r w:rsidR="00AA75E3"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dell’istanza </w:t>
      </w:r>
      <w:r w:rsidR="00A768EA" w:rsidRPr="00634CBB">
        <w:rPr>
          <w:rFonts w:ascii="Garamond" w:hAnsi="Garamond" w:cs="Times New Roman"/>
          <w:color w:val="000000" w:themeColor="text1"/>
        </w:rPr>
        <w:t xml:space="preserve">e di </w:t>
      </w:r>
      <w:r w:rsidR="00A768EA" w:rsidRPr="00634CBB">
        <w:rPr>
          <w:rFonts w:ascii="Garamond" w:hAnsi="Garamond" w:cs="Times New Roman"/>
          <w:i/>
          <w:color w:val="000000" w:themeColor="text1"/>
        </w:rPr>
        <w:t>“sproporzione”</w:t>
      </w:r>
      <w:r w:rsidR="00A768EA"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rispetto alla </w:t>
      </w:r>
      <w:r w:rsidR="00A768EA" w:rsidRPr="00634CBB">
        <w:rPr>
          <w:rFonts w:ascii="Garamond" w:hAnsi="Garamond" w:cs="Times New Roman"/>
          <w:color w:val="000000" w:themeColor="text1"/>
        </w:rPr>
        <w:t>funzione de</w:t>
      </w:r>
      <w:r w:rsidRPr="00634CBB">
        <w:rPr>
          <w:rFonts w:ascii="Garamond" w:hAnsi="Garamond" w:cs="Times New Roman"/>
          <w:color w:val="000000" w:themeColor="text1"/>
        </w:rPr>
        <w:t>ll’istituto de</w:t>
      </w:r>
      <w:r w:rsidR="00AA75E3" w:rsidRPr="00634CBB">
        <w:rPr>
          <w:rFonts w:ascii="Garamond" w:hAnsi="Garamond" w:cs="Times New Roman"/>
          <w:color w:val="000000" w:themeColor="text1"/>
        </w:rPr>
        <w:t>l</w:t>
      </w:r>
      <w:r w:rsidR="00A768EA" w:rsidRPr="00634CBB">
        <w:rPr>
          <w:rFonts w:ascii="Garamond" w:hAnsi="Garamond" w:cs="Times New Roman"/>
          <w:color w:val="000000" w:themeColor="text1"/>
        </w:rPr>
        <w:t xml:space="preserve">l’accesso civico generalizzato, ma </w:t>
      </w:r>
      <w:r w:rsidR="00AA75E3" w:rsidRPr="00634CBB">
        <w:rPr>
          <w:rFonts w:ascii="Garamond" w:hAnsi="Garamond" w:cs="Times New Roman"/>
          <w:color w:val="000000" w:themeColor="text1"/>
        </w:rPr>
        <w:t>la valutazione che ne consegue passa, per tutta evidenza, attraverso il sindacato sulla “finalità” della richiesta.</w:t>
      </w:r>
    </w:p>
    <w:p w:rsidR="00A768EA" w:rsidRPr="00634CBB" w:rsidRDefault="00A768EA" w:rsidP="00A768EA">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In particolare, con il già citato parere</w:t>
      </w:r>
      <w:r w:rsidR="007376CD" w:rsidRPr="00634CBB">
        <w:rPr>
          <w:rFonts w:ascii="Garamond" w:hAnsi="Garamond" w:cs="Times New Roman"/>
          <w:color w:val="000000" w:themeColor="text1"/>
        </w:rPr>
        <w:t xml:space="preserve"> n. 360 del </w:t>
      </w:r>
      <w:r w:rsidRPr="00634CBB">
        <w:rPr>
          <w:rFonts w:ascii="Garamond" w:hAnsi="Garamond" w:cs="Times New Roman"/>
          <w:color w:val="000000" w:themeColor="text1"/>
        </w:rPr>
        <w:t xml:space="preserve">10.08.2017 (riguardante la possibilità o meno di accedere, mediante l’istituto dell’accesso civico generalizzato, ai dati ed alle informazioni contenute nei titoli edilizi), il Garante </w:t>
      </w:r>
      <w:r w:rsidR="007376CD" w:rsidRPr="00634CBB">
        <w:rPr>
          <w:rFonts w:ascii="Garamond" w:hAnsi="Garamond" w:cs="Times New Roman"/>
          <w:color w:val="000000" w:themeColor="text1"/>
        </w:rPr>
        <w:t xml:space="preserve">afferma </w:t>
      </w:r>
      <w:r w:rsidRPr="00634CBB">
        <w:rPr>
          <w:rFonts w:ascii="Garamond" w:hAnsi="Garamond" w:cs="Times New Roman"/>
          <w:color w:val="000000" w:themeColor="text1"/>
        </w:rPr>
        <w:t xml:space="preserve">esplicitamente che la richiesta di accesso si appalesava </w:t>
      </w:r>
      <w:r w:rsidR="007376CD" w:rsidRPr="00634CBB">
        <w:rPr>
          <w:rFonts w:ascii="Garamond" w:hAnsi="Garamond" w:cs="Times New Roman"/>
          <w:color w:val="000000" w:themeColor="text1"/>
        </w:rPr>
        <w:t>“</w:t>
      </w:r>
      <w:r w:rsidRPr="00634CBB">
        <w:rPr>
          <w:rFonts w:ascii="Garamond" w:hAnsi="Garamond" w:cs="Times New Roman"/>
          <w:color w:val="000000" w:themeColor="text1"/>
        </w:rPr>
        <w:t>non necessaria</w:t>
      </w:r>
      <w:r w:rsidR="007376CD" w:rsidRPr="00634CBB">
        <w:rPr>
          <w:rFonts w:ascii="Garamond" w:hAnsi="Garamond" w:cs="Times New Roman"/>
          <w:color w:val="000000" w:themeColor="text1"/>
        </w:rPr>
        <w:t>”</w:t>
      </w:r>
      <w:r w:rsidRPr="00634CBB">
        <w:rPr>
          <w:rFonts w:ascii="Garamond" w:hAnsi="Garamond" w:cs="Times New Roman"/>
          <w:color w:val="000000" w:themeColor="text1"/>
        </w:rPr>
        <w:t xml:space="preserve"> e comunque </w:t>
      </w:r>
      <w:r w:rsidR="007376CD" w:rsidRPr="00634CBB">
        <w:rPr>
          <w:rFonts w:ascii="Garamond" w:hAnsi="Garamond" w:cs="Times New Roman"/>
          <w:color w:val="000000" w:themeColor="text1"/>
        </w:rPr>
        <w:t>“</w:t>
      </w:r>
      <w:r w:rsidRPr="00634CBB">
        <w:rPr>
          <w:rFonts w:ascii="Garamond" w:hAnsi="Garamond" w:cs="Times New Roman"/>
          <w:color w:val="000000" w:themeColor="text1"/>
        </w:rPr>
        <w:t>sproporzionata</w:t>
      </w:r>
      <w:r w:rsidR="007376CD" w:rsidRPr="00634CBB">
        <w:rPr>
          <w:rFonts w:ascii="Garamond" w:hAnsi="Garamond" w:cs="Times New Roman"/>
          <w:color w:val="000000" w:themeColor="text1"/>
        </w:rPr>
        <w:t>”</w:t>
      </w:r>
      <w:r w:rsidRPr="00634CBB">
        <w:rPr>
          <w:rFonts w:ascii="Garamond" w:hAnsi="Garamond" w:cs="Times New Roman"/>
          <w:color w:val="000000" w:themeColor="text1"/>
        </w:rPr>
        <w:t xml:space="preserve"> rispetto allo </w:t>
      </w:r>
      <w:r w:rsidR="007376CD" w:rsidRPr="00634CBB">
        <w:rPr>
          <w:rFonts w:ascii="Garamond" w:hAnsi="Garamond" w:cs="Times New Roman"/>
          <w:color w:val="000000" w:themeColor="text1"/>
        </w:rPr>
        <w:t>“</w:t>
      </w:r>
      <w:r w:rsidRPr="00634CBB">
        <w:rPr>
          <w:rFonts w:ascii="Garamond" w:hAnsi="Garamond" w:cs="Times New Roman"/>
          <w:color w:val="000000" w:themeColor="text1"/>
        </w:rPr>
        <w:t>scopo</w:t>
      </w:r>
      <w:r w:rsidR="007376CD" w:rsidRPr="00634CBB">
        <w:rPr>
          <w:rFonts w:ascii="Garamond" w:hAnsi="Garamond" w:cs="Times New Roman"/>
          <w:color w:val="000000" w:themeColor="text1"/>
        </w:rPr>
        <w:t>”</w:t>
      </w:r>
      <w:r w:rsidRPr="00634CBB">
        <w:rPr>
          <w:rFonts w:ascii="Garamond" w:hAnsi="Garamond" w:cs="Times New Roman"/>
          <w:color w:val="000000" w:themeColor="text1"/>
        </w:rPr>
        <w:t xml:space="preserve"> perseguito dal legislatore, che è quello “</w:t>
      </w:r>
      <w:r w:rsidRPr="00634CBB">
        <w:rPr>
          <w:rFonts w:ascii="Garamond" w:hAnsi="Garamond" w:cs="Times New Roman"/>
          <w:i/>
          <w:color w:val="000000" w:themeColor="text1"/>
        </w:rPr>
        <w:t xml:space="preserve">di favorire forme diffuse di controllo sul perseguimento delle funzioni istituzionali e sull'utilizzo delle risorse pubbliche e di promuovere la partecipazione al dibattito pubblico” </w:t>
      </w:r>
      <w:r w:rsidRPr="00634CBB">
        <w:rPr>
          <w:rFonts w:ascii="Garamond" w:hAnsi="Garamond" w:cs="Times New Roman"/>
          <w:color w:val="000000" w:themeColor="text1"/>
        </w:rPr>
        <w:t>(art. 5, comma 2, D.Lgs. 33/2013); e ciò anche in considerazione della circostanza (ritenuta dal Garante “non dirimente, ma comunque sintomatica”) che il richiedente l’accesso era un’impresa privata ed aveva come “oggetto sociale” l’attività di conduzione di campagne di marketing.</w:t>
      </w:r>
    </w:p>
    <w:p w:rsidR="00FB3895" w:rsidRPr="00634CBB" w:rsidRDefault="00FB3895" w:rsidP="00A768EA">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E’ evidente che, così argomentando, si vorrebbe che l’Ufficio verificasse se ed in che misura la conoscenza delle informazioni richieste sia in linea con le finalità della normativa, ovvero se l’accesso serva effettivamente a “</w:t>
      </w:r>
      <w:r w:rsidRPr="00634CBB">
        <w:rPr>
          <w:rFonts w:ascii="Garamond" w:hAnsi="Garamond" w:cs="Times New Roman"/>
          <w:i/>
          <w:color w:val="000000" w:themeColor="text1"/>
        </w:rPr>
        <w:t>favorire forme diffuse di controllo sul perseguimento delle funzioni istituzionali e sull'utilizzo delle risorse pubbliche”</w:t>
      </w:r>
      <w:r w:rsidRPr="00634CBB">
        <w:rPr>
          <w:rFonts w:ascii="Garamond" w:hAnsi="Garamond" w:cs="Times New Roman"/>
          <w:color w:val="000000" w:themeColor="text1"/>
        </w:rPr>
        <w:t>, con il conseguente corollario della necessaria motivazione dell’istanza di accesso.</w:t>
      </w:r>
    </w:p>
    <w:p w:rsidR="00AA75E3" w:rsidRPr="00634CBB" w:rsidRDefault="00FB3895" w:rsidP="00A768EA">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Va notato, al riguardo, che </w:t>
      </w:r>
      <w:r w:rsidR="00A768EA" w:rsidRPr="00634CBB">
        <w:rPr>
          <w:rFonts w:ascii="Garamond" w:hAnsi="Garamond" w:cs="Times New Roman"/>
          <w:color w:val="000000" w:themeColor="text1"/>
        </w:rPr>
        <w:t>gli effetti pratici che la questione della “motivazione dell</w:t>
      </w:r>
      <w:r w:rsidRPr="00634CBB">
        <w:rPr>
          <w:rFonts w:ascii="Garamond" w:hAnsi="Garamond" w:cs="Times New Roman"/>
          <w:color w:val="000000" w:themeColor="text1"/>
        </w:rPr>
        <w:t>’istanza di accesso civico generalizzato</w:t>
      </w:r>
      <w:r w:rsidR="00A768EA"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è destinata a </w:t>
      </w:r>
      <w:r w:rsidR="00A768EA" w:rsidRPr="00634CBB">
        <w:rPr>
          <w:rFonts w:ascii="Garamond" w:hAnsi="Garamond" w:cs="Times New Roman"/>
          <w:color w:val="000000" w:themeColor="text1"/>
        </w:rPr>
        <w:t>riverbera</w:t>
      </w:r>
      <w:r w:rsidRPr="00634CBB">
        <w:rPr>
          <w:rFonts w:ascii="Garamond" w:hAnsi="Garamond" w:cs="Times New Roman"/>
          <w:color w:val="000000" w:themeColor="text1"/>
        </w:rPr>
        <w:t>re</w:t>
      </w:r>
      <w:r w:rsidR="00A768EA" w:rsidRPr="00634CBB">
        <w:rPr>
          <w:rFonts w:ascii="Garamond" w:hAnsi="Garamond" w:cs="Times New Roman"/>
          <w:color w:val="000000" w:themeColor="text1"/>
        </w:rPr>
        <w:t xml:space="preserve"> </w:t>
      </w:r>
      <w:r w:rsidR="00AA75E3" w:rsidRPr="00634CBB">
        <w:rPr>
          <w:rFonts w:ascii="Garamond" w:hAnsi="Garamond" w:cs="Times New Roman"/>
          <w:color w:val="000000" w:themeColor="text1"/>
        </w:rPr>
        <w:t xml:space="preserve">sul piano della operatività dell’istituto era, sin dall’inizio, ben chiara </w:t>
      </w:r>
      <w:r w:rsidR="003210CC" w:rsidRPr="00634CBB">
        <w:rPr>
          <w:rFonts w:ascii="Garamond" w:hAnsi="Garamond" w:cs="Times New Roman"/>
          <w:color w:val="000000" w:themeColor="text1"/>
        </w:rPr>
        <w:t>allo stesso Garante</w:t>
      </w:r>
      <w:r w:rsidR="00AA75E3" w:rsidRPr="00634CBB">
        <w:rPr>
          <w:rFonts w:ascii="Garamond" w:hAnsi="Garamond" w:cs="Times New Roman"/>
          <w:color w:val="000000" w:themeColor="text1"/>
        </w:rPr>
        <w:t>, che</w:t>
      </w:r>
      <w:r w:rsidR="003210CC" w:rsidRPr="00634CBB">
        <w:rPr>
          <w:rFonts w:ascii="Garamond" w:hAnsi="Garamond" w:cs="Times New Roman"/>
          <w:color w:val="000000" w:themeColor="text1"/>
        </w:rPr>
        <w:t xml:space="preserve"> </w:t>
      </w:r>
      <w:r w:rsidR="00AA75E3" w:rsidRPr="00634CBB">
        <w:rPr>
          <w:rFonts w:ascii="Garamond" w:hAnsi="Garamond" w:cs="Times New Roman"/>
          <w:color w:val="000000" w:themeColor="text1"/>
        </w:rPr>
        <w:t xml:space="preserve">nel corso </w:t>
      </w:r>
      <w:r w:rsidR="00AA75E3" w:rsidRPr="00634CBB">
        <w:rPr>
          <w:rFonts w:ascii="Garamond" w:hAnsi="Garamond" w:cs="Times New Roman"/>
          <w:color w:val="000000" w:themeColor="text1"/>
        </w:rPr>
        <w:lastRenderedPageBreak/>
        <w:t>dell’</w:t>
      </w:r>
      <w:r w:rsidR="00AA75E3" w:rsidRPr="00634CBB">
        <w:rPr>
          <w:rFonts w:ascii="Garamond" w:hAnsi="Garamond" w:cs="Times New Roman"/>
          <w:i/>
          <w:color w:val="000000" w:themeColor="text1"/>
        </w:rPr>
        <w:t>iter</w:t>
      </w:r>
      <w:r w:rsidR="00AA75E3" w:rsidRPr="00634CBB">
        <w:rPr>
          <w:rFonts w:ascii="Garamond" w:hAnsi="Garamond" w:cs="Times New Roman"/>
          <w:color w:val="000000" w:themeColor="text1"/>
        </w:rPr>
        <w:t xml:space="preserve"> di approvazione della riforma, </w:t>
      </w:r>
      <w:r w:rsidR="007376CD" w:rsidRPr="00634CBB">
        <w:rPr>
          <w:rFonts w:ascii="Garamond" w:hAnsi="Garamond" w:cs="Times New Roman"/>
          <w:color w:val="000000" w:themeColor="text1"/>
        </w:rPr>
        <w:t xml:space="preserve">con il </w:t>
      </w:r>
      <w:r w:rsidR="003210CC" w:rsidRPr="00634CBB">
        <w:rPr>
          <w:rFonts w:ascii="Garamond" w:hAnsi="Garamond" w:cs="Times New Roman"/>
          <w:color w:val="000000" w:themeColor="text1"/>
        </w:rPr>
        <w:t xml:space="preserve">citato parere n. 92/2016 reso sullo schema di decreto legislativo, aveva </w:t>
      </w:r>
      <w:r w:rsidR="00AA75E3" w:rsidRPr="00634CBB">
        <w:rPr>
          <w:rFonts w:ascii="Garamond" w:hAnsi="Garamond" w:cs="Times New Roman"/>
          <w:color w:val="000000" w:themeColor="text1"/>
        </w:rPr>
        <w:t xml:space="preserve">fortemente stigmatizzato la proposta governativa </w:t>
      </w:r>
      <w:r w:rsidR="00467B99" w:rsidRPr="00634CBB">
        <w:rPr>
          <w:rFonts w:ascii="Garamond" w:hAnsi="Garamond" w:cs="Times New Roman"/>
          <w:color w:val="000000" w:themeColor="text1"/>
        </w:rPr>
        <w:t xml:space="preserve">di un’istanza di accesso civico priva di </w:t>
      </w:r>
      <w:proofErr w:type="gramStart"/>
      <w:r w:rsidR="00467B99" w:rsidRPr="00634CBB">
        <w:rPr>
          <w:rFonts w:ascii="Garamond" w:hAnsi="Garamond" w:cs="Times New Roman"/>
          <w:color w:val="000000" w:themeColor="text1"/>
        </w:rPr>
        <w:t xml:space="preserve">motivazione </w:t>
      </w:r>
      <w:r w:rsidR="00467B99" w:rsidRPr="00634CBB">
        <w:rPr>
          <w:rStyle w:val="Rimandonotaapidipagina"/>
          <w:rFonts w:ascii="Garamond" w:hAnsi="Garamond" w:cs="Times New Roman"/>
          <w:color w:val="000000" w:themeColor="text1"/>
        </w:rPr>
        <w:footnoteReference w:id="24"/>
      </w:r>
      <w:r w:rsidR="00467B99" w:rsidRPr="00634CBB">
        <w:rPr>
          <w:rFonts w:ascii="Garamond" w:hAnsi="Garamond" w:cs="Times New Roman"/>
          <w:color w:val="000000" w:themeColor="text1"/>
        </w:rPr>
        <w:t>.</w:t>
      </w:r>
      <w:proofErr w:type="gramEnd"/>
    </w:p>
    <w:p w:rsidR="003210CC" w:rsidRPr="00634CBB" w:rsidRDefault="00467B99"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La tesi del Garante era </w:t>
      </w:r>
      <w:r w:rsidR="003210CC" w:rsidRPr="00634CBB">
        <w:rPr>
          <w:rFonts w:ascii="Garamond" w:hAnsi="Garamond" w:cs="Times New Roman"/>
          <w:color w:val="000000" w:themeColor="text1"/>
        </w:rPr>
        <w:t xml:space="preserve">chiara: il giudizio di ponderazione dell’interesse conoscitivo con il diritto alla privacy è possibile soltanto </w:t>
      </w:r>
      <w:r w:rsidR="007376CD" w:rsidRPr="00634CBB">
        <w:rPr>
          <w:rFonts w:ascii="Garamond" w:hAnsi="Garamond" w:cs="Times New Roman"/>
          <w:color w:val="000000" w:themeColor="text1"/>
        </w:rPr>
        <w:t>se si valutan</w:t>
      </w:r>
      <w:r w:rsidR="003210CC" w:rsidRPr="00634CBB">
        <w:rPr>
          <w:rFonts w:ascii="Garamond" w:hAnsi="Garamond" w:cs="Times New Roman"/>
          <w:color w:val="000000" w:themeColor="text1"/>
        </w:rPr>
        <w:t>o le finalità e le reali motivazioni dell’istante.</w:t>
      </w:r>
    </w:p>
    <w:p w:rsidR="00FB3895" w:rsidRPr="00634CBB" w:rsidRDefault="00A768EA"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E, benchè il Legislatore </w:t>
      </w:r>
      <w:r w:rsidR="00FB3895" w:rsidRPr="00634CBB">
        <w:rPr>
          <w:rFonts w:ascii="Garamond" w:hAnsi="Garamond" w:cs="Times New Roman"/>
          <w:color w:val="000000" w:themeColor="text1"/>
        </w:rPr>
        <w:t xml:space="preserve">non abbia accolto </w:t>
      </w:r>
      <w:r w:rsidRPr="00634CBB">
        <w:rPr>
          <w:rFonts w:ascii="Garamond" w:hAnsi="Garamond" w:cs="Times New Roman"/>
          <w:color w:val="000000" w:themeColor="text1"/>
        </w:rPr>
        <w:t xml:space="preserve">il rilievo </w:t>
      </w:r>
      <w:r w:rsidR="00FB3895" w:rsidRPr="00634CBB">
        <w:rPr>
          <w:rFonts w:ascii="Garamond" w:hAnsi="Garamond" w:cs="Times New Roman"/>
          <w:color w:val="000000" w:themeColor="text1"/>
        </w:rPr>
        <w:t>ed abbia seguito un’altra strada, i</w:t>
      </w:r>
      <w:r w:rsidRPr="00634CBB">
        <w:rPr>
          <w:rFonts w:ascii="Garamond" w:hAnsi="Garamond" w:cs="Times New Roman"/>
          <w:color w:val="000000" w:themeColor="text1"/>
        </w:rPr>
        <w:t>l Garante</w:t>
      </w:r>
      <w:r w:rsidR="00FB3895" w:rsidRPr="00634CBB">
        <w:rPr>
          <w:rFonts w:ascii="Garamond" w:hAnsi="Garamond" w:cs="Times New Roman"/>
          <w:color w:val="000000" w:themeColor="text1"/>
        </w:rPr>
        <w:t xml:space="preserve"> non pare avere mutato opinione sul punto, ravvisando nel dato normativo vigente elementi sufficienti a giustificare un sindacato sulle “finalità” dell’istanza. </w:t>
      </w:r>
    </w:p>
    <w:p w:rsidR="00FB3895" w:rsidRPr="00634CBB" w:rsidRDefault="00FB3895" w:rsidP="00E501EB">
      <w:pPr>
        <w:spacing w:line="360" w:lineRule="auto"/>
        <w:ind w:left="851" w:right="851"/>
        <w:jc w:val="both"/>
        <w:rPr>
          <w:rFonts w:ascii="Garamond" w:hAnsi="Garamond" w:cs="Times New Roman"/>
          <w:color w:val="000000" w:themeColor="text1"/>
        </w:rPr>
      </w:pPr>
    </w:p>
    <w:p w:rsidR="00D84B10" w:rsidRPr="00634CBB" w:rsidRDefault="00D84B10" w:rsidP="00E501EB">
      <w:pPr>
        <w:spacing w:line="360" w:lineRule="auto"/>
        <w:ind w:left="851" w:right="851"/>
        <w:jc w:val="both"/>
        <w:rPr>
          <w:rFonts w:ascii="Garamond" w:hAnsi="Garamond" w:cs="Times New Roman"/>
          <w:b/>
          <w:color w:val="000000" w:themeColor="text1"/>
        </w:rPr>
      </w:pPr>
      <w:r w:rsidRPr="00634CBB">
        <w:rPr>
          <w:rFonts w:ascii="Garamond" w:hAnsi="Garamond" w:cs="Times New Roman"/>
          <w:b/>
          <w:color w:val="000000" w:themeColor="text1"/>
        </w:rPr>
        <w:t>5</w:t>
      </w:r>
      <w:r w:rsidR="000C63AE" w:rsidRPr="00634CBB">
        <w:rPr>
          <w:rFonts w:ascii="Garamond" w:hAnsi="Garamond" w:cs="Times New Roman"/>
          <w:b/>
          <w:color w:val="000000" w:themeColor="text1"/>
        </w:rPr>
        <w:t>.</w:t>
      </w:r>
      <w:r w:rsidR="00FB3895" w:rsidRPr="00634CBB">
        <w:rPr>
          <w:rFonts w:ascii="Garamond" w:hAnsi="Garamond" w:cs="Times New Roman"/>
          <w:b/>
          <w:color w:val="000000" w:themeColor="text1"/>
        </w:rPr>
        <w:t xml:space="preserve"> Ar</w:t>
      </w:r>
      <w:r w:rsidRPr="00634CBB">
        <w:rPr>
          <w:rFonts w:ascii="Garamond" w:hAnsi="Garamond" w:cs="Times New Roman"/>
          <w:b/>
          <w:color w:val="000000" w:themeColor="text1"/>
        </w:rPr>
        <w:t>gomenti pro e contro l’ammissibilità di un sindacato sulle “effettive motivazioni” dell’istanza di accesso civico generalizzato.</w:t>
      </w:r>
    </w:p>
    <w:p w:rsidR="00FB3895" w:rsidRPr="00634CBB" w:rsidRDefault="00D84B10"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La questione della ammissibilità di un controllo sulle finalità dell’istanza di accesso civico generalizzato (in prima battuta da parte della P.A. e </w:t>
      </w:r>
      <w:r w:rsidR="007376CD" w:rsidRPr="00634CBB">
        <w:rPr>
          <w:rFonts w:ascii="Garamond" w:hAnsi="Garamond" w:cs="Times New Roman"/>
          <w:color w:val="000000" w:themeColor="text1"/>
        </w:rPr>
        <w:t>successivamente</w:t>
      </w:r>
      <w:r w:rsidR="001506E2" w:rsidRPr="00634CBB">
        <w:rPr>
          <w:rFonts w:ascii="Garamond" w:hAnsi="Garamond" w:cs="Times New Roman"/>
          <w:color w:val="000000" w:themeColor="text1"/>
        </w:rPr>
        <w:t xml:space="preserve"> </w:t>
      </w:r>
      <w:r w:rsidRPr="00634CBB">
        <w:rPr>
          <w:rFonts w:ascii="Garamond" w:hAnsi="Garamond" w:cs="Times New Roman"/>
          <w:color w:val="000000" w:themeColor="text1"/>
        </w:rPr>
        <w:t>dal Giudice in sede giudiziale) è di grande impatto e rilievo pratico, perché incide sull</w:t>
      </w:r>
      <w:r w:rsidR="001506E2" w:rsidRPr="00634CBB">
        <w:rPr>
          <w:rFonts w:ascii="Garamond" w:hAnsi="Garamond" w:cs="Times New Roman"/>
          <w:color w:val="000000" w:themeColor="text1"/>
        </w:rPr>
        <w:t>’ambito di applicazione</w:t>
      </w:r>
      <w:r w:rsidRPr="00634CBB">
        <w:rPr>
          <w:rFonts w:ascii="Garamond" w:hAnsi="Garamond" w:cs="Times New Roman"/>
          <w:color w:val="000000" w:themeColor="text1"/>
        </w:rPr>
        <w:t xml:space="preserve"> dell’istituto e </w:t>
      </w:r>
      <w:r w:rsidR="001506E2" w:rsidRPr="00634CBB">
        <w:rPr>
          <w:rFonts w:ascii="Garamond" w:hAnsi="Garamond" w:cs="Times New Roman"/>
          <w:color w:val="000000" w:themeColor="text1"/>
        </w:rPr>
        <w:t xml:space="preserve">dei </w:t>
      </w:r>
      <w:r w:rsidRPr="00634CBB">
        <w:rPr>
          <w:rFonts w:ascii="Garamond" w:hAnsi="Garamond" w:cs="Times New Roman"/>
          <w:color w:val="000000" w:themeColor="text1"/>
        </w:rPr>
        <w:t>suoi limiti.</w:t>
      </w:r>
    </w:p>
    <w:p w:rsidR="00FB3895" w:rsidRPr="00634CBB" w:rsidRDefault="00D84B10" w:rsidP="00E501EB">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Essa merita, pertanto, di essere esaminata </w:t>
      </w:r>
      <w:r w:rsidRPr="00634CBB">
        <w:rPr>
          <w:rFonts w:ascii="Garamond" w:hAnsi="Garamond" w:cs="Times New Roman"/>
          <w:i/>
          <w:color w:val="000000" w:themeColor="text1"/>
        </w:rPr>
        <w:t>funditus</w:t>
      </w:r>
      <w:r w:rsidRPr="00634CBB">
        <w:rPr>
          <w:rFonts w:ascii="Garamond" w:hAnsi="Garamond" w:cs="Times New Roman"/>
          <w:color w:val="000000" w:themeColor="text1"/>
        </w:rPr>
        <w:t xml:space="preserve">, prendendo </w:t>
      </w:r>
      <w:r w:rsidR="001506E2" w:rsidRPr="00634CBB">
        <w:rPr>
          <w:rFonts w:ascii="Garamond" w:hAnsi="Garamond" w:cs="Times New Roman"/>
          <w:color w:val="000000" w:themeColor="text1"/>
        </w:rPr>
        <w:t xml:space="preserve">analiticamente </w:t>
      </w:r>
      <w:r w:rsidRPr="00634CBB">
        <w:rPr>
          <w:rFonts w:ascii="Garamond" w:hAnsi="Garamond" w:cs="Times New Roman"/>
          <w:color w:val="000000" w:themeColor="text1"/>
        </w:rPr>
        <w:t>in rassegna gli argomenti a favore e quelli contro.</w:t>
      </w:r>
    </w:p>
    <w:p w:rsidR="0072457E" w:rsidRPr="00634CBB" w:rsidRDefault="000C63AE" w:rsidP="0072457E">
      <w:pPr>
        <w:spacing w:line="360" w:lineRule="auto"/>
        <w:ind w:left="851" w:right="851"/>
        <w:jc w:val="both"/>
        <w:rPr>
          <w:rFonts w:ascii="Garamond" w:hAnsi="Garamond" w:cs="Times New Roman"/>
          <w:b/>
          <w:color w:val="000000" w:themeColor="text1"/>
        </w:rPr>
      </w:pPr>
      <w:r w:rsidRPr="00634CBB">
        <w:rPr>
          <w:rFonts w:ascii="Garamond" w:hAnsi="Garamond" w:cs="Times New Roman"/>
          <w:b/>
          <w:color w:val="000000" w:themeColor="text1"/>
        </w:rPr>
        <w:lastRenderedPageBreak/>
        <w:t>5.1.</w:t>
      </w:r>
      <w:r w:rsidR="00D84B10" w:rsidRPr="00634CBB">
        <w:rPr>
          <w:rFonts w:ascii="Garamond" w:hAnsi="Garamond" w:cs="Times New Roman"/>
          <w:b/>
          <w:color w:val="000000" w:themeColor="text1"/>
        </w:rPr>
        <w:t xml:space="preserve"> Argomenti a favore.</w:t>
      </w:r>
    </w:p>
    <w:p w:rsidR="0072457E" w:rsidRPr="00634CBB" w:rsidRDefault="007A5EEE" w:rsidP="0072457E">
      <w:pPr>
        <w:spacing w:line="360" w:lineRule="auto"/>
        <w:ind w:left="851" w:right="851"/>
        <w:jc w:val="both"/>
        <w:rPr>
          <w:rFonts w:ascii="Garamond" w:hAnsi="Garamond" w:cs="Times New Roman"/>
          <w:color w:val="000000"/>
        </w:rPr>
      </w:pPr>
      <w:r w:rsidRPr="00634CBB">
        <w:rPr>
          <w:rFonts w:ascii="Garamond" w:hAnsi="Garamond" w:cs="Times New Roman"/>
          <w:color w:val="000000" w:themeColor="text1"/>
        </w:rPr>
        <w:t xml:space="preserve">La posizione espressa dal Garante ha trovato </w:t>
      </w:r>
      <w:r w:rsidR="00B54743" w:rsidRPr="00634CBB">
        <w:rPr>
          <w:rFonts w:ascii="Garamond" w:hAnsi="Garamond" w:cs="Times New Roman"/>
          <w:color w:val="000000" w:themeColor="text1"/>
        </w:rPr>
        <w:t xml:space="preserve">la </w:t>
      </w:r>
      <w:r w:rsidRPr="00634CBB">
        <w:rPr>
          <w:rFonts w:ascii="Garamond" w:hAnsi="Garamond" w:cs="Times New Roman"/>
          <w:color w:val="000000" w:themeColor="text1"/>
        </w:rPr>
        <w:t xml:space="preserve">sponda in una parte della dottrina, </w:t>
      </w:r>
      <w:r w:rsidR="0072457E" w:rsidRPr="00634CBB">
        <w:rPr>
          <w:rFonts w:ascii="Garamond" w:hAnsi="Garamond" w:cs="Times New Roman"/>
          <w:color w:val="000000" w:themeColor="text1"/>
        </w:rPr>
        <w:t xml:space="preserve">ad avviso della quale </w:t>
      </w:r>
      <w:r w:rsidR="0072457E" w:rsidRPr="00634CBB">
        <w:rPr>
          <w:rFonts w:ascii="Garamond" w:hAnsi="Garamond" w:cs="Times New Roman"/>
          <w:color w:val="000000"/>
        </w:rPr>
        <w:t>nella valutazione dei limiti previsti dall’art. 5-bis del D.Lgs. 33/2013 la P.A. non potrebbe non tenere conto anche delle peculiari finalità della richiesta (criterio teleologico o finalistico), dovendo l’ufficio verificare se ed in che misura la conoscenza delle informazioni richieste sia in linea con le finalità della norma</w:t>
      </w:r>
      <w:r w:rsidR="001506E2" w:rsidRPr="00634CBB">
        <w:rPr>
          <w:rFonts w:ascii="Garamond" w:hAnsi="Garamond" w:cs="Times New Roman"/>
          <w:color w:val="000000"/>
        </w:rPr>
        <w:t xml:space="preserve"> (</w:t>
      </w:r>
      <w:r w:rsidR="001506E2" w:rsidRPr="00634CBB">
        <w:rPr>
          <w:rFonts w:ascii="Garamond" w:hAnsi="Garamond" w:cs="Times New Roman"/>
          <w:i/>
          <w:color w:val="000000"/>
        </w:rPr>
        <w:t>ratio legis</w:t>
      </w:r>
      <w:r w:rsidR="001506E2" w:rsidRPr="00634CBB">
        <w:rPr>
          <w:rFonts w:ascii="Garamond" w:hAnsi="Garamond" w:cs="Times New Roman"/>
          <w:color w:val="000000"/>
        </w:rPr>
        <w:t>)</w:t>
      </w:r>
      <w:r w:rsidR="0072457E" w:rsidRPr="00634CBB">
        <w:rPr>
          <w:rFonts w:ascii="Garamond" w:hAnsi="Garamond" w:cs="Times New Roman"/>
          <w:color w:val="000000"/>
        </w:rPr>
        <w:t>, ovvero se l’accesso serva effettivamente a “</w:t>
      </w:r>
      <w:r w:rsidR="0072457E" w:rsidRPr="00634CBB">
        <w:rPr>
          <w:rFonts w:ascii="Garamond" w:hAnsi="Garamond" w:cs="Times New Roman"/>
          <w:i/>
          <w:color w:val="000000"/>
        </w:rPr>
        <w:t>favorire forme diffuse di controllo sul perseguimento delle funzioni istituzionali e sull'utilizzo delle risorse pubbliche</w:t>
      </w:r>
      <w:proofErr w:type="gramStart"/>
      <w:r w:rsidR="0072457E" w:rsidRPr="00634CBB">
        <w:rPr>
          <w:rFonts w:ascii="Garamond" w:hAnsi="Garamond" w:cs="Times New Roman"/>
          <w:i/>
          <w:color w:val="000000"/>
        </w:rPr>
        <w:t xml:space="preserve">” </w:t>
      </w:r>
      <w:r w:rsidR="0072457E" w:rsidRPr="00634CBB">
        <w:rPr>
          <w:rStyle w:val="Rimandonotaapidipagina"/>
          <w:rFonts w:ascii="Garamond" w:hAnsi="Garamond" w:cs="Times New Roman"/>
          <w:i/>
          <w:color w:val="000000"/>
        </w:rPr>
        <w:footnoteReference w:id="25"/>
      </w:r>
      <w:r w:rsidR="0072457E" w:rsidRPr="00634CBB">
        <w:rPr>
          <w:rFonts w:ascii="Garamond" w:hAnsi="Garamond" w:cs="Times New Roman"/>
          <w:color w:val="000000"/>
        </w:rPr>
        <w:t>.</w:t>
      </w:r>
      <w:proofErr w:type="gramEnd"/>
    </w:p>
    <w:p w:rsidR="0072457E" w:rsidRPr="00634CBB" w:rsidRDefault="0072457E" w:rsidP="00BA5B62">
      <w:pPr>
        <w:spacing w:line="360" w:lineRule="auto"/>
        <w:ind w:left="851" w:right="851"/>
        <w:jc w:val="both"/>
        <w:rPr>
          <w:rFonts w:ascii="Garamond" w:hAnsi="Garamond" w:cs="Times New Roman"/>
          <w:color w:val="000000"/>
        </w:rPr>
      </w:pPr>
      <w:r w:rsidRPr="00634CBB">
        <w:rPr>
          <w:rFonts w:ascii="Garamond" w:hAnsi="Garamond" w:cs="Times New Roman"/>
          <w:color w:val="000000"/>
        </w:rPr>
        <w:t>In questa prospettiva, la P.A., nel ponderare i contrapposti interessi (interesse alla conoscenza e tutela delle esigenze di riservatezza</w:t>
      </w:r>
      <w:r w:rsidR="001506E2" w:rsidRPr="00634CBB">
        <w:rPr>
          <w:rFonts w:ascii="Garamond" w:hAnsi="Garamond" w:cs="Times New Roman"/>
          <w:color w:val="000000"/>
        </w:rPr>
        <w:t xml:space="preserve"> dei controinteressati</w:t>
      </w:r>
      <w:r w:rsidRPr="00634CBB">
        <w:rPr>
          <w:rFonts w:ascii="Garamond" w:hAnsi="Garamond" w:cs="Times New Roman"/>
          <w:color w:val="000000"/>
        </w:rPr>
        <w:t xml:space="preserve">), dovrebbe </w:t>
      </w:r>
      <w:r w:rsidR="00B54743" w:rsidRPr="00634CBB">
        <w:rPr>
          <w:rFonts w:ascii="Garamond" w:hAnsi="Garamond" w:cs="Times New Roman"/>
          <w:color w:val="000000"/>
        </w:rPr>
        <w:t xml:space="preserve">ritenere </w:t>
      </w:r>
      <w:r w:rsidRPr="00634CBB">
        <w:rPr>
          <w:rFonts w:ascii="Garamond" w:hAnsi="Garamond" w:cs="Times New Roman"/>
          <w:color w:val="000000"/>
        </w:rPr>
        <w:t>l’istanza di acces</w:t>
      </w:r>
      <w:r w:rsidR="00B54743" w:rsidRPr="00634CBB">
        <w:rPr>
          <w:rFonts w:ascii="Garamond" w:hAnsi="Garamond" w:cs="Times New Roman"/>
          <w:color w:val="000000"/>
        </w:rPr>
        <w:t xml:space="preserve">so civico </w:t>
      </w:r>
      <w:r w:rsidRPr="00634CBB">
        <w:rPr>
          <w:rFonts w:ascii="Garamond" w:hAnsi="Garamond" w:cs="Times New Roman"/>
          <w:color w:val="000000"/>
        </w:rPr>
        <w:t xml:space="preserve">meritevole di essere accolta soltanto </w:t>
      </w:r>
      <w:r w:rsidR="007376CD" w:rsidRPr="00634CBB">
        <w:rPr>
          <w:rFonts w:ascii="Garamond" w:hAnsi="Garamond" w:cs="Times New Roman"/>
          <w:color w:val="000000"/>
        </w:rPr>
        <w:t xml:space="preserve">se e </w:t>
      </w:r>
      <w:r w:rsidRPr="00634CBB">
        <w:rPr>
          <w:rFonts w:ascii="Garamond" w:hAnsi="Garamond" w:cs="Times New Roman"/>
          <w:color w:val="000000"/>
        </w:rPr>
        <w:t xml:space="preserve">quando l’esigenza conoscitiva </w:t>
      </w:r>
      <w:r w:rsidR="007376CD" w:rsidRPr="00634CBB">
        <w:rPr>
          <w:rFonts w:ascii="Garamond" w:hAnsi="Garamond" w:cs="Times New Roman"/>
          <w:color w:val="000000"/>
        </w:rPr>
        <w:t>assuma</w:t>
      </w:r>
      <w:r w:rsidRPr="00634CBB">
        <w:rPr>
          <w:rFonts w:ascii="Garamond" w:hAnsi="Garamond" w:cs="Times New Roman"/>
          <w:color w:val="000000"/>
        </w:rPr>
        <w:t xml:space="preserve"> </w:t>
      </w:r>
      <w:r w:rsidR="00B54743" w:rsidRPr="00634CBB">
        <w:rPr>
          <w:rFonts w:ascii="Garamond" w:hAnsi="Garamond" w:cs="Times New Roman"/>
          <w:color w:val="000000"/>
        </w:rPr>
        <w:t xml:space="preserve">una </w:t>
      </w:r>
      <w:r w:rsidRPr="00634CBB">
        <w:rPr>
          <w:rFonts w:ascii="Garamond" w:hAnsi="Garamond" w:cs="Times New Roman"/>
          <w:color w:val="000000"/>
        </w:rPr>
        <w:t xml:space="preserve">“rilevanza pubblica” e non anche quando </w:t>
      </w:r>
      <w:r w:rsidR="001506E2" w:rsidRPr="00634CBB">
        <w:rPr>
          <w:rFonts w:ascii="Garamond" w:hAnsi="Garamond" w:cs="Times New Roman"/>
          <w:color w:val="000000"/>
        </w:rPr>
        <w:t xml:space="preserve">essa </w:t>
      </w:r>
      <w:r w:rsidRPr="00634CBB">
        <w:rPr>
          <w:rFonts w:ascii="Garamond" w:hAnsi="Garamond" w:cs="Times New Roman"/>
          <w:color w:val="000000"/>
        </w:rPr>
        <w:t xml:space="preserve">resti confinata ad un bisogno esclusivamente </w:t>
      </w:r>
      <w:r w:rsidR="000C0DCE" w:rsidRPr="00634CBB">
        <w:rPr>
          <w:rFonts w:ascii="Garamond" w:hAnsi="Garamond" w:cs="Times New Roman"/>
          <w:color w:val="000000"/>
        </w:rPr>
        <w:t>“</w:t>
      </w:r>
      <w:r w:rsidRPr="00634CBB">
        <w:rPr>
          <w:rFonts w:ascii="Garamond" w:hAnsi="Garamond" w:cs="Times New Roman"/>
          <w:color w:val="000000"/>
        </w:rPr>
        <w:t>privat</w:t>
      </w:r>
      <w:r w:rsidR="001506E2" w:rsidRPr="00634CBB">
        <w:rPr>
          <w:rFonts w:ascii="Garamond" w:hAnsi="Garamond" w:cs="Times New Roman"/>
          <w:color w:val="000000"/>
        </w:rPr>
        <w:t>o, individuale, egoistico</w:t>
      </w:r>
      <w:r w:rsidRPr="00634CBB">
        <w:rPr>
          <w:rFonts w:ascii="Garamond" w:hAnsi="Garamond" w:cs="Times New Roman"/>
          <w:color w:val="000000"/>
        </w:rPr>
        <w:t xml:space="preserve"> o utilitaristico</w:t>
      </w:r>
      <w:proofErr w:type="gramStart"/>
      <w:r w:rsidR="000C0DCE" w:rsidRPr="00634CBB">
        <w:rPr>
          <w:rFonts w:ascii="Garamond" w:hAnsi="Garamond" w:cs="Times New Roman"/>
          <w:color w:val="000000"/>
        </w:rPr>
        <w:t>”</w:t>
      </w:r>
      <w:r w:rsidRPr="00634CBB">
        <w:rPr>
          <w:rFonts w:ascii="Garamond" w:hAnsi="Garamond" w:cs="Times New Roman"/>
          <w:color w:val="000000"/>
        </w:rPr>
        <w:t xml:space="preserve"> </w:t>
      </w:r>
      <w:r w:rsidR="00B54743" w:rsidRPr="00634CBB">
        <w:rPr>
          <w:rStyle w:val="Rimandonotaapidipagina"/>
          <w:rFonts w:ascii="Garamond" w:hAnsi="Garamond" w:cs="Times New Roman"/>
          <w:color w:val="000000"/>
        </w:rPr>
        <w:footnoteReference w:id="26"/>
      </w:r>
      <w:r w:rsidRPr="00634CBB">
        <w:rPr>
          <w:rFonts w:ascii="Garamond" w:hAnsi="Garamond" w:cs="Times New Roman"/>
          <w:color w:val="000000"/>
        </w:rPr>
        <w:t>.</w:t>
      </w:r>
      <w:proofErr w:type="gramEnd"/>
    </w:p>
    <w:p w:rsidR="00B54743" w:rsidRPr="00634CBB" w:rsidRDefault="00BA5B62" w:rsidP="00BA5B62">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Due sono i corollari di questa posizione.</w:t>
      </w:r>
    </w:p>
    <w:p w:rsidR="00BA5B62" w:rsidRPr="00634CBB" w:rsidRDefault="00BA5B62" w:rsidP="00BA5B62">
      <w:pPr>
        <w:pStyle w:val="Standard"/>
        <w:spacing w:line="360" w:lineRule="auto"/>
        <w:ind w:left="851" w:right="851"/>
        <w:jc w:val="both"/>
        <w:rPr>
          <w:rFonts w:ascii="Garamond" w:hAnsi="Garamond" w:cs="Times New Roman"/>
          <w:color w:val="000000"/>
          <w:lang w:val="it-IT"/>
        </w:rPr>
      </w:pPr>
      <w:r w:rsidRPr="00634CBB">
        <w:rPr>
          <w:rFonts w:ascii="Garamond" w:hAnsi="Garamond" w:cs="Times New Roman"/>
          <w:color w:val="000000"/>
          <w:lang w:val="it-IT"/>
        </w:rPr>
        <w:t xml:space="preserve">Il primo è che, benchè la Legge non lo richieda espressamente, se il richiedente vuole consentire alla P.A. di effettuare un accurato bilanciamento degli interessi in gioco, egli deve </w:t>
      </w:r>
      <w:r w:rsidR="001506E2" w:rsidRPr="00634CBB">
        <w:rPr>
          <w:rFonts w:ascii="Garamond" w:hAnsi="Garamond" w:cs="Times New Roman"/>
          <w:color w:val="000000"/>
          <w:lang w:val="it-IT"/>
        </w:rPr>
        <w:t xml:space="preserve">corredare </w:t>
      </w:r>
      <w:r w:rsidRPr="00634CBB">
        <w:rPr>
          <w:rFonts w:ascii="Garamond" w:hAnsi="Garamond" w:cs="Times New Roman"/>
          <w:color w:val="000000"/>
          <w:lang w:val="it-IT"/>
        </w:rPr>
        <w:t xml:space="preserve">l’istanza di accesso civico generalizzato </w:t>
      </w:r>
      <w:r w:rsidR="001506E2" w:rsidRPr="00634CBB">
        <w:rPr>
          <w:rFonts w:ascii="Garamond" w:hAnsi="Garamond" w:cs="Times New Roman"/>
          <w:color w:val="000000"/>
          <w:lang w:val="it-IT"/>
        </w:rPr>
        <w:t xml:space="preserve">di una </w:t>
      </w:r>
      <w:r w:rsidRPr="00634CBB">
        <w:rPr>
          <w:rFonts w:ascii="Garamond" w:hAnsi="Garamond" w:cs="Times New Roman"/>
          <w:color w:val="000000"/>
          <w:lang w:val="it-IT"/>
        </w:rPr>
        <w:t>motivazione</w:t>
      </w:r>
      <w:r w:rsidR="001506E2" w:rsidRPr="00634CBB">
        <w:rPr>
          <w:rFonts w:ascii="Garamond" w:hAnsi="Garamond" w:cs="Times New Roman"/>
          <w:color w:val="000000"/>
          <w:lang w:val="it-IT"/>
        </w:rPr>
        <w:t>, dalla quale</w:t>
      </w:r>
      <w:r w:rsidRPr="00634CBB">
        <w:rPr>
          <w:rFonts w:ascii="Garamond" w:hAnsi="Garamond" w:cs="Times New Roman"/>
          <w:color w:val="000000"/>
          <w:lang w:val="it-IT"/>
        </w:rPr>
        <w:t xml:space="preserve"> </w:t>
      </w:r>
      <w:r w:rsidR="001506E2" w:rsidRPr="00634CBB">
        <w:rPr>
          <w:rFonts w:ascii="Garamond" w:hAnsi="Garamond" w:cs="Times New Roman"/>
          <w:color w:val="000000"/>
          <w:lang w:val="it-IT"/>
        </w:rPr>
        <w:t xml:space="preserve">emerga </w:t>
      </w:r>
      <w:r w:rsidRPr="00634CBB">
        <w:rPr>
          <w:rFonts w:ascii="Garamond" w:hAnsi="Garamond" w:cs="Times New Roman"/>
          <w:color w:val="000000"/>
          <w:lang w:val="it-IT"/>
        </w:rPr>
        <w:t xml:space="preserve">la “rilevanza pubblica” </w:t>
      </w:r>
      <w:proofErr w:type="gramStart"/>
      <w:r w:rsidRPr="00634CBB">
        <w:rPr>
          <w:rFonts w:ascii="Garamond" w:hAnsi="Garamond" w:cs="Times New Roman"/>
          <w:color w:val="000000"/>
          <w:lang w:val="it-IT"/>
        </w:rPr>
        <w:t xml:space="preserve">dell’accesso </w:t>
      </w:r>
      <w:r w:rsidRPr="00634CBB">
        <w:rPr>
          <w:rStyle w:val="Rimandonotaapidipagina"/>
          <w:rFonts w:ascii="Garamond" w:hAnsi="Garamond" w:cs="Times New Roman"/>
          <w:color w:val="000000"/>
          <w:lang w:val="it-IT"/>
        </w:rPr>
        <w:footnoteReference w:id="27"/>
      </w:r>
      <w:r w:rsidRPr="00634CBB">
        <w:rPr>
          <w:rFonts w:ascii="Garamond" w:hAnsi="Garamond" w:cs="Times New Roman"/>
          <w:color w:val="000000"/>
          <w:lang w:val="it-IT"/>
        </w:rPr>
        <w:t>.</w:t>
      </w:r>
      <w:proofErr w:type="gramEnd"/>
    </w:p>
    <w:p w:rsidR="00BA5B62" w:rsidRPr="00634CBB" w:rsidRDefault="00210007" w:rsidP="00BA5B62">
      <w:pPr>
        <w:pStyle w:val="Textbody"/>
        <w:spacing w:after="0" w:line="360" w:lineRule="auto"/>
        <w:ind w:left="851" w:right="851"/>
        <w:jc w:val="both"/>
        <w:rPr>
          <w:rFonts w:ascii="Garamond" w:hAnsi="Garamond" w:cs="Times New Roman"/>
          <w:color w:val="000000"/>
          <w:lang w:val="it-IT"/>
        </w:rPr>
      </w:pPr>
      <w:r w:rsidRPr="00634CBB">
        <w:rPr>
          <w:rFonts w:ascii="Garamond" w:hAnsi="Garamond" w:cs="Times New Roman"/>
          <w:color w:val="000000"/>
          <w:lang w:val="it-IT"/>
        </w:rPr>
        <w:t xml:space="preserve">Il secondo è che, </w:t>
      </w:r>
      <w:r w:rsidR="00BA5B62" w:rsidRPr="00634CBB">
        <w:rPr>
          <w:rFonts w:ascii="Garamond" w:hAnsi="Garamond" w:cs="Times New Roman"/>
          <w:color w:val="000000"/>
          <w:lang w:val="it-IT"/>
        </w:rPr>
        <w:t xml:space="preserve">in questa prospettiva, assume rilievo anche la tipologia del soggetto istante e la natura dell’attività da esso </w:t>
      </w:r>
      <w:r w:rsidR="001506E2" w:rsidRPr="00634CBB">
        <w:rPr>
          <w:rFonts w:ascii="Garamond" w:hAnsi="Garamond" w:cs="Times New Roman"/>
          <w:color w:val="000000"/>
          <w:lang w:val="it-IT"/>
        </w:rPr>
        <w:t>svolta.</w:t>
      </w:r>
    </w:p>
    <w:p w:rsidR="00BA5B62" w:rsidRPr="00634CBB" w:rsidRDefault="00210007" w:rsidP="00BA5B62">
      <w:pPr>
        <w:pStyle w:val="Textbody"/>
        <w:spacing w:after="0" w:line="360" w:lineRule="auto"/>
        <w:ind w:left="851" w:right="851"/>
        <w:jc w:val="both"/>
        <w:rPr>
          <w:rFonts w:ascii="Garamond" w:hAnsi="Garamond" w:cs="Times New Roman"/>
          <w:lang w:val="it-IT"/>
        </w:rPr>
      </w:pPr>
      <w:r w:rsidRPr="00634CBB">
        <w:rPr>
          <w:rFonts w:ascii="Garamond" w:hAnsi="Garamond" w:cs="Times New Roman"/>
          <w:color w:val="000000"/>
          <w:lang w:val="it-IT"/>
        </w:rPr>
        <w:lastRenderedPageBreak/>
        <w:t xml:space="preserve">Sicché, un particolare favore </w:t>
      </w:r>
      <w:r w:rsidRPr="00634CBB">
        <w:rPr>
          <w:rFonts w:ascii="Garamond" w:hAnsi="Garamond" w:cs="Times New Roman"/>
          <w:lang w:val="it-IT"/>
        </w:rPr>
        <w:t xml:space="preserve">nell’applicazione dell’istituto andrà, ad esempio, riconosciuto ai soggetti portatori di interessi collettivi e diffusi (mass media, organizzazioni della società civile, ricercatori ecc.), in considerazione della funzione sociale da essi svolta (c.d. </w:t>
      </w:r>
      <w:r w:rsidRPr="00634CBB">
        <w:rPr>
          <w:rFonts w:ascii="Garamond" w:hAnsi="Garamond" w:cs="Times New Roman"/>
          <w:i/>
          <w:lang w:val="it-IT"/>
        </w:rPr>
        <w:t>social watchdogs</w:t>
      </w:r>
      <w:r w:rsidRPr="00634CBB">
        <w:rPr>
          <w:rFonts w:ascii="Garamond" w:hAnsi="Garamond" w:cs="Times New Roman"/>
          <w:lang w:val="it-IT"/>
        </w:rPr>
        <w:t xml:space="preserve">) </w:t>
      </w:r>
      <w:r w:rsidRPr="00634CBB">
        <w:rPr>
          <w:rStyle w:val="Rimandonotaapidipagina"/>
          <w:rFonts w:ascii="Garamond" w:hAnsi="Garamond" w:cs="Times New Roman"/>
          <w:lang w:val="it-IT"/>
        </w:rPr>
        <w:footnoteReference w:id="28"/>
      </w:r>
      <w:r w:rsidRPr="00634CBB">
        <w:rPr>
          <w:rFonts w:ascii="Garamond" w:hAnsi="Garamond" w:cs="Times New Roman"/>
          <w:lang w:val="it-IT"/>
        </w:rPr>
        <w:t xml:space="preserve">, mentre un netto disfavore dovrà essere addebitato alle imprese private </w:t>
      </w:r>
      <w:r w:rsidR="00BA5B62" w:rsidRPr="00634CBB">
        <w:rPr>
          <w:rFonts w:ascii="Garamond" w:hAnsi="Garamond" w:cs="Times New Roman"/>
          <w:lang w:val="it-IT"/>
        </w:rPr>
        <w:t xml:space="preserve">il cui oggetto </w:t>
      </w:r>
      <w:r w:rsidRPr="00634CBB">
        <w:rPr>
          <w:rFonts w:ascii="Garamond" w:hAnsi="Garamond" w:cs="Times New Roman"/>
          <w:lang w:val="it-IT"/>
        </w:rPr>
        <w:t>sociale consista</w:t>
      </w:r>
      <w:r w:rsidR="00BA5B62" w:rsidRPr="00634CBB">
        <w:rPr>
          <w:rFonts w:ascii="Garamond" w:hAnsi="Garamond" w:cs="Times New Roman"/>
          <w:lang w:val="it-IT"/>
        </w:rPr>
        <w:t xml:space="preserve"> nell’attività di marketing e di pubblicità commerciale, trattandosi di un elemento sintomatico della finalità strettamente commerciale dell’istanza di accesso e pertanto della sua incoerenza rispetto alla </w:t>
      </w:r>
      <w:r w:rsidR="00BA5B62" w:rsidRPr="00634CBB">
        <w:rPr>
          <w:rFonts w:ascii="Garamond" w:hAnsi="Garamond" w:cs="Times New Roman"/>
          <w:i/>
          <w:lang w:val="it-IT"/>
        </w:rPr>
        <w:t>ratio</w:t>
      </w:r>
      <w:r w:rsidR="00BA5B62" w:rsidRPr="00634CBB">
        <w:rPr>
          <w:rFonts w:ascii="Garamond" w:hAnsi="Garamond" w:cs="Times New Roman"/>
          <w:lang w:val="it-IT"/>
        </w:rPr>
        <w:t xml:space="preserve"> dell’istituto (Garante privacy par. </w:t>
      </w:r>
      <w:r w:rsidRPr="00634CBB">
        <w:rPr>
          <w:rFonts w:ascii="Garamond" w:hAnsi="Garamond" w:cs="Times New Roman"/>
          <w:lang w:val="it-IT"/>
        </w:rPr>
        <w:t xml:space="preserve">n. </w:t>
      </w:r>
      <w:r w:rsidR="00BA5B62" w:rsidRPr="00634CBB">
        <w:rPr>
          <w:rFonts w:ascii="Garamond" w:hAnsi="Garamond" w:cs="Times New Roman"/>
          <w:lang w:val="it-IT"/>
        </w:rPr>
        <w:t>360/2017).</w:t>
      </w:r>
    </w:p>
    <w:p w:rsidR="00210007" w:rsidRPr="00634CBB" w:rsidRDefault="003210CC" w:rsidP="00BA5B62">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A sostegno dell’assunto </w:t>
      </w:r>
      <w:r w:rsidR="001506E2" w:rsidRPr="00634CBB">
        <w:rPr>
          <w:rFonts w:ascii="Garamond" w:hAnsi="Garamond" w:cs="Times New Roman"/>
          <w:color w:val="000000" w:themeColor="text1"/>
        </w:rPr>
        <w:t xml:space="preserve">sono stati </w:t>
      </w:r>
      <w:r w:rsidR="004200FA" w:rsidRPr="00634CBB">
        <w:rPr>
          <w:rFonts w:ascii="Garamond" w:hAnsi="Garamond" w:cs="Times New Roman"/>
          <w:color w:val="000000" w:themeColor="text1"/>
        </w:rPr>
        <w:t>espressi</w:t>
      </w:r>
      <w:r w:rsidR="007554D1" w:rsidRPr="00634CBB">
        <w:rPr>
          <w:rFonts w:ascii="Garamond" w:hAnsi="Garamond" w:cs="Times New Roman"/>
          <w:color w:val="000000" w:themeColor="text1"/>
        </w:rPr>
        <w:t xml:space="preserve"> i seguenti argomenti</w:t>
      </w:r>
      <w:r w:rsidR="00210007" w:rsidRPr="00634CBB">
        <w:rPr>
          <w:rFonts w:ascii="Garamond" w:hAnsi="Garamond" w:cs="Times New Roman"/>
          <w:color w:val="000000" w:themeColor="text1"/>
        </w:rPr>
        <w:t>.</w:t>
      </w:r>
    </w:p>
    <w:p w:rsidR="00BF00B1" w:rsidRPr="00634CBB" w:rsidRDefault="00704444" w:rsidP="00BF00B1">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In primo luogo, s</w:t>
      </w:r>
      <w:r w:rsidR="007554D1" w:rsidRPr="00634CBB">
        <w:rPr>
          <w:rFonts w:ascii="Garamond" w:hAnsi="Garamond" w:cs="Times New Roman"/>
          <w:color w:val="000000" w:themeColor="text1"/>
        </w:rPr>
        <w:t xml:space="preserve">ul piano della interpretazione logica e teleologica, </w:t>
      </w:r>
      <w:r w:rsidR="00BF00B1" w:rsidRPr="00634CBB">
        <w:rPr>
          <w:rFonts w:ascii="Garamond" w:hAnsi="Garamond" w:cs="Times New Roman"/>
          <w:color w:val="000000" w:themeColor="text1"/>
        </w:rPr>
        <w:t>questa sarebbe</w:t>
      </w:r>
      <w:r w:rsidR="003210CC" w:rsidRPr="00634CBB">
        <w:rPr>
          <w:rFonts w:ascii="Garamond" w:hAnsi="Garamond" w:cs="Times New Roman"/>
          <w:color w:val="000000" w:themeColor="text1"/>
        </w:rPr>
        <w:t xml:space="preserve"> l’unica interpretazione coerente con la </w:t>
      </w:r>
      <w:r w:rsidR="003210CC" w:rsidRPr="00634CBB">
        <w:rPr>
          <w:rFonts w:ascii="Garamond" w:hAnsi="Garamond" w:cs="Times New Roman"/>
          <w:i/>
          <w:color w:val="000000" w:themeColor="text1"/>
        </w:rPr>
        <w:t>ratio legis</w:t>
      </w:r>
      <w:r w:rsidR="003210CC" w:rsidRPr="00634CBB">
        <w:rPr>
          <w:rFonts w:ascii="Garamond" w:hAnsi="Garamond" w:cs="Times New Roman"/>
          <w:color w:val="000000" w:themeColor="text1"/>
        </w:rPr>
        <w:t xml:space="preserve"> sottesa all’istituto dell’accesso civico generalizzato che, diversam</w:t>
      </w:r>
      <w:r w:rsidR="000C0DCE" w:rsidRPr="00634CBB">
        <w:rPr>
          <w:rFonts w:ascii="Garamond" w:hAnsi="Garamond" w:cs="Times New Roman"/>
          <w:color w:val="000000" w:themeColor="text1"/>
        </w:rPr>
        <w:t xml:space="preserve">ente, si presterebbe ad un uso </w:t>
      </w:r>
      <w:r w:rsidR="007554D1" w:rsidRPr="00634CBB">
        <w:rPr>
          <w:rFonts w:ascii="Garamond" w:hAnsi="Garamond" w:cs="Times New Roman"/>
          <w:color w:val="000000" w:themeColor="text1"/>
        </w:rPr>
        <w:t>“</w:t>
      </w:r>
      <w:r w:rsidR="000C0DCE" w:rsidRPr="00634CBB">
        <w:rPr>
          <w:rFonts w:ascii="Garamond" w:hAnsi="Garamond" w:cs="Times New Roman"/>
          <w:color w:val="000000" w:themeColor="text1"/>
        </w:rPr>
        <w:t>abusivo e distorto</w:t>
      </w:r>
      <w:proofErr w:type="gramStart"/>
      <w:r w:rsidR="007554D1" w:rsidRPr="00634CBB">
        <w:rPr>
          <w:rFonts w:ascii="Garamond" w:hAnsi="Garamond" w:cs="Times New Roman"/>
          <w:color w:val="000000" w:themeColor="text1"/>
        </w:rPr>
        <w:t>”</w:t>
      </w:r>
      <w:r w:rsidR="00BF00B1" w:rsidRPr="00634CBB">
        <w:rPr>
          <w:rFonts w:ascii="Garamond" w:hAnsi="Garamond" w:cs="Times New Roman"/>
          <w:color w:val="000000" w:themeColor="text1"/>
        </w:rPr>
        <w:t xml:space="preserve"> </w:t>
      </w:r>
      <w:r w:rsidR="00BF00B1" w:rsidRPr="00634CBB">
        <w:rPr>
          <w:rStyle w:val="Rimandonotaapidipagina"/>
          <w:rFonts w:ascii="Garamond" w:hAnsi="Garamond" w:cs="Times New Roman"/>
          <w:color w:val="000000" w:themeColor="text1"/>
        </w:rPr>
        <w:footnoteReference w:id="29"/>
      </w:r>
      <w:r w:rsidR="00BF00B1" w:rsidRPr="00634CBB">
        <w:rPr>
          <w:rFonts w:ascii="Garamond" w:hAnsi="Garamond" w:cs="Times New Roman"/>
          <w:color w:val="000000" w:themeColor="text1"/>
        </w:rPr>
        <w:t>.</w:t>
      </w:r>
      <w:proofErr w:type="gramEnd"/>
    </w:p>
    <w:p w:rsidR="00704444" w:rsidRPr="00634CBB" w:rsidRDefault="00BF00B1" w:rsidP="00704444">
      <w:pPr>
        <w:spacing w:line="360" w:lineRule="auto"/>
        <w:ind w:left="851" w:right="851"/>
        <w:jc w:val="both"/>
        <w:rPr>
          <w:rFonts w:ascii="Garamond" w:hAnsi="Garamond" w:cs="Times New Roman"/>
          <w:color w:val="000000"/>
        </w:rPr>
      </w:pPr>
      <w:r w:rsidRPr="00634CBB">
        <w:rPr>
          <w:rFonts w:ascii="Garamond" w:hAnsi="Garamond" w:cs="Times New Roman"/>
        </w:rPr>
        <w:t xml:space="preserve">Del resto, la “funzionalizzazione” dell’istituto sarebbe un dato positivo, visto che il legislatore delegato, </w:t>
      </w:r>
      <w:r w:rsidRPr="00634CBB">
        <w:rPr>
          <w:rFonts w:ascii="Garamond" w:hAnsi="Garamond" w:cs="Times New Roman"/>
          <w:color w:val="000000"/>
        </w:rPr>
        <w:t>con specifico riferimento all</w:t>
      </w:r>
      <w:proofErr w:type="gramStart"/>
      <w:r w:rsidRPr="00634CBB">
        <w:rPr>
          <w:rFonts w:ascii="Garamond" w:hAnsi="Garamond" w:cs="Times New Roman"/>
          <w:color w:val="000000"/>
        </w:rPr>
        <w:t>’”accesso</w:t>
      </w:r>
      <w:proofErr w:type="gramEnd"/>
      <w:r w:rsidRPr="00634CBB">
        <w:rPr>
          <w:rFonts w:ascii="Garamond" w:hAnsi="Garamond" w:cs="Times New Roman"/>
          <w:color w:val="000000"/>
        </w:rPr>
        <w:t xml:space="preserve"> civico generalizzato”, ha attribuito a tale istituto il “</w:t>
      </w:r>
      <w:r w:rsidRPr="00634CBB">
        <w:rPr>
          <w:rFonts w:ascii="Garamond" w:hAnsi="Garamond" w:cs="Times New Roman"/>
          <w:i/>
          <w:color w:val="000000"/>
        </w:rPr>
        <w:t>fine di favorire forme diffuse di controllo sul perseguimento delle funzioni istituzionali e sull'utilizzo delle risorse pubbliche”</w:t>
      </w:r>
      <w:r w:rsidRPr="00634CBB">
        <w:rPr>
          <w:rFonts w:ascii="Garamond" w:hAnsi="Garamond" w:cs="Times New Roman"/>
          <w:color w:val="000000"/>
        </w:rPr>
        <w:t xml:space="preserve"> (art. 7 della Legge delega n. 124/2015) </w:t>
      </w:r>
      <w:r w:rsidRPr="00634CBB">
        <w:rPr>
          <w:rStyle w:val="Rimandonotaapidipagina"/>
          <w:rFonts w:ascii="Garamond" w:hAnsi="Garamond" w:cs="Times New Roman"/>
          <w:color w:val="000000"/>
        </w:rPr>
        <w:footnoteReference w:id="30"/>
      </w:r>
      <w:r w:rsidRPr="00634CBB">
        <w:rPr>
          <w:rFonts w:ascii="Garamond" w:hAnsi="Garamond" w:cs="Times New Roman"/>
          <w:color w:val="000000"/>
        </w:rPr>
        <w:t>.</w:t>
      </w:r>
    </w:p>
    <w:p w:rsidR="00D469CF" w:rsidRPr="00634CBB" w:rsidRDefault="00704444" w:rsidP="00D940E3">
      <w:pPr>
        <w:spacing w:line="360" w:lineRule="auto"/>
        <w:ind w:left="851" w:right="851"/>
        <w:jc w:val="both"/>
        <w:rPr>
          <w:rFonts w:ascii="Garamond" w:hAnsi="Garamond" w:cs="Times New Roman"/>
        </w:rPr>
      </w:pPr>
      <w:r w:rsidRPr="00634CBB">
        <w:rPr>
          <w:rFonts w:ascii="Garamond" w:hAnsi="Garamond" w:cs="Times New Roman"/>
          <w:color w:val="000000"/>
        </w:rPr>
        <w:t xml:space="preserve">In secondo luogo e sul piano pratico, </w:t>
      </w:r>
      <w:r w:rsidR="004200FA" w:rsidRPr="00634CBB">
        <w:rPr>
          <w:rFonts w:ascii="Garamond" w:hAnsi="Garamond" w:cs="Times New Roman"/>
          <w:color w:val="000000" w:themeColor="text1"/>
        </w:rPr>
        <w:t xml:space="preserve">in assenza di più precisi criteri di ponderazione degli interessi in gioco forniti dal legislatore, </w:t>
      </w:r>
      <w:r w:rsidRPr="00634CBB">
        <w:rPr>
          <w:rFonts w:ascii="Garamond" w:hAnsi="Garamond" w:cs="Times New Roman"/>
          <w:color w:val="000000"/>
        </w:rPr>
        <w:t xml:space="preserve">tale </w:t>
      </w:r>
      <w:r w:rsidRPr="00634CBB">
        <w:rPr>
          <w:rFonts w:ascii="Garamond" w:hAnsi="Garamond" w:cs="Times New Roman"/>
          <w:i/>
          <w:color w:val="000000"/>
        </w:rPr>
        <w:t>modus operandi</w:t>
      </w:r>
      <w:r w:rsidRPr="00634CBB">
        <w:rPr>
          <w:rFonts w:ascii="Garamond" w:hAnsi="Garamond" w:cs="Times New Roman"/>
          <w:color w:val="000000"/>
        </w:rPr>
        <w:t xml:space="preserve"> sarebbe utile per limitare l’eccessiva discr</w:t>
      </w:r>
      <w:r w:rsidR="00D940E3" w:rsidRPr="00634CBB">
        <w:rPr>
          <w:rFonts w:ascii="Garamond" w:hAnsi="Garamond" w:cs="Times New Roman"/>
          <w:color w:val="000000"/>
        </w:rPr>
        <w:t xml:space="preserve">ezionalità decisoria della P.A., comportando </w:t>
      </w:r>
      <w:r w:rsidRPr="00634CBB">
        <w:rPr>
          <w:rFonts w:ascii="Garamond" w:hAnsi="Garamond" w:cs="Times New Roman"/>
          <w:color w:val="000000"/>
        </w:rPr>
        <w:t>il vantaggio di approfondire il giudizio</w:t>
      </w:r>
      <w:r w:rsidR="004200FA" w:rsidRPr="00634CBB">
        <w:rPr>
          <w:rFonts w:ascii="Garamond" w:hAnsi="Garamond" w:cs="Times New Roman"/>
          <w:color w:val="000000"/>
        </w:rPr>
        <w:t xml:space="preserve"> di meritevolezza dell’istanza</w:t>
      </w:r>
      <w:r w:rsidRPr="00634CBB">
        <w:rPr>
          <w:rFonts w:ascii="Garamond" w:hAnsi="Garamond" w:cs="Times New Roman"/>
          <w:color w:val="000000"/>
        </w:rPr>
        <w:t xml:space="preserve"> avendo riguardo anche alle ragioni dell’istante, che avrebbe</w:t>
      </w:r>
      <w:r w:rsidR="004200FA" w:rsidRPr="00634CBB">
        <w:rPr>
          <w:rFonts w:ascii="Garamond" w:hAnsi="Garamond" w:cs="Times New Roman"/>
          <w:color w:val="000000"/>
        </w:rPr>
        <w:t>ro,</w:t>
      </w:r>
      <w:r w:rsidRPr="00634CBB">
        <w:rPr>
          <w:rFonts w:ascii="Garamond" w:hAnsi="Garamond" w:cs="Times New Roman"/>
          <w:color w:val="000000"/>
        </w:rPr>
        <w:t xml:space="preserve"> pertanto</w:t>
      </w:r>
      <w:r w:rsidR="004200FA" w:rsidRPr="00634CBB">
        <w:rPr>
          <w:rFonts w:ascii="Garamond" w:hAnsi="Garamond" w:cs="Times New Roman"/>
          <w:color w:val="000000"/>
        </w:rPr>
        <w:t>,</w:t>
      </w:r>
      <w:r w:rsidRPr="00634CBB">
        <w:rPr>
          <w:rFonts w:ascii="Garamond" w:hAnsi="Garamond" w:cs="Times New Roman"/>
          <w:color w:val="000000"/>
        </w:rPr>
        <w:t xml:space="preserve"> maggiori </w:t>
      </w:r>
      <w:r w:rsidRPr="00634CBB">
        <w:rPr>
          <w:rFonts w:ascii="Garamond" w:hAnsi="Garamond" w:cs="Times New Roman"/>
          <w:i/>
          <w:color w:val="000000"/>
        </w:rPr>
        <w:t>chances</w:t>
      </w:r>
      <w:r w:rsidRPr="00634CBB">
        <w:rPr>
          <w:rFonts w:ascii="Garamond" w:hAnsi="Garamond" w:cs="Times New Roman"/>
          <w:color w:val="000000"/>
        </w:rPr>
        <w:t xml:space="preserve"> di prevalere sugli interessi che si oppongono alla ostensione, con l’ultimo effetto di rafforzare la tutela dell’accesso; per converso, </w:t>
      </w:r>
      <w:r w:rsidR="00D940E3" w:rsidRPr="00634CBB">
        <w:rPr>
          <w:rFonts w:ascii="Garamond" w:hAnsi="Garamond" w:cs="Times New Roman"/>
          <w:color w:val="000000"/>
        </w:rPr>
        <w:t>un’istanza non motivata potrebbe ritorcersi</w:t>
      </w:r>
      <w:r w:rsidRPr="00634CBB">
        <w:rPr>
          <w:rFonts w:ascii="Garamond" w:hAnsi="Garamond" w:cs="Times New Roman"/>
          <w:color w:val="000000"/>
        </w:rPr>
        <w:t xml:space="preserve"> </w:t>
      </w:r>
      <w:r w:rsidRPr="00634CBB">
        <w:rPr>
          <w:rFonts w:ascii="Garamond" w:hAnsi="Garamond" w:cs="Times New Roman"/>
        </w:rPr>
        <w:t xml:space="preserve">a danno dell’istante, in quanto non risulterebbe enucleabile alcun argomento che possa risultare prevalente nel giudizio di </w:t>
      </w:r>
      <w:r w:rsidR="004200FA" w:rsidRPr="00634CBB">
        <w:rPr>
          <w:rFonts w:ascii="Garamond" w:hAnsi="Garamond" w:cs="Times New Roman"/>
        </w:rPr>
        <w:t xml:space="preserve">comparazione </w:t>
      </w:r>
      <w:r w:rsidRPr="00634CBB">
        <w:rPr>
          <w:rFonts w:ascii="Garamond" w:hAnsi="Garamond" w:cs="Times New Roman"/>
        </w:rPr>
        <w:t xml:space="preserve">con gli eventuali interessi di segno contrario all’ostensione </w:t>
      </w:r>
      <w:r w:rsidRPr="00634CBB">
        <w:rPr>
          <w:rStyle w:val="Rimandonotaapidipagina"/>
          <w:rFonts w:ascii="Garamond" w:hAnsi="Garamond" w:cs="Times New Roman"/>
        </w:rPr>
        <w:footnoteReference w:id="31"/>
      </w:r>
      <w:r w:rsidRPr="00634CBB">
        <w:rPr>
          <w:rFonts w:ascii="Garamond" w:hAnsi="Garamond" w:cs="Times New Roman"/>
        </w:rPr>
        <w:t xml:space="preserve">. </w:t>
      </w:r>
    </w:p>
    <w:p w:rsidR="001C5A7D" w:rsidRPr="00634CBB" w:rsidRDefault="004200FA" w:rsidP="001C5A7D">
      <w:pPr>
        <w:spacing w:line="360" w:lineRule="auto"/>
        <w:ind w:left="851" w:right="851"/>
        <w:jc w:val="both"/>
        <w:rPr>
          <w:rFonts w:ascii="Garamond" w:hAnsi="Garamond" w:cs="Times New Roman"/>
          <w:color w:val="000000"/>
        </w:rPr>
      </w:pPr>
      <w:r w:rsidRPr="00634CBB">
        <w:rPr>
          <w:rFonts w:ascii="Garamond" w:hAnsi="Garamond" w:cs="Times New Roman"/>
          <w:color w:val="000000"/>
        </w:rPr>
        <w:lastRenderedPageBreak/>
        <w:t xml:space="preserve">In terzo luogo, detta interpretazione </w:t>
      </w:r>
      <w:r w:rsidR="00D469CF" w:rsidRPr="00634CBB">
        <w:rPr>
          <w:rFonts w:ascii="Garamond" w:hAnsi="Garamond" w:cs="Times New Roman"/>
          <w:color w:val="000000"/>
        </w:rPr>
        <w:t>sarebbe imposta dal</w:t>
      </w:r>
      <w:r w:rsidR="00D940E3" w:rsidRPr="00634CBB">
        <w:rPr>
          <w:rFonts w:ascii="Garamond" w:hAnsi="Garamond" w:cs="Times New Roman"/>
          <w:color w:val="000000"/>
        </w:rPr>
        <w:t xml:space="preserve">le conseguenze particolarmente rilevanti </w:t>
      </w:r>
      <w:r w:rsidR="000C0DCE" w:rsidRPr="00634CBB">
        <w:rPr>
          <w:rFonts w:ascii="Garamond" w:hAnsi="Garamond" w:cs="Times New Roman"/>
          <w:color w:val="000000"/>
        </w:rPr>
        <w:t>derivanti dall’esercizio de</w:t>
      </w:r>
      <w:r w:rsidR="00D940E3" w:rsidRPr="00634CBB">
        <w:rPr>
          <w:rFonts w:ascii="Garamond" w:hAnsi="Garamond" w:cs="Times New Roman"/>
          <w:color w:val="000000"/>
        </w:rPr>
        <w:t xml:space="preserve">ll’accesso civico generalizzato, </w:t>
      </w:r>
      <w:r w:rsidRPr="00634CBB">
        <w:rPr>
          <w:rFonts w:ascii="Garamond" w:hAnsi="Garamond" w:cs="Times New Roman"/>
          <w:color w:val="000000"/>
        </w:rPr>
        <w:t>tenuto conto de</w:t>
      </w:r>
      <w:r w:rsidR="00D940E3" w:rsidRPr="00634CBB">
        <w:rPr>
          <w:rFonts w:ascii="Garamond" w:hAnsi="Garamond" w:cs="Times New Roman"/>
          <w:color w:val="000000"/>
        </w:rPr>
        <w:t xml:space="preserve">l </w:t>
      </w:r>
      <w:r w:rsidR="00D469CF" w:rsidRPr="00634CBB">
        <w:rPr>
          <w:rFonts w:ascii="Garamond" w:hAnsi="Garamond" w:cs="Times New Roman"/>
          <w:color w:val="000000"/>
        </w:rPr>
        <w:t>particolare regime di pubblici</w:t>
      </w:r>
      <w:r w:rsidR="000C0DCE" w:rsidRPr="00634CBB">
        <w:rPr>
          <w:rFonts w:ascii="Garamond" w:hAnsi="Garamond" w:cs="Times New Roman"/>
          <w:color w:val="000000"/>
        </w:rPr>
        <w:t xml:space="preserve">tà dei dati e dei documenti </w:t>
      </w:r>
      <w:r w:rsidR="00D940E3" w:rsidRPr="00634CBB">
        <w:rPr>
          <w:rFonts w:ascii="Garamond" w:hAnsi="Garamond" w:cs="Times New Roman"/>
          <w:color w:val="000000"/>
        </w:rPr>
        <w:t xml:space="preserve">acquisiti </w:t>
      </w:r>
      <w:r w:rsidR="000C0DCE" w:rsidRPr="00634CBB">
        <w:rPr>
          <w:rFonts w:ascii="Garamond" w:hAnsi="Garamond" w:cs="Times New Roman"/>
          <w:color w:val="000000"/>
        </w:rPr>
        <w:t>previsto d</w:t>
      </w:r>
      <w:r w:rsidR="00D940E3" w:rsidRPr="00634CBB">
        <w:rPr>
          <w:rFonts w:ascii="Garamond" w:hAnsi="Garamond" w:cs="Times New Roman"/>
          <w:color w:val="000000"/>
        </w:rPr>
        <w:t>all’</w:t>
      </w:r>
      <w:r w:rsidR="00D469CF" w:rsidRPr="00634CBB">
        <w:rPr>
          <w:rFonts w:ascii="Garamond" w:hAnsi="Garamond" w:cs="Times New Roman"/>
          <w:color w:val="000000"/>
        </w:rPr>
        <w:t xml:space="preserve">art. 3 c. 1 </w:t>
      </w:r>
      <w:r w:rsidRPr="00634CBB">
        <w:rPr>
          <w:rFonts w:ascii="Garamond" w:hAnsi="Garamond" w:cs="Times New Roman"/>
          <w:color w:val="000000"/>
        </w:rPr>
        <w:t>D.Lgs. 33/2013, dei quali</w:t>
      </w:r>
      <w:r w:rsidR="00D469CF" w:rsidRPr="00634CBB">
        <w:rPr>
          <w:rFonts w:ascii="Garamond" w:hAnsi="Garamond" w:cs="Times New Roman"/>
          <w:color w:val="000000"/>
        </w:rPr>
        <w:t xml:space="preserve"> è consentito l’utilizzo ed il </w:t>
      </w:r>
      <w:proofErr w:type="gramStart"/>
      <w:r w:rsidR="00D469CF" w:rsidRPr="00634CBB">
        <w:rPr>
          <w:rFonts w:ascii="Garamond" w:hAnsi="Garamond" w:cs="Times New Roman"/>
          <w:color w:val="000000"/>
        </w:rPr>
        <w:t xml:space="preserve">riutilizzo </w:t>
      </w:r>
      <w:r w:rsidR="00D469CF" w:rsidRPr="00634CBB">
        <w:rPr>
          <w:rStyle w:val="Rimandonotaapidipagina"/>
          <w:rFonts w:ascii="Garamond" w:hAnsi="Garamond" w:cs="Times New Roman"/>
          <w:color w:val="000000"/>
        </w:rPr>
        <w:footnoteReference w:id="32"/>
      </w:r>
      <w:r w:rsidR="00D469CF" w:rsidRPr="00634CBB">
        <w:rPr>
          <w:rFonts w:ascii="Garamond" w:hAnsi="Garamond" w:cs="Times New Roman"/>
          <w:color w:val="000000"/>
        </w:rPr>
        <w:t>.</w:t>
      </w:r>
      <w:proofErr w:type="gramEnd"/>
    </w:p>
    <w:p w:rsidR="001C5A7D" w:rsidRPr="00634CBB" w:rsidRDefault="001C5A7D" w:rsidP="001C5A7D">
      <w:pPr>
        <w:spacing w:line="360" w:lineRule="auto"/>
        <w:ind w:left="851" w:right="851"/>
        <w:jc w:val="both"/>
        <w:rPr>
          <w:rFonts w:ascii="Garamond" w:hAnsi="Garamond" w:cs="Times New Roman"/>
          <w:color w:val="000000"/>
        </w:rPr>
      </w:pPr>
      <w:r w:rsidRPr="00634CBB">
        <w:rPr>
          <w:rFonts w:ascii="Garamond" w:hAnsi="Garamond" w:cs="Times New Roman"/>
          <w:color w:val="000000" w:themeColor="text1"/>
        </w:rPr>
        <w:t xml:space="preserve">Infine, la suddetta linea interpretativa sarebbe </w:t>
      </w:r>
      <w:r w:rsidR="000C0DCE" w:rsidRPr="00634CBB">
        <w:rPr>
          <w:rFonts w:ascii="Garamond" w:hAnsi="Garamond" w:cs="Times New Roman"/>
          <w:color w:val="000000" w:themeColor="text1"/>
        </w:rPr>
        <w:t xml:space="preserve">coerente </w:t>
      </w:r>
      <w:r w:rsidRPr="00634CBB">
        <w:rPr>
          <w:rFonts w:ascii="Garamond" w:hAnsi="Garamond" w:cs="Times New Roman"/>
          <w:color w:val="000000"/>
        </w:rPr>
        <w:t>con la giurisprudenza della Corte europea dei diritti dell’uomo, per la quale l’art. 10 della Cedu garantisce la “liberta di informazione” al cittadino nei confronti della P.A. soltanto se e quando l’esigenza conoscitiva attiene a “questioni di interesse pubblico</w:t>
      </w:r>
      <w:proofErr w:type="gramStart"/>
      <w:r w:rsidRPr="00634CBB">
        <w:rPr>
          <w:rFonts w:ascii="Garamond" w:hAnsi="Garamond" w:cs="Times New Roman"/>
          <w:color w:val="000000"/>
        </w:rPr>
        <w:t xml:space="preserve">” </w:t>
      </w:r>
      <w:r w:rsidRPr="00634CBB">
        <w:rPr>
          <w:rStyle w:val="Rimandonotaapidipagina"/>
          <w:rFonts w:ascii="Garamond" w:hAnsi="Garamond" w:cs="Times New Roman"/>
          <w:color w:val="000000"/>
        </w:rPr>
        <w:footnoteReference w:id="33"/>
      </w:r>
      <w:r w:rsidRPr="00634CBB">
        <w:rPr>
          <w:rFonts w:ascii="Garamond" w:hAnsi="Garamond" w:cs="Times New Roman"/>
          <w:color w:val="000000"/>
        </w:rPr>
        <w:t>.</w:t>
      </w:r>
      <w:proofErr w:type="gramEnd"/>
    </w:p>
    <w:p w:rsidR="00B5043E" w:rsidRPr="00634CBB" w:rsidRDefault="000C63AE" w:rsidP="00B5043E">
      <w:pPr>
        <w:spacing w:line="360" w:lineRule="auto"/>
        <w:ind w:left="851" w:right="851"/>
        <w:jc w:val="both"/>
        <w:rPr>
          <w:rFonts w:ascii="Garamond" w:hAnsi="Garamond" w:cs="Times New Roman"/>
          <w:b/>
          <w:color w:val="000000" w:themeColor="text1"/>
          <w:sz w:val="22"/>
          <w:szCs w:val="22"/>
        </w:rPr>
      </w:pPr>
      <w:r w:rsidRPr="00634CBB">
        <w:rPr>
          <w:rFonts w:ascii="Garamond" w:hAnsi="Garamond" w:cs="Times New Roman"/>
          <w:b/>
          <w:color w:val="000000" w:themeColor="text1"/>
        </w:rPr>
        <w:t>5.2.</w:t>
      </w:r>
      <w:r w:rsidR="00B5043E" w:rsidRPr="00634CBB">
        <w:rPr>
          <w:rFonts w:ascii="Garamond" w:hAnsi="Garamond" w:cs="Times New Roman"/>
          <w:b/>
          <w:color w:val="000000" w:themeColor="text1"/>
        </w:rPr>
        <w:t xml:space="preserve"> Argomenti contro</w:t>
      </w:r>
      <w:r w:rsidR="00B5043E" w:rsidRPr="00634CBB">
        <w:rPr>
          <w:rFonts w:ascii="Garamond" w:hAnsi="Garamond" w:cs="Times New Roman"/>
          <w:b/>
          <w:color w:val="000000" w:themeColor="text1"/>
          <w:sz w:val="22"/>
          <w:szCs w:val="22"/>
        </w:rPr>
        <w:t>.</w:t>
      </w:r>
    </w:p>
    <w:p w:rsidR="00D940E3" w:rsidRPr="00634CBB" w:rsidRDefault="008771CB"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La tesi sopra esposta si presta ad alcune obiezioni, la principale delle quali è </w:t>
      </w:r>
      <w:r w:rsidR="007A4F40" w:rsidRPr="00634CBB">
        <w:rPr>
          <w:rFonts w:ascii="Garamond" w:hAnsi="Garamond" w:cs="Times New Roman"/>
          <w:color w:val="000000" w:themeColor="text1"/>
        </w:rPr>
        <w:t>rappresentata</w:t>
      </w:r>
      <w:r w:rsidR="00D940E3" w:rsidRPr="00634CBB">
        <w:rPr>
          <w:rFonts w:ascii="Garamond" w:hAnsi="Garamond" w:cs="Times New Roman"/>
          <w:color w:val="000000" w:themeColor="text1"/>
        </w:rPr>
        <w:t xml:space="preserve"> dal </w:t>
      </w:r>
      <w:r w:rsidR="002C06AA" w:rsidRPr="00634CBB">
        <w:rPr>
          <w:rFonts w:ascii="Garamond" w:hAnsi="Garamond" w:cs="Times New Roman"/>
          <w:color w:val="000000" w:themeColor="text1"/>
        </w:rPr>
        <w:t xml:space="preserve">dato positivo. </w:t>
      </w:r>
    </w:p>
    <w:p w:rsidR="002C06AA" w:rsidRPr="00634CBB" w:rsidRDefault="002C06AA" w:rsidP="002C06AA">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Invero, già il fatto che </w:t>
      </w:r>
      <w:r w:rsidRPr="00634CBB">
        <w:rPr>
          <w:rFonts w:ascii="Garamond" w:eastAsia="Cambria" w:hAnsi="Garamond" w:cs="Times New Roman"/>
          <w:color w:val="000000" w:themeColor="text1"/>
        </w:rPr>
        <w:t xml:space="preserve">l’accesso civico generalizzato spetti a </w:t>
      </w:r>
      <w:r w:rsidRPr="00634CBB">
        <w:rPr>
          <w:rFonts w:ascii="Garamond" w:hAnsi="Garamond" w:cs="Times New Roman"/>
          <w:i/>
          <w:color w:val="000000" w:themeColor="text1"/>
        </w:rPr>
        <w:t xml:space="preserve">“chiunque”, “indipendentemente dalla titolarità di situazioni giuridicamente rilevanti” </w:t>
      </w:r>
      <w:r w:rsidR="00E6245D" w:rsidRPr="00634CBB">
        <w:rPr>
          <w:rFonts w:ascii="Garamond" w:hAnsi="Garamond" w:cs="Times New Roman"/>
          <w:color w:val="000000" w:themeColor="text1"/>
        </w:rPr>
        <w:t>[</w:t>
      </w:r>
      <w:r w:rsidRPr="00634CBB">
        <w:rPr>
          <w:rFonts w:ascii="Garamond" w:hAnsi="Garamond" w:cs="Times New Roman"/>
          <w:color w:val="000000" w:themeColor="text1"/>
        </w:rPr>
        <w:t>art. 7, comma 1, le</w:t>
      </w:r>
      <w:r w:rsidR="00E6245D" w:rsidRPr="00634CBB">
        <w:rPr>
          <w:rFonts w:ascii="Garamond" w:hAnsi="Garamond" w:cs="Times New Roman"/>
          <w:color w:val="000000" w:themeColor="text1"/>
        </w:rPr>
        <w:t>tt. h) Legge delega n. 241/2015]</w:t>
      </w:r>
      <w:r w:rsidRPr="00634CBB">
        <w:rPr>
          <w:rFonts w:ascii="Garamond" w:hAnsi="Garamond" w:cs="Times New Roman"/>
          <w:color w:val="000000" w:themeColor="text1"/>
        </w:rPr>
        <w:t xml:space="preserve"> e non sia “</w:t>
      </w:r>
      <w:r w:rsidRPr="00634CBB">
        <w:rPr>
          <w:rFonts w:ascii="Garamond" w:hAnsi="Garamond" w:cs="Times New Roman"/>
          <w:i/>
          <w:color w:val="000000" w:themeColor="text1"/>
        </w:rPr>
        <w:t>sottoposto ad alcuna limitazione quanto alla legittimaz</w:t>
      </w:r>
      <w:r w:rsidR="000C0DCE" w:rsidRPr="00634CBB">
        <w:rPr>
          <w:rFonts w:ascii="Garamond" w:hAnsi="Garamond" w:cs="Times New Roman"/>
          <w:i/>
          <w:color w:val="000000" w:themeColor="text1"/>
        </w:rPr>
        <w:t>ione soggettiva del richiedente</w:t>
      </w:r>
      <w:r w:rsidRPr="00634CBB">
        <w:rPr>
          <w:rFonts w:ascii="Garamond" w:hAnsi="Garamond" w:cs="Times New Roman"/>
          <w:i/>
          <w:color w:val="000000" w:themeColor="text1"/>
        </w:rPr>
        <w:t>”</w:t>
      </w:r>
      <w:r w:rsidRPr="00634CBB">
        <w:rPr>
          <w:rFonts w:ascii="Garamond" w:hAnsi="Garamond" w:cs="Times New Roman"/>
          <w:color w:val="000000" w:themeColor="text1"/>
        </w:rPr>
        <w:t xml:space="preserve"> (art. 5, comma 3, D.Lgs. 33/2013) </w:t>
      </w:r>
      <w:r w:rsidR="00E6245D" w:rsidRPr="00634CBB">
        <w:rPr>
          <w:rFonts w:ascii="Garamond" w:hAnsi="Garamond" w:cs="Times New Roman"/>
          <w:color w:val="000000" w:themeColor="text1"/>
        </w:rPr>
        <w:t>depone ine</w:t>
      </w:r>
      <w:r w:rsidR="004200FA" w:rsidRPr="00634CBB">
        <w:rPr>
          <w:rFonts w:ascii="Garamond" w:hAnsi="Garamond" w:cs="Times New Roman"/>
          <w:color w:val="000000" w:themeColor="text1"/>
        </w:rPr>
        <w:t xml:space="preserve">quivocabilmente nel senso della netta </w:t>
      </w:r>
      <w:r w:rsidR="00E6245D" w:rsidRPr="00634CBB">
        <w:rPr>
          <w:rFonts w:ascii="Garamond" w:hAnsi="Garamond" w:cs="Times New Roman"/>
          <w:color w:val="000000" w:themeColor="text1"/>
        </w:rPr>
        <w:t xml:space="preserve">emancipazione di questo tipo di accesso dal vincolo della “strumentalità” rispetto ad una dimensione di interessi </w:t>
      </w:r>
      <w:r w:rsidR="007A4F40" w:rsidRPr="00634CBB">
        <w:rPr>
          <w:rFonts w:ascii="Garamond" w:hAnsi="Garamond" w:cs="Times New Roman"/>
          <w:color w:val="000000" w:themeColor="text1"/>
        </w:rPr>
        <w:t>(pubblici o privati</w:t>
      </w:r>
      <w:r w:rsidR="00E6245D" w:rsidRPr="00634CBB">
        <w:rPr>
          <w:rFonts w:ascii="Garamond" w:hAnsi="Garamond" w:cs="Times New Roman"/>
          <w:color w:val="000000" w:themeColor="text1"/>
        </w:rPr>
        <w:t xml:space="preserve">) che non sia quella propria ed insindacabile del richiedente, il cui diritto conoscitivo è riconosciuto </w:t>
      </w:r>
      <w:r w:rsidR="00E6245D" w:rsidRPr="00634CBB">
        <w:rPr>
          <w:rFonts w:ascii="Garamond" w:hAnsi="Garamond" w:cs="Times New Roman"/>
          <w:i/>
          <w:color w:val="000000" w:themeColor="text1"/>
        </w:rPr>
        <w:t>ex se</w:t>
      </w:r>
      <w:r w:rsidR="00E6245D" w:rsidRPr="00634CBB">
        <w:rPr>
          <w:rFonts w:ascii="Garamond" w:hAnsi="Garamond" w:cs="Times New Roman"/>
          <w:color w:val="000000" w:themeColor="text1"/>
        </w:rPr>
        <w:t xml:space="preserve"> come espressione della </w:t>
      </w:r>
      <w:r w:rsidR="00E6245D" w:rsidRPr="00634CBB">
        <w:rPr>
          <w:rFonts w:ascii="Garamond" w:hAnsi="Garamond" w:cs="Times New Roman"/>
          <w:i/>
          <w:color w:val="000000" w:themeColor="text1"/>
        </w:rPr>
        <w:t>“libertà di informazione”</w:t>
      </w:r>
      <w:r w:rsidR="00E6245D" w:rsidRPr="00634CBB">
        <w:rPr>
          <w:rFonts w:ascii="Garamond" w:hAnsi="Garamond" w:cs="Times New Roman"/>
          <w:color w:val="000000" w:themeColor="text1"/>
        </w:rPr>
        <w:t xml:space="preserve"> [art. 7, comma 1, lett. h) Legge delega n. 124/2015</w:t>
      </w:r>
      <w:proofErr w:type="gramStart"/>
      <w:r w:rsidR="00E6245D" w:rsidRPr="00634CBB">
        <w:rPr>
          <w:rFonts w:ascii="Garamond" w:hAnsi="Garamond" w:cs="Times New Roman"/>
          <w:color w:val="000000" w:themeColor="text1"/>
        </w:rPr>
        <w:t>]</w:t>
      </w:r>
      <w:r w:rsidR="009F5EB7" w:rsidRPr="00634CBB">
        <w:rPr>
          <w:rFonts w:ascii="Garamond" w:hAnsi="Garamond" w:cs="Times New Roman"/>
          <w:color w:val="000000" w:themeColor="text1"/>
        </w:rPr>
        <w:t xml:space="preserve"> </w:t>
      </w:r>
      <w:r w:rsidR="009F5EB7" w:rsidRPr="00634CBB">
        <w:rPr>
          <w:rStyle w:val="Rimandonotaapidipagina"/>
          <w:rFonts w:ascii="Garamond" w:hAnsi="Garamond" w:cs="Times New Roman"/>
          <w:color w:val="000000" w:themeColor="text1"/>
        </w:rPr>
        <w:footnoteReference w:id="34"/>
      </w:r>
      <w:r w:rsidR="00E6245D" w:rsidRPr="00634CBB">
        <w:rPr>
          <w:rFonts w:ascii="Garamond" w:hAnsi="Garamond" w:cs="Times New Roman"/>
          <w:color w:val="000000" w:themeColor="text1"/>
        </w:rPr>
        <w:t>.</w:t>
      </w:r>
      <w:proofErr w:type="gramEnd"/>
    </w:p>
    <w:p w:rsidR="007D42C4" w:rsidRPr="00634CBB" w:rsidRDefault="007D42C4" w:rsidP="007D42C4">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lastRenderedPageBreak/>
        <w:t xml:space="preserve">Ma </w:t>
      </w:r>
      <w:r w:rsidR="00B269A4" w:rsidRPr="00634CBB">
        <w:rPr>
          <w:rFonts w:ascii="Garamond" w:hAnsi="Garamond" w:cs="Times New Roman"/>
          <w:color w:val="000000" w:themeColor="text1"/>
        </w:rPr>
        <w:t xml:space="preserve">l’elemento </w:t>
      </w:r>
      <w:r w:rsidRPr="00634CBB">
        <w:rPr>
          <w:rFonts w:ascii="Garamond" w:hAnsi="Garamond" w:cs="Times New Roman"/>
          <w:color w:val="000000" w:themeColor="text1"/>
        </w:rPr>
        <w:t>ancor più decisivo è rappresentato dal fatto che, per espressa previsione dell’art. 5, comma 3, D.Lgs. 33/2013, l’istanza di accesso civico generalizzato “</w:t>
      </w:r>
      <w:r w:rsidRPr="00634CBB">
        <w:rPr>
          <w:rFonts w:ascii="Garamond" w:hAnsi="Garamond" w:cs="Times New Roman"/>
          <w:i/>
          <w:color w:val="000000" w:themeColor="text1"/>
        </w:rPr>
        <w:t>non richiede motivazione”</w:t>
      </w:r>
      <w:r w:rsidRPr="00634CBB">
        <w:rPr>
          <w:rFonts w:ascii="Garamond" w:hAnsi="Garamond" w:cs="Times New Roman"/>
          <w:color w:val="000000" w:themeColor="text1"/>
        </w:rPr>
        <w:t xml:space="preserve">, il che per tutta evidenza </w:t>
      </w:r>
      <w:r w:rsidR="000C0DCE" w:rsidRPr="00634CBB">
        <w:rPr>
          <w:rFonts w:ascii="Garamond" w:hAnsi="Garamond" w:cs="Times New Roman"/>
          <w:color w:val="000000" w:themeColor="text1"/>
        </w:rPr>
        <w:t xml:space="preserve">significa </w:t>
      </w:r>
      <w:r w:rsidR="008E297C" w:rsidRPr="00634CBB">
        <w:rPr>
          <w:rFonts w:ascii="Garamond" w:hAnsi="Garamond" w:cs="Times New Roman"/>
          <w:color w:val="000000" w:themeColor="text1"/>
        </w:rPr>
        <w:t xml:space="preserve">non soltanto che la P.A. non può esigerla, ma anche che la sua mancanza non </w:t>
      </w:r>
      <w:r w:rsidR="000C0DCE" w:rsidRPr="00634CBB">
        <w:rPr>
          <w:rFonts w:ascii="Garamond" w:hAnsi="Garamond" w:cs="Times New Roman"/>
          <w:color w:val="000000" w:themeColor="text1"/>
        </w:rPr>
        <w:t xml:space="preserve">può </w:t>
      </w:r>
      <w:r w:rsidR="008E297C" w:rsidRPr="00634CBB">
        <w:rPr>
          <w:rFonts w:ascii="Garamond" w:hAnsi="Garamond" w:cs="Times New Roman"/>
          <w:color w:val="000000" w:themeColor="text1"/>
        </w:rPr>
        <w:t>ridondare a danno del richiedente.</w:t>
      </w:r>
      <w:r w:rsidRPr="00634CBB">
        <w:rPr>
          <w:rFonts w:ascii="Garamond" w:hAnsi="Garamond" w:cs="Times New Roman"/>
          <w:color w:val="000000" w:themeColor="text1"/>
        </w:rPr>
        <w:t xml:space="preserve"> </w:t>
      </w:r>
    </w:p>
    <w:p w:rsidR="00B269A4" w:rsidRPr="00634CBB" w:rsidRDefault="00810643" w:rsidP="008E297C">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In</w:t>
      </w:r>
      <w:r w:rsidR="000F7B48" w:rsidRPr="00634CBB">
        <w:rPr>
          <w:rFonts w:ascii="Garamond" w:hAnsi="Garamond" w:cs="Times New Roman"/>
          <w:color w:val="000000" w:themeColor="text1"/>
        </w:rPr>
        <w:t xml:space="preserve">vero, </w:t>
      </w:r>
      <w:r w:rsidRPr="00634CBB">
        <w:rPr>
          <w:rFonts w:ascii="Garamond" w:hAnsi="Garamond" w:cs="Times New Roman"/>
          <w:color w:val="000000" w:themeColor="text1"/>
        </w:rPr>
        <w:t xml:space="preserve">una volta definito l’ambito delle prerogative spettanti al titolare del diritto (e tra esse </w:t>
      </w:r>
      <w:r w:rsidR="000C0DCE" w:rsidRPr="00634CBB">
        <w:rPr>
          <w:rFonts w:ascii="Garamond" w:hAnsi="Garamond" w:cs="Times New Roman"/>
          <w:color w:val="000000" w:themeColor="text1"/>
        </w:rPr>
        <w:t xml:space="preserve">vi è </w:t>
      </w:r>
      <w:r w:rsidRPr="00634CBB">
        <w:rPr>
          <w:rFonts w:ascii="Garamond" w:hAnsi="Garamond" w:cs="Times New Roman"/>
          <w:color w:val="000000" w:themeColor="text1"/>
        </w:rPr>
        <w:t xml:space="preserve">quella di non motivare l’istanza), appare un controsenso voler recuperare spazi per un’ulteriore valutazione di giuridicità di </w:t>
      </w:r>
      <w:r w:rsidR="008E297C" w:rsidRPr="00634CBB">
        <w:rPr>
          <w:rFonts w:ascii="Garamond" w:hAnsi="Garamond" w:cs="Times New Roman"/>
          <w:color w:val="000000" w:themeColor="text1"/>
        </w:rPr>
        <w:t xml:space="preserve">un </w:t>
      </w:r>
      <w:r w:rsidRPr="00634CBB">
        <w:rPr>
          <w:rFonts w:ascii="Garamond" w:hAnsi="Garamond" w:cs="Times New Roman"/>
          <w:color w:val="000000" w:themeColor="text1"/>
        </w:rPr>
        <w:t xml:space="preserve">elemento che il Legislatore ha </w:t>
      </w:r>
      <w:r w:rsidR="008E297C" w:rsidRPr="00634CBB">
        <w:rPr>
          <w:rFonts w:ascii="Garamond" w:hAnsi="Garamond" w:cs="Times New Roman"/>
          <w:color w:val="000000" w:themeColor="text1"/>
        </w:rPr>
        <w:t xml:space="preserve">ritenuto irrilevante, sottoponendo </w:t>
      </w:r>
      <w:r w:rsidR="000F7B48" w:rsidRPr="00634CBB">
        <w:rPr>
          <w:rFonts w:ascii="Garamond" w:hAnsi="Garamond" w:cs="Times New Roman"/>
          <w:color w:val="000000" w:themeColor="text1"/>
        </w:rPr>
        <w:t>l’</w:t>
      </w:r>
      <w:r w:rsidR="000F7B48" w:rsidRPr="00634CBB">
        <w:rPr>
          <w:rFonts w:ascii="Garamond" w:hAnsi="Garamond" w:cs="Times New Roman"/>
          <w:i/>
          <w:color w:val="000000" w:themeColor="text1"/>
        </w:rPr>
        <w:t>agere licere</w:t>
      </w:r>
      <w:r w:rsidR="000F7B48" w:rsidRPr="00634CBB">
        <w:rPr>
          <w:rFonts w:ascii="Garamond" w:hAnsi="Garamond" w:cs="Times New Roman"/>
          <w:color w:val="000000" w:themeColor="text1"/>
        </w:rPr>
        <w:t xml:space="preserve"> così previamente definito </w:t>
      </w:r>
      <w:r w:rsidR="008E297C" w:rsidRPr="00634CBB">
        <w:rPr>
          <w:rFonts w:ascii="Garamond" w:hAnsi="Garamond" w:cs="Times New Roman"/>
          <w:color w:val="000000" w:themeColor="text1"/>
        </w:rPr>
        <w:t xml:space="preserve">dal legislatore </w:t>
      </w:r>
      <w:r w:rsidR="000F7B48" w:rsidRPr="00634CBB">
        <w:rPr>
          <w:rFonts w:ascii="Garamond" w:hAnsi="Garamond" w:cs="Times New Roman"/>
          <w:color w:val="000000" w:themeColor="text1"/>
        </w:rPr>
        <w:t xml:space="preserve">al limite vago e sfuggente del controllo </w:t>
      </w:r>
      <w:r w:rsidR="000F7B48" w:rsidRPr="00634CBB">
        <w:rPr>
          <w:rFonts w:ascii="Garamond" w:hAnsi="Garamond" w:cs="Times New Roman"/>
          <w:i/>
          <w:color w:val="000000" w:themeColor="text1"/>
        </w:rPr>
        <w:t>ex post</w:t>
      </w:r>
      <w:r w:rsidR="000F7B48" w:rsidRPr="00634CBB">
        <w:rPr>
          <w:rFonts w:ascii="Garamond" w:hAnsi="Garamond" w:cs="Times New Roman"/>
          <w:color w:val="000000" w:themeColor="text1"/>
        </w:rPr>
        <w:t xml:space="preserve">  sulla motivazione dell’istanza, se non compromettendo le più elementari esigenze di certezza e di prevedibilità del diritto, nonché della uguaglianza formale degli aventi titolo.</w:t>
      </w:r>
    </w:p>
    <w:p w:rsidR="0065034F" w:rsidRPr="00634CBB" w:rsidRDefault="0065034F" w:rsidP="002C06AA">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Sotto il primo profilo (prevedibilità del giudizio comparativo degli interessi), la pretesa “funzionalizzazione” del</w:t>
      </w:r>
      <w:r w:rsidR="008E297C" w:rsidRPr="00634CBB">
        <w:rPr>
          <w:rFonts w:ascii="Garamond" w:hAnsi="Garamond" w:cs="Times New Roman"/>
          <w:color w:val="000000" w:themeColor="text1"/>
        </w:rPr>
        <w:t>l’accesso civico finirebbe, infatti</w:t>
      </w:r>
      <w:r w:rsidRPr="00634CBB">
        <w:rPr>
          <w:rFonts w:ascii="Garamond" w:hAnsi="Garamond" w:cs="Times New Roman"/>
          <w:color w:val="000000" w:themeColor="text1"/>
        </w:rPr>
        <w:t xml:space="preserve">, per rappresentare un rimedio peggiore del male, aumentando i margini della discrezionalità amministrativa </w:t>
      </w:r>
      <w:r w:rsidR="00DA235D" w:rsidRPr="00634CBB">
        <w:rPr>
          <w:rFonts w:ascii="Garamond" w:hAnsi="Garamond" w:cs="Times New Roman"/>
          <w:color w:val="000000" w:themeColor="text1"/>
        </w:rPr>
        <w:t xml:space="preserve">rimessa alla P.A., la quale si ritroverebbe onerata di quel </w:t>
      </w:r>
      <w:r w:rsidR="00DA235D" w:rsidRPr="00634CBB">
        <w:rPr>
          <w:rFonts w:ascii="Garamond" w:hAnsi="Garamond" w:cs="Times New Roman"/>
          <w:i/>
          <w:color w:val="000000" w:themeColor="text1"/>
        </w:rPr>
        <w:t>surplus</w:t>
      </w:r>
      <w:r w:rsidR="00DA235D" w:rsidRPr="00634CBB">
        <w:rPr>
          <w:rFonts w:ascii="Garamond" w:hAnsi="Garamond" w:cs="Times New Roman"/>
          <w:color w:val="000000" w:themeColor="text1"/>
        </w:rPr>
        <w:t xml:space="preserve"> valutativo (di </w:t>
      </w:r>
      <w:r w:rsidR="008E297C" w:rsidRPr="00634CBB">
        <w:rPr>
          <w:rFonts w:ascii="Garamond" w:hAnsi="Garamond" w:cs="Times New Roman"/>
          <w:color w:val="000000" w:themeColor="text1"/>
        </w:rPr>
        <w:t xml:space="preserve">evidente </w:t>
      </w:r>
      <w:r w:rsidR="00DA235D" w:rsidRPr="00634CBB">
        <w:rPr>
          <w:rFonts w:ascii="Garamond" w:hAnsi="Garamond" w:cs="Times New Roman"/>
          <w:color w:val="000000" w:themeColor="text1"/>
        </w:rPr>
        <w:t>com</w:t>
      </w:r>
      <w:r w:rsidR="008E297C" w:rsidRPr="00634CBB">
        <w:rPr>
          <w:rFonts w:ascii="Garamond" w:hAnsi="Garamond" w:cs="Times New Roman"/>
          <w:color w:val="000000" w:themeColor="text1"/>
        </w:rPr>
        <w:t>plessità) afferente le “</w:t>
      </w:r>
      <w:r w:rsidR="00DA235D" w:rsidRPr="00634CBB">
        <w:rPr>
          <w:rFonts w:ascii="Garamond" w:hAnsi="Garamond" w:cs="Times New Roman"/>
          <w:color w:val="000000" w:themeColor="text1"/>
        </w:rPr>
        <w:t>effettive finalità</w:t>
      </w:r>
      <w:r w:rsidR="008E297C" w:rsidRPr="00634CBB">
        <w:rPr>
          <w:rFonts w:ascii="Garamond" w:hAnsi="Garamond" w:cs="Times New Roman"/>
          <w:color w:val="000000" w:themeColor="text1"/>
        </w:rPr>
        <w:t>”</w:t>
      </w:r>
      <w:r w:rsidR="00DA235D" w:rsidRPr="00634CBB">
        <w:rPr>
          <w:rFonts w:ascii="Garamond" w:hAnsi="Garamond" w:cs="Times New Roman"/>
          <w:color w:val="000000" w:themeColor="text1"/>
        </w:rPr>
        <w:t xml:space="preserve"> perseguite dal </w:t>
      </w:r>
      <w:proofErr w:type="gramStart"/>
      <w:r w:rsidR="00DA235D" w:rsidRPr="00634CBB">
        <w:rPr>
          <w:rFonts w:ascii="Garamond" w:hAnsi="Garamond" w:cs="Times New Roman"/>
          <w:color w:val="000000" w:themeColor="text1"/>
        </w:rPr>
        <w:t xml:space="preserve">richiedente </w:t>
      </w:r>
      <w:r w:rsidRPr="00634CBB">
        <w:rPr>
          <w:rStyle w:val="Rimandonotaapidipagina"/>
          <w:rFonts w:ascii="Garamond" w:hAnsi="Garamond" w:cs="Times New Roman"/>
          <w:color w:val="000000" w:themeColor="text1"/>
        </w:rPr>
        <w:footnoteReference w:id="35"/>
      </w:r>
      <w:r w:rsidRPr="00634CBB">
        <w:rPr>
          <w:rFonts w:ascii="Garamond" w:hAnsi="Garamond" w:cs="Times New Roman"/>
          <w:color w:val="000000" w:themeColor="text1"/>
        </w:rPr>
        <w:t>.</w:t>
      </w:r>
      <w:proofErr w:type="gramEnd"/>
    </w:p>
    <w:p w:rsidR="00C457B7" w:rsidRPr="00634CBB" w:rsidRDefault="00DA235D" w:rsidP="002C06AA">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Sotto il secondo profilo, che la prospettiva funzionalista possa seriamente  incidere sul valore dell’uguaglianza formale degli aventi titolo, sembra evidente ove</w:t>
      </w:r>
      <w:r w:rsidR="00292619" w:rsidRPr="00634CBB">
        <w:rPr>
          <w:rFonts w:ascii="Garamond" w:hAnsi="Garamond" w:cs="Times New Roman"/>
          <w:color w:val="000000" w:themeColor="text1"/>
        </w:rPr>
        <w:t xml:space="preserve"> si consideri</w:t>
      </w:r>
      <w:r w:rsidR="00C457B7" w:rsidRPr="00634CBB">
        <w:rPr>
          <w:rFonts w:ascii="Garamond" w:hAnsi="Garamond" w:cs="Times New Roman"/>
          <w:color w:val="000000" w:themeColor="text1"/>
        </w:rPr>
        <w:t xml:space="preserve"> che, in caso di legi</w:t>
      </w:r>
      <w:r w:rsidRPr="00634CBB">
        <w:rPr>
          <w:rFonts w:ascii="Garamond" w:hAnsi="Garamond" w:cs="Times New Roman"/>
          <w:color w:val="000000" w:themeColor="text1"/>
        </w:rPr>
        <w:t xml:space="preserve">ttima immotivata istanza, il </w:t>
      </w:r>
      <w:r w:rsidR="00C457B7" w:rsidRPr="00634CBB">
        <w:rPr>
          <w:rFonts w:ascii="Garamond" w:hAnsi="Garamond" w:cs="Times New Roman"/>
          <w:color w:val="000000" w:themeColor="text1"/>
        </w:rPr>
        <w:t>controllo funzionale sulle effettive motivazioni del richiedente dovrebbe giocoforza operare sulla base di “presunzioni”</w:t>
      </w:r>
      <w:r w:rsidR="00BD1063" w:rsidRPr="00634CBB">
        <w:rPr>
          <w:rFonts w:ascii="Garamond" w:hAnsi="Garamond" w:cs="Times New Roman"/>
          <w:color w:val="000000" w:themeColor="text1"/>
        </w:rPr>
        <w:t xml:space="preserve"> di carattere generale, che finirebbero per trasformare un diritto esercitabile da </w:t>
      </w:r>
      <w:r w:rsidR="00BD1063" w:rsidRPr="00634CBB">
        <w:rPr>
          <w:rFonts w:ascii="Garamond" w:hAnsi="Garamond" w:cs="Times New Roman"/>
          <w:i/>
          <w:color w:val="000000" w:themeColor="text1"/>
        </w:rPr>
        <w:t>“chiunque”</w:t>
      </w:r>
      <w:r w:rsidR="00BD1063" w:rsidRPr="00634CBB">
        <w:rPr>
          <w:rFonts w:ascii="Garamond" w:hAnsi="Garamond" w:cs="Times New Roman"/>
          <w:color w:val="000000" w:themeColor="text1"/>
        </w:rPr>
        <w:t xml:space="preserve"> in diritto esercitabile soltanto da alcune categorie di soggetti, in aperto dissidio con la lettera della norma </w:t>
      </w:r>
      <w:r w:rsidR="00BD1063" w:rsidRPr="00634CBB">
        <w:rPr>
          <w:rStyle w:val="Rimandonotaapidipagina"/>
          <w:rFonts w:ascii="Garamond" w:hAnsi="Garamond" w:cs="Times New Roman"/>
          <w:color w:val="000000" w:themeColor="text1"/>
        </w:rPr>
        <w:footnoteReference w:id="36"/>
      </w:r>
      <w:r w:rsidR="00BD1063" w:rsidRPr="00634CBB">
        <w:rPr>
          <w:rFonts w:ascii="Garamond" w:hAnsi="Garamond" w:cs="Times New Roman"/>
          <w:color w:val="000000" w:themeColor="text1"/>
        </w:rPr>
        <w:t>.</w:t>
      </w:r>
    </w:p>
    <w:p w:rsidR="00BD22B6" w:rsidRPr="00634CBB" w:rsidRDefault="008E297C" w:rsidP="00BD22B6">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lastRenderedPageBreak/>
        <w:t xml:space="preserve">In realtà, </w:t>
      </w:r>
      <w:r w:rsidR="00DA235D" w:rsidRPr="00634CBB">
        <w:rPr>
          <w:rFonts w:ascii="Garamond" w:hAnsi="Garamond" w:cs="Times New Roman"/>
          <w:color w:val="000000" w:themeColor="text1"/>
        </w:rPr>
        <w:t>l</w:t>
      </w:r>
      <w:r w:rsidRPr="00634CBB">
        <w:rPr>
          <w:rFonts w:ascii="Garamond" w:hAnsi="Garamond" w:cs="Times New Roman"/>
          <w:color w:val="000000" w:themeColor="text1"/>
        </w:rPr>
        <w:t>a stringente evidenza</w:t>
      </w:r>
      <w:r w:rsidR="00BD22B6" w:rsidRPr="00634CBB">
        <w:rPr>
          <w:rFonts w:ascii="Garamond" w:hAnsi="Garamond" w:cs="Times New Roman"/>
          <w:color w:val="000000" w:themeColor="text1"/>
        </w:rPr>
        <w:t xml:space="preserve"> del dato normativo </w:t>
      </w:r>
      <w:r w:rsidRPr="00634CBB">
        <w:rPr>
          <w:rFonts w:ascii="Garamond" w:hAnsi="Garamond" w:cs="Times New Roman"/>
          <w:color w:val="000000" w:themeColor="text1"/>
        </w:rPr>
        <w:t>(art. 5, comma 3, D.Lgs. 33/2013 che sancisce che l’istanza di accesso “</w:t>
      </w:r>
      <w:r w:rsidRPr="00634CBB">
        <w:rPr>
          <w:rFonts w:ascii="Garamond" w:hAnsi="Garamond" w:cs="Times New Roman"/>
          <w:i/>
          <w:color w:val="000000" w:themeColor="text1"/>
        </w:rPr>
        <w:t>non richiede motivazione”</w:t>
      </w:r>
      <w:r w:rsidRPr="00634CBB">
        <w:rPr>
          <w:rFonts w:ascii="Garamond" w:hAnsi="Garamond" w:cs="Times New Roman"/>
          <w:color w:val="000000" w:themeColor="text1"/>
        </w:rPr>
        <w:t xml:space="preserve">) </w:t>
      </w:r>
      <w:r w:rsidR="00BD22B6" w:rsidRPr="00634CBB">
        <w:rPr>
          <w:rFonts w:ascii="Garamond" w:hAnsi="Garamond" w:cs="Times New Roman"/>
          <w:color w:val="000000" w:themeColor="text1"/>
        </w:rPr>
        <w:t xml:space="preserve">non </w:t>
      </w:r>
      <w:r w:rsidRPr="00634CBB">
        <w:rPr>
          <w:rFonts w:ascii="Garamond" w:hAnsi="Garamond" w:cs="Times New Roman"/>
          <w:color w:val="000000" w:themeColor="text1"/>
        </w:rPr>
        <w:t>consente</w:t>
      </w:r>
      <w:r w:rsidR="00BD22B6" w:rsidRPr="00634CBB">
        <w:rPr>
          <w:rFonts w:ascii="Garamond" w:hAnsi="Garamond" w:cs="Times New Roman"/>
          <w:color w:val="000000" w:themeColor="text1"/>
        </w:rPr>
        <w:t xml:space="preserve"> divagazioni sulla </w:t>
      </w:r>
      <w:proofErr w:type="spellStart"/>
      <w:r w:rsidR="00BD22B6" w:rsidRPr="00634CBB">
        <w:rPr>
          <w:rFonts w:ascii="Garamond" w:hAnsi="Garamond" w:cs="Times New Roman"/>
          <w:i/>
          <w:color w:val="000000" w:themeColor="text1"/>
        </w:rPr>
        <w:t>mens</w:t>
      </w:r>
      <w:proofErr w:type="spellEnd"/>
      <w:r w:rsidR="00BD22B6" w:rsidRPr="00634CBB">
        <w:rPr>
          <w:rFonts w:ascii="Garamond" w:hAnsi="Garamond" w:cs="Times New Roman"/>
          <w:i/>
          <w:color w:val="000000" w:themeColor="text1"/>
        </w:rPr>
        <w:t xml:space="preserve"> </w:t>
      </w:r>
      <w:r w:rsidR="00BD22B6" w:rsidRPr="00634CBB">
        <w:rPr>
          <w:rFonts w:ascii="Garamond" w:hAnsi="Garamond" w:cs="Times New Roman"/>
          <w:color w:val="000000" w:themeColor="text1"/>
        </w:rPr>
        <w:t>del Legislatore</w:t>
      </w:r>
      <w:r w:rsidRPr="00634CBB">
        <w:rPr>
          <w:rFonts w:ascii="Garamond" w:hAnsi="Garamond" w:cs="Times New Roman"/>
          <w:color w:val="000000" w:themeColor="text1"/>
        </w:rPr>
        <w:t xml:space="preserve">, stante il primato dell’interpretazione </w:t>
      </w:r>
      <w:proofErr w:type="gramStart"/>
      <w:r w:rsidRPr="00634CBB">
        <w:rPr>
          <w:rFonts w:ascii="Garamond" w:hAnsi="Garamond" w:cs="Times New Roman"/>
          <w:color w:val="000000" w:themeColor="text1"/>
        </w:rPr>
        <w:t>letterale</w:t>
      </w:r>
      <w:r w:rsidR="00BD22B6" w:rsidRPr="00634CBB">
        <w:rPr>
          <w:rFonts w:ascii="Garamond" w:hAnsi="Garamond" w:cs="Times New Roman"/>
          <w:color w:val="000000" w:themeColor="text1"/>
        </w:rPr>
        <w:t xml:space="preserve"> </w:t>
      </w:r>
      <w:r w:rsidR="00BD22B6" w:rsidRPr="00634CBB">
        <w:rPr>
          <w:rStyle w:val="Rimandonotaapidipagina"/>
          <w:rFonts w:ascii="Garamond" w:hAnsi="Garamond" w:cs="Times New Roman"/>
          <w:color w:val="000000" w:themeColor="text1"/>
        </w:rPr>
        <w:footnoteReference w:id="37"/>
      </w:r>
      <w:r w:rsidRPr="00634CBB">
        <w:rPr>
          <w:rFonts w:ascii="Garamond" w:hAnsi="Garamond" w:cs="Times New Roman"/>
          <w:color w:val="000000" w:themeColor="text1"/>
        </w:rPr>
        <w:t>.</w:t>
      </w:r>
      <w:proofErr w:type="gramEnd"/>
      <w:r w:rsidR="00BD22B6" w:rsidRPr="00634CBB">
        <w:rPr>
          <w:rFonts w:ascii="Garamond" w:hAnsi="Garamond" w:cs="Times New Roman"/>
          <w:color w:val="000000" w:themeColor="text1"/>
        </w:rPr>
        <w:t xml:space="preserve"> </w:t>
      </w:r>
    </w:p>
    <w:p w:rsidR="00875837" w:rsidRPr="00634CBB" w:rsidRDefault="00AF1767" w:rsidP="00875837">
      <w:pPr>
        <w:spacing w:line="360" w:lineRule="auto"/>
        <w:ind w:left="851" w:right="851"/>
        <w:jc w:val="both"/>
        <w:rPr>
          <w:rFonts w:ascii="Garamond" w:hAnsi="Garamond" w:cs="Times New Roman"/>
          <w:color w:val="000000"/>
        </w:rPr>
      </w:pPr>
      <w:r w:rsidRPr="00634CBB">
        <w:rPr>
          <w:rFonts w:ascii="Garamond" w:hAnsi="Garamond" w:cs="Times New Roman"/>
          <w:color w:val="000000" w:themeColor="text1"/>
        </w:rPr>
        <w:t xml:space="preserve">In merito </w:t>
      </w:r>
      <w:r w:rsidR="00875837" w:rsidRPr="00634CBB">
        <w:rPr>
          <w:rFonts w:ascii="Garamond" w:hAnsi="Garamond" w:cs="Times New Roman"/>
          <w:color w:val="000000" w:themeColor="text1"/>
        </w:rPr>
        <w:t>all’argomento degli effetti</w:t>
      </w:r>
      <w:r w:rsidR="00875837" w:rsidRPr="00634CBB">
        <w:rPr>
          <w:rFonts w:ascii="Garamond" w:hAnsi="Garamond" w:cs="Times New Roman"/>
          <w:color w:val="000000"/>
        </w:rPr>
        <w:t xml:space="preserve"> pratici </w:t>
      </w:r>
      <w:r w:rsidR="00396360" w:rsidRPr="00634CBB">
        <w:rPr>
          <w:rFonts w:ascii="Garamond" w:hAnsi="Garamond" w:cs="Times New Roman"/>
          <w:color w:val="000000"/>
        </w:rPr>
        <w:t>conseguenti a</w:t>
      </w:r>
      <w:r w:rsidR="00875837" w:rsidRPr="00634CBB">
        <w:rPr>
          <w:rFonts w:ascii="Garamond" w:hAnsi="Garamond" w:cs="Times New Roman"/>
          <w:color w:val="000000"/>
        </w:rPr>
        <w:t xml:space="preserve">ll’accesso civico generalizzato, avuto riguardo al regime di pubblicità dei dati e dei documenti acquisiti </w:t>
      </w:r>
      <w:r w:rsidR="001E558F" w:rsidRPr="00634CBB">
        <w:rPr>
          <w:rFonts w:ascii="Garamond" w:hAnsi="Garamond" w:cs="Times New Roman"/>
          <w:color w:val="000000"/>
        </w:rPr>
        <w:t xml:space="preserve">di cui </w:t>
      </w:r>
      <w:r w:rsidR="00875837" w:rsidRPr="00634CBB">
        <w:rPr>
          <w:rFonts w:ascii="Garamond" w:hAnsi="Garamond" w:cs="Times New Roman"/>
          <w:color w:val="000000"/>
        </w:rPr>
        <w:t>all’art. 3 c. 1 D.Lgs. 33/</w:t>
      </w:r>
      <w:proofErr w:type="gramStart"/>
      <w:r w:rsidR="00875837" w:rsidRPr="00634CBB">
        <w:rPr>
          <w:rFonts w:ascii="Garamond" w:hAnsi="Garamond" w:cs="Times New Roman"/>
          <w:color w:val="000000"/>
        </w:rPr>
        <w:t xml:space="preserve">2013 </w:t>
      </w:r>
      <w:r w:rsidR="00875837" w:rsidRPr="00634CBB">
        <w:rPr>
          <w:rStyle w:val="Rimandonotaapidipagina"/>
          <w:rFonts w:ascii="Garamond" w:hAnsi="Garamond" w:cs="Times New Roman"/>
          <w:color w:val="000000"/>
        </w:rPr>
        <w:footnoteReference w:id="38"/>
      </w:r>
      <w:r w:rsidR="00875837" w:rsidRPr="00634CBB">
        <w:rPr>
          <w:rFonts w:ascii="Garamond" w:hAnsi="Garamond" w:cs="Times New Roman"/>
          <w:color w:val="000000"/>
        </w:rPr>
        <w:t>,</w:t>
      </w:r>
      <w:proofErr w:type="gramEnd"/>
      <w:r w:rsidR="00875837" w:rsidRPr="00634CBB">
        <w:rPr>
          <w:rFonts w:ascii="Garamond" w:hAnsi="Garamond" w:cs="Times New Roman"/>
          <w:color w:val="000000"/>
        </w:rPr>
        <w:t xml:space="preserve"> </w:t>
      </w:r>
      <w:r w:rsidR="00292619" w:rsidRPr="00634CBB">
        <w:rPr>
          <w:rFonts w:ascii="Garamond" w:hAnsi="Garamond" w:cs="Times New Roman"/>
          <w:color w:val="000000"/>
        </w:rPr>
        <w:t>trattasi di un aspetto fisiolog</w:t>
      </w:r>
      <w:r w:rsidR="00396360" w:rsidRPr="00634CBB">
        <w:rPr>
          <w:rFonts w:ascii="Garamond" w:hAnsi="Garamond" w:cs="Times New Roman"/>
          <w:color w:val="000000"/>
        </w:rPr>
        <w:t xml:space="preserve">ico dell’istituto dal quale non è </w:t>
      </w:r>
      <w:r w:rsidR="001E558F" w:rsidRPr="00634CBB">
        <w:rPr>
          <w:rFonts w:ascii="Garamond" w:hAnsi="Garamond" w:cs="Times New Roman"/>
          <w:color w:val="000000"/>
        </w:rPr>
        <w:t>possibile desumer</w:t>
      </w:r>
      <w:r w:rsidR="00396360" w:rsidRPr="00634CBB">
        <w:rPr>
          <w:rFonts w:ascii="Garamond" w:hAnsi="Garamond" w:cs="Times New Roman"/>
          <w:color w:val="000000"/>
        </w:rPr>
        <w:t>e ulteriori e non previste limitazioni del diritto, confermando tutt’al più la (g</w:t>
      </w:r>
      <w:r w:rsidR="001E558F" w:rsidRPr="00634CBB">
        <w:rPr>
          <w:rFonts w:ascii="Garamond" w:hAnsi="Garamond" w:cs="Times New Roman"/>
          <w:color w:val="000000"/>
        </w:rPr>
        <w:t>ià nota) necessità di un attenta e ponderata</w:t>
      </w:r>
      <w:r w:rsidR="00396360" w:rsidRPr="00634CBB">
        <w:rPr>
          <w:rFonts w:ascii="Garamond" w:hAnsi="Garamond" w:cs="Times New Roman"/>
          <w:color w:val="000000"/>
        </w:rPr>
        <w:t xml:space="preserve"> </w:t>
      </w:r>
      <w:r w:rsidR="001E558F" w:rsidRPr="00634CBB">
        <w:rPr>
          <w:rFonts w:ascii="Garamond" w:hAnsi="Garamond" w:cs="Times New Roman"/>
          <w:color w:val="000000"/>
        </w:rPr>
        <w:t xml:space="preserve">valutazione degli </w:t>
      </w:r>
      <w:r w:rsidR="00396360" w:rsidRPr="00634CBB">
        <w:rPr>
          <w:rFonts w:ascii="Garamond" w:hAnsi="Garamond" w:cs="Times New Roman"/>
          <w:color w:val="000000"/>
        </w:rPr>
        <w:t>interessi in gioco, anche considerato che colui che intende utilizzare o riutilizzare i dati acquisiti ha comunque l’obbligo di citarne la fonte e rispettarne l’integrità, nonché di effettuarne il “trattamento” nei limiti derivanti dal Codice per la privacy.</w:t>
      </w:r>
    </w:p>
    <w:p w:rsidR="00AF1767" w:rsidRPr="00634CBB" w:rsidRDefault="00AF1767" w:rsidP="00875837">
      <w:pPr>
        <w:spacing w:line="360" w:lineRule="auto"/>
        <w:ind w:left="851" w:right="851"/>
        <w:jc w:val="both"/>
        <w:rPr>
          <w:rFonts w:ascii="Garamond" w:hAnsi="Garamond" w:cs="Times New Roman"/>
          <w:color w:val="000000"/>
        </w:rPr>
      </w:pPr>
      <w:r w:rsidRPr="00634CBB">
        <w:rPr>
          <w:rFonts w:ascii="Garamond" w:hAnsi="Garamond" w:cs="Times New Roman"/>
          <w:color w:val="000000"/>
        </w:rPr>
        <w:t>Quanto, infine, al ri</w:t>
      </w:r>
      <w:r w:rsidR="00292619" w:rsidRPr="00634CBB">
        <w:rPr>
          <w:rFonts w:ascii="Garamond" w:hAnsi="Garamond" w:cs="Times New Roman"/>
          <w:color w:val="000000"/>
        </w:rPr>
        <w:t>chiamo de</w:t>
      </w:r>
      <w:r w:rsidRPr="00634CBB">
        <w:rPr>
          <w:rFonts w:ascii="Garamond" w:hAnsi="Garamond" w:cs="Times New Roman"/>
          <w:color w:val="000000"/>
        </w:rPr>
        <w:t xml:space="preserve">gli ultimi approdi </w:t>
      </w:r>
      <w:r w:rsidR="001E558F" w:rsidRPr="00634CBB">
        <w:rPr>
          <w:rFonts w:ascii="Garamond" w:hAnsi="Garamond" w:cs="Times New Roman"/>
          <w:color w:val="000000"/>
        </w:rPr>
        <w:t>della Corte eu</w:t>
      </w:r>
      <w:r w:rsidRPr="00634CBB">
        <w:rPr>
          <w:rFonts w:ascii="Garamond" w:hAnsi="Garamond" w:cs="Times New Roman"/>
          <w:color w:val="000000"/>
        </w:rPr>
        <w:t>ropea dei diritti dell’uomo, secondo</w:t>
      </w:r>
      <w:r w:rsidR="001E558F" w:rsidRPr="00634CBB">
        <w:rPr>
          <w:rFonts w:ascii="Garamond" w:hAnsi="Garamond" w:cs="Times New Roman"/>
          <w:color w:val="000000"/>
        </w:rPr>
        <w:t xml:space="preserve"> la quale l’art. 10 della Cedu garantisce la “liberta di informazione” al cittadino nei confronti della P.A. soltanto se e quando l’esigenza conoscitiva attiene a “questioni di interesse pubblico”</w:t>
      </w:r>
      <w:r w:rsidRPr="00634CBB">
        <w:rPr>
          <w:rFonts w:ascii="Garamond" w:hAnsi="Garamond" w:cs="Times New Roman"/>
          <w:color w:val="000000"/>
        </w:rPr>
        <w:t>, anche questo argomento sembra provare troppo, non dando conto della complessità del tema.</w:t>
      </w:r>
    </w:p>
    <w:p w:rsidR="00AF1767" w:rsidRPr="00634CBB" w:rsidRDefault="00292619" w:rsidP="00875837">
      <w:pPr>
        <w:spacing w:line="360" w:lineRule="auto"/>
        <w:ind w:left="851" w:right="851"/>
        <w:jc w:val="both"/>
        <w:rPr>
          <w:rFonts w:ascii="Garamond" w:hAnsi="Garamond" w:cs="Times New Roman"/>
          <w:color w:val="000000"/>
        </w:rPr>
      </w:pPr>
      <w:r w:rsidRPr="00634CBB">
        <w:rPr>
          <w:rFonts w:ascii="Garamond" w:hAnsi="Garamond" w:cs="Times New Roman"/>
          <w:color w:val="000000"/>
        </w:rPr>
        <w:t xml:space="preserve">Va, invero, </w:t>
      </w:r>
      <w:r w:rsidR="00AF1767" w:rsidRPr="00634CBB">
        <w:rPr>
          <w:rFonts w:ascii="Garamond" w:hAnsi="Garamond" w:cs="Times New Roman"/>
          <w:color w:val="000000"/>
        </w:rPr>
        <w:t xml:space="preserve">considerato che l’evoluzione giurisprudenziale cui ci </w:t>
      </w:r>
      <w:r w:rsidRPr="00634CBB">
        <w:rPr>
          <w:rFonts w:ascii="Garamond" w:hAnsi="Garamond" w:cs="Times New Roman"/>
          <w:color w:val="000000"/>
        </w:rPr>
        <w:t xml:space="preserve">si </w:t>
      </w:r>
      <w:r w:rsidR="00AF1767" w:rsidRPr="00634CBB">
        <w:rPr>
          <w:rFonts w:ascii="Garamond" w:hAnsi="Garamond" w:cs="Times New Roman"/>
          <w:color w:val="000000"/>
        </w:rPr>
        <w:t>riferisce attiene all’individuazione di quel livello di garanzia minima (“diritti fondamentali dell’uomo”) rispetto al quale è vietata l</w:t>
      </w:r>
      <w:proofErr w:type="gramStart"/>
      <w:r w:rsidR="00AF1767" w:rsidRPr="00634CBB">
        <w:rPr>
          <w:rFonts w:ascii="Garamond" w:hAnsi="Garamond" w:cs="Times New Roman"/>
          <w:color w:val="000000"/>
        </w:rPr>
        <w:t>’</w:t>
      </w:r>
      <w:r w:rsidR="00AF1767" w:rsidRPr="00634CBB">
        <w:rPr>
          <w:rFonts w:ascii="Garamond" w:hAnsi="Garamond" w:cs="Times New Roman"/>
          <w:i/>
          <w:color w:val="000000"/>
        </w:rPr>
        <w:t>”ingerenza</w:t>
      </w:r>
      <w:proofErr w:type="gramEnd"/>
      <w:r w:rsidR="00AF1767" w:rsidRPr="00634CBB">
        <w:rPr>
          <w:rFonts w:ascii="Garamond" w:hAnsi="Garamond" w:cs="Times New Roman"/>
          <w:i/>
          <w:color w:val="000000"/>
        </w:rPr>
        <w:t xml:space="preserve"> da parte delle autorità pubbliche”</w:t>
      </w:r>
      <w:r w:rsidR="00150BDC" w:rsidRPr="00634CBB">
        <w:rPr>
          <w:rFonts w:ascii="Garamond" w:hAnsi="Garamond" w:cs="Times New Roman"/>
          <w:color w:val="000000"/>
        </w:rPr>
        <w:t xml:space="preserve">, ma non impedisce affatto la previsione di una diversa e più ampia tutela del diritto di accesso da parte degli Stati nazionali </w:t>
      </w:r>
      <w:r w:rsidR="00150BDC" w:rsidRPr="00634CBB">
        <w:rPr>
          <w:rStyle w:val="Rimandonotaapidipagina"/>
          <w:rFonts w:ascii="Garamond" w:hAnsi="Garamond" w:cs="Times New Roman"/>
          <w:color w:val="000000"/>
        </w:rPr>
        <w:footnoteReference w:id="39"/>
      </w:r>
      <w:r w:rsidR="00150BDC" w:rsidRPr="00634CBB">
        <w:rPr>
          <w:rFonts w:ascii="Garamond" w:hAnsi="Garamond" w:cs="Times New Roman"/>
          <w:color w:val="000000"/>
        </w:rPr>
        <w:t>.</w:t>
      </w:r>
      <w:r w:rsidR="00AF1767" w:rsidRPr="00634CBB">
        <w:rPr>
          <w:rFonts w:ascii="Garamond" w:hAnsi="Garamond" w:cs="Times New Roman"/>
          <w:color w:val="000000"/>
        </w:rPr>
        <w:t xml:space="preserve">  </w:t>
      </w:r>
    </w:p>
    <w:p w:rsidR="00E350B8" w:rsidRPr="00634CBB" w:rsidRDefault="004C3AD8" w:rsidP="00875837">
      <w:pPr>
        <w:spacing w:line="360" w:lineRule="auto"/>
        <w:ind w:left="851" w:right="851"/>
        <w:jc w:val="both"/>
        <w:rPr>
          <w:rFonts w:ascii="Garamond" w:hAnsi="Garamond" w:cs="Times New Roman"/>
          <w:color w:val="000000"/>
        </w:rPr>
      </w:pPr>
      <w:r w:rsidRPr="00634CBB">
        <w:rPr>
          <w:rFonts w:ascii="Garamond" w:hAnsi="Garamond" w:cs="Times New Roman"/>
          <w:color w:val="000000"/>
        </w:rPr>
        <w:lastRenderedPageBreak/>
        <w:t xml:space="preserve">In secondo luogo ed in ogni caso, secondo la stessa Corte europea dei diritti dell’uomo, la “finalità della richiesta” è soltanto uno dei sintomi rivelatori </w:t>
      </w:r>
      <w:r w:rsidR="00E350B8" w:rsidRPr="00634CBB">
        <w:rPr>
          <w:rFonts w:ascii="Garamond" w:hAnsi="Garamond" w:cs="Times New Roman"/>
          <w:color w:val="000000"/>
        </w:rPr>
        <w:t>della strumentalità del diritto di accesso rispetto alla “libertà di espressione”, a cui va affiancato il criterio oggettivo dell</w:t>
      </w:r>
      <w:proofErr w:type="gramStart"/>
      <w:r w:rsidR="00E350B8" w:rsidRPr="00634CBB">
        <w:rPr>
          <w:rFonts w:ascii="Garamond" w:hAnsi="Garamond" w:cs="Times New Roman"/>
          <w:color w:val="000000"/>
        </w:rPr>
        <w:t>’”interesse</w:t>
      </w:r>
      <w:proofErr w:type="gramEnd"/>
      <w:r w:rsidR="00E350B8" w:rsidRPr="00634CBB">
        <w:rPr>
          <w:rFonts w:ascii="Garamond" w:hAnsi="Garamond" w:cs="Times New Roman"/>
          <w:color w:val="000000"/>
        </w:rPr>
        <w:t xml:space="preserve"> pubblico o generale” delle informazioni (vertenti su questioni riguardanti il benessere dei cittadini e la vita della comunità) </w:t>
      </w:r>
      <w:r w:rsidR="00E350B8" w:rsidRPr="00634CBB">
        <w:rPr>
          <w:rStyle w:val="Rimandonotaapidipagina"/>
          <w:rFonts w:ascii="Garamond" w:hAnsi="Garamond" w:cs="Times New Roman"/>
          <w:color w:val="000000"/>
        </w:rPr>
        <w:footnoteReference w:id="40"/>
      </w:r>
      <w:r w:rsidR="00E350B8" w:rsidRPr="00634CBB">
        <w:rPr>
          <w:rFonts w:ascii="Garamond" w:hAnsi="Garamond" w:cs="Times New Roman"/>
          <w:color w:val="000000"/>
        </w:rPr>
        <w:t>.</w:t>
      </w:r>
    </w:p>
    <w:p w:rsidR="00E350B8" w:rsidRPr="00634CBB" w:rsidRDefault="00E350B8" w:rsidP="00875837">
      <w:pPr>
        <w:spacing w:line="360" w:lineRule="auto"/>
        <w:ind w:left="851" w:right="851"/>
        <w:jc w:val="both"/>
        <w:rPr>
          <w:rFonts w:ascii="Garamond" w:hAnsi="Garamond" w:cs="Times New Roman"/>
          <w:color w:val="000000"/>
        </w:rPr>
      </w:pPr>
      <w:r w:rsidRPr="00634CBB">
        <w:rPr>
          <w:rFonts w:ascii="Garamond" w:hAnsi="Garamond" w:cs="Times New Roman"/>
          <w:color w:val="000000"/>
        </w:rPr>
        <w:t>Qualificazione rimessa alle singole legislazioni degli Stati membri, ai quali spetta individuare la rilevanza pubblica dei dati e dei documenti</w:t>
      </w:r>
      <w:r w:rsidR="006D19BA" w:rsidRPr="00634CBB">
        <w:rPr>
          <w:rFonts w:ascii="Garamond" w:hAnsi="Garamond" w:cs="Times New Roman"/>
          <w:color w:val="000000"/>
        </w:rPr>
        <w:t xml:space="preserve"> detenuti dalla pubblica autorità.</w:t>
      </w:r>
      <w:r w:rsidRPr="00634CBB">
        <w:rPr>
          <w:rFonts w:ascii="Garamond" w:hAnsi="Garamond" w:cs="Times New Roman"/>
          <w:color w:val="000000"/>
        </w:rPr>
        <w:t xml:space="preserve"> </w:t>
      </w:r>
    </w:p>
    <w:p w:rsidR="005C0B33" w:rsidRPr="00634CBB" w:rsidRDefault="00E350B8" w:rsidP="005C0B3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rPr>
        <w:t xml:space="preserve"> </w:t>
      </w:r>
      <w:r w:rsidR="00B269A4" w:rsidRPr="00634CBB">
        <w:rPr>
          <w:rFonts w:ascii="Garamond" w:hAnsi="Garamond" w:cs="Times New Roman"/>
          <w:color w:val="000000" w:themeColor="text1"/>
        </w:rPr>
        <w:t xml:space="preserve">In conclusione, </w:t>
      </w:r>
      <w:r w:rsidR="00396360" w:rsidRPr="00634CBB">
        <w:rPr>
          <w:rFonts w:ascii="Garamond" w:hAnsi="Garamond" w:cs="Times New Roman"/>
          <w:color w:val="000000" w:themeColor="text1"/>
        </w:rPr>
        <w:t xml:space="preserve">non sembrano esservi elementi </w:t>
      </w:r>
      <w:r w:rsidR="003C1E9C" w:rsidRPr="00634CBB">
        <w:rPr>
          <w:rFonts w:ascii="Garamond" w:hAnsi="Garamond" w:cs="Times New Roman"/>
          <w:color w:val="000000" w:themeColor="text1"/>
        </w:rPr>
        <w:t>che possano autorizzare l’interprete a mettere in discussione il connotato a-causale</w:t>
      </w:r>
      <w:r w:rsidR="007D42C4" w:rsidRPr="00634CBB">
        <w:rPr>
          <w:rFonts w:ascii="Garamond" w:hAnsi="Garamond" w:cs="Times New Roman"/>
          <w:color w:val="000000" w:themeColor="text1"/>
        </w:rPr>
        <w:t xml:space="preserve"> dell’istituto</w:t>
      </w:r>
      <w:r w:rsidR="005C0B33" w:rsidRPr="00634CBB">
        <w:rPr>
          <w:rFonts w:ascii="Garamond" w:hAnsi="Garamond" w:cs="Times New Roman"/>
          <w:color w:val="000000" w:themeColor="text1"/>
        </w:rPr>
        <w:t xml:space="preserve"> configurato dalla norma</w:t>
      </w:r>
      <w:r w:rsidR="007D42C4" w:rsidRPr="00634CBB">
        <w:rPr>
          <w:rFonts w:ascii="Garamond" w:hAnsi="Garamond" w:cs="Times New Roman"/>
          <w:color w:val="000000" w:themeColor="text1"/>
        </w:rPr>
        <w:t xml:space="preserve">, </w:t>
      </w:r>
      <w:r w:rsidR="005C0B33" w:rsidRPr="00634CBB">
        <w:rPr>
          <w:rFonts w:ascii="Garamond" w:hAnsi="Garamond" w:cs="Times New Roman"/>
          <w:color w:val="000000" w:themeColor="text1"/>
        </w:rPr>
        <w:t xml:space="preserve">tutto </w:t>
      </w:r>
      <w:r w:rsidR="003C1E9C" w:rsidRPr="00634CBB">
        <w:rPr>
          <w:rFonts w:ascii="Garamond" w:hAnsi="Garamond" w:cs="Times New Roman"/>
          <w:color w:val="000000" w:themeColor="text1"/>
        </w:rPr>
        <w:t xml:space="preserve">deponendo </w:t>
      </w:r>
      <w:r w:rsidR="007D42C4" w:rsidRPr="00634CBB">
        <w:rPr>
          <w:rFonts w:ascii="Garamond" w:hAnsi="Garamond" w:cs="Times New Roman"/>
          <w:color w:val="000000" w:themeColor="text1"/>
        </w:rPr>
        <w:t xml:space="preserve">nel senso </w:t>
      </w:r>
      <w:r w:rsidR="003C1E9C" w:rsidRPr="00634CBB">
        <w:rPr>
          <w:rFonts w:ascii="Garamond" w:hAnsi="Garamond" w:cs="Times New Roman"/>
          <w:color w:val="000000" w:themeColor="text1"/>
        </w:rPr>
        <w:t>della assoluta irrilevanza del</w:t>
      </w:r>
      <w:r w:rsidR="007D42C4" w:rsidRPr="00634CBB">
        <w:rPr>
          <w:rFonts w:ascii="Garamond" w:hAnsi="Garamond" w:cs="Times New Roman"/>
          <w:color w:val="000000" w:themeColor="text1"/>
        </w:rPr>
        <w:t xml:space="preserve">le finalità della richiesta e </w:t>
      </w:r>
      <w:r w:rsidR="003C1E9C" w:rsidRPr="00634CBB">
        <w:rPr>
          <w:rFonts w:ascii="Garamond" w:hAnsi="Garamond" w:cs="Times New Roman"/>
          <w:color w:val="000000" w:themeColor="text1"/>
        </w:rPr>
        <w:t>del</w:t>
      </w:r>
      <w:r w:rsidR="007D42C4" w:rsidRPr="00634CBB">
        <w:rPr>
          <w:rFonts w:ascii="Garamond" w:hAnsi="Garamond" w:cs="Times New Roman"/>
          <w:color w:val="000000" w:themeColor="text1"/>
        </w:rPr>
        <w:t xml:space="preserve">le effettive motivazioni dell’istante </w:t>
      </w:r>
      <w:r w:rsidR="003C1E9C" w:rsidRPr="00634CBB">
        <w:rPr>
          <w:rFonts w:ascii="Garamond" w:hAnsi="Garamond" w:cs="Times New Roman"/>
          <w:color w:val="000000" w:themeColor="text1"/>
        </w:rPr>
        <w:t>n</w:t>
      </w:r>
      <w:r w:rsidR="007D42C4" w:rsidRPr="00634CBB">
        <w:rPr>
          <w:rFonts w:ascii="Garamond" w:hAnsi="Garamond" w:cs="Times New Roman"/>
          <w:color w:val="000000" w:themeColor="text1"/>
        </w:rPr>
        <w:t>ella ponder</w:t>
      </w:r>
      <w:r w:rsidR="00B269A4" w:rsidRPr="00634CBB">
        <w:rPr>
          <w:rFonts w:ascii="Garamond" w:hAnsi="Garamond" w:cs="Times New Roman"/>
          <w:color w:val="000000" w:themeColor="text1"/>
        </w:rPr>
        <w:t xml:space="preserve">azione degli interessi in gioco </w:t>
      </w:r>
      <w:r w:rsidR="003C1E9C" w:rsidRPr="00634CBB">
        <w:rPr>
          <w:rFonts w:ascii="Garamond" w:hAnsi="Garamond" w:cs="Times New Roman"/>
          <w:color w:val="000000" w:themeColor="text1"/>
        </w:rPr>
        <w:t xml:space="preserve">necessaria per </w:t>
      </w:r>
      <w:r w:rsidR="007D42C4" w:rsidRPr="00634CBB">
        <w:rPr>
          <w:rFonts w:ascii="Garamond" w:hAnsi="Garamond" w:cs="Times New Roman"/>
          <w:color w:val="000000" w:themeColor="text1"/>
        </w:rPr>
        <w:t>l’applicazione</w:t>
      </w:r>
      <w:r w:rsidR="00B269A4" w:rsidRPr="00634CBB">
        <w:rPr>
          <w:rFonts w:ascii="Garamond" w:hAnsi="Garamond" w:cs="Times New Roman"/>
          <w:color w:val="000000" w:themeColor="text1"/>
        </w:rPr>
        <w:t xml:space="preserve"> delle </w:t>
      </w:r>
      <w:r w:rsidR="00292619" w:rsidRPr="00634CBB">
        <w:rPr>
          <w:rFonts w:ascii="Garamond" w:hAnsi="Garamond" w:cs="Times New Roman"/>
          <w:color w:val="000000" w:themeColor="text1"/>
        </w:rPr>
        <w:t>limitazioni</w:t>
      </w:r>
      <w:r w:rsidR="00B269A4" w:rsidRPr="00634CBB">
        <w:rPr>
          <w:rFonts w:ascii="Garamond" w:hAnsi="Garamond" w:cs="Times New Roman"/>
          <w:color w:val="000000" w:themeColor="text1"/>
        </w:rPr>
        <w:t xml:space="preserve"> previste dall’art. 5-bis</w:t>
      </w:r>
      <w:r w:rsidR="003C1E9C" w:rsidRPr="00634CBB">
        <w:rPr>
          <w:rFonts w:ascii="Garamond" w:hAnsi="Garamond" w:cs="Times New Roman"/>
          <w:color w:val="000000" w:themeColor="text1"/>
        </w:rPr>
        <w:t xml:space="preserve"> D.Lgs. 33/2013.</w:t>
      </w:r>
      <w:r w:rsidR="00B269A4" w:rsidRPr="00634CBB">
        <w:rPr>
          <w:rFonts w:ascii="Garamond" w:hAnsi="Garamond" w:cs="Times New Roman"/>
          <w:color w:val="000000" w:themeColor="text1"/>
        </w:rPr>
        <w:t xml:space="preserve"> </w:t>
      </w:r>
    </w:p>
    <w:p w:rsidR="009C7DC5" w:rsidRPr="00634CBB" w:rsidRDefault="005C0B33" w:rsidP="005C0B33">
      <w:pPr>
        <w:spacing w:line="360" w:lineRule="auto"/>
        <w:ind w:left="851" w:right="851"/>
        <w:jc w:val="both"/>
        <w:rPr>
          <w:rFonts w:ascii="Garamond" w:hAnsi="Garamond" w:cs="Times New Roman"/>
        </w:rPr>
      </w:pPr>
      <w:r w:rsidRPr="00634CBB">
        <w:rPr>
          <w:rFonts w:ascii="Garamond" w:eastAsia="Cambria" w:hAnsi="Garamond" w:cs="Times New Roman"/>
          <w:color w:val="000000" w:themeColor="text1"/>
        </w:rPr>
        <w:t xml:space="preserve">Lo conferma il fatto che </w:t>
      </w:r>
      <w:r w:rsidRPr="00634CBB">
        <w:rPr>
          <w:rFonts w:ascii="Garamond" w:hAnsi="Garamond" w:cs="Times New Roman"/>
          <w:color w:val="000000"/>
        </w:rPr>
        <w:t xml:space="preserve">l’unico criterio che </w:t>
      </w:r>
      <w:r w:rsidR="009C7DC5" w:rsidRPr="00634CBB">
        <w:rPr>
          <w:rFonts w:ascii="Garamond" w:hAnsi="Garamond" w:cs="Times New Roman"/>
          <w:color w:val="000000"/>
        </w:rPr>
        <w:t>la norma indica</w:t>
      </w:r>
      <w:r w:rsidRPr="00634CBB">
        <w:rPr>
          <w:rFonts w:ascii="Garamond" w:hAnsi="Garamond" w:cs="Times New Roman"/>
          <w:color w:val="000000"/>
        </w:rPr>
        <w:t xml:space="preserve"> per la </w:t>
      </w:r>
      <w:r w:rsidRPr="00634CBB">
        <w:rPr>
          <w:rFonts w:ascii="Garamond" w:hAnsi="Garamond" w:cs="Times New Roman"/>
        </w:rPr>
        <w:t xml:space="preserve">ponderazione degli interessi in gioco è quello del </w:t>
      </w:r>
      <w:r w:rsidRPr="00634CBB">
        <w:rPr>
          <w:rFonts w:ascii="Garamond" w:hAnsi="Garamond" w:cs="Times New Roman"/>
          <w:i/>
        </w:rPr>
        <w:t>“pregiudizio concreto”</w:t>
      </w:r>
      <w:r w:rsidRPr="00634CBB">
        <w:rPr>
          <w:rFonts w:ascii="Garamond" w:hAnsi="Garamond" w:cs="Times New Roman"/>
        </w:rPr>
        <w:t xml:space="preserve"> </w:t>
      </w:r>
      <w:r w:rsidR="009C7DC5" w:rsidRPr="00634CBB">
        <w:rPr>
          <w:rFonts w:ascii="Garamond" w:hAnsi="Garamond" w:cs="Times New Roman"/>
        </w:rPr>
        <w:t>di</w:t>
      </w:r>
      <w:r w:rsidRPr="00634CBB">
        <w:rPr>
          <w:rFonts w:ascii="Garamond" w:hAnsi="Garamond" w:cs="Times New Roman"/>
        </w:rPr>
        <w:t xml:space="preserve"> determinati interessi (</w:t>
      </w:r>
      <w:r w:rsidRPr="00634CBB">
        <w:rPr>
          <w:rFonts w:ascii="Garamond" w:hAnsi="Garamond" w:cs="Times New Roman"/>
          <w:i/>
        </w:rPr>
        <w:t>“se il diniego è necessario per evitare un pregiudizio concreto alla tutela …</w:t>
      </w:r>
      <w:r w:rsidRPr="00634CBB">
        <w:rPr>
          <w:rFonts w:ascii="Garamond" w:hAnsi="Garamond" w:cs="Times New Roman"/>
        </w:rPr>
        <w:t xml:space="preserve">”), mentre è del tutto evidente che se </w:t>
      </w:r>
      <w:r w:rsidR="009C7DC5" w:rsidRPr="00634CBB">
        <w:rPr>
          <w:rFonts w:ascii="Garamond" w:hAnsi="Garamond" w:cs="Times New Roman"/>
        </w:rPr>
        <w:t>il Legislatore avesse inteso</w:t>
      </w:r>
      <w:r w:rsidRPr="00634CBB">
        <w:rPr>
          <w:rFonts w:ascii="Garamond" w:hAnsi="Garamond" w:cs="Times New Roman"/>
        </w:rPr>
        <w:t xml:space="preserve"> “relativizzare” l’interesse conoscitivo dando rilievo alla </w:t>
      </w:r>
      <w:r w:rsidR="009C7DC5" w:rsidRPr="00634CBB">
        <w:rPr>
          <w:rFonts w:ascii="Garamond" w:hAnsi="Garamond" w:cs="Times New Roman"/>
        </w:rPr>
        <w:t xml:space="preserve">specifica </w:t>
      </w:r>
      <w:r w:rsidRPr="00634CBB">
        <w:rPr>
          <w:rFonts w:ascii="Garamond" w:hAnsi="Garamond" w:cs="Times New Roman"/>
        </w:rPr>
        <w:t xml:space="preserve">“finalità” della richiesta, avrebbe indicato anche </w:t>
      </w:r>
      <w:r w:rsidR="009C7DC5" w:rsidRPr="00634CBB">
        <w:rPr>
          <w:rFonts w:ascii="Garamond" w:hAnsi="Garamond" w:cs="Times New Roman"/>
        </w:rPr>
        <w:t xml:space="preserve">(o solo) </w:t>
      </w:r>
      <w:r w:rsidRPr="00634CBB">
        <w:rPr>
          <w:rFonts w:ascii="Garamond" w:hAnsi="Garamond" w:cs="Times New Roman"/>
        </w:rPr>
        <w:t xml:space="preserve">un diverso </w:t>
      </w:r>
      <w:r w:rsidR="00806615" w:rsidRPr="00634CBB">
        <w:rPr>
          <w:rFonts w:ascii="Garamond" w:hAnsi="Garamond" w:cs="Times New Roman"/>
        </w:rPr>
        <w:t>(</w:t>
      </w:r>
      <w:r w:rsidRPr="00634CBB">
        <w:rPr>
          <w:rFonts w:ascii="Garamond" w:hAnsi="Garamond" w:cs="Times New Roman"/>
        </w:rPr>
        <w:t>ed ulteriore</w:t>
      </w:r>
      <w:r w:rsidR="00806615" w:rsidRPr="00634CBB">
        <w:rPr>
          <w:rFonts w:ascii="Garamond" w:hAnsi="Garamond" w:cs="Times New Roman"/>
        </w:rPr>
        <w:t>)</w:t>
      </w:r>
      <w:r w:rsidRPr="00634CBB">
        <w:rPr>
          <w:rFonts w:ascii="Garamond" w:hAnsi="Garamond" w:cs="Times New Roman"/>
        </w:rPr>
        <w:t xml:space="preserve"> criterio, come </w:t>
      </w:r>
      <w:r w:rsidR="009C7DC5" w:rsidRPr="00634CBB">
        <w:rPr>
          <w:rFonts w:ascii="Garamond" w:hAnsi="Garamond" w:cs="Times New Roman"/>
        </w:rPr>
        <w:t>prevede, ad esempio,</w:t>
      </w:r>
      <w:r w:rsidRPr="00634CBB">
        <w:rPr>
          <w:rFonts w:ascii="Garamond" w:hAnsi="Garamond" w:cs="Times New Roman"/>
        </w:rPr>
        <w:t xml:space="preserve"> </w:t>
      </w:r>
      <w:r w:rsidR="009C7DC5" w:rsidRPr="00634CBB">
        <w:rPr>
          <w:rFonts w:ascii="Garamond" w:hAnsi="Garamond" w:cs="Times New Roman"/>
        </w:rPr>
        <w:t>l’</w:t>
      </w:r>
      <w:r w:rsidRPr="00634CBB">
        <w:rPr>
          <w:rFonts w:ascii="Garamond" w:hAnsi="Garamond" w:cs="Times New Roman"/>
        </w:rPr>
        <w:t xml:space="preserve">art. 4 </w:t>
      </w:r>
      <w:r w:rsidR="009C7DC5" w:rsidRPr="00634CBB">
        <w:rPr>
          <w:rFonts w:ascii="Garamond" w:hAnsi="Garamond" w:cs="Times New Roman"/>
        </w:rPr>
        <w:t>del Regolamento</w:t>
      </w:r>
      <w:r w:rsidRPr="00634CBB">
        <w:rPr>
          <w:rFonts w:ascii="Garamond" w:hAnsi="Garamond" w:cs="Times New Roman"/>
        </w:rPr>
        <w:t xml:space="preserve"> CE </w:t>
      </w:r>
      <w:r w:rsidR="00806615" w:rsidRPr="00634CBB">
        <w:rPr>
          <w:rFonts w:ascii="Garamond" w:hAnsi="Garamond" w:cs="Times New Roman"/>
        </w:rPr>
        <w:t xml:space="preserve">n. </w:t>
      </w:r>
      <w:r w:rsidRPr="00634CBB">
        <w:rPr>
          <w:rFonts w:ascii="Garamond" w:hAnsi="Garamond" w:cs="Times New Roman"/>
        </w:rPr>
        <w:t xml:space="preserve">1049/2001 </w:t>
      </w:r>
      <w:r w:rsidR="009C7DC5" w:rsidRPr="00634CBB">
        <w:rPr>
          <w:rFonts w:ascii="Garamond" w:hAnsi="Garamond" w:cs="Times New Roman"/>
        </w:rPr>
        <w:t>per l’accesso agli atti delle Istituzioni europee (</w:t>
      </w:r>
      <w:r w:rsidRPr="00634CBB">
        <w:rPr>
          <w:rFonts w:ascii="Garamond" w:hAnsi="Garamond" w:cs="Times New Roman"/>
        </w:rPr>
        <w:t xml:space="preserve">che adotta </w:t>
      </w:r>
      <w:r w:rsidR="009C7DC5" w:rsidRPr="00634CBB">
        <w:rPr>
          <w:rFonts w:ascii="Garamond" w:hAnsi="Garamond" w:cs="Times New Roman"/>
        </w:rPr>
        <w:t xml:space="preserve">in parte </w:t>
      </w:r>
      <w:r w:rsidRPr="00634CBB">
        <w:rPr>
          <w:rFonts w:ascii="Garamond" w:hAnsi="Garamond" w:cs="Times New Roman"/>
        </w:rPr>
        <w:t xml:space="preserve">il criterio del c.d. </w:t>
      </w:r>
      <w:r w:rsidRPr="00634CBB">
        <w:rPr>
          <w:rFonts w:ascii="Garamond" w:hAnsi="Garamond" w:cs="Times New Roman"/>
          <w:i/>
        </w:rPr>
        <w:t>“overriding public interest test”</w:t>
      </w:r>
      <w:r w:rsidRPr="00634CBB">
        <w:rPr>
          <w:rFonts w:ascii="Garamond" w:hAnsi="Garamond" w:cs="Times New Roman"/>
        </w:rPr>
        <w:t>)</w:t>
      </w:r>
      <w:r w:rsidR="00B13EDD" w:rsidRPr="00634CBB">
        <w:rPr>
          <w:rFonts w:ascii="Garamond" w:hAnsi="Garamond" w:cs="Times New Roman"/>
        </w:rPr>
        <w:t xml:space="preserve"> </w:t>
      </w:r>
      <w:r w:rsidR="00680527" w:rsidRPr="00634CBB">
        <w:rPr>
          <w:rStyle w:val="Rimandonotaapidipagina"/>
          <w:rFonts w:ascii="Garamond" w:hAnsi="Garamond" w:cs="Times New Roman"/>
        </w:rPr>
        <w:footnoteReference w:id="41"/>
      </w:r>
      <w:r w:rsidR="009C7DC5" w:rsidRPr="00634CBB">
        <w:rPr>
          <w:rFonts w:ascii="Garamond" w:hAnsi="Garamond" w:cs="Times New Roman"/>
        </w:rPr>
        <w:t xml:space="preserve"> o l’art. 5 c. 1 del D.Lgs. 195/2005 per l’accesso </w:t>
      </w:r>
      <w:r w:rsidR="009C7DC5" w:rsidRPr="00634CBB">
        <w:rPr>
          <w:rFonts w:ascii="Garamond" w:hAnsi="Garamond" w:cs="Times New Roman"/>
        </w:rPr>
        <w:lastRenderedPageBreak/>
        <w:t xml:space="preserve">alle informazioni ambientali (che prevede che </w:t>
      </w:r>
      <w:r w:rsidR="009C7DC5" w:rsidRPr="00634CBB">
        <w:rPr>
          <w:rFonts w:ascii="Garamond" w:hAnsi="Garamond" w:cs="Times New Roman"/>
          <w:i/>
        </w:rPr>
        <w:t>“L‘accesso all'informazione ambientale è negato nel caso in cui: … b) la richiesta è manifestamente irragionevole avuto riguardo alle finalità di cui all'articolo 1.</w:t>
      </w:r>
      <w:proofErr w:type="gramStart"/>
      <w:r w:rsidR="009C7DC5" w:rsidRPr="00634CBB">
        <w:rPr>
          <w:rFonts w:ascii="Garamond" w:hAnsi="Garamond" w:cs="Times New Roman"/>
          <w:i/>
        </w:rPr>
        <w:t>”</w:t>
      </w:r>
      <w:r w:rsidR="009C7DC5" w:rsidRPr="00634CBB">
        <w:rPr>
          <w:rFonts w:ascii="Garamond" w:hAnsi="Garamond" w:cs="Times New Roman"/>
        </w:rPr>
        <w:t xml:space="preserve"> </w:t>
      </w:r>
      <w:r w:rsidR="009C7DC5" w:rsidRPr="00634CBB">
        <w:rPr>
          <w:rStyle w:val="Rimandonotaapidipagina"/>
          <w:rFonts w:ascii="Garamond" w:hAnsi="Garamond" w:cs="Times New Roman"/>
        </w:rPr>
        <w:footnoteReference w:id="42"/>
      </w:r>
      <w:r w:rsidR="009C7DC5" w:rsidRPr="00634CBB">
        <w:rPr>
          <w:rFonts w:ascii="Garamond" w:hAnsi="Garamond" w:cs="Times New Roman"/>
        </w:rPr>
        <w:t>)</w:t>
      </w:r>
      <w:proofErr w:type="gramEnd"/>
      <w:r w:rsidR="009C7DC5" w:rsidRPr="00634CBB">
        <w:rPr>
          <w:rFonts w:ascii="Garamond" w:hAnsi="Garamond" w:cs="Times New Roman"/>
        </w:rPr>
        <w:t>.</w:t>
      </w:r>
    </w:p>
    <w:p w:rsidR="00817191" w:rsidRPr="00634CBB" w:rsidRDefault="00806615" w:rsidP="00AB09C0">
      <w:pPr>
        <w:spacing w:line="360" w:lineRule="auto"/>
        <w:ind w:left="851" w:right="851"/>
        <w:jc w:val="both"/>
        <w:rPr>
          <w:rFonts w:ascii="Garamond" w:hAnsi="Garamond" w:cs="Times New Roman"/>
        </w:rPr>
      </w:pPr>
      <w:r w:rsidRPr="00634CBB">
        <w:rPr>
          <w:rFonts w:ascii="Garamond" w:hAnsi="Garamond" w:cs="Times New Roman"/>
        </w:rPr>
        <w:t>Peraltro, p</w:t>
      </w:r>
      <w:r w:rsidR="00817191" w:rsidRPr="00634CBB">
        <w:rPr>
          <w:rFonts w:ascii="Garamond" w:hAnsi="Garamond" w:cs="Times New Roman"/>
        </w:rPr>
        <w:t>roprio quest’u</w:t>
      </w:r>
      <w:r w:rsidRPr="00634CBB">
        <w:rPr>
          <w:rFonts w:ascii="Garamond" w:hAnsi="Garamond" w:cs="Times New Roman"/>
        </w:rPr>
        <w:t xml:space="preserve">ltima fattispecie normativa </w:t>
      </w:r>
      <w:r w:rsidR="00817191" w:rsidRPr="00634CBB">
        <w:rPr>
          <w:rFonts w:ascii="Garamond" w:hAnsi="Garamond" w:cs="Times New Roman"/>
        </w:rPr>
        <w:t xml:space="preserve">appare </w:t>
      </w:r>
      <w:r w:rsidRPr="00634CBB">
        <w:rPr>
          <w:rFonts w:ascii="Garamond" w:hAnsi="Garamond" w:cs="Times New Roman"/>
        </w:rPr>
        <w:t>estremamente significativa</w:t>
      </w:r>
      <w:r w:rsidR="00AB09C0" w:rsidRPr="00634CBB">
        <w:rPr>
          <w:rFonts w:ascii="Garamond" w:hAnsi="Garamond" w:cs="Times New Roman"/>
        </w:rPr>
        <w:t xml:space="preserve"> </w:t>
      </w:r>
      <w:r w:rsidR="00817191" w:rsidRPr="00634CBB">
        <w:rPr>
          <w:rFonts w:ascii="Garamond" w:hAnsi="Garamond" w:cs="Times New Roman"/>
        </w:rPr>
        <w:t>della problematicità di un sindacato giurisdizionale sui “motivi” dell’</w:t>
      </w:r>
      <w:r w:rsidR="00AB09C0" w:rsidRPr="00634CBB">
        <w:rPr>
          <w:rFonts w:ascii="Garamond" w:hAnsi="Garamond" w:cs="Times New Roman"/>
        </w:rPr>
        <w:t>istanza di accesso, se è vero</w:t>
      </w:r>
      <w:r w:rsidRPr="00634CBB">
        <w:rPr>
          <w:rFonts w:ascii="Garamond" w:hAnsi="Garamond" w:cs="Times New Roman"/>
        </w:rPr>
        <w:t xml:space="preserve"> che</w:t>
      </w:r>
      <w:r w:rsidR="00AB09C0" w:rsidRPr="00634CBB">
        <w:rPr>
          <w:rFonts w:ascii="Garamond" w:hAnsi="Garamond" w:cs="Times New Roman"/>
        </w:rPr>
        <w:t xml:space="preserve">, </w:t>
      </w:r>
      <w:r w:rsidR="00817191" w:rsidRPr="00634CBB">
        <w:rPr>
          <w:rFonts w:ascii="Garamond" w:hAnsi="Garamond" w:cs="Times New Roman"/>
        </w:rPr>
        <w:t xml:space="preserve">pur in presenza </w:t>
      </w:r>
      <w:r w:rsidR="00AB09C0" w:rsidRPr="00634CBB">
        <w:rPr>
          <w:rFonts w:ascii="Garamond" w:hAnsi="Garamond" w:cs="Times New Roman"/>
        </w:rPr>
        <w:t xml:space="preserve">di una </w:t>
      </w:r>
      <w:r w:rsidR="00817191" w:rsidRPr="00634CBB">
        <w:rPr>
          <w:rFonts w:ascii="Garamond" w:hAnsi="Garamond" w:cs="Times New Roman"/>
        </w:rPr>
        <w:t xml:space="preserve">clausola </w:t>
      </w:r>
      <w:r w:rsidR="00AB09C0" w:rsidRPr="00634CBB">
        <w:rPr>
          <w:rFonts w:ascii="Garamond" w:hAnsi="Garamond" w:cs="Times New Roman"/>
        </w:rPr>
        <w:t xml:space="preserve">che sembra espressamente </w:t>
      </w:r>
      <w:r w:rsidR="00817191" w:rsidRPr="00634CBB">
        <w:rPr>
          <w:rFonts w:ascii="Garamond" w:hAnsi="Garamond" w:cs="Times New Roman"/>
        </w:rPr>
        <w:t>autorizzar</w:t>
      </w:r>
      <w:r w:rsidR="00AB09C0" w:rsidRPr="00634CBB">
        <w:rPr>
          <w:rFonts w:ascii="Garamond" w:hAnsi="Garamond" w:cs="Times New Roman"/>
        </w:rPr>
        <w:t>n</w:t>
      </w:r>
      <w:r w:rsidR="00817191" w:rsidRPr="00634CBB">
        <w:rPr>
          <w:rFonts w:ascii="Garamond" w:hAnsi="Garamond" w:cs="Times New Roman"/>
        </w:rPr>
        <w:t>e uno scrutinio di ragionevolezza</w:t>
      </w:r>
      <w:r w:rsidR="00AB09C0" w:rsidRPr="00634CBB">
        <w:rPr>
          <w:rFonts w:ascii="Garamond" w:hAnsi="Garamond" w:cs="Times New Roman"/>
        </w:rPr>
        <w:t xml:space="preserve">, la giurisprudenza </w:t>
      </w:r>
      <w:r w:rsidRPr="00634CBB">
        <w:rPr>
          <w:rFonts w:ascii="Garamond" w:hAnsi="Garamond" w:cs="Times New Roman"/>
        </w:rPr>
        <w:t>è</w:t>
      </w:r>
      <w:r w:rsidR="006D19BA" w:rsidRPr="00634CBB">
        <w:rPr>
          <w:rFonts w:ascii="Garamond" w:hAnsi="Garamond" w:cs="Times New Roman"/>
        </w:rPr>
        <w:t xml:space="preserve"> tuttora </w:t>
      </w:r>
      <w:r w:rsidR="00AB09C0" w:rsidRPr="00634CBB">
        <w:rPr>
          <w:rFonts w:ascii="Garamond" w:hAnsi="Garamond" w:cs="Times New Roman"/>
        </w:rPr>
        <w:t>divisa sul punto e complessivam</w:t>
      </w:r>
      <w:r w:rsidRPr="00634CBB">
        <w:rPr>
          <w:rFonts w:ascii="Garamond" w:hAnsi="Garamond" w:cs="Times New Roman"/>
        </w:rPr>
        <w:t>ente restia a fare</w:t>
      </w:r>
      <w:r w:rsidR="00AB09C0" w:rsidRPr="00634CBB">
        <w:rPr>
          <w:rFonts w:ascii="Garamond" w:hAnsi="Garamond" w:cs="Times New Roman"/>
        </w:rPr>
        <w:t xml:space="preserve"> uso di un siffatto potere </w:t>
      </w:r>
      <w:proofErr w:type="gramStart"/>
      <w:r w:rsidR="00AB09C0" w:rsidRPr="00634CBB">
        <w:rPr>
          <w:rFonts w:ascii="Garamond" w:hAnsi="Garamond" w:cs="Times New Roman"/>
        </w:rPr>
        <w:t xml:space="preserve">giurisdizionale </w:t>
      </w:r>
      <w:r w:rsidR="00AB09C0" w:rsidRPr="00634CBB">
        <w:rPr>
          <w:rStyle w:val="Rimandonotaapidipagina"/>
          <w:rFonts w:ascii="Garamond" w:hAnsi="Garamond" w:cs="Times New Roman"/>
        </w:rPr>
        <w:footnoteReference w:id="43"/>
      </w:r>
      <w:r w:rsidR="00AB09C0" w:rsidRPr="00634CBB">
        <w:rPr>
          <w:rFonts w:ascii="Garamond" w:hAnsi="Garamond" w:cs="Times New Roman"/>
        </w:rPr>
        <w:t>.</w:t>
      </w:r>
      <w:proofErr w:type="gramEnd"/>
    </w:p>
    <w:p w:rsidR="00826E96" w:rsidRPr="00634CBB" w:rsidRDefault="00826E96" w:rsidP="002C06AA">
      <w:pPr>
        <w:spacing w:line="360" w:lineRule="auto"/>
        <w:ind w:left="851" w:right="851"/>
        <w:jc w:val="both"/>
        <w:rPr>
          <w:rFonts w:ascii="Garamond" w:hAnsi="Garamond" w:cs="Times New Roman"/>
          <w:b/>
          <w:color w:val="000000" w:themeColor="text1"/>
        </w:rPr>
      </w:pPr>
    </w:p>
    <w:p w:rsidR="006D19BA" w:rsidRPr="00634CBB" w:rsidRDefault="006D19BA" w:rsidP="002C06AA">
      <w:pPr>
        <w:spacing w:line="360" w:lineRule="auto"/>
        <w:ind w:left="851" w:right="851"/>
        <w:jc w:val="both"/>
        <w:rPr>
          <w:rFonts w:ascii="Garamond" w:eastAsia="Cambria" w:hAnsi="Garamond" w:cs="Times New Roman"/>
          <w:color w:val="000000" w:themeColor="text1"/>
        </w:rPr>
      </w:pPr>
      <w:r w:rsidRPr="00634CBB">
        <w:rPr>
          <w:rFonts w:ascii="Garamond" w:hAnsi="Garamond" w:cs="Times New Roman"/>
          <w:b/>
          <w:color w:val="000000" w:themeColor="text1"/>
        </w:rPr>
        <w:t>6</w:t>
      </w:r>
      <w:r w:rsidR="000C63AE" w:rsidRPr="00634CBB">
        <w:rPr>
          <w:rFonts w:ascii="Garamond" w:hAnsi="Garamond" w:cs="Times New Roman"/>
          <w:b/>
          <w:color w:val="000000" w:themeColor="text1"/>
        </w:rPr>
        <w:t>.</w:t>
      </w:r>
      <w:r w:rsidRPr="00634CBB">
        <w:rPr>
          <w:rFonts w:ascii="Garamond" w:hAnsi="Garamond" w:cs="Times New Roman"/>
          <w:b/>
          <w:color w:val="000000" w:themeColor="text1"/>
        </w:rPr>
        <w:t xml:space="preserve"> Sull</w:t>
      </w:r>
      <w:proofErr w:type="gramStart"/>
      <w:r w:rsidRPr="00634CBB">
        <w:rPr>
          <w:rFonts w:ascii="Garamond" w:hAnsi="Garamond" w:cs="Times New Roman"/>
          <w:b/>
          <w:color w:val="000000" w:themeColor="text1"/>
        </w:rPr>
        <w:t>’</w:t>
      </w:r>
      <w:r w:rsidR="002364FE" w:rsidRPr="00634CBB">
        <w:rPr>
          <w:rFonts w:ascii="Garamond" w:hAnsi="Garamond" w:cs="Times New Roman"/>
          <w:b/>
          <w:color w:val="000000" w:themeColor="text1"/>
        </w:rPr>
        <w:t>”</w:t>
      </w:r>
      <w:r w:rsidRPr="00634CBB">
        <w:rPr>
          <w:rFonts w:ascii="Garamond" w:hAnsi="Garamond" w:cs="Times New Roman"/>
          <w:b/>
          <w:color w:val="000000" w:themeColor="text1"/>
        </w:rPr>
        <w:t>abuso</w:t>
      </w:r>
      <w:proofErr w:type="gramEnd"/>
      <w:r w:rsidR="00826E96" w:rsidRPr="00634CBB">
        <w:rPr>
          <w:rFonts w:ascii="Garamond" w:hAnsi="Garamond" w:cs="Times New Roman"/>
          <w:b/>
          <w:color w:val="000000" w:themeColor="text1"/>
        </w:rPr>
        <w:t>”</w:t>
      </w:r>
      <w:r w:rsidRPr="00634CBB">
        <w:rPr>
          <w:rFonts w:ascii="Garamond" w:hAnsi="Garamond" w:cs="Times New Roman"/>
          <w:b/>
          <w:color w:val="000000" w:themeColor="text1"/>
        </w:rPr>
        <w:t xml:space="preserve"> del diritto di accesso civico generalizzato.</w:t>
      </w:r>
    </w:p>
    <w:p w:rsidR="006D19BA" w:rsidRPr="00634CBB" w:rsidRDefault="004E2C4F" w:rsidP="002C06AA">
      <w:pPr>
        <w:spacing w:line="360" w:lineRule="auto"/>
        <w:ind w:left="851" w:right="851"/>
        <w:jc w:val="both"/>
        <w:rPr>
          <w:rFonts w:ascii="Garamond" w:eastAsia="Cambria" w:hAnsi="Garamond" w:cs="Times New Roman"/>
          <w:color w:val="000000" w:themeColor="text1"/>
        </w:rPr>
      </w:pPr>
      <w:r w:rsidRPr="00634CBB">
        <w:rPr>
          <w:rFonts w:ascii="Garamond" w:eastAsia="Cambria" w:hAnsi="Garamond" w:cs="Times New Roman"/>
          <w:color w:val="000000" w:themeColor="text1"/>
        </w:rPr>
        <w:t>Un ragionamento sull</w:t>
      </w:r>
      <w:r w:rsidR="006D19BA" w:rsidRPr="00634CBB">
        <w:rPr>
          <w:rFonts w:ascii="Garamond" w:eastAsia="Cambria" w:hAnsi="Garamond" w:cs="Times New Roman"/>
          <w:color w:val="000000" w:themeColor="text1"/>
        </w:rPr>
        <w:t xml:space="preserve">a “funzionalizzazione” dell’accesso civico generalizzato </w:t>
      </w:r>
      <w:r w:rsidRPr="00634CBB">
        <w:rPr>
          <w:rFonts w:ascii="Garamond" w:eastAsia="Cambria" w:hAnsi="Garamond" w:cs="Times New Roman"/>
          <w:color w:val="000000" w:themeColor="text1"/>
        </w:rPr>
        <w:t xml:space="preserve">non sarebbe completo </w:t>
      </w:r>
      <w:r w:rsidR="006D19BA" w:rsidRPr="00634CBB">
        <w:rPr>
          <w:rFonts w:ascii="Garamond" w:eastAsia="Cambria" w:hAnsi="Garamond" w:cs="Times New Roman"/>
          <w:color w:val="000000" w:themeColor="text1"/>
        </w:rPr>
        <w:t xml:space="preserve">se non prendesse in considerazione </w:t>
      </w:r>
      <w:r w:rsidR="00147D01" w:rsidRPr="00634CBB">
        <w:rPr>
          <w:rFonts w:ascii="Garamond" w:eastAsia="Cambria" w:hAnsi="Garamond" w:cs="Times New Roman"/>
          <w:color w:val="000000" w:themeColor="text1"/>
        </w:rPr>
        <w:t xml:space="preserve">anche </w:t>
      </w:r>
      <w:r w:rsidR="00570FDF" w:rsidRPr="00634CBB">
        <w:rPr>
          <w:rFonts w:ascii="Garamond" w:eastAsia="Cambria" w:hAnsi="Garamond" w:cs="Times New Roman"/>
          <w:color w:val="000000" w:themeColor="text1"/>
        </w:rPr>
        <w:t xml:space="preserve">le potenzialità applicative </w:t>
      </w:r>
      <w:r w:rsidRPr="00634CBB">
        <w:rPr>
          <w:rFonts w:ascii="Garamond" w:eastAsia="Cambria" w:hAnsi="Garamond" w:cs="Times New Roman"/>
          <w:color w:val="000000" w:themeColor="text1"/>
        </w:rPr>
        <w:t>del</w:t>
      </w:r>
      <w:r w:rsidR="006D19BA" w:rsidRPr="00634CBB">
        <w:rPr>
          <w:rFonts w:ascii="Garamond" w:eastAsia="Cambria" w:hAnsi="Garamond" w:cs="Times New Roman"/>
          <w:color w:val="000000" w:themeColor="text1"/>
        </w:rPr>
        <w:t>la controversa figura dell</w:t>
      </w:r>
      <w:proofErr w:type="gramStart"/>
      <w:r w:rsidR="006D19BA" w:rsidRPr="00634CBB">
        <w:rPr>
          <w:rFonts w:ascii="Garamond" w:eastAsia="Cambria" w:hAnsi="Garamond" w:cs="Times New Roman"/>
          <w:color w:val="000000" w:themeColor="text1"/>
        </w:rPr>
        <w:t>’”abuso</w:t>
      </w:r>
      <w:proofErr w:type="gramEnd"/>
      <w:r w:rsidR="006D19BA" w:rsidRPr="00634CBB">
        <w:rPr>
          <w:rFonts w:ascii="Garamond" w:eastAsia="Cambria" w:hAnsi="Garamond" w:cs="Times New Roman"/>
          <w:color w:val="000000" w:themeColor="text1"/>
        </w:rPr>
        <w:t xml:space="preserve"> del diritto”.</w:t>
      </w:r>
    </w:p>
    <w:p w:rsidR="004E2C4F" w:rsidRPr="00634CBB" w:rsidRDefault="006E771E" w:rsidP="002C06AA">
      <w:pPr>
        <w:spacing w:line="360" w:lineRule="auto"/>
        <w:ind w:left="851" w:right="851"/>
        <w:jc w:val="both"/>
        <w:rPr>
          <w:rFonts w:ascii="Garamond" w:eastAsia="Cambria" w:hAnsi="Garamond" w:cs="Times New Roman"/>
          <w:color w:val="000000" w:themeColor="text1"/>
        </w:rPr>
      </w:pPr>
      <w:r w:rsidRPr="00634CBB">
        <w:rPr>
          <w:rFonts w:ascii="Garamond" w:eastAsia="Cambria" w:hAnsi="Garamond" w:cs="Times New Roman"/>
          <w:color w:val="000000" w:themeColor="text1"/>
        </w:rPr>
        <w:t xml:space="preserve">Non è questa la sede per ripercorrere lo storico dibattito tra sostenitori ed oppositori della tesi </w:t>
      </w:r>
      <w:r w:rsidR="00C62BB4" w:rsidRPr="00634CBB">
        <w:rPr>
          <w:rFonts w:ascii="Garamond" w:eastAsia="Cambria" w:hAnsi="Garamond" w:cs="Times New Roman"/>
          <w:color w:val="000000" w:themeColor="text1"/>
        </w:rPr>
        <w:t xml:space="preserve">del “divieto di </w:t>
      </w:r>
      <w:r w:rsidRPr="00634CBB">
        <w:rPr>
          <w:rFonts w:ascii="Garamond" w:eastAsia="Cambria" w:hAnsi="Garamond" w:cs="Times New Roman"/>
          <w:color w:val="000000" w:themeColor="text1"/>
        </w:rPr>
        <w:t>abuso del diritto</w:t>
      </w:r>
      <w:r w:rsidR="00C62BB4" w:rsidRPr="00634CBB">
        <w:rPr>
          <w:rFonts w:ascii="Garamond" w:eastAsia="Cambria" w:hAnsi="Garamond" w:cs="Times New Roman"/>
          <w:color w:val="000000" w:themeColor="text1"/>
        </w:rPr>
        <w:t>”</w:t>
      </w:r>
      <w:r w:rsidRPr="00634CBB">
        <w:rPr>
          <w:rFonts w:ascii="Garamond" w:eastAsia="Cambria" w:hAnsi="Garamond" w:cs="Times New Roman"/>
          <w:color w:val="000000" w:themeColor="text1"/>
        </w:rPr>
        <w:t xml:space="preserve"> come principio generale dell’ordinamento giuridico </w:t>
      </w:r>
      <w:r w:rsidR="00C62BB4" w:rsidRPr="00634CBB">
        <w:rPr>
          <w:rFonts w:ascii="Garamond" w:eastAsia="Cambria" w:hAnsi="Garamond" w:cs="Times New Roman"/>
          <w:color w:val="000000" w:themeColor="text1"/>
        </w:rPr>
        <w:t>ed in particolare, per quanto qui interessa, dell’abuso</w:t>
      </w:r>
      <w:r w:rsidR="009D056F" w:rsidRPr="00634CBB">
        <w:rPr>
          <w:rFonts w:ascii="Garamond" w:eastAsia="Cambria" w:hAnsi="Garamond" w:cs="Times New Roman"/>
          <w:color w:val="000000" w:themeColor="text1"/>
        </w:rPr>
        <w:t xml:space="preserve"> di</w:t>
      </w:r>
      <w:r w:rsidR="00C62BB4" w:rsidRPr="00634CBB">
        <w:rPr>
          <w:rFonts w:ascii="Garamond" w:eastAsia="Cambria" w:hAnsi="Garamond" w:cs="Times New Roman"/>
          <w:color w:val="000000" w:themeColor="text1"/>
        </w:rPr>
        <w:t xml:space="preserve"> “libertà</w:t>
      </w:r>
      <w:proofErr w:type="gramStart"/>
      <w:r w:rsidR="00C62BB4" w:rsidRPr="00634CBB">
        <w:rPr>
          <w:rFonts w:ascii="Garamond" w:eastAsia="Cambria" w:hAnsi="Garamond" w:cs="Times New Roman"/>
          <w:color w:val="000000" w:themeColor="text1"/>
        </w:rPr>
        <w:t xml:space="preserve">” </w:t>
      </w:r>
      <w:r w:rsidR="00C62BB4" w:rsidRPr="00634CBB">
        <w:rPr>
          <w:rStyle w:val="Rimandonotaapidipagina"/>
          <w:rFonts w:ascii="Garamond" w:eastAsia="Cambria" w:hAnsi="Garamond" w:cs="Times New Roman"/>
          <w:color w:val="000000" w:themeColor="text1"/>
        </w:rPr>
        <w:footnoteReference w:id="44"/>
      </w:r>
      <w:r w:rsidRPr="00634CBB">
        <w:rPr>
          <w:rFonts w:ascii="Garamond" w:eastAsia="Cambria" w:hAnsi="Garamond" w:cs="Times New Roman"/>
          <w:color w:val="000000" w:themeColor="text1"/>
        </w:rPr>
        <w:t>.</w:t>
      </w:r>
      <w:proofErr w:type="gramEnd"/>
    </w:p>
    <w:p w:rsidR="009D056F" w:rsidRPr="00634CBB" w:rsidRDefault="009D056F" w:rsidP="002C06AA">
      <w:pPr>
        <w:spacing w:line="360" w:lineRule="auto"/>
        <w:ind w:left="851" w:right="851"/>
        <w:jc w:val="both"/>
        <w:rPr>
          <w:rFonts w:ascii="Garamond" w:eastAsia="Cambria" w:hAnsi="Garamond" w:cs="Times New Roman"/>
          <w:color w:val="000000" w:themeColor="text1"/>
        </w:rPr>
      </w:pPr>
      <w:r w:rsidRPr="00634CBB">
        <w:rPr>
          <w:rFonts w:ascii="Garamond" w:eastAsia="Cambria" w:hAnsi="Garamond" w:cs="Times New Roman"/>
          <w:color w:val="000000" w:themeColor="text1"/>
        </w:rPr>
        <w:lastRenderedPageBreak/>
        <w:t xml:space="preserve">Sarà sufficiente, ai nostri fini, rilevare che la giurisprudenza, dopo </w:t>
      </w:r>
      <w:r w:rsidR="00570FDF" w:rsidRPr="00634CBB">
        <w:rPr>
          <w:rFonts w:ascii="Garamond" w:eastAsia="Cambria" w:hAnsi="Garamond" w:cs="Times New Roman"/>
          <w:color w:val="000000" w:themeColor="text1"/>
        </w:rPr>
        <w:t xml:space="preserve">lunghi </w:t>
      </w:r>
      <w:r w:rsidRPr="00634CBB">
        <w:rPr>
          <w:rFonts w:ascii="Garamond" w:eastAsia="Cambria" w:hAnsi="Garamond" w:cs="Times New Roman"/>
          <w:color w:val="000000" w:themeColor="text1"/>
        </w:rPr>
        <w:t xml:space="preserve">tentennamenti, ha chiaramente tracciato le coordinate entro le quali </w:t>
      </w:r>
      <w:r w:rsidR="00570FDF" w:rsidRPr="00634CBB">
        <w:rPr>
          <w:rFonts w:ascii="Garamond" w:eastAsia="Cambria" w:hAnsi="Garamond" w:cs="Times New Roman"/>
          <w:color w:val="000000" w:themeColor="text1"/>
        </w:rPr>
        <w:t>la figura è destinata ad operare</w:t>
      </w:r>
      <w:r w:rsidRPr="00634CBB">
        <w:rPr>
          <w:rFonts w:ascii="Garamond" w:eastAsia="Cambria" w:hAnsi="Garamond" w:cs="Times New Roman"/>
          <w:color w:val="000000" w:themeColor="text1"/>
        </w:rPr>
        <w:t xml:space="preserve"> nel nostro ordinamento, in stretta connessione con la clausola generale di </w:t>
      </w:r>
      <w:r w:rsidR="00794F10" w:rsidRPr="00634CBB">
        <w:rPr>
          <w:rFonts w:ascii="Garamond" w:eastAsia="Cambria" w:hAnsi="Garamond" w:cs="Times New Roman"/>
          <w:color w:val="000000" w:themeColor="text1"/>
        </w:rPr>
        <w:t>“</w:t>
      </w:r>
      <w:r w:rsidRPr="00634CBB">
        <w:rPr>
          <w:rFonts w:ascii="Garamond" w:eastAsia="Cambria" w:hAnsi="Garamond" w:cs="Times New Roman"/>
          <w:color w:val="000000" w:themeColor="text1"/>
        </w:rPr>
        <w:t>buona fede e correttezza</w:t>
      </w:r>
      <w:proofErr w:type="gramStart"/>
      <w:r w:rsidR="00794F10" w:rsidRPr="00634CBB">
        <w:rPr>
          <w:rFonts w:ascii="Garamond" w:eastAsia="Cambria" w:hAnsi="Garamond" w:cs="Times New Roman"/>
          <w:color w:val="000000" w:themeColor="text1"/>
        </w:rPr>
        <w:t>”</w:t>
      </w:r>
      <w:r w:rsidRPr="00634CBB">
        <w:rPr>
          <w:rFonts w:ascii="Garamond" w:eastAsia="Cambria" w:hAnsi="Garamond" w:cs="Times New Roman"/>
          <w:color w:val="000000" w:themeColor="text1"/>
        </w:rPr>
        <w:t xml:space="preserve"> </w:t>
      </w:r>
      <w:r w:rsidRPr="00634CBB">
        <w:rPr>
          <w:rStyle w:val="Rimandonotaapidipagina"/>
          <w:rFonts w:ascii="Garamond" w:eastAsia="Cambria" w:hAnsi="Garamond" w:cs="Times New Roman"/>
          <w:color w:val="000000" w:themeColor="text1"/>
        </w:rPr>
        <w:footnoteReference w:id="45"/>
      </w:r>
      <w:r w:rsidRPr="00634CBB">
        <w:rPr>
          <w:rFonts w:ascii="Garamond" w:eastAsia="Cambria" w:hAnsi="Garamond" w:cs="Times New Roman"/>
          <w:color w:val="000000" w:themeColor="text1"/>
        </w:rPr>
        <w:t>.</w:t>
      </w:r>
      <w:proofErr w:type="gramEnd"/>
    </w:p>
    <w:p w:rsidR="009D056F" w:rsidRPr="00634CBB" w:rsidRDefault="00794F10" w:rsidP="002C06AA">
      <w:pPr>
        <w:spacing w:line="360" w:lineRule="auto"/>
        <w:ind w:left="851" w:right="851"/>
        <w:jc w:val="both"/>
        <w:rPr>
          <w:rFonts w:ascii="Garamond" w:eastAsia="Cambria" w:hAnsi="Garamond" w:cs="Times New Roman"/>
          <w:color w:val="000000" w:themeColor="text1"/>
        </w:rPr>
      </w:pPr>
      <w:r w:rsidRPr="00634CBB">
        <w:rPr>
          <w:rFonts w:ascii="Garamond" w:eastAsia="Cambria" w:hAnsi="Garamond" w:cs="Times New Roman"/>
          <w:color w:val="000000" w:themeColor="text1"/>
        </w:rPr>
        <w:t>Prescindendo d</w:t>
      </w:r>
      <w:r w:rsidR="00087DA8" w:rsidRPr="00634CBB">
        <w:rPr>
          <w:rFonts w:ascii="Garamond" w:eastAsia="Cambria" w:hAnsi="Garamond" w:cs="Times New Roman"/>
          <w:color w:val="000000" w:themeColor="text1"/>
        </w:rPr>
        <w:t xml:space="preserve">al rilievo secondo </w:t>
      </w:r>
      <w:r w:rsidRPr="00634CBB">
        <w:rPr>
          <w:rFonts w:ascii="Garamond" w:eastAsia="Cambria" w:hAnsi="Garamond" w:cs="Times New Roman"/>
          <w:color w:val="000000" w:themeColor="text1"/>
        </w:rPr>
        <w:t>il quale gli esiti giurisprudenziali sembrano confermare le obiezioni mosse dalla dottrina sfavorevole al riconoscimento in via interpretativa di un autonomo principio generale di “divieto di abuso del diritto”</w:t>
      </w:r>
      <w:r w:rsidR="00103E8B" w:rsidRPr="00634CBB">
        <w:rPr>
          <w:rFonts w:ascii="Garamond" w:eastAsia="Cambria" w:hAnsi="Garamond" w:cs="Times New Roman"/>
          <w:color w:val="000000" w:themeColor="text1"/>
        </w:rPr>
        <w:t>, stante che il controllo sulle modalità di esercizio del diritto appare sufficientemente garantito da altri principi</w:t>
      </w:r>
      <w:r w:rsidRPr="00634CBB">
        <w:rPr>
          <w:rFonts w:ascii="Garamond" w:eastAsia="Cambria" w:hAnsi="Garamond" w:cs="Times New Roman"/>
          <w:color w:val="000000" w:themeColor="text1"/>
        </w:rPr>
        <w:t xml:space="preserve"> </w:t>
      </w:r>
      <w:r w:rsidRPr="00634CBB">
        <w:rPr>
          <w:rStyle w:val="Rimandonotaapidipagina"/>
          <w:rFonts w:ascii="Garamond" w:eastAsia="Cambria" w:hAnsi="Garamond" w:cs="Times New Roman"/>
          <w:color w:val="000000" w:themeColor="text1"/>
        </w:rPr>
        <w:footnoteReference w:id="46"/>
      </w:r>
      <w:r w:rsidRPr="00634CBB">
        <w:rPr>
          <w:rFonts w:ascii="Garamond" w:eastAsia="Cambria" w:hAnsi="Garamond" w:cs="Times New Roman"/>
          <w:color w:val="000000" w:themeColor="text1"/>
        </w:rPr>
        <w:t xml:space="preserve">, </w:t>
      </w:r>
      <w:r w:rsidR="00087DA8" w:rsidRPr="00634CBB">
        <w:rPr>
          <w:rFonts w:ascii="Garamond" w:eastAsia="Cambria" w:hAnsi="Garamond" w:cs="Times New Roman"/>
          <w:color w:val="000000" w:themeColor="text1"/>
        </w:rPr>
        <w:t>ciò che qui rileva è che la figura, alla luce della consoli</w:t>
      </w:r>
      <w:r w:rsidR="00570FDF" w:rsidRPr="00634CBB">
        <w:rPr>
          <w:rFonts w:ascii="Garamond" w:eastAsia="Cambria" w:hAnsi="Garamond" w:cs="Times New Roman"/>
          <w:color w:val="000000" w:themeColor="text1"/>
        </w:rPr>
        <w:t>data giurisprudenza, è destinata</w:t>
      </w:r>
      <w:r w:rsidR="00087DA8" w:rsidRPr="00634CBB">
        <w:rPr>
          <w:rFonts w:ascii="Garamond" w:eastAsia="Cambria" w:hAnsi="Garamond" w:cs="Times New Roman"/>
          <w:color w:val="000000" w:themeColor="text1"/>
        </w:rPr>
        <w:t xml:space="preserve"> ad operare esclusivamente sul piano delle “modalità di esercizio” del di</w:t>
      </w:r>
      <w:r w:rsidR="00103E8B" w:rsidRPr="00634CBB">
        <w:rPr>
          <w:rFonts w:ascii="Garamond" w:eastAsia="Cambria" w:hAnsi="Garamond" w:cs="Times New Roman"/>
          <w:color w:val="000000" w:themeColor="text1"/>
        </w:rPr>
        <w:t>ritto, non potendo essere intesa</w:t>
      </w:r>
      <w:r w:rsidR="00087DA8" w:rsidRPr="00634CBB">
        <w:rPr>
          <w:rFonts w:ascii="Garamond" w:eastAsia="Cambria" w:hAnsi="Garamond" w:cs="Times New Roman"/>
          <w:color w:val="000000" w:themeColor="text1"/>
        </w:rPr>
        <w:t xml:space="preserve"> in funzione </w:t>
      </w:r>
      <w:r w:rsidR="00570FDF" w:rsidRPr="00634CBB">
        <w:rPr>
          <w:rFonts w:ascii="Garamond" w:eastAsia="Cambria" w:hAnsi="Garamond" w:cs="Times New Roman"/>
          <w:color w:val="000000" w:themeColor="text1"/>
        </w:rPr>
        <w:t xml:space="preserve">della determinazione del suo </w:t>
      </w:r>
      <w:r w:rsidR="00087DA8" w:rsidRPr="00634CBB">
        <w:rPr>
          <w:rFonts w:ascii="Garamond" w:eastAsia="Cambria" w:hAnsi="Garamond" w:cs="Times New Roman"/>
          <w:color w:val="000000" w:themeColor="text1"/>
        </w:rPr>
        <w:t xml:space="preserve">contenuto </w:t>
      </w:r>
      <w:r w:rsidR="00087DA8" w:rsidRPr="00634CBB">
        <w:rPr>
          <w:rStyle w:val="Rimandonotaapidipagina"/>
          <w:rFonts w:ascii="Garamond" w:eastAsia="Cambria" w:hAnsi="Garamond" w:cs="Times New Roman"/>
          <w:color w:val="000000" w:themeColor="text1"/>
        </w:rPr>
        <w:footnoteReference w:id="47"/>
      </w:r>
      <w:r w:rsidR="00087DA8" w:rsidRPr="00634CBB">
        <w:rPr>
          <w:rFonts w:ascii="Garamond" w:eastAsia="Cambria" w:hAnsi="Garamond" w:cs="Times New Roman"/>
          <w:color w:val="000000" w:themeColor="text1"/>
        </w:rPr>
        <w:t>.</w:t>
      </w:r>
    </w:p>
    <w:p w:rsidR="00B879D7" w:rsidRPr="00634CBB" w:rsidRDefault="00B879D7" w:rsidP="002C06AA">
      <w:pPr>
        <w:spacing w:line="360" w:lineRule="auto"/>
        <w:ind w:left="851" w:right="851"/>
        <w:jc w:val="both"/>
        <w:rPr>
          <w:rFonts w:ascii="Garamond" w:eastAsia="Cambria" w:hAnsi="Garamond" w:cs="Times New Roman"/>
          <w:color w:val="000000" w:themeColor="text1"/>
        </w:rPr>
      </w:pPr>
      <w:r w:rsidRPr="00634CBB">
        <w:rPr>
          <w:rFonts w:ascii="Garamond" w:eastAsia="Cambria" w:hAnsi="Garamond" w:cs="Times New Roman"/>
          <w:color w:val="000000" w:themeColor="text1"/>
        </w:rPr>
        <w:t>In altri termini, è soltanto nella fase di esplicazione delle prerogative inerenti il diritto che può ammettersi un controllo sulle modalità attuative della regola formale</w:t>
      </w:r>
      <w:r w:rsidR="00832E0F" w:rsidRPr="00634CBB">
        <w:rPr>
          <w:rFonts w:ascii="Garamond" w:eastAsia="Cambria" w:hAnsi="Garamond" w:cs="Times New Roman"/>
          <w:color w:val="000000" w:themeColor="text1"/>
        </w:rPr>
        <w:t xml:space="preserve"> (c.d. </w:t>
      </w:r>
      <w:r w:rsidR="00832E0F" w:rsidRPr="00634CBB">
        <w:rPr>
          <w:rFonts w:ascii="Garamond" w:eastAsia="Cambria" w:hAnsi="Garamond" w:cs="Times New Roman"/>
          <w:color w:val="000000" w:themeColor="text1"/>
        </w:rPr>
        <w:lastRenderedPageBreak/>
        <w:t>“limite modale”)</w:t>
      </w:r>
      <w:r w:rsidRPr="00634CBB">
        <w:rPr>
          <w:rFonts w:ascii="Garamond" w:eastAsia="Cambria" w:hAnsi="Garamond" w:cs="Times New Roman"/>
          <w:color w:val="000000" w:themeColor="text1"/>
        </w:rPr>
        <w:t xml:space="preserve">, senza che ciò implichi la modificazione del contenuto della stessa o la creazione di regole di condotta </w:t>
      </w:r>
      <w:proofErr w:type="gramStart"/>
      <w:r w:rsidRPr="00634CBB">
        <w:rPr>
          <w:rFonts w:ascii="Garamond" w:eastAsia="Cambria" w:hAnsi="Garamond" w:cs="Times New Roman"/>
          <w:color w:val="000000" w:themeColor="text1"/>
        </w:rPr>
        <w:t xml:space="preserve">ulteriori </w:t>
      </w:r>
      <w:r w:rsidR="00832E0F" w:rsidRPr="00634CBB">
        <w:rPr>
          <w:rStyle w:val="Rimandonotaapidipagina"/>
          <w:rFonts w:ascii="Garamond" w:eastAsia="Cambria" w:hAnsi="Garamond" w:cs="Times New Roman"/>
          <w:color w:val="000000" w:themeColor="text1"/>
        </w:rPr>
        <w:footnoteReference w:id="48"/>
      </w:r>
      <w:r w:rsidRPr="00634CBB">
        <w:rPr>
          <w:rFonts w:ascii="Garamond" w:eastAsia="Cambria" w:hAnsi="Garamond" w:cs="Times New Roman"/>
          <w:color w:val="000000" w:themeColor="text1"/>
        </w:rPr>
        <w:t>.</w:t>
      </w:r>
      <w:proofErr w:type="gramEnd"/>
    </w:p>
    <w:p w:rsidR="00B879D7" w:rsidRPr="00634CBB" w:rsidRDefault="00521ECC" w:rsidP="002C06AA">
      <w:pPr>
        <w:spacing w:line="360" w:lineRule="auto"/>
        <w:ind w:left="851" w:right="851"/>
        <w:jc w:val="both"/>
        <w:rPr>
          <w:rFonts w:ascii="Garamond" w:eastAsia="Cambria" w:hAnsi="Garamond" w:cs="Times New Roman"/>
          <w:color w:val="000000" w:themeColor="text1"/>
        </w:rPr>
      </w:pPr>
      <w:r w:rsidRPr="00634CBB">
        <w:rPr>
          <w:rFonts w:ascii="Garamond" w:eastAsia="Cambria" w:hAnsi="Garamond" w:cs="Times New Roman"/>
          <w:color w:val="000000" w:themeColor="text1"/>
        </w:rPr>
        <w:t xml:space="preserve">Aggiungasi che, in questa prospettiva, il </w:t>
      </w:r>
      <w:r w:rsidR="000E421C" w:rsidRPr="00634CBB">
        <w:rPr>
          <w:rFonts w:ascii="Garamond" w:eastAsia="Cambria" w:hAnsi="Garamond" w:cs="Times New Roman"/>
          <w:color w:val="000000" w:themeColor="text1"/>
        </w:rPr>
        <w:t xml:space="preserve">predetto </w:t>
      </w:r>
      <w:r w:rsidRPr="00634CBB">
        <w:rPr>
          <w:rFonts w:ascii="Garamond" w:eastAsia="Cambria" w:hAnsi="Garamond" w:cs="Times New Roman"/>
          <w:color w:val="000000" w:themeColor="text1"/>
        </w:rPr>
        <w:t xml:space="preserve">“controllo funzionale” </w:t>
      </w:r>
      <w:r w:rsidR="000E421C" w:rsidRPr="00634CBB">
        <w:rPr>
          <w:rFonts w:ascii="Garamond" w:eastAsia="Cambria" w:hAnsi="Garamond" w:cs="Times New Roman"/>
          <w:color w:val="000000" w:themeColor="text1"/>
        </w:rPr>
        <w:t xml:space="preserve">va condotto </w:t>
      </w:r>
      <w:r w:rsidRPr="00634CBB">
        <w:rPr>
          <w:rFonts w:ascii="Garamond" w:eastAsia="Cambria" w:hAnsi="Garamond" w:cs="Times New Roman"/>
          <w:color w:val="000000" w:themeColor="text1"/>
        </w:rPr>
        <w:t>sulla base di criteri di carattere “oggettivo”</w:t>
      </w:r>
      <w:r w:rsidR="000E421C" w:rsidRPr="00634CBB">
        <w:rPr>
          <w:rFonts w:ascii="Garamond" w:eastAsia="Cambria" w:hAnsi="Garamond" w:cs="Times New Roman"/>
          <w:color w:val="000000" w:themeColor="text1"/>
        </w:rPr>
        <w:t xml:space="preserve">, </w:t>
      </w:r>
      <w:r w:rsidR="00BC5F72" w:rsidRPr="00634CBB">
        <w:rPr>
          <w:rFonts w:ascii="Garamond" w:eastAsia="Cambria" w:hAnsi="Garamond" w:cs="Times New Roman"/>
          <w:color w:val="000000" w:themeColor="text1"/>
        </w:rPr>
        <w:t xml:space="preserve">avuto riguardo </w:t>
      </w:r>
      <w:r w:rsidR="000E421C" w:rsidRPr="00634CBB">
        <w:rPr>
          <w:rFonts w:ascii="Garamond" w:eastAsia="Cambria" w:hAnsi="Garamond" w:cs="Times New Roman"/>
          <w:color w:val="000000" w:themeColor="text1"/>
        </w:rPr>
        <w:t xml:space="preserve">al comportamento tenuto </w:t>
      </w:r>
      <w:r w:rsidR="00BC5F72" w:rsidRPr="00634CBB">
        <w:rPr>
          <w:rFonts w:ascii="Garamond" w:eastAsia="Cambria" w:hAnsi="Garamond" w:cs="Times New Roman"/>
          <w:color w:val="000000" w:themeColor="text1"/>
        </w:rPr>
        <w:t>dal titolare del diritto nella fase del suo</w:t>
      </w:r>
      <w:r w:rsidR="000E421C" w:rsidRPr="00634CBB">
        <w:rPr>
          <w:rFonts w:ascii="Garamond" w:eastAsia="Cambria" w:hAnsi="Garamond" w:cs="Times New Roman"/>
          <w:color w:val="000000" w:themeColor="text1"/>
        </w:rPr>
        <w:t xml:space="preserve"> esercizio </w:t>
      </w:r>
      <w:r w:rsidR="00A01717" w:rsidRPr="00634CBB">
        <w:rPr>
          <w:rFonts w:ascii="Garamond" w:eastAsia="Cambria" w:hAnsi="Garamond" w:cs="Times New Roman"/>
          <w:color w:val="000000" w:themeColor="text1"/>
        </w:rPr>
        <w:t>e non già indagando le</w:t>
      </w:r>
      <w:r w:rsidR="000E421C" w:rsidRPr="00634CBB">
        <w:rPr>
          <w:rFonts w:ascii="Garamond" w:eastAsia="Cambria" w:hAnsi="Garamond" w:cs="Times New Roman"/>
          <w:color w:val="000000" w:themeColor="text1"/>
        </w:rPr>
        <w:t xml:space="preserve"> “</w:t>
      </w:r>
      <w:r w:rsidR="00A01717" w:rsidRPr="00634CBB">
        <w:rPr>
          <w:rFonts w:ascii="Garamond" w:eastAsia="Cambria" w:hAnsi="Garamond" w:cs="Times New Roman"/>
          <w:color w:val="000000" w:themeColor="text1"/>
        </w:rPr>
        <w:t>motivazioni</w:t>
      </w:r>
      <w:r w:rsidR="000E421C" w:rsidRPr="00634CBB">
        <w:rPr>
          <w:rFonts w:ascii="Garamond" w:eastAsia="Cambria" w:hAnsi="Garamond" w:cs="Times New Roman"/>
          <w:color w:val="000000" w:themeColor="text1"/>
        </w:rPr>
        <w:t xml:space="preserve">” di detto comportamento, </w:t>
      </w:r>
      <w:r w:rsidR="00A01717" w:rsidRPr="00634CBB">
        <w:rPr>
          <w:rFonts w:ascii="Garamond" w:eastAsia="Cambria" w:hAnsi="Garamond" w:cs="Times New Roman"/>
          <w:color w:val="000000" w:themeColor="text1"/>
        </w:rPr>
        <w:t xml:space="preserve">giustamente relegati </w:t>
      </w:r>
      <w:r w:rsidR="000E421C" w:rsidRPr="00634CBB">
        <w:rPr>
          <w:rFonts w:ascii="Garamond" w:eastAsia="Cambria" w:hAnsi="Garamond" w:cs="Times New Roman"/>
          <w:color w:val="000000" w:themeColor="text1"/>
        </w:rPr>
        <w:t xml:space="preserve">al “foro interno” dell’avente </w:t>
      </w:r>
      <w:proofErr w:type="gramStart"/>
      <w:r w:rsidR="000E421C" w:rsidRPr="00634CBB">
        <w:rPr>
          <w:rFonts w:ascii="Garamond" w:eastAsia="Cambria" w:hAnsi="Garamond" w:cs="Times New Roman"/>
          <w:color w:val="000000" w:themeColor="text1"/>
        </w:rPr>
        <w:t xml:space="preserve">titolo </w:t>
      </w:r>
      <w:r w:rsidR="00691553" w:rsidRPr="00634CBB">
        <w:rPr>
          <w:rStyle w:val="Rimandonotaapidipagina"/>
          <w:rFonts w:ascii="Garamond" w:eastAsia="Cambria" w:hAnsi="Garamond" w:cs="Times New Roman"/>
          <w:color w:val="000000" w:themeColor="text1"/>
        </w:rPr>
        <w:footnoteReference w:id="49"/>
      </w:r>
      <w:r w:rsidR="000E421C" w:rsidRPr="00634CBB">
        <w:rPr>
          <w:rFonts w:ascii="Garamond" w:eastAsia="Cambria" w:hAnsi="Garamond" w:cs="Times New Roman"/>
          <w:color w:val="000000" w:themeColor="text1"/>
        </w:rPr>
        <w:t>.</w:t>
      </w:r>
      <w:proofErr w:type="gramEnd"/>
      <w:r w:rsidR="000E421C" w:rsidRPr="00634CBB">
        <w:rPr>
          <w:rFonts w:ascii="Garamond" w:eastAsia="Cambria" w:hAnsi="Garamond" w:cs="Times New Roman"/>
          <w:color w:val="000000" w:themeColor="text1"/>
        </w:rPr>
        <w:t xml:space="preserve"> </w:t>
      </w:r>
    </w:p>
    <w:p w:rsidR="00A01717" w:rsidRPr="00634CBB" w:rsidRDefault="00A01717" w:rsidP="002C06AA">
      <w:pPr>
        <w:spacing w:line="360" w:lineRule="auto"/>
        <w:ind w:left="851" w:right="851"/>
        <w:jc w:val="both"/>
        <w:rPr>
          <w:rFonts w:ascii="Garamond" w:hAnsi="Garamond" w:cs="Times New Roman"/>
        </w:rPr>
      </w:pPr>
      <w:r w:rsidRPr="00634CBB">
        <w:rPr>
          <w:rFonts w:ascii="Garamond" w:eastAsia="Cambria" w:hAnsi="Garamond" w:cs="Times New Roman"/>
          <w:color w:val="000000" w:themeColor="text1"/>
        </w:rPr>
        <w:t xml:space="preserve">In questo senso, </w:t>
      </w:r>
      <w:r w:rsidRPr="00634CBB">
        <w:rPr>
          <w:rFonts w:ascii="Garamond" w:hAnsi="Garamond" w:cs="Times New Roman"/>
        </w:rPr>
        <w:t xml:space="preserve">la giurisprudenza non ammette una distinta ed autonoma indagine giudiziale sui “motivi” dell’atto onde ricavarne l’abusività, in quanto il percorso logico è esattamente inverso: in presenza di tutti e quattro gli elementi costitutivi della figura, vi è prova che il diritto è stato esercitato in difformità alla </w:t>
      </w:r>
      <w:r w:rsidRPr="00634CBB">
        <w:rPr>
          <w:rFonts w:ascii="Garamond" w:hAnsi="Garamond" w:cs="Times New Roman"/>
          <w:i/>
        </w:rPr>
        <w:t>ratio legis</w:t>
      </w:r>
      <w:r w:rsidRPr="00634CBB">
        <w:rPr>
          <w:rFonts w:ascii="Garamond" w:hAnsi="Garamond" w:cs="Times New Roman"/>
        </w:rPr>
        <w:t>, ovvero per il conseguimento di obiettivi diversi da quelli previsti dal legislatore.</w:t>
      </w:r>
    </w:p>
    <w:p w:rsidR="00B879D7" w:rsidRPr="00634CBB" w:rsidRDefault="00A01717" w:rsidP="002C06AA">
      <w:pPr>
        <w:spacing w:line="360" w:lineRule="auto"/>
        <w:ind w:left="851" w:right="851"/>
        <w:jc w:val="both"/>
        <w:rPr>
          <w:rFonts w:ascii="Garamond" w:eastAsia="Cambria" w:hAnsi="Garamond" w:cs="Times New Roman"/>
          <w:color w:val="000000" w:themeColor="text1"/>
        </w:rPr>
      </w:pPr>
      <w:r w:rsidRPr="00634CBB">
        <w:rPr>
          <w:rFonts w:ascii="Garamond" w:hAnsi="Garamond" w:cs="Times New Roman"/>
        </w:rPr>
        <w:t xml:space="preserve">In tal senso depone anche la stretta connessione </w:t>
      </w:r>
      <w:r w:rsidR="00C92580" w:rsidRPr="00634CBB">
        <w:rPr>
          <w:rFonts w:ascii="Garamond" w:hAnsi="Garamond" w:cs="Times New Roman"/>
        </w:rPr>
        <w:t xml:space="preserve">del “divieto di abuso del diritto” </w:t>
      </w:r>
      <w:r w:rsidRPr="00634CBB">
        <w:rPr>
          <w:rFonts w:ascii="Garamond" w:hAnsi="Garamond" w:cs="Times New Roman"/>
        </w:rPr>
        <w:t xml:space="preserve">con la clausola di “buona fede e correttezza”, che è regola oggettiva di condotta e non stato d’animo soggettivo del titolare del </w:t>
      </w:r>
      <w:proofErr w:type="gramStart"/>
      <w:r w:rsidRPr="00634CBB">
        <w:rPr>
          <w:rFonts w:ascii="Garamond" w:hAnsi="Garamond" w:cs="Times New Roman"/>
        </w:rPr>
        <w:t xml:space="preserve">diritto </w:t>
      </w:r>
      <w:r w:rsidRPr="00634CBB">
        <w:rPr>
          <w:rStyle w:val="Rimandonotaapidipagina"/>
          <w:rFonts w:ascii="Garamond" w:hAnsi="Garamond" w:cs="Times New Roman"/>
        </w:rPr>
        <w:footnoteReference w:id="50"/>
      </w:r>
      <w:r w:rsidRPr="00634CBB">
        <w:rPr>
          <w:rFonts w:ascii="Garamond" w:hAnsi="Garamond" w:cs="Times New Roman"/>
        </w:rPr>
        <w:t>.</w:t>
      </w:r>
      <w:proofErr w:type="gramEnd"/>
    </w:p>
    <w:p w:rsidR="00C92580" w:rsidRPr="00634CBB" w:rsidRDefault="00C92580" w:rsidP="00C92580">
      <w:pPr>
        <w:spacing w:line="360" w:lineRule="auto"/>
        <w:ind w:left="851" w:right="851"/>
        <w:jc w:val="both"/>
        <w:rPr>
          <w:rFonts w:ascii="Garamond" w:hAnsi="Garamond" w:cs="Times New Roman"/>
          <w:b/>
          <w:color w:val="000000" w:themeColor="text1"/>
        </w:rPr>
      </w:pPr>
    </w:p>
    <w:p w:rsidR="00C92580" w:rsidRPr="00634CBB" w:rsidRDefault="002364FE" w:rsidP="00C92580">
      <w:pPr>
        <w:spacing w:line="360" w:lineRule="auto"/>
        <w:ind w:left="851" w:right="851"/>
        <w:jc w:val="both"/>
        <w:rPr>
          <w:rFonts w:ascii="Garamond" w:hAnsi="Garamond" w:cs="Times New Roman"/>
          <w:b/>
          <w:color w:val="000000" w:themeColor="text1"/>
        </w:rPr>
      </w:pPr>
      <w:r w:rsidRPr="00634CBB">
        <w:rPr>
          <w:rFonts w:ascii="Garamond" w:hAnsi="Garamond" w:cs="Times New Roman"/>
          <w:b/>
          <w:color w:val="000000" w:themeColor="text1"/>
        </w:rPr>
        <w:t>7</w:t>
      </w:r>
      <w:r w:rsidR="000C63AE" w:rsidRPr="00634CBB">
        <w:rPr>
          <w:rFonts w:ascii="Garamond" w:hAnsi="Garamond" w:cs="Times New Roman"/>
          <w:b/>
          <w:color w:val="000000" w:themeColor="text1"/>
        </w:rPr>
        <w:t>.</w:t>
      </w:r>
      <w:r w:rsidRPr="00634CBB">
        <w:rPr>
          <w:rFonts w:ascii="Garamond" w:hAnsi="Garamond" w:cs="Times New Roman"/>
          <w:b/>
          <w:color w:val="000000" w:themeColor="text1"/>
        </w:rPr>
        <w:t xml:space="preserve"> </w:t>
      </w:r>
      <w:r w:rsidR="00C92580" w:rsidRPr="00634CBB">
        <w:rPr>
          <w:rFonts w:ascii="Garamond" w:hAnsi="Garamond" w:cs="Times New Roman"/>
          <w:b/>
          <w:color w:val="000000" w:themeColor="text1"/>
        </w:rPr>
        <w:t>La posizione della giurisprudenza amministrativa.</w:t>
      </w:r>
    </w:p>
    <w:p w:rsidR="00C92580" w:rsidRPr="00634CBB" w:rsidRDefault="00C92580" w:rsidP="00C92580">
      <w:pPr>
        <w:spacing w:line="360" w:lineRule="auto"/>
        <w:ind w:left="851" w:right="851"/>
        <w:jc w:val="both"/>
        <w:rPr>
          <w:rFonts w:ascii="Garamond" w:hAnsi="Garamond" w:cs="Times New Roman"/>
        </w:rPr>
      </w:pPr>
      <w:r w:rsidRPr="00634CBB">
        <w:rPr>
          <w:rFonts w:ascii="Garamond" w:hAnsi="Garamond" w:cs="Times New Roman"/>
        </w:rPr>
        <w:t xml:space="preserve">La giurisprudenza amministrativa non sembra ancora avere assunto una posizione </w:t>
      </w:r>
      <w:r w:rsidR="002B0D0E" w:rsidRPr="00634CBB">
        <w:rPr>
          <w:rFonts w:ascii="Garamond" w:hAnsi="Garamond" w:cs="Times New Roman"/>
        </w:rPr>
        <w:t xml:space="preserve">netta sulla questione. </w:t>
      </w:r>
    </w:p>
    <w:p w:rsidR="00C92580" w:rsidRPr="00634CBB" w:rsidRDefault="002B0D0E" w:rsidP="00C92580">
      <w:pPr>
        <w:spacing w:line="360" w:lineRule="auto"/>
        <w:ind w:left="851" w:right="851"/>
        <w:jc w:val="both"/>
        <w:rPr>
          <w:rFonts w:ascii="Garamond" w:hAnsi="Garamond" w:cs="Times New Roman"/>
        </w:rPr>
      </w:pPr>
      <w:r w:rsidRPr="00634CBB">
        <w:rPr>
          <w:rFonts w:ascii="Garamond" w:hAnsi="Garamond" w:cs="Times New Roman"/>
        </w:rPr>
        <w:t>L</w:t>
      </w:r>
      <w:r w:rsidR="00C92580" w:rsidRPr="00634CBB">
        <w:rPr>
          <w:rFonts w:ascii="Garamond" w:hAnsi="Garamond" w:cs="Times New Roman"/>
        </w:rPr>
        <w:t xml:space="preserve">a tesi </w:t>
      </w:r>
      <w:r w:rsidRPr="00634CBB">
        <w:rPr>
          <w:rFonts w:ascii="Garamond" w:hAnsi="Garamond" w:cs="Times New Roman"/>
        </w:rPr>
        <w:t xml:space="preserve">della “funzionalizzazione” dell’accesso civico </w:t>
      </w:r>
      <w:r w:rsidR="00C92580" w:rsidRPr="00634CBB">
        <w:rPr>
          <w:rFonts w:ascii="Garamond" w:hAnsi="Garamond" w:cs="Times New Roman"/>
        </w:rPr>
        <w:t xml:space="preserve">trova un fuggevole riscontro </w:t>
      </w:r>
      <w:r w:rsidR="00BC5F72" w:rsidRPr="00634CBB">
        <w:rPr>
          <w:rFonts w:ascii="Garamond" w:hAnsi="Garamond" w:cs="Times New Roman"/>
        </w:rPr>
        <w:t xml:space="preserve">nella </w:t>
      </w:r>
      <w:r w:rsidR="00C92580" w:rsidRPr="00634CBB">
        <w:rPr>
          <w:rFonts w:ascii="Garamond" w:hAnsi="Garamond" w:cs="Times New Roman"/>
        </w:rPr>
        <w:t xml:space="preserve">pronuncia della </w:t>
      </w:r>
      <w:r w:rsidRPr="00634CBB">
        <w:rPr>
          <w:rFonts w:ascii="Garamond" w:hAnsi="Garamond" w:cs="Times New Roman"/>
        </w:rPr>
        <w:t>4</w:t>
      </w:r>
      <w:r w:rsidR="00C92580" w:rsidRPr="00634CBB">
        <w:rPr>
          <w:rFonts w:ascii="Garamond" w:hAnsi="Garamond" w:cs="Times New Roman"/>
        </w:rPr>
        <w:t>^ sezione del Consiglio di Stato</w:t>
      </w:r>
      <w:r w:rsidRPr="00634CBB">
        <w:rPr>
          <w:rFonts w:ascii="Garamond" w:hAnsi="Garamond" w:cs="Times New Roman"/>
        </w:rPr>
        <w:t xml:space="preserve"> n. 3631 del</w:t>
      </w:r>
      <w:r w:rsidR="00BC5F72" w:rsidRPr="00634CBB">
        <w:rPr>
          <w:rFonts w:ascii="Garamond" w:hAnsi="Garamond" w:cs="Times New Roman"/>
        </w:rPr>
        <w:t xml:space="preserve"> 12.08.2016</w:t>
      </w:r>
      <w:r w:rsidR="00C92580" w:rsidRPr="00634CBB">
        <w:rPr>
          <w:rFonts w:ascii="Garamond" w:hAnsi="Garamond" w:cs="Times New Roman"/>
        </w:rPr>
        <w:t>, in cui</w:t>
      </w:r>
      <w:r w:rsidRPr="00634CBB">
        <w:rPr>
          <w:rFonts w:ascii="Garamond" w:hAnsi="Garamond" w:cs="Times New Roman"/>
        </w:rPr>
        <w:t xml:space="preserve"> si sostiene che</w:t>
      </w:r>
      <w:r w:rsidR="00C92580" w:rsidRPr="00634CBB">
        <w:rPr>
          <w:rFonts w:ascii="Garamond" w:hAnsi="Garamond" w:cs="Times New Roman"/>
        </w:rPr>
        <w:t xml:space="preserve">, a fronte di un’istanza di accesso civico generalizzato, </w:t>
      </w:r>
      <w:r w:rsidR="00C92580" w:rsidRPr="00634CBB">
        <w:rPr>
          <w:rFonts w:ascii="Garamond" w:hAnsi="Garamond" w:cs="Times New Roman"/>
          <w:i/>
        </w:rPr>
        <w:t xml:space="preserve">“la P.A. intimata dovrà in concreto valutare, se i limiti ivi enunciati siano da ritenere in concreto sussistenti, nel rispetto dei canoni di proporzionalità e ragionevolezza, a garanzia degli interessi ivi previsti e non potrà non </w:t>
      </w:r>
      <w:r w:rsidR="00C92580" w:rsidRPr="00634CBB">
        <w:rPr>
          <w:rFonts w:ascii="Garamond" w:hAnsi="Garamond" w:cs="Times New Roman"/>
          <w:i/>
        </w:rPr>
        <w:lastRenderedPageBreak/>
        <w:t>tener conto, nella suddetta valutazione, anche le peculiarità della posizione legittimante del richiedente.”</w:t>
      </w:r>
      <w:r w:rsidR="00C92580" w:rsidRPr="00634CBB">
        <w:rPr>
          <w:rFonts w:ascii="Garamond" w:hAnsi="Garamond" w:cs="Times New Roman"/>
        </w:rPr>
        <w:t>.</w:t>
      </w:r>
    </w:p>
    <w:p w:rsidR="002B0D0E" w:rsidRPr="00634CBB" w:rsidRDefault="002B0D0E" w:rsidP="002C06AA">
      <w:pPr>
        <w:spacing w:line="360" w:lineRule="auto"/>
        <w:ind w:left="851" w:right="851"/>
        <w:jc w:val="both"/>
        <w:rPr>
          <w:rFonts w:ascii="Garamond" w:hAnsi="Garamond" w:cs="Times New Roman"/>
        </w:rPr>
      </w:pPr>
      <w:r w:rsidRPr="00634CBB">
        <w:rPr>
          <w:rFonts w:ascii="Garamond" w:hAnsi="Garamond" w:cs="Times New Roman"/>
        </w:rPr>
        <w:t xml:space="preserve">Va, però, considerato che il citato passo rappresenta </w:t>
      </w:r>
      <w:r w:rsidR="00103E8B" w:rsidRPr="00634CBB">
        <w:rPr>
          <w:rFonts w:ascii="Garamond" w:hAnsi="Garamond" w:cs="Times New Roman"/>
        </w:rPr>
        <w:t xml:space="preserve">un </w:t>
      </w:r>
      <w:proofErr w:type="spellStart"/>
      <w:r w:rsidRPr="00634CBB">
        <w:rPr>
          <w:rFonts w:ascii="Garamond" w:hAnsi="Garamond" w:cs="Times New Roman"/>
          <w:i/>
        </w:rPr>
        <w:t>obiter</w:t>
      </w:r>
      <w:proofErr w:type="spellEnd"/>
      <w:r w:rsidRPr="00634CBB">
        <w:rPr>
          <w:rFonts w:ascii="Garamond" w:hAnsi="Garamond" w:cs="Times New Roman"/>
          <w:i/>
        </w:rPr>
        <w:t xml:space="preserve"> </w:t>
      </w:r>
      <w:proofErr w:type="spellStart"/>
      <w:r w:rsidRPr="00634CBB">
        <w:rPr>
          <w:rFonts w:ascii="Garamond" w:hAnsi="Garamond" w:cs="Times New Roman"/>
          <w:i/>
        </w:rPr>
        <w:t>dictum</w:t>
      </w:r>
      <w:proofErr w:type="spellEnd"/>
      <w:r w:rsidRPr="00634CBB">
        <w:rPr>
          <w:rFonts w:ascii="Garamond" w:hAnsi="Garamond" w:cs="Times New Roman"/>
        </w:rPr>
        <w:t xml:space="preserve"> della </w:t>
      </w:r>
      <w:r w:rsidR="00103E8B" w:rsidRPr="00634CBB">
        <w:rPr>
          <w:rFonts w:ascii="Garamond" w:hAnsi="Garamond" w:cs="Times New Roman"/>
        </w:rPr>
        <w:t xml:space="preserve">decisione </w:t>
      </w:r>
      <w:r w:rsidRPr="00634CBB">
        <w:rPr>
          <w:rFonts w:ascii="Garamond" w:hAnsi="Garamond" w:cs="Times New Roman"/>
        </w:rPr>
        <w:t>(il caso di specie riguardava un’istanza di acces</w:t>
      </w:r>
      <w:r w:rsidR="00103E8B" w:rsidRPr="00634CBB">
        <w:rPr>
          <w:rFonts w:ascii="Garamond" w:hAnsi="Garamond" w:cs="Times New Roman"/>
        </w:rPr>
        <w:t>so documentale ed è stato risolto</w:t>
      </w:r>
      <w:r w:rsidRPr="00634CBB">
        <w:rPr>
          <w:rFonts w:ascii="Garamond" w:hAnsi="Garamond" w:cs="Times New Roman"/>
        </w:rPr>
        <w:t xml:space="preserve"> in base alla Legge 241/90) ed è stata emessa ancor prima che entrasse in vigore la novella di cui al D.Lgs. 25 maggio 2016 n. </w:t>
      </w:r>
      <w:proofErr w:type="gramStart"/>
      <w:r w:rsidRPr="00634CBB">
        <w:rPr>
          <w:rFonts w:ascii="Garamond" w:hAnsi="Garamond" w:cs="Times New Roman"/>
        </w:rPr>
        <w:t xml:space="preserve">97 </w:t>
      </w:r>
      <w:r w:rsidRPr="00634CBB">
        <w:rPr>
          <w:rStyle w:val="Rimandonotaapidipagina"/>
          <w:rFonts w:ascii="Garamond" w:hAnsi="Garamond" w:cs="Times New Roman"/>
        </w:rPr>
        <w:footnoteReference w:id="51"/>
      </w:r>
      <w:r w:rsidR="00506C7E" w:rsidRPr="00634CBB">
        <w:rPr>
          <w:rFonts w:ascii="Garamond" w:hAnsi="Garamond" w:cs="Times New Roman"/>
        </w:rPr>
        <w:t>,</w:t>
      </w:r>
      <w:proofErr w:type="gramEnd"/>
      <w:r w:rsidR="00506C7E" w:rsidRPr="00634CBB">
        <w:rPr>
          <w:rFonts w:ascii="Garamond" w:hAnsi="Garamond" w:cs="Times New Roman"/>
        </w:rPr>
        <w:t xml:space="preserve"> di </w:t>
      </w:r>
      <w:r w:rsidR="00103E8B" w:rsidRPr="00634CBB">
        <w:rPr>
          <w:rFonts w:ascii="Garamond" w:hAnsi="Garamond" w:cs="Times New Roman"/>
        </w:rPr>
        <w:t xml:space="preserve">talchè </w:t>
      </w:r>
      <w:r w:rsidR="00BC5F72" w:rsidRPr="00634CBB">
        <w:rPr>
          <w:rFonts w:ascii="Garamond" w:hAnsi="Garamond" w:cs="Times New Roman"/>
        </w:rPr>
        <w:t xml:space="preserve">essa non può essere </w:t>
      </w:r>
      <w:r w:rsidR="00103E8B" w:rsidRPr="00634CBB">
        <w:rPr>
          <w:rFonts w:ascii="Garamond" w:hAnsi="Garamond" w:cs="Times New Roman"/>
        </w:rPr>
        <w:t>considerata</w:t>
      </w:r>
      <w:r w:rsidR="00BC5F72" w:rsidRPr="00634CBB">
        <w:rPr>
          <w:rFonts w:ascii="Garamond" w:hAnsi="Garamond" w:cs="Times New Roman"/>
        </w:rPr>
        <w:t xml:space="preserve"> </w:t>
      </w:r>
      <w:r w:rsidR="00506C7E" w:rsidRPr="00634CBB">
        <w:rPr>
          <w:rFonts w:ascii="Garamond" w:hAnsi="Garamond" w:cs="Times New Roman"/>
        </w:rPr>
        <w:t>un vero e proprio precedente.</w:t>
      </w:r>
    </w:p>
    <w:p w:rsidR="00506C7E" w:rsidRPr="00634CBB" w:rsidRDefault="00506C7E" w:rsidP="00C92580">
      <w:pPr>
        <w:spacing w:line="360" w:lineRule="auto"/>
        <w:ind w:left="851" w:right="851"/>
        <w:jc w:val="both"/>
        <w:rPr>
          <w:rFonts w:ascii="Garamond" w:hAnsi="Garamond" w:cs="Times New Roman"/>
          <w:color w:val="000000" w:themeColor="text1"/>
        </w:rPr>
      </w:pPr>
      <w:r w:rsidRPr="00634CBB">
        <w:rPr>
          <w:rFonts w:ascii="Garamond" w:hAnsi="Garamond" w:cs="Times New Roman"/>
        </w:rPr>
        <w:t xml:space="preserve">In tutt’altra direzione </w:t>
      </w:r>
      <w:r w:rsidRPr="00634CBB">
        <w:rPr>
          <w:rFonts w:ascii="Garamond" w:hAnsi="Garamond" w:cs="Times New Roman"/>
          <w:color w:val="000000" w:themeColor="text1"/>
        </w:rPr>
        <w:t>sembrano, invece, orientate le prime pronunce del Giudice di primo grado, secondo il quale l’interesse conoscitivo è destinato a prevalere sulla tutela dei dati personali ogniqualvolta le informazioni richieste (a prescindere dalla finalità della richiesta) rientrino (oggettivamente) nell’ambito di quel “</w:t>
      </w:r>
      <w:r w:rsidRPr="00634CBB">
        <w:rPr>
          <w:rFonts w:ascii="Garamond" w:hAnsi="Garamond" w:cs="Times New Roman"/>
          <w:i/>
          <w:color w:val="000000" w:themeColor="text1"/>
        </w:rPr>
        <w:t>controllo sul perseguimento delle funzioni istituzionali e sull'utilizzo delle risorse pubbliche”</w:t>
      </w:r>
      <w:r w:rsidRPr="00634CBB">
        <w:rPr>
          <w:rFonts w:ascii="Garamond" w:hAnsi="Garamond" w:cs="Times New Roman"/>
          <w:color w:val="000000" w:themeColor="text1"/>
        </w:rPr>
        <w:t xml:space="preserve"> previsto dalla norma (T.A.R. Napoli sez. VI 13.12.2017 n. 5901), con la condivisibile precisazione che </w:t>
      </w:r>
      <w:r w:rsidRPr="00634CBB">
        <w:rPr>
          <w:rFonts w:ascii="Garamond" w:hAnsi="Garamond" w:cs="Times New Roman"/>
          <w:i/>
          <w:color w:val="000000" w:themeColor="text1"/>
        </w:rPr>
        <w:t>“l’indagine sulle reali motivazioni del richiedente l’accesso civico generalizzato esuli dai compiti attributi al Comune che deve limitarsi a verificare che non ricorrano casi di esclusione previsti dalla legge.”</w:t>
      </w:r>
      <w:r w:rsidRPr="00634CBB">
        <w:rPr>
          <w:rFonts w:ascii="Garamond" w:hAnsi="Garamond" w:cs="Times New Roman"/>
          <w:color w:val="000000" w:themeColor="text1"/>
        </w:rPr>
        <w:t xml:space="preserve"> (T.A.R. Napoli sez. VI 22.12.2017 n. 6028).</w:t>
      </w:r>
    </w:p>
    <w:p w:rsidR="00C92580" w:rsidRPr="00634CBB" w:rsidRDefault="00BC5F72" w:rsidP="00506C7E">
      <w:pPr>
        <w:spacing w:line="360" w:lineRule="auto"/>
        <w:ind w:left="851" w:right="851"/>
        <w:jc w:val="both"/>
        <w:rPr>
          <w:rFonts w:ascii="Garamond" w:eastAsia="Cambria" w:hAnsi="Garamond" w:cs="Times New Roman"/>
          <w:color w:val="000000" w:themeColor="text1"/>
        </w:rPr>
      </w:pPr>
      <w:r w:rsidRPr="00634CBB">
        <w:rPr>
          <w:rFonts w:ascii="Garamond" w:hAnsi="Garamond" w:cs="Times New Roman"/>
        </w:rPr>
        <w:t xml:space="preserve">Altrettanto significative sono, inoltre, </w:t>
      </w:r>
      <w:r w:rsidR="00506C7E" w:rsidRPr="00634CBB">
        <w:rPr>
          <w:rFonts w:ascii="Garamond" w:hAnsi="Garamond" w:cs="Times New Roman"/>
        </w:rPr>
        <w:t xml:space="preserve">alcune </w:t>
      </w:r>
      <w:r w:rsidR="00C92580" w:rsidRPr="00634CBB">
        <w:rPr>
          <w:rFonts w:ascii="Garamond" w:eastAsia="Cambria" w:hAnsi="Garamond" w:cs="Times New Roman"/>
          <w:color w:val="000000" w:themeColor="text1"/>
        </w:rPr>
        <w:t>r</w:t>
      </w:r>
      <w:r w:rsidR="00506C7E" w:rsidRPr="00634CBB">
        <w:rPr>
          <w:rFonts w:ascii="Garamond" w:eastAsia="Cambria" w:hAnsi="Garamond" w:cs="Times New Roman"/>
          <w:color w:val="000000" w:themeColor="text1"/>
        </w:rPr>
        <w:t>ecenti pronunce con le quali il Giudice amministr</w:t>
      </w:r>
      <w:r w:rsidRPr="00634CBB">
        <w:rPr>
          <w:rFonts w:ascii="Garamond" w:eastAsia="Cambria" w:hAnsi="Garamond" w:cs="Times New Roman"/>
          <w:color w:val="000000" w:themeColor="text1"/>
        </w:rPr>
        <w:t xml:space="preserve">ativo ha applicato </w:t>
      </w:r>
      <w:r w:rsidR="00C92580" w:rsidRPr="00634CBB">
        <w:rPr>
          <w:rFonts w:ascii="Garamond" w:eastAsia="Cambria" w:hAnsi="Garamond" w:cs="Times New Roman"/>
          <w:color w:val="000000" w:themeColor="text1"/>
        </w:rPr>
        <w:t xml:space="preserve">il </w:t>
      </w:r>
      <w:r w:rsidR="00506C7E" w:rsidRPr="00634CBB">
        <w:rPr>
          <w:rFonts w:ascii="Garamond" w:eastAsia="Cambria" w:hAnsi="Garamond" w:cs="Times New Roman"/>
          <w:color w:val="000000" w:themeColor="text1"/>
        </w:rPr>
        <w:t>“</w:t>
      </w:r>
      <w:r w:rsidR="00C92580" w:rsidRPr="00634CBB">
        <w:rPr>
          <w:rFonts w:ascii="Garamond" w:eastAsia="Cambria" w:hAnsi="Garamond" w:cs="Times New Roman"/>
          <w:color w:val="000000" w:themeColor="text1"/>
        </w:rPr>
        <w:t>divieto di abuso del diritto</w:t>
      </w:r>
      <w:r w:rsidR="00506C7E" w:rsidRPr="00634CBB">
        <w:rPr>
          <w:rFonts w:ascii="Garamond" w:eastAsia="Cambria" w:hAnsi="Garamond" w:cs="Times New Roman"/>
          <w:color w:val="000000" w:themeColor="text1"/>
        </w:rPr>
        <w:t>”</w:t>
      </w:r>
      <w:r w:rsidR="00C92580" w:rsidRPr="00634CBB">
        <w:rPr>
          <w:rFonts w:ascii="Garamond" w:eastAsia="Cambria" w:hAnsi="Garamond" w:cs="Times New Roman"/>
          <w:color w:val="000000" w:themeColor="text1"/>
        </w:rPr>
        <w:t xml:space="preserve"> </w:t>
      </w:r>
      <w:r w:rsidRPr="00634CBB">
        <w:rPr>
          <w:rFonts w:ascii="Garamond" w:eastAsia="Cambria" w:hAnsi="Garamond" w:cs="Times New Roman"/>
          <w:color w:val="000000" w:themeColor="text1"/>
        </w:rPr>
        <w:t xml:space="preserve">ad </w:t>
      </w:r>
      <w:r w:rsidR="00506C7E" w:rsidRPr="00634CBB">
        <w:rPr>
          <w:rFonts w:ascii="Garamond" w:eastAsia="Cambria" w:hAnsi="Garamond" w:cs="Times New Roman"/>
          <w:color w:val="000000" w:themeColor="text1"/>
        </w:rPr>
        <w:t xml:space="preserve">istanze di </w:t>
      </w:r>
      <w:r w:rsidR="00C92580" w:rsidRPr="00634CBB">
        <w:rPr>
          <w:rFonts w:ascii="Garamond" w:eastAsia="Cambria" w:hAnsi="Garamond" w:cs="Times New Roman"/>
          <w:color w:val="000000" w:themeColor="text1"/>
        </w:rPr>
        <w:t xml:space="preserve">accesso civico </w:t>
      </w:r>
      <w:proofErr w:type="gramStart"/>
      <w:r w:rsidR="00506C7E" w:rsidRPr="00634CBB">
        <w:rPr>
          <w:rFonts w:ascii="Garamond" w:eastAsia="Cambria" w:hAnsi="Garamond" w:cs="Times New Roman"/>
          <w:color w:val="000000" w:themeColor="text1"/>
        </w:rPr>
        <w:t xml:space="preserve">generalizzato </w:t>
      </w:r>
      <w:r w:rsidR="00C92580" w:rsidRPr="00634CBB">
        <w:rPr>
          <w:rStyle w:val="Rimandonotaapidipagina"/>
          <w:rFonts w:ascii="Garamond" w:eastAsia="Cambria" w:hAnsi="Garamond" w:cs="Times New Roman"/>
          <w:color w:val="000000" w:themeColor="text1"/>
        </w:rPr>
        <w:footnoteReference w:id="52"/>
      </w:r>
      <w:r w:rsidR="00C92580" w:rsidRPr="00634CBB">
        <w:rPr>
          <w:rFonts w:ascii="Garamond" w:eastAsia="Cambria" w:hAnsi="Garamond" w:cs="Times New Roman"/>
          <w:color w:val="000000" w:themeColor="text1"/>
        </w:rPr>
        <w:t>.</w:t>
      </w:r>
      <w:proofErr w:type="gramEnd"/>
    </w:p>
    <w:p w:rsidR="00C92580" w:rsidRPr="00634CBB" w:rsidRDefault="00BC5F72" w:rsidP="00C92580">
      <w:pPr>
        <w:spacing w:line="360" w:lineRule="auto"/>
        <w:ind w:left="851" w:right="851"/>
        <w:jc w:val="both"/>
        <w:rPr>
          <w:rFonts w:ascii="Garamond" w:hAnsi="Garamond" w:cs="Times New Roman"/>
        </w:rPr>
      </w:pPr>
      <w:r w:rsidRPr="00634CBB">
        <w:rPr>
          <w:rFonts w:ascii="Garamond" w:eastAsia="Cambria" w:hAnsi="Garamond" w:cs="Times New Roman"/>
          <w:color w:val="000000" w:themeColor="text1"/>
        </w:rPr>
        <w:t xml:space="preserve">In proposito, è </w:t>
      </w:r>
      <w:r w:rsidR="00506C7E" w:rsidRPr="00634CBB">
        <w:rPr>
          <w:rFonts w:ascii="Garamond" w:eastAsia="Cambria" w:hAnsi="Garamond" w:cs="Times New Roman"/>
          <w:color w:val="000000" w:themeColor="text1"/>
        </w:rPr>
        <w:t xml:space="preserve">di rilievo il fatto che </w:t>
      </w:r>
      <w:r w:rsidR="00C92580" w:rsidRPr="00634CBB">
        <w:rPr>
          <w:rFonts w:ascii="Garamond" w:eastAsia="Cambria" w:hAnsi="Garamond" w:cs="Times New Roman"/>
          <w:color w:val="000000" w:themeColor="text1"/>
        </w:rPr>
        <w:t xml:space="preserve">la </w:t>
      </w:r>
      <w:r w:rsidR="00506C7E" w:rsidRPr="00634CBB">
        <w:rPr>
          <w:rFonts w:ascii="Garamond" w:eastAsia="Cambria" w:hAnsi="Garamond" w:cs="Times New Roman"/>
          <w:color w:val="000000" w:themeColor="text1"/>
        </w:rPr>
        <w:t xml:space="preserve">suddetta </w:t>
      </w:r>
      <w:r w:rsidR="00C92580" w:rsidRPr="00634CBB">
        <w:rPr>
          <w:rFonts w:ascii="Garamond" w:eastAsia="Cambria" w:hAnsi="Garamond" w:cs="Times New Roman"/>
          <w:color w:val="000000" w:themeColor="text1"/>
        </w:rPr>
        <w:t xml:space="preserve">figura </w:t>
      </w:r>
      <w:r w:rsidR="00506C7E" w:rsidRPr="00634CBB">
        <w:rPr>
          <w:rFonts w:ascii="Garamond" w:eastAsia="Cambria" w:hAnsi="Garamond" w:cs="Times New Roman"/>
          <w:color w:val="000000" w:themeColor="text1"/>
        </w:rPr>
        <w:t xml:space="preserve">di “abuso” è stata </w:t>
      </w:r>
      <w:r w:rsidR="00C92580" w:rsidRPr="00634CBB">
        <w:rPr>
          <w:rFonts w:ascii="Garamond" w:eastAsia="Cambria" w:hAnsi="Garamond" w:cs="Times New Roman"/>
          <w:color w:val="000000" w:themeColor="text1"/>
        </w:rPr>
        <w:t>applicata non già nel</w:t>
      </w:r>
      <w:r w:rsidR="00506C7E" w:rsidRPr="00634CBB">
        <w:rPr>
          <w:rFonts w:ascii="Garamond" w:eastAsia="Cambria" w:hAnsi="Garamond" w:cs="Times New Roman"/>
          <w:color w:val="000000" w:themeColor="text1"/>
        </w:rPr>
        <w:t>l’</w:t>
      </w:r>
      <w:r w:rsidRPr="00634CBB">
        <w:rPr>
          <w:rFonts w:ascii="Garamond" w:eastAsia="Cambria" w:hAnsi="Garamond" w:cs="Times New Roman"/>
          <w:color w:val="000000" w:themeColor="text1"/>
        </w:rPr>
        <w:t xml:space="preserve">effettuazione </w:t>
      </w:r>
      <w:r w:rsidR="00506C7E" w:rsidRPr="00634CBB">
        <w:rPr>
          <w:rFonts w:ascii="Garamond" w:eastAsia="Cambria" w:hAnsi="Garamond" w:cs="Times New Roman"/>
          <w:color w:val="000000" w:themeColor="text1"/>
        </w:rPr>
        <w:t>del</w:t>
      </w:r>
      <w:r w:rsidR="00C92580" w:rsidRPr="00634CBB">
        <w:rPr>
          <w:rFonts w:ascii="Garamond" w:eastAsia="Cambria" w:hAnsi="Garamond" w:cs="Times New Roman"/>
          <w:color w:val="000000" w:themeColor="text1"/>
        </w:rPr>
        <w:t xml:space="preserve"> giudizio di comparazione del diritto di accesso con gli interessi al riserbo richiamati dall’art. 5-bis, comma 2, D.Lgs. 33/2013, bensì come limite alle c.d. </w:t>
      </w:r>
      <w:r w:rsidR="00C92580" w:rsidRPr="00634CBB">
        <w:rPr>
          <w:rFonts w:ascii="Garamond" w:hAnsi="Garamond" w:cs="Times New Roman"/>
        </w:rPr>
        <w:t xml:space="preserve">“richieste massive e seriali”, </w:t>
      </w:r>
      <w:r w:rsidRPr="00634CBB">
        <w:rPr>
          <w:rFonts w:ascii="Garamond" w:hAnsi="Garamond" w:cs="Times New Roman"/>
        </w:rPr>
        <w:t xml:space="preserve">ritenute </w:t>
      </w:r>
      <w:r w:rsidR="00506C7E" w:rsidRPr="00634CBB">
        <w:rPr>
          <w:rFonts w:ascii="Garamond" w:hAnsi="Garamond" w:cs="Times New Roman"/>
        </w:rPr>
        <w:t>espressione</w:t>
      </w:r>
      <w:r w:rsidR="00C92580" w:rsidRPr="00634CBB">
        <w:rPr>
          <w:rFonts w:ascii="Garamond" w:hAnsi="Garamond" w:cs="Times New Roman"/>
        </w:rPr>
        <w:t xml:space="preserve"> di </w:t>
      </w:r>
      <w:r w:rsidRPr="00634CBB">
        <w:rPr>
          <w:rFonts w:ascii="Garamond" w:hAnsi="Garamond" w:cs="Times New Roman"/>
        </w:rPr>
        <w:t xml:space="preserve">un </w:t>
      </w:r>
      <w:r w:rsidR="00C92580" w:rsidRPr="00634CBB">
        <w:rPr>
          <w:rFonts w:ascii="Garamond" w:hAnsi="Garamond" w:cs="Times New Roman"/>
        </w:rPr>
        <w:t>“abusivo</w:t>
      </w:r>
      <w:r w:rsidRPr="00634CBB">
        <w:rPr>
          <w:rFonts w:ascii="Garamond" w:hAnsi="Garamond" w:cs="Times New Roman"/>
        </w:rPr>
        <w:t xml:space="preserve"> esercizio</w:t>
      </w:r>
      <w:r w:rsidR="00506C7E" w:rsidRPr="00634CBB">
        <w:rPr>
          <w:rFonts w:ascii="Garamond" w:hAnsi="Garamond" w:cs="Times New Roman"/>
        </w:rPr>
        <w:t xml:space="preserve"> del diritto</w:t>
      </w:r>
      <w:proofErr w:type="gramStart"/>
      <w:r w:rsidRPr="00634CBB">
        <w:rPr>
          <w:rFonts w:ascii="Garamond" w:hAnsi="Garamond" w:cs="Times New Roman"/>
        </w:rPr>
        <w:t>”</w:t>
      </w:r>
      <w:r w:rsidR="00C92580" w:rsidRPr="00634CBB">
        <w:rPr>
          <w:rFonts w:ascii="Garamond" w:hAnsi="Garamond" w:cs="Times New Roman"/>
        </w:rPr>
        <w:t xml:space="preserve"> </w:t>
      </w:r>
      <w:r w:rsidR="00C92580" w:rsidRPr="00634CBB">
        <w:rPr>
          <w:rStyle w:val="Rimandonotaapidipagina"/>
          <w:rFonts w:ascii="Garamond" w:hAnsi="Garamond" w:cs="Times New Roman"/>
        </w:rPr>
        <w:footnoteReference w:id="53"/>
      </w:r>
      <w:r w:rsidR="00C92580" w:rsidRPr="00634CBB">
        <w:rPr>
          <w:rFonts w:ascii="Garamond" w:hAnsi="Garamond" w:cs="Times New Roman"/>
        </w:rPr>
        <w:t>.</w:t>
      </w:r>
      <w:proofErr w:type="gramEnd"/>
    </w:p>
    <w:p w:rsidR="00C92580" w:rsidRPr="00634CBB" w:rsidRDefault="00C92580" w:rsidP="00C92580">
      <w:pPr>
        <w:spacing w:line="360" w:lineRule="auto"/>
        <w:ind w:left="851" w:right="851"/>
        <w:jc w:val="both"/>
        <w:rPr>
          <w:rFonts w:ascii="Garamond" w:eastAsia="Times New Roman" w:hAnsi="Garamond" w:cs="Times New Roman"/>
          <w:lang w:eastAsia="ar-SA"/>
        </w:rPr>
      </w:pPr>
      <w:r w:rsidRPr="00634CBB">
        <w:rPr>
          <w:rFonts w:ascii="Garamond" w:hAnsi="Garamond" w:cs="Times New Roman"/>
          <w:color w:val="000000" w:themeColor="text1"/>
        </w:rPr>
        <w:t>In questi casi, invero, non può negarsi un</w:t>
      </w:r>
      <w:r w:rsidR="00BC5F72" w:rsidRPr="00634CBB">
        <w:rPr>
          <w:rFonts w:ascii="Garamond" w:hAnsi="Garamond" w:cs="Times New Roman"/>
          <w:color w:val="000000" w:themeColor="text1"/>
        </w:rPr>
        <w:t xml:space="preserve"> legittimo spazio applicativo a</w:t>
      </w:r>
      <w:r w:rsidRPr="00634CBB">
        <w:rPr>
          <w:rFonts w:ascii="Garamond" w:hAnsi="Garamond" w:cs="Times New Roman"/>
          <w:color w:val="000000" w:themeColor="text1"/>
        </w:rPr>
        <w:t xml:space="preserve">l </w:t>
      </w:r>
      <w:r w:rsidR="00E336BC" w:rsidRPr="00634CBB">
        <w:rPr>
          <w:rFonts w:ascii="Garamond" w:hAnsi="Garamond" w:cs="Times New Roman"/>
          <w:color w:val="000000" w:themeColor="text1"/>
        </w:rPr>
        <w:t>“divieto di abuso</w:t>
      </w:r>
      <w:r w:rsidR="00ED644C" w:rsidRPr="00634CBB">
        <w:rPr>
          <w:rFonts w:ascii="Garamond" w:hAnsi="Garamond" w:cs="Times New Roman"/>
          <w:color w:val="000000" w:themeColor="text1"/>
        </w:rPr>
        <w:t>”</w:t>
      </w:r>
      <w:r w:rsidR="00E336BC" w:rsidRPr="00634CBB">
        <w:rPr>
          <w:rFonts w:ascii="Garamond" w:hAnsi="Garamond" w:cs="Times New Roman"/>
          <w:color w:val="000000" w:themeColor="text1"/>
        </w:rPr>
        <w:t>,</w:t>
      </w:r>
      <w:r w:rsidR="00ED644C"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inteso come divieto di quei </w:t>
      </w:r>
      <w:r w:rsidRPr="00634CBB">
        <w:rPr>
          <w:rFonts w:ascii="Garamond" w:eastAsia="Times New Roman" w:hAnsi="Garamond" w:cs="Times New Roman"/>
          <w:lang w:eastAsia="ar-SA"/>
        </w:rPr>
        <w:t xml:space="preserve">comportamenti che, pur integrando formalmente </w:t>
      </w:r>
      <w:r w:rsidRPr="00634CBB">
        <w:rPr>
          <w:rFonts w:ascii="Garamond" w:eastAsia="Times New Roman" w:hAnsi="Garamond" w:cs="Times New Roman"/>
          <w:lang w:eastAsia="ar-SA"/>
        </w:rPr>
        <w:lastRenderedPageBreak/>
        <w:t xml:space="preserve">gli estremi dell'esercizio di un diritto, </w:t>
      </w:r>
      <w:r w:rsidRPr="00634CBB">
        <w:rPr>
          <w:rFonts w:ascii="Garamond" w:hAnsi="Garamond" w:cs="Times New Roman"/>
        </w:rPr>
        <w:t xml:space="preserve">si rivela, alla luce </w:t>
      </w:r>
      <w:r w:rsidRPr="00634CBB">
        <w:rPr>
          <w:rFonts w:ascii="Garamond" w:eastAsia="Times New Roman" w:hAnsi="Garamond" w:cs="Times New Roman"/>
          <w:lang w:eastAsia="ar-SA"/>
        </w:rPr>
        <w:t xml:space="preserve">di criteri non formali di valutazione e delle circostanze concrete, in contrasto con la ragione della </w:t>
      </w:r>
      <w:r w:rsidR="00E336BC" w:rsidRPr="00634CBB">
        <w:rPr>
          <w:rFonts w:ascii="Garamond" w:eastAsia="Times New Roman" w:hAnsi="Garamond" w:cs="Times New Roman"/>
          <w:lang w:eastAsia="ar-SA"/>
        </w:rPr>
        <w:t xml:space="preserve">sua previsione </w:t>
      </w:r>
      <w:r w:rsidRPr="00634CBB">
        <w:rPr>
          <w:rFonts w:ascii="Garamond" w:eastAsia="Times New Roman" w:hAnsi="Garamond" w:cs="Times New Roman"/>
          <w:lang w:eastAsia="ar-SA"/>
        </w:rPr>
        <w:t>legislativa e quindi privo di tutela giuridica.</w:t>
      </w:r>
    </w:p>
    <w:p w:rsidR="00C92580" w:rsidRPr="00634CBB" w:rsidRDefault="00C92580" w:rsidP="00C92580">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Giudizio esperibile dalla Pubblica Amministrazione prima </w:t>
      </w:r>
      <w:r w:rsidR="00E336BC"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e </w:t>
      </w:r>
      <w:r w:rsidR="00E336BC" w:rsidRPr="00634CBB">
        <w:rPr>
          <w:rFonts w:ascii="Garamond" w:hAnsi="Garamond" w:cs="Times New Roman"/>
          <w:color w:val="000000" w:themeColor="text1"/>
        </w:rPr>
        <w:t xml:space="preserve">dal Giudice Amministrativo poi - </w:t>
      </w:r>
      <w:r w:rsidRPr="00634CBB">
        <w:rPr>
          <w:rFonts w:ascii="Garamond" w:hAnsi="Garamond" w:cs="Times New Roman"/>
          <w:color w:val="000000" w:themeColor="text1"/>
        </w:rPr>
        <w:t xml:space="preserve">all’insegna del “principio di proporzionalità” dei mezzi utilizzati dal titolare del diritto per il conseguimento del bene della vita cui quel diritto è riconosciuto </w:t>
      </w:r>
      <w:proofErr w:type="gramStart"/>
      <w:r w:rsidRPr="00634CBB">
        <w:rPr>
          <w:rFonts w:ascii="Garamond" w:hAnsi="Garamond" w:cs="Times New Roman"/>
          <w:color w:val="000000" w:themeColor="text1"/>
        </w:rPr>
        <w:t xml:space="preserve">dall’ordinamento </w:t>
      </w:r>
      <w:r w:rsidRPr="00634CBB">
        <w:rPr>
          <w:rStyle w:val="Rimandonotaapidipagina"/>
          <w:rFonts w:ascii="Garamond" w:hAnsi="Garamond" w:cs="Times New Roman"/>
          <w:color w:val="000000" w:themeColor="text1"/>
        </w:rPr>
        <w:footnoteReference w:id="54"/>
      </w:r>
      <w:r w:rsidRPr="00634CBB">
        <w:rPr>
          <w:rFonts w:ascii="Garamond" w:hAnsi="Garamond" w:cs="Times New Roman"/>
          <w:color w:val="000000" w:themeColor="text1"/>
        </w:rPr>
        <w:t>.</w:t>
      </w:r>
      <w:proofErr w:type="gramEnd"/>
    </w:p>
    <w:p w:rsidR="00ED644C" w:rsidRPr="00634CBB" w:rsidRDefault="0013591F" w:rsidP="00C92580">
      <w:pPr>
        <w:spacing w:line="360" w:lineRule="auto"/>
        <w:ind w:left="851" w:right="851"/>
        <w:jc w:val="both"/>
        <w:rPr>
          <w:rFonts w:ascii="Garamond" w:hAnsi="Garamond" w:cs="Times New Roman"/>
          <w:b/>
          <w:color w:val="000000" w:themeColor="text1"/>
        </w:rPr>
      </w:pPr>
      <w:r w:rsidRPr="00634CBB">
        <w:rPr>
          <w:rFonts w:ascii="Garamond" w:hAnsi="Garamond" w:cs="Times New Roman"/>
          <w:color w:val="000000" w:themeColor="text1"/>
        </w:rPr>
        <w:t>T</w:t>
      </w:r>
      <w:r w:rsidR="00ED644C" w:rsidRPr="00634CBB">
        <w:rPr>
          <w:rFonts w:ascii="Garamond" w:hAnsi="Garamond" w:cs="Times New Roman"/>
          <w:color w:val="000000" w:themeColor="text1"/>
        </w:rPr>
        <w:t>ratta</w:t>
      </w:r>
      <w:r w:rsidR="00103E8B" w:rsidRPr="00634CBB">
        <w:rPr>
          <w:rFonts w:ascii="Garamond" w:hAnsi="Garamond" w:cs="Times New Roman"/>
          <w:color w:val="000000" w:themeColor="text1"/>
        </w:rPr>
        <w:t>si</w:t>
      </w:r>
      <w:r w:rsidR="00ED644C"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come è evidente, </w:t>
      </w:r>
      <w:r w:rsidR="00ED644C" w:rsidRPr="00634CBB">
        <w:rPr>
          <w:rFonts w:ascii="Garamond" w:hAnsi="Garamond" w:cs="Times New Roman"/>
          <w:color w:val="000000" w:themeColor="text1"/>
        </w:rPr>
        <w:t xml:space="preserve">di </w:t>
      </w:r>
      <w:r w:rsidRPr="00634CBB">
        <w:rPr>
          <w:rFonts w:ascii="Garamond" w:hAnsi="Garamond" w:cs="Times New Roman"/>
          <w:color w:val="000000" w:themeColor="text1"/>
        </w:rPr>
        <w:t xml:space="preserve">una </w:t>
      </w:r>
      <w:r w:rsidR="00ED644C" w:rsidRPr="00634CBB">
        <w:rPr>
          <w:rFonts w:ascii="Garamond" w:hAnsi="Garamond" w:cs="Times New Roman"/>
          <w:color w:val="000000" w:themeColor="text1"/>
        </w:rPr>
        <w:t xml:space="preserve">prospettiva </w:t>
      </w:r>
      <w:r w:rsidRPr="00634CBB">
        <w:rPr>
          <w:rFonts w:ascii="Garamond" w:hAnsi="Garamond" w:cs="Times New Roman"/>
          <w:color w:val="000000" w:themeColor="text1"/>
        </w:rPr>
        <w:t xml:space="preserve">e di un piano di valutazione </w:t>
      </w:r>
      <w:r w:rsidR="00ED644C" w:rsidRPr="00634CBB">
        <w:rPr>
          <w:rFonts w:ascii="Garamond" w:hAnsi="Garamond" w:cs="Times New Roman"/>
          <w:color w:val="000000" w:themeColor="text1"/>
        </w:rPr>
        <w:t>ben divers</w:t>
      </w:r>
      <w:r w:rsidRPr="00634CBB">
        <w:rPr>
          <w:rFonts w:ascii="Garamond" w:hAnsi="Garamond" w:cs="Times New Roman"/>
          <w:color w:val="000000" w:themeColor="text1"/>
        </w:rPr>
        <w:t>i rispetto alla “funzionalizzazione” del contenuto del diritto di accesso nell’ambito dell’applicazione delle limitazioni previste dall’art. 5-bis, comma 2,</w:t>
      </w:r>
      <w:r w:rsidR="00ED644C" w:rsidRPr="00634CBB">
        <w:rPr>
          <w:rFonts w:ascii="Garamond" w:hAnsi="Garamond" w:cs="Times New Roman"/>
          <w:color w:val="000000" w:themeColor="text1"/>
        </w:rPr>
        <w:t xml:space="preserve"> </w:t>
      </w:r>
      <w:r w:rsidRPr="00634CBB">
        <w:rPr>
          <w:rFonts w:ascii="Garamond" w:hAnsi="Garamond" w:cs="Times New Roman"/>
          <w:color w:val="000000" w:themeColor="text1"/>
        </w:rPr>
        <w:t>D.Lgs. 33/2013.</w:t>
      </w:r>
    </w:p>
    <w:p w:rsidR="00C92580" w:rsidRPr="00634CBB" w:rsidRDefault="00C92580" w:rsidP="002C06AA">
      <w:pPr>
        <w:spacing w:line="360" w:lineRule="auto"/>
        <w:ind w:left="851" w:right="851"/>
        <w:jc w:val="both"/>
        <w:rPr>
          <w:rFonts w:ascii="Garamond" w:hAnsi="Garamond" w:cs="Times New Roman"/>
          <w:b/>
          <w:color w:val="000000" w:themeColor="text1"/>
        </w:rPr>
      </w:pPr>
    </w:p>
    <w:p w:rsidR="002861A7" w:rsidRPr="00634CBB" w:rsidRDefault="000C63AE" w:rsidP="002C06AA">
      <w:pPr>
        <w:spacing w:line="360" w:lineRule="auto"/>
        <w:ind w:left="851" w:right="851"/>
        <w:jc w:val="both"/>
        <w:rPr>
          <w:rFonts w:ascii="Garamond" w:eastAsia="Cambria" w:hAnsi="Garamond" w:cs="Times New Roman"/>
          <w:color w:val="000000" w:themeColor="text1"/>
        </w:rPr>
      </w:pPr>
      <w:r w:rsidRPr="00634CBB">
        <w:rPr>
          <w:rFonts w:ascii="Garamond" w:hAnsi="Garamond" w:cs="Times New Roman"/>
          <w:b/>
          <w:color w:val="000000" w:themeColor="text1"/>
        </w:rPr>
        <w:t>8.</w:t>
      </w:r>
      <w:r w:rsidR="00C92580" w:rsidRPr="00634CBB">
        <w:rPr>
          <w:rFonts w:ascii="Garamond" w:hAnsi="Garamond" w:cs="Times New Roman"/>
          <w:b/>
          <w:color w:val="000000" w:themeColor="text1"/>
        </w:rPr>
        <w:t xml:space="preserve"> </w:t>
      </w:r>
      <w:r w:rsidR="00826E96" w:rsidRPr="00634CBB">
        <w:rPr>
          <w:rFonts w:ascii="Garamond" w:hAnsi="Garamond" w:cs="Times New Roman"/>
          <w:b/>
          <w:color w:val="000000" w:themeColor="text1"/>
        </w:rPr>
        <w:t>I</w:t>
      </w:r>
      <w:r w:rsidR="002364FE" w:rsidRPr="00634CBB">
        <w:rPr>
          <w:rFonts w:ascii="Garamond" w:hAnsi="Garamond" w:cs="Times New Roman"/>
          <w:b/>
          <w:color w:val="000000" w:themeColor="text1"/>
        </w:rPr>
        <w:t>l giudizio di ponderazione degli interessi contrapposti ai sensi dell’art. 5-bis, comma 2, D.Lgs. 33/2013.</w:t>
      </w:r>
    </w:p>
    <w:p w:rsidR="007D51F4" w:rsidRPr="00634CBB" w:rsidRDefault="00103E8B" w:rsidP="002C06AA">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L</w:t>
      </w:r>
      <w:r w:rsidR="00806615" w:rsidRPr="00634CBB">
        <w:rPr>
          <w:rFonts w:ascii="Garamond" w:hAnsi="Garamond" w:cs="Times New Roman"/>
          <w:color w:val="000000" w:themeColor="text1"/>
        </w:rPr>
        <w:t>’art. 5-bis</w:t>
      </w:r>
      <w:r w:rsidR="002364FE" w:rsidRPr="00634CBB">
        <w:rPr>
          <w:rFonts w:ascii="Garamond" w:hAnsi="Garamond" w:cs="Times New Roman"/>
          <w:color w:val="000000" w:themeColor="text1"/>
        </w:rPr>
        <w:t>, comma 2</w:t>
      </w:r>
      <w:r w:rsidR="00E336BC" w:rsidRPr="00634CBB">
        <w:rPr>
          <w:rFonts w:ascii="Garamond" w:hAnsi="Garamond" w:cs="Times New Roman"/>
          <w:color w:val="000000" w:themeColor="text1"/>
        </w:rPr>
        <w:t>,</w:t>
      </w:r>
      <w:r w:rsidR="00806615" w:rsidRPr="00634CBB">
        <w:rPr>
          <w:rFonts w:ascii="Garamond" w:hAnsi="Garamond" w:cs="Times New Roman"/>
          <w:color w:val="000000" w:themeColor="text1"/>
        </w:rPr>
        <w:t xml:space="preserve"> </w:t>
      </w:r>
      <w:r w:rsidR="0013591F" w:rsidRPr="00634CBB">
        <w:rPr>
          <w:rFonts w:ascii="Garamond" w:hAnsi="Garamond" w:cs="Times New Roman"/>
          <w:color w:val="000000" w:themeColor="text1"/>
        </w:rPr>
        <w:t>del D.Lgs. 33/2013 prevede</w:t>
      </w:r>
      <w:r w:rsidR="00E336BC" w:rsidRPr="00634CBB">
        <w:rPr>
          <w:rFonts w:ascii="Garamond" w:hAnsi="Garamond" w:cs="Times New Roman"/>
          <w:color w:val="000000" w:themeColor="text1"/>
        </w:rPr>
        <w:t xml:space="preserve"> che</w:t>
      </w:r>
      <w:r w:rsidR="00806615" w:rsidRPr="00634CBB">
        <w:rPr>
          <w:rFonts w:ascii="Garamond" w:hAnsi="Garamond" w:cs="Times New Roman"/>
          <w:color w:val="000000" w:themeColor="text1"/>
        </w:rPr>
        <w:t xml:space="preserve"> la ponderazione dell’interess</w:t>
      </w:r>
      <w:r w:rsidR="002364FE" w:rsidRPr="00634CBB">
        <w:rPr>
          <w:rFonts w:ascii="Garamond" w:hAnsi="Garamond" w:cs="Times New Roman"/>
          <w:color w:val="000000" w:themeColor="text1"/>
        </w:rPr>
        <w:t xml:space="preserve">e conoscitivo </w:t>
      </w:r>
      <w:r w:rsidR="00E336BC" w:rsidRPr="00634CBB">
        <w:rPr>
          <w:rFonts w:ascii="Garamond" w:hAnsi="Garamond" w:cs="Times New Roman"/>
          <w:color w:val="000000" w:themeColor="text1"/>
        </w:rPr>
        <w:t xml:space="preserve">con </w:t>
      </w:r>
      <w:r w:rsidR="0013591F" w:rsidRPr="00634CBB">
        <w:rPr>
          <w:rFonts w:ascii="Garamond" w:hAnsi="Garamond" w:cs="Times New Roman"/>
          <w:color w:val="000000" w:themeColor="text1"/>
        </w:rPr>
        <w:t xml:space="preserve">gli </w:t>
      </w:r>
      <w:r w:rsidR="002364FE" w:rsidRPr="00634CBB">
        <w:rPr>
          <w:rFonts w:ascii="Garamond" w:hAnsi="Garamond" w:cs="Times New Roman"/>
          <w:color w:val="000000" w:themeColor="text1"/>
        </w:rPr>
        <w:t xml:space="preserve">altri </w:t>
      </w:r>
      <w:r w:rsidR="007F23C6" w:rsidRPr="00634CBB">
        <w:rPr>
          <w:rFonts w:ascii="Garamond" w:hAnsi="Garamond" w:cs="Times New Roman"/>
          <w:color w:val="000000" w:themeColor="text1"/>
        </w:rPr>
        <w:t xml:space="preserve">contrapposti </w:t>
      </w:r>
      <w:r w:rsidR="002364FE" w:rsidRPr="00634CBB">
        <w:rPr>
          <w:rFonts w:ascii="Garamond" w:hAnsi="Garamond" w:cs="Times New Roman"/>
          <w:color w:val="000000" w:themeColor="text1"/>
        </w:rPr>
        <w:t xml:space="preserve">interessi (a cominciare dalla </w:t>
      </w:r>
      <w:r w:rsidRPr="00634CBB">
        <w:rPr>
          <w:rFonts w:ascii="Garamond" w:hAnsi="Garamond" w:cs="Times New Roman"/>
          <w:color w:val="000000" w:themeColor="text1"/>
        </w:rPr>
        <w:t>tutela dei dati personali</w:t>
      </w:r>
      <w:r w:rsidR="007D51F4" w:rsidRPr="00634CBB">
        <w:rPr>
          <w:rFonts w:ascii="Garamond" w:hAnsi="Garamond" w:cs="Times New Roman"/>
          <w:color w:val="000000" w:themeColor="text1"/>
        </w:rPr>
        <w:t>)</w:t>
      </w:r>
      <w:r w:rsidR="00E336BC" w:rsidRPr="00634CBB">
        <w:rPr>
          <w:rFonts w:ascii="Garamond" w:hAnsi="Garamond" w:cs="Times New Roman"/>
          <w:color w:val="000000" w:themeColor="text1"/>
        </w:rPr>
        <w:t xml:space="preserve"> debba essere</w:t>
      </w:r>
      <w:r w:rsidR="0013591F" w:rsidRPr="00634CBB">
        <w:rPr>
          <w:rFonts w:ascii="Garamond" w:hAnsi="Garamond" w:cs="Times New Roman"/>
          <w:color w:val="000000" w:themeColor="text1"/>
        </w:rPr>
        <w:t xml:space="preserve"> effettuata sulla base di</w:t>
      </w:r>
      <w:r w:rsidR="00806615" w:rsidRPr="00634CBB">
        <w:rPr>
          <w:rFonts w:ascii="Garamond" w:hAnsi="Garamond" w:cs="Times New Roman"/>
          <w:color w:val="000000" w:themeColor="text1"/>
        </w:rPr>
        <w:t xml:space="preserve"> criteri oggettivi, avuto riguardo al </w:t>
      </w:r>
      <w:r w:rsidR="00806615" w:rsidRPr="00634CBB">
        <w:rPr>
          <w:rFonts w:ascii="Garamond" w:hAnsi="Garamond" w:cs="Times New Roman"/>
          <w:i/>
          <w:color w:val="000000" w:themeColor="text1"/>
        </w:rPr>
        <w:t>“pregiudizio concreto”</w:t>
      </w:r>
      <w:r w:rsidR="00806615" w:rsidRPr="00634CBB">
        <w:rPr>
          <w:rFonts w:ascii="Garamond" w:hAnsi="Garamond" w:cs="Times New Roman"/>
          <w:color w:val="000000" w:themeColor="text1"/>
        </w:rPr>
        <w:t xml:space="preserve"> arrecabile a </w:t>
      </w:r>
      <w:r w:rsidR="007D51F4" w:rsidRPr="00634CBB">
        <w:rPr>
          <w:rFonts w:ascii="Garamond" w:hAnsi="Garamond" w:cs="Times New Roman"/>
          <w:color w:val="000000" w:themeColor="text1"/>
        </w:rPr>
        <w:t>tali interessi.</w:t>
      </w:r>
    </w:p>
    <w:p w:rsidR="007D51F4" w:rsidRPr="00634CBB" w:rsidRDefault="00E336BC" w:rsidP="0065034F">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Con le citate </w:t>
      </w:r>
      <w:r w:rsidR="00F612AD" w:rsidRPr="00634CBB">
        <w:rPr>
          <w:rFonts w:ascii="Garamond" w:hAnsi="Garamond" w:cs="Times New Roman"/>
          <w:color w:val="000000" w:themeColor="text1"/>
        </w:rPr>
        <w:t>“</w:t>
      </w:r>
      <w:r w:rsidRPr="00634CBB">
        <w:rPr>
          <w:rFonts w:ascii="Garamond" w:hAnsi="Garamond" w:cs="Times New Roman"/>
          <w:color w:val="000000" w:themeColor="text1"/>
        </w:rPr>
        <w:t>Linee guida</w:t>
      </w:r>
      <w:r w:rsidR="00F612AD" w:rsidRPr="00634CBB">
        <w:rPr>
          <w:rFonts w:ascii="Garamond" w:hAnsi="Garamond" w:cs="Times New Roman"/>
          <w:color w:val="000000" w:themeColor="text1"/>
        </w:rPr>
        <w:t>”</w:t>
      </w:r>
      <w:r w:rsidRPr="00634CBB">
        <w:rPr>
          <w:rFonts w:ascii="Garamond" w:hAnsi="Garamond" w:cs="Times New Roman"/>
          <w:color w:val="000000" w:themeColor="text1"/>
        </w:rPr>
        <w:t xml:space="preserve"> l</w:t>
      </w:r>
      <w:r w:rsidR="007D51F4" w:rsidRPr="00634CBB">
        <w:rPr>
          <w:rFonts w:ascii="Garamond" w:hAnsi="Garamond" w:cs="Times New Roman"/>
          <w:color w:val="000000" w:themeColor="text1"/>
        </w:rPr>
        <w:t xml:space="preserve">’Autorità Nazionale Anticorruzione ha opportunamente precisato che </w:t>
      </w:r>
      <w:r w:rsidR="0065034F" w:rsidRPr="00634CBB">
        <w:rPr>
          <w:rFonts w:ascii="Garamond" w:hAnsi="Garamond" w:cs="Times New Roman"/>
          <w:color w:val="000000" w:themeColor="text1"/>
        </w:rPr>
        <w:t>a giustificare il diniego dell’accesso non è sufficiente che il pregiudizio sia semplicemente “possibile in via generale ed astratta”, dovendo essere “altamente probabile” (Delibera Anac n. 1309/</w:t>
      </w:r>
      <w:proofErr w:type="gramStart"/>
      <w:r w:rsidR="0065034F" w:rsidRPr="00634CBB">
        <w:rPr>
          <w:rFonts w:ascii="Garamond" w:hAnsi="Garamond" w:cs="Times New Roman"/>
          <w:color w:val="000000" w:themeColor="text1"/>
        </w:rPr>
        <w:t xml:space="preserve">2016 </w:t>
      </w:r>
      <w:r w:rsidR="0065034F" w:rsidRPr="00634CBB">
        <w:rPr>
          <w:rStyle w:val="Rimandonotaapidipagina"/>
          <w:rFonts w:ascii="Garamond" w:hAnsi="Garamond" w:cs="Times New Roman"/>
          <w:color w:val="000000" w:themeColor="text1"/>
        </w:rPr>
        <w:footnoteReference w:id="55"/>
      </w:r>
      <w:r w:rsidR="0065034F" w:rsidRPr="00634CBB">
        <w:rPr>
          <w:rFonts w:ascii="Garamond" w:hAnsi="Garamond" w:cs="Times New Roman"/>
          <w:color w:val="000000" w:themeColor="text1"/>
        </w:rPr>
        <w:t>)</w:t>
      </w:r>
      <w:proofErr w:type="gramEnd"/>
      <w:r w:rsidR="0065034F" w:rsidRPr="00634CBB">
        <w:rPr>
          <w:rFonts w:ascii="Garamond" w:hAnsi="Garamond" w:cs="Times New Roman"/>
          <w:color w:val="000000" w:themeColor="text1"/>
        </w:rPr>
        <w:t xml:space="preserve">. </w:t>
      </w:r>
    </w:p>
    <w:p w:rsidR="00806615" w:rsidRPr="00634CBB" w:rsidRDefault="002B7E3F" w:rsidP="002C06AA">
      <w:pPr>
        <w:spacing w:line="360" w:lineRule="auto"/>
        <w:ind w:left="851" w:right="851"/>
        <w:jc w:val="both"/>
        <w:rPr>
          <w:rFonts w:ascii="Garamond" w:eastAsia="Cambria" w:hAnsi="Garamond" w:cs="Times New Roman"/>
          <w:color w:val="000000" w:themeColor="text1"/>
        </w:rPr>
      </w:pPr>
      <w:r w:rsidRPr="00634CBB">
        <w:rPr>
          <w:rFonts w:ascii="Garamond" w:eastAsia="Cambria" w:hAnsi="Garamond" w:cs="Times New Roman"/>
          <w:color w:val="000000" w:themeColor="text1"/>
        </w:rPr>
        <w:t>Trattasi di un criterio già sperimen</w:t>
      </w:r>
      <w:r w:rsidR="0013591F" w:rsidRPr="00634CBB">
        <w:rPr>
          <w:rFonts w:ascii="Garamond" w:eastAsia="Cambria" w:hAnsi="Garamond" w:cs="Times New Roman"/>
          <w:color w:val="000000" w:themeColor="text1"/>
        </w:rPr>
        <w:t xml:space="preserve">tato in altri ordinamenti, </w:t>
      </w:r>
      <w:r w:rsidRPr="00634CBB">
        <w:rPr>
          <w:rFonts w:ascii="Garamond" w:eastAsia="Cambria" w:hAnsi="Garamond" w:cs="Times New Roman"/>
          <w:color w:val="000000" w:themeColor="text1"/>
        </w:rPr>
        <w:t xml:space="preserve">che si è rivelato idoneo a risolvere anche le criticità derivanti dal rapporto con la tutela di diritti particolarmente rilevanti, come quello della </w:t>
      </w:r>
      <w:proofErr w:type="gramStart"/>
      <w:r w:rsidRPr="00634CBB">
        <w:rPr>
          <w:rFonts w:ascii="Garamond" w:eastAsia="Cambria" w:hAnsi="Garamond" w:cs="Times New Roman"/>
          <w:color w:val="000000" w:themeColor="text1"/>
        </w:rPr>
        <w:t>privacy</w:t>
      </w:r>
      <w:r w:rsidR="00FD52DA" w:rsidRPr="00634CBB">
        <w:rPr>
          <w:rFonts w:ascii="Garamond" w:eastAsia="Cambria" w:hAnsi="Garamond" w:cs="Times New Roman"/>
          <w:color w:val="000000" w:themeColor="text1"/>
        </w:rPr>
        <w:t xml:space="preserve"> </w:t>
      </w:r>
      <w:r w:rsidR="00FD52DA" w:rsidRPr="00634CBB">
        <w:rPr>
          <w:rStyle w:val="Rimandonotaapidipagina"/>
          <w:rFonts w:ascii="Garamond" w:eastAsia="Cambria" w:hAnsi="Garamond" w:cs="Times New Roman"/>
          <w:color w:val="000000" w:themeColor="text1"/>
        </w:rPr>
        <w:footnoteReference w:id="56"/>
      </w:r>
      <w:r w:rsidRPr="00634CBB">
        <w:rPr>
          <w:rFonts w:ascii="Garamond" w:eastAsia="Cambria" w:hAnsi="Garamond" w:cs="Times New Roman"/>
          <w:color w:val="000000" w:themeColor="text1"/>
        </w:rPr>
        <w:t>.</w:t>
      </w:r>
      <w:proofErr w:type="gramEnd"/>
      <w:r w:rsidRPr="00634CBB">
        <w:rPr>
          <w:rFonts w:ascii="Garamond" w:eastAsia="Cambria" w:hAnsi="Garamond" w:cs="Times New Roman"/>
          <w:color w:val="000000" w:themeColor="text1"/>
        </w:rPr>
        <w:t xml:space="preserve"> </w:t>
      </w:r>
    </w:p>
    <w:p w:rsidR="00D75FD2" w:rsidRPr="00634CBB" w:rsidRDefault="00D75FD2"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lastRenderedPageBreak/>
        <w:t>A quest</w:t>
      </w:r>
      <w:r w:rsidR="00B90886" w:rsidRPr="00634CBB">
        <w:rPr>
          <w:rFonts w:ascii="Garamond" w:hAnsi="Garamond" w:cs="Times New Roman"/>
          <w:color w:val="000000" w:themeColor="text1"/>
        </w:rPr>
        <w:t xml:space="preserve">o </w:t>
      </w:r>
      <w:r w:rsidRPr="00634CBB">
        <w:rPr>
          <w:rFonts w:ascii="Garamond" w:hAnsi="Garamond" w:cs="Times New Roman"/>
          <w:color w:val="000000" w:themeColor="text1"/>
        </w:rPr>
        <w:t xml:space="preserve">riguardo, non vi è dubbio che il giudizio di comparazione dei contrapposti interessi non sia di agevole soluzione, </w:t>
      </w:r>
      <w:r w:rsidR="00B90886" w:rsidRPr="00634CBB">
        <w:rPr>
          <w:rFonts w:ascii="Garamond" w:hAnsi="Garamond" w:cs="Times New Roman"/>
          <w:color w:val="000000" w:themeColor="text1"/>
        </w:rPr>
        <w:t xml:space="preserve">anche </w:t>
      </w:r>
      <w:r w:rsidR="004F2496" w:rsidRPr="00634CBB">
        <w:rPr>
          <w:rFonts w:ascii="Garamond" w:hAnsi="Garamond" w:cs="Times New Roman"/>
          <w:color w:val="000000" w:themeColor="text1"/>
        </w:rPr>
        <w:t xml:space="preserve">per effetto </w:t>
      </w:r>
      <w:r w:rsidR="00B90886" w:rsidRPr="00634CBB">
        <w:rPr>
          <w:rFonts w:ascii="Garamond" w:hAnsi="Garamond" w:cs="Times New Roman"/>
          <w:color w:val="000000" w:themeColor="text1"/>
        </w:rPr>
        <w:t xml:space="preserve">della genericità del rinvio disposto dall’art. 5-bis, comma 2, lett. a) del D.Lgs. 33/2013 alla normativa </w:t>
      </w:r>
      <w:r w:rsidR="004F2496" w:rsidRPr="00634CBB">
        <w:rPr>
          <w:rFonts w:ascii="Garamond" w:hAnsi="Garamond" w:cs="Times New Roman"/>
          <w:color w:val="000000" w:themeColor="text1"/>
        </w:rPr>
        <w:t xml:space="preserve">in materia di tutela della </w:t>
      </w:r>
      <w:proofErr w:type="gramStart"/>
      <w:r w:rsidR="004F2496" w:rsidRPr="00634CBB">
        <w:rPr>
          <w:rFonts w:ascii="Garamond" w:hAnsi="Garamond" w:cs="Times New Roman"/>
          <w:color w:val="000000" w:themeColor="text1"/>
        </w:rPr>
        <w:t>privacy</w:t>
      </w:r>
      <w:r w:rsidR="00B90886" w:rsidRPr="00634CBB">
        <w:rPr>
          <w:rFonts w:ascii="Garamond" w:hAnsi="Garamond" w:cs="Times New Roman"/>
          <w:color w:val="000000" w:themeColor="text1"/>
        </w:rPr>
        <w:t xml:space="preserve"> </w:t>
      </w:r>
      <w:r w:rsidR="00B90886" w:rsidRPr="00634CBB">
        <w:rPr>
          <w:rStyle w:val="Rimandonotaapidipagina"/>
          <w:rFonts w:ascii="Garamond" w:hAnsi="Garamond" w:cs="Times New Roman"/>
          <w:color w:val="000000" w:themeColor="text1"/>
        </w:rPr>
        <w:footnoteReference w:id="57"/>
      </w:r>
      <w:r w:rsidR="00B90886" w:rsidRPr="00634CBB">
        <w:rPr>
          <w:rFonts w:ascii="Garamond" w:hAnsi="Garamond" w:cs="Times New Roman"/>
          <w:color w:val="000000" w:themeColor="text1"/>
        </w:rPr>
        <w:t>.</w:t>
      </w:r>
      <w:proofErr w:type="gramEnd"/>
    </w:p>
    <w:p w:rsidR="00D75FD2" w:rsidRPr="00634CBB" w:rsidRDefault="00093E77"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Problematicità che si manifestano a cominciare dalla questione dei rapporti con la disciplina dell’accesso documentale ex L. 241/90, dovendoci chiedere se i limiti già previsti da detta normativa operino anche per l’accesso civico generalizzato.</w:t>
      </w:r>
    </w:p>
    <w:p w:rsidR="00B115E8" w:rsidRPr="00634CBB" w:rsidRDefault="00093E77" w:rsidP="00B115E8">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Come noto, la risposta delle Autorità di regolazione e della prima giurisprudenza amministrativa è nel senso della applicabilità all’accesso civico generalizzato dei limiti previsti dall’art. 24, comma 6, Legge 241/</w:t>
      </w:r>
      <w:proofErr w:type="gramStart"/>
      <w:r w:rsidRPr="00634CBB">
        <w:rPr>
          <w:rFonts w:ascii="Garamond" w:hAnsi="Garamond" w:cs="Times New Roman"/>
          <w:color w:val="000000" w:themeColor="text1"/>
        </w:rPr>
        <w:t xml:space="preserve">90 </w:t>
      </w:r>
      <w:r w:rsidR="0040110F" w:rsidRPr="00634CBB">
        <w:rPr>
          <w:rStyle w:val="Rimandonotaapidipagina"/>
          <w:rFonts w:ascii="Garamond" w:hAnsi="Garamond" w:cs="Times New Roman"/>
          <w:color w:val="000000" w:themeColor="text1"/>
        </w:rPr>
        <w:footnoteReference w:id="58"/>
      </w:r>
      <w:r w:rsidRPr="00634CBB">
        <w:rPr>
          <w:rFonts w:ascii="Garamond" w:hAnsi="Garamond" w:cs="Times New Roman"/>
          <w:color w:val="000000" w:themeColor="text1"/>
        </w:rPr>
        <w:t>.</w:t>
      </w:r>
      <w:proofErr w:type="gramEnd"/>
    </w:p>
    <w:p w:rsidR="00B61FCC" w:rsidRPr="00634CBB" w:rsidRDefault="00B115E8" w:rsidP="00B61FCC">
      <w:pPr>
        <w:spacing w:line="360" w:lineRule="auto"/>
        <w:ind w:left="851" w:right="851"/>
        <w:jc w:val="both"/>
        <w:rPr>
          <w:rFonts w:ascii="Garamond" w:hAnsi="Garamond" w:cs="Times New Roman"/>
          <w:color w:val="000000"/>
        </w:rPr>
      </w:pPr>
      <w:r w:rsidRPr="00634CBB">
        <w:rPr>
          <w:rFonts w:ascii="Garamond" w:hAnsi="Garamond" w:cs="Times New Roman"/>
          <w:color w:val="000000" w:themeColor="text1"/>
        </w:rPr>
        <w:t xml:space="preserve">Si è argomentato, al riguardo, in base alla lettera della norma (che richiama la “disciplina legislativa in materia” e quindi anche gli artt. 59 e 60 del Codice per la privacy che a loro volta rinviano alla Legge 241/90), invocando un’interpretazione </w:t>
      </w:r>
      <w:r w:rsidRPr="00634CBB">
        <w:rPr>
          <w:rFonts w:ascii="Garamond" w:hAnsi="Garamond" w:cs="Times New Roman"/>
          <w:color w:val="000000" w:themeColor="text1"/>
        </w:rPr>
        <w:lastRenderedPageBreak/>
        <w:t xml:space="preserve">costituzionalmente orientata (la Legge delega 124/2015 autorizzava </w:t>
      </w:r>
      <w:r w:rsidRPr="00634CBB">
        <w:rPr>
          <w:rFonts w:ascii="Garamond" w:hAnsi="Garamond" w:cs="Times New Roman"/>
          <w:color w:val="000000"/>
        </w:rPr>
        <w:t>il Governo a modificare unicamente il Decreto trasparenza e non anche le altre Leggi di settore, né tantomeno il Codice privacy, di talchè una diversa interpretazione porrebbe questioni di incostituzionalità del D.Lgs. 97/2016 per eccesso di delega), nonché esigenze di continuità e di coerenza sistematica, che precluderebbero l’utilizzazione del nuovo istituto per aggirare limiti</w:t>
      </w:r>
      <w:r w:rsidR="0085593F" w:rsidRPr="00634CBB">
        <w:rPr>
          <w:rFonts w:ascii="Garamond" w:hAnsi="Garamond" w:cs="Times New Roman"/>
          <w:color w:val="000000"/>
        </w:rPr>
        <w:t xml:space="preserve"> già previsti dall’ordinamento (</w:t>
      </w:r>
      <w:r w:rsidRPr="00634CBB">
        <w:rPr>
          <w:rFonts w:ascii="Garamond" w:hAnsi="Garamond" w:cs="Times New Roman"/>
          <w:color w:val="000000"/>
        </w:rPr>
        <w:t>anche perché sarebbe del tutto illogico che i limiti di cui all’art. 24 L. 241/90 operassero quando il richiedente vanti un interesse qualificato all’accesso e non quando tale posizione qualificata non sussiste, come per l’accesso civico).</w:t>
      </w:r>
    </w:p>
    <w:p w:rsidR="00B61FCC" w:rsidRPr="00634CBB" w:rsidRDefault="00B115E8" w:rsidP="00B61FCC">
      <w:pPr>
        <w:spacing w:line="360" w:lineRule="auto"/>
        <w:ind w:left="851" w:right="851"/>
        <w:jc w:val="both"/>
        <w:rPr>
          <w:rFonts w:ascii="Garamond" w:hAnsi="Garamond" w:cs="Times New Roman"/>
          <w:color w:val="000000"/>
        </w:rPr>
      </w:pPr>
      <w:r w:rsidRPr="00634CBB">
        <w:rPr>
          <w:rFonts w:ascii="Garamond" w:hAnsi="Garamond" w:cs="Times New Roman"/>
          <w:color w:val="000000"/>
        </w:rPr>
        <w:t xml:space="preserve">In realtà, le argomentazioni sopra </w:t>
      </w:r>
      <w:r w:rsidR="00B61FCC" w:rsidRPr="00634CBB">
        <w:rPr>
          <w:rFonts w:ascii="Garamond" w:hAnsi="Garamond" w:cs="Times New Roman"/>
          <w:color w:val="000000"/>
        </w:rPr>
        <w:t xml:space="preserve">esposte </w:t>
      </w:r>
      <w:r w:rsidRPr="00634CBB">
        <w:rPr>
          <w:rFonts w:ascii="Garamond" w:hAnsi="Garamond" w:cs="Times New Roman"/>
          <w:color w:val="000000"/>
        </w:rPr>
        <w:t xml:space="preserve">non convincono, </w:t>
      </w:r>
      <w:r w:rsidR="00B61FCC" w:rsidRPr="00634CBB">
        <w:rPr>
          <w:rFonts w:ascii="Garamond" w:hAnsi="Garamond" w:cs="Times New Roman"/>
          <w:color w:val="000000"/>
        </w:rPr>
        <w:t>per il semplice motivo che i limiti previsti dalla L. 241/90 a tutela del diritto alla riservatezza non si prestano ad una meccanica trasposizione all’accesso civico generalizzato, in quanto detto sistema di limitazioni è per buona parte incentrato sul c.d. “accesso difensivo” (art. 24, comma 7, L. 241/90) che presuppone la deduzione e la prova di una situazione giuridica qualificata, da cui invece prescinde l’accesso civico generalizzato (stante la sua peculiare funzione di “</w:t>
      </w:r>
      <w:r w:rsidR="00B61FCC" w:rsidRPr="00634CBB">
        <w:rPr>
          <w:rFonts w:ascii="Garamond" w:hAnsi="Garamond" w:cs="Times New Roman"/>
          <w:i/>
          <w:color w:val="000000"/>
        </w:rPr>
        <w:t>favorire forme diffuse di controllo sul perseguimento delle funzioni istituzionali e sull'utilizzo delle risorse pubbliche”</w:t>
      </w:r>
      <w:r w:rsidR="00B61FCC" w:rsidRPr="00634CBB">
        <w:rPr>
          <w:rFonts w:ascii="Garamond" w:hAnsi="Garamond" w:cs="Times New Roman"/>
          <w:color w:val="000000"/>
        </w:rPr>
        <w:t xml:space="preserve">), la cui istanza non ha bisogno di essere motivata.   </w:t>
      </w:r>
    </w:p>
    <w:p w:rsidR="00B61FCC" w:rsidRPr="00634CBB" w:rsidRDefault="003355DD" w:rsidP="00B61FCC">
      <w:pPr>
        <w:spacing w:line="360" w:lineRule="auto"/>
        <w:ind w:left="851" w:right="851"/>
        <w:jc w:val="both"/>
        <w:rPr>
          <w:rFonts w:ascii="Garamond" w:hAnsi="Garamond" w:cs="Times New Roman"/>
          <w:color w:val="000000"/>
        </w:rPr>
      </w:pPr>
      <w:r w:rsidRPr="00634CBB">
        <w:rPr>
          <w:rFonts w:ascii="Garamond" w:hAnsi="Garamond" w:cs="Times New Roman"/>
          <w:color w:val="000000"/>
        </w:rPr>
        <w:t>Non sembra</w:t>
      </w:r>
      <w:r w:rsidR="00B61FCC" w:rsidRPr="00634CBB">
        <w:rPr>
          <w:rFonts w:ascii="Garamond" w:hAnsi="Garamond" w:cs="Times New Roman"/>
          <w:color w:val="000000"/>
        </w:rPr>
        <w:t xml:space="preserve">, pertanto, che la questione del rapporto tra accesso generalizzato e privacy possa essere risolta mutuando </w:t>
      </w:r>
      <w:r w:rsidRPr="00634CBB">
        <w:rPr>
          <w:rFonts w:ascii="Garamond" w:hAnsi="Garamond" w:cs="Times New Roman"/>
          <w:i/>
          <w:color w:val="000000"/>
        </w:rPr>
        <w:t xml:space="preserve">ex se </w:t>
      </w:r>
      <w:r w:rsidR="00B61FCC" w:rsidRPr="00634CBB">
        <w:rPr>
          <w:rFonts w:ascii="Garamond" w:hAnsi="Garamond" w:cs="Times New Roman"/>
          <w:color w:val="000000"/>
        </w:rPr>
        <w:t xml:space="preserve">i </w:t>
      </w:r>
      <w:r w:rsidRPr="00634CBB">
        <w:rPr>
          <w:rFonts w:ascii="Garamond" w:hAnsi="Garamond" w:cs="Times New Roman"/>
          <w:color w:val="000000"/>
        </w:rPr>
        <w:t>criteri previsti da</w:t>
      </w:r>
      <w:r w:rsidR="00B61FCC" w:rsidRPr="00634CBB">
        <w:rPr>
          <w:rFonts w:ascii="Garamond" w:hAnsi="Garamond" w:cs="Times New Roman"/>
          <w:color w:val="000000"/>
        </w:rPr>
        <w:t xml:space="preserve">ll’art. 24 della Legge 241/90, che, anzi, proprio per l’ontologica </w:t>
      </w:r>
      <w:r w:rsidR="0085593F" w:rsidRPr="00634CBB">
        <w:rPr>
          <w:rFonts w:ascii="Garamond" w:hAnsi="Garamond" w:cs="Times New Roman"/>
          <w:color w:val="000000"/>
        </w:rPr>
        <w:t xml:space="preserve">alterità </w:t>
      </w:r>
      <w:r w:rsidR="00B61FCC" w:rsidRPr="00634CBB">
        <w:rPr>
          <w:rFonts w:ascii="Garamond" w:hAnsi="Garamond" w:cs="Times New Roman"/>
          <w:color w:val="000000"/>
        </w:rPr>
        <w:t>dell</w:t>
      </w:r>
      <w:proofErr w:type="gramStart"/>
      <w:r w:rsidR="00B61FCC" w:rsidRPr="00634CBB">
        <w:rPr>
          <w:rFonts w:ascii="Garamond" w:hAnsi="Garamond" w:cs="Times New Roman"/>
          <w:color w:val="000000"/>
        </w:rPr>
        <w:t>’</w:t>
      </w:r>
      <w:r w:rsidR="0085593F" w:rsidRPr="00634CBB">
        <w:rPr>
          <w:rFonts w:ascii="Garamond" w:hAnsi="Garamond" w:cs="Times New Roman"/>
          <w:color w:val="000000"/>
        </w:rPr>
        <w:t>”</w:t>
      </w:r>
      <w:r w:rsidR="00B61FCC" w:rsidRPr="00634CBB">
        <w:rPr>
          <w:rFonts w:ascii="Garamond" w:hAnsi="Garamond" w:cs="Times New Roman"/>
          <w:color w:val="000000"/>
        </w:rPr>
        <w:t>accesso</w:t>
      </w:r>
      <w:proofErr w:type="gramEnd"/>
      <w:r w:rsidR="00B61FCC" w:rsidRPr="00634CBB">
        <w:rPr>
          <w:rFonts w:ascii="Garamond" w:hAnsi="Garamond" w:cs="Times New Roman"/>
          <w:color w:val="000000"/>
        </w:rPr>
        <w:t xml:space="preserve"> documentale</w:t>
      </w:r>
      <w:r w:rsidRPr="00634CBB">
        <w:rPr>
          <w:rFonts w:ascii="Garamond" w:hAnsi="Garamond" w:cs="Times New Roman"/>
          <w:color w:val="000000"/>
        </w:rPr>
        <w:t>”</w:t>
      </w:r>
      <w:r w:rsidR="00B61FCC" w:rsidRPr="00634CBB">
        <w:rPr>
          <w:rFonts w:ascii="Garamond" w:hAnsi="Garamond" w:cs="Times New Roman"/>
          <w:color w:val="000000"/>
        </w:rPr>
        <w:t xml:space="preserve"> </w:t>
      </w:r>
      <w:r w:rsidRPr="00634CBB">
        <w:rPr>
          <w:rFonts w:ascii="Garamond" w:hAnsi="Garamond" w:cs="Times New Roman"/>
          <w:color w:val="000000"/>
        </w:rPr>
        <w:t xml:space="preserve">rispetto al nuovo istituto </w:t>
      </w:r>
      <w:r w:rsidR="00B61FCC" w:rsidRPr="00634CBB">
        <w:rPr>
          <w:rFonts w:ascii="Garamond" w:hAnsi="Garamond" w:cs="Times New Roman"/>
          <w:color w:val="000000"/>
        </w:rPr>
        <w:t>appaiono difficilmente trasponibili</w:t>
      </w:r>
      <w:r w:rsidRPr="00634CBB">
        <w:rPr>
          <w:rFonts w:ascii="Garamond" w:hAnsi="Garamond" w:cs="Times New Roman"/>
          <w:color w:val="000000"/>
        </w:rPr>
        <w:t xml:space="preserve"> allo stesso</w:t>
      </w:r>
      <w:r w:rsidR="00B61FCC" w:rsidRPr="00634CBB">
        <w:rPr>
          <w:rFonts w:ascii="Garamond" w:hAnsi="Garamond" w:cs="Times New Roman"/>
          <w:color w:val="000000"/>
        </w:rPr>
        <w:t>.</w:t>
      </w:r>
    </w:p>
    <w:p w:rsidR="004F2496" w:rsidRPr="00634CBB" w:rsidRDefault="0085593F"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I</w:t>
      </w:r>
      <w:r w:rsidR="003355DD" w:rsidRPr="00634CBB">
        <w:rPr>
          <w:rFonts w:ascii="Garamond" w:hAnsi="Garamond" w:cs="Times New Roman"/>
          <w:color w:val="000000" w:themeColor="text1"/>
        </w:rPr>
        <w:t xml:space="preserve">l che </w:t>
      </w:r>
      <w:r w:rsidR="007F23C6" w:rsidRPr="00634CBB">
        <w:rPr>
          <w:rFonts w:ascii="Garamond" w:hAnsi="Garamond" w:cs="Times New Roman"/>
          <w:color w:val="000000" w:themeColor="text1"/>
        </w:rPr>
        <w:t xml:space="preserve">rende </w:t>
      </w:r>
      <w:r w:rsidR="003355DD" w:rsidRPr="00634CBB">
        <w:rPr>
          <w:rFonts w:ascii="Garamond" w:hAnsi="Garamond" w:cs="Times New Roman"/>
          <w:color w:val="000000" w:themeColor="text1"/>
        </w:rPr>
        <w:t xml:space="preserve">ineludibile </w:t>
      </w:r>
      <w:r w:rsidR="00E56D78" w:rsidRPr="00634CBB">
        <w:rPr>
          <w:rFonts w:ascii="Garamond" w:hAnsi="Garamond" w:cs="Times New Roman"/>
          <w:color w:val="000000" w:themeColor="text1"/>
        </w:rPr>
        <w:t xml:space="preserve">(anche se </w:t>
      </w:r>
      <w:r w:rsidR="003355DD" w:rsidRPr="00634CBB">
        <w:rPr>
          <w:rFonts w:ascii="Garamond" w:hAnsi="Garamond" w:cs="Times New Roman"/>
          <w:color w:val="000000" w:themeColor="text1"/>
        </w:rPr>
        <w:t>faticosa</w:t>
      </w:r>
      <w:r w:rsidR="00E56D78" w:rsidRPr="00634CBB">
        <w:rPr>
          <w:rFonts w:ascii="Garamond" w:hAnsi="Garamond" w:cs="Times New Roman"/>
          <w:color w:val="000000" w:themeColor="text1"/>
        </w:rPr>
        <w:t>) l’</w:t>
      </w:r>
      <w:r w:rsidR="003355DD" w:rsidRPr="00634CBB">
        <w:rPr>
          <w:rFonts w:ascii="Garamond" w:hAnsi="Garamond" w:cs="Times New Roman"/>
          <w:color w:val="000000" w:themeColor="text1"/>
        </w:rPr>
        <w:t xml:space="preserve">opera </w:t>
      </w:r>
      <w:r w:rsidR="00E56D78" w:rsidRPr="00634CBB">
        <w:rPr>
          <w:rFonts w:ascii="Garamond" w:hAnsi="Garamond" w:cs="Times New Roman"/>
          <w:color w:val="000000" w:themeColor="text1"/>
        </w:rPr>
        <w:t xml:space="preserve">dell’interprete </w:t>
      </w:r>
      <w:r w:rsidR="007F23C6" w:rsidRPr="00634CBB">
        <w:rPr>
          <w:rFonts w:ascii="Garamond" w:hAnsi="Garamond" w:cs="Times New Roman"/>
          <w:color w:val="000000" w:themeColor="text1"/>
        </w:rPr>
        <w:t xml:space="preserve">di ponderazione, </w:t>
      </w:r>
      <w:r w:rsidR="003355DD" w:rsidRPr="00634CBB">
        <w:rPr>
          <w:rFonts w:ascii="Garamond" w:hAnsi="Garamond" w:cs="Times New Roman"/>
          <w:color w:val="000000" w:themeColor="text1"/>
        </w:rPr>
        <w:t xml:space="preserve">caso per caso, dell’interesse conoscitivo </w:t>
      </w:r>
      <w:r w:rsidR="00E56D78" w:rsidRPr="00634CBB">
        <w:rPr>
          <w:rFonts w:ascii="Garamond" w:hAnsi="Garamond" w:cs="Times New Roman"/>
          <w:color w:val="000000" w:themeColor="text1"/>
        </w:rPr>
        <w:t xml:space="preserve">del richiedente </w:t>
      </w:r>
      <w:r w:rsidR="003355DD" w:rsidRPr="00634CBB">
        <w:rPr>
          <w:rFonts w:ascii="Garamond" w:hAnsi="Garamond" w:cs="Times New Roman"/>
          <w:color w:val="000000" w:themeColor="text1"/>
        </w:rPr>
        <w:t xml:space="preserve">rispetto </w:t>
      </w:r>
      <w:r w:rsidR="00E56D78" w:rsidRPr="00634CBB">
        <w:rPr>
          <w:rFonts w:ascii="Garamond" w:hAnsi="Garamond" w:cs="Times New Roman"/>
          <w:color w:val="000000" w:themeColor="text1"/>
        </w:rPr>
        <w:t xml:space="preserve">alle esigenze di tutela dei dati personali, che potrà prevalere soltanto laddove l’Amministrazione </w:t>
      </w:r>
      <w:r w:rsidR="00CB3214" w:rsidRPr="00634CBB">
        <w:rPr>
          <w:rFonts w:ascii="Garamond" w:hAnsi="Garamond" w:cs="Times New Roman"/>
          <w:color w:val="000000" w:themeColor="text1"/>
        </w:rPr>
        <w:t xml:space="preserve">possa dimostrare </w:t>
      </w:r>
      <w:r w:rsidR="00E56D78" w:rsidRPr="00634CBB">
        <w:rPr>
          <w:rFonts w:ascii="Garamond" w:hAnsi="Garamond" w:cs="Times New Roman"/>
          <w:color w:val="000000" w:themeColor="text1"/>
        </w:rPr>
        <w:t>l</w:t>
      </w:r>
      <w:proofErr w:type="gramStart"/>
      <w:r w:rsidR="00E56D78" w:rsidRPr="00634CBB">
        <w:rPr>
          <w:rFonts w:ascii="Garamond" w:hAnsi="Garamond" w:cs="Times New Roman"/>
          <w:color w:val="000000" w:themeColor="text1"/>
        </w:rPr>
        <w:t>’”alta</w:t>
      </w:r>
      <w:proofErr w:type="gramEnd"/>
      <w:r w:rsidR="00E56D78" w:rsidRPr="00634CBB">
        <w:rPr>
          <w:rFonts w:ascii="Garamond" w:hAnsi="Garamond" w:cs="Times New Roman"/>
          <w:color w:val="000000" w:themeColor="text1"/>
        </w:rPr>
        <w:t xml:space="preserve"> probabilità” del pregiudizio </w:t>
      </w:r>
      <w:r w:rsidR="00CB3214" w:rsidRPr="00634CBB">
        <w:rPr>
          <w:rFonts w:ascii="Garamond" w:hAnsi="Garamond" w:cs="Times New Roman"/>
          <w:color w:val="000000" w:themeColor="text1"/>
        </w:rPr>
        <w:t xml:space="preserve">arrecabile ai </w:t>
      </w:r>
      <w:r w:rsidR="00E56D78" w:rsidRPr="00634CBB">
        <w:rPr>
          <w:rFonts w:ascii="Garamond" w:hAnsi="Garamond" w:cs="Times New Roman"/>
          <w:color w:val="000000" w:themeColor="text1"/>
        </w:rPr>
        <w:t>controinteressati</w:t>
      </w:r>
      <w:r w:rsidR="00CB3214" w:rsidRPr="00634CBB">
        <w:rPr>
          <w:rFonts w:ascii="Garamond" w:hAnsi="Garamond" w:cs="Times New Roman"/>
          <w:color w:val="000000" w:themeColor="text1"/>
        </w:rPr>
        <w:t>.</w:t>
      </w:r>
    </w:p>
    <w:p w:rsidR="004F2496" w:rsidRPr="00634CBB" w:rsidRDefault="0085593F"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Sotto questo profilo, </w:t>
      </w:r>
      <w:r w:rsidR="007F23C6" w:rsidRPr="00634CBB">
        <w:rPr>
          <w:rFonts w:ascii="Garamond" w:hAnsi="Garamond" w:cs="Times New Roman"/>
          <w:color w:val="000000" w:themeColor="text1"/>
        </w:rPr>
        <w:t>di grande rilievo sul piano operativo</w:t>
      </w:r>
      <w:r w:rsidR="00CB3214" w:rsidRPr="00634CBB">
        <w:rPr>
          <w:rFonts w:ascii="Garamond" w:hAnsi="Garamond" w:cs="Times New Roman"/>
          <w:color w:val="000000" w:themeColor="text1"/>
        </w:rPr>
        <w:t xml:space="preserve"> sarà</w:t>
      </w:r>
      <w:r w:rsidR="007F23C6" w:rsidRPr="00634CBB">
        <w:rPr>
          <w:rFonts w:ascii="Garamond" w:hAnsi="Garamond" w:cs="Times New Roman"/>
          <w:color w:val="000000" w:themeColor="text1"/>
        </w:rPr>
        <w:t>, come detto,</w:t>
      </w:r>
      <w:r w:rsidR="00CB3214" w:rsidRPr="00634CBB">
        <w:rPr>
          <w:rFonts w:ascii="Garamond" w:hAnsi="Garamond" w:cs="Times New Roman"/>
          <w:color w:val="000000" w:themeColor="text1"/>
        </w:rPr>
        <w:t xml:space="preserve"> l’opera dell’</w:t>
      </w:r>
      <w:r w:rsidR="009D4B96" w:rsidRPr="00634CBB">
        <w:rPr>
          <w:rFonts w:ascii="Garamond" w:hAnsi="Garamond" w:cs="Times New Roman"/>
          <w:color w:val="000000" w:themeColor="text1"/>
        </w:rPr>
        <w:t>Autorità nazionale per l’anticorruzione</w:t>
      </w:r>
      <w:r w:rsidR="00CB3214" w:rsidRPr="00634CBB">
        <w:rPr>
          <w:rFonts w:ascii="Garamond" w:hAnsi="Garamond" w:cs="Times New Roman"/>
          <w:color w:val="000000" w:themeColor="text1"/>
        </w:rPr>
        <w:t>, chiamata a</w:t>
      </w:r>
      <w:r w:rsidR="00EB4C33" w:rsidRPr="00634CBB">
        <w:rPr>
          <w:rFonts w:ascii="Garamond" w:hAnsi="Garamond" w:cs="Times New Roman"/>
          <w:color w:val="000000" w:themeColor="text1"/>
        </w:rPr>
        <w:t xml:space="preserve"> svolgere </w:t>
      </w:r>
      <w:r w:rsidR="009D4B96" w:rsidRPr="00634CBB">
        <w:rPr>
          <w:rFonts w:ascii="Garamond" w:hAnsi="Garamond" w:cs="Times New Roman"/>
          <w:color w:val="000000" w:themeColor="text1"/>
        </w:rPr>
        <w:t>un’opera di razionalizzazione e riordino</w:t>
      </w:r>
      <w:r w:rsidRPr="00634CBB">
        <w:rPr>
          <w:rFonts w:ascii="Garamond" w:hAnsi="Garamond" w:cs="Times New Roman"/>
          <w:color w:val="000000" w:themeColor="text1"/>
        </w:rPr>
        <w:t>,</w:t>
      </w:r>
      <w:r w:rsidR="009D4B96" w:rsidRPr="00634CBB">
        <w:rPr>
          <w:rFonts w:ascii="Garamond" w:hAnsi="Garamond" w:cs="Times New Roman"/>
          <w:color w:val="000000" w:themeColor="text1"/>
        </w:rPr>
        <w:t xml:space="preserve"> mediante la periodica revisione delle Linee guida. </w:t>
      </w:r>
    </w:p>
    <w:p w:rsidR="00EB4C33" w:rsidRPr="00634CBB" w:rsidRDefault="00EB4C33"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Il sistema co</w:t>
      </w:r>
      <w:r w:rsidR="007F23C6" w:rsidRPr="00634CBB">
        <w:rPr>
          <w:rFonts w:ascii="Garamond" w:hAnsi="Garamond" w:cs="Times New Roman"/>
          <w:color w:val="000000" w:themeColor="text1"/>
        </w:rPr>
        <w:t xml:space="preserve">sì delineato non </w:t>
      </w:r>
      <w:r w:rsidR="00423104" w:rsidRPr="00634CBB">
        <w:rPr>
          <w:rFonts w:ascii="Garamond" w:hAnsi="Garamond" w:cs="Times New Roman"/>
          <w:color w:val="000000" w:themeColor="text1"/>
        </w:rPr>
        <w:t xml:space="preserve">sembra </w:t>
      </w:r>
      <w:r w:rsidR="007F23C6" w:rsidRPr="00634CBB">
        <w:rPr>
          <w:rFonts w:ascii="Garamond" w:hAnsi="Garamond" w:cs="Times New Roman"/>
          <w:color w:val="000000" w:themeColor="text1"/>
        </w:rPr>
        <w:t xml:space="preserve">alterato </w:t>
      </w:r>
      <w:r w:rsidR="00423104" w:rsidRPr="00634CBB">
        <w:rPr>
          <w:rFonts w:ascii="Garamond" w:hAnsi="Garamond" w:cs="Times New Roman"/>
          <w:color w:val="000000" w:themeColor="text1"/>
        </w:rPr>
        <w:t>da</w:t>
      </w:r>
      <w:r w:rsidRPr="00634CBB">
        <w:rPr>
          <w:rFonts w:ascii="Garamond" w:hAnsi="Garamond" w:cs="Times New Roman"/>
          <w:color w:val="000000" w:themeColor="text1"/>
        </w:rPr>
        <w:t>l Regolamento CE 27 aprile 2016, n. 2016/679/UE (</w:t>
      </w:r>
      <w:r w:rsidRPr="00634CBB">
        <w:rPr>
          <w:rFonts w:ascii="Garamond" w:hAnsi="Garamond" w:cs="Times New Roman"/>
          <w:color w:val="000000"/>
        </w:rPr>
        <w:t xml:space="preserve">relativo alla protezione delle persone fisiche con riguardo al trattamento dei dati personali, nonché alla libera circolazione di tali dati e che abroga la direttiva 95/46/CE), </w:t>
      </w:r>
      <w:r w:rsidR="00B45A6B" w:rsidRPr="00634CBB">
        <w:rPr>
          <w:rFonts w:ascii="Garamond" w:hAnsi="Garamond" w:cs="Times New Roman"/>
          <w:color w:val="000000"/>
        </w:rPr>
        <w:t xml:space="preserve">che demanda ai singoli ordinamenti degli Stati membri la </w:t>
      </w:r>
      <w:r w:rsidR="00B45A6B" w:rsidRPr="00634CBB">
        <w:rPr>
          <w:rFonts w:ascii="Garamond" w:hAnsi="Garamond" w:cs="Times New Roman"/>
          <w:color w:val="000000"/>
        </w:rPr>
        <w:lastRenderedPageBreak/>
        <w:t xml:space="preserve">conciliazione degli opposti </w:t>
      </w:r>
      <w:proofErr w:type="gramStart"/>
      <w:r w:rsidR="00B45A6B" w:rsidRPr="00634CBB">
        <w:rPr>
          <w:rFonts w:ascii="Garamond" w:hAnsi="Garamond" w:cs="Times New Roman"/>
          <w:color w:val="000000"/>
        </w:rPr>
        <w:t xml:space="preserve">interessi </w:t>
      </w:r>
      <w:r w:rsidR="00B45A6B" w:rsidRPr="00634CBB">
        <w:rPr>
          <w:rStyle w:val="Rimandonotaapidipagina"/>
          <w:rFonts w:ascii="Garamond" w:hAnsi="Garamond" w:cs="Times New Roman"/>
          <w:color w:val="000000"/>
        </w:rPr>
        <w:footnoteReference w:id="59"/>
      </w:r>
      <w:r w:rsidR="00D87137" w:rsidRPr="00634CBB">
        <w:rPr>
          <w:rFonts w:ascii="Garamond" w:hAnsi="Garamond" w:cs="Times New Roman"/>
          <w:color w:val="000000"/>
        </w:rPr>
        <w:t>,</w:t>
      </w:r>
      <w:proofErr w:type="gramEnd"/>
      <w:r w:rsidR="00D87137" w:rsidRPr="00634CBB">
        <w:rPr>
          <w:rFonts w:ascii="Garamond" w:hAnsi="Garamond" w:cs="Times New Roman"/>
          <w:color w:val="000000"/>
        </w:rPr>
        <w:t xml:space="preserve"> che, nel nostro caso, è contenuta nel D.Lgs. 33/2013</w:t>
      </w:r>
      <w:r w:rsidR="00423104" w:rsidRPr="00634CBB">
        <w:rPr>
          <w:rFonts w:ascii="Garamond" w:hAnsi="Garamond" w:cs="Times New Roman"/>
          <w:color w:val="000000"/>
        </w:rPr>
        <w:t>,</w:t>
      </w:r>
      <w:r w:rsidR="00D87137" w:rsidRPr="00634CBB">
        <w:rPr>
          <w:rFonts w:ascii="Garamond" w:hAnsi="Garamond" w:cs="Times New Roman"/>
          <w:color w:val="000000"/>
        </w:rPr>
        <w:t xml:space="preserve"> come modificato con D.Lgs. 97/2016.</w:t>
      </w:r>
    </w:p>
    <w:p w:rsidR="00EB4C33" w:rsidRPr="00634CBB" w:rsidRDefault="00EB4C33" w:rsidP="00D940E3">
      <w:pPr>
        <w:spacing w:line="360" w:lineRule="auto"/>
        <w:ind w:left="851" w:right="851"/>
        <w:jc w:val="both"/>
        <w:rPr>
          <w:rFonts w:ascii="Garamond" w:hAnsi="Garamond" w:cs="Times New Roman"/>
          <w:color w:val="000000" w:themeColor="text1"/>
        </w:rPr>
      </w:pPr>
    </w:p>
    <w:p w:rsidR="009D4B96" w:rsidRPr="00634CBB" w:rsidRDefault="000C63AE"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b/>
          <w:color w:val="000000" w:themeColor="text1"/>
        </w:rPr>
        <w:t>9.</w:t>
      </w:r>
      <w:r w:rsidR="009D4B96" w:rsidRPr="00634CBB">
        <w:rPr>
          <w:rFonts w:ascii="Garamond" w:hAnsi="Garamond" w:cs="Times New Roman"/>
          <w:b/>
          <w:color w:val="000000" w:themeColor="text1"/>
        </w:rPr>
        <w:t xml:space="preserve"> Le potenzialità applicative dell</w:t>
      </w:r>
      <w:proofErr w:type="gramStart"/>
      <w:r w:rsidR="009D4B96" w:rsidRPr="00634CBB">
        <w:rPr>
          <w:rFonts w:ascii="Garamond" w:hAnsi="Garamond" w:cs="Times New Roman"/>
          <w:b/>
          <w:color w:val="000000" w:themeColor="text1"/>
        </w:rPr>
        <w:t>’</w:t>
      </w:r>
      <w:r w:rsidR="007F23C6" w:rsidRPr="00634CBB">
        <w:rPr>
          <w:rFonts w:ascii="Garamond" w:hAnsi="Garamond" w:cs="Times New Roman"/>
          <w:b/>
          <w:color w:val="000000" w:themeColor="text1"/>
        </w:rPr>
        <w:t>”</w:t>
      </w:r>
      <w:r w:rsidR="009D4B96" w:rsidRPr="00634CBB">
        <w:rPr>
          <w:rFonts w:ascii="Garamond" w:hAnsi="Garamond" w:cs="Times New Roman"/>
          <w:b/>
          <w:color w:val="000000" w:themeColor="text1"/>
        </w:rPr>
        <w:t>accesso</w:t>
      </w:r>
      <w:proofErr w:type="gramEnd"/>
      <w:r w:rsidR="009D4B96" w:rsidRPr="00634CBB">
        <w:rPr>
          <w:rFonts w:ascii="Garamond" w:hAnsi="Garamond" w:cs="Times New Roman"/>
          <w:b/>
          <w:color w:val="000000" w:themeColor="text1"/>
        </w:rPr>
        <w:t xml:space="preserve"> parziale</w:t>
      </w:r>
      <w:r w:rsidR="007F23C6" w:rsidRPr="00634CBB">
        <w:rPr>
          <w:rFonts w:ascii="Garamond" w:hAnsi="Garamond" w:cs="Times New Roman"/>
          <w:b/>
          <w:color w:val="000000" w:themeColor="text1"/>
        </w:rPr>
        <w:t>”</w:t>
      </w:r>
      <w:r w:rsidR="009D4B96" w:rsidRPr="00634CBB">
        <w:rPr>
          <w:rFonts w:ascii="Garamond" w:hAnsi="Garamond" w:cs="Times New Roman"/>
          <w:b/>
          <w:color w:val="000000" w:themeColor="text1"/>
        </w:rPr>
        <w:t xml:space="preserve"> con oscuramento dei dati personali.</w:t>
      </w:r>
    </w:p>
    <w:p w:rsidR="007F23C6" w:rsidRPr="00634CBB" w:rsidRDefault="007F23C6"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Se </w:t>
      </w:r>
      <w:r w:rsidR="00BD1668" w:rsidRPr="00634CBB">
        <w:rPr>
          <w:rFonts w:ascii="Garamond" w:hAnsi="Garamond" w:cs="Times New Roman"/>
          <w:color w:val="000000" w:themeColor="text1"/>
        </w:rPr>
        <w:t xml:space="preserve">è </w:t>
      </w:r>
      <w:r w:rsidRPr="00634CBB">
        <w:rPr>
          <w:rFonts w:ascii="Garamond" w:hAnsi="Garamond" w:cs="Times New Roman"/>
          <w:color w:val="000000" w:themeColor="text1"/>
        </w:rPr>
        <w:t xml:space="preserve">innegabile </w:t>
      </w:r>
      <w:r w:rsidR="00621DDA" w:rsidRPr="00634CBB">
        <w:rPr>
          <w:rFonts w:ascii="Garamond" w:hAnsi="Garamond" w:cs="Times New Roman"/>
          <w:color w:val="000000" w:themeColor="text1"/>
        </w:rPr>
        <w:t xml:space="preserve">e </w:t>
      </w:r>
      <w:r w:rsidRPr="00634CBB">
        <w:rPr>
          <w:rFonts w:ascii="Garamond" w:hAnsi="Garamond" w:cs="Times New Roman"/>
          <w:color w:val="000000" w:themeColor="text1"/>
        </w:rPr>
        <w:t xml:space="preserve">fisiologica </w:t>
      </w:r>
      <w:r w:rsidR="00621DDA" w:rsidRPr="00634CBB">
        <w:rPr>
          <w:rFonts w:ascii="Garamond" w:hAnsi="Garamond" w:cs="Times New Roman"/>
          <w:color w:val="000000" w:themeColor="text1"/>
        </w:rPr>
        <w:t xml:space="preserve">la </w:t>
      </w:r>
      <w:r w:rsidRPr="00634CBB">
        <w:rPr>
          <w:rFonts w:ascii="Garamond" w:hAnsi="Garamond" w:cs="Times New Roman"/>
          <w:color w:val="000000" w:themeColor="text1"/>
        </w:rPr>
        <w:t xml:space="preserve">complessità del giudizio di comparazione dell’interesse conoscitivo </w:t>
      </w:r>
      <w:r w:rsidR="00BD1668" w:rsidRPr="00634CBB">
        <w:rPr>
          <w:rFonts w:ascii="Garamond" w:hAnsi="Garamond" w:cs="Times New Roman"/>
          <w:color w:val="000000" w:themeColor="text1"/>
        </w:rPr>
        <w:t xml:space="preserve">sotteso alla domanda di accesso civico generalizzato </w:t>
      </w:r>
      <w:r w:rsidRPr="00634CBB">
        <w:rPr>
          <w:rFonts w:ascii="Garamond" w:hAnsi="Garamond" w:cs="Times New Roman"/>
          <w:color w:val="000000" w:themeColor="text1"/>
        </w:rPr>
        <w:t xml:space="preserve">con gli altri contrapposti interessi al riserbo </w:t>
      </w:r>
      <w:r w:rsidR="00423104" w:rsidRPr="00634CBB">
        <w:rPr>
          <w:rFonts w:ascii="Garamond" w:hAnsi="Garamond" w:cs="Times New Roman"/>
          <w:color w:val="000000" w:themeColor="text1"/>
        </w:rPr>
        <w:t>(primo</w:t>
      </w:r>
      <w:r w:rsidRPr="00634CBB">
        <w:rPr>
          <w:rFonts w:ascii="Garamond" w:hAnsi="Garamond" w:cs="Times New Roman"/>
          <w:color w:val="000000" w:themeColor="text1"/>
        </w:rPr>
        <w:t xml:space="preserve"> tra tutti, in particolare, </w:t>
      </w:r>
      <w:r w:rsidR="00621DDA" w:rsidRPr="00634CBB">
        <w:rPr>
          <w:rFonts w:ascii="Garamond" w:hAnsi="Garamond" w:cs="Times New Roman"/>
          <w:color w:val="000000" w:themeColor="text1"/>
        </w:rPr>
        <w:t xml:space="preserve">con </w:t>
      </w:r>
      <w:r w:rsidRPr="00634CBB">
        <w:rPr>
          <w:rFonts w:ascii="Garamond" w:hAnsi="Garamond" w:cs="Times New Roman"/>
          <w:color w:val="000000" w:themeColor="text1"/>
        </w:rPr>
        <w:t>la tutela d</w:t>
      </w:r>
      <w:r w:rsidR="00423104" w:rsidRPr="00634CBB">
        <w:rPr>
          <w:rFonts w:ascii="Garamond" w:hAnsi="Garamond" w:cs="Times New Roman"/>
          <w:color w:val="000000" w:themeColor="text1"/>
        </w:rPr>
        <w:t xml:space="preserve">ei dati personali), vi è </w:t>
      </w:r>
      <w:r w:rsidR="00D75FD2" w:rsidRPr="00634CBB">
        <w:rPr>
          <w:rFonts w:ascii="Garamond" w:hAnsi="Garamond" w:cs="Times New Roman"/>
          <w:color w:val="000000" w:themeColor="text1"/>
        </w:rPr>
        <w:t xml:space="preserve">un aspetto che </w:t>
      </w:r>
      <w:r w:rsidRPr="00634CBB">
        <w:rPr>
          <w:rFonts w:ascii="Garamond" w:hAnsi="Garamond" w:cs="Times New Roman"/>
          <w:color w:val="000000" w:themeColor="text1"/>
        </w:rPr>
        <w:t xml:space="preserve">sembra essere stato </w:t>
      </w:r>
      <w:r w:rsidR="00D75FD2" w:rsidRPr="00634CBB">
        <w:rPr>
          <w:rFonts w:ascii="Garamond" w:hAnsi="Garamond" w:cs="Times New Roman"/>
          <w:color w:val="000000" w:themeColor="text1"/>
        </w:rPr>
        <w:t>notevolmente sottovalutato in questo primo per</w:t>
      </w:r>
      <w:r w:rsidR="009D4B96" w:rsidRPr="00634CBB">
        <w:rPr>
          <w:rFonts w:ascii="Garamond" w:hAnsi="Garamond" w:cs="Times New Roman"/>
          <w:color w:val="000000" w:themeColor="text1"/>
        </w:rPr>
        <w:t>iodo di applicazione dell’</w:t>
      </w:r>
      <w:r w:rsidRPr="00634CBB">
        <w:rPr>
          <w:rFonts w:ascii="Garamond" w:hAnsi="Garamond" w:cs="Times New Roman"/>
          <w:color w:val="000000" w:themeColor="text1"/>
        </w:rPr>
        <w:t>istituto</w:t>
      </w:r>
      <w:r w:rsidR="00D75FD2" w:rsidRPr="00634CBB">
        <w:rPr>
          <w:rFonts w:ascii="Garamond" w:hAnsi="Garamond" w:cs="Times New Roman"/>
          <w:color w:val="000000" w:themeColor="text1"/>
        </w:rPr>
        <w:t>, che</w:t>
      </w:r>
      <w:r w:rsidR="00B90886" w:rsidRPr="00634CBB">
        <w:rPr>
          <w:rFonts w:ascii="Garamond" w:hAnsi="Garamond" w:cs="Times New Roman"/>
          <w:color w:val="000000" w:themeColor="text1"/>
        </w:rPr>
        <w:t>, invece, se adeguatamente valorizzato,</w:t>
      </w:r>
      <w:r w:rsidR="00D75FD2" w:rsidRPr="00634CBB">
        <w:rPr>
          <w:rFonts w:ascii="Garamond" w:hAnsi="Garamond" w:cs="Times New Roman"/>
          <w:color w:val="000000" w:themeColor="text1"/>
        </w:rPr>
        <w:t xml:space="preserve"> </w:t>
      </w:r>
      <w:r w:rsidR="00B90886" w:rsidRPr="00634CBB">
        <w:rPr>
          <w:rFonts w:ascii="Garamond" w:hAnsi="Garamond" w:cs="Times New Roman"/>
          <w:color w:val="000000" w:themeColor="text1"/>
        </w:rPr>
        <w:t xml:space="preserve">potrebbe rivelarsi idoneo se non a risolvere – quantomeno a mitigare – le </w:t>
      </w:r>
      <w:r w:rsidRPr="00634CBB">
        <w:rPr>
          <w:rFonts w:ascii="Garamond" w:hAnsi="Garamond" w:cs="Times New Roman"/>
          <w:color w:val="000000" w:themeColor="text1"/>
        </w:rPr>
        <w:t xml:space="preserve">più rilevanti </w:t>
      </w:r>
      <w:r w:rsidR="00B90886" w:rsidRPr="00634CBB">
        <w:rPr>
          <w:rFonts w:ascii="Garamond" w:hAnsi="Garamond" w:cs="Times New Roman"/>
          <w:color w:val="000000" w:themeColor="text1"/>
        </w:rPr>
        <w:t>criticità</w:t>
      </w:r>
      <w:r w:rsidRPr="00634CBB">
        <w:rPr>
          <w:rFonts w:ascii="Garamond" w:hAnsi="Garamond" w:cs="Times New Roman"/>
          <w:color w:val="000000" w:themeColor="text1"/>
        </w:rPr>
        <w:t>.</w:t>
      </w:r>
    </w:p>
    <w:p w:rsidR="00BD1668" w:rsidRPr="00634CBB" w:rsidRDefault="00BD1668"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lastRenderedPageBreak/>
        <w:t>Ci riferiamo a quella tecnica di ostensione consistente nell’oscuramento di quei dati personali la cui omissione non preclude il soddisfacimento dell’interesse conoscitivo del richiedente ed al tempo stesso preserva l’interesse al riserbo tutelato dalla norma.</w:t>
      </w:r>
    </w:p>
    <w:p w:rsidR="00D24DD7" w:rsidRPr="00634CBB" w:rsidRDefault="00BD1668" w:rsidP="00D24DD7">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Trattasi di un </w:t>
      </w:r>
      <w:r w:rsidRPr="00634CBB">
        <w:rPr>
          <w:rFonts w:ascii="Garamond" w:hAnsi="Garamond" w:cs="Times New Roman"/>
          <w:i/>
          <w:color w:val="000000" w:themeColor="text1"/>
        </w:rPr>
        <w:t>modus operandi</w:t>
      </w:r>
      <w:r w:rsidRPr="00634CBB">
        <w:rPr>
          <w:rFonts w:ascii="Garamond" w:hAnsi="Garamond" w:cs="Times New Roman"/>
          <w:color w:val="000000" w:themeColor="text1"/>
        </w:rPr>
        <w:t xml:space="preserve"> </w:t>
      </w:r>
      <w:r w:rsidR="00621DDA" w:rsidRPr="00634CBB">
        <w:rPr>
          <w:rFonts w:ascii="Garamond" w:hAnsi="Garamond" w:cs="Times New Roman"/>
          <w:color w:val="000000" w:themeColor="text1"/>
        </w:rPr>
        <w:t>ampiamente sperimentato da</w:t>
      </w:r>
      <w:r w:rsidR="00D91B09" w:rsidRPr="00634CBB">
        <w:rPr>
          <w:rFonts w:ascii="Garamond" w:hAnsi="Garamond" w:cs="Times New Roman"/>
          <w:color w:val="000000" w:themeColor="text1"/>
        </w:rPr>
        <w:t xml:space="preserve">l diritto europeo, ove </w:t>
      </w:r>
      <w:r w:rsidR="0076593E" w:rsidRPr="00634CBB">
        <w:rPr>
          <w:rFonts w:ascii="Garamond" w:hAnsi="Garamond" w:cs="Times New Roman"/>
          <w:color w:val="000000" w:themeColor="text1"/>
        </w:rPr>
        <w:t>trova</w:t>
      </w:r>
      <w:r w:rsidR="00D91B09" w:rsidRPr="00634CBB">
        <w:rPr>
          <w:rFonts w:ascii="Garamond" w:hAnsi="Garamond" w:cs="Times New Roman"/>
          <w:color w:val="000000" w:themeColor="text1"/>
        </w:rPr>
        <w:t xml:space="preserve"> ampia </w:t>
      </w:r>
      <w:proofErr w:type="gramStart"/>
      <w:r w:rsidR="00D91B09" w:rsidRPr="00634CBB">
        <w:rPr>
          <w:rFonts w:ascii="Garamond" w:hAnsi="Garamond" w:cs="Times New Roman"/>
          <w:color w:val="000000" w:themeColor="text1"/>
        </w:rPr>
        <w:t xml:space="preserve">diffusione </w:t>
      </w:r>
      <w:r w:rsidR="00700096" w:rsidRPr="00634CBB">
        <w:rPr>
          <w:rStyle w:val="Rimandonotaapidipagina"/>
          <w:rFonts w:ascii="Garamond" w:hAnsi="Garamond" w:cs="Times New Roman"/>
          <w:color w:val="000000" w:themeColor="text1"/>
        </w:rPr>
        <w:footnoteReference w:id="60"/>
      </w:r>
      <w:r w:rsidR="00D24DD7" w:rsidRPr="00634CBB">
        <w:rPr>
          <w:rFonts w:ascii="Garamond" w:hAnsi="Garamond" w:cs="Times New Roman"/>
          <w:color w:val="000000" w:themeColor="text1"/>
        </w:rPr>
        <w:t xml:space="preserve"> e</w:t>
      </w:r>
      <w:proofErr w:type="gramEnd"/>
      <w:r w:rsidR="00D24DD7" w:rsidRPr="00634CBB">
        <w:rPr>
          <w:rFonts w:ascii="Garamond" w:hAnsi="Garamond" w:cs="Times New Roman"/>
          <w:color w:val="000000" w:themeColor="text1"/>
        </w:rPr>
        <w:t xml:space="preserve"> che, pur </w:t>
      </w:r>
      <w:r w:rsidR="0076593E" w:rsidRPr="00634CBB">
        <w:rPr>
          <w:rFonts w:ascii="Garamond" w:hAnsi="Garamond" w:cs="Times New Roman"/>
          <w:color w:val="000000" w:themeColor="text1"/>
        </w:rPr>
        <w:t xml:space="preserve">concretizzandosi </w:t>
      </w:r>
      <w:r w:rsidR="00D24DD7" w:rsidRPr="00634CBB">
        <w:rPr>
          <w:rFonts w:ascii="Garamond" w:hAnsi="Garamond" w:cs="Times New Roman"/>
          <w:color w:val="000000" w:themeColor="text1"/>
        </w:rPr>
        <w:t xml:space="preserve">in un semplice espediente pratico, </w:t>
      </w:r>
      <w:r w:rsidR="0076593E" w:rsidRPr="00634CBB">
        <w:rPr>
          <w:rFonts w:ascii="Garamond" w:hAnsi="Garamond" w:cs="Times New Roman"/>
          <w:color w:val="000000" w:themeColor="text1"/>
        </w:rPr>
        <w:t xml:space="preserve">consiste </w:t>
      </w:r>
      <w:r w:rsidR="00621DDA" w:rsidRPr="00634CBB">
        <w:rPr>
          <w:rFonts w:ascii="Garamond" w:hAnsi="Garamond" w:cs="Times New Roman"/>
          <w:color w:val="000000" w:themeColor="text1"/>
        </w:rPr>
        <w:t xml:space="preserve">in un </w:t>
      </w:r>
      <w:r w:rsidR="00D24DD7" w:rsidRPr="00634CBB">
        <w:rPr>
          <w:rFonts w:ascii="Garamond" w:hAnsi="Garamond" w:cs="Times New Roman"/>
          <w:color w:val="000000" w:themeColor="text1"/>
        </w:rPr>
        <w:t>provvedimento (tipico) di “accoglimento parziale” della domanda di accesso.</w:t>
      </w:r>
    </w:p>
    <w:p w:rsidR="00D24DD7" w:rsidRPr="00634CBB" w:rsidRDefault="00D24DD7" w:rsidP="00D24DD7">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L’art. 5-bis, comma 4, D.Lgs. 33/2013 vi dedica un’apposita norma, prevedendo che “</w:t>
      </w:r>
      <w:r w:rsidRPr="00634CBB">
        <w:rPr>
          <w:rFonts w:ascii="Garamond" w:hAnsi="Garamond" w:cs="Times New Roman"/>
          <w:i/>
          <w:color w:val="000000" w:themeColor="text1"/>
        </w:rPr>
        <w:t>Se i limiti di cui ai commi 1 e 2 riguardano soltanto alcuni dati o alcune parti del documento richiesto, deve essere consentito l'accesso agli altri dati o alle altre parti.”</w:t>
      </w:r>
      <w:r w:rsidRPr="00634CBB">
        <w:rPr>
          <w:rFonts w:ascii="Garamond" w:hAnsi="Garamond" w:cs="Times New Roman"/>
          <w:color w:val="000000" w:themeColor="text1"/>
        </w:rPr>
        <w:t>.</w:t>
      </w:r>
    </w:p>
    <w:p w:rsidR="0076593E" w:rsidRPr="00634CBB" w:rsidRDefault="00D24DD7" w:rsidP="0076593E">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L’Autorità Naziona</w:t>
      </w:r>
      <w:r w:rsidR="00621DDA" w:rsidRPr="00634CBB">
        <w:rPr>
          <w:rFonts w:ascii="Garamond" w:hAnsi="Garamond" w:cs="Times New Roman"/>
          <w:color w:val="000000" w:themeColor="text1"/>
        </w:rPr>
        <w:t xml:space="preserve">le Anticorruzione, con le </w:t>
      </w:r>
      <w:r w:rsidRPr="00634CBB">
        <w:rPr>
          <w:rFonts w:ascii="Garamond" w:hAnsi="Garamond" w:cs="Times New Roman"/>
          <w:color w:val="000000" w:themeColor="text1"/>
        </w:rPr>
        <w:t>Linee Guida</w:t>
      </w:r>
      <w:r w:rsidR="00621DDA" w:rsidRPr="00634CBB">
        <w:rPr>
          <w:rFonts w:ascii="Garamond" w:hAnsi="Garamond" w:cs="Times New Roman"/>
          <w:color w:val="000000" w:themeColor="text1"/>
        </w:rPr>
        <w:t xml:space="preserve"> del 28 dicembre 2016</w:t>
      </w:r>
      <w:r w:rsidR="0076593E" w:rsidRPr="00634CBB">
        <w:rPr>
          <w:rFonts w:ascii="Garamond" w:hAnsi="Garamond" w:cs="Times New Roman"/>
          <w:color w:val="000000" w:themeColor="text1"/>
        </w:rPr>
        <w:t xml:space="preserve"> ne </w:t>
      </w:r>
      <w:r w:rsidRPr="00634CBB">
        <w:rPr>
          <w:rFonts w:ascii="Garamond" w:hAnsi="Garamond" w:cs="Times New Roman"/>
          <w:color w:val="000000" w:themeColor="text1"/>
        </w:rPr>
        <w:t xml:space="preserve">ha dato ampio risalto, in quanto strumento in grado di soddisfare i contrapposti interessi </w:t>
      </w:r>
      <w:r w:rsidRPr="00634CBB">
        <w:rPr>
          <w:rFonts w:ascii="Garamond" w:hAnsi="Garamond" w:cs="Times New Roman"/>
          <w:color w:val="000000" w:themeColor="text1"/>
        </w:rPr>
        <w:lastRenderedPageBreak/>
        <w:t xml:space="preserve">in </w:t>
      </w:r>
      <w:proofErr w:type="gramStart"/>
      <w:r w:rsidRPr="00634CBB">
        <w:rPr>
          <w:rFonts w:ascii="Garamond" w:hAnsi="Garamond" w:cs="Times New Roman"/>
          <w:color w:val="000000" w:themeColor="text1"/>
        </w:rPr>
        <w:t xml:space="preserve">gioco </w:t>
      </w:r>
      <w:r w:rsidRPr="00634CBB">
        <w:rPr>
          <w:rStyle w:val="Rimandonotaapidipagina"/>
          <w:rFonts w:ascii="Garamond" w:hAnsi="Garamond" w:cs="Times New Roman"/>
          <w:color w:val="000000" w:themeColor="text1"/>
        </w:rPr>
        <w:footnoteReference w:id="61"/>
      </w:r>
      <w:r w:rsidR="0076593E" w:rsidRPr="00634CBB">
        <w:rPr>
          <w:rFonts w:ascii="Garamond" w:hAnsi="Garamond" w:cs="Times New Roman"/>
          <w:color w:val="000000" w:themeColor="text1"/>
        </w:rPr>
        <w:t xml:space="preserve"> ed</w:t>
      </w:r>
      <w:proofErr w:type="gramEnd"/>
      <w:r w:rsidR="0076593E" w:rsidRPr="00634CBB">
        <w:rPr>
          <w:rFonts w:ascii="Garamond" w:hAnsi="Garamond" w:cs="Times New Roman"/>
          <w:color w:val="000000" w:themeColor="text1"/>
        </w:rPr>
        <w:t xml:space="preserve"> anche in dottrina si è evidenziata la grande utilità della norma sotto il profilo pratico-operativo </w:t>
      </w:r>
      <w:r w:rsidR="0076593E" w:rsidRPr="00634CBB">
        <w:rPr>
          <w:rStyle w:val="Rimandonotaapidipagina"/>
          <w:rFonts w:ascii="Garamond" w:hAnsi="Garamond" w:cs="Times New Roman"/>
          <w:color w:val="000000" w:themeColor="text1"/>
        </w:rPr>
        <w:footnoteReference w:id="62"/>
      </w:r>
      <w:r w:rsidR="0076593E" w:rsidRPr="00634CBB">
        <w:rPr>
          <w:rFonts w:ascii="Garamond" w:hAnsi="Garamond" w:cs="Times New Roman"/>
          <w:color w:val="000000" w:themeColor="text1"/>
        </w:rPr>
        <w:t>.</w:t>
      </w:r>
    </w:p>
    <w:p w:rsidR="00D91B09" w:rsidRPr="00634CBB" w:rsidRDefault="00621DDA" w:rsidP="007F23C6">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Invero, un siffatto provvedimento di “accesso parziale”</w:t>
      </w:r>
      <w:r w:rsidR="000A0487" w:rsidRPr="00634CBB">
        <w:rPr>
          <w:rFonts w:ascii="Garamond" w:hAnsi="Garamond" w:cs="Times New Roman"/>
          <w:color w:val="000000" w:themeColor="text1"/>
        </w:rPr>
        <w:t xml:space="preserve"> rappresenta </w:t>
      </w:r>
      <w:r w:rsidRPr="00634CBB">
        <w:rPr>
          <w:rFonts w:ascii="Garamond" w:hAnsi="Garamond" w:cs="Times New Roman"/>
          <w:color w:val="000000" w:themeColor="text1"/>
        </w:rPr>
        <w:t xml:space="preserve">il duplice corollario per un verso </w:t>
      </w:r>
      <w:r w:rsidR="000A0487" w:rsidRPr="00634CBB">
        <w:rPr>
          <w:rFonts w:ascii="Garamond" w:hAnsi="Garamond" w:cs="Times New Roman"/>
          <w:color w:val="000000" w:themeColor="text1"/>
        </w:rPr>
        <w:t xml:space="preserve">del “principio di proporzionalità” dell’azione amministrativa, che “esige che le limitazioni di un diritto non eccedano quanto è adeguato e necessario per raggiungere lo </w:t>
      </w:r>
      <w:proofErr w:type="gramStart"/>
      <w:r w:rsidR="000A0487" w:rsidRPr="00634CBB">
        <w:rPr>
          <w:rFonts w:ascii="Garamond" w:hAnsi="Garamond" w:cs="Times New Roman"/>
          <w:color w:val="000000" w:themeColor="text1"/>
        </w:rPr>
        <w:t>scopo</w:t>
      </w:r>
      <w:r w:rsidRPr="00634CBB">
        <w:rPr>
          <w:rFonts w:ascii="Garamond" w:hAnsi="Garamond" w:cs="Times New Roman"/>
          <w:color w:val="000000" w:themeColor="text1"/>
        </w:rPr>
        <w:t>”</w:t>
      </w:r>
      <w:r w:rsidR="000A0487" w:rsidRPr="00634CBB">
        <w:rPr>
          <w:rFonts w:ascii="Garamond" w:hAnsi="Garamond" w:cs="Times New Roman"/>
          <w:color w:val="000000" w:themeColor="text1"/>
        </w:rPr>
        <w:t xml:space="preserve"> </w:t>
      </w:r>
      <w:r w:rsidR="000A0487" w:rsidRPr="00634CBB">
        <w:rPr>
          <w:rStyle w:val="Rimandonotaapidipagina"/>
          <w:rFonts w:ascii="Garamond" w:hAnsi="Garamond" w:cs="Times New Roman"/>
          <w:color w:val="000000" w:themeColor="text1"/>
        </w:rPr>
        <w:footnoteReference w:id="63"/>
      </w:r>
      <w:r w:rsidR="000A0487" w:rsidRPr="00634CBB">
        <w:rPr>
          <w:rFonts w:ascii="Garamond" w:hAnsi="Garamond" w:cs="Times New Roman"/>
          <w:color w:val="000000" w:themeColor="text1"/>
        </w:rPr>
        <w:t xml:space="preserve"> e</w:t>
      </w:r>
      <w:proofErr w:type="gramEnd"/>
      <w:r w:rsidR="000A0487"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per altro verso </w:t>
      </w:r>
      <w:r w:rsidR="000A0487" w:rsidRPr="00634CBB">
        <w:rPr>
          <w:rFonts w:ascii="Garamond" w:hAnsi="Garamond" w:cs="Times New Roman"/>
          <w:color w:val="000000" w:themeColor="text1"/>
        </w:rPr>
        <w:t>dei principi di “</w:t>
      </w:r>
      <w:r w:rsidR="000B7919" w:rsidRPr="00634CBB">
        <w:rPr>
          <w:rFonts w:ascii="Garamond" w:hAnsi="Garamond" w:cs="Times New Roman"/>
          <w:color w:val="000000" w:themeColor="text1"/>
        </w:rPr>
        <w:t xml:space="preserve">necessità, pertinenza e non eccedenza” </w:t>
      </w:r>
      <w:r w:rsidRPr="00634CBB">
        <w:rPr>
          <w:rFonts w:ascii="Garamond" w:hAnsi="Garamond" w:cs="Times New Roman"/>
          <w:color w:val="000000" w:themeColor="text1"/>
        </w:rPr>
        <w:t xml:space="preserve">di cui </w:t>
      </w:r>
      <w:r w:rsidR="000B7919" w:rsidRPr="00634CBB">
        <w:rPr>
          <w:rFonts w:ascii="Garamond" w:hAnsi="Garamond" w:cs="Times New Roman"/>
          <w:color w:val="000000" w:themeColor="text1"/>
        </w:rPr>
        <w:t>all’ar</w:t>
      </w:r>
      <w:r w:rsidRPr="00634CBB">
        <w:rPr>
          <w:rFonts w:ascii="Garamond" w:hAnsi="Garamond" w:cs="Times New Roman"/>
          <w:color w:val="000000" w:themeColor="text1"/>
        </w:rPr>
        <w:t>t. 11 del Codice per la Privacy e</w:t>
      </w:r>
      <w:r w:rsidR="000B7919" w:rsidRPr="00634CBB">
        <w:rPr>
          <w:rFonts w:ascii="Garamond" w:hAnsi="Garamond" w:cs="Times New Roman"/>
          <w:color w:val="000000" w:themeColor="text1"/>
        </w:rPr>
        <w:t xml:space="preserve"> di </w:t>
      </w:r>
      <w:r w:rsidR="00423104" w:rsidRPr="00634CBB">
        <w:rPr>
          <w:rFonts w:ascii="Garamond" w:hAnsi="Garamond" w:cs="Times New Roman"/>
          <w:color w:val="000000" w:themeColor="text1"/>
        </w:rPr>
        <w:t xml:space="preserve">“minimizzazione dei dati” ex </w:t>
      </w:r>
      <w:r w:rsidR="000B7919" w:rsidRPr="00634CBB">
        <w:rPr>
          <w:rFonts w:ascii="Garamond" w:hAnsi="Garamond" w:cs="Times New Roman"/>
          <w:color w:val="000000" w:themeColor="text1"/>
        </w:rPr>
        <w:t xml:space="preserve">art. 5, comma 1, lett. c) del Regolamento CE n. 2016/679/UE </w:t>
      </w:r>
      <w:r w:rsidR="000B7919" w:rsidRPr="00634CBB">
        <w:rPr>
          <w:rStyle w:val="Rimandonotaapidipagina"/>
          <w:rFonts w:ascii="Garamond" w:hAnsi="Garamond" w:cs="Times New Roman"/>
          <w:color w:val="000000" w:themeColor="text1"/>
        </w:rPr>
        <w:footnoteReference w:id="64"/>
      </w:r>
      <w:r w:rsidR="000B7919" w:rsidRPr="00634CBB">
        <w:rPr>
          <w:rFonts w:ascii="Garamond" w:hAnsi="Garamond" w:cs="Times New Roman"/>
          <w:color w:val="000000" w:themeColor="text1"/>
        </w:rPr>
        <w:t>.</w:t>
      </w:r>
    </w:p>
    <w:p w:rsidR="006D5C2A" w:rsidRPr="00634CBB" w:rsidRDefault="00330E45"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lastRenderedPageBreak/>
        <w:t>Va</w:t>
      </w:r>
      <w:r w:rsidR="0076593E" w:rsidRPr="00634CBB">
        <w:rPr>
          <w:rFonts w:ascii="Garamond" w:hAnsi="Garamond" w:cs="Times New Roman"/>
          <w:color w:val="000000" w:themeColor="text1"/>
        </w:rPr>
        <w:t>,</w:t>
      </w:r>
      <w:r w:rsidRPr="00634CBB">
        <w:rPr>
          <w:rFonts w:ascii="Garamond" w:hAnsi="Garamond" w:cs="Times New Roman"/>
          <w:color w:val="000000" w:themeColor="text1"/>
        </w:rPr>
        <w:t xml:space="preserve"> peraltro</w:t>
      </w:r>
      <w:r w:rsidR="0076593E" w:rsidRPr="00634CBB">
        <w:rPr>
          <w:rFonts w:ascii="Garamond" w:hAnsi="Garamond" w:cs="Times New Roman"/>
          <w:color w:val="000000" w:themeColor="text1"/>
        </w:rPr>
        <w:t>,</w:t>
      </w:r>
      <w:r w:rsidRPr="00634CBB">
        <w:rPr>
          <w:rFonts w:ascii="Garamond" w:hAnsi="Garamond" w:cs="Times New Roman"/>
          <w:color w:val="000000" w:themeColor="text1"/>
        </w:rPr>
        <w:t xml:space="preserve"> regis</w:t>
      </w:r>
      <w:r w:rsidR="0076593E" w:rsidRPr="00634CBB">
        <w:rPr>
          <w:rFonts w:ascii="Garamond" w:hAnsi="Garamond" w:cs="Times New Roman"/>
          <w:color w:val="000000" w:themeColor="text1"/>
        </w:rPr>
        <w:t xml:space="preserve">trato che anche in questo caso </w:t>
      </w:r>
      <w:r w:rsidR="002B62CA" w:rsidRPr="00634CBB">
        <w:rPr>
          <w:rFonts w:ascii="Garamond" w:hAnsi="Garamond" w:cs="Times New Roman"/>
          <w:color w:val="000000" w:themeColor="text1"/>
        </w:rPr>
        <w:t>i</w:t>
      </w:r>
      <w:r w:rsidR="00CE5BEE" w:rsidRPr="00634CBB">
        <w:rPr>
          <w:rFonts w:ascii="Garamond" w:hAnsi="Garamond" w:cs="Times New Roman"/>
          <w:color w:val="000000" w:themeColor="text1"/>
        </w:rPr>
        <w:t xml:space="preserve">l Garante per la privacy </w:t>
      </w:r>
      <w:r w:rsidR="006D5C2A" w:rsidRPr="00634CBB">
        <w:rPr>
          <w:rFonts w:ascii="Garamond" w:hAnsi="Garamond" w:cs="Times New Roman"/>
          <w:color w:val="000000" w:themeColor="text1"/>
        </w:rPr>
        <w:t>sembra</w:t>
      </w:r>
      <w:r w:rsidR="0076593E" w:rsidRPr="00634CBB">
        <w:rPr>
          <w:rFonts w:ascii="Garamond" w:hAnsi="Garamond" w:cs="Times New Roman"/>
          <w:color w:val="000000" w:themeColor="text1"/>
        </w:rPr>
        <w:t xml:space="preserve"> orientato </w:t>
      </w:r>
      <w:r w:rsidR="00423104" w:rsidRPr="00634CBB">
        <w:rPr>
          <w:rFonts w:ascii="Garamond" w:hAnsi="Garamond" w:cs="Times New Roman"/>
          <w:color w:val="000000" w:themeColor="text1"/>
        </w:rPr>
        <w:t xml:space="preserve">su </w:t>
      </w:r>
      <w:r w:rsidR="0076593E" w:rsidRPr="00634CBB">
        <w:rPr>
          <w:rFonts w:ascii="Garamond" w:hAnsi="Garamond" w:cs="Times New Roman"/>
          <w:color w:val="000000" w:themeColor="text1"/>
        </w:rPr>
        <w:t xml:space="preserve">posizioni </w:t>
      </w:r>
      <w:r w:rsidR="002B62CA" w:rsidRPr="00634CBB">
        <w:rPr>
          <w:rFonts w:ascii="Garamond" w:hAnsi="Garamond" w:cs="Times New Roman"/>
          <w:color w:val="000000" w:themeColor="text1"/>
        </w:rPr>
        <w:t xml:space="preserve">piuttosto intransigenti, avendo espresso </w:t>
      </w:r>
      <w:r w:rsidR="0076593E" w:rsidRPr="00634CBB">
        <w:rPr>
          <w:rFonts w:ascii="Garamond" w:hAnsi="Garamond" w:cs="Times New Roman"/>
          <w:color w:val="000000" w:themeColor="text1"/>
        </w:rPr>
        <w:t xml:space="preserve">in più occasioni </w:t>
      </w:r>
      <w:r w:rsidR="002B62CA" w:rsidRPr="00634CBB">
        <w:rPr>
          <w:rFonts w:ascii="Garamond" w:hAnsi="Garamond" w:cs="Times New Roman"/>
          <w:color w:val="000000" w:themeColor="text1"/>
        </w:rPr>
        <w:t xml:space="preserve">un </w:t>
      </w:r>
      <w:r w:rsidR="006D5C2A" w:rsidRPr="00634CBB">
        <w:rPr>
          <w:rFonts w:ascii="Garamond" w:hAnsi="Garamond" w:cs="Times New Roman"/>
          <w:color w:val="000000" w:themeColor="text1"/>
        </w:rPr>
        <w:t>indirizzo fortemente restrittivo in ordine all’applicabilità della norma.</w:t>
      </w:r>
    </w:p>
    <w:p w:rsidR="002B62CA" w:rsidRPr="00634CBB" w:rsidRDefault="006D5C2A"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Invero, ad avviso del Garante, l</w:t>
      </w:r>
      <w:proofErr w:type="gramStart"/>
      <w:r w:rsidRPr="00634CBB">
        <w:rPr>
          <w:rFonts w:ascii="Garamond" w:hAnsi="Garamond" w:cs="Times New Roman"/>
          <w:color w:val="000000" w:themeColor="text1"/>
        </w:rPr>
        <w:t>’”accesso</w:t>
      </w:r>
      <w:proofErr w:type="gramEnd"/>
      <w:r w:rsidRPr="00634CBB">
        <w:rPr>
          <w:rFonts w:ascii="Garamond" w:hAnsi="Garamond" w:cs="Times New Roman"/>
          <w:color w:val="000000" w:themeColor="text1"/>
        </w:rPr>
        <w:t xml:space="preserve"> parziale” mediante l’oscuramento dei dati personali non sarebbe idoneo a </w:t>
      </w:r>
      <w:r w:rsidR="00675061" w:rsidRPr="00634CBB">
        <w:rPr>
          <w:rFonts w:ascii="Garamond" w:hAnsi="Garamond" w:cs="Times New Roman"/>
          <w:color w:val="000000" w:themeColor="text1"/>
        </w:rPr>
        <w:t xml:space="preserve">tutelare adeguatamente il diritto alla </w:t>
      </w:r>
      <w:r w:rsidRPr="00634CBB">
        <w:rPr>
          <w:rFonts w:ascii="Garamond" w:hAnsi="Garamond" w:cs="Times New Roman"/>
          <w:color w:val="000000" w:themeColor="text1"/>
        </w:rPr>
        <w:t>riservatezza dei soggetti me</w:t>
      </w:r>
      <w:r w:rsidR="00F75686" w:rsidRPr="00634CBB">
        <w:rPr>
          <w:rFonts w:ascii="Garamond" w:hAnsi="Garamond" w:cs="Times New Roman"/>
          <w:color w:val="000000" w:themeColor="text1"/>
        </w:rPr>
        <w:t xml:space="preserve">nzionati </w:t>
      </w:r>
      <w:r w:rsidR="00423104" w:rsidRPr="00634CBB">
        <w:rPr>
          <w:rFonts w:ascii="Garamond" w:hAnsi="Garamond" w:cs="Times New Roman"/>
          <w:color w:val="000000" w:themeColor="text1"/>
        </w:rPr>
        <w:t xml:space="preserve">nel documento richiesto </w:t>
      </w:r>
      <w:r w:rsidR="00F75686" w:rsidRPr="00634CBB">
        <w:rPr>
          <w:rFonts w:ascii="Garamond" w:hAnsi="Garamond" w:cs="Times New Roman"/>
          <w:color w:val="000000" w:themeColor="text1"/>
        </w:rPr>
        <w:t>in tutti i casi in cui</w:t>
      </w:r>
      <w:r w:rsidR="00675061" w:rsidRPr="00634CBB">
        <w:rPr>
          <w:rFonts w:ascii="Garamond" w:hAnsi="Garamond" w:cs="Times New Roman"/>
          <w:color w:val="000000" w:themeColor="text1"/>
        </w:rPr>
        <w:t xml:space="preserve"> </w:t>
      </w:r>
      <w:r w:rsidRPr="00634CBB">
        <w:rPr>
          <w:rFonts w:ascii="Garamond" w:hAnsi="Garamond" w:cs="Times New Roman"/>
          <w:color w:val="000000" w:themeColor="text1"/>
        </w:rPr>
        <w:t xml:space="preserve">il predetto accorgimento tecnico non elimini completamente la possibilità che detti soggetti vengano </w:t>
      </w:r>
      <w:r w:rsidR="00F75686" w:rsidRPr="00634CBB">
        <w:rPr>
          <w:rFonts w:ascii="Garamond" w:hAnsi="Garamond" w:cs="Times New Roman"/>
          <w:color w:val="000000" w:themeColor="text1"/>
        </w:rPr>
        <w:t>“</w:t>
      </w:r>
      <w:r w:rsidRPr="00634CBB">
        <w:rPr>
          <w:rFonts w:ascii="Garamond" w:hAnsi="Garamond" w:cs="Times New Roman"/>
          <w:color w:val="000000" w:themeColor="text1"/>
        </w:rPr>
        <w:t>re-identificati</w:t>
      </w:r>
      <w:r w:rsidR="00F75686" w:rsidRPr="00634CBB">
        <w:rPr>
          <w:rFonts w:ascii="Garamond" w:hAnsi="Garamond" w:cs="Times New Roman"/>
          <w:color w:val="000000" w:themeColor="text1"/>
        </w:rPr>
        <w:t>”</w:t>
      </w:r>
      <w:r w:rsidRPr="00634CBB">
        <w:rPr>
          <w:rFonts w:ascii="Garamond" w:hAnsi="Garamond" w:cs="Times New Roman"/>
          <w:color w:val="000000" w:themeColor="text1"/>
        </w:rPr>
        <w:t xml:space="preserve"> attraverso le ulte</w:t>
      </w:r>
      <w:r w:rsidR="00423104" w:rsidRPr="00634CBB">
        <w:rPr>
          <w:rFonts w:ascii="Garamond" w:hAnsi="Garamond" w:cs="Times New Roman"/>
          <w:color w:val="000000" w:themeColor="text1"/>
        </w:rPr>
        <w:t>riori informazioni contenute nel</w:t>
      </w:r>
      <w:r w:rsidRPr="00634CBB">
        <w:rPr>
          <w:rFonts w:ascii="Garamond" w:hAnsi="Garamond" w:cs="Times New Roman"/>
          <w:color w:val="000000" w:themeColor="text1"/>
        </w:rPr>
        <w:t xml:space="preserve"> docum</w:t>
      </w:r>
      <w:r w:rsidR="00423104" w:rsidRPr="00634CBB">
        <w:rPr>
          <w:rFonts w:ascii="Garamond" w:hAnsi="Garamond" w:cs="Times New Roman"/>
          <w:color w:val="000000" w:themeColor="text1"/>
        </w:rPr>
        <w:t>ento stesso</w:t>
      </w:r>
      <w:r w:rsidRPr="00634CBB">
        <w:rPr>
          <w:rFonts w:ascii="Garamond" w:hAnsi="Garamond" w:cs="Times New Roman"/>
          <w:color w:val="000000" w:themeColor="text1"/>
        </w:rPr>
        <w:t xml:space="preserve"> </w:t>
      </w:r>
      <w:r w:rsidR="002B62CA" w:rsidRPr="00634CBB">
        <w:rPr>
          <w:rStyle w:val="Rimandonotaapidipagina"/>
          <w:rFonts w:ascii="Garamond" w:hAnsi="Garamond" w:cs="Times New Roman"/>
          <w:color w:val="000000" w:themeColor="text1"/>
        </w:rPr>
        <w:footnoteReference w:id="65"/>
      </w:r>
      <w:r w:rsidR="002B62CA" w:rsidRPr="00634CBB">
        <w:rPr>
          <w:rFonts w:ascii="Garamond" w:hAnsi="Garamond" w:cs="Times New Roman"/>
          <w:color w:val="000000" w:themeColor="text1"/>
        </w:rPr>
        <w:t>.</w:t>
      </w:r>
    </w:p>
    <w:p w:rsidR="003A07CE" w:rsidRPr="00634CBB" w:rsidRDefault="00F75686"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E’ evidente che un criterio applicativo siffatto porta inevitabilmente a </w:t>
      </w:r>
      <w:r w:rsidR="00050080" w:rsidRPr="00634CBB">
        <w:rPr>
          <w:rFonts w:ascii="Garamond" w:hAnsi="Garamond" w:cs="Times New Roman"/>
          <w:color w:val="000000" w:themeColor="text1"/>
        </w:rPr>
        <w:t xml:space="preserve">detronizzare </w:t>
      </w:r>
      <w:r w:rsidRPr="00634CBB">
        <w:rPr>
          <w:rFonts w:ascii="Garamond" w:hAnsi="Garamond" w:cs="Times New Roman"/>
          <w:color w:val="000000" w:themeColor="text1"/>
        </w:rPr>
        <w:t xml:space="preserve">l’operatività della norma, non potendo quasi mai escludersi in modo assoluto la possibilità di una “re-identificazione” </w:t>
      </w:r>
      <w:r w:rsidR="003A07CE" w:rsidRPr="00634CBB">
        <w:rPr>
          <w:rFonts w:ascii="Garamond" w:hAnsi="Garamond" w:cs="Times New Roman"/>
          <w:color w:val="000000" w:themeColor="text1"/>
        </w:rPr>
        <w:t xml:space="preserve">dei soggetti </w:t>
      </w:r>
      <w:r w:rsidRPr="00634CBB">
        <w:rPr>
          <w:rFonts w:ascii="Garamond" w:hAnsi="Garamond" w:cs="Times New Roman"/>
          <w:color w:val="000000" w:themeColor="text1"/>
        </w:rPr>
        <w:t>menzionati in un documento amministrativo attraverso le ulteriori informazioni ivi contenute</w:t>
      </w:r>
      <w:r w:rsidR="003A07CE" w:rsidRPr="00634CBB">
        <w:rPr>
          <w:rFonts w:ascii="Garamond" w:hAnsi="Garamond" w:cs="Times New Roman"/>
          <w:color w:val="000000" w:themeColor="text1"/>
        </w:rPr>
        <w:t>.</w:t>
      </w:r>
    </w:p>
    <w:p w:rsidR="00F75686" w:rsidRPr="00634CBB" w:rsidRDefault="00050080" w:rsidP="00D940E3">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 xml:space="preserve">Questo solo fatto non può, quindi, </w:t>
      </w:r>
      <w:r w:rsidR="003A07CE" w:rsidRPr="00634CBB">
        <w:rPr>
          <w:rFonts w:ascii="Garamond" w:hAnsi="Garamond" w:cs="Times New Roman"/>
          <w:color w:val="000000" w:themeColor="text1"/>
        </w:rPr>
        <w:t>essere sufficiente ad escludere l</w:t>
      </w:r>
      <w:r w:rsidRPr="00634CBB">
        <w:rPr>
          <w:rFonts w:ascii="Garamond" w:hAnsi="Garamond" w:cs="Times New Roman"/>
          <w:color w:val="000000" w:themeColor="text1"/>
        </w:rPr>
        <w:t>’</w:t>
      </w:r>
      <w:r w:rsidR="003A07CE" w:rsidRPr="00634CBB">
        <w:rPr>
          <w:rFonts w:ascii="Garamond" w:hAnsi="Garamond" w:cs="Times New Roman"/>
          <w:color w:val="000000" w:themeColor="text1"/>
        </w:rPr>
        <w:t xml:space="preserve">accesso parziale mediante la tecnica degli </w:t>
      </w:r>
      <w:r w:rsidR="003A07CE" w:rsidRPr="00634CBB">
        <w:rPr>
          <w:rFonts w:ascii="Garamond" w:hAnsi="Garamond" w:cs="Times New Roman"/>
          <w:i/>
          <w:color w:val="000000" w:themeColor="text1"/>
        </w:rPr>
        <w:t>omissis</w:t>
      </w:r>
      <w:r w:rsidR="003A07CE" w:rsidRPr="00634CBB">
        <w:rPr>
          <w:rFonts w:ascii="Garamond" w:hAnsi="Garamond" w:cs="Times New Roman"/>
          <w:color w:val="000000" w:themeColor="text1"/>
        </w:rPr>
        <w:t>, dovendo piuttosto verificarsi, caso per caso, se</w:t>
      </w:r>
      <w:r w:rsidRPr="00634CBB">
        <w:rPr>
          <w:rFonts w:ascii="Garamond" w:hAnsi="Garamond" w:cs="Times New Roman"/>
          <w:color w:val="000000" w:themeColor="text1"/>
        </w:rPr>
        <w:t xml:space="preserve"> sia non solo “possibile, ma “altamente probabile” la</w:t>
      </w:r>
      <w:r w:rsidR="003A07CE" w:rsidRPr="00634CBB">
        <w:rPr>
          <w:rFonts w:ascii="Garamond" w:hAnsi="Garamond" w:cs="Times New Roman"/>
          <w:color w:val="000000" w:themeColor="text1"/>
        </w:rPr>
        <w:t xml:space="preserve"> re-identificazione</w:t>
      </w:r>
      <w:r w:rsidRPr="00634CBB">
        <w:rPr>
          <w:rFonts w:ascii="Garamond" w:hAnsi="Garamond" w:cs="Times New Roman"/>
          <w:color w:val="000000" w:themeColor="text1"/>
        </w:rPr>
        <w:t xml:space="preserve"> dei soggetti</w:t>
      </w:r>
      <w:r w:rsidR="003A07CE" w:rsidRPr="00634CBB">
        <w:rPr>
          <w:rFonts w:ascii="Garamond" w:hAnsi="Garamond" w:cs="Times New Roman"/>
          <w:color w:val="000000" w:themeColor="text1"/>
        </w:rPr>
        <w:t xml:space="preserve">, perché solo </w:t>
      </w:r>
      <w:r w:rsidR="003A07CE" w:rsidRPr="00634CBB">
        <w:rPr>
          <w:rFonts w:ascii="Garamond" w:hAnsi="Garamond" w:cs="Times New Roman"/>
          <w:color w:val="000000" w:themeColor="text1"/>
        </w:rPr>
        <w:lastRenderedPageBreak/>
        <w:t xml:space="preserve">in tal caso potrà dirsi che il pregiudizio derivante dalla ostensione </w:t>
      </w:r>
      <w:r w:rsidRPr="00634CBB">
        <w:rPr>
          <w:rFonts w:ascii="Garamond" w:hAnsi="Garamond" w:cs="Times New Roman"/>
          <w:color w:val="000000" w:themeColor="text1"/>
        </w:rPr>
        <w:t xml:space="preserve">è </w:t>
      </w:r>
      <w:r w:rsidR="003A07CE" w:rsidRPr="00634CBB">
        <w:rPr>
          <w:rFonts w:ascii="Garamond" w:hAnsi="Garamond" w:cs="Times New Roman"/>
          <w:color w:val="000000" w:themeColor="text1"/>
        </w:rPr>
        <w:t xml:space="preserve">“altamente probabile”. </w:t>
      </w:r>
      <w:r w:rsidR="00F75686" w:rsidRPr="00634CBB">
        <w:rPr>
          <w:rFonts w:ascii="Garamond" w:hAnsi="Garamond" w:cs="Times New Roman"/>
          <w:color w:val="000000" w:themeColor="text1"/>
        </w:rPr>
        <w:t xml:space="preserve"> </w:t>
      </w:r>
    </w:p>
    <w:p w:rsidR="002B7E3F" w:rsidRPr="00634CBB" w:rsidRDefault="003A07CE" w:rsidP="005B40FC">
      <w:pPr>
        <w:spacing w:line="360" w:lineRule="auto"/>
        <w:ind w:left="851" w:right="851"/>
        <w:jc w:val="both"/>
        <w:rPr>
          <w:rFonts w:ascii="Garamond" w:hAnsi="Garamond" w:cs="Times New Roman"/>
          <w:color w:val="000000" w:themeColor="text1"/>
        </w:rPr>
      </w:pPr>
      <w:r w:rsidRPr="00634CBB">
        <w:rPr>
          <w:rFonts w:ascii="Garamond" w:hAnsi="Garamond" w:cs="Times New Roman"/>
          <w:color w:val="000000" w:themeColor="text1"/>
        </w:rPr>
        <w:t>Con l’ulteriore precisazione che neppure l</w:t>
      </w:r>
      <w:proofErr w:type="gramStart"/>
      <w:r w:rsidRPr="00634CBB">
        <w:rPr>
          <w:rFonts w:ascii="Garamond" w:hAnsi="Garamond" w:cs="Times New Roman"/>
          <w:color w:val="000000" w:themeColor="text1"/>
        </w:rPr>
        <w:t>’”alta</w:t>
      </w:r>
      <w:proofErr w:type="gramEnd"/>
      <w:r w:rsidRPr="00634CBB">
        <w:rPr>
          <w:rFonts w:ascii="Garamond" w:hAnsi="Garamond" w:cs="Times New Roman"/>
          <w:color w:val="000000" w:themeColor="text1"/>
        </w:rPr>
        <w:t xml:space="preserve"> probabilità” della re-identificazione è di per sé suff</w:t>
      </w:r>
      <w:r w:rsidR="00050080" w:rsidRPr="00634CBB">
        <w:rPr>
          <w:rFonts w:ascii="Garamond" w:hAnsi="Garamond" w:cs="Times New Roman"/>
          <w:color w:val="000000" w:themeColor="text1"/>
        </w:rPr>
        <w:t>iciente ad escludere l’accesso parziale</w:t>
      </w:r>
      <w:r w:rsidRPr="00634CBB">
        <w:rPr>
          <w:rFonts w:ascii="Garamond" w:hAnsi="Garamond" w:cs="Times New Roman"/>
          <w:color w:val="000000" w:themeColor="text1"/>
        </w:rPr>
        <w:t>, dovendo verificarsi se, nonostante detta re-identificazione de</w:t>
      </w:r>
      <w:r w:rsidR="00050080" w:rsidRPr="00634CBB">
        <w:rPr>
          <w:rFonts w:ascii="Garamond" w:hAnsi="Garamond" w:cs="Times New Roman"/>
          <w:color w:val="000000" w:themeColor="text1"/>
        </w:rPr>
        <w:t>i soggetti, questi ricevano</w:t>
      </w:r>
      <w:r w:rsidRPr="00634CBB">
        <w:rPr>
          <w:rFonts w:ascii="Garamond" w:hAnsi="Garamond" w:cs="Times New Roman"/>
          <w:color w:val="000000" w:themeColor="text1"/>
        </w:rPr>
        <w:t xml:space="preserve"> effettivamente un </w:t>
      </w:r>
      <w:r w:rsidR="00826E96" w:rsidRPr="00634CBB">
        <w:rPr>
          <w:rFonts w:ascii="Garamond" w:hAnsi="Garamond" w:cs="Times New Roman"/>
          <w:color w:val="000000" w:themeColor="text1"/>
        </w:rPr>
        <w:t xml:space="preserve">“concreto </w:t>
      </w:r>
      <w:r w:rsidRPr="00634CBB">
        <w:rPr>
          <w:rFonts w:ascii="Garamond" w:hAnsi="Garamond" w:cs="Times New Roman"/>
          <w:color w:val="000000" w:themeColor="text1"/>
        </w:rPr>
        <w:t>pregiudizio</w:t>
      </w:r>
      <w:r w:rsidR="00826E96" w:rsidRPr="00634CBB">
        <w:rPr>
          <w:rFonts w:ascii="Garamond" w:hAnsi="Garamond" w:cs="Times New Roman"/>
          <w:color w:val="000000" w:themeColor="text1"/>
        </w:rPr>
        <w:t>”, alla luce dei c</w:t>
      </w:r>
      <w:r w:rsidR="00050080" w:rsidRPr="00634CBB">
        <w:rPr>
          <w:rFonts w:ascii="Garamond" w:hAnsi="Garamond" w:cs="Times New Roman"/>
          <w:color w:val="000000" w:themeColor="text1"/>
        </w:rPr>
        <w:t>riteri elaborati da Anac (</w:t>
      </w:r>
      <w:r w:rsidR="00826E96" w:rsidRPr="00634CBB">
        <w:rPr>
          <w:rFonts w:ascii="Garamond" w:hAnsi="Garamond" w:cs="Times New Roman"/>
          <w:color w:val="000000" w:themeColor="text1"/>
        </w:rPr>
        <w:t>tipologia di soggetto e ruolo ricoperto, ragionevoli aspettative</w:t>
      </w:r>
      <w:r w:rsidRPr="00634CBB">
        <w:rPr>
          <w:rFonts w:ascii="Garamond" w:hAnsi="Garamond" w:cs="Times New Roman"/>
          <w:color w:val="000000" w:themeColor="text1"/>
        </w:rPr>
        <w:t xml:space="preserve"> </w:t>
      </w:r>
      <w:r w:rsidR="00826E96" w:rsidRPr="00634CBB">
        <w:rPr>
          <w:rFonts w:ascii="Garamond" w:hAnsi="Garamond" w:cs="Times New Roman"/>
          <w:color w:val="000000" w:themeColor="text1"/>
        </w:rPr>
        <w:t>dello stesso in ordine al trattamento dei suoi dati personali, conseguenze pratiche della ostensione, ecc.).</w:t>
      </w:r>
    </w:p>
    <w:p w:rsidR="00826E96" w:rsidRPr="00853A7E" w:rsidRDefault="00463DCF" w:rsidP="00826E96">
      <w:pPr>
        <w:spacing w:line="360" w:lineRule="auto"/>
        <w:ind w:left="851" w:right="851"/>
        <w:jc w:val="both"/>
        <w:rPr>
          <w:rFonts w:ascii="Garamond" w:eastAsia="Lucida Sans Unicode" w:hAnsi="Garamond" w:cs="Times New Roman"/>
          <w:b/>
          <w:color w:val="000000" w:themeColor="text1"/>
          <w:sz w:val="32"/>
          <w:szCs w:val="32"/>
        </w:rPr>
      </w:pPr>
      <w:r w:rsidRPr="00634CBB">
        <w:rPr>
          <w:rFonts w:ascii="Garamond" w:eastAsia="Lucida Sans Unicode" w:hAnsi="Garamond" w:cs="Times New Roman"/>
          <w:color w:val="000000" w:themeColor="text1"/>
        </w:rPr>
        <w:tab/>
      </w:r>
      <w:r w:rsidRPr="00634CBB">
        <w:rPr>
          <w:rFonts w:ascii="Garamond" w:eastAsia="Lucida Sans Unicode" w:hAnsi="Garamond" w:cs="Times New Roman"/>
          <w:color w:val="000000" w:themeColor="text1"/>
        </w:rPr>
        <w:tab/>
      </w:r>
      <w:r w:rsidRPr="00634CBB">
        <w:rPr>
          <w:rFonts w:ascii="Garamond" w:eastAsia="Lucida Sans Unicode" w:hAnsi="Garamond" w:cs="Times New Roman"/>
          <w:color w:val="000000" w:themeColor="text1"/>
        </w:rPr>
        <w:tab/>
      </w:r>
      <w:r w:rsidRPr="00634CBB">
        <w:rPr>
          <w:rFonts w:ascii="Garamond" w:eastAsia="Lucida Sans Unicode" w:hAnsi="Garamond" w:cs="Times New Roman"/>
          <w:color w:val="000000" w:themeColor="text1"/>
        </w:rPr>
        <w:tab/>
      </w:r>
      <w:r w:rsidRPr="00634CBB">
        <w:rPr>
          <w:rFonts w:ascii="Garamond" w:eastAsia="Lucida Sans Unicode" w:hAnsi="Garamond" w:cs="Times New Roman"/>
          <w:color w:val="000000" w:themeColor="text1"/>
        </w:rPr>
        <w:tab/>
      </w:r>
      <w:r w:rsidRPr="00634CBB">
        <w:rPr>
          <w:rFonts w:ascii="Garamond" w:eastAsia="Lucida Sans Unicode" w:hAnsi="Garamond" w:cs="Times New Roman"/>
          <w:color w:val="000000" w:themeColor="text1"/>
        </w:rPr>
        <w:tab/>
      </w:r>
      <w:r w:rsidRPr="00634CBB">
        <w:rPr>
          <w:rFonts w:ascii="Garamond" w:eastAsia="Lucida Sans Unicode" w:hAnsi="Garamond" w:cs="Times New Roman"/>
          <w:color w:val="000000" w:themeColor="text1"/>
        </w:rPr>
        <w:tab/>
      </w:r>
      <w:r w:rsidRPr="00634CBB">
        <w:rPr>
          <w:rFonts w:ascii="Garamond" w:eastAsia="Lucida Sans Unicode" w:hAnsi="Garamond" w:cs="Times New Roman"/>
          <w:color w:val="000000" w:themeColor="text1"/>
        </w:rPr>
        <w:tab/>
      </w:r>
      <w:r w:rsidR="00826E96" w:rsidRPr="00853A7E">
        <w:rPr>
          <w:rFonts w:ascii="Garamond" w:eastAsia="Lucida Sans Unicode" w:hAnsi="Garamond" w:cs="Times New Roman"/>
          <w:b/>
          <w:color w:val="000000" w:themeColor="text1"/>
          <w:sz w:val="32"/>
          <w:szCs w:val="32"/>
        </w:rPr>
        <w:t>Andrea Berti</w:t>
      </w:r>
    </w:p>
    <w:p w:rsidR="00826E96" w:rsidRDefault="00826E96" w:rsidP="00CC5C0D">
      <w:pPr>
        <w:spacing w:line="360" w:lineRule="auto"/>
        <w:ind w:left="5664" w:right="851"/>
        <w:jc w:val="center"/>
        <w:rPr>
          <w:rFonts w:ascii="Garamond" w:eastAsia="Lucida Sans Unicode" w:hAnsi="Garamond" w:cs="Times New Roman"/>
          <w:color w:val="000000" w:themeColor="text1"/>
          <w:sz w:val="22"/>
          <w:szCs w:val="22"/>
        </w:rPr>
      </w:pPr>
      <w:r w:rsidRPr="00634CBB">
        <w:rPr>
          <w:rFonts w:ascii="Garamond" w:eastAsia="Lucida Sans Unicode" w:hAnsi="Garamond" w:cs="Times New Roman"/>
          <w:color w:val="000000" w:themeColor="text1"/>
          <w:sz w:val="22"/>
          <w:szCs w:val="22"/>
        </w:rPr>
        <w:t>Avv</w:t>
      </w:r>
      <w:bookmarkStart w:id="0" w:name="_GoBack"/>
      <w:bookmarkEnd w:id="0"/>
      <w:r w:rsidRPr="00634CBB">
        <w:rPr>
          <w:rFonts w:ascii="Garamond" w:eastAsia="Lucida Sans Unicode" w:hAnsi="Garamond" w:cs="Times New Roman"/>
          <w:color w:val="000000" w:themeColor="text1"/>
          <w:sz w:val="22"/>
          <w:szCs w:val="22"/>
        </w:rPr>
        <w:t>ocato</w:t>
      </w:r>
    </w:p>
    <w:p w:rsidR="00853A7E" w:rsidRDefault="00853A7E" w:rsidP="00826E96">
      <w:pPr>
        <w:spacing w:line="360" w:lineRule="auto"/>
        <w:ind w:left="5664" w:right="851"/>
        <w:jc w:val="both"/>
        <w:rPr>
          <w:rFonts w:ascii="Garamond" w:eastAsia="Lucida Sans Unicode" w:hAnsi="Garamond" w:cs="Times New Roman"/>
          <w:color w:val="000000" w:themeColor="text1"/>
          <w:sz w:val="22"/>
          <w:szCs w:val="22"/>
        </w:rPr>
      </w:pPr>
    </w:p>
    <w:p w:rsidR="00853A7E" w:rsidRPr="00634CBB" w:rsidRDefault="00853A7E" w:rsidP="00826E96">
      <w:pPr>
        <w:spacing w:line="360" w:lineRule="auto"/>
        <w:ind w:left="5664" w:right="851"/>
        <w:jc w:val="both"/>
        <w:rPr>
          <w:rFonts w:ascii="Garamond" w:eastAsia="Lucida Sans Unicode" w:hAnsi="Garamond" w:cs="Times New Roman"/>
          <w:color w:val="000000" w:themeColor="text1"/>
          <w:sz w:val="22"/>
          <w:szCs w:val="22"/>
        </w:rPr>
      </w:pPr>
      <w:r>
        <w:rPr>
          <w:rFonts w:ascii="Garamond" w:eastAsia="Lucida Sans Unicode" w:hAnsi="Garamond" w:cs="Times New Roman"/>
          <w:color w:val="000000" w:themeColor="text1"/>
          <w:sz w:val="22"/>
          <w:szCs w:val="22"/>
        </w:rPr>
        <w:t>Pubblicato l’11 maggio 2018</w:t>
      </w:r>
    </w:p>
    <w:p w:rsidR="00826E96" w:rsidRPr="00634CBB" w:rsidRDefault="00826E96" w:rsidP="005B40FC">
      <w:pPr>
        <w:spacing w:line="360" w:lineRule="auto"/>
        <w:ind w:left="851" w:right="851"/>
        <w:jc w:val="both"/>
        <w:rPr>
          <w:rFonts w:ascii="Garamond" w:hAnsi="Garamond" w:cs="Times New Roman"/>
          <w:color w:val="000000" w:themeColor="text1"/>
        </w:rPr>
      </w:pPr>
    </w:p>
    <w:sectPr w:rsidR="00826E96" w:rsidRPr="00634CBB" w:rsidSect="00180DD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42C" w:rsidRDefault="00DA542C" w:rsidP="003210CC">
      <w:r>
        <w:separator/>
      </w:r>
    </w:p>
  </w:endnote>
  <w:endnote w:type="continuationSeparator" w:id="0">
    <w:p w:rsidR="00DA542C" w:rsidRDefault="00DA542C" w:rsidP="0032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76000"/>
      <w:docPartObj>
        <w:docPartGallery w:val="Page Numbers (Bottom of Page)"/>
        <w:docPartUnique/>
      </w:docPartObj>
    </w:sdtPr>
    <w:sdtEndPr/>
    <w:sdtContent>
      <w:p w:rsidR="00A556E5" w:rsidRDefault="00DA542C">
        <w:pPr>
          <w:pStyle w:val="Pidipagina"/>
          <w:jc w:val="center"/>
        </w:pPr>
        <w:r>
          <w:fldChar w:fldCharType="begin"/>
        </w:r>
        <w:r>
          <w:instrText xml:space="preserve"> PAGE   \* MERGEFORMAT </w:instrText>
        </w:r>
        <w:r>
          <w:fldChar w:fldCharType="separate"/>
        </w:r>
        <w:r w:rsidR="00CC5C0D">
          <w:rPr>
            <w:noProof/>
          </w:rPr>
          <w:t>30</w:t>
        </w:r>
        <w:r>
          <w:rPr>
            <w:noProof/>
          </w:rPr>
          <w:fldChar w:fldCharType="end"/>
        </w:r>
      </w:p>
    </w:sdtContent>
  </w:sdt>
  <w:p w:rsidR="00A556E5" w:rsidRDefault="00A556E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42C" w:rsidRDefault="00DA542C" w:rsidP="003210CC">
      <w:r>
        <w:separator/>
      </w:r>
    </w:p>
  </w:footnote>
  <w:footnote w:type="continuationSeparator" w:id="0">
    <w:p w:rsidR="00DA542C" w:rsidRDefault="00DA542C" w:rsidP="003210CC">
      <w:r>
        <w:continuationSeparator/>
      </w:r>
    </w:p>
  </w:footnote>
  <w:footnote w:id="1">
    <w:p w:rsidR="00A556E5" w:rsidRPr="00634CBB" w:rsidRDefault="00A556E5" w:rsidP="00E501EB">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Sotto questo profilo il “diritto alla riservatezza” è stato definito come diritto ad impedire la comunicazione, la divulgazione e la diffusione al pubblico delle informazioni attinenti alla vita privata delle persone, distinto, in quanto tale, dal “diritto alla segretezza”, quale diritto ad impedire la stessa conoscenza di tali informazioni (C.M. Bianca, Diritto civile, I, 1987, 170 ss.).</w:t>
      </w:r>
    </w:p>
  </w:footnote>
  <w:footnote w:id="2">
    <w:p w:rsidR="00A556E5" w:rsidRPr="00634CBB" w:rsidRDefault="00A556E5" w:rsidP="00463DCF">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Il riferimento è all’art. 62 del Testo Unico della legge comunale e provinciale (R.D. 3 marzo 1934 n. 83), che prevedeva che </w:t>
      </w:r>
      <w:r w:rsidRPr="00634CBB">
        <w:rPr>
          <w:rFonts w:ascii="Garamond" w:eastAsia="Cambria" w:hAnsi="Garamond" w:cs="Times New Roman"/>
          <w:sz w:val="22"/>
          <w:szCs w:val="22"/>
        </w:rPr>
        <w:t>ciascun "contribuente" aveva facoltà di avere copia delle deliberazioni comunali.</w:t>
      </w:r>
    </w:p>
  </w:footnote>
  <w:footnote w:id="3">
    <w:p w:rsidR="00A556E5" w:rsidRPr="00634CBB" w:rsidRDefault="00A556E5" w:rsidP="006858D4">
      <w:pPr>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Come noto, le prime enunciazioni giurisprudenziali dei “diritto all'intimità personale” risalgono agli anni ’50 (Trib. Roma 14.9.1953; </w:t>
      </w:r>
      <w:proofErr w:type="spellStart"/>
      <w:r w:rsidRPr="00634CBB">
        <w:rPr>
          <w:rFonts w:ascii="Garamond" w:hAnsi="Garamond" w:cs="Times New Roman"/>
          <w:sz w:val="22"/>
          <w:szCs w:val="22"/>
        </w:rPr>
        <w:t>Pret</w:t>
      </w:r>
      <w:proofErr w:type="spellEnd"/>
      <w:r w:rsidRPr="00634CBB">
        <w:rPr>
          <w:rFonts w:ascii="Garamond" w:hAnsi="Garamond" w:cs="Times New Roman"/>
          <w:sz w:val="22"/>
          <w:szCs w:val="22"/>
        </w:rPr>
        <w:t xml:space="preserve">. Napoli 25.8.1956), per poi trovare più compiuto riconoscimento nell’ambito della teoria monistica dei diritti della personalità con la pronuncia della Cassazione n. 990 del 1963 e poi con la </w:t>
      </w:r>
      <w:proofErr w:type="gramStart"/>
      <w:r w:rsidRPr="00634CBB">
        <w:rPr>
          <w:rFonts w:ascii="Garamond" w:hAnsi="Garamond" w:cs="Times New Roman"/>
          <w:sz w:val="22"/>
          <w:szCs w:val="22"/>
        </w:rPr>
        <w:t>sentenza  n.</w:t>
      </w:r>
      <w:proofErr w:type="gramEnd"/>
      <w:r w:rsidRPr="00634CBB">
        <w:rPr>
          <w:rFonts w:ascii="Garamond" w:hAnsi="Garamond" w:cs="Times New Roman"/>
          <w:sz w:val="22"/>
          <w:szCs w:val="22"/>
        </w:rPr>
        <w:t xml:space="preserve"> 2129 del 1975 ("caso Soraya").</w:t>
      </w:r>
    </w:p>
  </w:footnote>
  <w:footnote w:id="4">
    <w:p w:rsidR="00A556E5" w:rsidRPr="00634CBB" w:rsidRDefault="00A556E5" w:rsidP="006858D4">
      <w:pPr>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Il diritto alla riservatezza è pacificamente ricondotto dalla dottrina e dalla giurisprudenza all’ambito dei diritti inviolabili di cui all’art. 2 Cost. </w:t>
      </w:r>
      <w:proofErr w:type="gramStart"/>
      <w:r w:rsidRPr="00634CBB">
        <w:rPr>
          <w:rFonts w:ascii="Garamond" w:hAnsi="Garamond" w:cs="Times New Roman"/>
          <w:sz w:val="22"/>
          <w:szCs w:val="22"/>
        </w:rPr>
        <w:t>in</w:t>
      </w:r>
      <w:proofErr w:type="gramEnd"/>
      <w:r w:rsidRPr="00634CBB">
        <w:rPr>
          <w:rFonts w:ascii="Garamond" w:hAnsi="Garamond" w:cs="Times New Roman"/>
          <w:sz w:val="22"/>
          <w:szCs w:val="22"/>
        </w:rPr>
        <w:t xml:space="preserve"> virtù della c.d. “tesi monistica” delle circolarità dei diritti della personalità, in base alla quale la norma costituzionale è </w:t>
      </w:r>
      <w:r w:rsidRPr="00634CBB">
        <w:rPr>
          <w:rFonts w:ascii="Garamond" w:hAnsi="Garamond" w:cs="Times New Roman"/>
          <w:color w:val="000000"/>
          <w:sz w:val="22"/>
          <w:szCs w:val="22"/>
        </w:rPr>
        <w:t xml:space="preserve">una </w:t>
      </w:r>
      <w:r w:rsidRPr="00634CBB">
        <w:rPr>
          <w:rFonts w:ascii="Garamond" w:hAnsi="Garamond" w:cs="Times New Roman"/>
          <w:sz w:val="22"/>
          <w:szCs w:val="22"/>
        </w:rPr>
        <w:t>"clausola generale aperta", la cui finalità è quella di tutelare la persona umana integralmente e in tutti i suoi modi di essere essenziali, prestandosi all’esigenza di ampliare la tutela giuridica anche a nuovi interessi emergenti della persona.</w:t>
      </w:r>
    </w:p>
  </w:footnote>
  <w:footnote w:id="5">
    <w:p w:rsidR="00A556E5" w:rsidRPr="00634CBB" w:rsidRDefault="00A556E5" w:rsidP="00A716A6">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Diverse sono le fonti di diritto internazionale che consacrano il diritto alla riservatezza come diritto fondamentale della persona, a cominciare dalla Convenzione europea per la salvaguardia dei diritti dell’uomo e delle libertà fondamentali del 1950, ratificata dall’Italia con Legge 4 agosto 1955 n. 848 (art. 10 comma 2). Vedi oggi l’art. 8 della Carta dei diritti fondamentali dell’Unione europea del 2007.</w:t>
      </w:r>
    </w:p>
  </w:footnote>
  <w:footnote w:id="6">
    <w:p w:rsidR="00A556E5" w:rsidRPr="00634CBB" w:rsidRDefault="00A556E5" w:rsidP="00A716A6">
      <w:pPr>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Il nesso tra la “trasparenza/pubblicità” ed i canoni di “buon andamento e di imparzialità dell'azione amministrativa” di cui all'art. 97 Cost. </w:t>
      </w:r>
      <w:proofErr w:type="gramStart"/>
      <w:r w:rsidRPr="00634CBB">
        <w:rPr>
          <w:rFonts w:ascii="Garamond" w:hAnsi="Garamond" w:cs="Times New Roman"/>
          <w:sz w:val="22"/>
          <w:szCs w:val="22"/>
        </w:rPr>
        <w:t>è</w:t>
      </w:r>
      <w:proofErr w:type="gramEnd"/>
      <w:r w:rsidRPr="00634CBB">
        <w:rPr>
          <w:rFonts w:ascii="Garamond" w:hAnsi="Garamond" w:cs="Times New Roman"/>
          <w:sz w:val="22"/>
          <w:szCs w:val="22"/>
        </w:rPr>
        <w:t xml:space="preserve"> oggi pacificamente riconosciuto dalla giurisprudenza (vedi Corte Cost. 17.03.2006 n. 104 e, con specifico riferimento al diritto di accesso, Cons. Stato sez. VI 09.03.2007 n. 1119). Ma già in passato vedi Cons. Stato </w:t>
      </w:r>
      <w:proofErr w:type="spellStart"/>
      <w:r w:rsidRPr="00634CBB">
        <w:rPr>
          <w:rFonts w:ascii="Garamond" w:hAnsi="Garamond" w:cs="Times New Roman"/>
          <w:sz w:val="22"/>
          <w:szCs w:val="22"/>
        </w:rPr>
        <w:t>a.p</w:t>
      </w:r>
      <w:proofErr w:type="spellEnd"/>
      <w:r w:rsidRPr="00634CBB">
        <w:rPr>
          <w:rFonts w:ascii="Garamond" w:hAnsi="Garamond" w:cs="Times New Roman"/>
          <w:sz w:val="22"/>
          <w:szCs w:val="22"/>
        </w:rPr>
        <w:t>. 22.04.1999 n. 5.</w:t>
      </w:r>
    </w:p>
  </w:footnote>
  <w:footnote w:id="7">
    <w:p w:rsidR="00A556E5" w:rsidRPr="00634CBB" w:rsidRDefault="00A556E5" w:rsidP="00E501EB">
      <w:pPr>
        <w:pStyle w:val="Testonotaapidipagina"/>
        <w:ind w:left="851" w:right="851"/>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Impostazione ancora presente negli ultimi due pronunciamenti dell’Adunanza Plenaria del Consiglio di Stato n. 6 e n. 7 del 2006. </w:t>
      </w:r>
    </w:p>
  </w:footnote>
  <w:footnote w:id="8">
    <w:p w:rsidR="00A556E5" w:rsidRPr="00634CBB" w:rsidRDefault="00A556E5" w:rsidP="00E501EB">
      <w:pPr>
        <w:pStyle w:val="Testonotaapidipagina"/>
        <w:ind w:left="851" w:right="851"/>
        <w:jc w:val="both"/>
        <w:rPr>
          <w:rFonts w:ascii="Garamond" w:hAnsi="Garamond" w:cs="Times New Roman"/>
          <w:color w:val="000000"/>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Come noto, ai sensi dell’art. 24, comma 7, Legge 241/90, “</w:t>
      </w:r>
      <w:r w:rsidRPr="00634CBB">
        <w:rPr>
          <w:rFonts w:ascii="Garamond" w:hAnsi="Garamond" w:cs="Times New Roman"/>
          <w:i/>
          <w:color w:val="000000"/>
          <w:sz w:val="22"/>
          <w:szCs w:val="22"/>
        </w:rPr>
        <w:t xml:space="preserve">Deve comunque essere garantito ai richiedenti l'accesso ai documenti amministrativi la cui conoscenza sia necessaria per curare o per difendere i propri interessi giuridici. Nel caso di documenti contenenti dati sensibili e giudiziari, l'accesso è consentito nei limiti in cui sia strettamente indispensabile e nei termini previsti dall' articolo 60 del decreto legislativo 30 giugno 2003, n. </w:t>
      </w:r>
      <w:proofErr w:type="gramStart"/>
      <w:r w:rsidRPr="00634CBB">
        <w:rPr>
          <w:rFonts w:ascii="Garamond" w:hAnsi="Garamond" w:cs="Times New Roman"/>
          <w:i/>
          <w:color w:val="000000"/>
          <w:sz w:val="22"/>
          <w:szCs w:val="22"/>
        </w:rPr>
        <w:t>196 ,</w:t>
      </w:r>
      <w:proofErr w:type="gramEnd"/>
      <w:r w:rsidRPr="00634CBB">
        <w:rPr>
          <w:rFonts w:ascii="Garamond" w:hAnsi="Garamond" w:cs="Times New Roman"/>
          <w:i/>
          <w:color w:val="000000"/>
          <w:sz w:val="22"/>
          <w:szCs w:val="22"/>
        </w:rPr>
        <w:t xml:space="preserve"> in caso di dati idonei a rivelare lo stato di salute e la vita sessuale</w:t>
      </w:r>
      <w:r w:rsidRPr="00634CBB">
        <w:rPr>
          <w:rFonts w:ascii="Garamond" w:hAnsi="Garamond" w:cs="Times New Roman"/>
          <w:color w:val="000000"/>
          <w:sz w:val="22"/>
          <w:szCs w:val="22"/>
        </w:rPr>
        <w:t>.“.</w:t>
      </w:r>
    </w:p>
    <w:p w:rsidR="00A556E5" w:rsidRPr="00634CBB" w:rsidRDefault="00A556E5" w:rsidP="00E501EB">
      <w:pPr>
        <w:pStyle w:val="Testonotaapidipagina"/>
        <w:ind w:left="851" w:right="851"/>
        <w:jc w:val="both"/>
        <w:rPr>
          <w:rFonts w:ascii="Garamond" w:hAnsi="Garamond" w:cs="Times New Roman"/>
          <w:sz w:val="22"/>
          <w:szCs w:val="22"/>
        </w:rPr>
      </w:pPr>
    </w:p>
  </w:footnote>
  <w:footnote w:id="9">
    <w:p w:rsidR="00A556E5" w:rsidRPr="00634CBB" w:rsidRDefault="00A556E5" w:rsidP="00E501EB">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w:t>
      </w:r>
      <w:r w:rsidRPr="00634CBB">
        <w:rPr>
          <w:rFonts w:ascii="Garamond" w:hAnsi="Garamond" w:cs="Times New Roman"/>
          <w:color w:val="000000" w:themeColor="text1"/>
          <w:sz w:val="22"/>
          <w:szCs w:val="22"/>
        </w:rPr>
        <w:t xml:space="preserve">Vedi art. 5, comma 5, D.Lgs. 195/2005: </w:t>
      </w:r>
      <w:r w:rsidRPr="00634CBB">
        <w:rPr>
          <w:rFonts w:ascii="Garamond" w:hAnsi="Garamond" w:cs="Times New Roman"/>
          <w:i/>
          <w:color w:val="000000" w:themeColor="text1"/>
          <w:sz w:val="22"/>
          <w:szCs w:val="22"/>
        </w:rPr>
        <w:t>“… l'autorità pubblica dispone un accesso parziale, a favore del richiedente, qualora sia possibile espungere dall'informazione richiesta le informazioni escluse dal diritto di accesso ai sensi dei citati commi 1 e 2.”</w:t>
      </w:r>
      <w:r w:rsidRPr="00634CBB">
        <w:rPr>
          <w:rFonts w:ascii="Garamond" w:hAnsi="Garamond" w:cs="Times New Roman"/>
          <w:color w:val="000000" w:themeColor="text1"/>
          <w:sz w:val="22"/>
          <w:szCs w:val="22"/>
        </w:rPr>
        <w:t>.</w:t>
      </w:r>
    </w:p>
  </w:footnote>
  <w:footnote w:id="10">
    <w:p w:rsidR="00A556E5" w:rsidRPr="00634CBB" w:rsidRDefault="00A556E5" w:rsidP="00377E62">
      <w:pPr>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Ai sensi dell</w:t>
      </w:r>
      <w:r w:rsidRPr="00634CBB">
        <w:rPr>
          <w:rFonts w:ascii="Garamond" w:eastAsia="Cambria" w:hAnsi="Garamond" w:cs="Times New Roman"/>
          <w:sz w:val="22"/>
          <w:szCs w:val="22"/>
        </w:rPr>
        <w:t>'art. 29, comma 2-bis, della Legge 241/90 (così come introdotto dalla L. 69/2009), "</w:t>
      </w:r>
      <w:r w:rsidRPr="00634CBB">
        <w:rPr>
          <w:rFonts w:ascii="Garamond" w:eastAsia="Cambria" w:hAnsi="Garamond" w:cs="Times New Roman"/>
          <w:i/>
          <w:sz w:val="22"/>
          <w:szCs w:val="22"/>
        </w:rPr>
        <w:t>Attengono ai livelli essenziali delle prestazioni di cui all’articolo 117, secondo comma, lettera m), della Costituzione le disposizioni della presente legge concernenti gli obblighi per la pubblica amministrazione di garantire la partecipazione dell’interessato al procedimento, ... e di assicurare l’accesso alla documentazione amministrativa, ..."</w:t>
      </w:r>
      <w:r w:rsidRPr="00634CBB">
        <w:rPr>
          <w:rFonts w:ascii="Garamond" w:eastAsia="Cambria" w:hAnsi="Garamond" w:cs="Times New Roman"/>
          <w:sz w:val="22"/>
          <w:szCs w:val="22"/>
        </w:rPr>
        <w:t xml:space="preserve">. </w:t>
      </w:r>
    </w:p>
  </w:footnote>
  <w:footnote w:id="11">
    <w:p w:rsidR="00A556E5" w:rsidRPr="00634CBB" w:rsidRDefault="00A556E5" w:rsidP="00E501EB">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Vedi, da ultimo, CEDU Grande Camera sentenza del 08.011.2016 (</w:t>
      </w:r>
      <w:proofErr w:type="spellStart"/>
      <w:r w:rsidRPr="00634CBB">
        <w:rPr>
          <w:rFonts w:ascii="Garamond" w:hAnsi="Garamond" w:cs="Times New Roman"/>
          <w:sz w:val="22"/>
          <w:szCs w:val="22"/>
        </w:rPr>
        <w:t>Magyar</w:t>
      </w:r>
      <w:proofErr w:type="spellEnd"/>
      <w:r w:rsidRPr="00634CBB">
        <w:rPr>
          <w:rFonts w:ascii="Garamond" w:hAnsi="Garamond" w:cs="Times New Roman"/>
          <w:sz w:val="22"/>
          <w:szCs w:val="22"/>
        </w:rPr>
        <w:t xml:space="preserve"> Helsinki </w:t>
      </w:r>
      <w:proofErr w:type="spellStart"/>
      <w:r w:rsidRPr="00634CBB">
        <w:rPr>
          <w:rFonts w:ascii="Garamond" w:hAnsi="Garamond" w:cs="Times New Roman"/>
          <w:sz w:val="22"/>
          <w:szCs w:val="22"/>
        </w:rPr>
        <w:t>Bizottsag</w:t>
      </w:r>
      <w:proofErr w:type="spellEnd"/>
      <w:r w:rsidRPr="00634CBB">
        <w:rPr>
          <w:rFonts w:ascii="Garamond" w:hAnsi="Garamond" w:cs="Times New Roman"/>
          <w:sz w:val="22"/>
          <w:szCs w:val="22"/>
        </w:rPr>
        <w:t xml:space="preserve"> c. Ungheria, ricorso n. 18030/11). </w:t>
      </w:r>
    </w:p>
  </w:footnote>
  <w:footnote w:id="12">
    <w:p w:rsidR="00A556E5" w:rsidRPr="00634CBB" w:rsidRDefault="00A556E5" w:rsidP="00E501EB">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Questi i rilievi sollevati dal </w:t>
      </w:r>
      <w:r w:rsidRPr="00634CBB">
        <w:rPr>
          <w:rFonts w:ascii="Garamond" w:hAnsi="Garamond" w:cs="Times New Roman"/>
          <w:color w:val="000000"/>
          <w:sz w:val="22"/>
          <w:szCs w:val="22"/>
        </w:rPr>
        <w:t xml:space="preserve">Garante con il parere reso nel corso dell’iter di approvazione del D.Lgs. 97/2016 (par. n. 92/2016 del 3 marzo 2016): </w:t>
      </w:r>
      <w:r w:rsidRPr="00634CBB">
        <w:rPr>
          <w:rFonts w:ascii="Garamond" w:hAnsi="Garamond" w:cs="Times New Roman"/>
          <w:i/>
          <w:color w:val="000000"/>
          <w:sz w:val="22"/>
          <w:szCs w:val="22"/>
        </w:rPr>
        <w:t xml:space="preserve">“Appare evidente che il sistema copre, attraverso obblighi di pubblicazione e/o accesso civico, la totalità dei dati trattati dalla P.A., con un’ampiezza che, se non accompagnata dalla individuazione </w:t>
      </w:r>
      <w:r w:rsidRPr="00634CBB">
        <w:rPr>
          <w:rFonts w:ascii="Garamond" w:hAnsi="Garamond" w:cs="Times New Roman"/>
          <w:i/>
          <w:sz w:val="22"/>
          <w:szCs w:val="22"/>
        </w:rPr>
        <w:t xml:space="preserve">delle categorie di atti da ritenersi ricompresi nella definizione e dalla contestuale individuazione di limiti precisi a detto accesso, determinerà conseguenze patologicamente rilevanti e tra le più varie.”. … </w:t>
      </w:r>
      <w:r w:rsidRPr="00634CBB">
        <w:rPr>
          <w:rFonts w:ascii="Garamond" w:hAnsi="Garamond" w:cs="Times New Roman"/>
          <w:i/>
          <w:color w:val="000000"/>
          <w:sz w:val="22"/>
          <w:szCs w:val="22"/>
        </w:rPr>
        <w:t>“</w:t>
      </w:r>
      <w:r w:rsidRPr="00634CBB">
        <w:rPr>
          <w:rFonts w:ascii="Garamond" w:hAnsi="Garamond" w:cs="Times New Roman"/>
          <w:i/>
          <w:sz w:val="22"/>
          <w:szCs w:val="22"/>
        </w:rPr>
        <w:t>Le suddette modifiche legislative dovrebbero comunque essere completate con un regolamento attuativo volto a individuare nel dettaglio le categorie di dati e di documenti suscettibili di accesso ai sensi dell'art. 5, comma 2, nonché i casi di rigetto dell'istanza a fini di tutela degli interessi di cui all'art. 5-bis</w:t>
      </w:r>
      <w:r w:rsidRPr="00634CBB">
        <w:rPr>
          <w:rFonts w:ascii="Garamond" w:hAnsi="Garamond" w:cs="Times New Roman"/>
          <w:i/>
          <w:color w:val="000000"/>
          <w:sz w:val="22"/>
          <w:szCs w:val="22"/>
        </w:rPr>
        <w:t xml:space="preserve"> In assenza di una normativa regolamentare di attuazione che declini con maggiore dettaglio oggetto e limiti dell’accesso, nella nuova forma prevista, vi è, infatti, il concreto rischio di interpretazioni irragionevolmente diverse tra le varie amministrazioni e, al loro interno, tra i vari uffici, con un’ingiustificata disparità di trattamento, per i cittadini, che ne deriverebbe.”</w:t>
      </w:r>
      <w:r w:rsidRPr="00634CBB">
        <w:rPr>
          <w:rFonts w:ascii="Garamond" w:hAnsi="Garamond" w:cs="Times New Roman"/>
          <w:color w:val="000000"/>
          <w:sz w:val="22"/>
          <w:szCs w:val="22"/>
        </w:rPr>
        <w:t>.</w:t>
      </w:r>
    </w:p>
  </w:footnote>
  <w:footnote w:id="13">
    <w:p w:rsidR="00A556E5" w:rsidRPr="00634CBB" w:rsidRDefault="00A556E5" w:rsidP="00EE2941">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Al riguardo, si è rilevata la inevitabile correlazione tra l’ambito della discrezionalità decisoria rimessa alla P.A. e la certezza e la effettività del diritto (cfr. B. Ponti (a cura di), </w:t>
      </w:r>
      <w:r w:rsidRPr="00634CBB">
        <w:rPr>
          <w:rFonts w:ascii="Garamond" w:hAnsi="Garamond" w:cs="Times New Roman"/>
          <w:i/>
          <w:sz w:val="22"/>
          <w:szCs w:val="22"/>
        </w:rPr>
        <w:t xml:space="preserve">Nuova trasparenza amministrativa e libertà di accesso alle informazioni, </w:t>
      </w:r>
      <w:r w:rsidRPr="00634CBB">
        <w:rPr>
          <w:rFonts w:ascii="Garamond" w:hAnsi="Garamond" w:cs="Times New Roman"/>
          <w:sz w:val="22"/>
          <w:szCs w:val="22"/>
        </w:rPr>
        <w:t xml:space="preserve">ed. Maggioli, 2016, 56 ss.). Parte della dottrina ha criticato la scelta legislativa di affidare alla P.A. (e per essa al singolo funzionario) margini di discrezionalità così ampi ed indefiniti, anche in considerazione della complessità della decisione; al riguardo, si è parlato di </w:t>
      </w:r>
      <w:r w:rsidRPr="00634CBB">
        <w:rPr>
          <w:rFonts w:ascii="Garamond" w:hAnsi="Garamond" w:cs="Times New Roman"/>
          <w:i/>
          <w:sz w:val="22"/>
          <w:szCs w:val="22"/>
        </w:rPr>
        <w:t>“un sistema regolativo debole e, per certi versi, incoerente, che si fonda, in ultima analisi, su una responsabilizzazione eccessiva del funzionario chiamato a decidere sull’istanza di ACG (soprattutto quando confligge con gli interessi di riservatezza intestati ad altri soggetti)”</w:t>
      </w:r>
      <w:r w:rsidRPr="00634CBB">
        <w:rPr>
          <w:rFonts w:ascii="Garamond" w:hAnsi="Garamond" w:cs="Times New Roman"/>
          <w:sz w:val="22"/>
          <w:szCs w:val="22"/>
        </w:rPr>
        <w:t xml:space="preserve">, nonché di </w:t>
      </w:r>
      <w:r w:rsidRPr="00634CBB">
        <w:rPr>
          <w:rFonts w:ascii="Garamond" w:hAnsi="Garamond" w:cs="Times New Roman"/>
          <w:i/>
          <w:sz w:val="22"/>
          <w:szCs w:val="22"/>
        </w:rPr>
        <w:t xml:space="preserve">“una valutazione (ampiamente) discrezionale, se non libera, di un funzionario, costretto a compierla in tempi strettissimi e in mancanza della guida sicura e affidabile di paradigmi normativi cogenti e precisi.” </w:t>
      </w:r>
      <w:r w:rsidRPr="00634CBB">
        <w:rPr>
          <w:rFonts w:ascii="Garamond" w:hAnsi="Garamond" w:cs="Times New Roman"/>
          <w:sz w:val="22"/>
          <w:szCs w:val="22"/>
        </w:rPr>
        <w:t xml:space="preserve"> (C. Deodato, </w:t>
      </w:r>
      <w:r w:rsidRPr="00634CBB">
        <w:rPr>
          <w:rFonts w:ascii="Garamond" w:hAnsi="Garamond" w:cs="Times New Roman"/>
          <w:i/>
          <w:sz w:val="22"/>
          <w:szCs w:val="22"/>
        </w:rPr>
        <w:t>La difficile convivenza dell’accesso civico generalizzato (FOIA) con la tutela della privacy: un conflitto insanabile</w:t>
      </w:r>
      <w:proofErr w:type="gramStart"/>
      <w:r w:rsidRPr="00634CBB">
        <w:rPr>
          <w:rFonts w:ascii="Garamond" w:hAnsi="Garamond" w:cs="Times New Roman"/>
          <w:i/>
          <w:sz w:val="22"/>
          <w:szCs w:val="22"/>
        </w:rPr>
        <w:t xml:space="preserve"> ?</w:t>
      </w:r>
      <w:r w:rsidRPr="00634CBB">
        <w:rPr>
          <w:rFonts w:ascii="Garamond" w:hAnsi="Garamond" w:cs="Times New Roman"/>
          <w:sz w:val="22"/>
          <w:szCs w:val="22"/>
        </w:rPr>
        <w:t>,</w:t>
      </w:r>
      <w:proofErr w:type="gramEnd"/>
      <w:r w:rsidRPr="00634CBB">
        <w:rPr>
          <w:rFonts w:ascii="Garamond" w:hAnsi="Garamond" w:cs="Times New Roman"/>
          <w:sz w:val="22"/>
          <w:szCs w:val="22"/>
        </w:rPr>
        <w:t xml:space="preserve"> </w:t>
      </w:r>
      <w:hyperlink r:id="rId1" w:history="1">
        <w:r w:rsidRPr="00634CBB">
          <w:rPr>
            <w:rStyle w:val="Collegamentoipertestuale"/>
            <w:rFonts w:ascii="Garamond" w:hAnsi="Garamond" w:cs="Times New Roman"/>
            <w:color w:val="000000" w:themeColor="text1"/>
            <w:sz w:val="22"/>
            <w:szCs w:val="22"/>
            <w:u w:val="none"/>
          </w:rPr>
          <w:t>www.giustizia-amministrativa.it</w:t>
        </w:r>
      </w:hyperlink>
      <w:r w:rsidRPr="00634CBB">
        <w:rPr>
          <w:rFonts w:ascii="Garamond" w:hAnsi="Garamond" w:cs="Times New Roman"/>
          <w:color w:val="000000" w:themeColor="text1"/>
          <w:sz w:val="22"/>
          <w:szCs w:val="22"/>
        </w:rPr>
        <w:t xml:space="preserve"> 20.12.2017</w:t>
      </w:r>
      <w:r w:rsidRPr="00634CBB">
        <w:rPr>
          <w:rFonts w:ascii="Garamond" w:hAnsi="Garamond" w:cs="Times New Roman"/>
          <w:sz w:val="22"/>
          <w:szCs w:val="22"/>
        </w:rPr>
        <w:t xml:space="preserve">).  Sulla stessa linea, altra dottrina ha evidenziato che </w:t>
      </w:r>
      <w:r w:rsidRPr="00634CBB">
        <w:rPr>
          <w:rFonts w:ascii="Garamond" w:hAnsi="Garamond" w:cs="Times New Roman"/>
          <w:i/>
          <w:sz w:val="22"/>
          <w:szCs w:val="22"/>
        </w:rPr>
        <w:t xml:space="preserve">“le eccezioni risultano ampie, fortemente indeterminate e demandate, nella loro concreta applicazione, ad un meccanismo che rimette in capo all’amministrazione ampi margini di apprezzamento, al punto che non appare scontato individuare settori, tipologie o esempi di informazioni detenute dalla P.A. per i quali sia possibile ritenere – con un significativo grado di certezza (ex ante) – che l’istanza di accesso sia destinata ad andare a buon fine. Il rischio, dato un sistema di eccezioni così ampio, indeterminato e dall’incerto margine di applicazione, è che – all’atto pratico – quella che dovrebbe rappresentare (in astratto, secondo il modello Foia) l’eccezione, possa in via di fatto sperimentarsi (ex post) come la regola, con l’accessibilità ridotta invece ad eccezione (in termini di casistica). Dunque, il rischio concreto di un tradimento del modello prefigurato dal legislatore delegante.” </w:t>
      </w:r>
      <w:r w:rsidRPr="00634CBB">
        <w:rPr>
          <w:rFonts w:ascii="Garamond" w:hAnsi="Garamond" w:cs="Times New Roman"/>
          <w:sz w:val="22"/>
          <w:szCs w:val="22"/>
        </w:rPr>
        <w:t xml:space="preserve">(B. Ponti, </w:t>
      </w:r>
      <w:r w:rsidRPr="00634CBB">
        <w:rPr>
          <w:rFonts w:ascii="Garamond" w:hAnsi="Garamond" w:cs="Times New Roman"/>
          <w:i/>
          <w:sz w:val="22"/>
          <w:szCs w:val="22"/>
        </w:rPr>
        <w:t>Nuova trasparenza</w:t>
      </w:r>
      <w:proofErr w:type="gramStart"/>
      <w:r w:rsidRPr="00634CBB">
        <w:rPr>
          <w:rFonts w:ascii="Garamond" w:hAnsi="Garamond" w:cs="Times New Roman"/>
          <w:i/>
          <w:sz w:val="22"/>
          <w:szCs w:val="22"/>
        </w:rPr>
        <w:t xml:space="preserve"> ..</w:t>
      </w:r>
      <w:proofErr w:type="gramEnd"/>
      <w:r w:rsidRPr="00634CBB">
        <w:rPr>
          <w:rFonts w:ascii="Garamond" w:hAnsi="Garamond" w:cs="Times New Roman"/>
          <w:i/>
          <w:sz w:val="22"/>
          <w:szCs w:val="22"/>
        </w:rPr>
        <w:t xml:space="preserve"> </w:t>
      </w:r>
      <w:r w:rsidRPr="00634CBB">
        <w:rPr>
          <w:rFonts w:ascii="Garamond" w:hAnsi="Garamond" w:cs="Times New Roman"/>
          <w:sz w:val="22"/>
          <w:szCs w:val="22"/>
        </w:rPr>
        <w:t xml:space="preserve">op. cit., 57 ss.). In una prospettiva comparatistica, si è evidenziato che nel sistema Foia statunitense i limiti, ancorchè presenti, sono tassativi e circoscritti, proprio con l’obiettivo di eliminare o ridurre sensibilmente la discrezionalità della P.A., mentre nel sistema italiano il diritto di accesso civico generalizzato finisce per essere un “diritto vuoto” (cfr. E. </w:t>
      </w:r>
      <w:proofErr w:type="spellStart"/>
      <w:r w:rsidRPr="00634CBB">
        <w:rPr>
          <w:rFonts w:ascii="Garamond" w:hAnsi="Garamond" w:cs="Times New Roman"/>
          <w:sz w:val="22"/>
          <w:szCs w:val="22"/>
        </w:rPr>
        <w:t>Carloni</w:t>
      </w:r>
      <w:proofErr w:type="spellEnd"/>
      <w:r w:rsidRPr="00634CBB">
        <w:rPr>
          <w:rFonts w:ascii="Garamond" w:hAnsi="Garamond" w:cs="Times New Roman"/>
          <w:sz w:val="22"/>
          <w:szCs w:val="22"/>
        </w:rPr>
        <w:t xml:space="preserve">, </w:t>
      </w:r>
      <w:r w:rsidRPr="00634CBB">
        <w:rPr>
          <w:rFonts w:ascii="Garamond" w:hAnsi="Garamond" w:cs="Times New Roman"/>
          <w:i/>
          <w:sz w:val="22"/>
          <w:szCs w:val="22"/>
        </w:rPr>
        <w:t>Se questo è un Foia. Il diritto a conoscere tra modelli e tradimenti</w:t>
      </w:r>
      <w:r w:rsidRPr="00634CBB">
        <w:rPr>
          <w:rFonts w:ascii="Garamond" w:hAnsi="Garamond" w:cs="Times New Roman"/>
          <w:sz w:val="22"/>
          <w:szCs w:val="22"/>
        </w:rPr>
        <w:t xml:space="preserve">, </w:t>
      </w:r>
      <w:proofErr w:type="spellStart"/>
      <w:r w:rsidRPr="00634CBB">
        <w:rPr>
          <w:rFonts w:ascii="Garamond" w:hAnsi="Garamond" w:cs="Times New Roman"/>
          <w:sz w:val="22"/>
          <w:szCs w:val="22"/>
        </w:rPr>
        <w:t>Astrid</w:t>
      </w:r>
      <w:proofErr w:type="spellEnd"/>
      <w:r w:rsidRPr="00634CBB">
        <w:rPr>
          <w:rFonts w:ascii="Garamond" w:hAnsi="Garamond" w:cs="Times New Roman"/>
          <w:sz w:val="22"/>
          <w:szCs w:val="22"/>
        </w:rPr>
        <w:t xml:space="preserve">, n. 4/2016). In senso opposto, si è invece sostenuto che </w:t>
      </w:r>
      <w:r w:rsidRPr="00634CBB">
        <w:rPr>
          <w:rFonts w:ascii="Garamond" w:hAnsi="Garamond" w:cs="Times New Roman"/>
          <w:i/>
          <w:sz w:val="22"/>
          <w:szCs w:val="22"/>
        </w:rPr>
        <w:t>“In realtà, il numero e la formulazione degli interessi-limite indicati dal legislatore delegato sono in linea con lo standard prevalente. I dieci interessi pubblici e privati indicati dall’art. 5 bis corrispondono all’elencazione che compare nella maggior parte dei FOIA europei, rispetto ai quali, anzi, il nostro legislatore è stato più parco. Occorre, poi, considerare che gli interessi indicati coincidono – con differenze marginali – con quelli del FOIA dell’Unione europea.”</w:t>
      </w:r>
      <w:r w:rsidRPr="00634CBB">
        <w:rPr>
          <w:rFonts w:ascii="Garamond" w:hAnsi="Garamond" w:cs="Times New Roman"/>
          <w:sz w:val="22"/>
          <w:szCs w:val="22"/>
        </w:rPr>
        <w:t xml:space="preserve">, con la conseguente possibilità di utilizzare, come ausilio interpretativo, la giurisprudenza comunitaria (Savino, </w:t>
      </w:r>
      <w:r w:rsidRPr="00634CBB">
        <w:rPr>
          <w:rFonts w:ascii="Garamond" w:hAnsi="Garamond" w:cs="Times New Roman"/>
          <w:i/>
          <w:sz w:val="22"/>
          <w:szCs w:val="22"/>
        </w:rPr>
        <w:t>Il Foia italiano. La fine della trasparenza di Bertoldo – Il commento</w:t>
      </w:r>
      <w:r w:rsidRPr="00634CBB">
        <w:rPr>
          <w:rFonts w:ascii="Garamond" w:hAnsi="Garamond" w:cs="Times New Roman"/>
          <w:sz w:val="22"/>
          <w:szCs w:val="22"/>
        </w:rPr>
        <w:t xml:space="preserve">, Giornale Dir. </w:t>
      </w:r>
      <w:proofErr w:type="gramStart"/>
      <w:r w:rsidRPr="00634CBB">
        <w:rPr>
          <w:rFonts w:ascii="Garamond" w:hAnsi="Garamond" w:cs="Times New Roman"/>
          <w:sz w:val="22"/>
          <w:szCs w:val="22"/>
        </w:rPr>
        <w:t>A..</w:t>
      </w:r>
      <w:proofErr w:type="gramEnd"/>
      <w:r w:rsidRPr="00634CBB">
        <w:rPr>
          <w:rFonts w:ascii="Garamond" w:hAnsi="Garamond" w:cs="Times New Roman"/>
          <w:sz w:val="22"/>
          <w:szCs w:val="22"/>
        </w:rPr>
        <w:t xml:space="preserve">, 2016, 5). </w:t>
      </w:r>
    </w:p>
  </w:footnote>
  <w:footnote w:id="14">
    <w:p w:rsidR="00A556E5" w:rsidRPr="00634CBB" w:rsidRDefault="00A556E5" w:rsidP="00A716A6">
      <w:pPr>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Il Consiglio di Stato, con il parere del 24.02.2016 reso sullo schema di decreto legislativo, aveva segnalato che </w:t>
      </w:r>
      <w:r w:rsidRPr="00634CBB">
        <w:rPr>
          <w:rFonts w:ascii="Garamond" w:hAnsi="Garamond" w:cs="Times New Roman"/>
          <w:i/>
          <w:sz w:val="22"/>
          <w:szCs w:val="22"/>
        </w:rPr>
        <w:t>&lt;&lt; In mancanza di criteri più dettagliati per la valutazione del pregiudizio che la pubblicazione potrebbe arrecare agli interessi tutelati, le amministrazioni, infatti, potrebbero essere indotte ad utilizzare la propria discrezionalità nella maniera più ampia, al fine di estendere gli ambiti non aperti alla trasparenza e sicuramente la genericità di alcune previsioni, pur riferite a tematiche “sensibili” … potrebbero essere motivo dell’insorgenza di ulteriore contenzioso. &gt;&gt;</w:t>
      </w:r>
      <w:r w:rsidRPr="00634CBB">
        <w:rPr>
          <w:rFonts w:ascii="Garamond" w:hAnsi="Garamond" w:cs="Times New Roman"/>
          <w:sz w:val="22"/>
          <w:szCs w:val="22"/>
        </w:rPr>
        <w:t xml:space="preserve">, auspicando che </w:t>
      </w:r>
      <w:r w:rsidRPr="00634CBB">
        <w:rPr>
          <w:rFonts w:ascii="Garamond" w:hAnsi="Garamond" w:cs="Times New Roman"/>
          <w:i/>
          <w:sz w:val="22"/>
          <w:szCs w:val="22"/>
        </w:rPr>
        <w:t xml:space="preserve">&lt;&lt; Tali criteri potrebbero essere forniti con linee guida appositamente adottate per meglio chiarire le incertezze di siffatta disciplina derogatoria. &gt;&gt;. </w:t>
      </w:r>
      <w:r w:rsidRPr="00634CBB">
        <w:rPr>
          <w:rFonts w:ascii="Garamond" w:hAnsi="Garamond" w:cs="Times New Roman"/>
          <w:sz w:val="22"/>
          <w:szCs w:val="22"/>
        </w:rPr>
        <w:t xml:space="preserve">L’auspicio è stato raccolto dal legislatore, che ha previsto che </w:t>
      </w:r>
      <w:r w:rsidRPr="00634CBB">
        <w:rPr>
          <w:rFonts w:ascii="Garamond" w:hAnsi="Garamond" w:cs="Times New Roman"/>
          <w:i/>
          <w:color w:val="000000" w:themeColor="text1"/>
          <w:sz w:val="22"/>
          <w:szCs w:val="22"/>
        </w:rPr>
        <w:t>“Ai fini della definizione delle esclusioni e dei limiti all'accesso civico di cui al presente articolo, l'Autorita' nazionale anticorruzione, d'intesa con il Garante per la protezione dei dati personali e sentita la Conferenza unificata di cui all'articolo 8 del decreto legislativo 28 agosto 1997, n. 281, adotta linee guida recanti indicazioni operative.”</w:t>
      </w:r>
      <w:r w:rsidRPr="00634CBB">
        <w:rPr>
          <w:rFonts w:ascii="Garamond" w:hAnsi="Garamond" w:cs="Times New Roman"/>
          <w:color w:val="000000" w:themeColor="text1"/>
          <w:sz w:val="22"/>
          <w:szCs w:val="22"/>
        </w:rPr>
        <w:t>.</w:t>
      </w:r>
    </w:p>
  </w:footnote>
  <w:footnote w:id="15">
    <w:p w:rsidR="00A556E5" w:rsidRPr="00634CBB" w:rsidRDefault="00A556E5" w:rsidP="00A716A6">
      <w:pPr>
        <w:pStyle w:val="parar2"/>
        <w:spacing w:before="0" w:beforeAutospacing="0" w:after="0" w:afterAutospacing="0"/>
        <w:ind w:left="851" w:right="851"/>
        <w:jc w:val="both"/>
        <w:rPr>
          <w:rFonts w:ascii="Garamond" w:hAnsi="Garamond"/>
          <w:sz w:val="22"/>
          <w:szCs w:val="22"/>
        </w:rPr>
      </w:pPr>
      <w:r w:rsidRPr="00634CBB">
        <w:rPr>
          <w:rStyle w:val="Rimandonotaapidipagina"/>
          <w:rFonts w:ascii="Garamond" w:hAnsi="Garamond"/>
          <w:sz w:val="22"/>
          <w:szCs w:val="22"/>
        </w:rPr>
        <w:footnoteRef/>
      </w:r>
      <w:r w:rsidRPr="00634CBB">
        <w:rPr>
          <w:rFonts w:ascii="Garamond" w:hAnsi="Garamond"/>
          <w:sz w:val="22"/>
          <w:szCs w:val="22"/>
        </w:rPr>
        <w:t xml:space="preserve"> In estrema sintesi, con le citate “Linee guida” Anac ha individuato i seguenti criteri utili per il giudizio di ponderazione degli interessi: a) opposizione del controinteressato, da considerarsi </w:t>
      </w:r>
      <w:r w:rsidRPr="00634CBB">
        <w:rPr>
          <w:rFonts w:ascii="Garamond" w:hAnsi="Garamond"/>
          <w:color w:val="000000"/>
          <w:sz w:val="22"/>
          <w:szCs w:val="22"/>
        </w:rPr>
        <w:t>“un indice della sussistenza di un pregiudizio concreto”, non vincolante per la P.A., ma da valutare ai fini della decisione; b) tipologia di soggetto (es. minore, la cui riservatezza va tutelata in via tendenzialmente assoluta) e ruolo ricoperto dal controinteressato (es. soggetti che esercitano una funzione pubblica, la cui riservatezza è tutelata in modo inversamente proporzionale all’interesse pubblico del ruolo ricoperto; c) conseguenze pratiche della eventuale ostensione (es. effetti negativi sul piano giuridico, economico, morale e sociale, comprese le possibili azioni di terzi); d) le “ragionevoli aspettative” del controinteressato titolare del diritto alla riservatezza.</w:t>
      </w:r>
    </w:p>
  </w:footnote>
  <w:footnote w:id="16">
    <w:p w:rsidR="00A556E5" w:rsidRPr="00634CBB" w:rsidRDefault="00A556E5" w:rsidP="00A716A6">
      <w:pPr>
        <w:pStyle w:val="Standard"/>
        <w:ind w:left="851" w:right="851"/>
        <w:jc w:val="both"/>
        <w:rPr>
          <w:rFonts w:ascii="Garamond" w:hAnsi="Garamond" w:cs="Times New Roman"/>
          <w:sz w:val="22"/>
          <w:szCs w:val="22"/>
        </w:rPr>
      </w:pPr>
      <w:r w:rsidRPr="00634CBB">
        <w:rPr>
          <w:rStyle w:val="Rimandonotaapidipagina"/>
          <w:rFonts w:ascii="Garamond" w:hAnsi="Garamond" w:cs="Times New Roman"/>
          <w:sz w:val="22"/>
          <w:szCs w:val="22"/>
          <w:lang w:val="it-IT"/>
        </w:rPr>
        <w:footnoteRef/>
      </w:r>
      <w:r w:rsidRPr="00634CBB">
        <w:rPr>
          <w:rFonts w:ascii="Garamond" w:hAnsi="Garamond" w:cs="Times New Roman"/>
          <w:sz w:val="22"/>
          <w:szCs w:val="22"/>
          <w:lang w:val="it-IT"/>
        </w:rPr>
        <w:t xml:space="preserve"> Come noto, le “Linee guida” </w:t>
      </w:r>
      <w:r w:rsidRPr="00634CBB">
        <w:rPr>
          <w:rFonts w:ascii="Garamond" w:hAnsi="Garamond" w:cs="Times New Roman"/>
          <w:color w:val="000000"/>
          <w:sz w:val="22"/>
          <w:szCs w:val="22"/>
          <w:lang w:val="it-IT"/>
        </w:rPr>
        <w:t xml:space="preserve">costituiscono un atto amministrativo generale che, seppur autorevole, è privo di valenza normativa e non è pertanto vincolante per le Amministrazioni. Questa scelta legislativa di </w:t>
      </w:r>
      <w:r w:rsidRPr="00634CBB">
        <w:rPr>
          <w:rFonts w:ascii="Garamond" w:hAnsi="Garamond" w:cs="Times New Roman"/>
          <w:i/>
          <w:color w:val="000000"/>
          <w:sz w:val="22"/>
          <w:szCs w:val="22"/>
          <w:lang w:val="it-IT"/>
        </w:rPr>
        <w:t>soft law</w:t>
      </w:r>
      <w:r w:rsidRPr="00634CBB">
        <w:rPr>
          <w:rFonts w:ascii="Garamond" w:hAnsi="Garamond" w:cs="Times New Roman"/>
          <w:color w:val="000000"/>
          <w:sz w:val="22"/>
          <w:szCs w:val="22"/>
          <w:lang w:val="it-IT"/>
        </w:rPr>
        <w:t xml:space="preserve"> è stata decisamente criticata da una parte della dottrina, che ha rilevato l’inidoneità di un sistema che affida ad indirizzi ed istruzioni operative non vincolanti il completamento della scarna disciplina legislativa, priva di un apparato regolativo univoco e puntuale. A conferma, si segnala il contrasto interpretativo tra le Linee guida Anac e la Circolare del Dipartimento della Funzione pubblica su alcune delle questioni più rilevanti della disciplina dell’accesso civico generalizzato (si è parlato di </w:t>
      </w:r>
      <w:r w:rsidRPr="00634CBB">
        <w:rPr>
          <w:rFonts w:ascii="Garamond" w:hAnsi="Garamond" w:cs="Times New Roman"/>
          <w:i/>
          <w:color w:val="000000"/>
          <w:sz w:val="22"/>
          <w:szCs w:val="22"/>
          <w:lang w:val="it-IT"/>
        </w:rPr>
        <w:t>“un confuso compendio di indirizzi contraddittori”</w:t>
      </w:r>
      <w:r w:rsidRPr="00634CBB">
        <w:rPr>
          <w:rFonts w:ascii="Garamond" w:hAnsi="Garamond" w:cs="Times New Roman"/>
          <w:color w:val="000000"/>
          <w:sz w:val="22"/>
          <w:szCs w:val="22"/>
          <w:lang w:val="it-IT"/>
        </w:rPr>
        <w:t xml:space="preserve">) (cfr. C. Deodato, </w:t>
      </w:r>
      <w:r w:rsidRPr="00634CBB">
        <w:rPr>
          <w:rFonts w:ascii="Garamond" w:hAnsi="Garamond" w:cs="Times New Roman"/>
          <w:i/>
          <w:color w:val="000000"/>
          <w:sz w:val="22"/>
          <w:szCs w:val="22"/>
          <w:lang w:val="it-IT"/>
        </w:rPr>
        <w:t>La difficile convivenza</w:t>
      </w:r>
      <w:proofErr w:type="gramStart"/>
      <w:r w:rsidRPr="00634CBB">
        <w:rPr>
          <w:rFonts w:ascii="Garamond" w:hAnsi="Garamond" w:cs="Times New Roman"/>
          <w:i/>
          <w:color w:val="000000"/>
          <w:sz w:val="22"/>
          <w:szCs w:val="22"/>
          <w:lang w:val="it-IT"/>
        </w:rPr>
        <w:t xml:space="preserve"> ..</w:t>
      </w:r>
      <w:proofErr w:type="gramEnd"/>
      <w:r w:rsidRPr="00634CBB">
        <w:rPr>
          <w:rFonts w:ascii="Garamond" w:hAnsi="Garamond" w:cs="Times New Roman"/>
          <w:i/>
          <w:color w:val="000000"/>
          <w:sz w:val="22"/>
          <w:szCs w:val="22"/>
          <w:lang w:val="it-IT"/>
        </w:rPr>
        <w:t xml:space="preserve"> </w:t>
      </w:r>
      <w:r w:rsidRPr="00634CBB">
        <w:rPr>
          <w:rFonts w:ascii="Garamond" w:hAnsi="Garamond" w:cs="Times New Roman"/>
          <w:color w:val="000000"/>
          <w:sz w:val="22"/>
          <w:szCs w:val="22"/>
          <w:lang w:val="it-IT"/>
        </w:rPr>
        <w:t>op. cit.</w:t>
      </w:r>
      <w:r w:rsidRPr="00634CBB">
        <w:rPr>
          <w:rFonts w:ascii="Garamond" w:hAnsi="Garamond" w:cs="Times New Roman"/>
          <w:color w:val="000000" w:themeColor="text1"/>
          <w:sz w:val="22"/>
          <w:szCs w:val="22"/>
          <w:lang w:val="it-IT"/>
        </w:rPr>
        <w:t>)</w:t>
      </w:r>
      <w:r w:rsidRPr="00634CBB">
        <w:rPr>
          <w:rFonts w:ascii="Garamond" w:hAnsi="Garamond" w:cs="Times New Roman"/>
          <w:color w:val="000000"/>
          <w:sz w:val="22"/>
          <w:szCs w:val="22"/>
          <w:lang w:val="it-IT"/>
        </w:rPr>
        <w:t xml:space="preserve">. </w:t>
      </w:r>
    </w:p>
  </w:footnote>
  <w:footnote w:id="17">
    <w:p w:rsidR="00A556E5" w:rsidRPr="00634CBB" w:rsidRDefault="00A556E5" w:rsidP="00E501EB">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L’art. 5, comma 7, del D.Lgs. 33/2013 prevede che “</w:t>
      </w:r>
      <w:r w:rsidRPr="00634CBB">
        <w:rPr>
          <w:rFonts w:ascii="Garamond" w:hAnsi="Garamond" w:cs="Times New Roman"/>
          <w:i/>
          <w:color w:val="000000"/>
          <w:sz w:val="22"/>
          <w:szCs w:val="22"/>
        </w:rPr>
        <w:t>Nei casi di diniego totale o parziale dell'accesso o di mancata risposta entro il termine indicato al comma 6, il richiedente può presentare richiesta di riesame al responsabile della prevenzione della corruzione e della trasparenza, di cui all'articolo 43, che decide con provvedimento motivato, entro il termine di venti giorni. Se l'accesso e' stato negato o differito a tutela degli interessi di cui all'articolo 5-bis, comma 2, lettera a), il suddetto responsabile provvede sentito il Garante per la protezione dei dati personali, il quale si pronuncia entro il termine di dieci giorni dalla richiesta. A decorrere dalla comunicazione al Garante, il termine per l'adozione del provvedimento da parte del responsabile e' sospeso, fino alla ricezione del parere del Garante e comunque per un periodo non superiore ai predetti dieci giorni.”.</w:t>
      </w:r>
    </w:p>
  </w:footnote>
  <w:footnote w:id="18">
    <w:p w:rsidR="00A556E5" w:rsidRPr="00634CBB" w:rsidRDefault="00A556E5" w:rsidP="00676B9B">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Va da sé che quando la legge prescrive un parere senza aggiungere altro, il parere è da ritenersi obbligatorio, ma non vincolante (cfr. A.M. </w:t>
      </w:r>
      <w:proofErr w:type="spellStart"/>
      <w:r w:rsidRPr="00634CBB">
        <w:rPr>
          <w:rFonts w:ascii="Garamond" w:hAnsi="Garamond" w:cs="Times New Roman"/>
          <w:sz w:val="22"/>
          <w:szCs w:val="22"/>
        </w:rPr>
        <w:t>Sandulli</w:t>
      </w:r>
      <w:proofErr w:type="spellEnd"/>
      <w:r w:rsidRPr="00634CBB">
        <w:rPr>
          <w:rFonts w:ascii="Garamond" w:hAnsi="Garamond" w:cs="Times New Roman"/>
          <w:sz w:val="22"/>
          <w:szCs w:val="22"/>
        </w:rPr>
        <w:t xml:space="preserve">, Manuale di diritto amministrativo, Napoli, 1989, pag. 640). </w:t>
      </w:r>
    </w:p>
  </w:footnote>
  <w:footnote w:id="19">
    <w:p w:rsidR="00A556E5" w:rsidRPr="00634CBB" w:rsidRDefault="00A556E5" w:rsidP="00717F81">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rPr>
        <w:footnoteRef/>
      </w:r>
      <w:r w:rsidRPr="00634CBB">
        <w:rPr>
          <w:rFonts w:ascii="Garamond" w:hAnsi="Garamond" w:cs="Times New Roman"/>
        </w:rPr>
        <w:t xml:space="preserve"> </w:t>
      </w:r>
      <w:r w:rsidRPr="00634CBB">
        <w:rPr>
          <w:rFonts w:ascii="Garamond" w:hAnsi="Garamond" w:cs="Times New Roman"/>
          <w:sz w:val="22"/>
          <w:szCs w:val="22"/>
        </w:rPr>
        <w:t xml:space="preserve">Vedasi ancora </w:t>
      </w:r>
      <w:r w:rsidRPr="00634CBB">
        <w:rPr>
          <w:rFonts w:ascii="Garamond" w:hAnsi="Garamond" w:cs="Times New Roman"/>
          <w:color w:val="000000"/>
          <w:sz w:val="22"/>
          <w:szCs w:val="22"/>
        </w:rPr>
        <w:t xml:space="preserve">il parere reso dal Garante nel corso dell’iter di approvazione del D.Lgs. 97/2016 (par. n. 92/2016 del 3 marzo 2016), con cui si manifestava viva preoccupazione in ordine ai rischi di possibile compromissione del diritto alla riservatezza derivanti dall’istituto dell’accesso civico: </w:t>
      </w:r>
      <w:r w:rsidRPr="00634CBB">
        <w:rPr>
          <w:rFonts w:ascii="Garamond" w:hAnsi="Garamond" w:cs="Times New Roman"/>
          <w:i/>
          <w:color w:val="000000"/>
          <w:sz w:val="22"/>
          <w:szCs w:val="22"/>
        </w:rPr>
        <w:t xml:space="preserve">“La trasparenza … non può essere realizzata violando la dignità e i diritti fondamentali della persona </w:t>
      </w:r>
      <w:r w:rsidRPr="00634CBB">
        <w:rPr>
          <w:rFonts w:ascii="Garamond" w:hAnsi="Garamond" w:cs="Times New Roman"/>
          <w:i/>
          <w:sz w:val="22"/>
          <w:szCs w:val="22"/>
        </w:rPr>
        <w:t>, come il diritto alla riservatezza e il diritto alla protezione dei dati personali, costituzionalmente garantiti e previsti anche dalla Convenzione europea per la salvaguardia dei diritti dell'uomo e delle libertà fondamentali (artt. 7 e 8) nonché della Carta dei diritti fondamentali dell'Unione europea.”</w:t>
      </w:r>
      <w:r w:rsidRPr="00634CBB">
        <w:rPr>
          <w:rFonts w:ascii="Garamond" w:hAnsi="Garamond" w:cs="Times New Roman"/>
          <w:sz w:val="22"/>
          <w:szCs w:val="22"/>
        </w:rPr>
        <w:t>.</w:t>
      </w:r>
    </w:p>
  </w:footnote>
  <w:footnote w:id="20">
    <w:p w:rsidR="00A556E5" w:rsidRPr="00634CBB" w:rsidRDefault="00A556E5" w:rsidP="00A716A6">
      <w:pPr>
        <w:pStyle w:val="parar2"/>
        <w:spacing w:before="0" w:beforeAutospacing="0" w:after="0" w:afterAutospacing="0"/>
        <w:ind w:left="851" w:right="851"/>
        <w:jc w:val="both"/>
        <w:rPr>
          <w:rFonts w:ascii="Garamond" w:hAnsi="Garamond"/>
          <w:sz w:val="22"/>
          <w:szCs w:val="22"/>
        </w:rPr>
      </w:pPr>
      <w:r w:rsidRPr="00634CBB">
        <w:rPr>
          <w:rStyle w:val="Rimandonotaapidipagina"/>
          <w:rFonts w:ascii="Garamond" w:hAnsi="Garamond"/>
          <w:sz w:val="22"/>
          <w:szCs w:val="22"/>
        </w:rPr>
        <w:footnoteRef/>
      </w:r>
      <w:r w:rsidRPr="00634CBB">
        <w:rPr>
          <w:rFonts w:ascii="Garamond" w:hAnsi="Garamond"/>
          <w:sz w:val="22"/>
          <w:szCs w:val="22"/>
        </w:rPr>
        <w:t xml:space="preserve"> Rileva, al riguardo, il Garante che </w:t>
      </w:r>
      <w:r w:rsidRPr="00634CBB">
        <w:rPr>
          <w:rFonts w:ascii="Garamond" w:hAnsi="Garamond"/>
          <w:color w:val="000000"/>
          <w:sz w:val="22"/>
          <w:szCs w:val="22"/>
        </w:rPr>
        <w:t xml:space="preserve">il </w:t>
      </w:r>
      <w:r w:rsidRPr="00634CBB">
        <w:rPr>
          <w:rFonts w:ascii="Garamond" w:hAnsi="Garamond"/>
          <w:i/>
          <w:color w:val="000000"/>
          <w:sz w:val="22"/>
          <w:szCs w:val="22"/>
        </w:rPr>
        <w:t>curriculum vitae</w:t>
      </w:r>
      <w:r w:rsidRPr="00634CBB">
        <w:rPr>
          <w:rFonts w:ascii="Garamond" w:hAnsi="Garamond"/>
          <w:color w:val="000000"/>
          <w:sz w:val="22"/>
          <w:szCs w:val="22"/>
        </w:rPr>
        <w:t xml:space="preserve"> contenente dati personali, (es. nominativo, data e luogo di nascita, residenza, telefono, fax, e-mail, esperienze e competenze professionali, istruzione e formazione, ecc.) contiene “dati personali”, di cui è impossibile l’anonimizzazione ed il conseguente accesso parziale. </w:t>
      </w:r>
    </w:p>
  </w:footnote>
  <w:footnote w:id="21">
    <w:p w:rsidR="00A556E5" w:rsidRPr="00634CBB" w:rsidRDefault="00A556E5" w:rsidP="00A716A6">
      <w:pPr>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In quel caso si trattava del</w:t>
      </w:r>
      <w:r w:rsidRPr="00634CBB">
        <w:rPr>
          <w:rFonts w:ascii="Garamond" w:hAnsi="Garamond" w:cs="Times New Roman"/>
          <w:color w:val="000000"/>
          <w:sz w:val="22"/>
          <w:szCs w:val="22"/>
        </w:rPr>
        <w:t>l’elenco, detenuto dal Comune, degli immobili ad uso residenziale prima casa compresi nel territorio comunale per i quali era stata versata l’IMU.</w:t>
      </w:r>
    </w:p>
  </w:footnote>
  <w:footnote w:id="22">
    <w:p w:rsidR="00A556E5" w:rsidRPr="00634CBB" w:rsidRDefault="00A556E5" w:rsidP="00A716A6">
      <w:pPr>
        <w:pStyle w:val="parar2"/>
        <w:spacing w:before="0" w:beforeAutospacing="0" w:after="0" w:afterAutospacing="0"/>
        <w:ind w:left="851" w:right="851"/>
        <w:jc w:val="both"/>
        <w:rPr>
          <w:rFonts w:ascii="Garamond" w:hAnsi="Garamond"/>
          <w:sz w:val="22"/>
          <w:szCs w:val="22"/>
        </w:rPr>
      </w:pPr>
      <w:r w:rsidRPr="00634CBB">
        <w:rPr>
          <w:rStyle w:val="Rimandonotaapidipagina"/>
          <w:rFonts w:ascii="Garamond" w:hAnsi="Garamond"/>
          <w:sz w:val="22"/>
          <w:szCs w:val="22"/>
        </w:rPr>
        <w:footnoteRef/>
      </w:r>
      <w:r w:rsidRPr="00634CBB">
        <w:rPr>
          <w:rFonts w:ascii="Garamond" w:hAnsi="Garamond"/>
          <w:sz w:val="22"/>
          <w:szCs w:val="22"/>
        </w:rPr>
        <w:t xml:space="preserve"> Ciò in quanto gli elaborati </w:t>
      </w:r>
      <w:r w:rsidRPr="00634CBB">
        <w:rPr>
          <w:rFonts w:ascii="Garamond" w:hAnsi="Garamond"/>
          <w:color w:val="000000"/>
          <w:sz w:val="22"/>
          <w:szCs w:val="22"/>
        </w:rPr>
        <w:t xml:space="preserve">contengono “dati personali” rappresentati dalle informazioni circa le caratteristiche individuali e caratteriali che attengono alla personalità del candidato (come la preparazione professionale, la cultura, la capacità di espressione, ecc.) e possono talvolta contenere (a seconda della prova di esame) anche “dati sensibili”, come opinioni politiche, convinzioni filosofiche o di altro genere; e non è esclusa, inoltre, l’esistenza di altri interessi privati, quali il “diritto d’autore”, in quanto le prove scritte rappresentano un’”opera intellettuale” del candidato. Né – secondo il Garante - sarebbe ipotizzabile l’accesso parziale con la tecnica dell’oscuramento dei dati personali, atteso che gli elaborati sono redatti di proprio pugno dai candidati e non è escluso che essi si possano re-identificare a posteriori tramite la conoscenza o la comparazione della grafia (sul punto si tornerà più ampiamente </w:t>
      </w:r>
      <w:r w:rsidRPr="00634CBB">
        <w:rPr>
          <w:rFonts w:ascii="Garamond" w:hAnsi="Garamond"/>
          <w:i/>
          <w:color w:val="000000"/>
          <w:sz w:val="22"/>
          <w:szCs w:val="22"/>
        </w:rPr>
        <w:t>infra</w:t>
      </w:r>
      <w:r w:rsidRPr="00634CBB">
        <w:rPr>
          <w:rFonts w:ascii="Garamond" w:hAnsi="Garamond"/>
          <w:color w:val="000000"/>
          <w:sz w:val="22"/>
          <w:szCs w:val="22"/>
        </w:rPr>
        <w:t>).</w:t>
      </w:r>
    </w:p>
  </w:footnote>
  <w:footnote w:id="23">
    <w:p w:rsidR="00A556E5" w:rsidRPr="00634CBB" w:rsidRDefault="00A556E5" w:rsidP="001474BD">
      <w:pPr>
        <w:ind w:left="851" w:right="851"/>
        <w:jc w:val="both"/>
        <w:rPr>
          <w:rFonts w:ascii="Garamond" w:hAnsi="Garamond" w:cs="Times New Roman"/>
          <w:color w:val="000000"/>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Secondo il Garante, </w:t>
      </w:r>
      <w:r w:rsidRPr="00634CBB">
        <w:rPr>
          <w:rFonts w:ascii="Garamond" w:hAnsi="Garamond" w:cs="Times New Roman"/>
          <w:color w:val="000000"/>
          <w:sz w:val="22"/>
          <w:szCs w:val="22"/>
        </w:rPr>
        <w:t>concedendo l’accesso generalizzato a tali dati si arrecherebbe un “concreto pregiudizio” al diritto di riservatezza dell’intestatario del titolo, dei tecnici e della ditta esecutrice dei lavori, che non sarebbe possibile evitare neppure effettuando operazioni di anonimizzazione, atteso che dai dati dell’immobile si potrebbe risalire ai dati personali delle persone coinvolte.</w:t>
      </w:r>
    </w:p>
    <w:p w:rsidR="00A556E5" w:rsidRPr="00634CBB" w:rsidRDefault="00A556E5">
      <w:pPr>
        <w:pStyle w:val="Testonotaapidipagina"/>
        <w:rPr>
          <w:rFonts w:ascii="Garamond" w:hAnsi="Garamond" w:cs="Times New Roman"/>
        </w:rPr>
      </w:pPr>
    </w:p>
  </w:footnote>
  <w:footnote w:id="24">
    <w:p w:rsidR="00A556E5" w:rsidRPr="00634CBB" w:rsidRDefault="00A556E5" w:rsidP="00467B99">
      <w:pPr>
        <w:ind w:left="851" w:right="851"/>
        <w:jc w:val="both"/>
        <w:rPr>
          <w:rFonts w:ascii="Garamond" w:hAnsi="Garamond" w:cs="Times New Roman"/>
          <w:color w:val="000000" w:themeColor="text1"/>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w:t>
      </w:r>
      <w:r w:rsidRPr="00634CBB">
        <w:rPr>
          <w:rFonts w:ascii="Garamond" w:hAnsi="Garamond" w:cs="Times New Roman"/>
          <w:color w:val="000000" w:themeColor="text1"/>
          <w:sz w:val="22"/>
          <w:szCs w:val="22"/>
        </w:rPr>
        <w:t xml:space="preserve">Rilevava nell’occasione il Garante: </w:t>
      </w:r>
      <w:r w:rsidRPr="00634CBB">
        <w:rPr>
          <w:rFonts w:ascii="Garamond" w:hAnsi="Garamond" w:cs="Times New Roman"/>
          <w:i/>
          <w:color w:val="000000" w:themeColor="text1"/>
          <w:sz w:val="22"/>
          <w:szCs w:val="22"/>
        </w:rPr>
        <w:t>“E' in primo luogo lecito domandarsi, come i soggetti pubblici, che detengono grandi banche di dati, anche sensibili, dei cittadini decideranno se accogliere o meno le istanze di accesso al documento contenente dati personali, in assenza di un parametro per effettuare il bilanciamento fra la protezione dei dati personali e l'interesse del richiedente, dal momento che l'istanza non è  motivata ed è dunque carente dell'indicazione della finalità perseguita, che costituisce elemento determinante ai fini della valutazione della legittimità del trattamento. Interpretazioni difformi potrebbero infatti determinare, oltretutto, un diverso grado di tutela del diritto alla protezione dei dati personali dei controinteressati, con conseguenze anche paradossali.”</w:t>
      </w:r>
      <w:r w:rsidRPr="00634CBB">
        <w:rPr>
          <w:rFonts w:ascii="Garamond" w:hAnsi="Garamond" w:cs="Times New Roman"/>
          <w:color w:val="000000" w:themeColor="text1"/>
          <w:sz w:val="22"/>
          <w:szCs w:val="22"/>
        </w:rPr>
        <w:t xml:space="preserve">. </w:t>
      </w:r>
      <w:r w:rsidRPr="00634CBB">
        <w:rPr>
          <w:rFonts w:ascii="Garamond" w:hAnsi="Garamond" w:cs="Times New Roman"/>
          <w:i/>
          <w:color w:val="000000" w:themeColor="text1"/>
          <w:sz w:val="22"/>
          <w:szCs w:val="22"/>
        </w:rPr>
        <w:t>“L'assenza di una motivazione da parte del richiedente, nel privare l'amministrazione destinataria delle istanze di ostensione dei necessari elementi di ponderazione in ordine al fine così perseguito, può determinare, alternativamente, una eccessiva rigidità interpretativa, per cui l'amministrazione medesima tenderà a rigettare le richieste depauperando di ogni utilità lo strumento dell'accesso civico, oppure, al contrario, una dilatazione ingiustificata della nozione di trasparenza, per cui verranno trasmessi al richiedente dati e documenti senza alcun ragionevole criterio selettivo. Ciò che appare fuor di dubbio è che la mancata previsione, per le richieste di accesso civico, dell'obbligo di motivazione - che, pur non arrivando ad assumere i contorni ben definiti di una "situazione giuridicamente rilevante", fornisca elementi di valutazione idonei a legittimare l'istanza – rischia di comportare un'applicazione della disposizione diseguale da ufficio a ufficio. Infatti, la decisione in ordine all'ostensibilità dell'atto o del documento, essendo affidata unicamente alla valutazione del funzionario pubblico senza aver fornito a quest'ultimo alcun parametro di valutazione, rischia altresì di essere talmente discrezionale da sfociare nell'arbitrarietà, conseguenza del tutto paradossale ove si consideri che il legislatore delegato ha voluto rafforzare l'istituto "al fine di favorire forme diffuse di controllo sul perseguimento delle funzioni istituzionali e sull'utilizzo delle risorse pubbliche". “La disciplina in esame andrebbe pertanto significativamente rimodulata, prevedendo che laddove l'accoglimento dell'istanza di accesso possa determinare la comunicazione al richiedente di dati personali di terzi, l'ostensione del documento può essere effettuata soltanto ove risulti accertata, in atti, la prevalenza dell'interesse perseguito dall'accesso ovvero, previo oscuramento dei dati personali presenti.”</w:t>
      </w:r>
      <w:r w:rsidRPr="00634CBB">
        <w:rPr>
          <w:rFonts w:ascii="Garamond" w:hAnsi="Garamond" w:cs="Times New Roman"/>
          <w:color w:val="000000" w:themeColor="text1"/>
          <w:sz w:val="22"/>
          <w:szCs w:val="22"/>
        </w:rPr>
        <w:t>.</w:t>
      </w:r>
    </w:p>
    <w:p w:rsidR="00A556E5" w:rsidRPr="00634CBB" w:rsidRDefault="00A556E5">
      <w:pPr>
        <w:pStyle w:val="Testonotaapidipagina"/>
        <w:rPr>
          <w:rFonts w:ascii="Garamond" w:hAnsi="Garamond" w:cs="Times New Roman"/>
        </w:rPr>
      </w:pPr>
    </w:p>
  </w:footnote>
  <w:footnote w:id="25">
    <w:p w:rsidR="00A556E5" w:rsidRPr="00634CBB" w:rsidRDefault="00A556E5" w:rsidP="00A716A6">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rPr>
        <w:footnoteRef/>
      </w:r>
      <w:r w:rsidRPr="00634CBB">
        <w:rPr>
          <w:rFonts w:ascii="Garamond" w:hAnsi="Garamond" w:cs="Times New Roman"/>
        </w:rPr>
        <w:t xml:space="preserve"> </w:t>
      </w:r>
      <w:r w:rsidRPr="00634CBB">
        <w:rPr>
          <w:rFonts w:ascii="Garamond" w:hAnsi="Garamond" w:cs="Times New Roman"/>
          <w:sz w:val="22"/>
          <w:szCs w:val="22"/>
        </w:rPr>
        <w:t xml:space="preserve">Su questa linea sembrano esprimersi M. Savino, </w:t>
      </w:r>
      <w:r w:rsidRPr="00634CBB">
        <w:rPr>
          <w:rFonts w:ascii="Garamond" w:hAnsi="Garamond" w:cs="Times New Roman"/>
          <w:i/>
          <w:sz w:val="22"/>
          <w:szCs w:val="22"/>
        </w:rPr>
        <w:t>Il Foia italiano</w:t>
      </w:r>
      <w:proofErr w:type="gramStart"/>
      <w:r w:rsidRPr="00634CBB">
        <w:rPr>
          <w:rFonts w:ascii="Garamond" w:hAnsi="Garamond" w:cs="Times New Roman"/>
          <w:i/>
          <w:sz w:val="22"/>
          <w:szCs w:val="22"/>
        </w:rPr>
        <w:t xml:space="preserve"> ..</w:t>
      </w:r>
      <w:proofErr w:type="gramEnd"/>
      <w:r w:rsidRPr="00634CBB">
        <w:rPr>
          <w:rFonts w:ascii="Garamond" w:hAnsi="Garamond" w:cs="Times New Roman"/>
          <w:sz w:val="22"/>
          <w:szCs w:val="22"/>
        </w:rPr>
        <w:t xml:space="preserve"> op. cit., pagg. 593 ss. e, da ultimo, C. Deodato, </w:t>
      </w:r>
      <w:r w:rsidRPr="00634CBB">
        <w:rPr>
          <w:rFonts w:ascii="Garamond" w:hAnsi="Garamond" w:cs="Times New Roman"/>
          <w:i/>
          <w:sz w:val="22"/>
          <w:szCs w:val="22"/>
        </w:rPr>
        <w:t>La difficile convivenza</w:t>
      </w:r>
      <w:r w:rsidRPr="00634CBB">
        <w:rPr>
          <w:rFonts w:ascii="Garamond" w:hAnsi="Garamond" w:cs="Times New Roman"/>
          <w:sz w:val="22"/>
          <w:szCs w:val="22"/>
        </w:rPr>
        <w:t xml:space="preserve"> … op. cit.</w:t>
      </w:r>
      <w:r w:rsidRPr="00634CBB">
        <w:rPr>
          <w:rFonts w:ascii="Garamond" w:hAnsi="Garamond" w:cs="Times New Roman"/>
          <w:color w:val="000000" w:themeColor="text1"/>
          <w:sz w:val="22"/>
          <w:szCs w:val="22"/>
        </w:rPr>
        <w:t>).</w:t>
      </w:r>
    </w:p>
  </w:footnote>
  <w:footnote w:id="26">
    <w:p w:rsidR="00A556E5" w:rsidRPr="00634CBB" w:rsidRDefault="00A556E5" w:rsidP="00463DCF">
      <w:pPr>
        <w:pStyle w:val="Standard"/>
        <w:ind w:left="851" w:right="851"/>
        <w:jc w:val="both"/>
        <w:rPr>
          <w:rFonts w:ascii="Garamond" w:hAnsi="Garamond" w:cs="Times New Roman"/>
          <w:sz w:val="22"/>
          <w:szCs w:val="22"/>
        </w:rPr>
      </w:pPr>
      <w:r w:rsidRPr="00634CBB">
        <w:rPr>
          <w:rStyle w:val="Rimandonotaapidipagina"/>
          <w:rFonts w:ascii="Garamond" w:hAnsi="Garamond" w:cs="Times New Roman"/>
          <w:sz w:val="22"/>
          <w:szCs w:val="22"/>
          <w:lang w:val="it-IT"/>
        </w:rPr>
        <w:footnoteRef/>
      </w:r>
      <w:r w:rsidRPr="00634CBB">
        <w:rPr>
          <w:rFonts w:ascii="Garamond" w:hAnsi="Garamond" w:cs="Times New Roman"/>
          <w:sz w:val="22"/>
          <w:szCs w:val="22"/>
          <w:lang w:val="it-IT"/>
        </w:rPr>
        <w:t xml:space="preserve"> </w:t>
      </w:r>
      <w:r w:rsidRPr="00634CBB">
        <w:rPr>
          <w:rFonts w:ascii="Garamond" w:hAnsi="Garamond" w:cs="Times New Roman"/>
          <w:color w:val="000000"/>
          <w:sz w:val="22"/>
          <w:szCs w:val="22"/>
          <w:lang w:val="it-IT"/>
        </w:rPr>
        <w:t xml:space="preserve">Si è affermato, al riguardo, che </w:t>
      </w:r>
      <w:r w:rsidRPr="00634CBB">
        <w:rPr>
          <w:rFonts w:ascii="Garamond" w:hAnsi="Garamond" w:cs="Times New Roman"/>
          <w:i/>
          <w:color w:val="000000"/>
          <w:sz w:val="22"/>
          <w:szCs w:val="22"/>
          <w:lang w:val="it-IT"/>
        </w:rPr>
        <w:t>“l’asservimento dell’accesso civico generalizzato alla realizzazione delle finalità indicate all’art. 5, comma 2, … valga di fatto, unitamente alla sussistenza del pregiudizio concreto alla tutela della protezione dei dati personali, ai sensi dell’art. 5-bis, comma 2, lett. a) che l’ostensione può determinare, a paralizzare tutte le richieste di accesso che, effettivamente, sottendano interessi all’ostensione di matrice privata ed individuale, sconnessi, quindi, dalla verifica sul buon uso delle pubbliche risorse, sul perseguimento delle funzioni istituzionali, dalla partecipazione all’attività amministrativa ed al dibattito pubblico”</w:t>
      </w:r>
      <w:r w:rsidRPr="00634CBB">
        <w:rPr>
          <w:rFonts w:ascii="Garamond" w:hAnsi="Garamond" w:cs="Times New Roman"/>
          <w:color w:val="000000"/>
          <w:sz w:val="22"/>
          <w:szCs w:val="22"/>
          <w:lang w:val="it-IT"/>
        </w:rPr>
        <w:t xml:space="preserve">, pena, in caso contrario, </w:t>
      </w:r>
      <w:r w:rsidRPr="00634CBB">
        <w:rPr>
          <w:rFonts w:ascii="Garamond" w:hAnsi="Garamond" w:cs="Times New Roman"/>
          <w:i/>
          <w:color w:val="000000"/>
          <w:sz w:val="22"/>
          <w:szCs w:val="22"/>
          <w:lang w:val="it-IT"/>
        </w:rPr>
        <w:t xml:space="preserve">“un abuso dell’istituto dell’accesso civico generalizzato e la conseguente possibilità di negare lo stesso in quanto non riconducibile alle esclusive finalità espresse dalle norme (art. 1, comma 1 e art. 5, comma 2) e lesivo della sfera di riservatezza dei privati.” </w:t>
      </w:r>
      <w:r w:rsidRPr="00634CBB">
        <w:rPr>
          <w:rFonts w:ascii="Garamond" w:hAnsi="Garamond" w:cs="Times New Roman"/>
          <w:color w:val="000000"/>
          <w:sz w:val="22"/>
          <w:szCs w:val="22"/>
          <w:lang w:val="it-IT"/>
        </w:rPr>
        <w:t xml:space="preserve">(T. </w:t>
      </w:r>
      <w:proofErr w:type="spellStart"/>
      <w:r w:rsidRPr="00634CBB">
        <w:rPr>
          <w:rFonts w:ascii="Garamond" w:hAnsi="Garamond" w:cs="Times New Roman"/>
          <w:color w:val="000000"/>
          <w:sz w:val="22"/>
          <w:szCs w:val="22"/>
          <w:lang w:val="it-IT"/>
        </w:rPr>
        <w:t>Tessaro</w:t>
      </w:r>
      <w:proofErr w:type="spellEnd"/>
      <w:r w:rsidRPr="00634CBB">
        <w:rPr>
          <w:rFonts w:ascii="Garamond" w:hAnsi="Garamond" w:cs="Times New Roman"/>
          <w:color w:val="000000"/>
          <w:sz w:val="22"/>
          <w:szCs w:val="22"/>
          <w:lang w:val="it-IT"/>
        </w:rPr>
        <w:t xml:space="preserve">-M. </w:t>
      </w:r>
      <w:proofErr w:type="spellStart"/>
      <w:r w:rsidRPr="00634CBB">
        <w:rPr>
          <w:rFonts w:ascii="Garamond" w:hAnsi="Garamond" w:cs="Times New Roman"/>
          <w:color w:val="000000"/>
          <w:sz w:val="22"/>
          <w:szCs w:val="22"/>
          <w:lang w:val="it-IT"/>
        </w:rPr>
        <w:t>Bertin</w:t>
      </w:r>
      <w:proofErr w:type="spellEnd"/>
      <w:r w:rsidRPr="00634CBB">
        <w:rPr>
          <w:rFonts w:ascii="Garamond" w:hAnsi="Garamond" w:cs="Times New Roman"/>
          <w:color w:val="000000"/>
          <w:sz w:val="22"/>
          <w:szCs w:val="22"/>
          <w:lang w:val="it-IT"/>
        </w:rPr>
        <w:t xml:space="preserve">; </w:t>
      </w:r>
      <w:r w:rsidRPr="00634CBB">
        <w:rPr>
          <w:rFonts w:ascii="Garamond" w:hAnsi="Garamond" w:cs="Times New Roman"/>
          <w:i/>
          <w:color w:val="000000"/>
          <w:sz w:val="22"/>
          <w:szCs w:val="22"/>
          <w:lang w:val="it-IT"/>
        </w:rPr>
        <w:t>Accesso civico e finalità “esorbitanti” della richiesta di ostensione: una prima indagine casistica per la necessaria distinzione con l’accesso documentale</w:t>
      </w:r>
      <w:r w:rsidRPr="00634CBB">
        <w:rPr>
          <w:rFonts w:ascii="Garamond" w:hAnsi="Garamond" w:cs="Times New Roman"/>
          <w:color w:val="000000"/>
          <w:sz w:val="22"/>
          <w:szCs w:val="22"/>
          <w:lang w:val="it-IT"/>
        </w:rPr>
        <w:t>, www.lexitalia.it 20.03.2018).</w:t>
      </w:r>
      <w:r w:rsidRPr="00634CBB">
        <w:rPr>
          <w:rFonts w:ascii="Garamond" w:hAnsi="Garamond" w:cs="Times New Roman"/>
          <w:i/>
          <w:color w:val="000000"/>
          <w:sz w:val="22"/>
          <w:szCs w:val="22"/>
          <w:lang w:val="it-IT"/>
        </w:rPr>
        <w:t xml:space="preserve"> </w:t>
      </w:r>
      <w:r w:rsidRPr="00634CBB">
        <w:rPr>
          <w:rFonts w:ascii="Garamond" w:hAnsi="Garamond" w:cs="Times New Roman"/>
          <w:color w:val="000000"/>
          <w:sz w:val="22"/>
          <w:szCs w:val="22"/>
          <w:lang w:val="it-IT"/>
        </w:rPr>
        <w:t xml:space="preserve">   </w:t>
      </w:r>
    </w:p>
  </w:footnote>
  <w:footnote w:id="27">
    <w:p w:rsidR="00A556E5" w:rsidRPr="00634CBB" w:rsidRDefault="00A556E5" w:rsidP="00A716A6">
      <w:pPr>
        <w:pStyle w:val="Standard"/>
        <w:ind w:left="851" w:right="851"/>
        <w:jc w:val="both"/>
        <w:rPr>
          <w:rFonts w:ascii="Garamond" w:hAnsi="Garamond" w:cs="Times New Roman"/>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w:t>
      </w:r>
      <w:r w:rsidRPr="00634CBB">
        <w:rPr>
          <w:rFonts w:ascii="Garamond" w:hAnsi="Garamond" w:cs="Times New Roman"/>
          <w:color w:val="000000"/>
          <w:sz w:val="22"/>
          <w:szCs w:val="22"/>
          <w:lang w:val="it-IT"/>
        </w:rPr>
        <w:t xml:space="preserve">Sul punto vedasi C. Deodato, </w:t>
      </w:r>
      <w:r w:rsidRPr="00634CBB">
        <w:rPr>
          <w:rFonts w:ascii="Garamond" w:hAnsi="Garamond" w:cs="Times New Roman"/>
          <w:i/>
          <w:color w:val="000000"/>
          <w:sz w:val="22"/>
          <w:szCs w:val="22"/>
          <w:lang w:val="it-IT"/>
        </w:rPr>
        <w:t>La difficile convivenza ..</w:t>
      </w:r>
      <w:r w:rsidRPr="00634CBB">
        <w:rPr>
          <w:rFonts w:ascii="Garamond" w:hAnsi="Garamond" w:cs="Times New Roman"/>
          <w:color w:val="000000"/>
          <w:sz w:val="22"/>
          <w:szCs w:val="22"/>
          <w:lang w:val="it-IT"/>
        </w:rPr>
        <w:t xml:space="preserve">, op. cit.: </w:t>
      </w:r>
      <w:r w:rsidRPr="00634CBB">
        <w:rPr>
          <w:rFonts w:ascii="Garamond" w:hAnsi="Garamond" w:cs="Times New Roman"/>
          <w:i/>
          <w:color w:val="000000"/>
          <w:sz w:val="22"/>
          <w:szCs w:val="22"/>
          <w:lang w:val="it-IT"/>
        </w:rPr>
        <w:t>“Per quanto la legge non esiga l’esplicitazione della motivazione della richiesta di accesso, deve intendersi implicita la sua rispondenza alla soddisfazione di un interesse che presenti valenza pubblica e che non resti confinato a un bisogno conoscitivo esclusivamente privato, individuale o, addirittura, utilitaristico …”</w:t>
      </w:r>
      <w:r w:rsidRPr="00634CBB">
        <w:rPr>
          <w:rFonts w:ascii="Garamond" w:hAnsi="Garamond" w:cs="Times New Roman"/>
          <w:color w:val="000000"/>
          <w:sz w:val="22"/>
          <w:szCs w:val="22"/>
          <w:lang w:val="it-IT"/>
        </w:rPr>
        <w:t xml:space="preserve">; analogamente, ma nel senso della motivazione dell’istanza come onere del richiedente, M. Savino, </w:t>
      </w:r>
      <w:r w:rsidRPr="00634CBB">
        <w:rPr>
          <w:rFonts w:ascii="Garamond" w:hAnsi="Garamond" w:cs="Times New Roman"/>
          <w:i/>
          <w:color w:val="000000"/>
          <w:sz w:val="22"/>
          <w:szCs w:val="22"/>
          <w:lang w:val="it-IT"/>
        </w:rPr>
        <w:t>Il Foia italiano</w:t>
      </w:r>
      <w:r w:rsidRPr="00634CBB">
        <w:rPr>
          <w:rFonts w:ascii="Garamond" w:hAnsi="Garamond" w:cs="Times New Roman"/>
          <w:color w:val="000000"/>
          <w:sz w:val="22"/>
          <w:szCs w:val="22"/>
          <w:lang w:val="it-IT"/>
        </w:rPr>
        <w:t xml:space="preserve"> .., op. cit.: </w:t>
      </w:r>
      <w:r w:rsidRPr="00634CBB">
        <w:rPr>
          <w:rFonts w:ascii="Garamond" w:hAnsi="Garamond" w:cs="Times New Roman"/>
          <w:i/>
          <w:color w:val="000000"/>
          <w:sz w:val="22"/>
          <w:szCs w:val="22"/>
          <w:lang w:val="it-IT"/>
        </w:rPr>
        <w:t>“Non vi è obbligo di motivare l’istanza, ma il richiedente può (avere interesse a) farlo, per consentire all’amministrazione di operare, all’occorrenza, un più accurato bilanciamento con interessi antagonisti.”</w:t>
      </w:r>
      <w:r w:rsidRPr="00634CBB">
        <w:rPr>
          <w:rFonts w:ascii="Garamond" w:hAnsi="Garamond" w:cs="Times New Roman"/>
          <w:color w:val="000000"/>
          <w:sz w:val="22"/>
          <w:szCs w:val="22"/>
          <w:lang w:val="it-IT"/>
        </w:rPr>
        <w:t>.</w:t>
      </w:r>
    </w:p>
  </w:footnote>
  <w:footnote w:id="28">
    <w:p w:rsidR="00A556E5" w:rsidRPr="00634CBB" w:rsidRDefault="00A556E5" w:rsidP="00A716A6">
      <w:pPr>
        <w:pStyle w:val="Textbody"/>
        <w:spacing w:after="0"/>
        <w:ind w:left="851" w:right="851"/>
        <w:jc w:val="both"/>
        <w:rPr>
          <w:rFonts w:ascii="Garamond" w:hAnsi="Garamond" w:cs="Times New Roman"/>
          <w:sz w:val="22"/>
          <w:szCs w:val="22"/>
        </w:rPr>
      </w:pPr>
      <w:r w:rsidRPr="00634CBB">
        <w:rPr>
          <w:rStyle w:val="Rimandonotaapidipagina"/>
          <w:rFonts w:ascii="Garamond" w:hAnsi="Garamond" w:cs="Times New Roman"/>
          <w:sz w:val="22"/>
          <w:szCs w:val="22"/>
          <w:lang w:val="it-IT"/>
        </w:rPr>
        <w:footnoteRef/>
      </w:r>
      <w:r w:rsidRPr="00634CBB">
        <w:rPr>
          <w:rFonts w:ascii="Garamond" w:hAnsi="Garamond" w:cs="Times New Roman"/>
          <w:sz w:val="22"/>
          <w:szCs w:val="22"/>
          <w:lang w:val="it-IT"/>
        </w:rPr>
        <w:t xml:space="preserve"> Un riferimento al rilievo dei c.d. </w:t>
      </w:r>
      <w:r w:rsidRPr="00634CBB">
        <w:rPr>
          <w:rFonts w:ascii="Garamond" w:hAnsi="Garamond" w:cs="Times New Roman"/>
          <w:i/>
          <w:lang w:val="it-IT"/>
        </w:rPr>
        <w:t>social watchdogs</w:t>
      </w:r>
      <w:r w:rsidRPr="00634CBB">
        <w:rPr>
          <w:rFonts w:ascii="Garamond" w:hAnsi="Garamond" w:cs="Times New Roman"/>
          <w:sz w:val="22"/>
          <w:szCs w:val="22"/>
          <w:lang w:val="it-IT"/>
        </w:rPr>
        <w:t xml:space="preserve"> nell’applicazione dell’istituto è contenuto anche nella Circolare del Dipartimento della Funzione Pubblica n. 2/2017 del 30.05.2017.</w:t>
      </w:r>
    </w:p>
  </w:footnote>
  <w:footnote w:id="29">
    <w:p w:rsidR="00A556E5" w:rsidRPr="00634CBB" w:rsidRDefault="00A556E5" w:rsidP="00463DCF">
      <w:pPr>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w:t>
      </w:r>
      <w:r w:rsidRPr="00634CBB">
        <w:rPr>
          <w:rFonts w:ascii="Garamond" w:hAnsi="Garamond" w:cs="Times New Roman"/>
          <w:color w:val="000000"/>
          <w:sz w:val="22"/>
          <w:szCs w:val="22"/>
        </w:rPr>
        <w:t xml:space="preserve">Si è parlato, al riguardo, di rischio di </w:t>
      </w:r>
      <w:r w:rsidRPr="00634CBB">
        <w:rPr>
          <w:rFonts w:ascii="Garamond" w:hAnsi="Garamond" w:cs="Times New Roman"/>
          <w:i/>
          <w:color w:val="000000"/>
          <w:sz w:val="22"/>
          <w:szCs w:val="22"/>
        </w:rPr>
        <w:t xml:space="preserve">“un vero e proprio </w:t>
      </w:r>
      <w:proofErr w:type="spellStart"/>
      <w:r w:rsidRPr="00634CBB">
        <w:rPr>
          <w:rFonts w:ascii="Garamond" w:hAnsi="Garamond" w:cs="Times New Roman"/>
          <w:i/>
          <w:color w:val="000000"/>
          <w:sz w:val="22"/>
          <w:szCs w:val="22"/>
        </w:rPr>
        <w:t>stalking</w:t>
      </w:r>
      <w:proofErr w:type="spellEnd"/>
      <w:r w:rsidRPr="00634CBB">
        <w:rPr>
          <w:rFonts w:ascii="Garamond" w:hAnsi="Garamond" w:cs="Times New Roman"/>
          <w:i/>
          <w:color w:val="000000"/>
          <w:sz w:val="22"/>
          <w:szCs w:val="22"/>
        </w:rPr>
        <w:t xml:space="preserve"> della trasparenza”</w:t>
      </w:r>
      <w:r w:rsidRPr="00634CBB">
        <w:rPr>
          <w:rFonts w:ascii="Garamond" w:hAnsi="Garamond" w:cs="Times New Roman"/>
          <w:color w:val="000000"/>
          <w:sz w:val="22"/>
          <w:szCs w:val="22"/>
        </w:rPr>
        <w:t xml:space="preserve">, che renderebbe improrogabile la necessità di ridimensionare, mediante il criterio funzionale, l’uso distorto dell’istituto, che avrebbe già prodotto, nella prima fase di applicazione, una prassi diffusa di presentare istanze con finalità “esorbitanti” (cfr. T. </w:t>
      </w:r>
      <w:proofErr w:type="spellStart"/>
      <w:r w:rsidRPr="00634CBB">
        <w:rPr>
          <w:rFonts w:ascii="Garamond" w:hAnsi="Garamond" w:cs="Times New Roman"/>
          <w:color w:val="000000"/>
          <w:sz w:val="22"/>
          <w:szCs w:val="22"/>
        </w:rPr>
        <w:t>Tessaro</w:t>
      </w:r>
      <w:proofErr w:type="spellEnd"/>
      <w:r w:rsidRPr="00634CBB">
        <w:rPr>
          <w:rFonts w:ascii="Garamond" w:hAnsi="Garamond" w:cs="Times New Roman"/>
          <w:color w:val="000000"/>
          <w:sz w:val="22"/>
          <w:szCs w:val="22"/>
        </w:rPr>
        <w:t xml:space="preserve">-M. </w:t>
      </w:r>
      <w:proofErr w:type="spellStart"/>
      <w:r w:rsidRPr="00634CBB">
        <w:rPr>
          <w:rFonts w:ascii="Garamond" w:hAnsi="Garamond" w:cs="Times New Roman"/>
          <w:color w:val="000000"/>
          <w:sz w:val="22"/>
          <w:szCs w:val="22"/>
        </w:rPr>
        <w:t>Bertin</w:t>
      </w:r>
      <w:proofErr w:type="spellEnd"/>
      <w:r w:rsidRPr="00634CBB">
        <w:rPr>
          <w:rFonts w:ascii="Garamond" w:hAnsi="Garamond" w:cs="Times New Roman"/>
          <w:color w:val="000000"/>
          <w:sz w:val="22"/>
          <w:szCs w:val="22"/>
        </w:rPr>
        <w:t xml:space="preserve">, </w:t>
      </w:r>
      <w:r w:rsidRPr="00634CBB">
        <w:rPr>
          <w:rFonts w:ascii="Garamond" w:hAnsi="Garamond" w:cs="Times New Roman"/>
          <w:i/>
          <w:color w:val="000000"/>
          <w:sz w:val="22"/>
          <w:szCs w:val="22"/>
        </w:rPr>
        <w:t>Accesso civico</w:t>
      </w:r>
      <w:proofErr w:type="gramStart"/>
      <w:r w:rsidRPr="00634CBB">
        <w:rPr>
          <w:rFonts w:ascii="Garamond" w:hAnsi="Garamond" w:cs="Times New Roman"/>
          <w:i/>
          <w:color w:val="000000"/>
          <w:sz w:val="22"/>
          <w:szCs w:val="22"/>
        </w:rPr>
        <w:t xml:space="preserve"> ..</w:t>
      </w:r>
      <w:proofErr w:type="gramEnd"/>
      <w:r w:rsidRPr="00634CBB">
        <w:rPr>
          <w:rFonts w:ascii="Garamond" w:hAnsi="Garamond" w:cs="Times New Roman"/>
          <w:i/>
          <w:color w:val="000000"/>
          <w:sz w:val="22"/>
          <w:szCs w:val="22"/>
        </w:rPr>
        <w:t xml:space="preserve"> </w:t>
      </w:r>
      <w:r w:rsidRPr="00634CBB">
        <w:rPr>
          <w:rFonts w:ascii="Garamond" w:hAnsi="Garamond" w:cs="Times New Roman"/>
          <w:color w:val="000000"/>
          <w:sz w:val="22"/>
          <w:szCs w:val="22"/>
        </w:rPr>
        <w:t>op. cit.).</w:t>
      </w:r>
    </w:p>
  </w:footnote>
  <w:footnote w:id="30">
    <w:p w:rsidR="00A556E5" w:rsidRPr="00634CBB" w:rsidRDefault="00A556E5" w:rsidP="00A716A6">
      <w:pPr>
        <w:ind w:left="851" w:right="851"/>
        <w:jc w:val="both"/>
        <w:rPr>
          <w:rFonts w:ascii="Garamond" w:hAnsi="Garamond" w:cs="Times New Roman"/>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In ciò viene ravvisata la differenza fondamentale con l’accesso documentale ex L. 241/90: </w:t>
      </w:r>
      <w:r w:rsidRPr="00634CBB">
        <w:rPr>
          <w:rFonts w:ascii="Garamond" w:hAnsi="Garamond" w:cs="Times New Roman"/>
          <w:i/>
          <w:sz w:val="22"/>
          <w:szCs w:val="22"/>
        </w:rPr>
        <w:t>“La valorizzazione del profilo dell’interesse appare quindi il criterio decisivo per tracciare l’</w:t>
      </w:r>
      <w:proofErr w:type="spellStart"/>
      <w:r w:rsidRPr="00634CBB">
        <w:rPr>
          <w:rFonts w:ascii="Garamond" w:hAnsi="Garamond" w:cs="Times New Roman"/>
          <w:i/>
          <w:sz w:val="22"/>
          <w:szCs w:val="22"/>
        </w:rPr>
        <w:t>actio</w:t>
      </w:r>
      <w:proofErr w:type="spellEnd"/>
      <w:r w:rsidRPr="00634CBB">
        <w:rPr>
          <w:rFonts w:ascii="Garamond" w:hAnsi="Garamond" w:cs="Times New Roman"/>
          <w:i/>
          <w:sz w:val="22"/>
          <w:szCs w:val="22"/>
        </w:rPr>
        <w:t xml:space="preserve"> </w:t>
      </w:r>
      <w:proofErr w:type="spellStart"/>
      <w:r w:rsidRPr="00634CBB">
        <w:rPr>
          <w:rFonts w:ascii="Garamond" w:hAnsi="Garamond" w:cs="Times New Roman"/>
          <w:i/>
          <w:sz w:val="22"/>
          <w:szCs w:val="22"/>
        </w:rPr>
        <w:t>finium</w:t>
      </w:r>
      <w:proofErr w:type="spellEnd"/>
      <w:r w:rsidRPr="00634CBB">
        <w:rPr>
          <w:rFonts w:ascii="Garamond" w:hAnsi="Garamond" w:cs="Times New Roman"/>
          <w:i/>
          <w:sz w:val="22"/>
          <w:szCs w:val="22"/>
        </w:rPr>
        <w:t xml:space="preserve"> </w:t>
      </w:r>
      <w:proofErr w:type="spellStart"/>
      <w:r w:rsidRPr="00634CBB">
        <w:rPr>
          <w:rFonts w:ascii="Garamond" w:hAnsi="Garamond" w:cs="Times New Roman"/>
          <w:i/>
          <w:sz w:val="22"/>
          <w:szCs w:val="22"/>
        </w:rPr>
        <w:t>regundorum</w:t>
      </w:r>
      <w:proofErr w:type="spellEnd"/>
      <w:r w:rsidRPr="00634CBB">
        <w:rPr>
          <w:rFonts w:ascii="Garamond" w:hAnsi="Garamond" w:cs="Times New Roman"/>
          <w:i/>
          <w:sz w:val="22"/>
          <w:szCs w:val="22"/>
        </w:rPr>
        <w:t xml:space="preserve"> tra accesso documentale nei confronti dell’accesso civico.”  </w:t>
      </w:r>
      <w:r w:rsidRPr="00634CBB">
        <w:rPr>
          <w:rFonts w:ascii="Garamond" w:hAnsi="Garamond" w:cs="Times New Roman"/>
          <w:sz w:val="22"/>
          <w:szCs w:val="22"/>
        </w:rPr>
        <w:t xml:space="preserve">(T. </w:t>
      </w:r>
      <w:proofErr w:type="spellStart"/>
      <w:r w:rsidRPr="00634CBB">
        <w:rPr>
          <w:rFonts w:ascii="Garamond" w:hAnsi="Garamond" w:cs="Times New Roman"/>
          <w:sz w:val="22"/>
          <w:szCs w:val="22"/>
        </w:rPr>
        <w:t>Tessaro</w:t>
      </w:r>
      <w:proofErr w:type="spellEnd"/>
      <w:r w:rsidRPr="00634CBB">
        <w:rPr>
          <w:rFonts w:ascii="Garamond" w:hAnsi="Garamond" w:cs="Times New Roman"/>
          <w:sz w:val="22"/>
          <w:szCs w:val="22"/>
        </w:rPr>
        <w:t xml:space="preserve">-M. </w:t>
      </w:r>
      <w:proofErr w:type="spellStart"/>
      <w:r w:rsidRPr="00634CBB">
        <w:rPr>
          <w:rFonts w:ascii="Garamond" w:hAnsi="Garamond" w:cs="Times New Roman"/>
          <w:sz w:val="22"/>
          <w:szCs w:val="22"/>
        </w:rPr>
        <w:t>Bertin</w:t>
      </w:r>
      <w:proofErr w:type="spellEnd"/>
      <w:r w:rsidRPr="00634CBB">
        <w:rPr>
          <w:rFonts w:ascii="Garamond" w:hAnsi="Garamond" w:cs="Times New Roman"/>
          <w:sz w:val="22"/>
          <w:szCs w:val="22"/>
        </w:rPr>
        <w:t xml:space="preserve">, </w:t>
      </w:r>
      <w:proofErr w:type="spellStart"/>
      <w:r w:rsidRPr="00634CBB">
        <w:rPr>
          <w:rFonts w:ascii="Garamond" w:hAnsi="Garamond" w:cs="Times New Roman"/>
          <w:sz w:val="22"/>
          <w:szCs w:val="22"/>
        </w:rPr>
        <w:t>ult</w:t>
      </w:r>
      <w:proofErr w:type="spellEnd"/>
      <w:r w:rsidRPr="00634CBB">
        <w:rPr>
          <w:rFonts w:ascii="Garamond" w:hAnsi="Garamond" w:cs="Times New Roman"/>
          <w:sz w:val="22"/>
          <w:szCs w:val="22"/>
        </w:rPr>
        <w:t>. op. cit.).</w:t>
      </w:r>
    </w:p>
  </w:footnote>
  <w:footnote w:id="31">
    <w:p w:rsidR="00A556E5" w:rsidRPr="00634CBB" w:rsidRDefault="00A556E5" w:rsidP="00802314">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L’argomento è esposto da B. Ponti, </w:t>
      </w:r>
      <w:r w:rsidRPr="00634CBB">
        <w:rPr>
          <w:rFonts w:ascii="Garamond" w:hAnsi="Garamond" w:cs="Times New Roman"/>
          <w:i/>
          <w:sz w:val="22"/>
          <w:szCs w:val="22"/>
        </w:rPr>
        <w:t>Nuova trasparenza</w:t>
      </w:r>
      <w:proofErr w:type="gramStart"/>
      <w:r w:rsidRPr="00634CBB">
        <w:rPr>
          <w:rFonts w:ascii="Garamond" w:hAnsi="Garamond" w:cs="Times New Roman"/>
          <w:i/>
          <w:sz w:val="22"/>
          <w:szCs w:val="22"/>
        </w:rPr>
        <w:t xml:space="preserve"> ..</w:t>
      </w:r>
      <w:proofErr w:type="gramEnd"/>
      <w:r w:rsidRPr="00634CBB">
        <w:rPr>
          <w:rFonts w:ascii="Garamond" w:hAnsi="Garamond" w:cs="Times New Roman"/>
          <w:i/>
          <w:sz w:val="22"/>
          <w:szCs w:val="22"/>
        </w:rPr>
        <w:t xml:space="preserve"> op. cit. </w:t>
      </w:r>
      <w:r w:rsidRPr="00634CBB">
        <w:rPr>
          <w:rFonts w:ascii="Garamond" w:hAnsi="Garamond" w:cs="Times New Roman"/>
          <w:sz w:val="22"/>
          <w:szCs w:val="22"/>
        </w:rPr>
        <w:t xml:space="preserve">(60-61) e ripreso da R. Perna, </w:t>
      </w:r>
      <w:r w:rsidRPr="00634CBB">
        <w:rPr>
          <w:rFonts w:ascii="Garamond" w:hAnsi="Garamond" w:cs="Times New Roman"/>
          <w:i/>
          <w:sz w:val="22"/>
          <w:szCs w:val="22"/>
        </w:rPr>
        <w:t>Accesso e trasparenza: due linee destinate ad incontrarsi</w:t>
      </w:r>
      <w:proofErr w:type="gramStart"/>
      <w:r w:rsidRPr="00634CBB">
        <w:rPr>
          <w:rFonts w:ascii="Garamond" w:hAnsi="Garamond" w:cs="Times New Roman"/>
          <w:i/>
          <w:sz w:val="22"/>
          <w:szCs w:val="22"/>
        </w:rPr>
        <w:t xml:space="preserve"> ?</w:t>
      </w:r>
      <w:r w:rsidRPr="00634CBB">
        <w:rPr>
          <w:rFonts w:ascii="Garamond" w:hAnsi="Garamond" w:cs="Times New Roman"/>
          <w:sz w:val="22"/>
          <w:szCs w:val="22"/>
        </w:rPr>
        <w:t>,</w:t>
      </w:r>
      <w:proofErr w:type="gramEnd"/>
      <w:r w:rsidRPr="00634CBB">
        <w:rPr>
          <w:rFonts w:ascii="Garamond" w:hAnsi="Garamond" w:cs="Times New Roman"/>
          <w:sz w:val="22"/>
          <w:szCs w:val="22"/>
        </w:rPr>
        <w:t xml:space="preserve"> www.giustizia-amministrativa.it, 2017. Sul punto sembra convenire anche C. </w:t>
      </w:r>
      <w:proofErr w:type="spellStart"/>
      <w:r w:rsidRPr="00634CBB">
        <w:rPr>
          <w:rFonts w:ascii="Garamond" w:hAnsi="Garamond" w:cs="Times New Roman"/>
          <w:sz w:val="22"/>
          <w:szCs w:val="22"/>
        </w:rPr>
        <w:t>Cudia</w:t>
      </w:r>
      <w:proofErr w:type="spellEnd"/>
      <w:r w:rsidRPr="00634CBB">
        <w:rPr>
          <w:rFonts w:ascii="Garamond" w:hAnsi="Garamond" w:cs="Times New Roman"/>
          <w:sz w:val="22"/>
          <w:szCs w:val="22"/>
        </w:rPr>
        <w:t xml:space="preserve">, in B. Ponti (a cura di), </w:t>
      </w:r>
      <w:r w:rsidRPr="00634CBB">
        <w:rPr>
          <w:rFonts w:ascii="Garamond" w:hAnsi="Garamond" w:cs="Times New Roman"/>
          <w:i/>
          <w:sz w:val="22"/>
          <w:szCs w:val="22"/>
        </w:rPr>
        <w:t xml:space="preserve">Nuova trasparenza amministrativa e libertà di accesso alle informazioni, </w:t>
      </w:r>
      <w:r w:rsidRPr="00634CBB">
        <w:rPr>
          <w:rFonts w:ascii="Garamond" w:hAnsi="Garamond" w:cs="Times New Roman"/>
          <w:sz w:val="22"/>
          <w:szCs w:val="22"/>
        </w:rPr>
        <w:t xml:space="preserve">ed. Maggioli, 2016 (113), </w:t>
      </w:r>
      <w:proofErr w:type="spellStart"/>
      <w:r w:rsidRPr="00634CBB">
        <w:rPr>
          <w:rFonts w:ascii="Garamond" w:hAnsi="Garamond" w:cs="Times New Roman"/>
          <w:sz w:val="22"/>
          <w:szCs w:val="22"/>
        </w:rPr>
        <w:t>benchè</w:t>
      </w:r>
      <w:proofErr w:type="spellEnd"/>
      <w:r w:rsidRPr="00634CBB">
        <w:rPr>
          <w:rFonts w:ascii="Garamond" w:hAnsi="Garamond" w:cs="Times New Roman"/>
          <w:sz w:val="22"/>
          <w:szCs w:val="22"/>
        </w:rPr>
        <w:t xml:space="preserve"> dichiaratamente contraria alla “funzionalizzazione” dell’istituto. Su questa linea i rilievi del Garante per la privacy nel citato parere n. 92/2016. </w:t>
      </w:r>
    </w:p>
  </w:footnote>
  <w:footnote w:id="32">
    <w:p w:rsidR="00A556E5" w:rsidRPr="00634CBB" w:rsidRDefault="00A556E5" w:rsidP="00A716A6">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Questa notazione si riviene in quasi tutti i pareri resi dal garante per la privacy a sostegno della dimostrazione del rischio di un “concreto pregiudizio” al diritto alla riservatezza. </w:t>
      </w:r>
    </w:p>
  </w:footnote>
  <w:footnote w:id="33">
    <w:p w:rsidR="00A556E5" w:rsidRPr="00634CBB" w:rsidRDefault="00A556E5" w:rsidP="001C5A7D">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Il riferimento è alla già citata sentenza della Corte europea dei Diritti dell’Uomo - Grande Camera - sentenza del 08.011.2016 (</w:t>
      </w:r>
      <w:proofErr w:type="spellStart"/>
      <w:r w:rsidRPr="00634CBB">
        <w:rPr>
          <w:rFonts w:ascii="Garamond" w:hAnsi="Garamond" w:cs="Times New Roman"/>
          <w:sz w:val="22"/>
          <w:szCs w:val="22"/>
        </w:rPr>
        <w:t>Magyar</w:t>
      </w:r>
      <w:proofErr w:type="spellEnd"/>
      <w:r w:rsidRPr="00634CBB">
        <w:rPr>
          <w:rFonts w:ascii="Garamond" w:hAnsi="Garamond" w:cs="Times New Roman"/>
          <w:sz w:val="22"/>
          <w:szCs w:val="22"/>
        </w:rPr>
        <w:t xml:space="preserve"> Helsinki </w:t>
      </w:r>
      <w:proofErr w:type="spellStart"/>
      <w:r w:rsidRPr="00634CBB">
        <w:rPr>
          <w:rFonts w:ascii="Garamond" w:hAnsi="Garamond" w:cs="Times New Roman"/>
          <w:sz w:val="22"/>
          <w:szCs w:val="22"/>
        </w:rPr>
        <w:t>Bizottsag</w:t>
      </w:r>
      <w:proofErr w:type="spellEnd"/>
      <w:r w:rsidRPr="00634CBB">
        <w:rPr>
          <w:rFonts w:ascii="Garamond" w:hAnsi="Garamond" w:cs="Times New Roman"/>
          <w:sz w:val="22"/>
          <w:szCs w:val="22"/>
        </w:rPr>
        <w:t xml:space="preserve"> c. Ungheria, ricorso n. 18030/11).</w:t>
      </w:r>
    </w:p>
  </w:footnote>
  <w:footnote w:id="34">
    <w:p w:rsidR="00A556E5" w:rsidRPr="00634CBB" w:rsidRDefault="00A556E5" w:rsidP="00463DCF">
      <w:pPr>
        <w:pStyle w:val="Standard"/>
        <w:spacing w:before="20" w:after="20"/>
        <w:ind w:left="851" w:right="851"/>
        <w:jc w:val="both"/>
        <w:rPr>
          <w:rFonts w:ascii="Garamond" w:hAnsi="Garamond" w:cs="Times New Roman"/>
          <w:sz w:val="22"/>
          <w:szCs w:val="22"/>
        </w:rPr>
      </w:pPr>
      <w:r w:rsidRPr="00634CBB">
        <w:rPr>
          <w:rStyle w:val="Rimandonotaapidipagina"/>
          <w:rFonts w:ascii="Garamond" w:hAnsi="Garamond" w:cs="Times New Roman"/>
          <w:sz w:val="22"/>
          <w:szCs w:val="22"/>
          <w:lang w:val="it-IT"/>
        </w:rPr>
        <w:footnoteRef/>
      </w:r>
      <w:r w:rsidRPr="00634CBB">
        <w:rPr>
          <w:rFonts w:ascii="Garamond" w:hAnsi="Garamond" w:cs="Times New Roman"/>
          <w:sz w:val="22"/>
          <w:szCs w:val="22"/>
          <w:lang w:val="it-IT"/>
        </w:rPr>
        <w:t xml:space="preserve"> Sotto questo profilo, si è efficacemente rilevato che </w:t>
      </w:r>
      <w:r w:rsidRPr="00634CBB">
        <w:rPr>
          <w:rFonts w:ascii="Garamond" w:hAnsi="Garamond" w:cs="Times New Roman"/>
          <w:i/>
          <w:color w:val="000000"/>
          <w:sz w:val="22"/>
          <w:szCs w:val="22"/>
          <w:lang w:val="it-IT"/>
        </w:rPr>
        <w:t xml:space="preserve">“Se, infatti, si tratta di una situazione soggettiva completa e autonoma che appartiene al cittadino qualunque, ne consegue che tale diritto non solo non presuppone la titolarità di una posizione soggettiva differenziata e qualificata, ma anche che esso è fine soltanto a sé stesso ed è quindi privo di qualsiasi funzionalizzazione a interessi ulteriori e diversi.”. </w:t>
      </w:r>
      <w:r w:rsidRPr="00634CBB">
        <w:rPr>
          <w:rFonts w:ascii="Garamond" w:hAnsi="Garamond" w:cs="Times New Roman"/>
          <w:color w:val="000000"/>
          <w:sz w:val="22"/>
          <w:szCs w:val="22"/>
          <w:lang w:val="it-IT"/>
        </w:rPr>
        <w:t xml:space="preserve">Invero, </w:t>
      </w:r>
      <w:r w:rsidRPr="00634CBB">
        <w:rPr>
          <w:rFonts w:ascii="Garamond" w:hAnsi="Garamond" w:cs="Times New Roman"/>
          <w:i/>
          <w:color w:val="000000"/>
          <w:sz w:val="22"/>
          <w:szCs w:val="22"/>
          <w:lang w:val="it-IT"/>
        </w:rPr>
        <w:t xml:space="preserve">“Il diritto di informazione è un diritto individuale, che può ricevere una tutela più intensa laddove assolve una funzione sociale, ma senza che questa ponga il diritto al servizio di un fine predeterminato.”. “Ne consegue che il diritto in oggetto è volto a garantire la conoscibilità per la conoscibilità, che precede e prescinde completamente dal fatto che l’informazione possa essere preordinata alla partecipazione politica, amministrativa o alla eventuale difesa di situazioni giuridiche </w:t>
      </w:r>
      <w:proofErr w:type="gramStart"/>
      <w:r w:rsidRPr="00634CBB">
        <w:rPr>
          <w:rFonts w:ascii="Garamond" w:hAnsi="Garamond" w:cs="Times New Roman"/>
          <w:i/>
          <w:color w:val="000000"/>
          <w:sz w:val="22"/>
          <w:szCs w:val="22"/>
          <w:lang w:val="it-IT"/>
        </w:rPr>
        <w:t>individuate.“</w:t>
      </w:r>
      <w:proofErr w:type="gramEnd"/>
      <w:r w:rsidRPr="00634CBB">
        <w:rPr>
          <w:rFonts w:ascii="Garamond" w:hAnsi="Garamond" w:cs="Times New Roman"/>
          <w:i/>
          <w:color w:val="000000"/>
          <w:sz w:val="22"/>
          <w:szCs w:val="22"/>
          <w:lang w:val="it-IT"/>
        </w:rPr>
        <w:t xml:space="preserve">. “… il diritto alla conoscibilità è fine solo a sé stesso: è neutro e può essere utilizzato per qualsivoglia interesse (dal controllo sociale diffuso, alla tutela di un interesse personale).” </w:t>
      </w:r>
      <w:r w:rsidRPr="00634CBB">
        <w:rPr>
          <w:rFonts w:ascii="Garamond" w:hAnsi="Garamond" w:cs="Times New Roman"/>
          <w:color w:val="000000"/>
          <w:sz w:val="22"/>
          <w:szCs w:val="22"/>
          <w:lang w:val="it-IT"/>
        </w:rPr>
        <w:t xml:space="preserve">(C. </w:t>
      </w:r>
      <w:proofErr w:type="spellStart"/>
      <w:r w:rsidRPr="00634CBB">
        <w:rPr>
          <w:rFonts w:ascii="Garamond" w:hAnsi="Garamond" w:cs="Times New Roman"/>
          <w:color w:val="000000"/>
          <w:sz w:val="22"/>
          <w:szCs w:val="22"/>
          <w:lang w:val="it-IT"/>
        </w:rPr>
        <w:t>Cudia</w:t>
      </w:r>
      <w:proofErr w:type="spellEnd"/>
      <w:r w:rsidRPr="00634CBB">
        <w:rPr>
          <w:rFonts w:ascii="Garamond" w:hAnsi="Garamond" w:cs="Times New Roman"/>
          <w:color w:val="000000"/>
          <w:sz w:val="22"/>
          <w:szCs w:val="22"/>
          <w:lang w:val="it-IT"/>
        </w:rPr>
        <w:t xml:space="preserve">, in B. Ponti (a cura di), </w:t>
      </w:r>
      <w:r w:rsidRPr="00634CBB">
        <w:rPr>
          <w:rFonts w:ascii="Garamond" w:hAnsi="Garamond" w:cs="Times New Roman"/>
          <w:i/>
          <w:color w:val="000000"/>
          <w:sz w:val="22"/>
          <w:szCs w:val="22"/>
          <w:lang w:val="it-IT"/>
        </w:rPr>
        <w:t>Nuova trasparenza</w:t>
      </w:r>
      <w:proofErr w:type="gramStart"/>
      <w:r w:rsidRPr="00634CBB">
        <w:rPr>
          <w:rFonts w:ascii="Garamond" w:hAnsi="Garamond" w:cs="Times New Roman"/>
          <w:i/>
          <w:color w:val="000000"/>
          <w:sz w:val="22"/>
          <w:szCs w:val="22"/>
          <w:lang w:val="it-IT"/>
        </w:rPr>
        <w:t xml:space="preserve"> ..</w:t>
      </w:r>
      <w:proofErr w:type="gramEnd"/>
      <w:r w:rsidRPr="00634CBB">
        <w:rPr>
          <w:rFonts w:ascii="Garamond" w:hAnsi="Garamond" w:cs="Times New Roman"/>
          <w:i/>
          <w:color w:val="000000"/>
          <w:sz w:val="22"/>
          <w:szCs w:val="22"/>
          <w:lang w:val="it-IT"/>
        </w:rPr>
        <w:t xml:space="preserve"> </w:t>
      </w:r>
      <w:r w:rsidRPr="00634CBB">
        <w:rPr>
          <w:rFonts w:ascii="Garamond" w:hAnsi="Garamond" w:cs="Times New Roman"/>
          <w:color w:val="000000"/>
          <w:sz w:val="22"/>
          <w:szCs w:val="22"/>
          <w:lang w:val="it-IT"/>
        </w:rPr>
        <w:t xml:space="preserve">op. cit., 105 ss.). Analogamente, anche se in modo più sfumato, si è altresì rilevato che </w:t>
      </w:r>
      <w:r w:rsidRPr="00634CBB">
        <w:rPr>
          <w:rFonts w:ascii="Garamond" w:hAnsi="Garamond" w:cs="Times New Roman"/>
          <w:i/>
          <w:color w:val="000000"/>
          <w:sz w:val="22"/>
          <w:szCs w:val="22"/>
          <w:lang w:val="it-IT"/>
        </w:rPr>
        <w:t>“con riferimento alla libertà di accesso ai dati e ai documenti detenuti dall’amministrazione, gli istituti del decreto non si configurano – dunque – come mezzo a fine, ma si propongono di realizzarla direttamente ed immediatamente”</w:t>
      </w:r>
      <w:r w:rsidRPr="00634CBB">
        <w:rPr>
          <w:rFonts w:ascii="Garamond" w:hAnsi="Garamond" w:cs="Times New Roman"/>
          <w:color w:val="000000"/>
          <w:sz w:val="22"/>
          <w:szCs w:val="22"/>
          <w:lang w:val="it-IT"/>
        </w:rPr>
        <w:t xml:space="preserve">, di talchè la funzionalizzazione di una libertà ad uno specifico obiettivo rischia di essere una contraddizione in termini, finendo per negare in radice la dimensione stessa della libertà (B. Ponti (a cura di), </w:t>
      </w:r>
      <w:r w:rsidRPr="00634CBB">
        <w:rPr>
          <w:rFonts w:ascii="Garamond" w:hAnsi="Garamond" w:cs="Times New Roman"/>
          <w:i/>
          <w:color w:val="000000"/>
          <w:sz w:val="22"/>
          <w:szCs w:val="22"/>
          <w:lang w:val="it-IT"/>
        </w:rPr>
        <w:t xml:space="preserve">Nuova trasparenza .. </w:t>
      </w:r>
      <w:r w:rsidRPr="00634CBB">
        <w:rPr>
          <w:rFonts w:ascii="Garamond" w:hAnsi="Garamond" w:cs="Times New Roman"/>
          <w:color w:val="000000"/>
          <w:sz w:val="22"/>
          <w:szCs w:val="22"/>
          <w:lang w:val="it-IT"/>
        </w:rPr>
        <w:t>op. cit., 32 ss.).</w:t>
      </w:r>
    </w:p>
  </w:footnote>
  <w:footnote w:id="35">
    <w:p w:rsidR="00A556E5" w:rsidRPr="00634CBB" w:rsidRDefault="00A556E5" w:rsidP="00A716A6">
      <w:pPr>
        <w:pStyle w:val="Standard"/>
        <w:ind w:left="851" w:right="851"/>
        <w:jc w:val="both"/>
        <w:rPr>
          <w:rFonts w:ascii="Garamond" w:hAnsi="Garamond" w:cs="Times New Roman"/>
        </w:rPr>
      </w:pPr>
      <w:r w:rsidRPr="00634CBB">
        <w:rPr>
          <w:rStyle w:val="Rimandonotaapidipagina"/>
          <w:rFonts w:ascii="Garamond" w:hAnsi="Garamond" w:cs="Times New Roman"/>
          <w:sz w:val="22"/>
          <w:szCs w:val="22"/>
          <w:lang w:val="it-IT"/>
        </w:rPr>
        <w:footnoteRef/>
      </w:r>
      <w:r w:rsidRPr="00634CBB">
        <w:rPr>
          <w:rFonts w:ascii="Garamond" w:hAnsi="Garamond" w:cs="Times New Roman"/>
          <w:sz w:val="22"/>
          <w:szCs w:val="22"/>
          <w:lang w:val="it-IT"/>
        </w:rPr>
        <w:t xml:space="preserve"> Rileva C. </w:t>
      </w:r>
      <w:proofErr w:type="spellStart"/>
      <w:r w:rsidRPr="00634CBB">
        <w:rPr>
          <w:rFonts w:ascii="Garamond" w:hAnsi="Garamond" w:cs="Times New Roman"/>
          <w:sz w:val="22"/>
          <w:szCs w:val="22"/>
          <w:lang w:val="it-IT"/>
        </w:rPr>
        <w:t>Cudia</w:t>
      </w:r>
      <w:proofErr w:type="spellEnd"/>
      <w:r w:rsidRPr="00634CBB">
        <w:rPr>
          <w:rFonts w:ascii="Garamond" w:hAnsi="Garamond" w:cs="Times New Roman"/>
          <w:sz w:val="22"/>
          <w:szCs w:val="22"/>
          <w:lang w:val="it-IT"/>
        </w:rPr>
        <w:t>,</w:t>
      </w:r>
      <w:r w:rsidRPr="00634CBB">
        <w:rPr>
          <w:rFonts w:ascii="Garamond" w:hAnsi="Garamond" w:cs="Times New Roman"/>
          <w:color w:val="000000"/>
          <w:sz w:val="22"/>
          <w:szCs w:val="22"/>
          <w:lang w:val="it-IT"/>
        </w:rPr>
        <w:t xml:space="preserve"> in B. Ponti (a cura di), </w:t>
      </w:r>
      <w:r w:rsidRPr="00634CBB">
        <w:rPr>
          <w:rFonts w:ascii="Garamond" w:hAnsi="Garamond" w:cs="Times New Roman"/>
          <w:i/>
          <w:color w:val="000000"/>
          <w:sz w:val="22"/>
          <w:szCs w:val="22"/>
          <w:lang w:val="it-IT"/>
        </w:rPr>
        <w:t>Nuova trasparenza</w:t>
      </w:r>
      <w:proofErr w:type="gramStart"/>
      <w:r w:rsidRPr="00634CBB">
        <w:rPr>
          <w:rFonts w:ascii="Garamond" w:hAnsi="Garamond" w:cs="Times New Roman"/>
          <w:i/>
          <w:color w:val="000000"/>
          <w:sz w:val="22"/>
          <w:szCs w:val="22"/>
          <w:lang w:val="it-IT"/>
        </w:rPr>
        <w:t xml:space="preserve"> ..</w:t>
      </w:r>
      <w:proofErr w:type="gramEnd"/>
      <w:r w:rsidRPr="00634CBB">
        <w:rPr>
          <w:rFonts w:ascii="Garamond" w:hAnsi="Garamond" w:cs="Times New Roman"/>
          <w:i/>
          <w:color w:val="000000"/>
          <w:sz w:val="22"/>
          <w:szCs w:val="22"/>
          <w:lang w:val="it-IT"/>
        </w:rPr>
        <w:t xml:space="preserve"> </w:t>
      </w:r>
      <w:r w:rsidRPr="00634CBB">
        <w:rPr>
          <w:rFonts w:ascii="Garamond" w:hAnsi="Garamond" w:cs="Times New Roman"/>
          <w:color w:val="000000"/>
          <w:sz w:val="22"/>
          <w:szCs w:val="22"/>
          <w:lang w:val="it-IT"/>
        </w:rPr>
        <w:t>op. cit.,</w:t>
      </w:r>
      <w:r w:rsidRPr="00634CBB">
        <w:rPr>
          <w:rFonts w:ascii="Garamond" w:hAnsi="Garamond" w:cs="Times New Roman"/>
          <w:sz w:val="22"/>
          <w:szCs w:val="22"/>
          <w:lang w:val="it-IT"/>
        </w:rPr>
        <w:t xml:space="preserve"> (pag. 105-106) </w:t>
      </w:r>
      <w:r w:rsidRPr="00634CBB">
        <w:rPr>
          <w:rFonts w:ascii="Garamond" w:hAnsi="Garamond" w:cs="Times New Roman"/>
          <w:color w:val="000000"/>
          <w:sz w:val="22"/>
          <w:szCs w:val="22"/>
          <w:lang w:val="it-IT"/>
        </w:rPr>
        <w:t>che “</w:t>
      </w:r>
      <w:r w:rsidRPr="00634CBB">
        <w:rPr>
          <w:rFonts w:ascii="Garamond" w:hAnsi="Garamond" w:cs="Times New Roman"/>
          <w:i/>
          <w:color w:val="000000"/>
          <w:sz w:val="22"/>
          <w:szCs w:val="22"/>
          <w:lang w:val="it-IT"/>
        </w:rPr>
        <w:t>L’imposizione di un vincolo di scopo ai diritti di informazione, anzi, rischia di essere inutile o dannosa. Inutile, laddove si assuma come finalità dell’informazione un principio tanto generico da essere inidoneo a fungere da criterio di selezione degli interessi rilevanti: il riferimento, in particolare, al controllo e alla partecipazione democratica non può essere risolutivo, perché rispetto a quelle istanze qualsiasi aspirazione alla conoscenza è lecita e quindi non riesce a chiudere il sistema. Dannosa, nell’ipotesi opposta nella quale la finalità dell’informazione sia definita in modo preciso: perché sarebbe allora possibile verificare in ciascuno dei casi concreti se l’informazione agognata serva o meno a quel fine, con la conseguenza che la pretesa cognitiva risulterebbe compromessa ogni qual volta il suo oggetto sia ritenuto ininfluente rispetto al perseguimento dello scopo.”</w:t>
      </w:r>
      <w:r w:rsidRPr="00634CBB">
        <w:rPr>
          <w:rFonts w:ascii="Garamond" w:hAnsi="Garamond" w:cs="Times New Roman"/>
          <w:color w:val="000000"/>
          <w:sz w:val="22"/>
          <w:szCs w:val="22"/>
          <w:lang w:val="it-IT"/>
        </w:rPr>
        <w:t>.</w:t>
      </w:r>
    </w:p>
  </w:footnote>
  <w:footnote w:id="36">
    <w:p w:rsidR="00A556E5" w:rsidRPr="00634CBB" w:rsidRDefault="00A556E5" w:rsidP="00A716A6">
      <w:pPr>
        <w:pStyle w:val="Testonotaapidipagina"/>
        <w:ind w:left="851" w:right="851"/>
        <w:jc w:val="both"/>
        <w:rPr>
          <w:rFonts w:ascii="Garamond" w:hAnsi="Garamond" w:cs="Times New Roman"/>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Si pensi, al riguardo, al rilievo che il Garante per la privacy ha dato alla natura giuridica dei soggetti richiedenti (persona giuridica) ed all’oggetto della sua attività (commerciale) nel già citato parere n. 360/2017.</w:t>
      </w:r>
    </w:p>
  </w:footnote>
  <w:footnote w:id="37">
    <w:p w:rsidR="00A556E5" w:rsidRPr="00634CBB" w:rsidRDefault="00A556E5" w:rsidP="00BD22B6">
      <w:pPr>
        <w:ind w:left="851" w:right="851"/>
        <w:jc w:val="both"/>
        <w:rPr>
          <w:rFonts w:ascii="Garamond" w:hAnsi="Garamond" w:cs="Times New Roman"/>
          <w:color w:val="000000" w:themeColor="text1"/>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Il principio secondo il quale </w:t>
      </w:r>
      <w:r w:rsidRPr="00634CBB">
        <w:rPr>
          <w:rFonts w:ascii="Garamond" w:hAnsi="Garamond" w:cs="Times New Roman"/>
          <w:color w:val="000000" w:themeColor="text1"/>
          <w:sz w:val="22"/>
          <w:szCs w:val="22"/>
        </w:rPr>
        <w:t xml:space="preserve">l’interpretazione logica e teleologica mediante il ricorso alla </w:t>
      </w:r>
      <w:r w:rsidRPr="00634CBB">
        <w:rPr>
          <w:rFonts w:ascii="Garamond" w:hAnsi="Garamond" w:cs="Times New Roman"/>
          <w:i/>
          <w:color w:val="000000" w:themeColor="text1"/>
          <w:sz w:val="22"/>
          <w:szCs w:val="22"/>
        </w:rPr>
        <w:t>ratio legis</w:t>
      </w:r>
      <w:r w:rsidRPr="00634CBB">
        <w:rPr>
          <w:rFonts w:ascii="Garamond" w:hAnsi="Garamond" w:cs="Times New Roman"/>
          <w:color w:val="000000" w:themeColor="text1"/>
          <w:sz w:val="22"/>
          <w:szCs w:val="22"/>
        </w:rPr>
        <w:t xml:space="preserve"> si giustifica soltanto nell’ipotesi in cui la dizione letterale della norma non consenta</w:t>
      </w:r>
    </w:p>
    <w:p w:rsidR="00A556E5" w:rsidRPr="00634CBB" w:rsidRDefault="00A556E5" w:rsidP="00BD22B6">
      <w:pPr>
        <w:ind w:left="851" w:right="851"/>
        <w:jc w:val="both"/>
        <w:rPr>
          <w:rFonts w:ascii="Garamond" w:hAnsi="Garamond" w:cs="Times New Roman"/>
          <w:sz w:val="22"/>
          <w:szCs w:val="22"/>
        </w:rPr>
      </w:pPr>
      <w:r w:rsidRPr="00634CBB">
        <w:rPr>
          <w:rFonts w:ascii="Garamond" w:hAnsi="Garamond" w:cs="Times New Roman"/>
          <w:color w:val="000000" w:themeColor="text1"/>
          <w:sz w:val="22"/>
          <w:szCs w:val="22"/>
        </w:rPr>
        <w:t xml:space="preserve"> </w:t>
      </w:r>
      <w:proofErr w:type="gramStart"/>
      <w:r w:rsidRPr="00634CBB">
        <w:rPr>
          <w:rFonts w:ascii="Garamond" w:hAnsi="Garamond" w:cs="Times New Roman"/>
          <w:color w:val="000000" w:themeColor="text1"/>
          <w:sz w:val="22"/>
          <w:szCs w:val="22"/>
        </w:rPr>
        <w:t>di</w:t>
      </w:r>
      <w:proofErr w:type="gramEnd"/>
      <w:r w:rsidRPr="00634CBB">
        <w:rPr>
          <w:rFonts w:ascii="Garamond" w:hAnsi="Garamond" w:cs="Times New Roman"/>
          <w:color w:val="000000" w:themeColor="text1"/>
          <w:sz w:val="22"/>
          <w:szCs w:val="22"/>
        </w:rPr>
        <w:t xml:space="preserve"> pervenire ad una lettura univoca della stessa, è</w:t>
      </w:r>
      <w:r w:rsidRPr="00634CBB">
        <w:rPr>
          <w:rFonts w:ascii="Garamond" w:hAnsi="Garamond" w:cs="Times New Roman"/>
          <w:sz w:val="22"/>
          <w:szCs w:val="22"/>
        </w:rPr>
        <w:t xml:space="preserve"> pacifico e consolidato (vedasi, tra le tante, Cons. St. sez. VI 20 giugno 2012, n. 3585; sez. VI 07 dicembre 2007 n. 6307; Cass. sez. lav. 17 novembre 1993, n. 11359; sez. I 7 aprile 1983, n. 2454). </w:t>
      </w:r>
    </w:p>
  </w:footnote>
  <w:footnote w:id="38">
    <w:p w:rsidR="00A556E5" w:rsidRPr="00634CBB" w:rsidRDefault="00A556E5" w:rsidP="00396360">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L’art. 3, comma 1, D.Lgs. 33/2013 così </w:t>
      </w:r>
      <w:proofErr w:type="gramStart"/>
      <w:r w:rsidRPr="00634CBB">
        <w:rPr>
          <w:rFonts w:ascii="Garamond" w:hAnsi="Garamond" w:cs="Times New Roman"/>
          <w:sz w:val="22"/>
          <w:szCs w:val="22"/>
        </w:rPr>
        <w:t xml:space="preserve">dispone: </w:t>
      </w:r>
      <w:r w:rsidRPr="00634CBB">
        <w:rPr>
          <w:rFonts w:ascii="Garamond" w:hAnsi="Garamond" w:cs="Times New Roman"/>
          <w:color w:val="000000"/>
          <w:sz w:val="22"/>
          <w:szCs w:val="22"/>
        </w:rPr>
        <w:t> </w:t>
      </w:r>
      <w:r w:rsidRPr="00634CBB">
        <w:rPr>
          <w:rFonts w:ascii="Garamond" w:hAnsi="Garamond" w:cs="Times New Roman"/>
          <w:i/>
          <w:color w:val="000000"/>
          <w:sz w:val="22"/>
          <w:szCs w:val="22"/>
        </w:rPr>
        <w:t>“</w:t>
      </w:r>
      <w:proofErr w:type="gramEnd"/>
      <w:r w:rsidRPr="00634CBB">
        <w:rPr>
          <w:rFonts w:ascii="Garamond" w:hAnsi="Garamond" w:cs="Times New Roman"/>
          <w:i/>
          <w:color w:val="000000"/>
          <w:sz w:val="22"/>
          <w:szCs w:val="22"/>
        </w:rPr>
        <w:t>Tutti i documenti, le informazioni e i dati oggetto di accesso civico, ivi compresi quelli oggetto di pubblicazione obbligatoria ai sensi della normativa vigente sono pubblici e chiunque ha diritto di conoscerli, di fruirne gratuitamente, e di utilizzarli e riutilizzarli ai sensi dell'articolo 7.”</w:t>
      </w:r>
      <w:r w:rsidRPr="00634CBB">
        <w:rPr>
          <w:rFonts w:ascii="Garamond" w:hAnsi="Garamond" w:cs="Times New Roman"/>
          <w:color w:val="000000"/>
          <w:sz w:val="22"/>
          <w:szCs w:val="22"/>
        </w:rPr>
        <w:t>.</w:t>
      </w:r>
    </w:p>
  </w:footnote>
  <w:footnote w:id="39">
    <w:p w:rsidR="00A556E5" w:rsidRPr="00634CBB" w:rsidRDefault="00A556E5" w:rsidP="00A716A6">
      <w:pPr>
        <w:pStyle w:val="parar1"/>
        <w:spacing w:before="0" w:beforeAutospacing="0" w:after="0" w:afterAutospacing="0"/>
        <w:ind w:left="851" w:right="851"/>
        <w:jc w:val="both"/>
        <w:rPr>
          <w:rFonts w:ascii="Garamond" w:hAnsi="Garamond"/>
          <w:sz w:val="22"/>
          <w:szCs w:val="22"/>
        </w:rPr>
      </w:pPr>
      <w:r w:rsidRPr="00634CBB">
        <w:rPr>
          <w:rStyle w:val="Rimandonotaapidipagina"/>
          <w:rFonts w:ascii="Garamond" w:hAnsi="Garamond"/>
          <w:sz w:val="22"/>
          <w:szCs w:val="22"/>
        </w:rPr>
        <w:footnoteRef/>
      </w:r>
      <w:r w:rsidRPr="00634CBB">
        <w:rPr>
          <w:rFonts w:ascii="Garamond" w:hAnsi="Garamond"/>
          <w:sz w:val="22"/>
          <w:szCs w:val="22"/>
        </w:rPr>
        <w:t xml:space="preserve"> L’art. 10 della CEDU (Libertà di espressione) sancisce quanto segue: </w:t>
      </w:r>
      <w:r w:rsidRPr="00634CBB">
        <w:rPr>
          <w:rFonts w:ascii="Garamond" w:hAnsi="Garamond"/>
          <w:i/>
          <w:sz w:val="22"/>
          <w:szCs w:val="22"/>
        </w:rPr>
        <w:t>“</w:t>
      </w:r>
      <w:r w:rsidRPr="00634CBB">
        <w:rPr>
          <w:rFonts w:ascii="Garamond" w:hAnsi="Garamond"/>
          <w:i/>
          <w:color w:val="000000"/>
          <w:sz w:val="22"/>
          <w:szCs w:val="22"/>
        </w:rPr>
        <w:t>1. Ogni persona ha diritto alla libertà d'espressione. Tale diritto include la libertà d'opinione e la libertà di ricevere o di comunicare informazioni o idee senza ingerenza alcuna da parte delle autorità pubbliche e senza riguardo alla nazionalità. Il presente articolo non impedisce che gli Stati sottopongano a un regime di autorizzazione le imprese di radio-diffusione, di cinema o di televisione. 2. L'esercizio di queste libertà, comportando doveri e responsabilità, può essere subordinato a determinate formalità, condizioni, restrizioni o sanzioni previste dalla legge e costituenti misure necessarie in una società democratica, per la sicurezza nazionale, l'integrità territoriale o l'ordine pubblico, la prevenzione dei disordini e dei reati, la protezione della salute e della morale, la protezione della reputazione o dei diritti altrui, o per impedire la divulgazione di informazioni riservate o per garantire l'autorità e l'imparzialità del potere giudiziario.”</w:t>
      </w:r>
      <w:r w:rsidRPr="00634CBB">
        <w:rPr>
          <w:rFonts w:ascii="Garamond" w:hAnsi="Garamond"/>
          <w:color w:val="000000"/>
          <w:sz w:val="22"/>
          <w:szCs w:val="22"/>
        </w:rPr>
        <w:t>. Le sentenze a cui si fa riferimento rappresentano l’evoluzione giurisprudenziale più recente della Corte europea dei diritti dell’uomo, in base alla quale il diritto di accesso alle informazioni detenute dalle Pubbliche Autorità può assurgere, in determinate circostanze ed a determinate condizioni, a “diritto fondamentale dell’uomo” in quanto rientrante nella “libertà di espressione” riconosciuta dalle Convenzioni europee, rispetto alla quale è vietata l’”ingerenza da parte delle autorità pubbliche”. Secondo l’orientamento più risalente, invece, l’art. 10 della CEDU (Libertà di espressione) riconoscerebbe soltanto il “diritto di ricevere o di comunicare informazioni”, ma non anche il diritto di “cercare informazioni”.</w:t>
      </w:r>
    </w:p>
  </w:footnote>
  <w:footnote w:id="40">
    <w:p w:rsidR="00A556E5" w:rsidRPr="00634CBB" w:rsidRDefault="00A556E5" w:rsidP="00377E62">
      <w:pPr>
        <w:suppressAutoHyphens/>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Peraltro, la Corte neppure precisa se detti requisiti (interesse pubblico dell’informazione e finalità non individualistica della richiesta) debbano necessariamente sussistere tutti, oppure sia sufficiente la ricorrenza di uno solo di essi (cfr. Carpanelli E., </w:t>
      </w:r>
      <w:r w:rsidRPr="00634CBB">
        <w:rPr>
          <w:rFonts w:ascii="Garamond" w:hAnsi="Garamond" w:cs="Times New Roman"/>
          <w:i/>
          <w:sz w:val="22"/>
          <w:szCs w:val="22"/>
        </w:rPr>
        <w:t xml:space="preserve">Sul diritto di accesso alle informazioni di interesse pubblico detenute dallo Stato: alcune riflessioni critiche a margine della sentenza della Corte di Strasburgo nel caso </w:t>
      </w:r>
      <w:proofErr w:type="spellStart"/>
      <w:r w:rsidRPr="00634CBB">
        <w:rPr>
          <w:rFonts w:ascii="Garamond" w:hAnsi="Garamond" w:cs="Times New Roman"/>
          <w:i/>
          <w:sz w:val="22"/>
          <w:szCs w:val="22"/>
        </w:rPr>
        <w:t>Maghyar</w:t>
      </w:r>
      <w:proofErr w:type="spellEnd"/>
      <w:r w:rsidRPr="00634CBB">
        <w:rPr>
          <w:rFonts w:ascii="Garamond" w:hAnsi="Garamond" w:cs="Times New Roman"/>
          <w:i/>
          <w:sz w:val="22"/>
          <w:szCs w:val="22"/>
        </w:rPr>
        <w:t xml:space="preserve"> Helsinki </w:t>
      </w:r>
      <w:proofErr w:type="spellStart"/>
      <w:r w:rsidRPr="00634CBB">
        <w:rPr>
          <w:rFonts w:ascii="Garamond" w:hAnsi="Garamond" w:cs="Times New Roman"/>
          <w:i/>
          <w:sz w:val="22"/>
          <w:szCs w:val="22"/>
        </w:rPr>
        <w:t>Bizottsag</w:t>
      </w:r>
      <w:proofErr w:type="spellEnd"/>
      <w:r w:rsidRPr="00634CBB">
        <w:rPr>
          <w:rFonts w:ascii="Garamond" w:hAnsi="Garamond" w:cs="Times New Roman"/>
          <w:i/>
          <w:sz w:val="22"/>
          <w:szCs w:val="22"/>
        </w:rPr>
        <w:t xml:space="preserve"> c. Ungheria</w:t>
      </w:r>
      <w:r w:rsidRPr="00634CBB">
        <w:rPr>
          <w:rFonts w:ascii="Garamond" w:hAnsi="Garamond" w:cs="Times New Roman"/>
          <w:sz w:val="22"/>
          <w:szCs w:val="22"/>
        </w:rPr>
        <w:t>, Osservatorio costituzionale n. 2/2017 del 10.06.2017).</w:t>
      </w:r>
    </w:p>
  </w:footnote>
  <w:footnote w:id="41">
    <w:p w:rsidR="00A556E5" w:rsidRPr="00634CBB" w:rsidRDefault="00A556E5" w:rsidP="00A716A6">
      <w:pPr>
        <w:ind w:left="851" w:right="851"/>
        <w:jc w:val="both"/>
        <w:rPr>
          <w:rFonts w:ascii="Garamond" w:hAnsi="Garamond" w:cs="Times New Roman"/>
        </w:rPr>
      </w:pPr>
      <w:r w:rsidRPr="00634CBB">
        <w:rPr>
          <w:rStyle w:val="Rimandonotaapidipagina"/>
          <w:rFonts w:ascii="Garamond" w:hAnsi="Garamond" w:cs="Times New Roman"/>
        </w:rPr>
        <w:footnoteRef/>
      </w:r>
      <w:r w:rsidRPr="00634CBB">
        <w:rPr>
          <w:rFonts w:ascii="Garamond" w:hAnsi="Garamond" w:cs="Times New Roman"/>
          <w:sz w:val="22"/>
          <w:szCs w:val="22"/>
        </w:rPr>
        <w:t xml:space="preserve"> Come noto, l’art. 4, commi 2 e 3, del Regolamento CE 30 maggio 2001 n. 1049/2001 (Regolamento relativo all’accesso del pubblico ai documenti del Parlamento europeo, del Consiglio e della Commissione) prevede delle </w:t>
      </w:r>
      <w:r w:rsidRPr="00634CBB">
        <w:rPr>
          <w:rFonts w:ascii="Garamond" w:hAnsi="Garamond" w:cs="Times New Roman"/>
          <w:color w:val="000000"/>
          <w:sz w:val="22"/>
          <w:szCs w:val="22"/>
        </w:rPr>
        <w:t xml:space="preserve">“eccezioni” all’accesso che presuppongono il verificarsi di un “pregiudizio” a determinati interessi pubblici o privati e per le quali è ammessa la possibilità di verificare se nel caso di specie </w:t>
      </w:r>
      <w:r w:rsidRPr="00634CBB">
        <w:rPr>
          <w:rFonts w:ascii="Garamond" w:hAnsi="Garamond" w:cs="Times New Roman"/>
          <w:i/>
          <w:color w:val="000000"/>
          <w:sz w:val="22"/>
          <w:szCs w:val="22"/>
        </w:rPr>
        <w:t xml:space="preserve">“vi sia un interesse pubblico prevalente alla divulgazione” </w:t>
      </w:r>
      <w:r w:rsidRPr="00634CBB">
        <w:rPr>
          <w:rFonts w:ascii="Garamond" w:hAnsi="Garamond" w:cs="Times New Roman"/>
          <w:color w:val="000000"/>
          <w:sz w:val="22"/>
          <w:szCs w:val="22"/>
        </w:rPr>
        <w:t xml:space="preserve">del documento. </w:t>
      </w:r>
      <w:r w:rsidRPr="00634CBB">
        <w:rPr>
          <w:rFonts w:ascii="Garamond" w:hAnsi="Garamond" w:cs="Times New Roman"/>
          <w:color w:val="000000"/>
          <w:sz w:val="22"/>
          <w:szCs w:val="22"/>
          <w:shd w:val="clear" w:color="auto" w:fill="FFFFFF"/>
        </w:rPr>
        <w:t xml:space="preserve">In tutti questi casi il richiedente l’accesso è ammesso a dimostrare – e l’Istituzione è comunque tenuta a verificare - che, nonostante l’esistenza di un possibile pregiudizio agli interessi indicati dalla norma che possa giustificare l’esclusione, sussiste comunque un </w:t>
      </w:r>
      <w:r w:rsidRPr="00634CBB">
        <w:rPr>
          <w:rFonts w:ascii="Garamond" w:hAnsi="Garamond" w:cs="Times New Roman"/>
          <w:i/>
          <w:color w:val="000000"/>
          <w:sz w:val="22"/>
          <w:szCs w:val="22"/>
          <w:shd w:val="clear" w:color="auto" w:fill="FFFFFF"/>
        </w:rPr>
        <w:t>“interesse pubblico prevalente alla divulgazione”</w:t>
      </w:r>
      <w:r w:rsidRPr="00634CBB">
        <w:rPr>
          <w:rFonts w:ascii="Garamond" w:hAnsi="Garamond" w:cs="Times New Roman"/>
          <w:color w:val="000000"/>
          <w:sz w:val="22"/>
          <w:szCs w:val="22"/>
          <w:shd w:val="clear" w:color="auto" w:fill="FFFFFF"/>
        </w:rPr>
        <w:t xml:space="preserve">. </w:t>
      </w:r>
    </w:p>
  </w:footnote>
  <w:footnote w:id="42">
    <w:p w:rsidR="00A556E5" w:rsidRPr="00634CBB" w:rsidRDefault="00A556E5" w:rsidP="00463DCF">
      <w:pPr>
        <w:pStyle w:val="parar1"/>
        <w:spacing w:before="0" w:beforeAutospacing="0" w:after="0" w:afterAutospacing="0"/>
        <w:ind w:left="851" w:right="851"/>
        <w:jc w:val="both"/>
        <w:rPr>
          <w:rFonts w:ascii="Garamond" w:hAnsi="Garamond"/>
        </w:rPr>
      </w:pPr>
      <w:r w:rsidRPr="00634CBB">
        <w:rPr>
          <w:rStyle w:val="Rimandonotaapidipagina"/>
          <w:rFonts w:ascii="Garamond" w:hAnsi="Garamond"/>
          <w:sz w:val="22"/>
          <w:szCs w:val="22"/>
        </w:rPr>
        <w:footnoteRef/>
      </w:r>
      <w:r w:rsidRPr="00634CBB">
        <w:rPr>
          <w:rFonts w:ascii="Garamond" w:hAnsi="Garamond"/>
          <w:sz w:val="22"/>
          <w:szCs w:val="22"/>
        </w:rPr>
        <w:t xml:space="preserve"> L’art. 1 </w:t>
      </w:r>
      <w:r w:rsidRPr="00634CBB">
        <w:rPr>
          <w:rFonts w:ascii="Garamond" w:hAnsi="Garamond"/>
          <w:color w:val="000000"/>
          <w:sz w:val="22"/>
          <w:szCs w:val="22"/>
        </w:rPr>
        <w:t xml:space="preserve">del </w:t>
      </w:r>
      <w:r w:rsidRPr="00634CBB">
        <w:rPr>
          <w:rFonts w:ascii="Garamond" w:eastAsia="Arial" w:hAnsi="Garamond"/>
          <w:bCs/>
          <w:sz w:val="22"/>
          <w:szCs w:val="22"/>
        </w:rPr>
        <w:t xml:space="preserve">D.Lgs. 19 agosto 2005 n. 195 (di attuazione </w:t>
      </w:r>
      <w:r w:rsidRPr="00634CBB">
        <w:rPr>
          <w:rFonts w:ascii="Garamond" w:hAnsi="Garamond"/>
          <w:color w:val="000000"/>
          <w:sz w:val="22"/>
          <w:szCs w:val="22"/>
        </w:rPr>
        <w:t xml:space="preserve">della Direttiva CE 4/2003 del 28 gennaio 2003 sull'accesso del pubblico all'informazione ambientale) prevede quanto segue: </w:t>
      </w:r>
      <w:r w:rsidRPr="00634CBB">
        <w:rPr>
          <w:rFonts w:ascii="Garamond" w:hAnsi="Garamond"/>
          <w:i/>
          <w:color w:val="000000"/>
          <w:sz w:val="22"/>
          <w:szCs w:val="22"/>
        </w:rPr>
        <w:t>“Finalità -  Il presente decreto, nello stabilire i principi generali in materia di informazione ambientale, è volto a: a) garantire il diritto d'accesso all'informazione ambientale detenuta dalle autorità pubbliche e stabilire i termini, le condizioni fondamentali e le modalità per il suo esercizio; b) garantire, ai fini della più ampia trasparenza, che l'informazione ambientale sia sistematicamente e progressivamente messa a disposizione del pubblico e diffusa, anche attraverso i mezzi di telecomunicazione e gli strumenti informatici, in forme o formati facilmente consultabili, promuovendo a tale fine, in particolare, l'uso delle tecnologie dell'informazione e della comunicazione.”</w:t>
      </w:r>
      <w:r w:rsidRPr="00634CBB">
        <w:rPr>
          <w:rFonts w:ascii="Garamond" w:hAnsi="Garamond"/>
          <w:color w:val="000000"/>
          <w:sz w:val="22"/>
          <w:szCs w:val="22"/>
        </w:rPr>
        <w:t xml:space="preserve">. </w:t>
      </w:r>
    </w:p>
  </w:footnote>
  <w:footnote w:id="43">
    <w:p w:rsidR="00A556E5" w:rsidRPr="00634CBB" w:rsidRDefault="00A556E5" w:rsidP="00A716A6">
      <w:pPr>
        <w:pStyle w:val="Textbody"/>
        <w:spacing w:after="0"/>
        <w:ind w:left="851" w:right="851"/>
        <w:jc w:val="both"/>
        <w:rPr>
          <w:rFonts w:ascii="Garamond" w:hAnsi="Garamond" w:cs="Times New Roman"/>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w:t>
      </w:r>
      <w:r w:rsidRPr="00634CBB">
        <w:rPr>
          <w:rFonts w:ascii="Garamond" w:hAnsi="Garamond" w:cs="Times New Roman"/>
          <w:sz w:val="22"/>
          <w:szCs w:val="22"/>
          <w:lang w:val="it-IT"/>
        </w:rPr>
        <w:t>Nonostante l’apparente chiarezza del dato normativo, l’interpretazione della norma è, infatti, tuttora controversa: accanto ad un orientamento che riconosce il diritto all’informazione ambientale nei limiti e nella misura in cui l’interesse che muove l’istante sia “genuinamente” volto alla tutela dell’ambiente, con conseguente onere della prova a carico del richiedente (Cons. St. sez. III 5 ottobre 2015 n. 4636; sez. V 18 ottobre 2011 n. 5571; sez. V 15 ottobre 2009 n. 6339), si registra altro e più consistente indirizzo secondo il quale la titolarità dell’accesso alle informazioni ambientali spetta, come sancisce lo stesso art. 3, comma 1, D.Lgs. 195/2005, "</w:t>
      </w:r>
      <w:r w:rsidRPr="00634CBB">
        <w:rPr>
          <w:rFonts w:ascii="Garamond" w:hAnsi="Garamond" w:cs="Times New Roman"/>
          <w:i/>
          <w:iCs/>
          <w:sz w:val="22"/>
          <w:szCs w:val="22"/>
          <w:lang w:val="it-IT"/>
        </w:rPr>
        <w:t>a chiunque ne faccia richiesta, senza che questi debba dichiarare il proprio interesse"</w:t>
      </w:r>
      <w:r w:rsidRPr="00634CBB">
        <w:rPr>
          <w:rFonts w:ascii="Garamond" w:hAnsi="Garamond" w:cs="Times New Roman"/>
          <w:sz w:val="22"/>
          <w:szCs w:val="22"/>
          <w:lang w:val="it-IT"/>
        </w:rPr>
        <w:t xml:space="preserve">, da ritenersi </w:t>
      </w:r>
      <w:r w:rsidRPr="00634CBB">
        <w:rPr>
          <w:rFonts w:ascii="Garamond" w:hAnsi="Garamond" w:cs="Times New Roman"/>
          <w:i/>
          <w:sz w:val="22"/>
          <w:szCs w:val="22"/>
          <w:lang w:val="it-IT"/>
        </w:rPr>
        <w:t xml:space="preserve">in re </w:t>
      </w:r>
      <w:proofErr w:type="spellStart"/>
      <w:r w:rsidRPr="00634CBB">
        <w:rPr>
          <w:rFonts w:ascii="Garamond" w:hAnsi="Garamond" w:cs="Times New Roman"/>
          <w:i/>
          <w:sz w:val="22"/>
          <w:szCs w:val="22"/>
          <w:lang w:val="it-IT"/>
        </w:rPr>
        <w:t>ipsa</w:t>
      </w:r>
      <w:proofErr w:type="spellEnd"/>
      <w:r w:rsidRPr="00634CBB">
        <w:rPr>
          <w:rFonts w:ascii="Garamond" w:hAnsi="Garamond" w:cs="Times New Roman"/>
          <w:sz w:val="22"/>
          <w:szCs w:val="22"/>
          <w:lang w:val="it-IT"/>
        </w:rPr>
        <w:t xml:space="preserve"> nell’oggetto stesso della richiesta (Cons. St. sez. IV 7 settembre 2004 n. 5795; T.A.R. Venezia sez. I 27 aprile 2015 n. 450; sez. III 18 novembre 2003 n. 5731 e, da ultimo, C.GA Sicilia 17 gennaio 2018 n. 15). Particolarmente significativa è quest’ultima sentenza, con la quale il Consiglio di Giustizia Amministrativa per la Sicilia precisa che, in questa prospettiva, la circostanza che l’istante sia un imprenditore od un operatore commerciale è del tutto irrilevante, perché ciò che rileva è soltanto l’elemento oggettivo della natura delle informazioni richieste, anche in considerazione del fatto che  </w:t>
      </w:r>
      <w:r w:rsidRPr="00634CBB">
        <w:rPr>
          <w:rFonts w:ascii="Garamond" w:hAnsi="Garamond" w:cs="Times New Roman"/>
          <w:i/>
          <w:sz w:val="22"/>
          <w:szCs w:val="22"/>
          <w:lang w:val="it-IT"/>
        </w:rPr>
        <w:t>“…il particolare interesse imprenditoriale eventualmente sottostante alla richiesta individuale di accesso, lungi dall’essere incompatibile con la finalità di tutela ambientale che le dette norme perseguono, consente al contrario, le quante volte occasionalmente converga con tale finalità, una sua più completa attuazione.”</w:t>
      </w:r>
      <w:r w:rsidRPr="00634CBB">
        <w:rPr>
          <w:rFonts w:ascii="Garamond" w:hAnsi="Garamond" w:cs="Times New Roman"/>
          <w:sz w:val="22"/>
          <w:szCs w:val="22"/>
          <w:lang w:val="it-IT"/>
        </w:rPr>
        <w:t>.</w:t>
      </w:r>
    </w:p>
  </w:footnote>
  <w:footnote w:id="44">
    <w:p w:rsidR="00A556E5" w:rsidRPr="00634CBB" w:rsidRDefault="00A556E5" w:rsidP="00A716A6">
      <w:pPr>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Tra l’amplissima letteratura in materia si ricorda il fondamentale contributo di P. Rescigno, </w:t>
      </w:r>
      <w:r w:rsidRPr="00634CBB">
        <w:rPr>
          <w:rFonts w:ascii="Garamond" w:hAnsi="Garamond" w:cs="Times New Roman"/>
          <w:i/>
          <w:sz w:val="22"/>
          <w:szCs w:val="22"/>
        </w:rPr>
        <w:t>L’abuso del diritto</w:t>
      </w:r>
      <w:r w:rsidRPr="00634CBB">
        <w:rPr>
          <w:rFonts w:ascii="Garamond" w:hAnsi="Garamond" w:cs="Times New Roman"/>
          <w:sz w:val="22"/>
          <w:szCs w:val="22"/>
        </w:rPr>
        <w:t xml:space="preserve">, </w:t>
      </w:r>
      <w:proofErr w:type="spellStart"/>
      <w:r w:rsidRPr="00634CBB">
        <w:rPr>
          <w:rFonts w:ascii="Garamond" w:hAnsi="Garamond" w:cs="Times New Roman"/>
          <w:sz w:val="22"/>
          <w:szCs w:val="22"/>
        </w:rPr>
        <w:t>Riv</w:t>
      </w:r>
      <w:proofErr w:type="spellEnd"/>
      <w:r w:rsidRPr="00634CBB">
        <w:rPr>
          <w:rFonts w:ascii="Garamond" w:hAnsi="Garamond" w:cs="Times New Roman"/>
          <w:sz w:val="22"/>
          <w:szCs w:val="22"/>
        </w:rPr>
        <w:t xml:space="preserve">. Dir. </w:t>
      </w:r>
      <w:proofErr w:type="gramStart"/>
      <w:r w:rsidRPr="00634CBB">
        <w:rPr>
          <w:rFonts w:ascii="Garamond" w:hAnsi="Garamond" w:cs="Times New Roman"/>
          <w:sz w:val="22"/>
          <w:szCs w:val="22"/>
        </w:rPr>
        <w:t>civ.,</w:t>
      </w:r>
      <w:proofErr w:type="gramEnd"/>
      <w:r w:rsidRPr="00634CBB">
        <w:rPr>
          <w:rFonts w:ascii="Garamond" w:hAnsi="Garamond" w:cs="Times New Roman"/>
          <w:sz w:val="22"/>
          <w:szCs w:val="22"/>
        </w:rPr>
        <w:t xml:space="preserve"> 1965 (pagg. 205-290), ove veniva ricordata, tra le altre, la tesi di </w:t>
      </w:r>
      <w:proofErr w:type="spellStart"/>
      <w:r w:rsidRPr="00634CBB">
        <w:rPr>
          <w:rFonts w:ascii="Garamond" w:hAnsi="Garamond" w:cs="Times New Roman"/>
          <w:sz w:val="22"/>
          <w:szCs w:val="22"/>
        </w:rPr>
        <w:t>Roubier</w:t>
      </w:r>
      <w:proofErr w:type="spellEnd"/>
      <w:r w:rsidRPr="00634CBB">
        <w:rPr>
          <w:rFonts w:ascii="Garamond" w:hAnsi="Garamond" w:cs="Times New Roman"/>
          <w:sz w:val="22"/>
          <w:szCs w:val="22"/>
        </w:rPr>
        <w:t>, (</w:t>
      </w:r>
      <w:proofErr w:type="spellStart"/>
      <w:r w:rsidRPr="00634CBB">
        <w:rPr>
          <w:rFonts w:ascii="Garamond" w:hAnsi="Garamond" w:cs="Times New Roman"/>
          <w:i/>
          <w:sz w:val="22"/>
          <w:szCs w:val="22"/>
        </w:rPr>
        <w:t>Les</w:t>
      </w:r>
      <w:proofErr w:type="spellEnd"/>
      <w:r w:rsidRPr="00634CBB">
        <w:rPr>
          <w:rFonts w:ascii="Garamond" w:hAnsi="Garamond" w:cs="Times New Roman"/>
          <w:i/>
          <w:sz w:val="22"/>
          <w:szCs w:val="22"/>
        </w:rPr>
        <w:t xml:space="preserve"> </w:t>
      </w:r>
      <w:proofErr w:type="spellStart"/>
      <w:r w:rsidRPr="00634CBB">
        <w:rPr>
          <w:rFonts w:ascii="Garamond" w:hAnsi="Garamond" w:cs="Times New Roman"/>
          <w:i/>
          <w:sz w:val="22"/>
          <w:szCs w:val="22"/>
        </w:rPr>
        <w:t>prérogatives</w:t>
      </w:r>
      <w:proofErr w:type="spellEnd"/>
      <w:r w:rsidRPr="00634CBB">
        <w:rPr>
          <w:rFonts w:ascii="Garamond" w:hAnsi="Garamond" w:cs="Times New Roman"/>
          <w:i/>
          <w:sz w:val="22"/>
          <w:szCs w:val="22"/>
        </w:rPr>
        <w:t xml:space="preserve"> </w:t>
      </w:r>
      <w:proofErr w:type="spellStart"/>
      <w:r w:rsidRPr="00634CBB">
        <w:rPr>
          <w:rFonts w:ascii="Garamond" w:hAnsi="Garamond" w:cs="Times New Roman"/>
          <w:i/>
          <w:sz w:val="22"/>
          <w:szCs w:val="22"/>
        </w:rPr>
        <w:t>juridiques</w:t>
      </w:r>
      <w:proofErr w:type="spellEnd"/>
      <w:r w:rsidRPr="00634CBB">
        <w:rPr>
          <w:rFonts w:ascii="Garamond" w:hAnsi="Garamond" w:cs="Times New Roman"/>
          <w:sz w:val="22"/>
          <w:szCs w:val="22"/>
        </w:rPr>
        <w:t xml:space="preserve">, in </w:t>
      </w:r>
      <w:r w:rsidRPr="00634CBB">
        <w:rPr>
          <w:rFonts w:ascii="Garamond" w:hAnsi="Garamond" w:cs="Times New Roman"/>
          <w:i/>
          <w:sz w:val="22"/>
          <w:szCs w:val="22"/>
        </w:rPr>
        <w:t xml:space="preserve">Arch. de </w:t>
      </w:r>
      <w:proofErr w:type="spellStart"/>
      <w:r w:rsidRPr="00634CBB">
        <w:rPr>
          <w:rFonts w:ascii="Garamond" w:hAnsi="Garamond" w:cs="Times New Roman"/>
          <w:i/>
          <w:sz w:val="22"/>
          <w:szCs w:val="22"/>
        </w:rPr>
        <w:t>philos</w:t>
      </w:r>
      <w:proofErr w:type="spellEnd"/>
      <w:r w:rsidRPr="00634CBB">
        <w:rPr>
          <w:rFonts w:ascii="Garamond" w:hAnsi="Garamond" w:cs="Times New Roman"/>
          <w:i/>
          <w:sz w:val="22"/>
          <w:szCs w:val="22"/>
        </w:rPr>
        <w:t xml:space="preserve">. </w:t>
      </w:r>
      <w:proofErr w:type="spellStart"/>
      <w:proofErr w:type="gramStart"/>
      <w:r w:rsidRPr="00634CBB">
        <w:rPr>
          <w:rFonts w:ascii="Garamond" w:hAnsi="Garamond" w:cs="Times New Roman"/>
          <w:i/>
          <w:sz w:val="22"/>
          <w:szCs w:val="22"/>
        </w:rPr>
        <w:t>du</w:t>
      </w:r>
      <w:proofErr w:type="spellEnd"/>
      <w:proofErr w:type="gramEnd"/>
      <w:r w:rsidRPr="00634CBB">
        <w:rPr>
          <w:rFonts w:ascii="Garamond" w:hAnsi="Garamond" w:cs="Times New Roman"/>
          <w:i/>
          <w:sz w:val="22"/>
          <w:szCs w:val="22"/>
        </w:rPr>
        <w:t xml:space="preserve"> </w:t>
      </w:r>
      <w:proofErr w:type="spellStart"/>
      <w:r w:rsidRPr="00634CBB">
        <w:rPr>
          <w:rFonts w:ascii="Garamond" w:hAnsi="Garamond" w:cs="Times New Roman"/>
          <w:i/>
          <w:sz w:val="22"/>
          <w:szCs w:val="22"/>
        </w:rPr>
        <w:t>droit</w:t>
      </w:r>
      <w:proofErr w:type="spellEnd"/>
      <w:r w:rsidRPr="00634CBB">
        <w:rPr>
          <w:rFonts w:ascii="Garamond" w:hAnsi="Garamond" w:cs="Times New Roman"/>
          <w:sz w:val="22"/>
          <w:szCs w:val="22"/>
        </w:rPr>
        <w:t>, 1960), secondo il quale “</w:t>
      </w:r>
      <w:r w:rsidRPr="00634CBB">
        <w:rPr>
          <w:rFonts w:ascii="Garamond" w:hAnsi="Garamond" w:cs="Times New Roman"/>
          <w:i/>
          <w:sz w:val="22"/>
          <w:szCs w:val="22"/>
        </w:rPr>
        <w:t>al diritto la legge, che lo ha creato, imprime una determinata finalità particolare; la libertà, invece, costituisce una prerogativa discrezionale, che può esercitarsi in tutte le direzioni, poiché essa è precisamente la libertà”. “Perciò della libertà può esservi un uso eccessivo … dal punto di vista del volume quantitativo accordato alla prerogativa, ma non già un uso abusivo, con riguardo alla direzione qualitativa, impressa alla libertà.”</w:t>
      </w:r>
      <w:r w:rsidRPr="00634CBB">
        <w:rPr>
          <w:rFonts w:ascii="Garamond" w:hAnsi="Garamond" w:cs="Times New Roman"/>
          <w:sz w:val="22"/>
          <w:szCs w:val="22"/>
        </w:rPr>
        <w:t xml:space="preserve">.    </w:t>
      </w:r>
    </w:p>
  </w:footnote>
  <w:footnote w:id="45">
    <w:p w:rsidR="00A556E5" w:rsidRPr="00634CBB" w:rsidRDefault="00A556E5" w:rsidP="00A716A6">
      <w:pPr>
        <w:ind w:left="851" w:right="851"/>
        <w:jc w:val="both"/>
        <w:rPr>
          <w:rFonts w:ascii="Garamond" w:hAnsi="Garamond" w:cs="Times New Roman"/>
          <w:i/>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Il punto sull’evoluzione giurisprudenziale è esaustivamente ricostruito da Cass. civ. sez. III 18 settembre 2009, n. 20106: </w:t>
      </w:r>
      <w:r w:rsidRPr="00634CBB">
        <w:rPr>
          <w:rFonts w:ascii="Garamond" w:hAnsi="Garamond" w:cs="Times New Roman"/>
          <w:i/>
          <w:sz w:val="22"/>
          <w:szCs w:val="22"/>
        </w:rPr>
        <w:t xml:space="preserve">““Oggi, i principi di buona fede oggettiva e dell’abuso del diritto debbono essere selezionati e rivisitati alla luce dei principi costituzionali – funzione sociale ex art. 42 Cost. – e della stessa qualificazione dei diritti soggettivi assoluti. In questa prospettiva i due principi si integrano a vicenda …”. </w:t>
      </w:r>
      <w:r w:rsidRPr="00634CBB">
        <w:rPr>
          <w:rFonts w:ascii="Garamond" w:hAnsi="Garamond" w:cs="Times New Roman"/>
          <w:sz w:val="22"/>
          <w:szCs w:val="22"/>
        </w:rPr>
        <w:t xml:space="preserve">In questi termini, </w:t>
      </w:r>
      <w:r w:rsidRPr="00634CBB">
        <w:rPr>
          <w:rFonts w:ascii="Garamond" w:hAnsi="Garamond" w:cs="Times New Roman"/>
          <w:i/>
          <w:sz w:val="22"/>
          <w:szCs w:val="22"/>
        </w:rPr>
        <w:t>“Il controllo del giudice sul carattere abusivo degli atti di autonomia privata è stato pienamente riconosciuto dalla giurisprudenza consolidata di questa Corte di legittimità</w:t>
      </w:r>
      <w:proofErr w:type="gramStart"/>
      <w:r w:rsidRPr="00634CBB">
        <w:rPr>
          <w:rFonts w:ascii="Garamond" w:hAnsi="Garamond" w:cs="Times New Roman"/>
          <w:i/>
          <w:sz w:val="22"/>
          <w:szCs w:val="22"/>
        </w:rPr>
        <w:t xml:space="preserve"> ..</w:t>
      </w:r>
      <w:proofErr w:type="gramEnd"/>
      <w:r w:rsidRPr="00634CBB">
        <w:rPr>
          <w:rFonts w:ascii="Garamond" w:hAnsi="Garamond" w:cs="Times New Roman"/>
          <w:i/>
          <w:sz w:val="22"/>
          <w:szCs w:val="22"/>
        </w:rPr>
        <w:t>”</w:t>
      </w:r>
      <w:r w:rsidRPr="00634CBB">
        <w:rPr>
          <w:rFonts w:ascii="Garamond" w:hAnsi="Garamond" w:cs="Times New Roman"/>
          <w:sz w:val="22"/>
          <w:szCs w:val="22"/>
        </w:rPr>
        <w:t xml:space="preserve">, al fine di </w:t>
      </w:r>
      <w:r w:rsidRPr="00634CBB">
        <w:rPr>
          <w:rFonts w:ascii="Garamond" w:hAnsi="Garamond" w:cs="Times New Roman"/>
          <w:i/>
          <w:sz w:val="22"/>
          <w:szCs w:val="22"/>
        </w:rPr>
        <w:t>“evitare che il diritto soggettivo … possa sconfinare nell’arbitrio.”</w:t>
      </w:r>
      <w:r w:rsidRPr="00634CBB">
        <w:rPr>
          <w:rFonts w:ascii="Garamond" w:hAnsi="Garamond" w:cs="Times New Roman"/>
          <w:sz w:val="22"/>
          <w:szCs w:val="22"/>
        </w:rPr>
        <w:t>.</w:t>
      </w:r>
    </w:p>
  </w:footnote>
  <w:footnote w:id="46">
    <w:p w:rsidR="00A556E5" w:rsidRPr="00634CBB" w:rsidRDefault="00A556E5" w:rsidP="00A716A6">
      <w:pPr>
        <w:ind w:left="851" w:right="851"/>
        <w:jc w:val="both"/>
        <w:rPr>
          <w:rFonts w:ascii="Garamond" w:hAnsi="Garamond" w:cs="Times New Roman"/>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Come noto, il Codice Civile non contempla un divieto generale </w:t>
      </w:r>
      <w:proofErr w:type="gramStart"/>
      <w:r w:rsidRPr="00634CBB">
        <w:rPr>
          <w:rFonts w:ascii="Garamond" w:hAnsi="Garamond" w:cs="Times New Roman"/>
          <w:sz w:val="22"/>
          <w:szCs w:val="22"/>
        </w:rPr>
        <w:t>di ”abuso</w:t>
      </w:r>
      <w:proofErr w:type="gramEnd"/>
      <w:r w:rsidRPr="00634CBB">
        <w:rPr>
          <w:rFonts w:ascii="Garamond" w:hAnsi="Garamond" w:cs="Times New Roman"/>
          <w:sz w:val="22"/>
          <w:szCs w:val="22"/>
        </w:rPr>
        <w:t xml:space="preserve"> del diritto”. Il progetto ministeriale aveva inizialmente previsto una norma di carattere generale (</w:t>
      </w:r>
      <w:r w:rsidRPr="00634CBB">
        <w:rPr>
          <w:rFonts w:ascii="Garamond" w:hAnsi="Garamond" w:cs="Times New Roman"/>
          <w:i/>
          <w:sz w:val="22"/>
          <w:szCs w:val="22"/>
        </w:rPr>
        <w:t>“Nessuno può esercitare il proprio diritto in contrasto con lo scopo per cui il diritto medesimo gli è conferito.”)</w:t>
      </w:r>
      <w:r w:rsidRPr="00634CBB">
        <w:rPr>
          <w:rFonts w:ascii="Garamond" w:hAnsi="Garamond" w:cs="Times New Roman"/>
          <w:sz w:val="22"/>
          <w:szCs w:val="22"/>
        </w:rPr>
        <w:t>, che però non fu recepita per il timore di vedere compromessa la certezza e la prevedibilità del diritto, stante la latitudine di potere che una siffatta clausola generale avrebbe attribuito al Giudice (cfr. Cass. sez. III 18 settembre 2009, n. 20106).</w:t>
      </w:r>
    </w:p>
  </w:footnote>
  <w:footnote w:id="47">
    <w:p w:rsidR="00A556E5" w:rsidRPr="00634CBB" w:rsidRDefault="00A556E5" w:rsidP="00A716A6">
      <w:pPr>
        <w:pStyle w:val="NormaleWeb"/>
        <w:spacing w:before="0" w:beforeAutospacing="0" w:after="0" w:afterAutospacing="0"/>
        <w:ind w:left="851" w:right="851"/>
        <w:jc w:val="both"/>
        <w:rPr>
          <w:rFonts w:ascii="Garamond" w:hAnsi="Garamond"/>
        </w:rPr>
      </w:pPr>
      <w:r w:rsidRPr="00634CBB">
        <w:rPr>
          <w:rStyle w:val="Rimandonotaapidipagina"/>
          <w:rFonts w:ascii="Garamond" w:hAnsi="Garamond"/>
          <w:sz w:val="22"/>
          <w:szCs w:val="22"/>
        </w:rPr>
        <w:footnoteRef/>
      </w:r>
      <w:r w:rsidRPr="00634CBB">
        <w:rPr>
          <w:rFonts w:ascii="Garamond" w:hAnsi="Garamond"/>
          <w:sz w:val="22"/>
          <w:szCs w:val="22"/>
        </w:rPr>
        <w:t xml:space="preserve"> Cass. civ. sez. III 18 settembre 2009, n. 20106: </w:t>
      </w:r>
      <w:r w:rsidRPr="00634CBB">
        <w:rPr>
          <w:rFonts w:ascii="Garamond" w:hAnsi="Garamond"/>
          <w:i/>
          <w:sz w:val="22"/>
          <w:szCs w:val="22"/>
        </w:rPr>
        <w:t>“</w:t>
      </w:r>
      <w:r w:rsidRPr="00634CBB">
        <w:rPr>
          <w:rFonts w:ascii="Garamond" w:hAnsi="Garamond"/>
          <w:i/>
          <w:color w:val="000000"/>
          <w:sz w:val="22"/>
          <w:szCs w:val="22"/>
        </w:rPr>
        <w:t>Gli elementi costitutivi dell'abuso del diritto - ricostruiti attraverso l'apporto dottrinario e giurisprudenziale - sono i seguenti: 1) la titolarità di un diritto soggettivo in capo ad un soggetto; 2) la possibilità che il concreto esercizio di quel diritto possa essere effettuato secondo una pluralità di modalità non rigidamente predeterminate; 3) la circostanza che tale esercizio concreto, anche se formalmente rispettoso della cornice attributiva di quel diritto, sia svolto secondo modalità censurabili rispetto ad un criterio di valutazione, giuridico od extragiuridico; 4) la circostanza che, a causa di una tale modalità di esercizio, si verifichi una sproporzione ingiustificata tra il beneficio del titolare del diritto ed il sacrifico cui è soggetta la controparte. L'abuso del diritto, quindi, lungi dal presupporre una violazione in senso formale, delinea l'utilizzazione alterata dello schema formale del diritto, finalizzata al conseguimento di obiettivi ulteriori e diversi rispetto a quelli indicati dal Legislatore. E' ravvisabile, in sostanza, quando, nel collegamento tra il potere di autonomia conferito al soggetto ed il suo atto di esercizio, risulti alterata la funzione obiettiva dell'atto rispetto al potere che lo prevede.”</w:t>
      </w:r>
      <w:r w:rsidRPr="00634CBB">
        <w:rPr>
          <w:rFonts w:ascii="Garamond" w:hAnsi="Garamond"/>
          <w:color w:val="000000"/>
          <w:sz w:val="22"/>
          <w:szCs w:val="22"/>
        </w:rPr>
        <w:t>.</w:t>
      </w:r>
    </w:p>
  </w:footnote>
  <w:footnote w:id="48">
    <w:p w:rsidR="00A556E5" w:rsidRPr="00634CBB" w:rsidRDefault="00A556E5" w:rsidP="00463DCF">
      <w:pPr>
        <w:ind w:left="851" w:right="851"/>
        <w:jc w:val="both"/>
        <w:rPr>
          <w:rFonts w:ascii="Garamond" w:hAnsi="Garamond" w:cs="Times New Roman"/>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In proposito, C. Salvi, </w:t>
      </w:r>
      <w:r w:rsidRPr="00634CBB">
        <w:rPr>
          <w:rFonts w:ascii="Garamond" w:hAnsi="Garamond" w:cs="Times New Roman"/>
          <w:i/>
          <w:sz w:val="22"/>
          <w:szCs w:val="22"/>
        </w:rPr>
        <w:t>Abuso del diritto (dir. civ.)</w:t>
      </w:r>
      <w:r w:rsidRPr="00634CBB">
        <w:rPr>
          <w:rFonts w:ascii="Garamond" w:hAnsi="Garamond" w:cs="Times New Roman"/>
          <w:sz w:val="22"/>
          <w:szCs w:val="22"/>
        </w:rPr>
        <w:t xml:space="preserve">, </w:t>
      </w:r>
      <w:proofErr w:type="spellStart"/>
      <w:r w:rsidRPr="00634CBB">
        <w:rPr>
          <w:rFonts w:ascii="Garamond" w:hAnsi="Garamond" w:cs="Times New Roman"/>
          <w:sz w:val="22"/>
          <w:szCs w:val="22"/>
        </w:rPr>
        <w:t>Enc</w:t>
      </w:r>
      <w:proofErr w:type="spellEnd"/>
      <w:r w:rsidRPr="00634CBB">
        <w:rPr>
          <w:rFonts w:ascii="Garamond" w:hAnsi="Garamond" w:cs="Times New Roman"/>
          <w:sz w:val="22"/>
          <w:szCs w:val="22"/>
        </w:rPr>
        <w:t xml:space="preserve">. Giur. Treccani, 1988, rilevava che </w:t>
      </w:r>
      <w:r w:rsidRPr="00634CBB">
        <w:rPr>
          <w:rFonts w:ascii="Garamond" w:hAnsi="Garamond" w:cs="Times New Roman"/>
          <w:i/>
          <w:sz w:val="22"/>
          <w:szCs w:val="22"/>
        </w:rPr>
        <w:t>&lt;&lt;</w:t>
      </w:r>
      <w:proofErr w:type="gramStart"/>
      <w:r w:rsidRPr="00634CBB">
        <w:rPr>
          <w:rFonts w:ascii="Garamond" w:hAnsi="Garamond" w:cs="Times New Roman"/>
          <w:i/>
          <w:sz w:val="22"/>
          <w:szCs w:val="22"/>
        </w:rPr>
        <w:t xml:space="preserve"> ..</w:t>
      </w:r>
      <w:proofErr w:type="gramEnd"/>
      <w:r w:rsidRPr="00634CBB">
        <w:rPr>
          <w:rFonts w:ascii="Garamond" w:hAnsi="Garamond" w:cs="Times New Roman"/>
          <w:i/>
          <w:sz w:val="22"/>
          <w:szCs w:val="22"/>
        </w:rPr>
        <w:t xml:space="preserve"> </w:t>
      </w:r>
      <w:proofErr w:type="gramStart"/>
      <w:r w:rsidRPr="00634CBB">
        <w:rPr>
          <w:rFonts w:ascii="Garamond" w:hAnsi="Garamond" w:cs="Times New Roman"/>
          <w:i/>
          <w:sz w:val="22"/>
          <w:szCs w:val="22"/>
        </w:rPr>
        <w:t>il</w:t>
      </w:r>
      <w:proofErr w:type="gramEnd"/>
      <w:r w:rsidRPr="00634CBB">
        <w:rPr>
          <w:rFonts w:ascii="Garamond" w:hAnsi="Garamond" w:cs="Times New Roman"/>
          <w:i/>
          <w:sz w:val="22"/>
          <w:szCs w:val="22"/>
        </w:rPr>
        <w:t xml:space="preserve"> divieto dell’abuso, per la sua stessa strutturazione tecnica, può implicare infatti un controllo sulla condotta attuativa di una regola formale data e non la modificazione del contenuto della regola medesima. &gt;&gt;</w:t>
      </w:r>
      <w:r w:rsidRPr="00634CBB">
        <w:rPr>
          <w:rFonts w:ascii="Garamond" w:hAnsi="Garamond" w:cs="Times New Roman"/>
          <w:sz w:val="22"/>
          <w:szCs w:val="22"/>
        </w:rPr>
        <w:t xml:space="preserve">, atteso che la tematica dell’abuso </w:t>
      </w:r>
      <w:r w:rsidRPr="00634CBB">
        <w:rPr>
          <w:rFonts w:ascii="Garamond" w:hAnsi="Garamond" w:cs="Times New Roman"/>
          <w:i/>
          <w:sz w:val="22"/>
          <w:szCs w:val="22"/>
        </w:rPr>
        <w:t>&lt;&lt; si riferisce non all’eventuale imposizione di regole di condotta ulteriori rispetto a quelle poste dalle parti o dalla legge; ma al controllo sulle modalità di svolgimento della condotta, oltre l’osservanza formale della “regola”, comunque posta. &gt;&gt;</w:t>
      </w:r>
      <w:r w:rsidRPr="00634CBB">
        <w:rPr>
          <w:rFonts w:ascii="Garamond" w:hAnsi="Garamond" w:cs="Times New Roman"/>
          <w:sz w:val="22"/>
          <w:szCs w:val="22"/>
        </w:rPr>
        <w:t xml:space="preserve"> (pag. 3). In giurisprudenza, il concetto di “limite modale” per l’enucleazione della figura dell’abuso del diritto è chiaramente affermato da Cons. St. </w:t>
      </w:r>
      <w:proofErr w:type="spellStart"/>
      <w:r w:rsidRPr="00634CBB">
        <w:rPr>
          <w:rFonts w:ascii="Garamond" w:hAnsi="Garamond" w:cs="Times New Roman"/>
          <w:sz w:val="22"/>
          <w:szCs w:val="22"/>
        </w:rPr>
        <w:t>a.p</w:t>
      </w:r>
      <w:proofErr w:type="spellEnd"/>
      <w:r w:rsidRPr="00634CBB">
        <w:rPr>
          <w:rFonts w:ascii="Garamond" w:hAnsi="Garamond" w:cs="Times New Roman"/>
          <w:sz w:val="22"/>
          <w:szCs w:val="22"/>
        </w:rPr>
        <w:t>. 23 marzo 2011, n. 3: “</w:t>
      </w:r>
      <w:r w:rsidRPr="00634CBB">
        <w:rPr>
          <w:rFonts w:ascii="Garamond" w:hAnsi="Garamond" w:cs="Times New Roman"/>
          <w:i/>
          <w:color w:val="000000"/>
          <w:sz w:val="22"/>
          <w:szCs w:val="22"/>
        </w:rPr>
        <w:t>Viene così in rilievo una condotta che, pur formalmente conforme al paradigma normativo, disattende il limite modale che impone al titolare di ogni situazione soggettiva di non azionarla con strumenti, sostanziali e processuali, che infliggano all'interlocutore un sacrificio non comparativamente giustificato dal perseguimento di un lecito e ragionevole interesse.”</w:t>
      </w:r>
      <w:r w:rsidRPr="00634CBB">
        <w:rPr>
          <w:rFonts w:ascii="Garamond" w:hAnsi="Garamond" w:cs="Times New Roman"/>
          <w:color w:val="000000"/>
          <w:sz w:val="22"/>
          <w:szCs w:val="22"/>
        </w:rPr>
        <w:t>.</w:t>
      </w:r>
    </w:p>
  </w:footnote>
  <w:footnote w:id="49">
    <w:p w:rsidR="00A556E5" w:rsidRPr="00634CBB" w:rsidRDefault="00A556E5" w:rsidP="00A01717">
      <w:pPr>
        <w:pStyle w:val="Testonotaapidipagina"/>
        <w:ind w:left="851" w:right="851"/>
        <w:rPr>
          <w:rFonts w:ascii="Garamond" w:hAnsi="Garamond" w:cs="Times New Roman"/>
          <w:i/>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Sempre secondo Cass. civ. sez. III n. 2016/2009 cit., la verifica dell</w:t>
      </w:r>
      <w:proofErr w:type="gramStart"/>
      <w:r w:rsidRPr="00634CBB">
        <w:rPr>
          <w:rFonts w:ascii="Garamond" w:hAnsi="Garamond" w:cs="Times New Roman"/>
          <w:sz w:val="22"/>
          <w:szCs w:val="22"/>
        </w:rPr>
        <w:t>’”abuso</w:t>
      </w:r>
      <w:proofErr w:type="gramEnd"/>
      <w:r w:rsidRPr="00634CBB">
        <w:rPr>
          <w:rFonts w:ascii="Garamond" w:hAnsi="Garamond" w:cs="Times New Roman"/>
          <w:sz w:val="22"/>
          <w:szCs w:val="22"/>
        </w:rPr>
        <w:t xml:space="preserve">” </w:t>
      </w:r>
      <w:r w:rsidRPr="00634CBB">
        <w:rPr>
          <w:rFonts w:ascii="Garamond" w:hAnsi="Garamond" w:cs="Times New Roman"/>
          <w:i/>
          <w:sz w:val="22"/>
          <w:szCs w:val="22"/>
        </w:rPr>
        <w:t>“può prescindere dal dolo e dalla specifica intenzione di nuocere: elementi questi tipici degli atti emulativi …”.</w:t>
      </w:r>
    </w:p>
  </w:footnote>
  <w:footnote w:id="50">
    <w:p w:rsidR="00A556E5" w:rsidRPr="00634CBB" w:rsidRDefault="00A556E5" w:rsidP="00A01717">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In questa prospettiva, vedasi U. Natoli, </w:t>
      </w:r>
      <w:r w:rsidRPr="00634CBB">
        <w:rPr>
          <w:rFonts w:ascii="Garamond" w:hAnsi="Garamond" w:cs="Times New Roman"/>
          <w:i/>
          <w:sz w:val="22"/>
          <w:szCs w:val="22"/>
        </w:rPr>
        <w:t>Note preliminari ad una teoria generale dell’abuso del diritto nell’ordinamento giuridico italiano</w:t>
      </w:r>
      <w:r w:rsidRPr="00634CBB">
        <w:rPr>
          <w:rFonts w:ascii="Garamond" w:hAnsi="Garamond" w:cs="Times New Roman"/>
          <w:sz w:val="22"/>
          <w:szCs w:val="22"/>
        </w:rPr>
        <w:t xml:space="preserve">, </w:t>
      </w:r>
      <w:proofErr w:type="spellStart"/>
      <w:r w:rsidRPr="00634CBB">
        <w:rPr>
          <w:rFonts w:ascii="Garamond" w:hAnsi="Garamond" w:cs="Times New Roman"/>
          <w:sz w:val="22"/>
          <w:szCs w:val="22"/>
        </w:rPr>
        <w:t>Riv</w:t>
      </w:r>
      <w:proofErr w:type="spellEnd"/>
      <w:r w:rsidRPr="00634CBB">
        <w:rPr>
          <w:rFonts w:ascii="Garamond" w:hAnsi="Garamond" w:cs="Times New Roman"/>
          <w:sz w:val="22"/>
          <w:szCs w:val="22"/>
        </w:rPr>
        <w:t xml:space="preserve">. Trim. Dir. Proc. </w:t>
      </w:r>
      <w:proofErr w:type="gramStart"/>
      <w:r w:rsidRPr="00634CBB">
        <w:rPr>
          <w:rFonts w:ascii="Garamond" w:hAnsi="Garamond" w:cs="Times New Roman"/>
          <w:sz w:val="22"/>
          <w:szCs w:val="22"/>
        </w:rPr>
        <w:t>Civ.,</w:t>
      </w:r>
      <w:proofErr w:type="gramEnd"/>
      <w:r w:rsidRPr="00634CBB">
        <w:rPr>
          <w:rFonts w:ascii="Garamond" w:hAnsi="Garamond" w:cs="Times New Roman"/>
          <w:sz w:val="22"/>
          <w:szCs w:val="22"/>
        </w:rPr>
        <w:t xml:space="preserve"> 1958 (18 ss.), secondo il quale </w:t>
      </w:r>
      <w:r w:rsidRPr="00634CBB">
        <w:rPr>
          <w:rFonts w:ascii="Garamond" w:hAnsi="Garamond" w:cs="Times New Roman"/>
          <w:i/>
          <w:sz w:val="22"/>
          <w:szCs w:val="22"/>
        </w:rPr>
        <w:t>“la questione … riguarda, … non tanto un comportamento in buona fede, quanto, invece, un comportamento secondo buona fede”</w:t>
      </w:r>
      <w:r w:rsidRPr="00634CBB">
        <w:rPr>
          <w:rFonts w:ascii="Garamond" w:hAnsi="Garamond" w:cs="Times New Roman"/>
          <w:sz w:val="22"/>
          <w:szCs w:val="22"/>
        </w:rPr>
        <w:t>.</w:t>
      </w:r>
    </w:p>
  </w:footnote>
  <w:footnote w:id="51">
    <w:p w:rsidR="00A556E5" w:rsidRPr="00634CBB" w:rsidRDefault="00A556E5" w:rsidP="00506C7E">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L’art. 42, comma 1, del D.Lgs. 97/2016 prevedeva che </w:t>
      </w:r>
      <w:r w:rsidRPr="00634CBB">
        <w:rPr>
          <w:rFonts w:ascii="Garamond" w:hAnsi="Garamond" w:cs="Times New Roman"/>
          <w:i/>
          <w:sz w:val="22"/>
          <w:szCs w:val="22"/>
        </w:rPr>
        <w:t>“</w:t>
      </w:r>
      <w:r w:rsidRPr="00634CBB">
        <w:rPr>
          <w:rFonts w:ascii="Garamond" w:hAnsi="Garamond" w:cs="Times New Roman"/>
          <w:i/>
          <w:color w:val="000000"/>
          <w:sz w:val="22"/>
          <w:szCs w:val="22"/>
        </w:rPr>
        <w:t>I soggetti di cui all'articolo 2-bis del decreto legislativo n. 33 del 2013 si adeguano alle modifiche allo stesso decreto legislativo, introdotte dal presente decreto, e assicurano l'effettivo esercizio del diritto di cui all'articolo 5, comma 2, del decreto legislativo n. 33 del 2013, come modificato dall'articolo 6 del presente decreto, entro sei mesi dalla data di entrata in vigore del presente decreto.”</w:t>
      </w:r>
      <w:r w:rsidRPr="00634CBB">
        <w:rPr>
          <w:rFonts w:ascii="Garamond" w:hAnsi="Garamond" w:cs="Times New Roman"/>
          <w:color w:val="000000"/>
          <w:sz w:val="22"/>
          <w:szCs w:val="22"/>
        </w:rPr>
        <w:t>.</w:t>
      </w:r>
    </w:p>
  </w:footnote>
  <w:footnote w:id="52">
    <w:p w:rsidR="00A556E5" w:rsidRPr="00634CBB" w:rsidRDefault="00A556E5" w:rsidP="00A716A6">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Ci riferiamo, in particolare a due sentenze del T.A.R. Milano (la n. 1951 del 11 ottobre 2017 e la n. 669 del 9 marzo 2018) e ad una del T.A.R. Venezia (la n. 607 del 29 giugno 2017).</w:t>
      </w:r>
    </w:p>
  </w:footnote>
  <w:footnote w:id="53">
    <w:p w:rsidR="00A556E5" w:rsidRPr="00634CBB" w:rsidRDefault="00A556E5" w:rsidP="00C92580">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Come noto, le c.d. richieste “massive o seriali” riguardano il caso in cui il richiedente indica un numero ed una mole considerevole di documenti o presenta più domande entro un periodo di tempo limitato. Ad esempio, nel caso deciso con sentenza n. 669/2018, il T.A.R. Milano ha ritenuto inammissibile, in quanto “abusiva”, un’istanza di accesso civico generalizzato volta ad acquisire copia di n. 50 determinazioni e relativi allegati, facente seguito a numerose istanze (n. 148) presentate dallo stesso soggetto negli ultimi due anni.</w:t>
      </w:r>
    </w:p>
  </w:footnote>
  <w:footnote w:id="54">
    <w:p w:rsidR="00A556E5" w:rsidRPr="00634CBB" w:rsidRDefault="00A556E5" w:rsidP="00A716A6">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Sul punto vedasi, ancora, Cass. civ. sez. III n. 20106/2009 cit.: </w:t>
      </w:r>
      <w:proofErr w:type="gramStart"/>
      <w:r w:rsidRPr="00634CBB">
        <w:rPr>
          <w:rFonts w:ascii="Garamond" w:hAnsi="Garamond" w:cs="Times New Roman"/>
          <w:i/>
          <w:sz w:val="22"/>
          <w:szCs w:val="22"/>
        </w:rPr>
        <w:t>“..</w:t>
      </w:r>
      <w:proofErr w:type="gramEnd"/>
      <w:r w:rsidRPr="00634CBB">
        <w:rPr>
          <w:rFonts w:ascii="Garamond" w:hAnsi="Garamond" w:cs="Times New Roman"/>
          <w:i/>
          <w:sz w:val="22"/>
          <w:szCs w:val="22"/>
        </w:rPr>
        <w:t xml:space="preserve"> </w:t>
      </w:r>
      <w:proofErr w:type="gramStart"/>
      <w:r w:rsidRPr="00634CBB">
        <w:rPr>
          <w:rFonts w:ascii="Garamond" w:hAnsi="Garamond" w:cs="Times New Roman"/>
          <w:i/>
          <w:sz w:val="22"/>
          <w:szCs w:val="22"/>
        </w:rPr>
        <w:t>posto</w:t>
      </w:r>
      <w:proofErr w:type="gramEnd"/>
      <w:r w:rsidRPr="00634CBB">
        <w:rPr>
          <w:rFonts w:ascii="Garamond" w:hAnsi="Garamond" w:cs="Times New Roman"/>
          <w:i/>
          <w:sz w:val="22"/>
          <w:szCs w:val="22"/>
        </w:rPr>
        <w:t xml:space="preserve"> che si verte in tema di interessi contrapposti, .. </w:t>
      </w:r>
      <w:proofErr w:type="gramStart"/>
      <w:r w:rsidRPr="00634CBB">
        <w:rPr>
          <w:rFonts w:ascii="Garamond" w:hAnsi="Garamond" w:cs="Times New Roman"/>
          <w:i/>
          <w:sz w:val="22"/>
          <w:szCs w:val="22"/>
        </w:rPr>
        <w:t>il</w:t>
      </w:r>
      <w:proofErr w:type="gramEnd"/>
      <w:r w:rsidRPr="00634CBB">
        <w:rPr>
          <w:rFonts w:ascii="Garamond" w:hAnsi="Garamond" w:cs="Times New Roman"/>
          <w:i/>
          <w:sz w:val="22"/>
          <w:szCs w:val="22"/>
        </w:rPr>
        <w:t xml:space="preserve"> punto rilevante è quello della proporzionalità dei mezzi usati. Proporzionalità che esprime una certa procedimentalizzazione nell’esercizio del diritto</w:t>
      </w:r>
      <w:proofErr w:type="gramStart"/>
      <w:r w:rsidRPr="00634CBB">
        <w:rPr>
          <w:rFonts w:ascii="Garamond" w:hAnsi="Garamond" w:cs="Times New Roman"/>
          <w:i/>
          <w:sz w:val="22"/>
          <w:szCs w:val="22"/>
        </w:rPr>
        <w:t xml:space="preserve"> ..</w:t>
      </w:r>
      <w:proofErr w:type="gramEnd"/>
      <w:r w:rsidRPr="00634CBB">
        <w:rPr>
          <w:rFonts w:ascii="Garamond" w:hAnsi="Garamond" w:cs="Times New Roman"/>
          <w:i/>
          <w:sz w:val="22"/>
          <w:szCs w:val="22"/>
        </w:rPr>
        <w:t>”</w:t>
      </w:r>
      <w:r w:rsidRPr="00634CBB">
        <w:rPr>
          <w:rFonts w:ascii="Garamond" w:hAnsi="Garamond" w:cs="Times New Roman"/>
          <w:sz w:val="22"/>
          <w:szCs w:val="22"/>
        </w:rPr>
        <w:t>.</w:t>
      </w:r>
    </w:p>
  </w:footnote>
  <w:footnote w:id="55">
    <w:p w:rsidR="00A556E5" w:rsidRPr="00634CBB" w:rsidRDefault="00A556E5" w:rsidP="00A716A6">
      <w:pPr>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Così testualmente la delibera Anac n. 1309/2016: </w:t>
      </w:r>
      <w:r w:rsidRPr="00634CBB">
        <w:rPr>
          <w:rFonts w:ascii="Garamond" w:hAnsi="Garamond" w:cs="Times New Roman"/>
          <w:i/>
          <w:color w:val="000000"/>
          <w:sz w:val="22"/>
          <w:szCs w:val="22"/>
        </w:rPr>
        <w:t>“</w:t>
      </w:r>
      <w:r w:rsidRPr="00634CBB">
        <w:rPr>
          <w:rFonts w:ascii="Garamond" w:hAnsi="Garamond" w:cs="Times New Roman"/>
          <w:i/>
          <w:sz w:val="22"/>
          <w:szCs w:val="22"/>
        </w:rPr>
        <w:t>Affinché l’accesso possa essere rifiutato, il pregiudizio agli interessi considerati dai commi 1 e 2 deve essere concreto quindi deve sussistere un preciso nesso di causalità tra l’accesso e il pregiudizio. L’amministrazione, in altre parole, non può limitarsi a prefigurare il rischio di un pregiudizio in via generica e astratta, ma dovrà: a) indicare chiaramente quale – tra gli interessi elencati all’art. 5 bis, co. 1 e 2 – viene pregiudicato; b) valutare se il pregiudizio (concreto) prefigurato dipende direttamente dalla disclosure dell’informazione richiesta; c) valutare se il pregiudizio conseguente alla disclosure è un evento altamente probabile, e non soltanto possibile.”</w:t>
      </w:r>
      <w:r w:rsidRPr="00634CBB">
        <w:rPr>
          <w:rFonts w:ascii="Garamond" w:hAnsi="Garamond" w:cs="Times New Roman"/>
          <w:sz w:val="22"/>
          <w:szCs w:val="22"/>
        </w:rPr>
        <w:t>.</w:t>
      </w:r>
    </w:p>
  </w:footnote>
  <w:footnote w:id="56">
    <w:p w:rsidR="00A556E5" w:rsidRPr="00634CBB" w:rsidRDefault="00A556E5" w:rsidP="00A716A6">
      <w:pPr>
        <w:pStyle w:val="Standard"/>
        <w:spacing w:before="20" w:after="20"/>
        <w:ind w:left="851" w:right="851"/>
        <w:jc w:val="both"/>
        <w:rPr>
          <w:rFonts w:ascii="Garamond" w:hAnsi="Garamond" w:cs="Times New Roman"/>
          <w:sz w:val="22"/>
          <w:szCs w:val="22"/>
        </w:rPr>
      </w:pPr>
      <w:r w:rsidRPr="00634CBB">
        <w:rPr>
          <w:rStyle w:val="Rimandonotaapidipagina"/>
          <w:rFonts w:ascii="Garamond" w:hAnsi="Garamond" w:cs="Times New Roman"/>
          <w:sz w:val="22"/>
          <w:szCs w:val="22"/>
          <w:lang w:val="it-IT"/>
        </w:rPr>
        <w:footnoteRef/>
      </w:r>
      <w:r w:rsidRPr="00634CBB">
        <w:rPr>
          <w:rFonts w:ascii="Garamond" w:hAnsi="Garamond" w:cs="Times New Roman"/>
          <w:sz w:val="22"/>
          <w:szCs w:val="22"/>
          <w:lang w:val="it-IT"/>
        </w:rPr>
        <w:t xml:space="preserve"> Un modello parzialmente analogo è contemplato dall’art. 4, comma 1, del Regolamento CE 30 maggio 2001 n. 1049/2001 (Regolamento relativo all’accesso del pubblico ai documenti del Parlamento europeo, del Consiglio e della Commissione), che prevede quanto segue: “</w:t>
      </w:r>
      <w:r w:rsidRPr="00634CBB">
        <w:rPr>
          <w:rFonts w:ascii="Garamond" w:hAnsi="Garamond" w:cs="Times New Roman"/>
          <w:i/>
          <w:color w:val="000000"/>
          <w:sz w:val="22"/>
          <w:szCs w:val="22"/>
          <w:lang w:val="it-IT"/>
        </w:rPr>
        <w:t>Le istituzioni rifiutano l'accesso a un documento la cui divulgazione arrechi pregiudizio alla tutela di quanto segue: a) l'interesse pubblico, in ordine: - alla sicurezza pubblica, - alla difesa e alle questioni militari, - alle relazioni internazionali, - alla politica finanziaria, monetaria o economica della Comunità o di uno Stato membro; b) la vita privata e l'integrità dell'individuo, in particolare in conformità con la legislazione comunitaria sulla protezione dei dati personali.”</w:t>
      </w:r>
      <w:r w:rsidRPr="00634CBB">
        <w:rPr>
          <w:rFonts w:ascii="Garamond" w:hAnsi="Garamond" w:cs="Times New Roman"/>
          <w:color w:val="000000"/>
          <w:sz w:val="22"/>
          <w:szCs w:val="22"/>
          <w:lang w:val="it-IT"/>
        </w:rPr>
        <w:t xml:space="preserve">. L’analogia con l’accesso civico italiano è soltanto parziale, perché in quel caso l’Istituzione europea può avvalersi di “presunzioni di carattere generale che si applicano a determinate categorie di documenti” (ancorchè verificandone la congruità con il caso di specie), mentre, al di fuori di tali presunzioni, l’Istituzione ha l’onere di dimostrare come l’accesso al documento possa arrecare “concretamente e </w:t>
      </w:r>
      <w:r w:rsidRPr="00634CBB">
        <w:rPr>
          <w:rFonts w:ascii="Garamond" w:hAnsi="Garamond" w:cs="Times New Roman"/>
          <w:sz w:val="22"/>
          <w:szCs w:val="22"/>
          <w:lang w:val="it-IT"/>
        </w:rPr>
        <w:t>ed effettivamente” un pregiudizio all’interesse pubblico tutelato dalla norma (Corte Giustizia UE 1 luglio 2008 – cause C-39/05 e C-52/05, p. 49-50 e  Corte di Giustizia Ue Grande sezione 29 giugno 2010 – causa C-139/07), ovvero se il rischio di arrecare un pregiudizio è “ragionevolmente prevedibile e non meramente ipotetico” (Trib. UE 13 aprile 2005 – causa T 2/03, p. 69). Discorso a parte riguarda la tutela dei dati personali, per i quali trova applicazione l’art. 8 del Regolamento CE 18 dicembre 2000, n. 45 (</w:t>
      </w:r>
      <w:r w:rsidRPr="00634CBB">
        <w:rPr>
          <w:rFonts w:ascii="Garamond" w:hAnsi="Garamond" w:cs="Times New Roman"/>
          <w:i/>
          <w:color w:val="000000"/>
          <w:sz w:val="22"/>
          <w:szCs w:val="22"/>
          <w:lang w:val="it-IT"/>
        </w:rPr>
        <w:t>Regolamento concernente la tutela delle persone fisiche in relazione al trattamento dei dati personali da parte delle Istituzioni e degli organi comunitari, nonché la libera circolazione di tali dati</w:t>
      </w:r>
      <w:r w:rsidRPr="00634CBB">
        <w:rPr>
          <w:rFonts w:ascii="Garamond" w:hAnsi="Garamond" w:cs="Times New Roman"/>
          <w:color w:val="000000"/>
          <w:sz w:val="22"/>
          <w:szCs w:val="22"/>
          <w:lang w:val="it-IT"/>
        </w:rPr>
        <w:t>). Il discorso sulle analogie e sulle diversità rispetto alla disciplina nazionale è complesso meriterebbe una separata trattazione.</w:t>
      </w:r>
    </w:p>
  </w:footnote>
  <w:footnote w:id="57">
    <w:p w:rsidR="00A556E5" w:rsidRPr="00634CBB" w:rsidRDefault="00A556E5" w:rsidP="00B90886">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rPr>
        <w:footnoteRef/>
      </w:r>
      <w:r w:rsidRPr="00634CBB">
        <w:rPr>
          <w:rFonts w:ascii="Garamond" w:hAnsi="Garamond" w:cs="Times New Roman"/>
        </w:rPr>
        <w:t xml:space="preserve"> </w:t>
      </w:r>
      <w:r w:rsidRPr="00634CBB">
        <w:rPr>
          <w:rFonts w:ascii="Garamond" w:hAnsi="Garamond" w:cs="Times New Roman"/>
          <w:sz w:val="22"/>
          <w:szCs w:val="22"/>
        </w:rPr>
        <w:t xml:space="preserve">L’art. 5-bis, comma 2, del D.Lgs. 33/2013 prevede che </w:t>
      </w:r>
      <w:r w:rsidRPr="00634CBB">
        <w:rPr>
          <w:rFonts w:ascii="Garamond" w:hAnsi="Garamond" w:cs="Times New Roman"/>
          <w:i/>
          <w:sz w:val="22"/>
          <w:szCs w:val="22"/>
        </w:rPr>
        <w:t xml:space="preserve">“L’accesso di cui all’articolo 5, comma 2, è altresì rifiutato se il diniego è necessario per evitare un pregiudizio concreto alla tutela di uno dei seguenti interessi privati: a) la protezione dei dati personali, in conformità con la disciplina legislativa in </w:t>
      </w:r>
      <w:proofErr w:type="gramStart"/>
      <w:r w:rsidRPr="00634CBB">
        <w:rPr>
          <w:rFonts w:ascii="Garamond" w:hAnsi="Garamond" w:cs="Times New Roman"/>
          <w:i/>
          <w:sz w:val="22"/>
          <w:szCs w:val="22"/>
        </w:rPr>
        <w:t>materia; ..</w:t>
      </w:r>
      <w:proofErr w:type="gramEnd"/>
      <w:r w:rsidRPr="00634CBB">
        <w:rPr>
          <w:rFonts w:ascii="Garamond" w:hAnsi="Garamond" w:cs="Times New Roman"/>
          <w:i/>
          <w:sz w:val="22"/>
          <w:szCs w:val="22"/>
        </w:rPr>
        <w:t>”</w:t>
      </w:r>
      <w:r w:rsidRPr="00634CBB">
        <w:rPr>
          <w:rFonts w:ascii="Garamond" w:hAnsi="Garamond" w:cs="Times New Roman"/>
          <w:sz w:val="22"/>
          <w:szCs w:val="22"/>
        </w:rPr>
        <w:t>.</w:t>
      </w:r>
    </w:p>
  </w:footnote>
  <w:footnote w:id="58">
    <w:p w:rsidR="00A556E5" w:rsidRPr="00634CBB" w:rsidRDefault="00A556E5" w:rsidP="0040110F">
      <w:pPr>
        <w:pStyle w:val="Standard"/>
        <w:spacing w:before="20" w:after="20"/>
        <w:ind w:left="851" w:right="851"/>
        <w:jc w:val="both"/>
        <w:rPr>
          <w:rFonts w:ascii="Garamond" w:hAnsi="Garamond" w:cs="Times New Roman"/>
          <w:sz w:val="22"/>
          <w:szCs w:val="22"/>
          <w:lang w:val="it-IT"/>
        </w:rPr>
      </w:pPr>
      <w:r w:rsidRPr="00634CBB">
        <w:rPr>
          <w:rStyle w:val="Rimandonotaapidipagina"/>
          <w:rFonts w:ascii="Garamond" w:hAnsi="Garamond" w:cs="Times New Roman"/>
          <w:sz w:val="22"/>
          <w:szCs w:val="22"/>
          <w:lang w:val="it-IT"/>
        </w:rPr>
        <w:footnoteRef/>
      </w:r>
      <w:r w:rsidRPr="00634CBB">
        <w:rPr>
          <w:rFonts w:ascii="Garamond" w:hAnsi="Garamond" w:cs="Times New Roman"/>
          <w:color w:val="000000"/>
          <w:sz w:val="22"/>
          <w:szCs w:val="22"/>
          <w:lang w:val="it-IT"/>
        </w:rPr>
        <w:t xml:space="preserve"> Con il parere reso sullo schema di decreto legislativo il Garante per la privacy rilevava che </w:t>
      </w:r>
      <w:r w:rsidRPr="00634CBB">
        <w:rPr>
          <w:rFonts w:ascii="Garamond" w:hAnsi="Garamond" w:cs="Times New Roman"/>
          <w:i/>
          <w:color w:val="000000"/>
          <w:sz w:val="22"/>
          <w:szCs w:val="22"/>
          <w:lang w:val="it-IT"/>
        </w:rPr>
        <w:t xml:space="preserve">“… </w:t>
      </w:r>
      <w:r w:rsidRPr="00634CBB">
        <w:rPr>
          <w:rFonts w:ascii="Garamond" w:hAnsi="Garamond" w:cs="Times New Roman"/>
          <w:i/>
          <w:sz w:val="22"/>
          <w:szCs w:val="22"/>
          <w:lang w:val="it-IT"/>
        </w:rPr>
        <w:t>appare coerente con il sistema che i limiti imposti dal rispetto della protezione dei dati personali per l'accesso agli atti amministrativi ai sensi della l. n. 241/1990, siano pienamente efficaci anche per coloro che inoltrano richieste di accesso civico ai sensi del d.lgs. n. 33/2013.”</w:t>
      </w:r>
      <w:r w:rsidRPr="00634CBB">
        <w:rPr>
          <w:rFonts w:ascii="Garamond" w:hAnsi="Garamond" w:cs="Times New Roman"/>
          <w:sz w:val="22"/>
          <w:szCs w:val="22"/>
          <w:lang w:val="it-IT"/>
        </w:rPr>
        <w:t xml:space="preserve"> (</w:t>
      </w:r>
      <w:proofErr w:type="gramStart"/>
      <w:r w:rsidRPr="00634CBB">
        <w:rPr>
          <w:rFonts w:ascii="Garamond" w:hAnsi="Garamond" w:cs="Times New Roman"/>
          <w:sz w:val="22"/>
          <w:szCs w:val="22"/>
          <w:lang w:val="it-IT"/>
        </w:rPr>
        <w:t>par.</w:t>
      </w:r>
      <w:proofErr w:type="gramEnd"/>
      <w:r w:rsidRPr="00634CBB">
        <w:rPr>
          <w:rFonts w:ascii="Garamond" w:hAnsi="Garamond" w:cs="Times New Roman"/>
          <w:sz w:val="22"/>
          <w:szCs w:val="22"/>
          <w:lang w:val="it-IT"/>
        </w:rPr>
        <w:t xml:space="preserve"> n. 92 del 3 marzo 2016). La tesi è stata ribadita anche dopo l’entrata in vigore della riforma del D.Lgs. 33/2013 con parere n. 459 del 09 novembre 2017 (doc. web 7156608). Secondo l’Anac, laddove la P.A. neghi l’accesso documentale adducendo motivi di esclusione ex art. 24 L. 241/90, per ragioni di coerenza sistematica dovrebbe tendenzialmente negare anche l’accesso generalizzato ai sensi dell’art. 5-bis D.Lgs. 33/2013 (Del. n. 1309/2016 cit.). Nello stesso senso anche A. Porporato, </w:t>
      </w:r>
      <w:r w:rsidRPr="00634CBB">
        <w:rPr>
          <w:rFonts w:ascii="Garamond" w:hAnsi="Garamond" w:cs="Times New Roman"/>
          <w:i/>
          <w:sz w:val="22"/>
          <w:szCs w:val="22"/>
          <w:lang w:val="it-IT"/>
        </w:rPr>
        <w:t>Il nuovo accesso civico generalizzato introdotto dal d.lgs. 25 maggio 2016, n. 97 attuativo della riforma Madia e i modelli di riferimento</w:t>
      </w:r>
      <w:r w:rsidRPr="00634CBB">
        <w:rPr>
          <w:rFonts w:ascii="Garamond" w:hAnsi="Garamond" w:cs="Times New Roman"/>
          <w:sz w:val="22"/>
          <w:szCs w:val="22"/>
          <w:lang w:val="it-IT"/>
        </w:rPr>
        <w:t xml:space="preserve">, www.federalismi.it, n. 12/2017 (pag. 12). In giurisprudenza, vedasi T.A.R. Venezia sez. I 10 maggio 2017, n. 463, secondo il quale </w:t>
      </w:r>
      <w:r w:rsidRPr="00634CBB">
        <w:rPr>
          <w:rFonts w:ascii="Garamond" w:hAnsi="Garamond" w:cs="Times New Roman"/>
          <w:i/>
          <w:sz w:val="22"/>
          <w:szCs w:val="22"/>
          <w:lang w:val="it-IT"/>
        </w:rPr>
        <w:t>“In sostanza, l’accesso civico non può essere utilizzato per superare, in particolare in materia di interessi personali e dei principi della riservatezza, i limiti imposti dalla legge 241 del 1990.”</w:t>
      </w:r>
      <w:r w:rsidRPr="00634CBB">
        <w:rPr>
          <w:rFonts w:ascii="Garamond" w:hAnsi="Garamond" w:cs="Times New Roman"/>
          <w:sz w:val="22"/>
          <w:szCs w:val="22"/>
          <w:lang w:val="it-IT"/>
        </w:rPr>
        <w:t xml:space="preserve">. </w:t>
      </w:r>
    </w:p>
    <w:p w:rsidR="00A556E5" w:rsidRPr="00634CBB" w:rsidRDefault="00A556E5" w:rsidP="0040110F">
      <w:pPr>
        <w:pStyle w:val="Testonotaapidipagina"/>
        <w:rPr>
          <w:rFonts w:ascii="Garamond" w:hAnsi="Garamond" w:cs="Times New Roman"/>
        </w:rPr>
      </w:pPr>
    </w:p>
  </w:footnote>
  <w:footnote w:id="59">
    <w:p w:rsidR="00A556E5" w:rsidRPr="00634CBB" w:rsidRDefault="00A556E5" w:rsidP="00463DCF">
      <w:pPr>
        <w:pStyle w:val="parar1"/>
        <w:spacing w:before="0" w:beforeAutospacing="0" w:after="0" w:afterAutospacing="0"/>
        <w:ind w:left="851" w:right="851"/>
        <w:jc w:val="both"/>
        <w:rPr>
          <w:rFonts w:ascii="Garamond" w:hAnsi="Garamond"/>
          <w:sz w:val="22"/>
          <w:szCs w:val="22"/>
        </w:rPr>
      </w:pPr>
      <w:r w:rsidRPr="00634CBB">
        <w:rPr>
          <w:rStyle w:val="Rimandonotaapidipagina"/>
          <w:rFonts w:ascii="Garamond" w:hAnsi="Garamond"/>
          <w:sz w:val="22"/>
          <w:szCs w:val="22"/>
        </w:rPr>
        <w:footnoteRef/>
      </w:r>
      <w:r w:rsidRPr="00634CBB">
        <w:rPr>
          <w:rFonts w:ascii="Garamond" w:hAnsi="Garamond"/>
          <w:sz w:val="22"/>
          <w:szCs w:val="22"/>
        </w:rPr>
        <w:t xml:space="preserve"> Il 154° “considerando” del Regolamento UE n. 2016/679 prevede che </w:t>
      </w:r>
      <w:r w:rsidRPr="00634CBB">
        <w:rPr>
          <w:rFonts w:ascii="Garamond" w:hAnsi="Garamond"/>
          <w:i/>
          <w:sz w:val="22"/>
          <w:szCs w:val="22"/>
        </w:rPr>
        <w:t>“</w:t>
      </w:r>
      <w:r w:rsidRPr="00634CBB">
        <w:rPr>
          <w:rFonts w:ascii="Garamond" w:hAnsi="Garamond"/>
          <w:i/>
          <w:color w:val="000000"/>
          <w:sz w:val="22"/>
          <w:szCs w:val="22"/>
        </w:rPr>
        <w:t>Il presente regolamento ammette, nell'applicazione delle sue disposizioni, che si tenga conto del principio del pubblico accesso ai documenti ufficiali. L'accesso del pubblico ai documenti ufficiali può essere considerato di interesse pubblico. I dati personali contenuti in documenti conservati da un'autorità pubblica o da un organismo pubblico dovrebbero poter essere diffusi da detta autorità o organismo se la diffusione è prevista dal diritto dell'Unione o degli Stati membri cui l'autorità pubblica o l'organismo pubblico sono soggetti. Tali disposizioni legislative dovrebbero conciliare l'accesso del pubblico ai documenti ufficiali e il riutilizzo delle informazioni del settore pubblico con il diritto alla protezione dei dati personali e possono quindi prevedere la necessaria conciliazione con il diritto alla protezione dei dati personali, in conformità del presente regolamento. Il riferimento alle autorità pubbliche e agli organismi pubblici dovrebbe comprendere, in tale contesto, tutte le autorità o altri organismi cui si applica il diritto degli Stati membri sull'accesso del pubblico ai documenti. La direttiva 2003/98/CE del Parlamento europeo e del Consiglio non pregiudica in alcun modo il livello di tutela delle persone fisiche con riguardo al trattamento dei dati personali ai sensi delle disposizioni di diritto dell'Unione e degli Stati membri e non modifica, in particolare, gli obblighi e i diritti previsti dal presente regolamento. Nello specifico, tale direttiva non dovrebbe applicarsi ai documenti il cui accesso è escluso o limitato in virtù dei regimi di accesso per motivi di protezione dei dati personali, e a parti di documenti accessibili in virtù di tali regimi che contengono dati personali il cui riutilizzo è stato previsto per legge come incompatibile con la normativa in materia di tutela delle persone fisiche con riguardo al trattamento dei dati personali.”</w:t>
      </w:r>
      <w:r w:rsidRPr="00634CBB">
        <w:rPr>
          <w:rFonts w:ascii="Garamond" w:hAnsi="Garamond"/>
          <w:color w:val="000000"/>
          <w:sz w:val="22"/>
          <w:szCs w:val="22"/>
        </w:rPr>
        <w:t xml:space="preserve">. L’art. 6, comma 1, lett. e) stabilisce che </w:t>
      </w:r>
      <w:r w:rsidRPr="00634CBB">
        <w:rPr>
          <w:rFonts w:ascii="Garamond" w:hAnsi="Garamond"/>
          <w:i/>
          <w:color w:val="000000"/>
          <w:sz w:val="22"/>
          <w:szCs w:val="22"/>
        </w:rPr>
        <w:t>“Il trattamento è lecito solo se e nella misura in cui ricorre almeno una delle seguenti condizioni: […]  e) il trattamento è necessario per l'esecuzione di un compito di interesse pubblico o connesso all'esercizio di pubblici poteri di cui è investito il titolare del trattamento;”</w:t>
      </w:r>
      <w:r w:rsidRPr="00634CBB">
        <w:rPr>
          <w:rFonts w:ascii="Garamond" w:hAnsi="Garamond"/>
          <w:color w:val="000000"/>
          <w:sz w:val="22"/>
          <w:szCs w:val="22"/>
        </w:rPr>
        <w:t xml:space="preserve">. L’art. 9, comma 2, prevede che il divieto di trattamento dei dati sensibilissimi (previsto dal comma 1), non si applica se </w:t>
      </w:r>
      <w:r w:rsidRPr="00634CBB">
        <w:rPr>
          <w:rFonts w:ascii="Garamond" w:hAnsi="Garamond"/>
          <w:i/>
          <w:color w:val="000000"/>
          <w:sz w:val="22"/>
          <w:szCs w:val="22"/>
        </w:rPr>
        <w:t>“</w:t>
      </w:r>
      <w:proofErr w:type="gramStart"/>
      <w:r w:rsidRPr="00634CBB">
        <w:rPr>
          <w:rFonts w:ascii="Garamond" w:hAnsi="Garamond"/>
          <w:i/>
          <w:color w:val="000000"/>
          <w:sz w:val="22"/>
          <w:szCs w:val="22"/>
        </w:rPr>
        <w:t>g)  il</w:t>
      </w:r>
      <w:proofErr w:type="gramEnd"/>
      <w:r w:rsidRPr="00634CBB">
        <w:rPr>
          <w:rFonts w:ascii="Garamond" w:hAnsi="Garamond"/>
          <w:i/>
          <w:color w:val="000000"/>
          <w:sz w:val="22"/>
          <w:szCs w:val="22"/>
        </w:rPr>
        <w:t xml:space="preserve">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r w:rsidRPr="00634CBB">
        <w:rPr>
          <w:rFonts w:ascii="Garamond" w:hAnsi="Garamond"/>
          <w:color w:val="000000"/>
          <w:sz w:val="22"/>
          <w:szCs w:val="22"/>
        </w:rPr>
        <w:t xml:space="preserve">. L’art. 85, comma 1, sancisce che </w:t>
      </w:r>
      <w:r w:rsidRPr="00634CBB">
        <w:rPr>
          <w:rFonts w:ascii="Garamond" w:hAnsi="Garamond"/>
          <w:i/>
          <w:color w:val="000000"/>
          <w:sz w:val="22"/>
          <w:szCs w:val="22"/>
        </w:rPr>
        <w:t>“Il diritto degli Stati membri concilia la protezione dei dati personali ai sensi del presente regolamento con il diritto alla libertà d'espressione e di informazione, incluso il trattamento a scopi giornalistici o di espressione accademica, artistica o letteraria.”.</w:t>
      </w:r>
      <w:r w:rsidRPr="00634CBB">
        <w:rPr>
          <w:rFonts w:ascii="Garamond" w:hAnsi="Garamond"/>
          <w:color w:val="000000"/>
          <w:sz w:val="22"/>
          <w:szCs w:val="22"/>
        </w:rPr>
        <w:t xml:space="preserve"> Il successivo art. 86 (Trattamento e accesso del pubblico ai documenti ufficiali) dispone che </w:t>
      </w:r>
      <w:r w:rsidRPr="00634CBB">
        <w:rPr>
          <w:rFonts w:ascii="Garamond" w:hAnsi="Garamond"/>
          <w:i/>
          <w:color w:val="000000"/>
          <w:sz w:val="22"/>
          <w:szCs w:val="22"/>
        </w:rPr>
        <w:t>“I dati personali contenuti in documenti ufficiali in possesso di un'autorità pubblica o di un organismo pubblico o privato per l'esecuzione di un compito svolto nell'interesse pubblico possono essere comunicati da tale autorità o organismo conformemente al diritto dell'Unione o degli Stati membri cui l'autorità pubblica o l'organismo pubblico sono soggetti, al fine di conciliare l'accesso del pubblico ai documenti ufficiali e il diritto alla protezione dei dati personali ai sensi del presente regolamento.”</w:t>
      </w:r>
      <w:r w:rsidRPr="00634CBB">
        <w:rPr>
          <w:rFonts w:ascii="Garamond" w:hAnsi="Garamond"/>
          <w:color w:val="000000"/>
          <w:sz w:val="22"/>
          <w:szCs w:val="22"/>
        </w:rPr>
        <w:t>.</w:t>
      </w:r>
    </w:p>
  </w:footnote>
  <w:footnote w:id="60">
    <w:p w:rsidR="00A556E5" w:rsidRPr="00634CBB" w:rsidRDefault="00A556E5" w:rsidP="00A716A6">
      <w:pPr>
        <w:pStyle w:val="Default"/>
        <w:ind w:left="851" w:right="851"/>
        <w:jc w:val="both"/>
        <w:rPr>
          <w:rFonts w:ascii="Garamond" w:hAnsi="Garamond" w:cs="Times New Roman"/>
          <w:lang w:val="de-DE"/>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Vedasi l’art. 4, comma 4, della Direttiva CE 28 gennaio 2003, n. 4 in tema di accesso alle informazioni ambientali (</w:t>
      </w:r>
      <w:r w:rsidRPr="00634CBB">
        <w:rPr>
          <w:rFonts w:ascii="Garamond" w:hAnsi="Garamond" w:cs="Times New Roman"/>
          <w:i/>
          <w:sz w:val="22"/>
          <w:szCs w:val="22"/>
        </w:rPr>
        <w:t xml:space="preserve">“L'informazione ambientale detenuta dalle autorità pubbliche o per loro conto e oggetto di richiesta è messa a disposizione in maniera parziale quando è possibile estrarre dal resto dell'informazione richiesta le informazioni indicate al paragrafo 1, lettere d) ed e), o al paragrafo </w:t>
      </w:r>
      <w:proofErr w:type="gramStart"/>
      <w:r w:rsidRPr="00634CBB">
        <w:rPr>
          <w:rFonts w:ascii="Garamond" w:hAnsi="Garamond" w:cs="Times New Roman"/>
          <w:i/>
          <w:sz w:val="22"/>
          <w:szCs w:val="22"/>
        </w:rPr>
        <w:t>2.“</w:t>
      </w:r>
      <w:proofErr w:type="gramEnd"/>
      <w:r w:rsidRPr="00634CBB">
        <w:rPr>
          <w:rFonts w:ascii="Garamond" w:hAnsi="Garamond" w:cs="Times New Roman"/>
          <w:sz w:val="22"/>
          <w:szCs w:val="22"/>
        </w:rPr>
        <w:t xml:space="preserve">), che ha trovato attuazione con l’art. </w:t>
      </w:r>
      <w:r w:rsidRPr="00634CBB">
        <w:rPr>
          <w:rFonts w:ascii="Garamond" w:hAnsi="Garamond" w:cs="Times New Roman"/>
          <w:color w:val="000000" w:themeColor="text1"/>
          <w:sz w:val="22"/>
          <w:szCs w:val="22"/>
        </w:rPr>
        <w:t>5, comma 5, del D.Lgs. 195/2005</w:t>
      </w:r>
      <w:r w:rsidRPr="00634CBB">
        <w:rPr>
          <w:rFonts w:ascii="Garamond" w:hAnsi="Garamond" w:cs="Times New Roman"/>
          <w:bCs/>
          <w:sz w:val="22"/>
          <w:szCs w:val="22"/>
        </w:rPr>
        <w:t xml:space="preserve"> (</w:t>
      </w:r>
      <w:r w:rsidRPr="00634CBB">
        <w:rPr>
          <w:rFonts w:ascii="Garamond" w:hAnsi="Garamond" w:cs="Times New Roman"/>
          <w:bCs/>
          <w:i/>
          <w:sz w:val="22"/>
          <w:szCs w:val="22"/>
        </w:rPr>
        <w:t>“</w:t>
      </w:r>
      <w:r w:rsidRPr="00634CBB">
        <w:rPr>
          <w:rFonts w:ascii="Garamond" w:hAnsi="Garamond" w:cs="Times New Roman"/>
          <w:i/>
          <w:sz w:val="22"/>
          <w:szCs w:val="22"/>
        </w:rPr>
        <w:t>Nei casi di cui al comma 1, lettere d) ed e), ed al comma 2, l'autorità pubblica dispone un accesso parziale, a favore del richiedente, qualora sia possibile espungere dall'informazione richiesta le informazioni escluse dal diritto di accesso ai sensi dei citati commi 1 e 2.”</w:t>
      </w:r>
      <w:r w:rsidRPr="00634CBB">
        <w:rPr>
          <w:rFonts w:ascii="Garamond" w:hAnsi="Garamond" w:cs="Times New Roman"/>
          <w:bCs/>
          <w:i/>
          <w:sz w:val="22"/>
          <w:szCs w:val="22"/>
        </w:rPr>
        <w:t xml:space="preserve">). </w:t>
      </w:r>
      <w:r w:rsidRPr="00634CBB">
        <w:rPr>
          <w:rFonts w:ascii="Garamond" w:hAnsi="Garamond" w:cs="Times New Roman"/>
          <w:bCs/>
          <w:sz w:val="22"/>
          <w:szCs w:val="22"/>
        </w:rPr>
        <w:t xml:space="preserve">Vedasi, inoltre, l’art. 4, comma 6, del Regolamento CE </w:t>
      </w:r>
      <w:r w:rsidRPr="00634CBB">
        <w:rPr>
          <w:rFonts w:ascii="Garamond" w:hAnsi="Garamond" w:cs="Times New Roman"/>
          <w:sz w:val="22"/>
          <w:szCs w:val="22"/>
        </w:rPr>
        <w:t xml:space="preserve">30 maggio 2001 n. 1049/2001 (Regolamento relativo all’accesso del pubblico ai documenti del Parlamento europeo, del Consiglio e della Commissione), per il quale </w:t>
      </w:r>
      <w:r w:rsidRPr="00634CBB">
        <w:rPr>
          <w:rFonts w:ascii="Garamond" w:hAnsi="Garamond" w:cs="Times New Roman"/>
          <w:i/>
          <w:sz w:val="22"/>
          <w:szCs w:val="22"/>
        </w:rPr>
        <w:t>“Se solo alcune delle parti del documento richiesto sono interessate da una delle eccezioni, le parti restanti del documento sono divulgate.”</w:t>
      </w:r>
      <w:r w:rsidRPr="00634CBB">
        <w:rPr>
          <w:rFonts w:ascii="Garamond" w:hAnsi="Garamond" w:cs="Times New Roman"/>
          <w:sz w:val="22"/>
          <w:szCs w:val="22"/>
        </w:rPr>
        <w:t>.</w:t>
      </w:r>
    </w:p>
  </w:footnote>
  <w:footnote w:id="61">
    <w:p w:rsidR="00A556E5" w:rsidRPr="00634CBB" w:rsidRDefault="00A556E5" w:rsidP="000B7919">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w:t>
      </w:r>
      <w:r w:rsidRPr="00634CBB">
        <w:rPr>
          <w:rFonts w:ascii="Garamond" w:hAnsi="Garamond" w:cs="Times New Roman"/>
          <w:color w:val="000000"/>
          <w:sz w:val="22"/>
          <w:szCs w:val="22"/>
        </w:rPr>
        <w:t xml:space="preserve">Sul punto Anac rileva quanto segue: </w:t>
      </w:r>
      <w:r w:rsidRPr="00634CBB">
        <w:rPr>
          <w:rFonts w:ascii="Garamond" w:hAnsi="Garamond" w:cs="Times New Roman"/>
          <w:i/>
          <w:color w:val="000000"/>
          <w:sz w:val="22"/>
          <w:szCs w:val="22"/>
        </w:rPr>
        <w:t>&lt;&lt; Allo stesso modo, l’amministrazione dovrà consentire l’accesso parziale utilizzando, se del caso, la tecnica dell’oscuramento di alcuni dati, qualora la protezione dell’interesse sotteso alla eccezione sia invece assicurato dal diniego di accesso di una parte soltanto di esso. In questo caso l’amministrazione è tenuta a consentire l’accesso alle parti restanti (art. 5-bis, comma 4, secondo alinea). L’amministrazione è tenuta quindi a privilegiare la scelta che, pur non oltrepassando i limiti di ciò che può essere ragionevolmente richiesto, sia la più favorevole al diritto di accesso del richiedente. Il principio di proporzionalità, infatti, esige che le deroghe non eccedano quanto è adeguato e necessario per raggiungere lo scopo perseguito (cfr. sul punto CGUE, 15 maggio 1986, causa C-222/84; Tribunale Prima Sezione ampliata 13 aprile 2005 causa T 2/03) &gt;&gt;</w:t>
      </w:r>
      <w:r w:rsidRPr="00634CBB">
        <w:rPr>
          <w:rFonts w:ascii="Garamond" w:hAnsi="Garamond" w:cs="Times New Roman"/>
          <w:color w:val="000000"/>
          <w:sz w:val="22"/>
          <w:szCs w:val="22"/>
        </w:rPr>
        <w:t xml:space="preserve"> (Del. Anac n. 1309/2016, cit., punto 5.2). </w:t>
      </w:r>
      <w:r w:rsidRPr="00634CBB">
        <w:rPr>
          <w:rFonts w:ascii="Garamond" w:hAnsi="Garamond" w:cs="Times New Roman"/>
          <w:i/>
          <w:color w:val="000000"/>
          <w:sz w:val="22"/>
          <w:szCs w:val="22"/>
        </w:rPr>
        <w:t xml:space="preserve">&lt;&lt; </w:t>
      </w:r>
      <w:r w:rsidRPr="00634CBB">
        <w:rPr>
          <w:rFonts w:ascii="Garamond" w:hAnsi="Garamond" w:cs="Times New Roman"/>
          <w:i/>
          <w:sz w:val="22"/>
          <w:szCs w:val="22"/>
        </w:rPr>
        <w:t>In attuazione dei predetti principi &gt;&gt;</w:t>
      </w:r>
      <w:r w:rsidRPr="00634CBB">
        <w:rPr>
          <w:rFonts w:ascii="Garamond" w:hAnsi="Garamond" w:cs="Times New Roman"/>
          <w:sz w:val="22"/>
          <w:szCs w:val="22"/>
        </w:rPr>
        <w:t xml:space="preserve"> [principi generali sul trattamento dei dati personali, ovvero di necessità, proporzionalità, pertinenza e non eccedenza], </w:t>
      </w:r>
      <w:r w:rsidRPr="00634CBB">
        <w:rPr>
          <w:rFonts w:ascii="Garamond" w:hAnsi="Garamond" w:cs="Times New Roman"/>
          <w:i/>
          <w:sz w:val="22"/>
          <w:szCs w:val="22"/>
        </w:rPr>
        <w:t>&lt;&lt; il soggetto destinatario dell’istanza, nel dare riscontro alla richiesta di accesso generalizzato, dovrebbe in linea generale scegliere le modalità meno pregiudizievoli per i diritti dell’interessato, privilegiando l’ostensione di documenti con l’omissione dei «</w:t>
      </w:r>
      <w:r w:rsidRPr="00634CBB">
        <w:rPr>
          <w:rFonts w:ascii="Garamond" w:hAnsi="Garamond" w:cs="Times New Roman"/>
          <w:i/>
          <w:iCs/>
          <w:sz w:val="22"/>
          <w:szCs w:val="22"/>
        </w:rPr>
        <w:t>dati personali</w:t>
      </w:r>
      <w:r w:rsidRPr="00634CBB">
        <w:rPr>
          <w:rFonts w:ascii="Garamond" w:hAnsi="Garamond" w:cs="Times New Roman"/>
          <w:i/>
          <w:sz w:val="22"/>
          <w:szCs w:val="22"/>
        </w:rPr>
        <w:t>» in esso presenti, laddove l’esigenza informativa, alla base dell’accesso generalizzato, possa essere raggiunta senza implicare il trattamento dei dati personali. In tal modo, tra l’altro, si soddisfa anche la finalità di rendere più celere il procedimento relativo alla richiesta di accesso generalizzato, potendo accogliere l’istanza senza dover attivare l’onerosa procedura di coinvolgimento del soggetto «</w:t>
      </w:r>
      <w:r w:rsidRPr="00634CBB">
        <w:rPr>
          <w:rFonts w:ascii="Garamond" w:hAnsi="Garamond" w:cs="Times New Roman"/>
          <w:i/>
          <w:iCs/>
          <w:sz w:val="22"/>
          <w:szCs w:val="22"/>
        </w:rPr>
        <w:t>controinteressato</w:t>
      </w:r>
      <w:r w:rsidRPr="00634CBB">
        <w:rPr>
          <w:rFonts w:ascii="Garamond" w:hAnsi="Garamond" w:cs="Times New Roman"/>
          <w:i/>
          <w:sz w:val="22"/>
          <w:szCs w:val="22"/>
        </w:rPr>
        <w:t xml:space="preserve">» (art. 5, comma 5, del d. </w:t>
      </w:r>
      <w:proofErr w:type="spellStart"/>
      <w:r w:rsidRPr="00634CBB">
        <w:rPr>
          <w:rFonts w:ascii="Garamond" w:hAnsi="Garamond" w:cs="Times New Roman"/>
          <w:i/>
          <w:sz w:val="22"/>
          <w:szCs w:val="22"/>
        </w:rPr>
        <w:t>lgs</w:t>
      </w:r>
      <w:proofErr w:type="spellEnd"/>
      <w:r w:rsidRPr="00634CBB">
        <w:rPr>
          <w:rFonts w:ascii="Garamond" w:hAnsi="Garamond" w:cs="Times New Roman"/>
          <w:i/>
          <w:sz w:val="22"/>
          <w:szCs w:val="22"/>
        </w:rPr>
        <w:t>. n. 33/2013). Al riguardo, deve essere ancora evidenziato che l’accesso generalizzato è servente rispetto alla conoscenza di dati e documenti detenuti dalla p.a. «</w:t>
      </w:r>
      <w:r w:rsidRPr="00634CBB">
        <w:rPr>
          <w:rFonts w:ascii="Garamond" w:hAnsi="Garamond" w:cs="Times New Roman"/>
          <w:i/>
          <w:iCs/>
          <w:sz w:val="22"/>
          <w:szCs w:val="22"/>
        </w:rPr>
        <w:t>Allo scopo di favorire forme diffuse di controllo sul perseguimento delle funzioni istituzionali e sull’utilizzo delle risorse pubbliche e di promuovere la partecipazione al dibattito pubblico</w:t>
      </w:r>
      <w:r w:rsidRPr="00634CBB">
        <w:rPr>
          <w:rFonts w:ascii="Garamond" w:hAnsi="Garamond" w:cs="Times New Roman"/>
          <w:i/>
          <w:sz w:val="22"/>
          <w:szCs w:val="22"/>
        </w:rPr>
        <w:t xml:space="preserve">» (art. 5, comma 2, del d. </w:t>
      </w:r>
      <w:proofErr w:type="spellStart"/>
      <w:r w:rsidRPr="00634CBB">
        <w:rPr>
          <w:rFonts w:ascii="Garamond" w:hAnsi="Garamond" w:cs="Times New Roman"/>
          <w:i/>
          <w:sz w:val="22"/>
          <w:szCs w:val="22"/>
        </w:rPr>
        <w:t>lgs</w:t>
      </w:r>
      <w:proofErr w:type="spellEnd"/>
      <w:r w:rsidRPr="00634CBB">
        <w:rPr>
          <w:rFonts w:ascii="Garamond" w:hAnsi="Garamond" w:cs="Times New Roman"/>
          <w:i/>
          <w:sz w:val="22"/>
          <w:szCs w:val="22"/>
        </w:rPr>
        <w:t>. n. 33/2013). Di conseguenza, quando l’oggetto della richiesta di accesso riguarda documenti contenenti informazioni relative a persone fisiche (e in quanto tali «</w:t>
      </w:r>
      <w:r w:rsidRPr="00634CBB">
        <w:rPr>
          <w:rFonts w:ascii="Garamond" w:hAnsi="Garamond" w:cs="Times New Roman"/>
          <w:i/>
          <w:iCs/>
          <w:sz w:val="22"/>
          <w:szCs w:val="22"/>
        </w:rPr>
        <w:t>dati personali</w:t>
      </w:r>
      <w:r w:rsidRPr="00634CBB">
        <w:rPr>
          <w:rFonts w:ascii="Garamond" w:hAnsi="Garamond" w:cs="Times New Roman"/>
          <w:i/>
          <w:sz w:val="22"/>
          <w:szCs w:val="22"/>
        </w:rPr>
        <w:t xml:space="preserve">») non necessarie al raggiungimento del predetto scopo, oppure informazioni personali di dettaglio che risultino comunque sproporzionate, eccedenti e non pertinenti, l’ente destinatario della richiesta dovrebbe accordare l’accesso parziale ai documenti, oscurando i dati personali </w:t>
      </w:r>
      <w:r w:rsidRPr="00634CBB">
        <w:rPr>
          <w:rFonts w:ascii="Garamond" w:hAnsi="Garamond" w:cs="Times New Roman"/>
          <w:i/>
          <w:iCs/>
          <w:sz w:val="22"/>
          <w:szCs w:val="22"/>
        </w:rPr>
        <w:t xml:space="preserve">ivi </w:t>
      </w:r>
      <w:r w:rsidRPr="00634CBB">
        <w:rPr>
          <w:rFonts w:ascii="Garamond" w:hAnsi="Garamond" w:cs="Times New Roman"/>
          <w:i/>
          <w:sz w:val="22"/>
          <w:szCs w:val="22"/>
        </w:rPr>
        <w:t>presenti. (Si pensi, ad esempio, ai dati di persone fisiche, quali, fra l’altro, la data di nascita, il codice fiscale, il domicilio o l’indirizzo di residenza, i recapiti telefonici o di posta elettronica personali, l’</w:t>
      </w:r>
      <w:proofErr w:type="spellStart"/>
      <w:r w:rsidRPr="00634CBB">
        <w:rPr>
          <w:rFonts w:ascii="Garamond" w:hAnsi="Garamond" w:cs="Times New Roman"/>
          <w:i/>
          <w:sz w:val="22"/>
          <w:szCs w:val="22"/>
        </w:rPr>
        <w:t>Isee</w:t>
      </w:r>
      <w:proofErr w:type="spellEnd"/>
      <w:r w:rsidRPr="00634CBB">
        <w:rPr>
          <w:rFonts w:ascii="Garamond" w:hAnsi="Garamond" w:cs="Times New Roman"/>
          <w:i/>
          <w:sz w:val="22"/>
          <w:szCs w:val="22"/>
        </w:rPr>
        <w:t xml:space="preserve"> o la relativa fascia, i dati bancari, ecc.) &gt;&gt; </w:t>
      </w:r>
      <w:r w:rsidRPr="00634CBB">
        <w:rPr>
          <w:rFonts w:ascii="Garamond" w:hAnsi="Garamond" w:cs="Times New Roman"/>
          <w:color w:val="000000"/>
          <w:sz w:val="22"/>
          <w:szCs w:val="22"/>
        </w:rPr>
        <w:t>(Del. Anac 1309/2016, cit., punto 8.1).</w:t>
      </w:r>
    </w:p>
  </w:footnote>
  <w:footnote w:id="62">
    <w:p w:rsidR="00A556E5" w:rsidRPr="00634CBB" w:rsidRDefault="00A556E5" w:rsidP="0076593E">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S</w:t>
      </w:r>
      <w:r w:rsidRPr="00634CBB">
        <w:rPr>
          <w:rFonts w:ascii="Garamond" w:hAnsi="Garamond" w:cs="Times New Roman"/>
          <w:color w:val="000000"/>
          <w:sz w:val="22"/>
          <w:szCs w:val="22"/>
        </w:rPr>
        <w:t xml:space="preserve">i è, al riguardo, affermato che la tecnica del mascheramento o di anonimizzazione dei dati personali merita di essere valorizzata (così come accade nel sistema Foia statunitense) proprio perché “contiene l’impatto opacizzante dei numerosi limiti previsti all’accesso civico generalizzato” (cfr. E. </w:t>
      </w:r>
      <w:proofErr w:type="spellStart"/>
      <w:r w:rsidRPr="00634CBB">
        <w:rPr>
          <w:rFonts w:ascii="Garamond" w:hAnsi="Garamond" w:cs="Times New Roman"/>
          <w:color w:val="000000"/>
          <w:sz w:val="22"/>
          <w:szCs w:val="22"/>
        </w:rPr>
        <w:t>Carloni</w:t>
      </w:r>
      <w:proofErr w:type="spellEnd"/>
      <w:r w:rsidRPr="00634CBB">
        <w:rPr>
          <w:rFonts w:ascii="Garamond" w:hAnsi="Garamond" w:cs="Times New Roman"/>
          <w:color w:val="000000"/>
          <w:sz w:val="22"/>
          <w:szCs w:val="22"/>
        </w:rPr>
        <w:t xml:space="preserve">, </w:t>
      </w:r>
      <w:r w:rsidRPr="00634CBB">
        <w:rPr>
          <w:rFonts w:ascii="Garamond" w:hAnsi="Garamond" w:cs="Times New Roman"/>
          <w:i/>
          <w:color w:val="000000"/>
          <w:sz w:val="22"/>
          <w:szCs w:val="22"/>
        </w:rPr>
        <w:t>Se questo è un Foia</w:t>
      </w:r>
      <w:r w:rsidRPr="00634CBB">
        <w:rPr>
          <w:rFonts w:ascii="Garamond" w:hAnsi="Garamond" w:cs="Times New Roman"/>
          <w:color w:val="000000"/>
          <w:sz w:val="22"/>
          <w:szCs w:val="22"/>
        </w:rPr>
        <w:t xml:space="preserve"> cit. pag. 10). Altra dottrina ha rilevato che l’accesso parziale mediante criptazione del nominativo del titolare dei dati anche non sensibili quando l’identità non è di alcuna utilità per l’istante, oltre che tutelare il diritto alla privacy, finisce per rappresentare anche una semplificazione a livello decisionale per le P.A. (A. </w:t>
      </w:r>
      <w:proofErr w:type="spellStart"/>
      <w:r w:rsidRPr="00634CBB">
        <w:rPr>
          <w:rFonts w:ascii="Garamond" w:hAnsi="Garamond" w:cs="Times New Roman"/>
          <w:color w:val="000000"/>
          <w:sz w:val="22"/>
          <w:szCs w:val="22"/>
        </w:rPr>
        <w:t>Simonati</w:t>
      </w:r>
      <w:proofErr w:type="spellEnd"/>
      <w:r w:rsidRPr="00634CBB">
        <w:rPr>
          <w:rFonts w:ascii="Garamond" w:hAnsi="Garamond" w:cs="Times New Roman"/>
          <w:color w:val="000000"/>
          <w:sz w:val="22"/>
          <w:szCs w:val="22"/>
        </w:rPr>
        <w:t xml:space="preserve">, </w:t>
      </w:r>
      <w:r w:rsidRPr="00634CBB">
        <w:rPr>
          <w:rFonts w:ascii="Garamond" w:hAnsi="Garamond" w:cs="Times New Roman"/>
          <w:i/>
          <w:color w:val="000000"/>
          <w:sz w:val="22"/>
          <w:szCs w:val="22"/>
        </w:rPr>
        <w:t>L’accesso civico come strumento di trasparenza amministrativa: luci, ombre e prospettive future (anche per gli Enti locali)</w:t>
      </w:r>
      <w:r w:rsidRPr="00634CBB">
        <w:rPr>
          <w:rFonts w:ascii="Garamond" w:hAnsi="Garamond" w:cs="Times New Roman"/>
          <w:color w:val="000000"/>
          <w:sz w:val="22"/>
          <w:szCs w:val="22"/>
        </w:rPr>
        <w:t>, Istituzioni del federalismo n. 372016, pag. 748).</w:t>
      </w:r>
    </w:p>
  </w:footnote>
  <w:footnote w:id="63">
    <w:p w:rsidR="00A556E5" w:rsidRPr="00634CBB" w:rsidRDefault="00A556E5" w:rsidP="000B7919">
      <w:pPr>
        <w:pStyle w:val="Testonotaapidipagina"/>
        <w:ind w:left="851" w:right="851"/>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In questi termini Corte di Giustizia europea 6 dicembre 2001 (causa C-353/99).</w:t>
      </w:r>
    </w:p>
  </w:footnote>
  <w:footnote w:id="64">
    <w:p w:rsidR="00A556E5" w:rsidRPr="00634CBB" w:rsidRDefault="00A556E5" w:rsidP="00174AAE">
      <w:pPr>
        <w:pStyle w:val="Testonotaapidipagina"/>
        <w:ind w:left="851" w:right="851"/>
        <w:jc w:val="both"/>
        <w:rPr>
          <w:rFonts w:ascii="Garamond" w:hAnsi="Garamond" w:cs="Times New Roman"/>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L’art. 11, comma 1, del D.Lgs. 30 giugno 2003, n. 196 (Codice della privacy) prevede che </w:t>
      </w:r>
      <w:r w:rsidRPr="00634CBB">
        <w:rPr>
          <w:rFonts w:ascii="Garamond" w:hAnsi="Garamond" w:cs="Times New Roman"/>
          <w:i/>
          <w:color w:val="000000"/>
          <w:sz w:val="22"/>
          <w:szCs w:val="22"/>
        </w:rPr>
        <w:t xml:space="preserve">“1. I dati personali oggetto di trattamento sono: […] d) pertinenti, completi e non eccedenti rispetto alle finalità per le quali sono raccolti o successivamente trattati. </w:t>
      </w:r>
      <w:r w:rsidRPr="00634CBB">
        <w:rPr>
          <w:rFonts w:ascii="Garamond" w:hAnsi="Garamond" w:cs="Times New Roman"/>
          <w:color w:val="000000"/>
          <w:sz w:val="22"/>
          <w:szCs w:val="22"/>
        </w:rPr>
        <w:t>L’</w:t>
      </w:r>
      <w:r w:rsidRPr="00634CBB">
        <w:rPr>
          <w:rFonts w:ascii="Garamond" w:hAnsi="Garamond" w:cs="Times New Roman"/>
          <w:sz w:val="22"/>
          <w:szCs w:val="22"/>
        </w:rPr>
        <w:t xml:space="preserve">art. 5, comma 1, Reg. CE 27 aprile 2016 n. 2016/679/UE (Principi applicabili al trattamento dei dati personali) conferma che </w:t>
      </w:r>
      <w:r w:rsidRPr="00634CBB">
        <w:rPr>
          <w:rFonts w:ascii="Garamond" w:hAnsi="Garamond" w:cs="Times New Roman"/>
          <w:i/>
          <w:sz w:val="22"/>
          <w:szCs w:val="22"/>
        </w:rPr>
        <w:t>&lt;&lt; I dati personali sono […] c) adeguati, pertinenti e limitati a quanto necessario rispetto alle finalità per le quali sono trattati (“minimizzazione dei dati”) &gt;&gt;</w:t>
      </w:r>
      <w:r w:rsidRPr="00634CBB">
        <w:rPr>
          <w:rFonts w:ascii="Garamond" w:hAnsi="Garamond" w:cs="Times New Roman"/>
          <w:sz w:val="22"/>
          <w:szCs w:val="22"/>
        </w:rPr>
        <w:t>.</w:t>
      </w:r>
    </w:p>
  </w:footnote>
  <w:footnote w:id="65">
    <w:p w:rsidR="00A556E5" w:rsidRPr="00634CBB" w:rsidRDefault="00A556E5" w:rsidP="003C1BFD">
      <w:pPr>
        <w:ind w:left="851" w:right="851"/>
        <w:jc w:val="both"/>
        <w:rPr>
          <w:rFonts w:ascii="Garamond" w:hAnsi="Garamond" w:cs="Times New Roman"/>
          <w:color w:val="000000" w:themeColor="text1"/>
          <w:sz w:val="22"/>
          <w:szCs w:val="22"/>
        </w:rPr>
      </w:pPr>
      <w:r w:rsidRPr="00634CBB">
        <w:rPr>
          <w:rStyle w:val="Rimandonotaapidipagina"/>
          <w:rFonts w:ascii="Garamond" w:hAnsi="Garamond" w:cs="Times New Roman"/>
          <w:sz w:val="22"/>
          <w:szCs w:val="22"/>
        </w:rPr>
        <w:footnoteRef/>
      </w:r>
      <w:r w:rsidRPr="00634CBB">
        <w:rPr>
          <w:rFonts w:ascii="Garamond" w:hAnsi="Garamond" w:cs="Times New Roman"/>
          <w:sz w:val="22"/>
          <w:szCs w:val="22"/>
        </w:rPr>
        <w:t xml:space="preserve"> In questi termini si è espresso il Garante per la privacy con il parere n. 528 del 14 dicembre 2017 (doc. web 7450772), relativo ad un’istanza di accesso ai verbali del “Comitato unico di garanzia delle pari opportunità, la valorizzazione del benessere di chi lavora e contro le discriminazioni” costituito da un piccolo Comune ai sensi dell’art. 57 del D.Lgs. 165/2001; detti verbali contenevano dati e informazioni personali di dipendenti e per tale motivo il Garante ha escluso la possibilità </w:t>
      </w:r>
      <w:r w:rsidRPr="00634CBB">
        <w:rPr>
          <w:rFonts w:ascii="Garamond" w:hAnsi="Garamond" w:cs="Times New Roman"/>
          <w:i/>
          <w:sz w:val="22"/>
          <w:szCs w:val="22"/>
        </w:rPr>
        <w:t>“di accordare un eventuale accesso civico parziale ai documenti in questione, tramite oscuramento dei nominati delle persone interessate, in quanto il predetto accorgimento tecnico non eliminerebbe completamente la possibilità che i soggetti menzionati possano essere re-identificati attraverso il complesso delle vicende descritte e le ulteriori informazioni contenute nei documenti di cui è negata l’ostensione, considerato che nell’ambito del Comune in questione, di ridotte dimensioni, gli interessati potrebbero facilmente essere identificati.”</w:t>
      </w:r>
      <w:r w:rsidRPr="00634CBB">
        <w:rPr>
          <w:rFonts w:ascii="Garamond" w:hAnsi="Garamond" w:cs="Times New Roman"/>
          <w:sz w:val="22"/>
          <w:szCs w:val="22"/>
        </w:rPr>
        <w:t xml:space="preserve">. Per le stesse ragioni il Garante ha ritenuto inapplicabile l’accesso parziale agli elaborati presentati nell’ambito di una procedura selettiva del personale pubblico, in considerazione del fatto che essi sono redatti di proprio pugno dai candidati, cosìcchè non potrebbe escludersi che essi possano essere re-identificati a posteriori tramite la conoscenza o la comparazione della grafia (parere n. 246 del 24 maggio 2017 - doc. web n. 6495600 e parere n. 433 del 26 ottobre 2017 – doc. web n. 7156158). Per inciso, questi ultimi pareri sono stati giustamente criticati in dottrina anche per la evidente contraddittorietà rispetto al principio dell’anonimato degli elaborati concorsuali (ex art. 14, comma 6, D.P.R. 487/1994), atteso che delle due l’una: o l’elaborato è riconoscibile ed allora deve essere escluso, oppure non è riconoscibile e quindi non sussiste un pregiudizio per la privacy (sulla questione vedasi T. </w:t>
      </w:r>
      <w:proofErr w:type="spellStart"/>
      <w:r w:rsidRPr="00634CBB">
        <w:rPr>
          <w:rFonts w:ascii="Garamond" w:hAnsi="Garamond" w:cs="Times New Roman"/>
          <w:sz w:val="22"/>
          <w:szCs w:val="22"/>
        </w:rPr>
        <w:t>Tessaro</w:t>
      </w:r>
      <w:proofErr w:type="spellEnd"/>
      <w:r w:rsidRPr="00634CBB">
        <w:rPr>
          <w:rFonts w:ascii="Garamond" w:hAnsi="Garamond" w:cs="Times New Roman"/>
          <w:sz w:val="22"/>
          <w:szCs w:val="22"/>
        </w:rPr>
        <w:t xml:space="preserve">-M. </w:t>
      </w:r>
      <w:proofErr w:type="spellStart"/>
      <w:r w:rsidRPr="00634CBB">
        <w:rPr>
          <w:rFonts w:ascii="Garamond" w:hAnsi="Garamond" w:cs="Times New Roman"/>
          <w:sz w:val="22"/>
          <w:szCs w:val="22"/>
        </w:rPr>
        <w:t>Bertin</w:t>
      </w:r>
      <w:proofErr w:type="spellEnd"/>
      <w:r w:rsidRPr="00634CBB">
        <w:rPr>
          <w:rFonts w:ascii="Garamond" w:hAnsi="Garamond" w:cs="Times New Roman"/>
          <w:sz w:val="22"/>
          <w:szCs w:val="22"/>
        </w:rPr>
        <w:t xml:space="preserve">, </w:t>
      </w:r>
      <w:r w:rsidRPr="00634CBB">
        <w:rPr>
          <w:rFonts w:ascii="Garamond" w:hAnsi="Garamond" w:cs="Times New Roman"/>
          <w:i/>
          <w:sz w:val="22"/>
          <w:szCs w:val="22"/>
        </w:rPr>
        <w:t>Acceso agli atti di un concorso e “mascheramento” degli elaborati. Nota a Garante della Privacy, registro dei provvedimenti n. 246 del 24 maggio 2017, doc. web n. 6495600</w:t>
      </w:r>
      <w:r w:rsidRPr="00634CBB">
        <w:rPr>
          <w:rFonts w:ascii="Garamond" w:hAnsi="Garamond" w:cs="Times New Roman"/>
          <w:sz w:val="22"/>
          <w:szCs w:val="22"/>
        </w:rPr>
        <w:t xml:space="preserve">, www.lexitalia.it 07.07.2017). Anche </w:t>
      </w:r>
      <w:r w:rsidRPr="00634CBB">
        <w:rPr>
          <w:rFonts w:ascii="Garamond" w:hAnsi="Garamond" w:cs="Times New Roman"/>
          <w:color w:val="000000" w:themeColor="text1"/>
          <w:sz w:val="22"/>
          <w:szCs w:val="22"/>
        </w:rPr>
        <w:t xml:space="preserve">con riguardo ai procedimenti edilizi, i relativi atti ed informazioni </w:t>
      </w:r>
      <w:r w:rsidRPr="00634CBB">
        <w:rPr>
          <w:rFonts w:ascii="Garamond" w:hAnsi="Garamond" w:cs="Times New Roman"/>
          <w:color w:val="000000"/>
          <w:sz w:val="22"/>
          <w:szCs w:val="22"/>
        </w:rPr>
        <w:t>non sarebbero ostensibili mediante accesso parziale, atteso che dai dati dell’immobile si potrebbe risalire ai dati personali delle persone coinvolte (par. n. 360 del 10.08.2017 – doc. web 6969290; par. n. 25 del 18.01.2018 – doc. web 7688896).</w:t>
      </w:r>
    </w:p>
    <w:p w:rsidR="00A556E5" w:rsidRPr="00634CBB" w:rsidRDefault="00A556E5" w:rsidP="002B62CA">
      <w:pPr>
        <w:pStyle w:val="Testonotaapidipagina"/>
        <w:ind w:left="851" w:right="851"/>
        <w:jc w:val="both"/>
        <w:rPr>
          <w:rFonts w:ascii="Garamond" w:hAnsi="Garamond" w:cs="Times New Roman"/>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58F6"/>
    <w:multiLevelType w:val="hybridMultilevel"/>
    <w:tmpl w:val="81AC377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4311182B"/>
    <w:multiLevelType w:val="hybridMultilevel"/>
    <w:tmpl w:val="AEACAA80"/>
    <w:lvl w:ilvl="0" w:tplc="04100001">
      <w:start w:val="1"/>
      <w:numFmt w:val="bullet"/>
      <w:lvlText w:val=""/>
      <w:lvlJc w:val="left"/>
      <w:pPr>
        <w:ind w:left="1334" w:hanging="360"/>
      </w:pPr>
      <w:rPr>
        <w:rFonts w:ascii="Symbol" w:hAnsi="Symbol" w:hint="default"/>
      </w:rPr>
    </w:lvl>
    <w:lvl w:ilvl="1" w:tplc="04100003" w:tentative="1">
      <w:start w:val="1"/>
      <w:numFmt w:val="bullet"/>
      <w:lvlText w:val="o"/>
      <w:lvlJc w:val="left"/>
      <w:pPr>
        <w:ind w:left="2054" w:hanging="360"/>
      </w:pPr>
      <w:rPr>
        <w:rFonts w:ascii="Courier New" w:hAnsi="Courier New" w:cs="Courier New" w:hint="default"/>
      </w:rPr>
    </w:lvl>
    <w:lvl w:ilvl="2" w:tplc="04100005" w:tentative="1">
      <w:start w:val="1"/>
      <w:numFmt w:val="bullet"/>
      <w:lvlText w:val=""/>
      <w:lvlJc w:val="left"/>
      <w:pPr>
        <w:ind w:left="2774" w:hanging="360"/>
      </w:pPr>
      <w:rPr>
        <w:rFonts w:ascii="Wingdings" w:hAnsi="Wingdings" w:hint="default"/>
      </w:rPr>
    </w:lvl>
    <w:lvl w:ilvl="3" w:tplc="04100001" w:tentative="1">
      <w:start w:val="1"/>
      <w:numFmt w:val="bullet"/>
      <w:lvlText w:val=""/>
      <w:lvlJc w:val="left"/>
      <w:pPr>
        <w:ind w:left="3494" w:hanging="360"/>
      </w:pPr>
      <w:rPr>
        <w:rFonts w:ascii="Symbol" w:hAnsi="Symbol" w:hint="default"/>
      </w:rPr>
    </w:lvl>
    <w:lvl w:ilvl="4" w:tplc="04100003" w:tentative="1">
      <w:start w:val="1"/>
      <w:numFmt w:val="bullet"/>
      <w:lvlText w:val="o"/>
      <w:lvlJc w:val="left"/>
      <w:pPr>
        <w:ind w:left="4214" w:hanging="360"/>
      </w:pPr>
      <w:rPr>
        <w:rFonts w:ascii="Courier New" w:hAnsi="Courier New" w:cs="Courier New" w:hint="default"/>
      </w:rPr>
    </w:lvl>
    <w:lvl w:ilvl="5" w:tplc="04100005" w:tentative="1">
      <w:start w:val="1"/>
      <w:numFmt w:val="bullet"/>
      <w:lvlText w:val=""/>
      <w:lvlJc w:val="left"/>
      <w:pPr>
        <w:ind w:left="4934" w:hanging="360"/>
      </w:pPr>
      <w:rPr>
        <w:rFonts w:ascii="Wingdings" w:hAnsi="Wingdings" w:hint="default"/>
      </w:rPr>
    </w:lvl>
    <w:lvl w:ilvl="6" w:tplc="04100001" w:tentative="1">
      <w:start w:val="1"/>
      <w:numFmt w:val="bullet"/>
      <w:lvlText w:val=""/>
      <w:lvlJc w:val="left"/>
      <w:pPr>
        <w:ind w:left="5654" w:hanging="360"/>
      </w:pPr>
      <w:rPr>
        <w:rFonts w:ascii="Symbol" w:hAnsi="Symbol" w:hint="default"/>
      </w:rPr>
    </w:lvl>
    <w:lvl w:ilvl="7" w:tplc="04100003" w:tentative="1">
      <w:start w:val="1"/>
      <w:numFmt w:val="bullet"/>
      <w:lvlText w:val="o"/>
      <w:lvlJc w:val="left"/>
      <w:pPr>
        <w:ind w:left="6374" w:hanging="360"/>
      </w:pPr>
      <w:rPr>
        <w:rFonts w:ascii="Courier New" w:hAnsi="Courier New" w:cs="Courier New" w:hint="default"/>
      </w:rPr>
    </w:lvl>
    <w:lvl w:ilvl="8" w:tplc="04100005" w:tentative="1">
      <w:start w:val="1"/>
      <w:numFmt w:val="bullet"/>
      <w:lvlText w:val=""/>
      <w:lvlJc w:val="left"/>
      <w:pPr>
        <w:ind w:left="7094" w:hanging="360"/>
      </w:pPr>
      <w:rPr>
        <w:rFonts w:ascii="Wingdings" w:hAnsi="Wingdings" w:hint="default"/>
      </w:rPr>
    </w:lvl>
  </w:abstractNum>
  <w:abstractNum w:abstractNumId="2" w15:restartNumberingAfterBreak="0">
    <w:nsid w:val="71A46D68"/>
    <w:multiLevelType w:val="hybridMultilevel"/>
    <w:tmpl w:val="C8DAFEA6"/>
    <w:lvl w:ilvl="0" w:tplc="04100001">
      <w:start w:val="1"/>
      <w:numFmt w:val="bullet"/>
      <w:lvlText w:val=""/>
      <w:lvlJc w:val="left"/>
      <w:pPr>
        <w:ind w:left="1334" w:hanging="360"/>
      </w:pPr>
      <w:rPr>
        <w:rFonts w:ascii="Symbol" w:hAnsi="Symbol" w:hint="default"/>
      </w:rPr>
    </w:lvl>
    <w:lvl w:ilvl="1" w:tplc="04100003" w:tentative="1">
      <w:start w:val="1"/>
      <w:numFmt w:val="bullet"/>
      <w:lvlText w:val="o"/>
      <w:lvlJc w:val="left"/>
      <w:pPr>
        <w:ind w:left="2054" w:hanging="360"/>
      </w:pPr>
      <w:rPr>
        <w:rFonts w:ascii="Courier New" w:hAnsi="Courier New" w:cs="Courier New" w:hint="default"/>
      </w:rPr>
    </w:lvl>
    <w:lvl w:ilvl="2" w:tplc="04100005" w:tentative="1">
      <w:start w:val="1"/>
      <w:numFmt w:val="bullet"/>
      <w:lvlText w:val=""/>
      <w:lvlJc w:val="left"/>
      <w:pPr>
        <w:ind w:left="2774" w:hanging="360"/>
      </w:pPr>
      <w:rPr>
        <w:rFonts w:ascii="Wingdings" w:hAnsi="Wingdings" w:hint="default"/>
      </w:rPr>
    </w:lvl>
    <w:lvl w:ilvl="3" w:tplc="04100001" w:tentative="1">
      <w:start w:val="1"/>
      <w:numFmt w:val="bullet"/>
      <w:lvlText w:val=""/>
      <w:lvlJc w:val="left"/>
      <w:pPr>
        <w:ind w:left="3494" w:hanging="360"/>
      </w:pPr>
      <w:rPr>
        <w:rFonts w:ascii="Symbol" w:hAnsi="Symbol" w:hint="default"/>
      </w:rPr>
    </w:lvl>
    <w:lvl w:ilvl="4" w:tplc="04100003" w:tentative="1">
      <w:start w:val="1"/>
      <w:numFmt w:val="bullet"/>
      <w:lvlText w:val="o"/>
      <w:lvlJc w:val="left"/>
      <w:pPr>
        <w:ind w:left="4214" w:hanging="360"/>
      </w:pPr>
      <w:rPr>
        <w:rFonts w:ascii="Courier New" w:hAnsi="Courier New" w:cs="Courier New" w:hint="default"/>
      </w:rPr>
    </w:lvl>
    <w:lvl w:ilvl="5" w:tplc="04100005" w:tentative="1">
      <w:start w:val="1"/>
      <w:numFmt w:val="bullet"/>
      <w:lvlText w:val=""/>
      <w:lvlJc w:val="left"/>
      <w:pPr>
        <w:ind w:left="4934" w:hanging="360"/>
      </w:pPr>
      <w:rPr>
        <w:rFonts w:ascii="Wingdings" w:hAnsi="Wingdings" w:hint="default"/>
      </w:rPr>
    </w:lvl>
    <w:lvl w:ilvl="6" w:tplc="04100001" w:tentative="1">
      <w:start w:val="1"/>
      <w:numFmt w:val="bullet"/>
      <w:lvlText w:val=""/>
      <w:lvlJc w:val="left"/>
      <w:pPr>
        <w:ind w:left="5654" w:hanging="360"/>
      </w:pPr>
      <w:rPr>
        <w:rFonts w:ascii="Symbol" w:hAnsi="Symbol" w:hint="default"/>
      </w:rPr>
    </w:lvl>
    <w:lvl w:ilvl="7" w:tplc="04100003" w:tentative="1">
      <w:start w:val="1"/>
      <w:numFmt w:val="bullet"/>
      <w:lvlText w:val="o"/>
      <w:lvlJc w:val="left"/>
      <w:pPr>
        <w:ind w:left="6374" w:hanging="360"/>
      </w:pPr>
      <w:rPr>
        <w:rFonts w:ascii="Courier New" w:hAnsi="Courier New" w:cs="Courier New" w:hint="default"/>
      </w:rPr>
    </w:lvl>
    <w:lvl w:ilvl="8" w:tplc="04100005" w:tentative="1">
      <w:start w:val="1"/>
      <w:numFmt w:val="bullet"/>
      <w:lvlText w:val=""/>
      <w:lvlJc w:val="left"/>
      <w:pPr>
        <w:ind w:left="7094" w:hanging="360"/>
      </w:pPr>
      <w:rPr>
        <w:rFonts w:ascii="Wingdings" w:hAnsi="Wingdings" w:hint="default"/>
      </w:rPr>
    </w:lvl>
  </w:abstractNum>
  <w:abstractNum w:abstractNumId="3" w15:restartNumberingAfterBreak="0">
    <w:nsid w:val="7CEE1ABD"/>
    <w:multiLevelType w:val="hybridMultilevel"/>
    <w:tmpl w:val="303E3E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CC"/>
    <w:rsid w:val="00004D7E"/>
    <w:rsid w:val="00006926"/>
    <w:rsid w:val="00045D88"/>
    <w:rsid w:val="00050080"/>
    <w:rsid w:val="00087DA8"/>
    <w:rsid w:val="00093023"/>
    <w:rsid w:val="00093E77"/>
    <w:rsid w:val="000A0487"/>
    <w:rsid w:val="000A6900"/>
    <w:rsid w:val="000B7919"/>
    <w:rsid w:val="000C0567"/>
    <w:rsid w:val="000C0DCE"/>
    <w:rsid w:val="000C63AE"/>
    <w:rsid w:val="000C7AB4"/>
    <w:rsid w:val="000E421C"/>
    <w:rsid w:val="000F7B48"/>
    <w:rsid w:val="00103E8B"/>
    <w:rsid w:val="001066A5"/>
    <w:rsid w:val="0013591F"/>
    <w:rsid w:val="001474BD"/>
    <w:rsid w:val="00147D01"/>
    <w:rsid w:val="001506E2"/>
    <w:rsid w:val="00150BDC"/>
    <w:rsid w:val="0017487D"/>
    <w:rsid w:val="00174AAE"/>
    <w:rsid w:val="00180DD3"/>
    <w:rsid w:val="001830BF"/>
    <w:rsid w:val="00187583"/>
    <w:rsid w:val="00193900"/>
    <w:rsid w:val="001978E5"/>
    <w:rsid w:val="001A4295"/>
    <w:rsid w:val="001A4D72"/>
    <w:rsid w:val="001C5A7D"/>
    <w:rsid w:val="001D02E1"/>
    <w:rsid w:val="001E3195"/>
    <w:rsid w:val="001E558F"/>
    <w:rsid w:val="00210007"/>
    <w:rsid w:val="002364FE"/>
    <w:rsid w:val="002861A7"/>
    <w:rsid w:val="00292619"/>
    <w:rsid w:val="002B0D0E"/>
    <w:rsid w:val="002B62CA"/>
    <w:rsid w:val="002B7E3F"/>
    <w:rsid w:val="002C06AA"/>
    <w:rsid w:val="002C3D98"/>
    <w:rsid w:val="002E042D"/>
    <w:rsid w:val="002E1A6B"/>
    <w:rsid w:val="002E6E86"/>
    <w:rsid w:val="00305B4B"/>
    <w:rsid w:val="003210CC"/>
    <w:rsid w:val="00326ECE"/>
    <w:rsid w:val="00330E45"/>
    <w:rsid w:val="003355DD"/>
    <w:rsid w:val="00355D33"/>
    <w:rsid w:val="00377E62"/>
    <w:rsid w:val="00385597"/>
    <w:rsid w:val="0039286E"/>
    <w:rsid w:val="00396360"/>
    <w:rsid w:val="003A07CE"/>
    <w:rsid w:val="003C1BFD"/>
    <w:rsid w:val="003C1E9C"/>
    <w:rsid w:val="003D6A49"/>
    <w:rsid w:val="0040110F"/>
    <w:rsid w:val="00416B15"/>
    <w:rsid w:val="004200FA"/>
    <w:rsid w:val="00423104"/>
    <w:rsid w:val="00463DCF"/>
    <w:rsid w:val="00467B99"/>
    <w:rsid w:val="004B39A1"/>
    <w:rsid w:val="004B735E"/>
    <w:rsid w:val="004C3AD8"/>
    <w:rsid w:val="004E2C4F"/>
    <w:rsid w:val="004F2496"/>
    <w:rsid w:val="00504762"/>
    <w:rsid w:val="00506C7E"/>
    <w:rsid w:val="00521ECC"/>
    <w:rsid w:val="0055559E"/>
    <w:rsid w:val="005567A7"/>
    <w:rsid w:val="00567B77"/>
    <w:rsid w:val="00570FDF"/>
    <w:rsid w:val="005A46AB"/>
    <w:rsid w:val="005B40FC"/>
    <w:rsid w:val="005C0B33"/>
    <w:rsid w:val="005F5C25"/>
    <w:rsid w:val="006172DC"/>
    <w:rsid w:val="00621DDA"/>
    <w:rsid w:val="00634CBB"/>
    <w:rsid w:val="0065034F"/>
    <w:rsid w:val="00664527"/>
    <w:rsid w:val="00675061"/>
    <w:rsid w:val="00676B9B"/>
    <w:rsid w:val="00680527"/>
    <w:rsid w:val="006858D4"/>
    <w:rsid w:val="00691553"/>
    <w:rsid w:val="006D19BA"/>
    <w:rsid w:val="006D5C2A"/>
    <w:rsid w:val="006E3567"/>
    <w:rsid w:val="006E771E"/>
    <w:rsid w:val="00700096"/>
    <w:rsid w:val="00704444"/>
    <w:rsid w:val="007165E3"/>
    <w:rsid w:val="00717F81"/>
    <w:rsid w:val="0072457E"/>
    <w:rsid w:val="00732EC3"/>
    <w:rsid w:val="007376CD"/>
    <w:rsid w:val="007554D1"/>
    <w:rsid w:val="0076063B"/>
    <w:rsid w:val="0076593E"/>
    <w:rsid w:val="00775DDF"/>
    <w:rsid w:val="00794F10"/>
    <w:rsid w:val="007A4F40"/>
    <w:rsid w:val="007A5EEE"/>
    <w:rsid w:val="007B6871"/>
    <w:rsid w:val="007C7A82"/>
    <w:rsid w:val="007D42C4"/>
    <w:rsid w:val="007D51F4"/>
    <w:rsid w:val="007F23C6"/>
    <w:rsid w:val="007F7EE9"/>
    <w:rsid w:val="00802314"/>
    <w:rsid w:val="00806615"/>
    <w:rsid w:val="00806A18"/>
    <w:rsid w:val="00810643"/>
    <w:rsid w:val="00817191"/>
    <w:rsid w:val="00826E96"/>
    <w:rsid w:val="00832E0F"/>
    <w:rsid w:val="00853A7E"/>
    <w:rsid w:val="008546D8"/>
    <w:rsid w:val="0085593F"/>
    <w:rsid w:val="00875837"/>
    <w:rsid w:val="008771CB"/>
    <w:rsid w:val="008C5010"/>
    <w:rsid w:val="008E0210"/>
    <w:rsid w:val="008E297C"/>
    <w:rsid w:val="008E4079"/>
    <w:rsid w:val="008E6D21"/>
    <w:rsid w:val="00915DB6"/>
    <w:rsid w:val="00940816"/>
    <w:rsid w:val="009606C6"/>
    <w:rsid w:val="009B0B2B"/>
    <w:rsid w:val="009C1B91"/>
    <w:rsid w:val="009C7DC5"/>
    <w:rsid w:val="009D056F"/>
    <w:rsid w:val="009D4B96"/>
    <w:rsid w:val="009F5EB7"/>
    <w:rsid w:val="00A01717"/>
    <w:rsid w:val="00A326A8"/>
    <w:rsid w:val="00A3466E"/>
    <w:rsid w:val="00A556E5"/>
    <w:rsid w:val="00A60F15"/>
    <w:rsid w:val="00A716A6"/>
    <w:rsid w:val="00A768EA"/>
    <w:rsid w:val="00A955AD"/>
    <w:rsid w:val="00AA75E3"/>
    <w:rsid w:val="00AB09C0"/>
    <w:rsid w:val="00AF1767"/>
    <w:rsid w:val="00B115E8"/>
    <w:rsid w:val="00B13EDD"/>
    <w:rsid w:val="00B269A4"/>
    <w:rsid w:val="00B45A6B"/>
    <w:rsid w:val="00B5043E"/>
    <w:rsid w:val="00B54743"/>
    <w:rsid w:val="00B61FCC"/>
    <w:rsid w:val="00B86D92"/>
    <w:rsid w:val="00B879D7"/>
    <w:rsid w:val="00B90886"/>
    <w:rsid w:val="00BA5B62"/>
    <w:rsid w:val="00BC5F72"/>
    <w:rsid w:val="00BD1063"/>
    <w:rsid w:val="00BD1668"/>
    <w:rsid w:val="00BD19AB"/>
    <w:rsid w:val="00BD22B6"/>
    <w:rsid w:val="00BE1B0B"/>
    <w:rsid w:val="00BF00B1"/>
    <w:rsid w:val="00C32B27"/>
    <w:rsid w:val="00C33A03"/>
    <w:rsid w:val="00C40B40"/>
    <w:rsid w:val="00C457B7"/>
    <w:rsid w:val="00C62BB4"/>
    <w:rsid w:val="00C92580"/>
    <w:rsid w:val="00CB3214"/>
    <w:rsid w:val="00CC5C0D"/>
    <w:rsid w:val="00CD3BBC"/>
    <w:rsid w:val="00CE004E"/>
    <w:rsid w:val="00CE5BEE"/>
    <w:rsid w:val="00CF1035"/>
    <w:rsid w:val="00D14D35"/>
    <w:rsid w:val="00D21EF0"/>
    <w:rsid w:val="00D24DD7"/>
    <w:rsid w:val="00D328B4"/>
    <w:rsid w:val="00D46446"/>
    <w:rsid w:val="00D469CF"/>
    <w:rsid w:val="00D54997"/>
    <w:rsid w:val="00D5552C"/>
    <w:rsid w:val="00D70FCF"/>
    <w:rsid w:val="00D75FD2"/>
    <w:rsid w:val="00D84B10"/>
    <w:rsid w:val="00D87137"/>
    <w:rsid w:val="00D91B09"/>
    <w:rsid w:val="00D940E3"/>
    <w:rsid w:val="00DA235D"/>
    <w:rsid w:val="00DA542C"/>
    <w:rsid w:val="00E031F7"/>
    <w:rsid w:val="00E336BC"/>
    <w:rsid w:val="00E350B8"/>
    <w:rsid w:val="00E37451"/>
    <w:rsid w:val="00E471A5"/>
    <w:rsid w:val="00E501EB"/>
    <w:rsid w:val="00E56D78"/>
    <w:rsid w:val="00E578DC"/>
    <w:rsid w:val="00E6245D"/>
    <w:rsid w:val="00E734F3"/>
    <w:rsid w:val="00EA27F6"/>
    <w:rsid w:val="00EA2D7F"/>
    <w:rsid w:val="00EB4C33"/>
    <w:rsid w:val="00EC52EC"/>
    <w:rsid w:val="00EC5838"/>
    <w:rsid w:val="00ED644C"/>
    <w:rsid w:val="00ED7463"/>
    <w:rsid w:val="00EE2941"/>
    <w:rsid w:val="00EE512C"/>
    <w:rsid w:val="00EF6D98"/>
    <w:rsid w:val="00F031DB"/>
    <w:rsid w:val="00F13735"/>
    <w:rsid w:val="00F23C47"/>
    <w:rsid w:val="00F36D04"/>
    <w:rsid w:val="00F40380"/>
    <w:rsid w:val="00F526C2"/>
    <w:rsid w:val="00F612AD"/>
    <w:rsid w:val="00F74FCC"/>
    <w:rsid w:val="00F75686"/>
    <w:rsid w:val="00F97277"/>
    <w:rsid w:val="00FB3895"/>
    <w:rsid w:val="00FD52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F5C45E-9E84-4F08-9FF9-9C172C96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10CC"/>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10CC"/>
    <w:rPr>
      <w:color w:val="0000FF" w:themeColor="hyperlink"/>
      <w:u w:val="single"/>
    </w:rPr>
  </w:style>
  <w:style w:type="paragraph" w:styleId="Testonotaapidipagina">
    <w:name w:val="footnote text"/>
    <w:basedOn w:val="Normale"/>
    <w:link w:val="TestonotaapidipaginaCarattere"/>
    <w:uiPriority w:val="99"/>
    <w:unhideWhenUsed/>
    <w:rsid w:val="003210CC"/>
    <w:rPr>
      <w:sz w:val="20"/>
      <w:szCs w:val="20"/>
    </w:rPr>
  </w:style>
  <w:style w:type="character" w:customStyle="1" w:styleId="TestonotaapidipaginaCarattere">
    <w:name w:val="Testo nota a piè di pagina Carattere"/>
    <w:basedOn w:val="Carpredefinitoparagrafo"/>
    <w:link w:val="Testonotaapidipagina"/>
    <w:uiPriority w:val="99"/>
    <w:rsid w:val="003210CC"/>
    <w:rPr>
      <w:rFonts w:eastAsiaTheme="minorEastAsia"/>
      <w:sz w:val="20"/>
      <w:szCs w:val="20"/>
      <w:lang w:eastAsia="it-IT"/>
    </w:rPr>
  </w:style>
  <w:style w:type="paragraph" w:customStyle="1" w:styleId="parar1">
    <w:name w:val="parar1"/>
    <w:basedOn w:val="Normale"/>
    <w:rsid w:val="003210CC"/>
    <w:pPr>
      <w:spacing w:before="100" w:beforeAutospacing="1" w:after="100" w:afterAutospacing="1"/>
    </w:pPr>
    <w:rPr>
      <w:rFonts w:ascii="Times New Roman" w:eastAsia="Times New Roman" w:hAnsi="Times New Roman" w:cs="Times New Roman"/>
    </w:rPr>
  </w:style>
  <w:style w:type="paragraph" w:customStyle="1" w:styleId="parar2">
    <w:name w:val="parar2"/>
    <w:basedOn w:val="Normale"/>
    <w:rsid w:val="003210CC"/>
    <w:pPr>
      <w:spacing w:before="100" w:beforeAutospacing="1" w:after="100" w:afterAutospacing="1"/>
    </w:pPr>
    <w:rPr>
      <w:rFonts w:ascii="Times New Roman" w:eastAsia="Times New Roman" w:hAnsi="Times New Roman" w:cs="Times New Roman"/>
    </w:rPr>
  </w:style>
  <w:style w:type="character" w:styleId="Rimandonotaapidipagina">
    <w:name w:val="footnote reference"/>
    <w:basedOn w:val="Carpredefinitoparagrafo"/>
    <w:uiPriority w:val="99"/>
    <w:semiHidden/>
    <w:unhideWhenUsed/>
    <w:rsid w:val="003210CC"/>
    <w:rPr>
      <w:vertAlign w:val="superscript"/>
    </w:rPr>
  </w:style>
  <w:style w:type="paragraph" w:styleId="Testofumetto">
    <w:name w:val="Balloon Text"/>
    <w:basedOn w:val="Normale"/>
    <w:link w:val="TestofumettoCarattere"/>
    <w:uiPriority w:val="99"/>
    <w:semiHidden/>
    <w:unhideWhenUsed/>
    <w:rsid w:val="003210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10CC"/>
    <w:rPr>
      <w:rFonts w:ascii="Tahoma" w:eastAsiaTheme="minorEastAsia" w:hAnsi="Tahoma" w:cs="Tahoma"/>
      <w:sz w:val="16"/>
      <w:szCs w:val="16"/>
      <w:lang w:eastAsia="it-IT"/>
    </w:rPr>
  </w:style>
  <w:style w:type="paragraph" w:styleId="Paragrafoelenco">
    <w:name w:val="List Paragraph"/>
    <w:basedOn w:val="Normale"/>
    <w:uiPriority w:val="34"/>
    <w:qFormat/>
    <w:rsid w:val="00D70FCF"/>
    <w:pPr>
      <w:ind w:left="720"/>
      <w:contextualSpacing/>
    </w:pPr>
  </w:style>
  <w:style w:type="paragraph" w:styleId="Testonotadichiusura">
    <w:name w:val="endnote text"/>
    <w:basedOn w:val="Normale"/>
    <w:link w:val="TestonotadichiusuraCarattere"/>
    <w:uiPriority w:val="99"/>
    <w:semiHidden/>
    <w:unhideWhenUsed/>
    <w:rsid w:val="008E0210"/>
    <w:rPr>
      <w:sz w:val="20"/>
      <w:szCs w:val="20"/>
    </w:rPr>
  </w:style>
  <w:style w:type="character" w:customStyle="1" w:styleId="TestonotadichiusuraCarattere">
    <w:name w:val="Testo nota di chiusura Carattere"/>
    <w:basedOn w:val="Carpredefinitoparagrafo"/>
    <w:link w:val="Testonotadichiusura"/>
    <w:uiPriority w:val="99"/>
    <w:semiHidden/>
    <w:rsid w:val="008E0210"/>
    <w:rPr>
      <w:rFonts w:eastAsiaTheme="minorEastAsia"/>
      <w:sz w:val="20"/>
      <w:szCs w:val="20"/>
      <w:lang w:eastAsia="it-IT"/>
    </w:rPr>
  </w:style>
  <w:style w:type="character" w:styleId="Rimandonotadichiusura">
    <w:name w:val="endnote reference"/>
    <w:basedOn w:val="Carpredefinitoparagrafo"/>
    <w:uiPriority w:val="99"/>
    <w:semiHidden/>
    <w:unhideWhenUsed/>
    <w:rsid w:val="008E0210"/>
    <w:rPr>
      <w:vertAlign w:val="superscript"/>
    </w:rPr>
  </w:style>
  <w:style w:type="paragraph" w:customStyle="1" w:styleId="Standard">
    <w:name w:val="Standard"/>
    <w:rsid w:val="001474B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Normale"/>
    <w:rsid w:val="00BA5B62"/>
    <w:pPr>
      <w:widowControl w:val="0"/>
      <w:suppressAutoHyphens/>
      <w:autoSpaceDN w:val="0"/>
      <w:spacing w:after="120"/>
      <w:textAlignment w:val="baseline"/>
    </w:pPr>
    <w:rPr>
      <w:rFonts w:ascii="Times New Roman" w:eastAsia="Andale Sans UI" w:hAnsi="Times New Roman" w:cs="Tahoma"/>
      <w:kern w:val="3"/>
      <w:lang w:val="de-DE" w:eastAsia="ja-JP" w:bidi="fa-IR"/>
    </w:rPr>
  </w:style>
  <w:style w:type="character" w:customStyle="1" w:styleId="apple-converted-space">
    <w:name w:val="apple-converted-space"/>
    <w:basedOn w:val="Carpredefinitoparagrafo"/>
    <w:rsid w:val="00BF00B1"/>
  </w:style>
  <w:style w:type="paragraph" w:styleId="NormaleWeb">
    <w:name w:val="Normal (Web)"/>
    <w:basedOn w:val="Normale"/>
    <w:uiPriority w:val="99"/>
    <w:unhideWhenUsed/>
    <w:rsid w:val="00087DA8"/>
    <w:pPr>
      <w:spacing w:before="100" w:beforeAutospacing="1" w:after="100" w:afterAutospacing="1"/>
    </w:pPr>
    <w:rPr>
      <w:rFonts w:ascii="Times New Roman" w:eastAsia="Times New Roman" w:hAnsi="Times New Roman" w:cs="Times New Roman"/>
    </w:rPr>
  </w:style>
  <w:style w:type="character" w:customStyle="1" w:styleId="WW-Absatz-Standardschriftart">
    <w:name w:val="WW-Absatz-Standardschriftart"/>
    <w:rsid w:val="00832E0F"/>
  </w:style>
  <w:style w:type="paragraph" w:customStyle="1" w:styleId="Default">
    <w:name w:val="Default"/>
    <w:rsid w:val="00700096"/>
    <w:pPr>
      <w:autoSpaceDE w:val="0"/>
      <w:autoSpaceDN w:val="0"/>
      <w:adjustRightInd w:val="0"/>
      <w:spacing w:after="0" w:line="240" w:lineRule="auto"/>
    </w:pPr>
    <w:rPr>
      <w:rFonts w:ascii="Cambria" w:hAnsi="Cambria" w:cs="Cambria"/>
      <w:color w:val="000000"/>
      <w:sz w:val="24"/>
      <w:szCs w:val="24"/>
    </w:rPr>
  </w:style>
  <w:style w:type="paragraph" w:styleId="Intestazione">
    <w:name w:val="header"/>
    <w:basedOn w:val="Normale"/>
    <w:link w:val="IntestazioneCarattere"/>
    <w:uiPriority w:val="99"/>
    <w:semiHidden/>
    <w:unhideWhenUsed/>
    <w:rsid w:val="00ED644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D644C"/>
    <w:rPr>
      <w:rFonts w:eastAsiaTheme="minorEastAsia"/>
      <w:sz w:val="24"/>
      <w:szCs w:val="24"/>
      <w:lang w:eastAsia="it-IT"/>
    </w:rPr>
  </w:style>
  <w:style w:type="paragraph" w:styleId="Pidipagina">
    <w:name w:val="footer"/>
    <w:basedOn w:val="Normale"/>
    <w:link w:val="PidipaginaCarattere"/>
    <w:uiPriority w:val="99"/>
    <w:unhideWhenUsed/>
    <w:rsid w:val="00ED644C"/>
    <w:pPr>
      <w:tabs>
        <w:tab w:val="center" w:pos="4819"/>
        <w:tab w:val="right" w:pos="9638"/>
      </w:tabs>
    </w:pPr>
  </w:style>
  <w:style w:type="character" w:customStyle="1" w:styleId="PidipaginaCarattere">
    <w:name w:val="Piè di pagina Carattere"/>
    <w:basedOn w:val="Carpredefinitoparagrafo"/>
    <w:link w:val="Pidipagina"/>
    <w:uiPriority w:val="99"/>
    <w:rsid w:val="00ED644C"/>
    <w:rPr>
      <w:rFonts w:eastAsiaTheme="minorEastAs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71112">
      <w:bodyDiv w:val="1"/>
      <w:marLeft w:val="0"/>
      <w:marRight w:val="0"/>
      <w:marTop w:val="0"/>
      <w:marBottom w:val="0"/>
      <w:divBdr>
        <w:top w:val="none" w:sz="0" w:space="0" w:color="auto"/>
        <w:left w:val="none" w:sz="0" w:space="0" w:color="auto"/>
        <w:bottom w:val="none" w:sz="0" w:space="0" w:color="auto"/>
        <w:right w:val="none" w:sz="0" w:space="0" w:color="auto"/>
      </w:divBdr>
    </w:div>
    <w:div w:id="1388534990">
      <w:bodyDiv w:val="1"/>
      <w:marLeft w:val="0"/>
      <w:marRight w:val="0"/>
      <w:marTop w:val="0"/>
      <w:marBottom w:val="0"/>
      <w:divBdr>
        <w:top w:val="none" w:sz="0" w:space="0" w:color="auto"/>
        <w:left w:val="none" w:sz="0" w:space="0" w:color="auto"/>
        <w:bottom w:val="none" w:sz="0" w:space="0" w:color="auto"/>
        <w:right w:val="none" w:sz="0" w:space="0" w:color="auto"/>
      </w:divBdr>
    </w:div>
    <w:div w:id="1464730753">
      <w:bodyDiv w:val="1"/>
      <w:marLeft w:val="0"/>
      <w:marRight w:val="0"/>
      <w:marTop w:val="0"/>
      <w:marBottom w:val="0"/>
      <w:divBdr>
        <w:top w:val="none" w:sz="0" w:space="0" w:color="auto"/>
        <w:left w:val="none" w:sz="0" w:space="0" w:color="auto"/>
        <w:bottom w:val="none" w:sz="0" w:space="0" w:color="auto"/>
        <w:right w:val="none" w:sz="0" w:space="0" w:color="auto"/>
      </w:divBdr>
    </w:div>
    <w:div w:id="1568958248">
      <w:bodyDiv w:val="1"/>
      <w:marLeft w:val="0"/>
      <w:marRight w:val="0"/>
      <w:marTop w:val="0"/>
      <w:marBottom w:val="0"/>
      <w:divBdr>
        <w:top w:val="none" w:sz="0" w:space="0" w:color="auto"/>
        <w:left w:val="none" w:sz="0" w:space="0" w:color="auto"/>
        <w:bottom w:val="none" w:sz="0" w:space="0" w:color="auto"/>
        <w:right w:val="none" w:sz="0" w:space="0" w:color="auto"/>
      </w:divBdr>
    </w:div>
    <w:div w:id="17854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8A890-A402-4A11-96C4-F3831F72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7359</Words>
  <Characters>41949</Characters>
  <Application>Microsoft Office Word</Application>
  <DocSecurity>0</DocSecurity>
  <Lines>349</Lines>
  <Paragraphs>98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FERRARI Giulia</cp:lastModifiedBy>
  <cp:revision>4</cp:revision>
  <dcterms:created xsi:type="dcterms:W3CDTF">2018-05-10T19:34:00Z</dcterms:created>
  <dcterms:modified xsi:type="dcterms:W3CDTF">2018-05-10T19:35:00Z</dcterms:modified>
</cp:coreProperties>
</file>