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DBD" w:rsidRPr="00BC7B5D" w:rsidRDefault="002E0C88" w:rsidP="00596E5E">
      <w:pPr>
        <w:tabs>
          <w:tab w:val="left" w:pos="0"/>
        </w:tabs>
        <w:jc w:val="center"/>
        <w:rPr>
          <w:rFonts w:ascii="Times New Roman" w:hAnsi="Times New Roman"/>
          <w:b/>
          <w:color w:val="0F243E" w:themeColor="text2" w:themeShade="80"/>
          <w:sz w:val="32"/>
        </w:rPr>
      </w:pPr>
      <w:r>
        <w:rPr>
          <w:rFonts w:ascii="Times New Roman" w:hAnsi="Times New Roman"/>
          <w:b/>
          <w:color w:val="0F243E" w:themeColor="text2" w:themeShade="80"/>
          <w:sz w:val="36"/>
        </w:rPr>
        <w:t>L</w:t>
      </w:r>
      <w:r w:rsidR="00EB286F" w:rsidRPr="00BC7B5D">
        <w:rPr>
          <w:rFonts w:ascii="Times New Roman" w:hAnsi="Times New Roman"/>
          <w:b/>
          <w:color w:val="0F243E" w:themeColor="text2" w:themeShade="80"/>
          <w:sz w:val="36"/>
        </w:rPr>
        <w:t xml:space="preserve">a </w:t>
      </w:r>
      <w:r w:rsidR="00EB286F" w:rsidRPr="00BC7B5D">
        <w:rPr>
          <w:rFonts w:ascii="Times New Roman" w:hAnsi="Times New Roman"/>
          <w:b/>
          <w:i/>
          <w:color w:val="0F243E" w:themeColor="text2" w:themeShade="80"/>
          <w:sz w:val="36"/>
        </w:rPr>
        <w:t>regolazione flessibile</w:t>
      </w:r>
      <w:r w:rsidR="00EB286F" w:rsidRPr="00BC7B5D">
        <w:rPr>
          <w:rFonts w:ascii="Times New Roman" w:hAnsi="Times New Roman"/>
          <w:b/>
          <w:color w:val="0F243E" w:themeColor="text2" w:themeShade="80"/>
          <w:sz w:val="36"/>
        </w:rPr>
        <w:t xml:space="preserve"> </w:t>
      </w:r>
      <w:r w:rsidR="00B14BC2" w:rsidRPr="00BC7B5D">
        <w:rPr>
          <w:rFonts w:ascii="Times New Roman" w:hAnsi="Times New Roman"/>
          <w:b/>
          <w:color w:val="0F243E" w:themeColor="text2" w:themeShade="80"/>
          <w:sz w:val="36"/>
        </w:rPr>
        <w:t xml:space="preserve">dei contratti pubblici e </w:t>
      </w:r>
      <w:r w:rsidR="00EB286F" w:rsidRPr="00BC7B5D">
        <w:rPr>
          <w:rFonts w:ascii="Times New Roman" w:hAnsi="Times New Roman"/>
          <w:b/>
          <w:color w:val="0F243E" w:themeColor="text2" w:themeShade="80"/>
          <w:sz w:val="36"/>
        </w:rPr>
        <w:t xml:space="preserve">le linee guida dell’ANAC nei </w:t>
      </w:r>
      <w:r w:rsidR="00EB286F" w:rsidRPr="00BC7B5D">
        <w:rPr>
          <w:rFonts w:ascii="Times New Roman" w:hAnsi="Times New Roman"/>
          <w:b/>
          <w:i/>
          <w:color w:val="0F243E" w:themeColor="text2" w:themeShade="80"/>
          <w:sz w:val="36"/>
        </w:rPr>
        <w:t>settori speciali</w:t>
      </w:r>
      <w:r w:rsidR="00D46DBD" w:rsidRPr="00BC7B5D">
        <w:rPr>
          <w:rFonts w:ascii="Times New Roman" w:hAnsi="Times New Roman"/>
          <w:b/>
          <w:i/>
          <w:color w:val="0F243E" w:themeColor="text2" w:themeShade="80"/>
          <w:sz w:val="36"/>
        </w:rPr>
        <w:t xml:space="preserve"> </w:t>
      </w:r>
      <w:r w:rsidR="00D46DBD" w:rsidRPr="00BC7B5D">
        <w:rPr>
          <w:rFonts w:ascii="Times New Roman" w:hAnsi="Times New Roman"/>
          <w:b/>
          <w:color w:val="0F243E" w:themeColor="text2" w:themeShade="80"/>
          <w:sz w:val="20"/>
        </w:rPr>
        <w:t>(*)</w:t>
      </w:r>
    </w:p>
    <w:p w:rsidR="00D46DBD" w:rsidRPr="00BC7B5D" w:rsidRDefault="00D46DBD" w:rsidP="00596E5E">
      <w:pPr>
        <w:pStyle w:val="Paragrafoelenco"/>
        <w:tabs>
          <w:tab w:val="left" w:pos="0"/>
        </w:tabs>
        <w:ind w:left="0"/>
        <w:jc w:val="right"/>
        <w:rPr>
          <w:rFonts w:ascii="Times New Roman" w:hAnsi="Times New Roman"/>
          <w:color w:val="0F243E" w:themeColor="text2" w:themeShade="80"/>
          <w:sz w:val="28"/>
        </w:rPr>
      </w:pPr>
    </w:p>
    <w:p w:rsidR="00D46DBD" w:rsidRPr="00BC7B5D" w:rsidRDefault="00D46DBD" w:rsidP="00596E5E">
      <w:pPr>
        <w:pStyle w:val="Paragrafoelenco"/>
        <w:tabs>
          <w:tab w:val="left" w:pos="0"/>
        </w:tabs>
        <w:spacing w:line="240" w:lineRule="auto"/>
        <w:ind w:left="0"/>
        <w:rPr>
          <w:rFonts w:ascii="Times New Roman" w:hAnsi="Times New Roman"/>
          <w:color w:val="0F243E" w:themeColor="text2" w:themeShade="80"/>
          <w:sz w:val="26"/>
          <w:szCs w:val="26"/>
        </w:rPr>
      </w:pPr>
      <w:r w:rsidRPr="00BC7B5D">
        <w:rPr>
          <w:rFonts w:ascii="Times New Roman" w:hAnsi="Times New Roman"/>
          <w:color w:val="0F243E" w:themeColor="text2" w:themeShade="80"/>
          <w:sz w:val="26"/>
          <w:szCs w:val="26"/>
        </w:rPr>
        <w:t>(*)</w:t>
      </w:r>
      <w:r w:rsidR="001F1EBF">
        <w:rPr>
          <w:rFonts w:ascii="Times New Roman" w:hAnsi="Times New Roman"/>
          <w:color w:val="0F243E" w:themeColor="text2" w:themeShade="80"/>
          <w:sz w:val="26"/>
          <w:szCs w:val="26"/>
        </w:rPr>
        <w:t xml:space="preserve"> Il presente contributo è destinato ad essere pubblicato nella </w:t>
      </w:r>
      <w:r w:rsidR="001F1EBF" w:rsidRPr="001F1EBF">
        <w:rPr>
          <w:rFonts w:ascii="Times New Roman" w:hAnsi="Times New Roman"/>
          <w:i/>
          <w:color w:val="0F243E" w:themeColor="text2" w:themeShade="80"/>
          <w:sz w:val="26"/>
          <w:szCs w:val="26"/>
        </w:rPr>
        <w:t>Collana AIDEN</w:t>
      </w:r>
      <w:r w:rsidRPr="00BC7B5D">
        <w:rPr>
          <w:rFonts w:ascii="Times New Roman" w:hAnsi="Times New Roman"/>
          <w:color w:val="0F243E" w:themeColor="text2" w:themeShade="80"/>
          <w:sz w:val="26"/>
          <w:szCs w:val="26"/>
        </w:rPr>
        <w:t xml:space="preserve"> </w:t>
      </w:r>
      <w:r w:rsidR="001F1EBF">
        <w:rPr>
          <w:rFonts w:ascii="Times New Roman" w:hAnsi="Times New Roman"/>
          <w:color w:val="0F243E" w:themeColor="text2" w:themeShade="80"/>
          <w:sz w:val="26"/>
          <w:szCs w:val="26"/>
        </w:rPr>
        <w:t xml:space="preserve">del dritto dell’energia. Il </w:t>
      </w:r>
      <w:r w:rsidRPr="00BC7B5D">
        <w:rPr>
          <w:rFonts w:ascii="Times New Roman" w:hAnsi="Times New Roman"/>
          <w:color w:val="0F243E" w:themeColor="text2" w:themeShade="80"/>
          <w:sz w:val="26"/>
          <w:szCs w:val="26"/>
        </w:rPr>
        <w:t>testo</w:t>
      </w:r>
      <w:r w:rsidR="008C6D7B" w:rsidRPr="00BC7B5D">
        <w:rPr>
          <w:rFonts w:ascii="Times New Roman" w:hAnsi="Times New Roman"/>
          <w:color w:val="0F243E" w:themeColor="text2" w:themeShade="80"/>
          <w:sz w:val="26"/>
          <w:szCs w:val="26"/>
        </w:rPr>
        <w:t xml:space="preserve"> –</w:t>
      </w:r>
      <w:r w:rsidR="0043486A" w:rsidRPr="00BC7B5D">
        <w:rPr>
          <w:rFonts w:ascii="Times New Roman" w:hAnsi="Times New Roman"/>
          <w:color w:val="0F243E" w:themeColor="text2" w:themeShade="80"/>
          <w:sz w:val="26"/>
          <w:szCs w:val="26"/>
        </w:rPr>
        <w:t xml:space="preserve"> </w:t>
      </w:r>
      <w:r w:rsidR="008C6D7B" w:rsidRPr="00BC7B5D">
        <w:rPr>
          <w:rFonts w:ascii="Times New Roman" w:hAnsi="Times New Roman"/>
          <w:i/>
          <w:color w:val="0F243E" w:themeColor="text2" w:themeShade="80"/>
          <w:sz w:val="26"/>
          <w:szCs w:val="26"/>
        </w:rPr>
        <w:t>rivisto e aggiornato</w:t>
      </w:r>
      <w:r w:rsidR="008C6D7B" w:rsidRPr="00BC7B5D">
        <w:rPr>
          <w:rFonts w:ascii="Times New Roman" w:hAnsi="Times New Roman"/>
          <w:color w:val="0F243E" w:themeColor="text2" w:themeShade="80"/>
          <w:sz w:val="26"/>
          <w:szCs w:val="26"/>
        </w:rPr>
        <w:t xml:space="preserve"> -</w:t>
      </w:r>
      <w:r w:rsidRPr="00BC7B5D">
        <w:rPr>
          <w:rFonts w:ascii="Times New Roman" w:hAnsi="Times New Roman"/>
          <w:color w:val="0F243E" w:themeColor="text2" w:themeShade="80"/>
          <w:sz w:val="26"/>
          <w:szCs w:val="26"/>
        </w:rPr>
        <w:t xml:space="preserve"> della Relazione </w:t>
      </w:r>
      <w:r w:rsidR="00B14BC2" w:rsidRPr="00BC7B5D">
        <w:rPr>
          <w:rFonts w:ascii="Times New Roman" w:hAnsi="Times New Roman"/>
          <w:color w:val="0F243E" w:themeColor="text2" w:themeShade="80"/>
          <w:sz w:val="26"/>
          <w:szCs w:val="26"/>
        </w:rPr>
        <w:t>“</w:t>
      </w:r>
      <w:r w:rsidR="00B14BC2" w:rsidRPr="00BC7B5D">
        <w:rPr>
          <w:rFonts w:ascii="Times New Roman" w:hAnsi="Times New Roman"/>
          <w:i/>
          <w:color w:val="0F243E" w:themeColor="text2" w:themeShade="80"/>
          <w:sz w:val="26"/>
          <w:szCs w:val="26"/>
        </w:rPr>
        <w:t xml:space="preserve">Il ruolo dell’ANAC nei settori </w:t>
      </w:r>
      <w:r w:rsidR="00B14BC2" w:rsidRPr="00781243">
        <w:rPr>
          <w:rFonts w:ascii="Times New Roman" w:hAnsi="Times New Roman"/>
          <w:i/>
          <w:color w:val="0F243E" w:themeColor="text2" w:themeShade="80"/>
          <w:sz w:val="26"/>
          <w:szCs w:val="26"/>
        </w:rPr>
        <w:t>speciali e il</w:t>
      </w:r>
      <w:r w:rsidR="00B14BC2" w:rsidRPr="00BC7B5D">
        <w:rPr>
          <w:rFonts w:ascii="Times New Roman" w:hAnsi="Times New Roman"/>
          <w:i/>
          <w:color w:val="0F243E" w:themeColor="text2" w:themeShade="80"/>
          <w:sz w:val="26"/>
          <w:szCs w:val="26"/>
        </w:rPr>
        <w:t xml:space="preserve"> sistema della regolazione flessibile</w:t>
      </w:r>
      <w:r w:rsidR="00B14BC2" w:rsidRPr="00BC7B5D">
        <w:rPr>
          <w:rFonts w:ascii="Times New Roman" w:hAnsi="Times New Roman"/>
          <w:color w:val="0F243E" w:themeColor="text2" w:themeShade="80"/>
          <w:sz w:val="26"/>
          <w:szCs w:val="26"/>
        </w:rPr>
        <w:t xml:space="preserve">”, </w:t>
      </w:r>
      <w:r w:rsidRPr="00BC7B5D">
        <w:rPr>
          <w:rFonts w:ascii="Times New Roman" w:hAnsi="Times New Roman"/>
          <w:color w:val="0F243E" w:themeColor="text2" w:themeShade="80"/>
          <w:sz w:val="26"/>
          <w:szCs w:val="26"/>
        </w:rPr>
        <w:t xml:space="preserve">svolta al Convegno </w:t>
      </w:r>
      <w:r w:rsidRPr="00BC7B5D">
        <w:rPr>
          <w:rFonts w:ascii="Times New Roman" w:hAnsi="Times New Roman"/>
          <w:i/>
          <w:color w:val="0F243E" w:themeColor="text2" w:themeShade="80"/>
          <w:sz w:val="26"/>
          <w:szCs w:val="26"/>
        </w:rPr>
        <w:t xml:space="preserve">Il Codice dei contratti pubblici e gli appalti nei </w:t>
      </w:r>
      <w:r w:rsidR="00CE1F7B" w:rsidRPr="00BC7B5D">
        <w:rPr>
          <w:rFonts w:ascii="Times New Roman" w:hAnsi="Times New Roman"/>
          <w:i/>
          <w:color w:val="0F243E" w:themeColor="text2" w:themeShade="80"/>
          <w:sz w:val="26"/>
          <w:szCs w:val="26"/>
        </w:rPr>
        <w:t xml:space="preserve">settori </w:t>
      </w:r>
      <w:r w:rsidRPr="00BC7B5D">
        <w:rPr>
          <w:rFonts w:ascii="Times New Roman" w:hAnsi="Times New Roman"/>
          <w:i/>
          <w:color w:val="0F243E" w:themeColor="text2" w:themeShade="80"/>
          <w:sz w:val="26"/>
          <w:szCs w:val="26"/>
        </w:rPr>
        <w:t>speciali dell’energia</w:t>
      </w:r>
      <w:r w:rsidRPr="00BC7B5D">
        <w:rPr>
          <w:rFonts w:ascii="Times New Roman" w:hAnsi="Times New Roman"/>
          <w:color w:val="0F243E" w:themeColor="text2" w:themeShade="80"/>
          <w:sz w:val="26"/>
          <w:szCs w:val="26"/>
        </w:rPr>
        <w:t xml:space="preserve">, organizzato da AIDEN, </w:t>
      </w:r>
      <w:r w:rsidRPr="00BC7B5D">
        <w:rPr>
          <w:rFonts w:ascii="Times New Roman" w:hAnsi="Times New Roman"/>
          <w:smallCaps/>
          <w:color w:val="0F243E" w:themeColor="text2" w:themeShade="80"/>
          <w:sz w:val="26"/>
          <w:szCs w:val="26"/>
        </w:rPr>
        <w:t xml:space="preserve">Associazione Italiana di Diritto dell’energia, </w:t>
      </w:r>
      <w:r w:rsidRPr="00BC7B5D">
        <w:rPr>
          <w:rFonts w:ascii="Times New Roman" w:hAnsi="Times New Roman"/>
          <w:color w:val="0F243E" w:themeColor="text2" w:themeShade="80"/>
          <w:sz w:val="26"/>
          <w:szCs w:val="26"/>
        </w:rPr>
        <w:t>Milano 22 maggio 2017.</w:t>
      </w:r>
    </w:p>
    <w:p w:rsidR="00D46DBD" w:rsidRDefault="00D46DBD" w:rsidP="00596E5E">
      <w:pPr>
        <w:pStyle w:val="Paragrafoelenco"/>
        <w:tabs>
          <w:tab w:val="left" w:pos="0"/>
        </w:tabs>
        <w:ind w:left="0"/>
        <w:rPr>
          <w:rFonts w:ascii="Times New Roman" w:hAnsi="Times New Roman"/>
          <w:color w:val="0F243E" w:themeColor="text2" w:themeShade="80"/>
          <w:sz w:val="28"/>
        </w:rPr>
      </w:pPr>
    </w:p>
    <w:p w:rsidR="00933900" w:rsidRPr="00CC16D2" w:rsidRDefault="00933900" w:rsidP="00933900">
      <w:pPr>
        <w:tabs>
          <w:tab w:val="left" w:pos="0"/>
        </w:tabs>
        <w:spacing w:line="240" w:lineRule="auto"/>
        <w:contextualSpacing/>
        <w:rPr>
          <w:rFonts w:asciiTheme="minorHAnsi" w:hAnsiTheme="minorHAnsi" w:cstheme="minorHAnsi"/>
          <w:color w:val="0F243E"/>
          <w:sz w:val="26"/>
          <w:szCs w:val="26"/>
        </w:rPr>
      </w:pPr>
      <w:r w:rsidRPr="00951635">
        <w:rPr>
          <w:rFonts w:cstheme="minorHAnsi"/>
          <w:b/>
          <w:i/>
          <w:color w:val="0F243E"/>
          <w:sz w:val="26"/>
          <w:szCs w:val="26"/>
        </w:rPr>
        <w:t>Sommario</w:t>
      </w:r>
      <w:r>
        <w:rPr>
          <w:rFonts w:cstheme="minorHAnsi"/>
          <w:color w:val="0F243E"/>
          <w:sz w:val="26"/>
          <w:szCs w:val="26"/>
        </w:rPr>
        <w:t xml:space="preserve">. - </w:t>
      </w:r>
      <w:r w:rsidRPr="00CC16D2">
        <w:rPr>
          <w:rFonts w:asciiTheme="minorHAnsi" w:hAnsiTheme="minorHAnsi" w:cstheme="minorHAnsi"/>
          <w:color w:val="0F243E"/>
          <w:sz w:val="26"/>
          <w:szCs w:val="26"/>
        </w:rPr>
        <w:t xml:space="preserve">1. Il sistema delle fonti nel </w:t>
      </w:r>
      <w:r w:rsidRPr="00CC16D2">
        <w:rPr>
          <w:rFonts w:asciiTheme="minorHAnsi" w:hAnsiTheme="minorHAnsi" w:cstheme="minorHAnsi"/>
          <w:i/>
          <w:color w:val="0F243E"/>
          <w:sz w:val="26"/>
          <w:szCs w:val="26"/>
        </w:rPr>
        <w:t>mercato</w:t>
      </w:r>
      <w:r w:rsidRPr="00CC16D2">
        <w:rPr>
          <w:rFonts w:asciiTheme="minorHAnsi" w:hAnsiTheme="minorHAnsi" w:cstheme="minorHAnsi"/>
          <w:color w:val="0F243E"/>
          <w:sz w:val="26"/>
          <w:szCs w:val="26"/>
        </w:rPr>
        <w:t xml:space="preserve"> dei contratti pubblici e la regolazione flessi</w:t>
      </w:r>
      <w:r w:rsidR="00AD2791">
        <w:rPr>
          <w:rFonts w:asciiTheme="minorHAnsi" w:hAnsiTheme="minorHAnsi" w:cstheme="minorHAnsi"/>
          <w:color w:val="0F243E"/>
          <w:sz w:val="26"/>
          <w:szCs w:val="26"/>
        </w:rPr>
        <w:t>bile. L’estensione dei poteri de</w:t>
      </w:r>
      <w:r w:rsidRPr="00CC16D2">
        <w:rPr>
          <w:rFonts w:asciiTheme="minorHAnsi" w:hAnsiTheme="minorHAnsi" w:cstheme="minorHAnsi"/>
          <w:color w:val="0F243E"/>
          <w:sz w:val="26"/>
          <w:szCs w:val="26"/>
        </w:rPr>
        <w:t xml:space="preserve">ll’ANAC ai settori speciali. - 2. L’autonomia normativa e organizzativa delle stazioni appaltanti operanti nei settori speciali. La compatibilità con il potere di regolazione dell’ANAC. - 3. La puntuale indicazione delle disposizioni applicabili ai settori speciali e il ruolo della regolazione flessibile. - 4. L’esercizio concreto dei poteri di regolazione flessibile. La scarsa incidenza quantitativa e qualitativa delle linee guida nei settori speciali. - 5. L’esperienza concreta dei bandi tipo. L’inapplicabilità diretta ai settori speciali e l’esortazione non vincolante dell’ANAC alla loro osservanza spontanea. - 6. L’oggettiva assenza di rilievo della </w:t>
      </w:r>
      <w:r w:rsidRPr="00CC16D2">
        <w:rPr>
          <w:rFonts w:asciiTheme="minorHAnsi" w:hAnsiTheme="minorHAnsi" w:cstheme="minorHAnsi"/>
          <w:i/>
          <w:color w:val="0F243E"/>
          <w:sz w:val="26"/>
          <w:szCs w:val="26"/>
        </w:rPr>
        <w:t>regolazione flessibile</w:t>
      </w:r>
      <w:r w:rsidRPr="00CC16D2">
        <w:rPr>
          <w:rFonts w:asciiTheme="minorHAnsi" w:hAnsiTheme="minorHAnsi" w:cstheme="minorHAnsi"/>
          <w:color w:val="0F243E"/>
          <w:sz w:val="26"/>
          <w:szCs w:val="26"/>
        </w:rPr>
        <w:t xml:space="preserve"> nei settori speciali e le sue possibili ragioni. Le criticità degli strumenti innovativi previsti dal codice. - 7. La flessibilità nelle direttive del 2014: la duttilità degli istituti, la discrezionalità delle singole stazioni appaltanti e la chiarezza delle norme primarie. - 8. I principi della regolazione flessibile affermati dalla legge n. 16/2016. - 9. Dalla </w:t>
      </w:r>
      <w:r w:rsidRPr="00CC16D2">
        <w:rPr>
          <w:rFonts w:asciiTheme="minorHAnsi" w:hAnsiTheme="minorHAnsi" w:cstheme="minorHAnsi"/>
          <w:i/>
          <w:color w:val="0F243E"/>
          <w:sz w:val="26"/>
          <w:szCs w:val="26"/>
        </w:rPr>
        <w:t>regolamentazione</w:t>
      </w:r>
      <w:r w:rsidRPr="00CC16D2">
        <w:rPr>
          <w:rFonts w:asciiTheme="minorHAnsi" w:hAnsiTheme="minorHAnsi" w:cstheme="minorHAnsi"/>
          <w:color w:val="0F243E"/>
          <w:sz w:val="26"/>
          <w:szCs w:val="26"/>
        </w:rPr>
        <w:t xml:space="preserve"> alla </w:t>
      </w:r>
      <w:r w:rsidRPr="00CC16D2">
        <w:rPr>
          <w:rFonts w:asciiTheme="minorHAnsi" w:hAnsiTheme="minorHAnsi" w:cstheme="minorHAnsi"/>
          <w:i/>
          <w:color w:val="0F243E"/>
          <w:sz w:val="26"/>
          <w:szCs w:val="26"/>
        </w:rPr>
        <w:t>regolazione</w:t>
      </w:r>
      <w:r w:rsidRPr="00CC16D2">
        <w:rPr>
          <w:rFonts w:asciiTheme="minorHAnsi" w:hAnsiTheme="minorHAnsi" w:cstheme="minorHAnsi"/>
          <w:color w:val="0F243E"/>
          <w:sz w:val="26"/>
          <w:szCs w:val="26"/>
        </w:rPr>
        <w:t xml:space="preserve"> flessibile: le previsioni del codice n. 50/2016. - 10. Le regole generali riguardanti il procedimento di </w:t>
      </w:r>
      <w:r w:rsidRPr="00CC16D2">
        <w:rPr>
          <w:rFonts w:asciiTheme="minorHAnsi" w:hAnsiTheme="minorHAnsi" w:cstheme="minorHAnsi"/>
          <w:i/>
          <w:color w:val="0F243E"/>
          <w:sz w:val="26"/>
          <w:szCs w:val="26"/>
        </w:rPr>
        <w:t>formazione</w:t>
      </w:r>
      <w:r w:rsidRPr="00CC16D2">
        <w:rPr>
          <w:rFonts w:asciiTheme="minorHAnsi" w:hAnsiTheme="minorHAnsi" w:cstheme="minorHAnsi"/>
          <w:color w:val="0F243E"/>
          <w:sz w:val="26"/>
          <w:szCs w:val="26"/>
        </w:rPr>
        <w:t xml:space="preserve"> della </w:t>
      </w:r>
      <w:r w:rsidRPr="00CC16D2">
        <w:rPr>
          <w:rFonts w:asciiTheme="minorHAnsi" w:hAnsiTheme="minorHAnsi" w:cstheme="minorHAnsi"/>
          <w:i/>
          <w:color w:val="0F243E"/>
          <w:sz w:val="26"/>
          <w:szCs w:val="26"/>
        </w:rPr>
        <w:t>regolazione flessibile</w:t>
      </w:r>
      <w:r w:rsidRPr="00CC16D2">
        <w:rPr>
          <w:rFonts w:asciiTheme="minorHAnsi" w:hAnsiTheme="minorHAnsi" w:cstheme="minorHAnsi"/>
          <w:color w:val="0F243E"/>
          <w:sz w:val="26"/>
          <w:szCs w:val="26"/>
        </w:rPr>
        <w:t xml:space="preserve">. La pubblicazione. - 11. L’ipotesi tipica dei </w:t>
      </w:r>
      <w:r w:rsidRPr="00CC16D2">
        <w:rPr>
          <w:rFonts w:asciiTheme="minorHAnsi" w:hAnsiTheme="minorHAnsi" w:cstheme="minorHAnsi"/>
          <w:i/>
          <w:color w:val="0F243E"/>
          <w:sz w:val="26"/>
          <w:szCs w:val="26"/>
        </w:rPr>
        <w:t>bandi-tipo</w:t>
      </w:r>
      <w:r w:rsidRPr="00CC16D2">
        <w:rPr>
          <w:rFonts w:asciiTheme="minorHAnsi" w:hAnsiTheme="minorHAnsi" w:cstheme="minorHAnsi"/>
          <w:color w:val="0F243E"/>
          <w:sz w:val="26"/>
          <w:szCs w:val="26"/>
        </w:rPr>
        <w:t xml:space="preserve">: la </w:t>
      </w:r>
      <w:r w:rsidRPr="00CC16D2">
        <w:rPr>
          <w:rFonts w:asciiTheme="minorHAnsi" w:hAnsiTheme="minorHAnsi" w:cstheme="minorHAnsi"/>
          <w:i/>
          <w:color w:val="0F243E"/>
          <w:sz w:val="26"/>
          <w:szCs w:val="26"/>
        </w:rPr>
        <w:t>vincolatività condizionata</w:t>
      </w:r>
      <w:r w:rsidRPr="00CC16D2">
        <w:rPr>
          <w:rFonts w:asciiTheme="minorHAnsi" w:hAnsiTheme="minorHAnsi" w:cstheme="minorHAnsi"/>
          <w:color w:val="0F243E"/>
          <w:sz w:val="26"/>
          <w:szCs w:val="26"/>
        </w:rPr>
        <w:t xml:space="preserve"> delle prescrizioni stabilite dall’ANAC. - </w:t>
      </w:r>
      <w:r w:rsidRPr="00CC16D2">
        <w:rPr>
          <w:rFonts w:asciiTheme="minorHAnsi" w:hAnsiTheme="minorHAnsi" w:cstheme="minorHAnsi"/>
          <w:color w:val="0F243E" w:themeColor="text2" w:themeShade="80"/>
          <w:sz w:val="26"/>
          <w:szCs w:val="26"/>
        </w:rPr>
        <w:t xml:space="preserve">12. Le </w:t>
      </w:r>
      <w:r w:rsidRPr="00CC16D2">
        <w:rPr>
          <w:rFonts w:asciiTheme="minorHAnsi" w:hAnsiTheme="minorHAnsi" w:cstheme="minorHAnsi"/>
          <w:i/>
          <w:color w:val="0F243E" w:themeColor="text2" w:themeShade="80"/>
          <w:sz w:val="26"/>
          <w:szCs w:val="26"/>
        </w:rPr>
        <w:t>linee guida</w:t>
      </w:r>
      <w:r w:rsidRPr="00CC16D2">
        <w:rPr>
          <w:rFonts w:asciiTheme="minorHAnsi" w:hAnsiTheme="minorHAnsi" w:cstheme="minorHAnsi"/>
          <w:color w:val="0F243E" w:themeColor="text2" w:themeShade="80"/>
          <w:sz w:val="26"/>
          <w:szCs w:val="26"/>
        </w:rPr>
        <w:t xml:space="preserve"> nel sistema della regolazione flessibile: La riscontrata assenza di un modello unitario. Le principali ipotesi di classificazione e di qualificazione giuridica. - </w:t>
      </w:r>
      <w:r w:rsidRPr="00CC16D2">
        <w:rPr>
          <w:rFonts w:asciiTheme="minorHAnsi" w:hAnsiTheme="minorHAnsi" w:cstheme="minorHAnsi"/>
          <w:color w:val="0F243E"/>
          <w:sz w:val="26"/>
          <w:szCs w:val="26"/>
        </w:rPr>
        <w:t>13. Le LG approvate con decreto ministeriale. La loro natura regolamentare e le criticità aperte. La nozione sostanziale di “linee guida”. - 14. La tecnica linguistica di espressione delle linee guida: la Flessibilità e il carattere “aperto” della prescrizione. La struttura “discorsiva” della statuizione: la sua persuasività e la maggiore chiarezza analitica. - 15. La natura regolamentare delle linee guida vincolanti. L’efficacia delle linee guida non vincolanti. - 16. La natura giuridica delle linee guida in materia di affidamenti sottosoglia. - 17. Il ruolo effettivo della nozione di regolazione flessibile nel sistema delle fonti. - 18. La flessibilità delle regolazione in senso “</w:t>
      </w:r>
      <w:r w:rsidRPr="00CC16D2">
        <w:rPr>
          <w:rFonts w:asciiTheme="minorHAnsi" w:hAnsiTheme="minorHAnsi" w:cstheme="minorHAnsi"/>
          <w:i/>
          <w:color w:val="0F243E"/>
          <w:sz w:val="26"/>
          <w:szCs w:val="26"/>
        </w:rPr>
        <w:t>diacronico</w:t>
      </w:r>
      <w:r w:rsidRPr="00CC16D2">
        <w:rPr>
          <w:rFonts w:asciiTheme="minorHAnsi" w:hAnsiTheme="minorHAnsi" w:cstheme="minorHAnsi"/>
          <w:color w:val="0F243E"/>
          <w:sz w:val="26"/>
          <w:szCs w:val="26"/>
        </w:rPr>
        <w:t xml:space="preserve">” e l’adattabilità sincronica alle mutevoli circostanze. - 19. La flessibilità dei poteri dell’ANAC e il rispetto dell’autonomia normativa delle regioni, delle amministrazioni e delle stazioni appaltanti. I limiti costituzionali dell’art. 117. </w:t>
      </w:r>
      <w:r w:rsidR="001F1EBF" w:rsidRPr="00CC16D2">
        <w:rPr>
          <w:rFonts w:asciiTheme="minorHAnsi" w:hAnsiTheme="minorHAnsi" w:cstheme="minorHAnsi"/>
          <w:color w:val="0F243E"/>
          <w:sz w:val="26"/>
          <w:szCs w:val="26"/>
        </w:rPr>
        <w:t xml:space="preserve">Il </w:t>
      </w:r>
      <w:r w:rsidRPr="00CC16D2">
        <w:rPr>
          <w:rFonts w:asciiTheme="minorHAnsi" w:hAnsiTheme="minorHAnsi" w:cstheme="minorHAnsi"/>
          <w:color w:val="0F243E"/>
          <w:sz w:val="26"/>
          <w:szCs w:val="26"/>
        </w:rPr>
        <w:t xml:space="preserve">rapporto dell’ANAC con il Governo. - 20. Flessibilità e intensità del sindacato giurisdizionale. Il problema specifico delle linee guida </w:t>
      </w:r>
      <w:r w:rsidRPr="00CC16D2">
        <w:rPr>
          <w:rFonts w:asciiTheme="minorHAnsi" w:hAnsiTheme="minorHAnsi" w:cstheme="minorHAnsi"/>
          <w:color w:val="0F243E"/>
          <w:sz w:val="26"/>
          <w:szCs w:val="26"/>
        </w:rPr>
        <w:lastRenderedPageBreak/>
        <w:t>non vincolanti. - 21. Un possibile ripensamento della espansione della   regolamentazione flessibile: il ritorno alla tecnica normativa tradizionale?</w:t>
      </w:r>
    </w:p>
    <w:p w:rsidR="00933900" w:rsidRPr="00BC7B5D" w:rsidRDefault="00933900" w:rsidP="00596E5E">
      <w:pPr>
        <w:pStyle w:val="Paragrafoelenco"/>
        <w:tabs>
          <w:tab w:val="left" w:pos="0"/>
        </w:tabs>
        <w:ind w:left="0"/>
        <w:rPr>
          <w:rFonts w:ascii="Times New Roman" w:hAnsi="Times New Roman"/>
          <w:color w:val="0F243E" w:themeColor="text2" w:themeShade="80"/>
          <w:sz w:val="28"/>
        </w:rPr>
      </w:pPr>
    </w:p>
    <w:p w:rsidR="00B258AC" w:rsidRPr="00B258AC" w:rsidRDefault="00D46DBD" w:rsidP="00596E5E">
      <w:pPr>
        <w:pStyle w:val="Paragrafoelenco"/>
        <w:numPr>
          <w:ilvl w:val="0"/>
          <w:numId w:val="1"/>
        </w:numPr>
        <w:tabs>
          <w:tab w:val="left" w:pos="0"/>
        </w:tabs>
        <w:ind w:left="0" w:firstLine="709"/>
        <w:rPr>
          <w:rFonts w:ascii="Times New Roman" w:hAnsi="Times New Roman"/>
          <w:smallCaps/>
          <w:color w:val="0F243E" w:themeColor="text2" w:themeShade="80"/>
          <w:sz w:val="26"/>
          <w:szCs w:val="26"/>
        </w:rPr>
      </w:pPr>
      <w:r w:rsidRPr="002360E5">
        <w:rPr>
          <w:rFonts w:ascii="Times New Roman" w:hAnsi="Times New Roman"/>
          <w:b/>
          <w:smallCaps/>
          <w:color w:val="0F243E" w:themeColor="text2" w:themeShade="80"/>
          <w:sz w:val="26"/>
          <w:szCs w:val="26"/>
        </w:rPr>
        <w:t xml:space="preserve">Il </w:t>
      </w:r>
      <w:r w:rsidR="00466CD9" w:rsidRPr="002360E5">
        <w:rPr>
          <w:rFonts w:ascii="Times New Roman" w:hAnsi="Times New Roman"/>
          <w:b/>
          <w:smallCaps/>
          <w:color w:val="0F243E" w:themeColor="text2" w:themeShade="80"/>
          <w:sz w:val="26"/>
          <w:szCs w:val="26"/>
        </w:rPr>
        <w:t xml:space="preserve">sistema delle fonti nel </w:t>
      </w:r>
      <w:r w:rsidRPr="002360E5">
        <w:rPr>
          <w:rFonts w:ascii="Times New Roman" w:hAnsi="Times New Roman"/>
          <w:b/>
          <w:i/>
          <w:smallCaps/>
          <w:color w:val="0F243E" w:themeColor="text2" w:themeShade="80"/>
          <w:sz w:val="26"/>
          <w:szCs w:val="26"/>
        </w:rPr>
        <w:t>mercato</w:t>
      </w:r>
      <w:r w:rsidRPr="002360E5">
        <w:rPr>
          <w:rFonts w:ascii="Times New Roman" w:hAnsi="Times New Roman"/>
          <w:b/>
          <w:smallCaps/>
          <w:color w:val="0F243E" w:themeColor="text2" w:themeShade="80"/>
          <w:sz w:val="26"/>
          <w:szCs w:val="26"/>
        </w:rPr>
        <w:t xml:space="preserve"> dei contratti pubblici</w:t>
      </w:r>
      <w:r w:rsidR="00C163C2" w:rsidRPr="00C163C2">
        <w:rPr>
          <w:rFonts w:ascii="Times New Roman" w:hAnsi="Times New Roman"/>
          <w:b/>
          <w:smallCaps/>
          <w:color w:val="0F243E" w:themeColor="text2" w:themeShade="80"/>
          <w:sz w:val="26"/>
          <w:szCs w:val="26"/>
        </w:rPr>
        <w:t xml:space="preserve"> </w:t>
      </w:r>
      <w:r w:rsidR="00C163C2" w:rsidRPr="002360E5">
        <w:rPr>
          <w:rFonts w:ascii="Times New Roman" w:hAnsi="Times New Roman"/>
          <w:b/>
          <w:smallCaps/>
          <w:color w:val="0F243E" w:themeColor="text2" w:themeShade="80"/>
          <w:sz w:val="26"/>
          <w:szCs w:val="26"/>
        </w:rPr>
        <w:t xml:space="preserve">e </w:t>
      </w:r>
      <w:r w:rsidR="009321A8">
        <w:rPr>
          <w:rFonts w:ascii="Times New Roman" w:hAnsi="Times New Roman"/>
          <w:b/>
          <w:smallCaps/>
          <w:color w:val="0F243E" w:themeColor="text2" w:themeShade="80"/>
          <w:sz w:val="26"/>
          <w:szCs w:val="26"/>
        </w:rPr>
        <w:t xml:space="preserve">la regolazione flessibile. L’estensione dei poteri </w:t>
      </w:r>
      <w:r w:rsidR="00B258AC">
        <w:rPr>
          <w:rFonts w:ascii="Times New Roman" w:hAnsi="Times New Roman"/>
          <w:b/>
          <w:smallCaps/>
          <w:color w:val="0F243E" w:themeColor="text2" w:themeShade="80"/>
          <w:sz w:val="26"/>
          <w:szCs w:val="26"/>
        </w:rPr>
        <w:t>d</w:t>
      </w:r>
      <w:r w:rsidR="00AD2791">
        <w:rPr>
          <w:rFonts w:ascii="Times New Roman" w:hAnsi="Times New Roman"/>
          <w:b/>
          <w:smallCaps/>
          <w:color w:val="0F243E" w:themeColor="text2" w:themeShade="80"/>
          <w:sz w:val="26"/>
          <w:szCs w:val="26"/>
        </w:rPr>
        <w:t>e</w:t>
      </w:r>
      <w:r w:rsidR="00B258AC">
        <w:rPr>
          <w:rFonts w:ascii="Times New Roman" w:hAnsi="Times New Roman"/>
          <w:b/>
          <w:smallCaps/>
          <w:color w:val="0F243E" w:themeColor="text2" w:themeShade="80"/>
          <w:sz w:val="26"/>
          <w:szCs w:val="26"/>
        </w:rPr>
        <w:t xml:space="preserve">ll’ANAC </w:t>
      </w:r>
      <w:r w:rsidR="009321A8">
        <w:rPr>
          <w:rFonts w:ascii="Times New Roman" w:hAnsi="Times New Roman"/>
          <w:b/>
          <w:smallCaps/>
          <w:color w:val="0F243E" w:themeColor="text2" w:themeShade="80"/>
          <w:sz w:val="26"/>
          <w:szCs w:val="26"/>
        </w:rPr>
        <w:t>ai settori spec</w:t>
      </w:r>
      <w:r w:rsidR="00B258AC">
        <w:rPr>
          <w:rFonts w:ascii="Times New Roman" w:hAnsi="Times New Roman"/>
          <w:b/>
          <w:smallCaps/>
          <w:color w:val="0F243E" w:themeColor="text2" w:themeShade="80"/>
          <w:sz w:val="26"/>
          <w:szCs w:val="26"/>
        </w:rPr>
        <w:t>i</w:t>
      </w:r>
      <w:r w:rsidR="009321A8">
        <w:rPr>
          <w:rFonts w:ascii="Times New Roman" w:hAnsi="Times New Roman"/>
          <w:b/>
          <w:smallCaps/>
          <w:color w:val="0F243E" w:themeColor="text2" w:themeShade="80"/>
          <w:sz w:val="26"/>
          <w:szCs w:val="26"/>
        </w:rPr>
        <w:t>ali</w:t>
      </w:r>
      <w:r w:rsidR="00B258AC">
        <w:rPr>
          <w:rFonts w:ascii="Times New Roman" w:hAnsi="Times New Roman"/>
          <w:b/>
          <w:smallCaps/>
          <w:color w:val="0F243E" w:themeColor="text2" w:themeShade="80"/>
          <w:sz w:val="26"/>
          <w:szCs w:val="26"/>
        </w:rPr>
        <w:t>.</w:t>
      </w:r>
    </w:p>
    <w:p w:rsidR="002C01B0" w:rsidRPr="00596E5E" w:rsidRDefault="00D46DBD" w:rsidP="002142A5">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Il quadro </w:t>
      </w:r>
      <w:r w:rsidR="00A60DD6" w:rsidRPr="002360E5">
        <w:rPr>
          <w:rFonts w:ascii="Times New Roman" w:hAnsi="Times New Roman"/>
          <w:color w:val="0F243E" w:themeColor="text2" w:themeShade="80"/>
          <w:sz w:val="26"/>
          <w:szCs w:val="26"/>
        </w:rPr>
        <w:t>delle fonti di disciplina</w:t>
      </w:r>
      <w:r w:rsidRPr="002360E5">
        <w:rPr>
          <w:rFonts w:ascii="Times New Roman" w:hAnsi="Times New Roman"/>
          <w:color w:val="0F243E" w:themeColor="text2" w:themeShade="80"/>
          <w:sz w:val="26"/>
          <w:szCs w:val="26"/>
        </w:rPr>
        <w:t xml:space="preserve"> dei contratti pubblici</w:t>
      </w:r>
      <w:r w:rsidR="00BD476C" w:rsidRPr="002360E5">
        <w:rPr>
          <w:rFonts w:ascii="Times New Roman" w:hAnsi="Times New Roman"/>
          <w:color w:val="0F243E" w:themeColor="text2" w:themeShade="80"/>
          <w:sz w:val="26"/>
          <w:szCs w:val="26"/>
        </w:rPr>
        <w:t>, delineato dal nuovo codice</w:t>
      </w:r>
      <w:r w:rsidR="00293C7F" w:rsidRPr="002360E5">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w:t>
      </w:r>
      <w:r w:rsidR="00BD476C">
        <w:rPr>
          <w:rFonts w:ascii="Times New Roman" w:hAnsi="Times New Roman"/>
          <w:color w:val="0F243E" w:themeColor="text2" w:themeShade="80"/>
          <w:sz w:val="26"/>
          <w:szCs w:val="26"/>
        </w:rPr>
        <w:t xml:space="preserve">è </w:t>
      </w:r>
      <w:r w:rsidRPr="002360E5">
        <w:rPr>
          <w:rFonts w:ascii="Times New Roman" w:hAnsi="Times New Roman"/>
          <w:color w:val="0F243E" w:themeColor="text2" w:themeShade="80"/>
          <w:sz w:val="26"/>
          <w:szCs w:val="26"/>
        </w:rPr>
        <w:t>caratterizzato da</w:t>
      </w:r>
      <w:r w:rsidR="002B5875" w:rsidRPr="002360E5">
        <w:rPr>
          <w:rFonts w:ascii="Times New Roman" w:hAnsi="Times New Roman"/>
          <w:color w:val="0F243E" w:themeColor="text2" w:themeShade="80"/>
          <w:sz w:val="26"/>
          <w:szCs w:val="26"/>
        </w:rPr>
        <w:t xml:space="preserve"> </w:t>
      </w:r>
      <w:r w:rsidR="00596E5E">
        <w:rPr>
          <w:rFonts w:ascii="Times New Roman" w:hAnsi="Times New Roman"/>
          <w:color w:val="0F243E" w:themeColor="text2" w:themeShade="80"/>
          <w:sz w:val="26"/>
          <w:szCs w:val="26"/>
        </w:rPr>
        <w:t xml:space="preserve">un </w:t>
      </w:r>
      <w:r w:rsidR="006779B4" w:rsidRPr="002360E5">
        <w:rPr>
          <w:rFonts w:ascii="Times New Roman" w:hAnsi="Times New Roman"/>
          <w:color w:val="0F243E" w:themeColor="text2" w:themeShade="80"/>
          <w:sz w:val="26"/>
          <w:szCs w:val="26"/>
        </w:rPr>
        <w:t>dat</w:t>
      </w:r>
      <w:r w:rsidR="00596E5E">
        <w:rPr>
          <w:rFonts w:ascii="Times New Roman" w:hAnsi="Times New Roman"/>
          <w:color w:val="0F243E" w:themeColor="text2" w:themeShade="80"/>
          <w:sz w:val="26"/>
          <w:szCs w:val="26"/>
        </w:rPr>
        <w:t>o significativo</w:t>
      </w:r>
      <w:r w:rsidR="006779B4" w:rsidRPr="002360E5">
        <w:rPr>
          <w:rFonts w:ascii="Times New Roman" w:hAnsi="Times New Roman"/>
          <w:color w:val="0F243E" w:themeColor="text2" w:themeShade="80"/>
          <w:sz w:val="26"/>
          <w:szCs w:val="26"/>
        </w:rPr>
        <w:t>:</w:t>
      </w:r>
      <w:r w:rsidR="002142A5">
        <w:rPr>
          <w:rFonts w:ascii="Times New Roman" w:hAnsi="Times New Roman"/>
          <w:color w:val="0F243E" w:themeColor="text2" w:themeShade="80"/>
          <w:sz w:val="26"/>
          <w:szCs w:val="26"/>
        </w:rPr>
        <w:t xml:space="preserve"> </w:t>
      </w:r>
      <w:r w:rsidR="002C01B0" w:rsidRPr="00596E5E">
        <w:rPr>
          <w:rFonts w:ascii="Times New Roman" w:hAnsi="Times New Roman"/>
          <w:color w:val="0F243E" w:themeColor="text2" w:themeShade="80"/>
          <w:sz w:val="26"/>
          <w:szCs w:val="26"/>
        </w:rPr>
        <w:t>l’</w:t>
      </w:r>
      <w:r w:rsidR="002142A5" w:rsidRPr="00596E5E">
        <w:rPr>
          <w:rFonts w:ascii="Times New Roman" w:hAnsi="Times New Roman"/>
          <w:color w:val="0F243E" w:themeColor="text2" w:themeShade="80"/>
          <w:sz w:val="26"/>
          <w:szCs w:val="26"/>
        </w:rPr>
        <w:t xml:space="preserve">inedito potere </w:t>
      </w:r>
      <w:r w:rsidR="00F82CA6" w:rsidRPr="00596E5E">
        <w:rPr>
          <w:rFonts w:ascii="Times New Roman" w:hAnsi="Times New Roman"/>
          <w:color w:val="0F243E" w:themeColor="text2" w:themeShade="80"/>
          <w:sz w:val="26"/>
          <w:szCs w:val="26"/>
        </w:rPr>
        <w:t>dell’Autorità nazionale anticorruzione</w:t>
      </w:r>
      <w:r w:rsidR="002C01B0" w:rsidRPr="00596E5E">
        <w:rPr>
          <w:rFonts w:ascii="Times New Roman" w:hAnsi="Times New Roman"/>
          <w:color w:val="0F243E" w:themeColor="text2" w:themeShade="80"/>
          <w:sz w:val="26"/>
          <w:szCs w:val="26"/>
        </w:rPr>
        <w:t xml:space="preserve"> </w:t>
      </w:r>
      <w:r w:rsidR="00F82CA6" w:rsidRPr="00596E5E">
        <w:rPr>
          <w:rFonts w:ascii="Times New Roman" w:hAnsi="Times New Roman"/>
          <w:color w:val="0F243E" w:themeColor="text2" w:themeShade="80"/>
          <w:sz w:val="26"/>
          <w:szCs w:val="26"/>
        </w:rPr>
        <w:t>(</w:t>
      </w:r>
      <w:r w:rsidR="002C01B0" w:rsidRPr="00596E5E">
        <w:rPr>
          <w:rFonts w:ascii="Times New Roman" w:hAnsi="Times New Roman"/>
          <w:color w:val="0F243E" w:themeColor="text2" w:themeShade="80"/>
          <w:sz w:val="26"/>
          <w:szCs w:val="26"/>
        </w:rPr>
        <w:t>ANAC</w:t>
      </w:r>
      <w:r w:rsidR="00F41066">
        <w:rPr>
          <w:rFonts w:ascii="Times New Roman" w:hAnsi="Times New Roman"/>
          <w:color w:val="0F243E" w:themeColor="text2" w:themeShade="80"/>
          <w:sz w:val="26"/>
          <w:szCs w:val="26"/>
        </w:rPr>
        <w:t>)</w:t>
      </w:r>
      <w:r w:rsidR="00F41066" w:rsidRPr="002360E5">
        <w:rPr>
          <w:rStyle w:val="Rimandonotaapidipagina"/>
          <w:rFonts w:ascii="Times New Roman" w:hAnsi="Times New Roman"/>
          <w:color w:val="0F243E" w:themeColor="text2" w:themeShade="80"/>
          <w:sz w:val="26"/>
          <w:szCs w:val="26"/>
        </w:rPr>
        <w:footnoteReference w:id="1"/>
      </w:r>
      <w:r w:rsidR="002C01B0" w:rsidRPr="00596E5E">
        <w:rPr>
          <w:rFonts w:ascii="Times New Roman" w:hAnsi="Times New Roman"/>
          <w:color w:val="0F243E" w:themeColor="text2" w:themeShade="80"/>
          <w:sz w:val="26"/>
          <w:szCs w:val="26"/>
        </w:rPr>
        <w:t xml:space="preserve"> di adotta</w:t>
      </w:r>
      <w:r w:rsidR="009230FE">
        <w:rPr>
          <w:rFonts w:ascii="Times New Roman" w:hAnsi="Times New Roman"/>
          <w:color w:val="0F243E" w:themeColor="text2" w:themeShade="80"/>
          <w:sz w:val="26"/>
          <w:szCs w:val="26"/>
        </w:rPr>
        <w:t>r</w:t>
      </w:r>
      <w:r w:rsidR="002C01B0" w:rsidRPr="00596E5E">
        <w:rPr>
          <w:rFonts w:ascii="Times New Roman" w:hAnsi="Times New Roman"/>
          <w:color w:val="0F243E" w:themeColor="text2" w:themeShade="80"/>
          <w:sz w:val="26"/>
          <w:szCs w:val="26"/>
        </w:rPr>
        <w:t xml:space="preserve">e </w:t>
      </w:r>
      <w:r w:rsidR="002C01B0" w:rsidRPr="00596E5E">
        <w:rPr>
          <w:rFonts w:ascii="Times New Roman" w:hAnsi="Times New Roman"/>
          <w:i/>
          <w:color w:val="0F243E" w:themeColor="text2" w:themeShade="80"/>
          <w:sz w:val="26"/>
          <w:szCs w:val="26"/>
        </w:rPr>
        <w:t>linee guida</w:t>
      </w:r>
      <w:r w:rsidR="002C01B0" w:rsidRPr="00596E5E">
        <w:rPr>
          <w:rFonts w:ascii="Times New Roman" w:hAnsi="Times New Roman"/>
          <w:color w:val="0F243E" w:themeColor="text2" w:themeShade="80"/>
          <w:sz w:val="26"/>
          <w:szCs w:val="26"/>
        </w:rPr>
        <w:t xml:space="preserve"> e di emanare, in una dimensione più ampia, altri atti di </w:t>
      </w:r>
      <w:r w:rsidR="002C01B0" w:rsidRPr="00596E5E">
        <w:rPr>
          <w:rFonts w:ascii="Times New Roman" w:hAnsi="Times New Roman"/>
          <w:i/>
          <w:color w:val="0F243E" w:themeColor="text2" w:themeShade="80"/>
          <w:sz w:val="26"/>
          <w:szCs w:val="26"/>
        </w:rPr>
        <w:t>regolazione</w:t>
      </w:r>
      <w:r w:rsidR="002C01B0" w:rsidRPr="00596E5E">
        <w:rPr>
          <w:rFonts w:ascii="Times New Roman" w:hAnsi="Times New Roman"/>
          <w:color w:val="0F243E" w:themeColor="text2" w:themeShade="80"/>
          <w:sz w:val="26"/>
          <w:szCs w:val="26"/>
        </w:rPr>
        <w:t xml:space="preserve"> </w:t>
      </w:r>
      <w:r w:rsidR="002C01B0" w:rsidRPr="00596E5E">
        <w:rPr>
          <w:rFonts w:ascii="Times New Roman" w:hAnsi="Times New Roman"/>
          <w:i/>
          <w:color w:val="0F243E" w:themeColor="text2" w:themeShade="80"/>
          <w:sz w:val="26"/>
          <w:szCs w:val="26"/>
        </w:rPr>
        <w:t>flessibile</w:t>
      </w:r>
      <w:r w:rsidR="006B7E28">
        <w:rPr>
          <w:rFonts w:ascii="Times New Roman" w:hAnsi="Times New Roman"/>
          <w:color w:val="0F243E" w:themeColor="text2" w:themeShade="80"/>
          <w:sz w:val="26"/>
          <w:szCs w:val="26"/>
        </w:rPr>
        <w:t xml:space="preserve">, </w:t>
      </w:r>
      <w:r w:rsidR="00D614AC">
        <w:rPr>
          <w:rFonts w:ascii="Times New Roman" w:hAnsi="Times New Roman"/>
          <w:color w:val="0F243E" w:themeColor="text2" w:themeShade="80"/>
          <w:sz w:val="26"/>
          <w:szCs w:val="26"/>
        </w:rPr>
        <w:t xml:space="preserve">tipici </w:t>
      </w:r>
      <w:r w:rsidR="006B7E28">
        <w:rPr>
          <w:rFonts w:ascii="Times New Roman" w:hAnsi="Times New Roman"/>
          <w:color w:val="0F243E" w:themeColor="text2" w:themeShade="80"/>
          <w:sz w:val="26"/>
          <w:szCs w:val="26"/>
        </w:rPr>
        <w:t>(bandi tipo, contratti tipo e capitolati tipo)</w:t>
      </w:r>
      <w:r w:rsidR="00D614AC">
        <w:rPr>
          <w:rFonts w:ascii="Times New Roman" w:hAnsi="Times New Roman"/>
          <w:color w:val="0F243E" w:themeColor="text2" w:themeShade="80"/>
          <w:sz w:val="26"/>
          <w:szCs w:val="26"/>
        </w:rPr>
        <w:t>,</w:t>
      </w:r>
      <w:r w:rsidR="006B7E28">
        <w:rPr>
          <w:rFonts w:ascii="Times New Roman" w:hAnsi="Times New Roman"/>
          <w:color w:val="0F243E" w:themeColor="text2" w:themeShade="80"/>
          <w:sz w:val="26"/>
          <w:szCs w:val="26"/>
        </w:rPr>
        <w:t xml:space="preserve"> o </w:t>
      </w:r>
      <w:r w:rsidR="00D614AC">
        <w:rPr>
          <w:rFonts w:ascii="Times New Roman" w:hAnsi="Times New Roman"/>
          <w:color w:val="0F243E" w:themeColor="text2" w:themeShade="80"/>
          <w:sz w:val="26"/>
          <w:szCs w:val="26"/>
        </w:rPr>
        <w:t>innominati</w:t>
      </w:r>
      <w:r w:rsidR="002142A5">
        <w:rPr>
          <w:rFonts w:ascii="Times New Roman" w:hAnsi="Times New Roman"/>
          <w:color w:val="0F243E" w:themeColor="text2" w:themeShade="80"/>
          <w:sz w:val="26"/>
          <w:szCs w:val="26"/>
        </w:rPr>
        <w:t>.</w:t>
      </w:r>
    </w:p>
    <w:p w:rsidR="00692904" w:rsidRPr="002360E5" w:rsidRDefault="001859B8"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Questa impostazione </w:t>
      </w:r>
      <w:r w:rsidR="00E56439">
        <w:rPr>
          <w:rFonts w:ascii="Times New Roman" w:hAnsi="Times New Roman"/>
          <w:color w:val="0F243E" w:themeColor="text2" w:themeShade="80"/>
          <w:sz w:val="26"/>
          <w:szCs w:val="26"/>
        </w:rPr>
        <w:t xml:space="preserve">del sistema normativo </w:t>
      </w:r>
      <w:r w:rsidRPr="002360E5">
        <w:rPr>
          <w:rFonts w:ascii="Times New Roman" w:hAnsi="Times New Roman"/>
          <w:color w:val="0F243E" w:themeColor="text2" w:themeShade="80"/>
          <w:sz w:val="26"/>
          <w:szCs w:val="26"/>
        </w:rPr>
        <w:t>non subisce a</w:t>
      </w:r>
      <w:r w:rsidR="003E0CCF" w:rsidRPr="002360E5">
        <w:rPr>
          <w:rFonts w:ascii="Times New Roman" w:hAnsi="Times New Roman"/>
          <w:color w:val="0F243E" w:themeColor="text2" w:themeShade="80"/>
          <w:sz w:val="26"/>
          <w:szCs w:val="26"/>
        </w:rPr>
        <w:t>lterazioni nell’ambito dei settori speciali</w:t>
      </w:r>
      <w:r w:rsidR="00847441" w:rsidRPr="002360E5">
        <w:rPr>
          <w:rStyle w:val="Rimandonotaapidipagina"/>
          <w:rFonts w:ascii="Times New Roman" w:hAnsi="Times New Roman"/>
          <w:color w:val="0F243E" w:themeColor="text2" w:themeShade="80"/>
          <w:sz w:val="26"/>
          <w:szCs w:val="26"/>
        </w:rPr>
        <w:footnoteReference w:id="2"/>
      </w:r>
      <w:r w:rsidR="00577958" w:rsidRPr="002360E5">
        <w:rPr>
          <w:rFonts w:ascii="Times New Roman" w:hAnsi="Times New Roman"/>
          <w:color w:val="0F243E" w:themeColor="text2" w:themeShade="80"/>
          <w:sz w:val="26"/>
          <w:szCs w:val="26"/>
        </w:rPr>
        <w:t>.</w:t>
      </w:r>
      <w:r w:rsidR="003E0CCF" w:rsidRPr="002360E5">
        <w:rPr>
          <w:rFonts w:ascii="Times New Roman" w:hAnsi="Times New Roman"/>
          <w:color w:val="0F243E" w:themeColor="text2" w:themeShade="80"/>
          <w:sz w:val="26"/>
          <w:szCs w:val="26"/>
        </w:rPr>
        <w:t xml:space="preserve"> </w:t>
      </w:r>
      <w:r w:rsidR="00836323">
        <w:rPr>
          <w:rFonts w:ascii="Times New Roman" w:hAnsi="Times New Roman"/>
          <w:color w:val="0F243E" w:themeColor="text2" w:themeShade="80"/>
          <w:sz w:val="26"/>
          <w:szCs w:val="26"/>
        </w:rPr>
        <w:t xml:space="preserve">Secondo il codice, </w:t>
      </w:r>
      <w:r w:rsidR="00836323" w:rsidRPr="002360E5">
        <w:rPr>
          <w:rFonts w:ascii="Times New Roman" w:hAnsi="Times New Roman"/>
          <w:color w:val="0F243E" w:themeColor="text2" w:themeShade="80"/>
          <w:sz w:val="26"/>
          <w:szCs w:val="26"/>
        </w:rPr>
        <w:t xml:space="preserve">la </w:t>
      </w:r>
      <w:r w:rsidR="003E0CCF" w:rsidRPr="002360E5">
        <w:rPr>
          <w:rFonts w:ascii="Times New Roman" w:hAnsi="Times New Roman"/>
          <w:color w:val="0F243E" w:themeColor="text2" w:themeShade="80"/>
          <w:sz w:val="26"/>
          <w:szCs w:val="26"/>
        </w:rPr>
        <w:t>disciplina derogatoria</w:t>
      </w:r>
      <w:r w:rsidR="00577958" w:rsidRPr="002360E5">
        <w:rPr>
          <w:rFonts w:ascii="Times New Roman" w:hAnsi="Times New Roman"/>
          <w:color w:val="0F243E" w:themeColor="text2" w:themeShade="80"/>
          <w:sz w:val="26"/>
          <w:szCs w:val="26"/>
        </w:rPr>
        <w:t xml:space="preserve"> </w:t>
      </w:r>
      <w:r w:rsidR="00D614AC">
        <w:rPr>
          <w:rFonts w:ascii="Times New Roman" w:hAnsi="Times New Roman"/>
          <w:color w:val="0F243E" w:themeColor="text2" w:themeShade="80"/>
          <w:sz w:val="26"/>
          <w:szCs w:val="26"/>
        </w:rPr>
        <w:t xml:space="preserve">posta in recepimento </w:t>
      </w:r>
      <w:r w:rsidR="00577958" w:rsidRPr="002360E5">
        <w:rPr>
          <w:rFonts w:ascii="Times New Roman" w:hAnsi="Times New Roman"/>
          <w:color w:val="0F243E" w:themeColor="text2" w:themeShade="80"/>
          <w:sz w:val="26"/>
          <w:szCs w:val="26"/>
        </w:rPr>
        <w:t>della direttiva n. 25/2014/UE</w:t>
      </w:r>
      <w:r w:rsidR="003E0CCF" w:rsidRPr="002360E5">
        <w:rPr>
          <w:rFonts w:ascii="Times New Roman" w:hAnsi="Times New Roman"/>
          <w:color w:val="0F243E" w:themeColor="text2" w:themeShade="80"/>
          <w:sz w:val="26"/>
          <w:szCs w:val="26"/>
        </w:rPr>
        <w:t xml:space="preserve">, infatti, non </w:t>
      </w:r>
      <w:r w:rsidR="002F2806">
        <w:rPr>
          <w:rFonts w:ascii="Times New Roman" w:hAnsi="Times New Roman"/>
          <w:color w:val="0F243E" w:themeColor="text2" w:themeShade="80"/>
          <w:sz w:val="26"/>
          <w:szCs w:val="26"/>
        </w:rPr>
        <w:t>prevede</w:t>
      </w:r>
      <w:r w:rsidR="005F5C90">
        <w:rPr>
          <w:rFonts w:ascii="Times New Roman" w:hAnsi="Times New Roman"/>
          <w:color w:val="0F243E" w:themeColor="text2" w:themeShade="80"/>
          <w:sz w:val="26"/>
          <w:szCs w:val="26"/>
        </w:rPr>
        <w:t xml:space="preserve"> espressamente, per questi settori,</w:t>
      </w:r>
      <w:r w:rsidR="002F2806">
        <w:rPr>
          <w:rFonts w:ascii="Times New Roman" w:hAnsi="Times New Roman"/>
          <w:color w:val="0F243E" w:themeColor="text2" w:themeShade="80"/>
          <w:sz w:val="26"/>
          <w:szCs w:val="26"/>
        </w:rPr>
        <w:t xml:space="preserve"> </w:t>
      </w:r>
      <w:r w:rsidR="00182CE6">
        <w:rPr>
          <w:rFonts w:ascii="Times New Roman" w:hAnsi="Times New Roman"/>
          <w:color w:val="0F243E" w:themeColor="text2" w:themeShade="80"/>
          <w:sz w:val="26"/>
          <w:szCs w:val="26"/>
        </w:rPr>
        <w:t xml:space="preserve">né </w:t>
      </w:r>
      <w:r w:rsidR="003E0CCF" w:rsidRPr="002360E5">
        <w:rPr>
          <w:rFonts w:ascii="Times New Roman" w:hAnsi="Times New Roman"/>
          <w:color w:val="0F243E" w:themeColor="text2" w:themeShade="80"/>
          <w:sz w:val="26"/>
          <w:szCs w:val="26"/>
        </w:rPr>
        <w:t xml:space="preserve">una diversa collocazione </w:t>
      </w:r>
      <w:r w:rsidR="00692904" w:rsidRPr="002360E5">
        <w:rPr>
          <w:rFonts w:ascii="Times New Roman" w:hAnsi="Times New Roman"/>
          <w:color w:val="0F243E" w:themeColor="text2" w:themeShade="80"/>
          <w:sz w:val="26"/>
          <w:szCs w:val="26"/>
        </w:rPr>
        <w:t xml:space="preserve">istituzionale </w:t>
      </w:r>
      <w:r w:rsidR="003E0CCF" w:rsidRPr="002360E5">
        <w:rPr>
          <w:rFonts w:ascii="Times New Roman" w:hAnsi="Times New Roman"/>
          <w:color w:val="0F243E" w:themeColor="text2" w:themeShade="80"/>
          <w:sz w:val="26"/>
          <w:szCs w:val="26"/>
        </w:rPr>
        <w:t xml:space="preserve">dell’ANAC, né </w:t>
      </w:r>
      <w:r w:rsidR="00E56439">
        <w:rPr>
          <w:rFonts w:ascii="Times New Roman" w:hAnsi="Times New Roman"/>
          <w:color w:val="0F243E" w:themeColor="text2" w:themeShade="80"/>
          <w:sz w:val="26"/>
          <w:szCs w:val="26"/>
        </w:rPr>
        <w:t xml:space="preserve">l’attribuzione di </w:t>
      </w:r>
      <w:r w:rsidR="003E0CCF" w:rsidRPr="002360E5">
        <w:rPr>
          <w:rFonts w:ascii="Times New Roman" w:hAnsi="Times New Roman"/>
          <w:color w:val="0F243E" w:themeColor="text2" w:themeShade="80"/>
          <w:sz w:val="26"/>
          <w:szCs w:val="26"/>
        </w:rPr>
        <w:t>poteri di</w:t>
      </w:r>
      <w:r w:rsidR="00182CE6">
        <w:rPr>
          <w:rFonts w:ascii="Times New Roman" w:hAnsi="Times New Roman"/>
          <w:color w:val="0F243E" w:themeColor="text2" w:themeShade="80"/>
          <w:sz w:val="26"/>
          <w:szCs w:val="26"/>
        </w:rPr>
        <w:t>f</w:t>
      </w:r>
      <w:r w:rsidR="00A719A9">
        <w:rPr>
          <w:rFonts w:ascii="Times New Roman" w:hAnsi="Times New Roman"/>
          <w:color w:val="0F243E" w:themeColor="text2" w:themeShade="80"/>
          <w:sz w:val="26"/>
          <w:szCs w:val="26"/>
        </w:rPr>
        <w:t>f</w:t>
      </w:r>
      <w:r w:rsidR="00182CE6">
        <w:rPr>
          <w:rFonts w:ascii="Times New Roman" w:hAnsi="Times New Roman"/>
          <w:color w:val="0F243E" w:themeColor="text2" w:themeShade="80"/>
          <w:sz w:val="26"/>
          <w:szCs w:val="26"/>
        </w:rPr>
        <w:t>erenti</w:t>
      </w:r>
      <w:r w:rsidR="00692904" w:rsidRPr="002360E5">
        <w:rPr>
          <w:rFonts w:ascii="Times New Roman" w:hAnsi="Times New Roman"/>
          <w:color w:val="0F243E" w:themeColor="text2" w:themeShade="80"/>
          <w:sz w:val="26"/>
          <w:szCs w:val="26"/>
        </w:rPr>
        <w:t>, per ampiezza</w:t>
      </w:r>
      <w:r w:rsidR="00E56439">
        <w:rPr>
          <w:rFonts w:ascii="Times New Roman" w:hAnsi="Times New Roman"/>
          <w:color w:val="0F243E" w:themeColor="text2" w:themeShade="80"/>
          <w:sz w:val="26"/>
          <w:szCs w:val="26"/>
        </w:rPr>
        <w:t>,</w:t>
      </w:r>
      <w:r w:rsidR="00692904" w:rsidRPr="002360E5">
        <w:rPr>
          <w:rFonts w:ascii="Times New Roman" w:hAnsi="Times New Roman"/>
          <w:color w:val="0F243E" w:themeColor="text2" w:themeShade="80"/>
          <w:sz w:val="26"/>
          <w:szCs w:val="26"/>
        </w:rPr>
        <w:t xml:space="preserve"> qualità</w:t>
      </w:r>
      <w:r w:rsidR="00E56439">
        <w:rPr>
          <w:rFonts w:ascii="Times New Roman" w:hAnsi="Times New Roman"/>
          <w:color w:val="0F243E" w:themeColor="text2" w:themeShade="80"/>
          <w:sz w:val="26"/>
          <w:szCs w:val="26"/>
        </w:rPr>
        <w:t>, o efficacia</w:t>
      </w:r>
      <w:r w:rsidR="006C14BF" w:rsidRPr="002360E5">
        <w:rPr>
          <w:rStyle w:val="Rimandonotaapidipagina"/>
          <w:rFonts w:ascii="Times New Roman" w:hAnsi="Times New Roman"/>
          <w:color w:val="0F243E" w:themeColor="text2" w:themeShade="80"/>
          <w:sz w:val="26"/>
          <w:szCs w:val="26"/>
        </w:rPr>
        <w:footnoteReference w:id="3"/>
      </w:r>
      <w:r w:rsidR="006E71C0">
        <w:rPr>
          <w:rFonts w:ascii="Times New Roman" w:hAnsi="Times New Roman"/>
          <w:color w:val="0F243E" w:themeColor="text2" w:themeShade="80"/>
          <w:sz w:val="26"/>
          <w:szCs w:val="26"/>
        </w:rPr>
        <w:t>, né fonti di disciplina di altro genere</w:t>
      </w:r>
      <w:r w:rsidR="003E0CCF" w:rsidRPr="002360E5">
        <w:rPr>
          <w:rFonts w:ascii="Times New Roman" w:hAnsi="Times New Roman"/>
          <w:color w:val="0F243E" w:themeColor="text2" w:themeShade="80"/>
          <w:sz w:val="26"/>
          <w:szCs w:val="26"/>
        </w:rPr>
        <w:t>.</w:t>
      </w:r>
    </w:p>
    <w:p w:rsidR="00CD2137" w:rsidRPr="00CD2137" w:rsidRDefault="00CD2137"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Secondo l’art. 213, comma </w:t>
      </w:r>
      <w:r w:rsidRPr="00CD2137">
        <w:rPr>
          <w:rFonts w:ascii="Times New Roman" w:hAnsi="Times New Roman"/>
          <w:color w:val="0F243E" w:themeColor="text2" w:themeShade="80"/>
          <w:sz w:val="26"/>
          <w:szCs w:val="26"/>
        </w:rPr>
        <w:t>1</w:t>
      </w:r>
      <w:r>
        <w:rPr>
          <w:rFonts w:ascii="Times New Roman" w:hAnsi="Times New Roman"/>
          <w:color w:val="0F243E" w:themeColor="text2" w:themeShade="80"/>
          <w:sz w:val="26"/>
          <w:szCs w:val="26"/>
        </w:rPr>
        <w:t>, con disposizione di carattere generalissimo e programmatico, si afferma che</w:t>
      </w:r>
      <w:r w:rsidRPr="00CD2137">
        <w:rPr>
          <w:rFonts w:ascii="Times New Roman" w:hAnsi="Times New Roman"/>
          <w:color w:val="0F243E" w:themeColor="text2" w:themeShade="80"/>
          <w:sz w:val="26"/>
          <w:szCs w:val="26"/>
        </w:rPr>
        <w:t xml:space="preserve"> </w:t>
      </w:r>
      <w:r>
        <w:rPr>
          <w:rFonts w:ascii="Times New Roman" w:hAnsi="Times New Roman"/>
          <w:color w:val="0F243E" w:themeColor="text2" w:themeShade="80"/>
          <w:sz w:val="26"/>
          <w:szCs w:val="26"/>
        </w:rPr>
        <w:t>“</w:t>
      </w:r>
      <w:r w:rsidRPr="00CD2137">
        <w:rPr>
          <w:rFonts w:ascii="Times New Roman" w:hAnsi="Times New Roman"/>
          <w:i/>
          <w:color w:val="0F243E" w:themeColor="text2" w:themeShade="80"/>
          <w:sz w:val="26"/>
          <w:szCs w:val="26"/>
        </w:rPr>
        <w:t>La vigilanza e il controllo sui contratti pubblici e l'attività di regolazione degli stessi, sono attribuiti, nei limiti di quanto stabilito dal presente codice, all'Autorità nazionale anticorruzione (ANAC) di cui all'articolo 19 del decreto legge 24 giugno 2014, n. 90, convertito, con modificazioni, dalla legge 11 agosto 2014, n. 114, che agisce anche al fine di prevenire e contrastare illegalità e corruzione.</w:t>
      </w:r>
      <w:r>
        <w:rPr>
          <w:rFonts w:ascii="Times New Roman" w:hAnsi="Times New Roman"/>
          <w:color w:val="0F243E" w:themeColor="text2" w:themeShade="80"/>
          <w:sz w:val="26"/>
          <w:szCs w:val="26"/>
        </w:rPr>
        <w:t>”</w:t>
      </w:r>
    </w:p>
    <w:p w:rsidR="00A719A9" w:rsidRDefault="00E56439"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Un</w:t>
      </w:r>
      <w:r w:rsidR="006E71C0">
        <w:rPr>
          <w:rFonts w:ascii="Times New Roman" w:hAnsi="Times New Roman"/>
          <w:color w:val="0F243E" w:themeColor="text2" w:themeShade="80"/>
          <w:sz w:val="26"/>
          <w:szCs w:val="26"/>
        </w:rPr>
        <w:t xml:space="preserve">a </w:t>
      </w:r>
      <w:r w:rsidR="00CD2137">
        <w:rPr>
          <w:rFonts w:ascii="Times New Roman" w:hAnsi="Times New Roman"/>
          <w:color w:val="0F243E" w:themeColor="text2" w:themeShade="80"/>
          <w:sz w:val="26"/>
          <w:szCs w:val="26"/>
        </w:rPr>
        <w:t xml:space="preserve">ulteriore </w:t>
      </w:r>
      <w:r w:rsidR="006E71C0">
        <w:rPr>
          <w:rFonts w:ascii="Times New Roman" w:hAnsi="Times New Roman"/>
          <w:color w:val="0F243E" w:themeColor="text2" w:themeShade="80"/>
          <w:sz w:val="26"/>
          <w:szCs w:val="26"/>
        </w:rPr>
        <w:t xml:space="preserve">conferma </w:t>
      </w:r>
      <w:r>
        <w:rPr>
          <w:rFonts w:ascii="Times New Roman" w:hAnsi="Times New Roman"/>
          <w:color w:val="0F243E" w:themeColor="text2" w:themeShade="80"/>
          <w:sz w:val="26"/>
          <w:szCs w:val="26"/>
        </w:rPr>
        <w:t>in tal senso</w:t>
      </w:r>
      <w:r w:rsidR="008A16F0">
        <w:rPr>
          <w:rFonts w:ascii="Times New Roman" w:hAnsi="Times New Roman"/>
          <w:color w:val="0F243E" w:themeColor="text2" w:themeShade="80"/>
          <w:sz w:val="26"/>
          <w:szCs w:val="26"/>
        </w:rPr>
        <w:t>, ancora più puntuale, è costituita</w:t>
      </w:r>
      <w:r>
        <w:rPr>
          <w:rFonts w:ascii="Times New Roman" w:hAnsi="Times New Roman"/>
          <w:color w:val="0F243E" w:themeColor="text2" w:themeShade="80"/>
          <w:sz w:val="26"/>
          <w:szCs w:val="26"/>
        </w:rPr>
        <w:t xml:space="preserve"> dall’</w:t>
      </w:r>
      <w:r w:rsidR="00182CE6">
        <w:rPr>
          <w:rFonts w:ascii="Times New Roman" w:hAnsi="Times New Roman"/>
          <w:color w:val="0F243E" w:themeColor="text2" w:themeShade="80"/>
          <w:sz w:val="26"/>
          <w:szCs w:val="26"/>
        </w:rPr>
        <w:t>art. 213</w:t>
      </w:r>
      <w:r w:rsidR="00E82B99">
        <w:rPr>
          <w:rFonts w:ascii="Times New Roman" w:hAnsi="Times New Roman"/>
          <w:color w:val="0F243E" w:themeColor="text2" w:themeShade="80"/>
          <w:sz w:val="26"/>
          <w:szCs w:val="26"/>
        </w:rPr>
        <w:t>, comma 3,</w:t>
      </w:r>
      <w:r w:rsidR="00182CE6">
        <w:rPr>
          <w:rFonts w:ascii="Times New Roman" w:hAnsi="Times New Roman"/>
          <w:color w:val="0F243E" w:themeColor="text2" w:themeShade="80"/>
          <w:sz w:val="26"/>
          <w:szCs w:val="26"/>
        </w:rPr>
        <w:t xml:space="preserve"> del codice</w:t>
      </w:r>
      <w:r>
        <w:rPr>
          <w:rFonts w:ascii="Times New Roman" w:hAnsi="Times New Roman"/>
          <w:color w:val="0F243E" w:themeColor="text2" w:themeShade="80"/>
          <w:sz w:val="26"/>
          <w:szCs w:val="26"/>
        </w:rPr>
        <w:t xml:space="preserve">, il quale </w:t>
      </w:r>
      <w:r w:rsidR="00182CE6">
        <w:rPr>
          <w:rFonts w:ascii="Times New Roman" w:hAnsi="Times New Roman"/>
          <w:color w:val="0F243E" w:themeColor="text2" w:themeShade="80"/>
          <w:sz w:val="26"/>
          <w:szCs w:val="26"/>
        </w:rPr>
        <w:t>stabil</w:t>
      </w:r>
      <w:r w:rsidR="00217546" w:rsidRPr="002360E5">
        <w:rPr>
          <w:rFonts w:ascii="Times New Roman" w:hAnsi="Times New Roman"/>
          <w:color w:val="0F243E" w:themeColor="text2" w:themeShade="80"/>
          <w:sz w:val="26"/>
          <w:szCs w:val="26"/>
        </w:rPr>
        <w:t xml:space="preserve">isce che i poteri </w:t>
      </w:r>
      <w:r w:rsidR="00820BCA">
        <w:rPr>
          <w:rFonts w:ascii="Times New Roman" w:hAnsi="Times New Roman"/>
          <w:color w:val="0F243E" w:themeColor="text2" w:themeShade="80"/>
          <w:sz w:val="26"/>
          <w:szCs w:val="26"/>
        </w:rPr>
        <w:t xml:space="preserve">di </w:t>
      </w:r>
      <w:r w:rsidR="00820BCA" w:rsidRPr="00820BCA">
        <w:rPr>
          <w:rFonts w:ascii="Times New Roman" w:hAnsi="Times New Roman"/>
          <w:i/>
          <w:color w:val="0F243E" w:themeColor="text2" w:themeShade="80"/>
          <w:sz w:val="26"/>
          <w:szCs w:val="26"/>
        </w:rPr>
        <w:t>vigilanza</w:t>
      </w:r>
      <w:r w:rsidR="00820BCA">
        <w:rPr>
          <w:rFonts w:ascii="Times New Roman" w:hAnsi="Times New Roman"/>
          <w:color w:val="0F243E" w:themeColor="text2" w:themeShade="80"/>
          <w:sz w:val="26"/>
          <w:szCs w:val="26"/>
        </w:rPr>
        <w:t xml:space="preserve"> </w:t>
      </w:r>
      <w:r w:rsidR="00217546" w:rsidRPr="002360E5">
        <w:rPr>
          <w:rFonts w:ascii="Times New Roman" w:hAnsi="Times New Roman"/>
          <w:color w:val="0F243E" w:themeColor="text2" w:themeShade="80"/>
          <w:sz w:val="26"/>
          <w:szCs w:val="26"/>
        </w:rPr>
        <w:t>dell’Autorità si riferiscono</w:t>
      </w:r>
      <w:r w:rsidR="00577958" w:rsidRPr="002360E5">
        <w:rPr>
          <w:rFonts w:ascii="Times New Roman" w:hAnsi="Times New Roman"/>
          <w:color w:val="0F243E" w:themeColor="text2" w:themeShade="80"/>
          <w:sz w:val="26"/>
          <w:szCs w:val="26"/>
        </w:rPr>
        <w:t>, senza eccezioni</w:t>
      </w:r>
      <w:r w:rsidR="00847FAE">
        <w:rPr>
          <w:rFonts w:ascii="Times New Roman" w:hAnsi="Times New Roman"/>
          <w:color w:val="0F243E" w:themeColor="text2" w:themeShade="80"/>
          <w:sz w:val="26"/>
          <w:szCs w:val="26"/>
        </w:rPr>
        <w:t>, modifiche o adattamenti</w:t>
      </w:r>
      <w:r w:rsidR="00577958" w:rsidRPr="002360E5">
        <w:rPr>
          <w:rFonts w:ascii="Times New Roman" w:hAnsi="Times New Roman"/>
          <w:color w:val="0F243E" w:themeColor="text2" w:themeShade="80"/>
          <w:sz w:val="26"/>
          <w:szCs w:val="26"/>
        </w:rPr>
        <w:t>,</w:t>
      </w:r>
      <w:r w:rsidR="00217546" w:rsidRPr="002360E5">
        <w:rPr>
          <w:rFonts w:ascii="Times New Roman" w:hAnsi="Times New Roman"/>
          <w:color w:val="0F243E" w:themeColor="text2" w:themeShade="80"/>
          <w:sz w:val="26"/>
          <w:szCs w:val="26"/>
        </w:rPr>
        <w:t xml:space="preserve"> anche ai contratti nei </w:t>
      </w:r>
      <w:r w:rsidR="00217546" w:rsidRPr="002360E5">
        <w:rPr>
          <w:rFonts w:ascii="Times New Roman" w:hAnsi="Times New Roman"/>
          <w:i/>
          <w:color w:val="0F243E" w:themeColor="text2" w:themeShade="80"/>
          <w:sz w:val="26"/>
          <w:szCs w:val="26"/>
        </w:rPr>
        <w:t>settori speciali</w:t>
      </w:r>
      <w:r w:rsidR="00217546" w:rsidRPr="002360E5">
        <w:rPr>
          <w:rFonts w:ascii="Times New Roman" w:hAnsi="Times New Roman"/>
          <w:color w:val="0F243E" w:themeColor="text2" w:themeShade="80"/>
          <w:sz w:val="26"/>
          <w:szCs w:val="26"/>
        </w:rPr>
        <w:t xml:space="preserve"> e</w:t>
      </w:r>
      <w:r>
        <w:rPr>
          <w:rFonts w:ascii="Times New Roman" w:hAnsi="Times New Roman"/>
          <w:color w:val="0F243E" w:themeColor="text2" w:themeShade="80"/>
          <w:sz w:val="26"/>
          <w:szCs w:val="26"/>
        </w:rPr>
        <w:t xml:space="preserve"> comprendono </w:t>
      </w:r>
      <w:r w:rsidR="00847FAE">
        <w:rPr>
          <w:rFonts w:ascii="Times New Roman" w:hAnsi="Times New Roman"/>
          <w:color w:val="0F243E" w:themeColor="text2" w:themeShade="80"/>
          <w:sz w:val="26"/>
          <w:szCs w:val="26"/>
        </w:rPr>
        <w:t xml:space="preserve">tutti </w:t>
      </w:r>
      <w:r w:rsidR="00217546" w:rsidRPr="002360E5">
        <w:rPr>
          <w:rFonts w:ascii="Times New Roman" w:hAnsi="Times New Roman"/>
          <w:color w:val="0F243E" w:themeColor="text2" w:themeShade="80"/>
          <w:sz w:val="26"/>
          <w:szCs w:val="26"/>
        </w:rPr>
        <w:t xml:space="preserve">i </w:t>
      </w:r>
      <w:r w:rsidR="00217546" w:rsidRPr="002360E5">
        <w:rPr>
          <w:rFonts w:ascii="Times New Roman" w:hAnsi="Times New Roman"/>
          <w:i/>
          <w:color w:val="0F243E" w:themeColor="text2" w:themeShade="80"/>
          <w:sz w:val="26"/>
          <w:szCs w:val="26"/>
        </w:rPr>
        <w:t>contratti esclusi</w:t>
      </w:r>
      <w:r w:rsidR="00FA7FBC" w:rsidRPr="002360E5">
        <w:rPr>
          <w:rStyle w:val="Rimandonotaapidipagina"/>
          <w:rFonts w:ascii="Times New Roman" w:hAnsi="Times New Roman"/>
          <w:i/>
          <w:color w:val="0F243E" w:themeColor="text2" w:themeShade="80"/>
          <w:sz w:val="26"/>
          <w:szCs w:val="26"/>
        </w:rPr>
        <w:footnoteReference w:id="4"/>
      </w:r>
      <w:r w:rsidR="00A719A9">
        <w:rPr>
          <w:rFonts w:ascii="Times New Roman" w:hAnsi="Times New Roman"/>
          <w:color w:val="0F243E" w:themeColor="text2" w:themeShade="80"/>
          <w:sz w:val="26"/>
          <w:szCs w:val="26"/>
        </w:rPr>
        <w:t>.</w:t>
      </w:r>
    </w:p>
    <w:p w:rsidR="00534FDE" w:rsidRDefault="00A719A9"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Da questa indicazione deriva la </w:t>
      </w:r>
      <w:r w:rsidR="00394215">
        <w:rPr>
          <w:rFonts w:ascii="Times New Roman" w:hAnsi="Times New Roman"/>
          <w:color w:val="0F243E" w:themeColor="text2" w:themeShade="80"/>
          <w:sz w:val="26"/>
          <w:szCs w:val="26"/>
        </w:rPr>
        <w:t xml:space="preserve">diffusa </w:t>
      </w:r>
      <w:r>
        <w:rPr>
          <w:rFonts w:ascii="Times New Roman" w:hAnsi="Times New Roman"/>
          <w:color w:val="0F243E" w:themeColor="text2" w:themeShade="80"/>
          <w:sz w:val="26"/>
          <w:szCs w:val="26"/>
        </w:rPr>
        <w:t>convinzione seco</w:t>
      </w:r>
      <w:r w:rsidR="00534FDE">
        <w:rPr>
          <w:rFonts w:ascii="Times New Roman" w:hAnsi="Times New Roman"/>
          <w:color w:val="0F243E" w:themeColor="text2" w:themeShade="80"/>
          <w:sz w:val="26"/>
          <w:szCs w:val="26"/>
        </w:rPr>
        <w:t xml:space="preserve">ndo cui i complessi temi </w:t>
      </w:r>
      <w:r w:rsidR="00E56439">
        <w:rPr>
          <w:rFonts w:ascii="Times New Roman" w:hAnsi="Times New Roman"/>
          <w:color w:val="0F243E" w:themeColor="text2" w:themeShade="80"/>
          <w:sz w:val="26"/>
          <w:szCs w:val="26"/>
        </w:rPr>
        <w:t xml:space="preserve">riguardanti </w:t>
      </w:r>
      <w:r w:rsidR="00534FDE">
        <w:rPr>
          <w:rFonts w:ascii="Times New Roman" w:hAnsi="Times New Roman"/>
          <w:color w:val="0F243E" w:themeColor="text2" w:themeShade="80"/>
          <w:sz w:val="26"/>
          <w:szCs w:val="26"/>
        </w:rPr>
        <w:t xml:space="preserve">la </w:t>
      </w:r>
      <w:r w:rsidR="00E56439">
        <w:rPr>
          <w:rFonts w:ascii="Times New Roman" w:hAnsi="Times New Roman"/>
          <w:color w:val="0F243E" w:themeColor="text2" w:themeShade="80"/>
          <w:sz w:val="26"/>
          <w:szCs w:val="26"/>
        </w:rPr>
        <w:t xml:space="preserve">natura e gli effetti </w:t>
      </w:r>
      <w:r w:rsidR="00D11592">
        <w:rPr>
          <w:rFonts w:ascii="Times New Roman" w:hAnsi="Times New Roman"/>
          <w:color w:val="0F243E" w:themeColor="text2" w:themeShade="80"/>
          <w:sz w:val="26"/>
          <w:szCs w:val="26"/>
        </w:rPr>
        <w:t xml:space="preserve">delle </w:t>
      </w:r>
      <w:r w:rsidR="00D11592" w:rsidRPr="00D11592">
        <w:rPr>
          <w:rFonts w:ascii="Times New Roman" w:hAnsi="Times New Roman"/>
          <w:i/>
          <w:color w:val="0F243E" w:themeColor="text2" w:themeShade="80"/>
          <w:sz w:val="26"/>
          <w:szCs w:val="26"/>
        </w:rPr>
        <w:t>linee guida</w:t>
      </w:r>
      <w:r w:rsidR="00D11592">
        <w:rPr>
          <w:rFonts w:ascii="Times New Roman" w:hAnsi="Times New Roman"/>
          <w:color w:val="0F243E" w:themeColor="text2" w:themeShade="80"/>
          <w:sz w:val="26"/>
          <w:szCs w:val="26"/>
        </w:rPr>
        <w:t xml:space="preserve"> e </w:t>
      </w:r>
      <w:r w:rsidR="00E56439">
        <w:rPr>
          <w:rFonts w:ascii="Times New Roman" w:hAnsi="Times New Roman"/>
          <w:color w:val="0F243E" w:themeColor="text2" w:themeShade="80"/>
          <w:sz w:val="26"/>
          <w:szCs w:val="26"/>
        </w:rPr>
        <w:t xml:space="preserve">della </w:t>
      </w:r>
      <w:r w:rsidR="00534FDE" w:rsidRPr="00E56439">
        <w:rPr>
          <w:rFonts w:ascii="Times New Roman" w:hAnsi="Times New Roman"/>
          <w:i/>
          <w:color w:val="0F243E" w:themeColor="text2" w:themeShade="80"/>
          <w:sz w:val="26"/>
          <w:szCs w:val="26"/>
        </w:rPr>
        <w:t>regolazione flessibile</w:t>
      </w:r>
      <w:r w:rsidR="00534FDE">
        <w:rPr>
          <w:rFonts w:ascii="Times New Roman" w:hAnsi="Times New Roman"/>
          <w:color w:val="0F243E" w:themeColor="text2" w:themeShade="80"/>
          <w:sz w:val="26"/>
          <w:szCs w:val="26"/>
        </w:rPr>
        <w:t xml:space="preserve"> debbano essere esaminati unitariamente, senza particolari approfondimenti</w:t>
      </w:r>
      <w:r w:rsidR="00E56439">
        <w:rPr>
          <w:rFonts w:ascii="Times New Roman" w:hAnsi="Times New Roman"/>
          <w:color w:val="0F243E" w:themeColor="text2" w:themeShade="80"/>
          <w:sz w:val="26"/>
          <w:szCs w:val="26"/>
        </w:rPr>
        <w:t xml:space="preserve"> relativi ai settori speciali.</w:t>
      </w:r>
    </w:p>
    <w:p w:rsidR="00D614AC" w:rsidRDefault="00217546"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w:t>
      </w:r>
      <w:r w:rsidR="00BD3E05">
        <w:rPr>
          <w:rFonts w:ascii="Times New Roman" w:hAnsi="Times New Roman"/>
          <w:color w:val="0F243E" w:themeColor="text2" w:themeShade="80"/>
          <w:sz w:val="26"/>
          <w:szCs w:val="26"/>
        </w:rPr>
        <w:t>’esattezza di questo assunto</w:t>
      </w:r>
      <w:r w:rsidR="00820BCA">
        <w:rPr>
          <w:rFonts w:ascii="Times New Roman" w:hAnsi="Times New Roman"/>
          <w:color w:val="0F243E" w:themeColor="text2" w:themeShade="80"/>
          <w:sz w:val="26"/>
          <w:szCs w:val="26"/>
        </w:rPr>
        <w:t>, però,</w:t>
      </w:r>
      <w:r w:rsidR="00BD3E05">
        <w:rPr>
          <w:rFonts w:ascii="Times New Roman" w:hAnsi="Times New Roman"/>
          <w:color w:val="0F243E" w:themeColor="text2" w:themeShade="80"/>
          <w:sz w:val="26"/>
          <w:szCs w:val="26"/>
        </w:rPr>
        <w:t xml:space="preserve"> andrebbe verificata con </w:t>
      </w:r>
      <w:r w:rsidR="00820BCA">
        <w:rPr>
          <w:rFonts w:ascii="Times New Roman" w:hAnsi="Times New Roman"/>
          <w:color w:val="0F243E" w:themeColor="text2" w:themeShade="80"/>
          <w:sz w:val="26"/>
          <w:szCs w:val="26"/>
        </w:rPr>
        <w:t xml:space="preserve">maggiore </w:t>
      </w:r>
      <w:r w:rsidR="00BD3E05">
        <w:rPr>
          <w:rFonts w:ascii="Times New Roman" w:hAnsi="Times New Roman"/>
          <w:color w:val="0F243E" w:themeColor="text2" w:themeShade="80"/>
          <w:sz w:val="26"/>
          <w:szCs w:val="26"/>
        </w:rPr>
        <w:t>attenzione</w:t>
      </w:r>
      <w:r w:rsidR="00D614AC">
        <w:rPr>
          <w:rFonts w:ascii="Times New Roman" w:hAnsi="Times New Roman"/>
          <w:color w:val="0F243E" w:themeColor="text2" w:themeShade="80"/>
          <w:sz w:val="26"/>
          <w:szCs w:val="26"/>
        </w:rPr>
        <w:t>, sia sul versante del</w:t>
      </w:r>
      <w:r w:rsidR="00CD676B">
        <w:rPr>
          <w:rFonts w:ascii="Times New Roman" w:hAnsi="Times New Roman"/>
          <w:color w:val="0F243E" w:themeColor="text2" w:themeShade="80"/>
          <w:sz w:val="26"/>
          <w:szCs w:val="26"/>
        </w:rPr>
        <w:t>l’astratto</w:t>
      </w:r>
      <w:r w:rsidR="00D614AC">
        <w:rPr>
          <w:rFonts w:ascii="Times New Roman" w:hAnsi="Times New Roman"/>
          <w:color w:val="0F243E" w:themeColor="text2" w:themeShade="80"/>
          <w:sz w:val="26"/>
          <w:szCs w:val="26"/>
        </w:rPr>
        <w:t xml:space="preserve"> disegno normativo delle fonti, sia nell’esperienza pratica, per accertare se, effettivamente, l’esercizio </w:t>
      </w:r>
      <w:r w:rsidR="008C483D">
        <w:rPr>
          <w:rFonts w:ascii="Times New Roman" w:hAnsi="Times New Roman"/>
          <w:color w:val="0F243E" w:themeColor="text2" w:themeShade="80"/>
          <w:sz w:val="26"/>
          <w:szCs w:val="26"/>
        </w:rPr>
        <w:t xml:space="preserve">concreto </w:t>
      </w:r>
      <w:r w:rsidR="00D614AC">
        <w:rPr>
          <w:rFonts w:ascii="Times New Roman" w:hAnsi="Times New Roman"/>
          <w:color w:val="0F243E" w:themeColor="text2" w:themeShade="80"/>
          <w:sz w:val="26"/>
          <w:szCs w:val="26"/>
        </w:rPr>
        <w:t>della regolazione flessibile nei settori speciali abbia mostrato particolarità degne di nota</w:t>
      </w:r>
      <w:r w:rsidR="00394215">
        <w:rPr>
          <w:rFonts w:ascii="Times New Roman" w:hAnsi="Times New Roman"/>
          <w:color w:val="0F243E" w:themeColor="text2" w:themeShade="80"/>
          <w:sz w:val="26"/>
          <w:szCs w:val="26"/>
        </w:rPr>
        <w:t>, rispetto al quadro dei settori ordinari</w:t>
      </w:r>
      <w:r w:rsidR="007448E3">
        <w:rPr>
          <w:rFonts w:ascii="Times New Roman" w:hAnsi="Times New Roman"/>
          <w:color w:val="0F243E" w:themeColor="text2" w:themeShade="80"/>
          <w:sz w:val="26"/>
          <w:szCs w:val="26"/>
        </w:rPr>
        <w:t>.</w:t>
      </w:r>
    </w:p>
    <w:p w:rsidR="00FF1719" w:rsidRDefault="00D614AC"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Sul piano del diritto positivo,</w:t>
      </w:r>
      <w:r w:rsidR="007448E3">
        <w:rPr>
          <w:rFonts w:ascii="Times New Roman" w:hAnsi="Times New Roman"/>
          <w:color w:val="0F243E" w:themeColor="text2" w:themeShade="80"/>
          <w:sz w:val="26"/>
          <w:szCs w:val="26"/>
        </w:rPr>
        <w:t xml:space="preserve"> </w:t>
      </w:r>
      <w:r>
        <w:rPr>
          <w:rFonts w:ascii="Times New Roman" w:hAnsi="Times New Roman"/>
          <w:color w:val="0F243E" w:themeColor="text2" w:themeShade="80"/>
          <w:sz w:val="26"/>
          <w:szCs w:val="26"/>
        </w:rPr>
        <w:t>l</w:t>
      </w:r>
      <w:r w:rsidR="00217546" w:rsidRPr="002360E5">
        <w:rPr>
          <w:rFonts w:ascii="Times New Roman" w:hAnsi="Times New Roman"/>
          <w:color w:val="0F243E" w:themeColor="text2" w:themeShade="80"/>
          <w:sz w:val="26"/>
          <w:szCs w:val="26"/>
        </w:rPr>
        <w:t xml:space="preserve">a </w:t>
      </w:r>
      <w:r w:rsidR="00E56439">
        <w:rPr>
          <w:rFonts w:ascii="Times New Roman" w:hAnsi="Times New Roman"/>
          <w:color w:val="0F243E" w:themeColor="text2" w:themeShade="80"/>
          <w:sz w:val="26"/>
          <w:szCs w:val="26"/>
        </w:rPr>
        <w:t>formul</w:t>
      </w:r>
      <w:r w:rsidR="00820BCA" w:rsidRPr="002360E5">
        <w:rPr>
          <w:rFonts w:ascii="Times New Roman" w:hAnsi="Times New Roman"/>
          <w:color w:val="0F243E" w:themeColor="text2" w:themeShade="80"/>
          <w:sz w:val="26"/>
          <w:szCs w:val="26"/>
        </w:rPr>
        <w:t>a</w:t>
      </w:r>
      <w:r w:rsidR="00C37178">
        <w:rPr>
          <w:rFonts w:ascii="Times New Roman" w:hAnsi="Times New Roman"/>
          <w:color w:val="0F243E" w:themeColor="text2" w:themeShade="80"/>
          <w:sz w:val="26"/>
          <w:szCs w:val="26"/>
        </w:rPr>
        <w:t xml:space="preserve"> del citato </w:t>
      </w:r>
      <w:r w:rsidR="007448E3">
        <w:rPr>
          <w:rFonts w:ascii="Times New Roman" w:hAnsi="Times New Roman"/>
          <w:color w:val="0F243E" w:themeColor="text2" w:themeShade="80"/>
          <w:sz w:val="26"/>
          <w:szCs w:val="26"/>
        </w:rPr>
        <w:t xml:space="preserve">art. 213, </w:t>
      </w:r>
      <w:r w:rsidR="008C483D">
        <w:rPr>
          <w:rFonts w:ascii="Times New Roman" w:hAnsi="Times New Roman"/>
          <w:color w:val="0F243E" w:themeColor="text2" w:themeShade="80"/>
          <w:sz w:val="26"/>
          <w:szCs w:val="26"/>
        </w:rPr>
        <w:t xml:space="preserve">co. 3, </w:t>
      </w:r>
      <w:r w:rsidR="007448E3">
        <w:rPr>
          <w:rFonts w:ascii="Times New Roman" w:hAnsi="Times New Roman"/>
          <w:color w:val="0F243E" w:themeColor="text2" w:themeShade="80"/>
          <w:sz w:val="26"/>
          <w:szCs w:val="26"/>
        </w:rPr>
        <w:t>nonostante la sua</w:t>
      </w:r>
      <w:r w:rsidR="00E56439">
        <w:rPr>
          <w:rFonts w:ascii="Times New Roman" w:hAnsi="Times New Roman"/>
          <w:color w:val="0F243E" w:themeColor="text2" w:themeShade="80"/>
          <w:sz w:val="26"/>
          <w:szCs w:val="26"/>
        </w:rPr>
        <w:t xml:space="preserve"> </w:t>
      </w:r>
      <w:r w:rsidR="00394215">
        <w:rPr>
          <w:rFonts w:ascii="Times New Roman" w:hAnsi="Times New Roman"/>
          <w:color w:val="0F243E" w:themeColor="text2" w:themeShade="80"/>
          <w:sz w:val="26"/>
          <w:szCs w:val="26"/>
        </w:rPr>
        <w:t>esteriore</w:t>
      </w:r>
      <w:r w:rsidR="007448E3">
        <w:rPr>
          <w:rFonts w:ascii="Times New Roman" w:hAnsi="Times New Roman"/>
          <w:color w:val="0F243E" w:themeColor="text2" w:themeShade="80"/>
          <w:sz w:val="26"/>
          <w:szCs w:val="26"/>
        </w:rPr>
        <w:t xml:space="preserve"> perentorietà</w:t>
      </w:r>
      <w:r w:rsidR="00FF1719">
        <w:rPr>
          <w:rFonts w:ascii="Times New Roman" w:hAnsi="Times New Roman"/>
          <w:color w:val="0F243E" w:themeColor="text2" w:themeShade="80"/>
          <w:sz w:val="26"/>
          <w:szCs w:val="26"/>
        </w:rPr>
        <w:t>, genera alcuni dubbi</w:t>
      </w:r>
      <w:r w:rsidR="004743AE">
        <w:rPr>
          <w:rFonts w:ascii="Times New Roman" w:hAnsi="Times New Roman"/>
          <w:color w:val="0F243E" w:themeColor="text2" w:themeShade="80"/>
          <w:sz w:val="26"/>
          <w:szCs w:val="26"/>
        </w:rPr>
        <w:t>,</w:t>
      </w:r>
      <w:r w:rsidR="00C37178">
        <w:rPr>
          <w:rFonts w:ascii="Times New Roman" w:hAnsi="Times New Roman"/>
          <w:color w:val="0F243E" w:themeColor="text2" w:themeShade="80"/>
          <w:sz w:val="26"/>
          <w:szCs w:val="26"/>
        </w:rPr>
        <w:t xml:space="preserve"> in ordine alla precisa estensione</w:t>
      </w:r>
      <w:r w:rsidR="00E56439">
        <w:rPr>
          <w:rFonts w:ascii="Times New Roman" w:hAnsi="Times New Roman"/>
          <w:color w:val="0F243E" w:themeColor="text2" w:themeShade="80"/>
          <w:sz w:val="26"/>
          <w:szCs w:val="26"/>
        </w:rPr>
        <w:t>,</w:t>
      </w:r>
      <w:r w:rsidR="00C37178">
        <w:rPr>
          <w:rFonts w:ascii="Times New Roman" w:hAnsi="Times New Roman"/>
          <w:color w:val="0F243E" w:themeColor="text2" w:themeShade="80"/>
          <w:sz w:val="26"/>
          <w:szCs w:val="26"/>
        </w:rPr>
        <w:t xml:space="preserve"> oggettiva e soggettiva</w:t>
      </w:r>
      <w:r w:rsidR="00E56439">
        <w:rPr>
          <w:rFonts w:ascii="Times New Roman" w:hAnsi="Times New Roman"/>
          <w:color w:val="0F243E" w:themeColor="text2" w:themeShade="80"/>
          <w:sz w:val="26"/>
          <w:szCs w:val="26"/>
        </w:rPr>
        <w:t>,</w:t>
      </w:r>
      <w:r w:rsidR="00C37178">
        <w:rPr>
          <w:rFonts w:ascii="Times New Roman" w:hAnsi="Times New Roman"/>
          <w:color w:val="0F243E" w:themeColor="text2" w:themeShade="80"/>
          <w:sz w:val="26"/>
          <w:szCs w:val="26"/>
        </w:rPr>
        <w:t xml:space="preserve"> dei poteri di </w:t>
      </w:r>
      <w:r w:rsidR="008C483D">
        <w:rPr>
          <w:rFonts w:ascii="Times New Roman" w:hAnsi="Times New Roman"/>
          <w:color w:val="0F243E" w:themeColor="text2" w:themeShade="80"/>
          <w:sz w:val="26"/>
          <w:szCs w:val="26"/>
        </w:rPr>
        <w:t xml:space="preserve">intervento e di </w:t>
      </w:r>
      <w:r w:rsidR="00C37178">
        <w:rPr>
          <w:rFonts w:ascii="Times New Roman" w:hAnsi="Times New Roman"/>
          <w:color w:val="0F243E" w:themeColor="text2" w:themeShade="80"/>
          <w:sz w:val="26"/>
          <w:szCs w:val="26"/>
        </w:rPr>
        <w:t>regolazione</w:t>
      </w:r>
      <w:r w:rsidR="00E56439">
        <w:rPr>
          <w:rFonts w:ascii="Times New Roman" w:hAnsi="Times New Roman"/>
          <w:color w:val="0F243E" w:themeColor="text2" w:themeShade="80"/>
          <w:sz w:val="26"/>
          <w:szCs w:val="26"/>
        </w:rPr>
        <w:t xml:space="preserve"> spettanti all’ANAC</w:t>
      </w:r>
      <w:r w:rsidR="00FF1719">
        <w:rPr>
          <w:rFonts w:ascii="Times New Roman" w:hAnsi="Times New Roman"/>
          <w:color w:val="0F243E" w:themeColor="text2" w:themeShade="80"/>
          <w:sz w:val="26"/>
          <w:szCs w:val="26"/>
        </w:rPr>
        <w:t>.</w:t>
      </w:r>
    </w:p>
    <w:p w:rsidR="00197E36" w:rsidRDefault="00FF1719" w:rsidP="00FF1719">
      <w:pPr>
        <w:pStyle w:val="Paragrafoelenco"/>
        <w:numPr>
          <w:ilvl w:val="0"/>
          <w:numId w:val="26"/>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Intanto</w:t>
      </w:r>
      <w:r w:rsidR="00F653BA">
        <w:rPr>
          <w:rFonts w:ascii="Times New Roman" w:hAnsi="Times New Roman"/>
          <w:color w:val="0F243E" w:themeColor="text2" w:themeShade="80"/>
          <w:sz w:val="26"/>
          <w:szCs w:val="26"/>
        </w:rPr>
        <w:t>,</w:t>
      </w:r>
      <w:r w:rsidR="00217546" w:rsidRPr="002360E5">
        <w:rPr>
          <w:rFonts w:ascii="Times New Roman" w:hAnsi="Times New Roman"/>
          <w:color w:val="0F243E" w:themeColor="text2" w:themeShade="80"/>
          <w:sz w:val="26"/>
          <w:szCs w:val="26"/>
        </w:rPr>
        <w:t xml:space="preserve"> a stretto rigore, </w:t>
      </w:r>
      <w:r w:rsidR="00F653BA">
        <w:rPr>
          <w:rFonts w:ascii="Times New Roman" w:hAnsi="Times New Roman"/>
          <w:color w:val="0F243E" w:themeColor="text2" w:themeShade="80"/>
          <w:sz w:val="26"/>
          <w:szCs w:val="26"/>
        </w:rPr>
        <w:t xml:space="preserve">la norma </w:t>
      </w:r>
      <w:r w:rsidR="0092442A">
        <w:rPr>
          <w:rFonts w:ascii="Times New Roman" w:hAnsi="Times New Roman"/>
          <w:color w:val="0F243E" w:themeColor="text2" w:themeShade="80"/>
          <w:sz w:val="26"/>
          <w:szCs w:val="26"/>
        </w:rPr>
        <w:t>considerata</w:t>
      </w:r>
      <w:r w:rsidR="008A16F0">
        <w:rPr>
          <w:rFonts w:ascii="Times New Roman" w:hAnsi="Times New Roman"/>
          <w:color w:val="0F243E" w:themeColor="text2" w:themeShade="80"/>
          <w:sz w:val="26"/>
          <w:szCs w:val="26"/>
        </w:rPr>
        <w:t xml:space="preserve"> (</w:t>
      </w:r>
      <w:r w:rsidR="00306247">
        <w:rPr>
          <w:rFonts w:ascii="Times New Roman" w:hAnsi="Times New Roman"/>
          <w:color w:val="0F243E" w:themeColor="text2" w:themeShade="80"/>
          <w:sz w:val="26"/>
          <w:szCs w:val="26"/>
        </w:rPr>
        <w:t xml:space="preserve">art. </w:t>
      </w:r>
      <w:r w:rsidR="008A16F0">
        <w:rPr>
          <w:rFonts w:ascii="Times New Roman" w:hAnsi="Times New Roman"/>
          <w:color w:val="0F243E" w:themeColor="text2" w:themeShade="80"/>
          <w:sz w:val="26"/>
          <w:szCs w:val="26"/>
        </w:rPr>
        <w:t>213, comma 3)</w:t>
      </w:r>
      <w:r w:rsidR="00197E36">
        <w:rPr>
          <w:rFonts w:ascii="Times New Roman" w:hAnsi="Times New Roman"/>
          <w:color w:val="0F243E" w:themeColor="text2" w:themeShade="80"/>
          <w:sz w:val="26"/>
          <w:szCs w:val="26"/>
        </w:rPr>
        <w:t xml:space="preserve"> </w:t>
      </w:r>
      <w:r w:rsidR="00217546" w:rsidRPr="002360E5">
        <w:rPr>
          <w:rFonts w:ascii="Times New Roman" w:hAnsi="Times New Roman"/>
          <w:color w:val="0F243E" w:themeColor="text2" w:themeShade="80"/>
          <w:sz w:val="26"/>
          <w:szCs w:val="26"/>
        </w:rPr>
        <w:t>si riferisce</w:t>
      </w:r>
      <w:r w:rsidR="00E56439">
        <w:rPr>
          <w:rFonts w:ascii="Times New Roman" w:hAnsi="Times New Roman"/>
          <w:color w:val="0F243E" w:themeColor="text2" w:themeShade="80"/>
          <w:sz w:val="26"/>
          <w:szCs w:val="26"/>
        </w:rPr>
        <w:t>,</w:t>
      </w:r>
      <w:r w:rsidR="00217546" w:rsidRPr="002360E5">
        <w:rPr>
          <w:rFonts w:ascii="Times New Roman" w:hAnsi="Times New Roman"/>
          <w:color w:val="0F243E" w:themeColor="text2" w:themeShade="80"/>
          <w:sz w:val="26"/>
          <w:szCs w:val="26"/>
        </w:rPr>
        <w:t xml:space="preserve"> </w:t>
      </w:r>
      <w:r>
        <w:rPr>
          <w:rFonts w:ascii="Times New Roman" w:hAnsi="Times New Roman"/>
          <w:color w:val="0F243E" w:themeColor="text2" w:themeShade="80"/>
          <w:sz w:val="26"/>
          <w:szCs w:val="26"/>
        </w:rPr>
        <w:t>espressamente</w:t>
      </w:r>
      <w:r w:rsidR="00E56439">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w:t>
      </w:r>
      <w:r w:rsidR="00217546" w:rsidRPr="002360E5">
        <w:rPr>
          <w:rFonts w:ascii="Times New Roman" w:hAnsi="Times New Roman"/>
          <w:color w:val="0F243E" w:themeColor="text2" w:themeShade="80"/>
          <w:sz w:val="26"/>
          <w:szCs w:val="26"/>
        </w:rPr>
        <w:t>a</w:t>
      </w:r>
      <w:r w:rsidR="00DC283F" w:rsidRPr="002360E5">
        <w:rPr>
          <w:rFonts w:ascii="Times New Roman" w:hAnsi="Times New Roman"/>
          <w:color w:val="0F243E" w:themeColor="text2" w:themeShade="80"/>
          <w:sz w:val="26"/>
          <w:szCs w:val="26"/>
        </w:rPr>
        <w:t xml:space="preserve">l solo potere di </w:t>
      </w:r>
      <w:r w:rsidR="00DC283F" w:rsidRPr="002360E5">
        <w:rPr>
          <w:rFonts w:ascii="Times New Roman" w:hAnsi="Times New Roman"/>
          <w:i/>
          <w:color w:val="0F243E" w:themeColor="text2" w:themeShade="80"/>
          <w:sz w:val="26"/>
          <w:szCs w:val="26"/>
        </w:rPr>
        <w:t>vigilanza</w:t>
      </w:r>
      <w:r w:rsidR="00DC283F" w:rsidRPr="002360E5">
        <w:rPr>
          <w:rFonts w:ascii="Times New Roman" w:hAnsi="Times New Roman"/>
          <w:color w:val="0F243E" w:themeColor="text2" w:themeShade="80"/>
          <w:sz w:val="26"/>
          <w:szCs w:val="26"/>
        </w:rPr>
        <w:t xml:space="preserve"> </w:t>
      </w:r>
      <w:r w:rsidR="004743AE" w:rsidRPr="002360E5">
        <w:rPr>
          <w:rFonts w:ascii="Times New Roman" w:hAnsi="Times New Roman"/>
          <w:color w:val="0F243E" w:themeColor="text2" w:themeShade="80"/>
          <w:sz w:val="26"/>
          <w:szCs w:val="26"/>
        </w:rPr>
        <w:t>appartenente</w:t>
      </w:r>
      <w:r w:rsidR="00577958" w:rsidRPr="002360E5">
        <w:rPr>
          <w:rFonts w:ascii="Times New Roman" w:hAnsi="Times New Roman"/>
          <w:color w:val="0F243E" w:themeColor="text2" w:themeShade="80"/>
          <w:sz w:val="26"/>
          <w:szCs w:val="26"/>
        </w:rPr>
        <w:t xml:space="preserve"> all’Autorità </w:t>
      </w:r>
      <w:r w:rsidR="00DC283F" w:rsidRPr="002360E5">
        <w:rPr>
          <w:rFonts w:ascii="Times New Roman" w:hAnsi="Times New Roman"/>
          <w:color w:val="0F243E" w:themeColor="text2" w:themeShade="80"/>
          <w:sz w:val="26"/>
          <w:szCs w:val="26"/>
        </w:rPr>
        <w:t>e non a</w:t>
      </w:r>
      <w:r w:rsidR="00577958" w:rsidRPr="002360E5">
        <w:rPr>
          <w:rFonts w:ascii="Times New Roman" w:hAnsi="Times New Roman"/>
          <w:color w:val="0F243E" w:themeColor="text2" w:themeShade="80"/>
          <w:sz w:val="26"/>
          <w:szCs w:val="26"/>
        </w:rPr>
        <w:t>nche</w:t>
      </w:r>
      <w:r w:rsidR="00DC283F" w:rsidRPr="002360E5">
        <w:rPr>
          <w:rFonts w:ascii="Times New Roman" w:hAnsi="Times New Roman"/>
          <w:color w:val="0F243E" w:themeColor="text2" w:themeShade="80"/>
          <w:sz w:val="26"/>
          <w:szCs w:val="26"/>
        </w:rPr>
        <w:t xml:space="preserve"> </w:t>
      </w:r>
      <w:r w:rsidR="00E56439">
        <w:rPr>
          <w:rFonts w:ascii="Times New Roman" w:hAnsi="Times New Roman"/>
          <w:color w:val="0F243E" w:themeColor="text2" w:themeShade="80"/>
          <w:sz w:val="26"/>
          <w:szCs w:val="26"/>
        </w:rPr>
        <w:t xml:space="preserve">a </w:t>
      </w:r>
      <w:r w:rsidR="00DC283F" w:rsidRPr="002360E5">
        <w:rPr>
          <w:rFonts w:ascii="Times New Roman" w:hAnsi="Times New Roman"/>
          <w:color w:val="0F243E" w:themeColor="text2" w:themeShade="80"/>
          <w:sz w:val="26"/>
          <w:szCs w:val="26"/>
        </w:rPr>
        <w:t>quello</w:t>
      </w:r>
      <w:r w:rsidR="006E2DDC" w:rsidRPr="002360E5">
        <w:rPr>
          <w:rFonts w:ascii="Times New Roman" w:hAnsi="Times New Roman"/>
          <w:color w:val="0F243E" w:themeColor="text2" w:themeShade="80"/>
          <w:sz w:val="26"/>
          <w:szCs w:val="26"/>
        </w:rPr>
        <w:t xml:space="preserve"> propriamente</w:t>
      </w:r>
      <w:r w:rsidR="00DC283F" w:rsidRPr="002360E5">
        <w:rPr>
          <w:rFonts w:ascii="Times New Roman" w:hAnsi="Times New Roman"/>
          <w:color w:val="0F243E" w:themeColor="text2" w:themeShade="80"/>
          <w:sz w:val="26"/>
          <w:szCs w:val="26"/>
        </w:rPr>
        <w:t xml:space="preserve"> </w:t>
      </w:r>
      <w:r w:rsidR="00DC283F" w:rsidRPr="002360E5">
        <w:rPr>
          <w:rFonts w:ascii="Times New Roman" w:hAnsi="Times New Roman"/>
          <w:i/>
          <w:color w:val="0F243E" w:themeColor="text2" w:themeShade="80"/>
          <w:sz w:val="26"/>
          <w:szCs w:val="26"/>
        </w:rPr>
        <w:t>regolatorio</w:t>
      </w:r>
      <w:r w:rsidR="00F653BA">
        <w:rPr>
          <w:rFonts w:ascii="Times New Roman" w:hAnsi="Times New Roman"/>
          <w:color w:val="0F243E" w:themeColor="text2" w:themeShade="80"/>
          <w:sz w:val="26"/>
          <w:szCs w:val="26"/>
        </w:rPr>
        <w:t xml:space="preserve">, che l’art. 213 considera, separatamente, al </w:t>
      </w:r>
      <w:r w:rsidR="00DD410A">
        <w:rPr>
          <w:rFonts w:ascii="Times New Roman" w:hAnsi="Times New Roman"/>
          <w:color w:val="0F243E" w:themeColor="text2" w:themeShade="80"/>
          <w:sz w:val="26"/>
          <w:szCs w:val="26"/>
        </w:rPr>
        <w:t>precedente</w:t>
      </w:r>
      <w:r w:rsidR="00E56439">
        <w:rPr>
          <w:rFonts w:ascii="Times New Roman" w:hAnsi="Times New Roman"/>
          <w:color w:val="0F243E" w:themeColor="text2" w:themeShade="80"/>
          <w:sz w:val="26"/>
          <w:szCs w:val="26"/>
        </w:rPr>
        <w:t xml:space="preserve"> </w:t>
      </w:r>
      <w:r w:rsidR="008D117E">
        <w:rPr>
          <w:rFonts w:ascii="Times New Roman" w:hAnsi="Times New Roman"/>
          <w:color w:val="0F243E" w:themeColor="text2" w:themeShade="80"/>
          <w:sz w:val="26"/>
          <w:szCs w:val="26"/>
        </w:rPr>
        <w:t>comma 2</w:t>
      </w:r>
      <w:r w:rsidR="0036072C">
        <w:rPr>
          <w:rFonts w:ascii="Times New Roman" w:hAnsi="Times New Roman"/>
          <w:color w:val="0F243E" w:themeColor="text2" w:themeShade="80"/>
          <w:sz w:val="26"/>
          <w:szCs w:val="26"/>
        </w:rPr>
        <w:t>.</w:t>
      </w:r>
    </w:p>
    <w:p w:rsidR="004743AE" w:rsidRDefault="00E56439" w:rsidP="00197E36">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Questa previsione, a sua volta, omette ogni testuale riferimento ai settori s</w:t>
      </w:r>
      <w:r w:rsidR="00535D12">
        <w:rPr>
          <w:rFonts w:ascii="Times New Roman" w:hAnsi="Times New Roman"/>
          <w:color w:val="0F243E" w:themeColor="text2" w:themeShade="80"/>
          <w:sz w:val="26"/>
          <w:szCs w:val="26"/>
        </w:rPr>
        <w:t>peciali e ai contratti esclusi e non definisce, né positivamen</w:t>
      </w:r>
      <w:r w:rsidR="001F1EBF">
        <w:rPr>
          <w:rFonts w:ascii="Times New Roman" w:hAnsi="Times New Roman"/>
          <w:color w:val="0F243E" w:themeColor="text2" w:themeShade="80"/>
          <w:sz w:val="26"/>
          <w:szCs w:val="26"/>
        </w:rPr>
        <w:t>t</w:t>
      </w:r>
      <w:r w:rsidR="00535D12">
        <w:rPr>
          <w:rFonts w:ascii="Times New Roman" w:hAnsi="Times New Roman"/>
          <w:color w:val="0F243E" w:themeColor="text2" w:themeShade="80"/>
          <w:sz w:val="26"/>
          <w:szCs w:val="26"/>
        </w:rPr>
        <w:t>e, né negativamente, i confini della funzione regolatoria.</w:t>
      </w:r>
    </w:p>
    <w:p w:rsidR="00577958" w:rsidRDefault="00E56439" w:rsidP="004743A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Il criterio esegetico dell’</w:t>
      </w:r>
      <w:r w:rsidRPr="00E56439">
        <w:rPr>
          <w:rFonts w:ascii="Times New Roman" w:hAnsi="Times New Roman"/>
          <w:i/>
          <w:color w:val="0F243E" w:themeColor="text2" w:themeShade="80"/>
          <w:sz w:val="26"/>
          <w:szCs w:val="26"/>
        </w:rPr>
        <w:t>argumentum a contrario</w:t>
      </w:r>
      <w:r>
        <w:rPr>
          <w:rFonts w:ascii="Times New Roman" w:hAnsi="Times New Roman"/>
          <w:color w:val="0F243E" w:themeColor="text2" w:themeShade="80"/>
          <w:sz w:val="26"/>
          <w:szCs w:val="26"/>
        </w:rPr>
        <w:t xml:space="preserve"> potrebbe suggerire, allora, che il perimetro del potere di regolazione </w:t>
      </w:r>
      <w:r w:rsidR="003E3650">
        <w:rPr>
          <w:rFonts w:ascii="Times New Roman" w:hAnsi="Times New Roman"/>
          <w:color w:val="0F243E" w:themeColor="text2" w:themeShade="80"/>
          <w:sz w:val="26"/>
          <w:szCs w:val="26"/>
        </w:rPr>
        <w:t>dell’ANAC</w:t>
      </w:r>
      <w:r w:rsidR="00DD410A">
        <w:rPr>
          <w:rFonts w:ascii="Times New Roman" w:hAnsi="Times New Roman"/>
          <w:color w:val="0F243E" w:themeColor="text2" w:themeShade="80"/>
          <w:sz w:val="26"/>
          <w:szCs w:val="26"/>
        </w:rPr>
        <w:t>, descritto dal comma 2,</w:t>
      </w:r>
      <w:r w:rsidR="003E3650">
        <w:rPr>
          <w:rFonts w:ascii="Times New Roman" w:hAnsi="Times New Roman"/>
          <w:color w:val="0F243E" w:themeColor="text2" w:themeShade="80"/>
          <w:sz w:val="26"/>
          <w:szCs w:val="26"/>
        </w:rPr>
        <w:t xml:space="preserve"> </w:t>
      </w:r>
      <w:r>
        <w:rPr>
          <w:rFonts w:ascii="Times New Roman" w:hAnsi="Times New Roman"/>
          <w:color w:val="0F243E" w:themeColor="text2" w:themeShade="80"/>
          <w:sz w:val="26"/>
          <w:szCs w:val="26"/>
        </w:rPr>
        <w:t>sia più ristretto di quello della funzione di vigilanza</w:t>
      </w:r>
      <w:r w:rsidR="00DD410A">
        <w:rPr>
          <w:rFonts w:ascii="Times New Roman" w:hAnsi="Times New Roman"/>
          <w:color w:val="0F243E" w:themeColor="text2" w:themeShade="80"/>
          <w:sz w:val="26"/>
          <w:szCs w:val="26"/>
        </w:rPr>
        <w:t>, prevista dal comma 3</w:t>
      </w:r>
      <w:r>
        <w:rPr>
          <w:rFonts w:ascii="Times New Roman" w:hAnsi="Times New Roman"/>
          <w:color w:val="0F243E" w:themeColor="text2" w:themeShade="80"/>
          <w:sz w:val="26"/>
          <w:szCs w:val="26"/>
        </w:rPr>
        <w:t>. Si tratterebbe, del resto, di una soluzione plausibile sul piano logico e degli interessi in gioco. Le due funzioni sono effettivamente ben distinte e potrebbe comprendersi perché la funzione regolatoria, per il suo maggior peso, sia circoscritta in una cornice più stretta</w:t>
      </w:r>
      <w:r w:rsidR="00460451">
        <w:rPr>
          <w:rFonts w:ascii="Times New Roman" w:hAnsi="Times New Roman"/>
          <w:color w:val="0F243E" w:themeColor="text2" w:themeShade="80"/>
          <w:sz w:val="26"/>
          <w:szCs w:val="26"/>
        </w:rPr>
        <w:t xml:space="preserve"> rispetto a quella di vigilanza</w:t>
      </w:r>
      <w:r>
        <w:rPr>
          <w:rFonts w:ascii="Times New Roman" w:hAnsi="Times New Roman"/>
          <w:color w:val="0F243E" w:themeColor="text2" w:themeShade="80"/>
          <w:sz w:val="26"/>
          <w:szCs w:val="26"/>
        </w:rPr>
        <w:t>.</w:t>
      </w:r>
    </w:p>
    <w:p w:rsidR="00460451" w:rsidRDefault="00460451" w:rsidP="004743A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Le peculiarità dei settori speciali e, a maggior ragione, </w:t>
      </w:r>
      <w:r w:rsidR="00451EDB">
        <w:rPr>
          <w:rFonts w:ascii="Times New Roman" w:hAnsi="Times New Roman"/>
          <w:color w:val="0F243E" w:themeColor="text2" w:themeShade="80"/>
          <w:sz w:val="26"/>
          <w:szCs w:val="26"/>
        </w:rPr>
        <w:t xml:space="preserve">le particolarità </w:t>
      </w:r>
      <w:r>
        <w:rPr>
          <w:rFonts w:ascii="Times New Roman" w:hAnsi="Times New Roman"/>
          <w:color w:val="0F243E" w:themeColor="text2" w:themeShade="80"/>
          <w:sz w:val="26"/>
          <w:szCs w:val="26"/>
        </w:rPr>
        <w:t>dei contratti esclusi</w:t>
      </w:r>
      <w:r w:rsidR="00451EDB">
        <w:rPr>
          <w:rFonts w:ascii="Times New Roman" w:hAnsi="Times New Roman"/>
          <w:color w:val="0F243E" w:themeColor="text2" w:themeShade="80"/>
          <w:sz w:val="26"/>
          <w:szCs w:val="26"/>
        </w:rPr>
        <w:t xml:space="preserve"> potrebbero spiegare la scelta legislativa di sottrarre questi ambiti dalla funzione regolatoria dell’ANAC</w:t>
      </w:r>
      <w:r w:rsidR="00094508">
        <w:rPr>
          <w:rFonts w:ascii="Times New Roman" w:hAnsi="Times New Roman"/>
          <w:color w:val="0F243E" w:themeColor="text2" w:themeShade="80"/>
          <w:sz w:val="26"/>
          <w:szCs w:val="26"/>
        </w:rPr>
        <w:t>.</w:t>
      </w:r>
    </w:p>
    <w:p w:rsidR="008A16F0" w:rsidRDefault="008A16F0" w:rsidP="004743A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Né, in senso contrario, avrebbe portata determinante la previsione generalissima del comma 1, riferito ai poteri di regolazione e vigilanza su tutti i contratti pubblici</w:t>
      </w:r>
      <w:r w:rsidR="00D71C97">
        <w:rPr>
          <w:rFonts w:ascii="Times New Roman" w:hAnsi="Times New Roman"/>
          <w:color w:val="0F243E" w:themeColor="text2" w:themeShade="80"/>
          <w:sz w:val="26"/>
          <w:szCs w:val="26"/>
        </w:rPr>
        <w:t>. Tale disposizione, posta all’esordio dell’art. 213</w:t>
      </w:r>
      <w:r w:rsidR="00306247">
        <w:rPr>
          <w:rFonts w:ascii="Times New Roman" w:hAnsi="Times New Roman"/>
          <w:color w:val="0F243E" w:themeColor="text2" w:themeShade="80"/>
          <w:sz w:val="26"/>
          <w:szCs w:val="26"/>
        </w:rPr>
        <w:t>,</w:t>
      </w:r>
      <w:r w:rsidR="00D71C97">
        <w:rPr>
          <w:rFonts w:ascii="Times New Roman" w:hAnsi="Times New Roman"/>
          <w:color w:val="0F243E" w:themeColor="text2" w:themeShade="80"/>
          <w:sz w:val="26"/>
          <w:szCs w:val="26"/>
        </w:rPr>
        <w:t xml:space="preserve"> avrebbe lo scopo di indicare genericamente la posizione dell’ANAC e le sue prerogative, mentre l’effettiva articolazione dei loro distin</w:t>
      </w:r>
      <w:r w:rsidR="00306247">
        <w:rPr>
          <w:rFonts w:ascii="Times New Roman" w:hAnsi="Times New Roman"/>
          <w:color w:val="0F243E" w:themeColor="text2" w:themeShade="80"/>
          <w:sz w:val="26"/>
          <w:szCs w:val="26"/>
        </w:rPr>
        <w:t>t</w:t>
      </w:r>
      <w:r w:rsidR="00D71C97">
        <w:rPr>
          <w:rFonts w:ascii="Times New Roman" w:hAnsi="Times New Roman"/>
          <w:color w:val="0F243E" w:themeColor="text2" w:themeShade="80"/>
          <w:sz w:val="26"/>
          <w:szCs w:val="26"/>
        </w:rPr>
        <w:t>i ambiti sarebbe compiuta dai commi successivi.</w:t>
      </w:r>
    </w:p>
    <w:p w:rsidR="003E3650" w:rsidRDefault="0036072C" w:rsidP="00E56439">
      <w:pPr>
        <w:pStyle w:val="Paragrafoelenco"/>
        <w:numPr>
          <w:ilvl w:val="0"/>
          <w:numId w:val="26"/>
        </w:numPr>
        <w:tabs>
          <w:tab w:val="left" w:pos="0"/>
        </w:tabs>
        <w:ind w:left="0" w:firstLine="709"/>
        <w:rPr>
          <w:rFonts w:ascii="Times New Roman" w:hAnsi="Times New Roman"/>
          <w:color w:val="0F243E" w:themeColor="text2" w:themeShade="80"/>
          <w:sz w:val="26"/>
          <w:szCs w:val="26"/>
        </w:rPr>
      </w:pPr>
      <w:r w:rsidRPr="0036072C">
        <w:rPr>
          <w:rFonts w:ascii="Times New Roman" w:hAnsi="Times New Roman"/>
          <w:color w:val="0F243E" w:themeColor="text2" w:themeShade="80"/>
          <w:sz w:val="26"/>
          <w:szCs w:val="26"/>
        </w:rPr>
        <w:t>La norma</w:t>
      </w:r>
      <w:r w:rsidR="005F6DB8">
        <w:rPr>
          <w:rFonts w:ascii="Times New Roman" w:hAnsi="Times New Roman"/>
          <w:color w:val="0F243E" w:themeColor="text2" w:themeShade="80"/>
          <w:sz w:val="26"/>
          <w:szCs w:val="26"/>
        </w:rPr>
        <w:t xml:space="preserve"> di cui all’art. 213, comma 3</w:t>
      </w:r>
      <w:r w:rsidRPr="0036072C">
        <w:rPr>
          <w:rFonts w:ascii="Times New Roman" w:hAnsi="Times New Roman"/>
          <w:color w:val="0F243E" w:themeColor="text2" w:themeShade="80"/>
          <w:sz w:val="26"/>
          <w:szCs w:val="26"/>
        </w:rPr>
        <w:t xml:space="preserve">, poi, non </w:t>
      </w:r>
      <w:r w:rsidR="006E2DDC" w:rsidRPr="0036072C">
        <w:rPr>
          <w:rFonts w:ascii="Times New Roman" w:hAnsi="Times New Roman"/>
          <w:color w:val="0F243E" w:themeColor="text2" w:themeShade="80"/>
          <w:sz w:val="26"/>
          <w:szCs w:val="26"/>
        </w:rPr>
        <w:t>stabili</w:t>
      </w:r>
      <w:r>
        <w:rPr>
          <w:rFonts w:ascii="Times New Roman" w:hAnsi="Times New Roman"/>
          <w:color w:val="0F243E" w:themeColor="text2" w:themeShade="80"/>
          <w:sz w:val="26"/>
          <w:szCs w:val="26"/>
        </w:rPr>
        <w:t xml:space="preserve">sce </w:t>
      </w:r>
      <w:r w:rsidR="00DC283F" w:rsidRPr="0036072C">
        <w:rPr>
          <w:rFonts w:ascii="Times New Roman" w:hAnsi="Times New Roman"/>
          <w:color w:val="0F243E" w:themeColor="text2" w:themeShade="80"/>
          <w:sz w:val="26"/>
          <w:szCs w:val="26"/>
        </w:rPr>
        <w:t xml:space="preserve">se questa </w:t>
      </w:r>
      <w:r>
        <w:rPr>
          <w:rFonts w:ascii="Times New Roman" w:hAnsi="Times New Roman"/>
          <w:color w:val="0F243E" w:themeColor="text2" w:themeShade="80"/>
          <w:sz w:val="26"/>
          <w:szCs w:val="26"/>
        </w:rPr>
        <w:t xml:space="preserve">oggettiva </w:t>
      </w:r>
      <w:r w:rsidR="00DC283F" w:rsidRPr="0036072C">
        <w:rPr>
          <w:rFonts w:ascii="Times New Roman" w:hAnsi="Times New Roman"/>
          <w:color w:val="0F243E" w:themeColor="text2" w:themeShade="80"/>
          <w:sz w:val="26"/>
          <w:szCs w:val="26"/>
        </w:rPr>
        <w:t>latitudine dei poteri</w:t>
      </w:r>
      <w:r w:rsidR="00577958" w:rsidRPr="0036072C">
        <w:rPr>
          <w:rFonts w:ascii="Times New Roman" w:hAnsi="Times New Roman"/>
          <w:color w:val="0F243E" w:themeColor="text2" w:themeShade="80"/>
          <w:sz w:val="26"/>
          <w:szCs w:val="26"/>
        </w:rPr>
        <w:t xml:space="preserve"> </w:t>
      </w:r>
      <w:r w:rsidR="005F6DB8">
        <w:rPr>
          <w:rFonts w:ascii="Times New Roman" w:hAnsi="Times New Roman"/>
          <w:color w:val="0F243E" w:themeColor="text2" w:themeShade="80"/>
          <w:sz w:val="26"/>
          <w:szCs w:val="26"/>
        </w:rPr>
        <w:t xml:space="preserve">di vigilanza </w:t>
      </w:r>
      <w:r w:rsidR="00577958" w:rsidRPr="0036072C">
        <w:rPr>
          <w:rFonts w:ascii="Times New Roman" w:hAnsi="Times New Roman"/>
          <w:color w:val="0F243E" w:themeColor="text2" w:themeShade="80"/>
          <w:sz w:val="26"/>
          <w:szCs w:val="26"/>
        </w:rPr>
        <w:t>dell’ANAC</w:t>
      </w:r>
      <w:r w:rsidR="00DC283F" w:rsidRPr="0036072C">
        <w:rPr>
          <w:rFonts w:ascii="Times New Roman" w:hAnsi="Times New Roman"/>
          <w:color w:val="0F243E" w:themeColor="text2" w:themeShade="80"/>
          <w:sz w:val="26"/>
          <w:szCs w:val="26"/>
        </w:rPr>
        <w:t xml:space="preserve">, </w:t>
      </w:r>
      <w:r w:rsidR="006E2DDC" w:rsidRPr="0036072C">
        <w:rPr>
          <w:rFonts w:ascii="Times New Roman" w:hAnsi="Times New Roman"/>
          <w:color w:val="0F243E" w:themeColor="text2" w:themeShade="80"/>
          <w:sz w:val="26"/>
          <w:szCs w:val="26"/>
        </w:rPr>
        <w:t>concerne</w:t>
      </w:r>
      <w:r w:rsidR="00DC283F" w:rsidRPr="0036072C">
        <w:rPr>
          <w:rFonts w:ascii="Times New Roman" w:hAnsi="Times New Roman"/>
          <w:color w:val="0F243E" w:themeColor="text2" w:themeShade="80"/>
          <w:sz w:val="26"/>
          <w:szCs w:val="26"/>
        </w:rPr>
        <w:t>nt</w:t>
      </w:r>
      <w:r w:rsidR="005F6DB8">
        <w:rPr>
          <w:rFonts w:ascii="Times New Roman" w:hAnsi="Times New Roman"/>
          <w:color w:val="0F243E" w:themeColor="text2" w:themeShade="80"/>
          <w:sz w:val="26"/>
          <w:szCs w:val="26"/>
        </w:rPr>
        <w:t>e</w:t>
      </w:r>
      <w:r w:rsidR="00DC283F" w:rsidRPr="0036072C">
        <w:rPr>
          <w:rFonts w:ascii="Times New Roman" w:hAnsi="Times New Roman"/>
          <w:color w:val="0F243E" w:themeColor="text2" w:themeShade="80"/>
          <w:sz w:val="26"/>
          <w:szCs w:val="26"/>
        </w:rPr>
        <w:t xml:space="preserve">, genericamente, tutti i </w:t>
      </w:r>
      <w:r w:rsidR="00DC283F" w:rsidRPr="0036072C">
        <w:rPr>
          <w:rFonts w:ascii="Times New Roman" w:hAnsi="Times New Roman"/>
          <w:i/>
          <w:color w:val="0F243E" w:themeColor="text2" w:themeShade="80"/>
          <w:sz w:val="26"/>
          <w:szCs w:val="26"/>
        </w:rPr>
        <w:t>contratti esclusi</w:t>
      </w:r>
      <w:r w:rsidR="00DC283F" w:rsidRPr="0036072C">
        <w:rPr>
          <w:rFonts w:ascii="Times New Roman" w:hAnsi="Times New Roman"/>
          <w:color w:val="0F243E" w:themeColor="text2" w:themeShade="80"/>
          <w:sz w:val="26"/>
          <w:szCs w:val="26"/>
        </w:rPr>
        <w:t xml:space="preserve">, </w:t>
      </w:r>
      <w:r w:rsidR="008923C6">
        <w:rPr>
          <w:rFonts w:ascii="Times New Roman" w:hAnsi="Times New Roman"/>
          <w:color w:val="0F243E" w:themeColor="text2" w:themeShade="80"/>
          <w:sz w:val="26"/>
          <w:szCs w:val="26"/>
        </w:rPr>
        <w:t>comprenda</w:t>
      </w:r>
      <w:r w:rsidR="00094508">
        <w:rPr>
          <w:rFonts w:ascii="Times New Roman" w:hAnsi="Times New Roman"/>
          <w:color w:val="0F243E" w:themeColor="text2" w:themeShade="80"/>
          <w:sz w:val="26"/>
          <w:szCs w:val="26"/>
        </w:rPr>
        <w:t>, al proprio interno</w:t>
      </w:r>
      <w:r w:rsidR="00306247">
        <w:rPr>
          <w:rFonts w:ascii="Times New Roman" w:hAnsi="Times New Roman"/>
          <w:color w:val="0F243E" w:themeColor="text2" w:themeShade="80"/>
          <w:sz w:val="26"/>
          <w:szCs w:val="26"/>
        </w:rPr>
        <w:t>,</w:t>
      </w:r>
      <w:r w:rsidR="008923C6">
        <w:rPr>
          <w:rFonts w:ascii="Times New Roman" w:hAnsi="Times New Roman"/>
          <w:color w:val="0F243E" w:themeColor="text2" w:themeShade="80"/>
          <w:sz w:val="26"/>
          <w:szCs w:val="26"/>
        </w:rPr>
        <w:t xml:space="preserve"> </w:t>
      </w:r>
      <w:r w:rsidR="00DC283F" w:rsidRPr="0036072C">
        <w:rPr>
          <w:rFonts w:ascii="Times New Roman" w:hAnsi="Times New Roman"/>
          <w:color w:val="0F243E" w:themeColor="text2" w:themeShade="80"/>
          <w:sz w:val="26"/>
          <w:szCs w:val="26"/>
        </w:rPr>
        <w:t>anche i “</w:t>
      </w:r>
      <w:r w:rsidR="00DC283F" w:rsidRPr="0036072C">
        <w:rPr>
          <w:rFonts w:ascii="Times New Roman" w:hAnsi="Times New Roman"/>
          <w:i/>
          <w:color w:val="0F243E" w:themeColor="text2" w:themeShade="80"/>
          <w:sz w:val="26"/>
          <w:szCs w:val="26"/>
        </w:rPr>
        <w:t>contratti esenti</w:t>
      </w:r>
      <w:r w:rsidR="00DC283F" w:rsidRPr="0036072C">
        <w:rPr>
          <w:rFonts w:ascii="Times New Roman" w:hAnsi="Times New Roman"/>
          <w:color w:val="0F243E" w:themeColor="text2" w:themeShade="80"/>
          <w:sz w:val="26"/>
          <w:szCs w:val="26"/>
        </w:rPr>
        <w:t>”</w:t>
      </w:r>
      <w:r w:rsidR="00716E1C">
        <w:rPr>
          <w:rFonts w:ascii="Times New Roman" w:hAnsi="Times New Roman"/>
          <w:color w:val="0F243E" w:themeColor="text2" w:themeShade="80"/>
          <w:sz w:val="26"/>
          <w:szCs w:val="26"/>
        </w:rPr>
        <w:t>, o “</w:t>
      </w:r>
      <w:r w:rsidR="00716E1C" w:rsidRPr="005F6DB8">
        <w:rPr>
          <w:rFonts w:ascii="Times New Roman" w:hAnsi="Times New Roman"/>
          <w:i/>
          <w:color w:val="0F243E" w:themeColor="text2" w:themeShade="80"/>
          <w:sz w:val="26"/>
          <w:szCs w:val="26"/>
        </w:rPr>
        <w:t>estranei</w:t>
      </w:r>
      <w:r w:rsidR="00716E1C">
        <w:rPr>
          <w:rFonts w:ascii="Times New Roman" w:hAnsi="Times New Roman"/>
          <w:color w:val="0F243E" w:themeColor="text2" w:themeShade="80"/>
          <w:sz w:val="26"/>
          <w:szCs w:val="26"/>
        </w:rPr>
        <w:t>”</w:t>
      </w:r>
      <w:r w:rsidR="00306247">
        <w:rPr>
          <w:rFonts w:ascii="Times New Roman" w:hAnsi="Times New Roman"/>
          <w:color w:val="0F243E" w:themeColor="text2" w:themeShade="80"/>
          <w:sz w:val="26"/>
          <w:szCs w:val="26"/>
        </w:rPr>
        <w:t>,</w:t>
      </w:r>
      <w:r w:rsidR="00DC283F" w:rsidRPr="0036072C">
        <w:rPr>
          <w:rFonts w:ascii="Times New Roman" w:hAnsi="Times New Roman"/>
          <w:color w:val="0F243E" w:themeColor="text2" w:themeShade="80"/>
          <w:sz w:val="26"/>
          <w:szCs w:val="26"/>
        </w:rPr>
        <w:t xml:space="preserve"> </w:t>
      </w:r>
      <w:r w:rsidR="00716E1C">
        <w:rPr>
          <w:rFonts w:ascii="Times New Roman" w:hAnsi="Times New Roman"/>
          <w:color w:val="0F243E" w:themeColor="text2" w:themeShade="80"/>
          <w:sz w:val="26"/>
          <w:szCs w:val="26"/>
        </w:rPr>
        <w:t>d</w:t>
      </w:r>
      <w:r w:rsidR="00FA7FBC" w:rsidRPr="0036072C">
        <w:rPr>
          <w:rFonts w:ascii="Times New Roman" w:hAnsi="Times New Roman"/>
          <w:color w:val="0F243E" w:themeColor="text2" w:themeShade="80"/>
          <w:sz w:val="26"/>
          <w:szCs w:val="26"/>
        </w:rPr>
        <w:t>ei settori speciali</w:t>
      </w:r>
      <w:r w:rsidR="008923C6">
        <w:rPr>
          <w:rFonts w:ascii="Times New Roman" w:hAnsi="Times New Roman"/>
          <w:color w:val="0F243E" w:themeColor="text2" w:themeShade="80"/>
          <w:sz w:val="26"/>
          <w:szCs w:val="26"/>
        </w:rPr>
        <w:t xml:space="preserve">. Si tratta della categoria dei </w:t>
      </w:r>
      <w:r w:rsidR="00D8256D" w:rsidRPr="0036072C">
        <w:rPr>
          <w:rFonts w:ascii="Times New Roman" w:hAnsi="Times New Roman"/>
          <w:color w:val="0F243E" w:themeColor="text2" w:themeShade="80"/>
          <w:sz w:val="26"/>
          <w:szCs w:val="26"/>
        </w:rPr>
        <w:t xml:space="preserve">contratti </w:t>
      </w:r>
      <w:r w:rsidR="005F6DB8">
        <w:rPr>
          <w:rFonts w:ascii="Times New Roman" w:hAnsi="Times New Roman"/>
          <w:color w:val="0F243E" w:themeColor="text2" w:themeShade="80"/>
          <w:sz w:val="26"/>
          <w:szCs w:val="26"/>
        </w:rPr>
        <w:t xml:space="preserve">ritenuti </w:t>
      </w:r>
      <w:r w:rsidR="00D8256D" w:rsidRPr="0036072C">
        <w:rPr>
          <w:rFonts w:ascii="Times New Roman" w:hAnsi="Times New Roman"/>
          <w:color w:val="0F243E" w:themeColor="text2" w:themeShade="80"/>
          <w:sz w:val="26"/>
          <w:szCs w:val="26"/>
        </w:rPr>
        <w:t xml:space="preserve">non </w:t>
      </w:r>
      <w:r w:rsidR="008923C6">
        <w:rPr>
          <w:rFonts w:ascii="Times New Roman" w:hAnsi="Times New Roman"/>
          <w:color w:val="0F243E" w:themeColor="text2" w:themeShade="80"/>
          <w:sz w:val="26"/>
          <w:szCs w:val="26"/>
        </w:rPr>
        <w:t>funzionali alle attività de</w:t>
      </w:r>
      <w:r w:rsidR="00D8256D" w:rsidRPr="0036072C">
        <w:rPr>
          <w:rFonts w:ascii="Times New Roman" w:hAnsi="Times New Roman"/>
          <w:color w:val="0F243E" w:themeColor="text2" w:themeShade="80"/>
          <w:sz w:val="26"/>
          <w:szCs w:val="26"/>
        </w:rPr>
        <w:t>i settori speciali, affidati da soggetti non aventi natura di</w:t>
      </w:r>
      <w:r w:rsidR="008923C6">
        <w:rPr>
          <w:rFonts w:ascii="Times New Roman" w:hAnsi="Times New Roman"/>
          <w:color w:val="0F243E" w:themeColor="text2" w:themeShade="80"/>
          <w:sz w:val="26"/>
          <w:szCs w:val="26"/>
        </w:rPr>
        <w:t xml:space="preserve"> amministrazioni aggiudicatrici</w:t>
      </w:r>
      <w:r w:rsidR="00DA1D77">
        <w:rPr>
          <w:rFonts w:ascii="Times New Roman" w:hAnsi="Times New Roman"/>
          <w:color w:val="0F243E" w:themeColor="text2" w:themeShade="80"/>
          <w:sz w:val="26"/>
          <w:szCs w:val="26"/>
        </w:rPr>
        <w:t>,</w:t>
      </w:r>
      <w:r w:rsidR="005F6DB8">
        <w:rPr>
          <w:rFonts w:ascii="Times New Roman" w:hAnsi="Times New Roman"/>
          <w:color w:val="0F243E" w:themeColor="text2" w:themeShade="80"/>
          <w:sz w:val="26"/>
          <w:szCs w:val="26"/>
        </w:rPr>
        <w:t xml:space="preserve"> </w:t>
      </w:r>
      <w:r w:rsidR="00D8256D" w:rsidRPr="0036072C">
        <w:rPr>
          <w:rFonts w:ascii="Times New Roman" w:hAnsi="Times New Roman"/>
          <w:color w:val="0F243E" w:themeColor="text2" w:themeShade="80"/>
          <w:sz w:val="26"/>
          <w:szCs w:val="26"/>
        </w:rPr>
        <w:t>i quali</w:t>
      </w:r>
      <w:r w:rsidR="0000037B">
        <w:rPr>
          <w:rFonts w:ascii="Times New Roman" w:hAnsi="Times New Roman"/>
          <w:color w:val="0F243E" w:themeColor="text2" w:themeShade="80"/>
          <w:sz w:val="26"/>
          <w:szCs w:val="26"/>
        </w:rPr>
        <w:t xml:space="preserve"> sono pacificamente sottratti alle direttive UE e alle disposizioni del codic</w:t>
      </w:r>
      <w:r w:rsidR="001124B9">
        <w:rPr>
          <w:rFonts w:ascii="Times New Roman" w:hAnsi="Times New Roman"/>
          <w:color w:val="0F243E" w:themeColor="text2" w:themeShade="80"/>
          <w:sz w:val="26"/>
          <w:szCs w:val="26"/>
        </w:rPr>
        <w:t>e</w:t>
      </w:r>
      <w:r w:rsidR="002653E3">
        <w:rPr>
          <w:rStyle w:val="Rimandonotaapidipagina"/>
          <w:rFonts w:ascii="Times New Roman" w:hAnsi="Times New Roman"/>
          <w:color w:val="0F243E" w:themeColor="text2" w:themeShade="80"/>
          <w:sz w:val="26"/>
          <w:szCs w:val="26"/>
        </w:rPr>
        <w:footnoteReference w:id="5"/>
      </w:r>
      <w:r w:rsidR="003E3650">
        <w:rPr>
          <w:rFonts w:ascii="Times New Roman" w:hAnsi="Times New Roman"/>
          <w:color w:val="0F243E" w:themeColor="text2" w:themeShade="80"/>
          <w:sz w:val="26"/>
          <w:szCs w:val="26"/>
        </w:rPr>
        <w:t>.</w:t>
      </w:r>
    </w:p>
    <w:p w:rsidR="00D8256D" w:rsidRDefault="001124B9" w:rsidP="003E3650">
      <w:pPr>
        <w:tabs>
          <w:tab w:val="left" w:pos="0"/>
        </w:tabs>
        <w:rPr>
          <w:rFonts w:ascii="Times New Roman" w:hAnsi="Times New Roman"/>
          <w:color w:val="0F243E" w:themeColor="text2" w:themeShade="80"/>
          <w:sz w:val="26"/>
          <w:szCs w:val="26"/>
        </w:rPr>
      </w:pPr>
      <w:r w:rsidRPr="003E3650">
        <w:rPr>
          <w:rFonts w:ascii="Times New Roman" w:hAnsi="Times New Roman"/>
          <w:color w:val="0F243E" w:themeColor="text2" w:themeShade="80"/>
          <w:sz w:val="26"/>
          <w:szCs w:val="26"/>
        </w:rPr>
        <w:t>Pertanto, i contratti esenti</w:t>
      </w:r>
      <w:r w:rsidR="00D8256D" w:rsidRPr="003E3650">
        <w:rPr>
          <w:rFonts w:ascii="Times New Roman" w:hAnsi="Times New Roman"/>
          <w:color w:val="0F243E" w:themeColor="text2" w:themeShade="80"/>
          <w:sz w:val="26"/>
          <w:szCs w:val="26"/>
        </w:rPr>
        <w:t xml:space="preserve"> non dov</w:t>
      </w:r>
      <w:r w:rsidR="004B52DC" w:rsidRPr="003E3650">
        <w:rPr>
          <w:rFonts w:ascii="Times New Roman" w:hAnsi="Times New Roman"/>
          <w:color w:val="0F243E" w:themeColor="text2" w:themeShade="80"/>
          <w:sz w:val="26"/>
          <w:szCs w:val="26"/>
        </w:rPr>
        <w:t xml:space="preserve">rebbero </w:t>
      </w:r>
      <w:r w:rsidR="0000037B" w:rsidRPr="003E3650">
        <w:rPr>
          <w:rFonts w:ascii="Times New Roman" w:hAnsi="Times New Roman"/>
          <w:color w:val="0F243E" w:themeColor="text2" w:themeShade="80"/>
          <w:sz w:val="26"/>
          <w:szCs w:val="26"/>
        </w:rPr>
        <w:t xml:space="preserve">rientrare nella nozione dei </w:t>
      </w:r>
      <w:r w:rsidR="004B52DC" w:rsidRPr="003E3650">
        <w:rPr>
          <w:rFonts w:ascii="Times New Roman" w:hAnsi="Times New Roman"/>
          <w:i/>
          <w:color w:val="0F243E" w:themeColor="text2" w:themeShade="80"/>
          <w:sz w:val="26"/>
          <w:szCs w:val="26"/>
        </w:rPr>
        <w:t>con</w:t>
      </w:r>
      <w:r w:rsidR="0000037B" w:rsidRPr="003E3650">
        <w:rPr>
          <w:rFonts w:ascii="Times New Roman" w:hAnsi="Times New Roman"/>
          <w:i/>
          <w:color w:val="0F243E" w:themeColor="text2" w:themeShade="80"/>
          <w:sz w:val="26"/>
          <w:szCs w:val="26"/>
        </w:rPr>
        <w:t>tratt</w:t>
      </w:r>
      <w:r w:rsidR="004B52DC" w:rsidRPr="003E3650">
        <w:rPr>
          <w:rFonts w:ascii="Times New Roman" w:hAnsi="Times New Roman"/>
          <w:i/>
          <w:color w:val="0F243E" w:themeColor="text2" w:themeShade="80"/>
          <w:sz w:val="26"/>
          <w:szCs w:val="26"/>
        </w:rPr>
        <w:t>i</w:t>
      </w:r>
      <w:r w:rsidR="004B52DC" w:rsidRPr="003E3650">
        <w:rPr>
          <w:rFonts w:ascii="Times New Roman" w:hAnsi="Times New Roman"/>
          <w:color w:val="0F243E" w:themeColor="text2" w:themeShade="80"/>
          <w:sz w:val="26"/>
          <w:szCs w:val="26"/>
        </w:rPr>
        <w:t xml:space="preserve"> </w:t>
      </w:r>
      <w:r w:rsidR="004B52DC" w:rsidRPr="003E3650">
        <w:rPr>
          <w:rFonts w:ascii="Times New Roman" w:hAnsi="Times New Roman"/>
          <w:i/>
          <w:color w:val="0F243E" w:themeColor="text2" w:themeShade="80"/>
          <w:sz w:val="26"/>
          <w:szCs w:val="26"/>
        </w:rPr>
        <w:t>pubblici</w:t>
      </w:r>
      <w:r w:rsidR="00FA7FBC" w:rsidRPr="003E3650">
        <w:rPr>
          <w:rFonts w:ascii="Times New Roman" w:hAnsi="Times New Roman"/>
          <w:color w:val="0F243E" w:themeColor="text2" w:themeShade="80"/>
          <w:sz w:val="26"/>
          <w:szCs w:val="26"/>
        </w:rPr>
        <w:t>.</w:t>
      </w:r>
      <w:r w:rsidR="005F6DB8" w:rsidRPr="003E3650">
        <w:rPr>
          <w:rFonts w:ascii="Times New Roman" w:hAnsi="Times New Roman"/>
          <w:color w:val="0F243E" w:themeColor="text2" w:themeShade="80"/>
          <w:sz w:val="26"/>
          <w:szCs w:val="26"/>
        </w:rPr>
        <w:t xml:space="preserve"> E non potrebbero intendersi compresi nemmeno nella nozione di </w:t>
      </w:r>
      <w:r w:rsidR="005F6DB8" w:rsidRPr="0074416F">
        <w:rPr>
          <w:rFonts w:ascii="Times New Roman" w:hAnsi="Times New Roman"/>
          <w:i/>
          <w:color w:val="0F243E" w:themeColor="text2" w:themeShade="80"/>
          <w:sz w:val="26"/>
          <w:szCs w:val="26"/>
        </w:rPr>
        <w:t>contratti dei settori speciali</w:t>
      </w:r>
      <w:r w:rsidR="005F6DB8" w:rsidRPr="003E3650">
        <w:rPr>
          <w:rFonts w:ascii="Times New Roman" w:hAnsi="Times New Roman"/>
          <w:color w:val="0F243E" w:themeColor="text2" w:themeShade="80"/>
          <w:sz w:val="26"/>
          <w:szCs w:val="26"/>
        </w:rPr>
        <w:t>, attesa la loro estraneità a tali attività. Una maggiore precisione testuale della norma avrebbe permesso di prevenire ogni dubbio interpretativo.</w:t>
      </w:r>
    </w:p>
    <w:p w:rsidR="005518B6" w:rsidRDefault="003112FF" w:rsidP="003E3650">
      <w:pPr>
        <w:tabs>
          <w:tab w:val="left" w:pos="0"/>
        </w:tabs>
        <w:rPr>
          <w:rFonts w:ascii="Times New Roman" w:hAnsi="Times New Roman"/>
          <w:color w:val="0F243E" w:themeColor="text2" w:themeShade="80"/>
          <w:sz w:val="26"/>
          <w:szCs w:val="26"/>
        </w:rPr>
      </w:pPr>
      <w:r w:rsidRPr="003112FF">
        <w:rPr>
          <w:rFonts w:ascii="Times New Roman" w:hAnsi="Times New Roman"/>
          <w:color w:val="0F243E" w:themeColor="text2" w:themeShade="80"/>
          <w:sz w:val="26"/>
          <w:szCs w:val="26"/>
        </w:rPr>
        <w:t xml:space="preserve">Non sembra risolvere la questione la previsione dell’art. 4, comma </w:t>
      </w:r>
      <w:r w:rsidR="005518B6" w:rsidRPr="003112FF">
        <w:rPr>
          <w:rFonts w:ascii="Times New Roman" w:hAnsi="Times New Roman"/>
          <w:color w:val="0F243E" w:themeColor="text2" w:themeShade="80"/>
          <w:sz w:val="26"/>
          <w:szCs w:val="26"/>
        </w:rPr>
        <w:t>1</w:t>
      </w:r>
      <w:r w:rsidR="00581BF8">
        <w:rPr>
          <w:rFonts w:ascii="Times New Roman" w:hAnsi="Times New Roman"/>
          <w:color w:val="0F243E" w:themeColor="text2" w:themeShade="80"/>
          <w:sz w:val="26"/>
          <w:szCs w:val="26"/>
        </w:rPr>
        <w:t>, secondo cui</w:t>
      </w:r>
      <w:r w:rsidR="005518B6" w:rsidRPr="003112FF">
        <w:rPr>
          <w:rFonts w:ascii="Times New Roman" w:hAnsi="Times New Roman"/>
          <w:color w:val="0F243E" w:themeColor="text2" w:themeShade="80"/>
          <w:sz w:val="26"/>
          <w:szCs w:val="26"/>
        </w:rPr>
        <w:t xml:space="preserve"> </w:t>
      </w:r>
      <w:r w:rsidR="00581BF8">
        <w:rPr>
          <w:rFonts w:ascii="Times New Roman" w:hAnsi="Times New Roman"/>
          <w:color w:val="0F243E" w:themeColor="text2" w:themeShade="80"/>
          <w:sz w:val="26"/>
          <w:szCs w:val="26"/>
        </w:rPr>
        <w:t>“</w:t>
      </w:r>
      <w:r w:rsidR="005518B6" w:rsidRPr="00581BF8">
        <w:rPr>
          <w:rFonts w:ascii="Times New Roman" w:hAnsi="Times New Roman"/>
          <w:i/>
          <w:color w:val="0F243E" w:themeColor="text2" w:themeShade="80"/>
          <w:sz w:val="26"/>
          <w:szCs w:val="26"/>
        </w:rPr>
        <w:t>L'affidamento dei contratti pubblici aventi ad oggetto lavori, servizi e forniture, dei contratti attivi, esclusi, in tutto o in parte, dall'ambito di applicazione oggettiva del presente codice, avviene nel rispetto dei principi di economicità, efficacia, imparzialità, parità di trattamento, trasparenza, proporzionalità, pubblicità, tutela dell'ambiente ed efficienza energetica.</w:t>
      </w:r>
      <w:r w:rsidR="00581BF8">
        <w:rPr>
          <w:rFonts w:ascii="Times New Roman" w:hAnsi="Times New Roman"/>
          <w:color w:val="0F243E" w:themeColor="text2" w:themeShade="80"/>
          <w:sz w:val="26"/>
          <w:szCs w:val="26"/>
        </w:rPr>
        <w:t>”</w:t>
      </w:r>
    </w:p>
    <w:p w:rsidR="00581BF8" w:rsidRPr="00581BF8" w:rsidRDefault="00581BF8" w:rsidP="003E3650">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Infatti, la disposizione non fa riferimento alla nozione d</w:t>
      </w:r>
      <w:r w:rsidR="00DA1D77">
        <w:rPr>
          <w:rFonts w:ascii="Times New Roman" w:hAnsi="Times New Roman"/>
          <w:color w:val="0F243E" w:themeColor="text2" w:themeShade="80"/>
          <w:sz w:val="26"/>
          <w:szCs w:val="26"/>
        </w:rPr>
        <w:t>e</w:t>
      </w:r>
      <w:r>
        <w:rPr>
          <w:rFonts w:ascii="Times New Roman" w:hAnsi="Times New Roman"/>
          <w:color w:val="0F243E" w:themeColor="text2" w:themeShade="80"/>
          <w:sz w:val="26"/>
          <w:szCs w:val="26"/>
        </w:rPr>
        <w:t xml:space="preserve">i contratti </w:t>
      </w:r>
      <w:r w:rsidRPr="001A76CF">
        <w:rPr>
          <w:rFonts w:ascii="Times New Roman" w:hAnsi="Times New Roman"/>
          <w:i/>
          <w:color w:val="0F243E" w:themeColor="text2" w:themeShade="80"/>
          <w:sz w:val="26"/>
          <w:szCs w:val="26"/>
        </w:rPr>
        <w:t>estranei</w:t>
      </w:r>
      <w:r>
        <w:rPr>
          <w:rFonts w:ascii="Times New Roman" w:hAnsi="Times New Roman"/>
          <w:color w:val="0F243E" w:themeColor="text2" w:themeShade="80"/>
          <w:sz w:val="26"/>
          <w:szCs w:val="26"/>
        </w:rPr>
        <w:t xml:space="preserve">, coniata dalla giurisprudenza proprio per segnare la distinzione dai contratti </w:t>
      </w:r>
      <w:r w:rsidR="001A76CF">
        <w:rPr>
          <w:rFonts w:ascii="Times New Roman" w:hAnsi="Times New Roman"/>
          <w:color w:val="0F243E" w:themeColor="text2" w:themeShade="80"/>
          <w:sz w:val="26"/>
          <w:szCs w:val="26"/>
        </w:rPr>
        <w:t xml:space="preserve">esenti, in seno alla pià ampia categoria dei contratti </w:t>
      </w:r>
      <w:r>
        <w:rPr>
          <w:rFonts w:ascii="Times New Roman" w:hAnsi="Times New Roman"/>
          <w:color w:val="0F243E" w:themeColor="text2" w:themeShade="80"/>
          <w:sz w:val="26"/>
          <w:szCs w:val="26"/>
        </w:rPr>
        <w:t>esclusi.</w:t>
      </w:r>
    </w:p>
    <w:p w:rsidR="0074416F" w:rsidRDefault="00A62A0E" w:rsidP="001124B9">
      <w:pPr>
        <w:pStyle w:val="Paragrafoelenco"/>
        <w:numPr>
          <w:ilvl w:val="0"/>
          <w:numId w:val="26"/>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Si potrebbe sostenere</w:t>
      </w:r>
      <w:r w:rsidR="005F6DB8">
        <w:rPr>
          <w:rFonts w:ascii="Times New Roman" w:hAnsi="Times New Roman"/>
          <w:color w:val="0F243E" w:themeColor="text2" w:themeShade="80"/>
          <w:sz w:val="26"/>
          <w:szCs w:val="26"/>
        </w:rPr>
        <w:t>, peraltro,</w:t>
      </w:r>
      <w:r>
        <w:rPr>
          <w:rFonts w:ascii="Times New Roman" w:hAnsi="Times New Roman"/>
          <w:color w:val="0F243E" w:themeColor="text2" w:themeShade="80"/>
          <w:sz w:val="26"/>
          <w:szCs w:val="26"/>
        </w:rPr>
        <w:t xml:space="preserve"> che i contratti “</w:t>
      </w:r>
      <w:r w:rsidRPr="005F6DB8">
        <w:rPr>
          <w:rFonts w:ascii="Times New Roman" w:hAnsi="Times New Roman"/>
          <w:i/>
          <w:color w:val="0F243E" w:themeColor="text2" w:themeShade="80"/>
          <w:sz w:val="26"/>
          <w:szCs w:val="26"/>
        </w:rPr>
        <w:t>estranei</w:t>
      </w:r>
      <w:r>
        <w:rPr>
          <w:rFonts w:ascii="Times New Roman" w:hAnsi="Times New Roman"/>
          <w:color w:val="0F243E" w:themeColor="text2" w:themeShade="80"/>
          <w:sz w:val="26"/>
          <w:szCs w:val="26"/>
        </w:rPr>
        <w:t>”, ferma restando l’</w:t>
      </w:r>
      <w:r w:rsidR="005F6DB8">
        <w:rPr>
          <w:rFonts w:ascii="Times New Roman" w:hAnsi="Times New Roman"/>
          <w:color w:val="0F243E" w:themeColor="text2" w:themeShade="80"/>
          <w:sz w:val="26"/>
          <w:szCs w:val="26"/>
        </w:rPr>
        <w:t xml:space="preserve">affermata </w:t>
      </w:r>
      <w:r>
        <w:rPr>
          <w:rFonts w:ascii="Times New Roman" w:hAnsi="Times New Roman"/>
          <w:color w:val="0F243E" w:themeColor="text2" w:themeShade="80"/>
          <w:sz w:val="26"/>
          <w:szCs w:val="26"/>
        </w:rPr>
        <w:t>inapplicabilità del</w:t>
      </w:r>
      <w:r w:rsidR="0074416F">
        <w:rPr>
          <w:rFonts w:ascii="Times New Roman" w:hAnsi="Times New Roman"/>
          <w:color w:val="0F243E" w:themeColor="text2" w:themeShade="80"/>
          <w:sz w:val="26"/>
          <w:szCs w:val="26"/>
        </w:rPr>
        <w:t>le norme del</w:t>
      </w:r>
      <w:r>
        <w:rPr>
          <w:rFonts w:ascii="Times New Roman" w:hAnsi="Times New Roman"/>
          <w:color w:val="0F243E" w:themeColor="text2" w:themeShade="80"/>
          <w:sz w:val="26"/>
          <w:szCs w:val="26"/>
        </w:rPr>
        <w:t xml:space="preserve"> codice, resterebbero soggetti ai</w:t>
      </w:r>
      <w:r w:rsidR="0074416F">
        <w:rPr>
          <w:rFonts w:ascii="Times New Roman" w:hAnsi="Times New Roman"/>
          <w:color w:val="0F243E" w:themeColor="text2" w:themeShade="80"/>
          <w:sz w:val="26"/>
          <w:szCs w:val="26"/>
        </w:rPr>
        <w:t xml:space="preserve"> </w:t>
      </w:r>
      <w:r>
        <w:rPr>
          <w:rFonts w:ascii="Times New Roman" w:hAnsi="Times New Roman"/>
          <w:color w:val="0F243E" w:themeColor="text2" w:themeShade="80"/>
          <w:sz w:val="26"/>
          <w:szCs w:val="26"/>
        </w:rPr>
        <w:t xml:space="preserve"> poteri di vigilanza (se non a quelli di regolazione)</w:t>
      </w:r>
      <w:r w:rsidR="00A92DBB">
        <w:rPr>
          <w:rFonts w:ascii="Times New Roman" w:hAnsi="Times New Roman"/>
          <w:color w:val="0F243E" w:themeColor="text2" w:themeShade="80"/>
          <w:sz w:val="26"/>
          <w:szCs w:val="26"/>
        </w:rPr>
        <w:t xml:space="preserve"> dell’ANAC, </w:t>
      </w:r>
      <w:r w:rsidR="005F6DB8">
        <w:rPr>
          <w:rFonts w:ascii="Times New Roman" w:hAnsi="Times New Roman"/>
          <w:color w:val="0F243E" w:themeColor="text2" w:themeShade="80"/>
          <w:sz w:val="26"/>
          <w:szCs w:val="26"/>
        </w:rPr>
        <w:t xml:space="preserve">ma </w:t>
      </w:r>
      <w:r w:rsidR="00A92DBB">
        <w:rPr>
          <w:rFonts w:ascii="Times New Roman" w:hAnsi="Times New Roman"/>
          <w:color w:val="0F243E" w:themeColor="text2" w:themeShade="80"/>
          <w:sz w:val="26"/>
          <w:szCs w:val="26"/>
        </w:rPr>
        <w:t xml:space="preserve">nei soli limiti strettamente connessi </w:t>
      </w:r>
      <w:r w:rsidR="00FA7FBC" w:rsidRPr="001124B9">
        <w:rPr>
          <w:rFonts w:ascii="Times New Roman" w:hAnsi="Times New Roman"/>
          <w:color w:val="0F243E" w:themeColor="text2" w:themeShade="80"/>
          <w:sz w:val="26"/>
          <w:szCs w:val="26"/>
        </w:rPr>
        <w:t xml:space="preserve">alla </w:t>
      </w:r>
      <w:r w:rsidR="00FA7FBC" w:rsidRPr="005F6DB8">
        <w:rPr>
          <w:rFonts w:ascii="Times New Roman" w:hAnsi="Times New Roman"/>
          <w:i/>
          <w:color w:val="0F243E" w:themeColor="text2" w:themeShade="80"/>
          <w:sz w:val="26"/>
          <w:szCs w:val="26"/>
        </w:rPr>
        <w:t>finalità di prevenzione della corruzione</w:t>
      </w:r>
      <w:r w:rsidR="005F6DB8">
        <w:rPr>
          <w:rFonts w:ascii="Times New Roman" w:hAnsi="Times New Roman"/>
          <w:color w:val="0F243E" w:themeColor="text2" w:themeShade="80"/>
          <w:sz w:val="26"/>
          <w:szCs w:val="26"/>
        </w:rPr>
        <w:t>: tale obiettivo, infatti, ha una dimensione oggettiva e soggettiva molto più larga di quella della disciplina dei contratti pubblici disciplinati dal codice, o, comunque, da disposizioni di “evidenza pubblica”</w:t>
      </w:r>
      <w:r w:rsidR="0074416F">
        <w:rPr>
          <w:rFonts w:ascii="Times New Roman" w:hAnsi="Times New Roman"/>
          <w:color w:val="0F243E" w:themeColor="text2" w:themeShade="80"/>
          <w:sz w:val="26"/>
          <w:szCs w:val="26"/>
        </w:rPr>
        <w:t>.</w:t>
      </w:r>
    </w:p>
    <w:p w:rsidR="00BE452D" w:rsidRDefault="00A92DBB" w:rsidP="0074416F">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Non sarebbero consentiti, invece, interventi</w:t>
      </w:r>
      <w:r w:rsidR="000E3DEB">
        <w:rPr>
          <w:rFonts w:ascii="Times New Roman" w:hAnsi="Times New Roman"/>
          <w:color w:val="0F243E" w:themeColor="text2" w:themeShade="80"/>
          <w:sz w:val="26"/>
          <w:szCs w:val="26"/>
        </w:rPr>
        <w:t xml:space="preserve"> – regolatori o di vigilanza - </w:t>
      </w:r>
      <w:r>
        <w:rPr>
          <w:rFonts w:ascii="Times New Roman" w:hAnsi="Times New Roman"/>
          <w:color w:val="0F243E" w:themeColor="text2" w:themeShade="80"/>
          <w:sz w:val="26"/>
          <w:szCs w:val="26"/>
        </w:rPr>
        <w:t xml:space="preserve"> genericamente riferiti alla </w:t>
      </w:r>
      <w:r w:rsidRPr="00BE452D">
        <w:rPr>
          <w:rFonts w:ascii="Times New Roman" w:hAnsi="Times New Roman"/>
          <w:i/>
          <w:color w:val="0F243E" w:themeColor="text2" w:themeShade="80"/>
          <w:sz w:val="26"/>
          <w:szCs w:val="26"/>
        </w:rPr>
        <w:t>efficienza</w:t>
      </w:r>
      <w:r>
        <w:rPr>
          <w:rFonts w:ascii="Times New Roman" w:hAnsi="Times New Roman"/>
          <w:color w:val="0F243E" w:themeColor="text2" w:themeShade="80"/>
          <w:sz w:val="26"/>
          <w:szCs w:val="26"/>
        </w:rPr>
        <w:t xml:space="preserve"> del mercato dei contratti di lavori servizi o forniture.</w:t>
      </w:r>
      <w:r w:rsidR="005F6DB8">
        <w:rPr>
          <w:rFonts w:ascii="Times New Roman" w:hAnsi="Times New Roman"/>
          <w:color w:val="0F243E" w:themeColor="text2" w:themeShade="80"/>
          <w:sz w:val="26"/>
          <w:szCs w:val="26"/>
        </w:rPr>
        <w:t xml:space="preserve"> </w:t>
      </w:r>
    </w:p>
    <w:p w:rsidR="00A92DBB" w:rsidRDefault="005F6DB8" w:rsidP="0074416F">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Anche questa soluzione interpretativa non convince. L’art. 213 si riferisce pur sempre alle funzioni dell’ANAC nel campo dei contratti pubblici, in piena coerenza con l’attuazione del codice. Sono ipotizzabili dei poteri dell’ANAC incidenti in modo più esteso e profondo nei contratti estranei dei settori speciali, ma il loro fondamento andrebbe ricercato nelle altre norme che disciplinano l’attività anticorruzione e non nel codice.</w:t>
      </w:r>
    </w:p>
    <w:p w:rsidR="001859B8" w:rsidRDefault="00EE4F40" w:rsidP="001124B9">
      <w:pPr>
        <w:pStyle w:val="Paragrafoelenco"/>
        <w:numPr>
          <w:ilvl w:val="0"/>
          <w:numId w:val="26"/>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In ogni caso, l’art. 213 non è richiamato </w:t>
      </w:r>
      <w:r w:rsidR="00ED10EF">
        <w:rPr>
          <w:rFonts w:ascii="Times New Roman" w:hAnsi="Times New Roman"/>
          <w:color w:val="0F243E" w:themeColor="text2" w:themeShade="80"/>
          <w:sz w:val="26"/>
          <w:szCs w:val="26"/>
        </w:rPr>
        <w:t>espressamente tra le disposizioni</w:t>
      </w:r>
      <w:r>
        <w:rPr>
          <w:rFonts w:ascii="Times New Roman" w:hAnsi="Times New Roman"/>
          <w:color w:val="0F243E" w:themeColor="text2" w:themeShade="80"/>
          <w:sz w:val="26"/>
          <w:szCs w:val="26"/>
        </w:rPr>
        <w:t xml:space="preserve"> applicabili ai settori speciali</w:t>
      </w:r>
      <w:r w:rsidR="00F64E8D" w:rsidRPr="001124B9">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Vero è che, trattandosi di norma strutturale sulla </w:t>
      </w:r>
      <w:r w:rsidR="00BE452D" w:rsidRPr="00BE452D">
        <w:rPr>
          <w:rFonts w:ascii="Times New Roman" w:hAnsi="Times New Roman"/>
          <w:i/>
          <w:color w:val="0F243E" w:themeColor="text2" w:themeShade="80"/>
          <w:sz w:val="26"/>
          <w:szCs w:val="26"/>
        </w:rPr>
        <w:t>governance</w:t>
      </w:r>
      <w:r w:rsidR="00BE452D">
        <w:rPr>
          <w:rFonts w:ascii="Times New Roman" w:hAnsi="Times New Roman"/>
          <w:color w:val="0F243E" w:themeColor="text2" w:themeShade="80"/>
          <w:sz w:val="26"/>
          <w:szCs w:val="26"/>
        </w:rPr>
        <w:t xml:space="preserve"> </w:t>
      </w:r>
      <w:r w:rsidR="004E17E4">
        <w:rPr>
          <w:rFonts w:ascii="Times New Roman" w:hAnsi="Times New Roman"/>
          <w:color w:val="0F243E" w:themeColor="text2" w:themeShade="80"/>
          <w:sz w:val="26"/>
          <w:szCs w:val="26"/>
        </w:rPr>
        <w:t>dei contratti pubblici</w:t>
      </w:r>
      <w:r w:rsidR="00ED10EF">
        <w:rPr>
          <w:rFonts w:ascii="Times New Roman" w:hAnsi="Times New Roman"/>
          <w:color w:val="0F243E" w:themeColor="text2" w:themeShade="80"/>
          <w:sz w:val="26"/>
          <w:szCs w:val="26"/>
        </w:rPr>
        <w:t xml:space="preserve"> e non di disposizione tipica dei </w:t>
      </w:r>
      <w:r w:rsidR="00ED10EF" w:rsidRPr="00ED10EF">
        <w:rPr>
          <w:rFonts w:ascii="Times New Roman" w:hAnsi="Times New Roman"/>
          <w:i/>
          <w:color w:val="0F243E" w:themeColor="text2" w:themeShade="80"/>
          <w:sz w:val="26"/>
          <w:szCs w:val="26"/>
        </w:rPr>
        <w:t>settori ordinari</w:t>
      </w:r>
      <w:r w:rsidR="004E17E4">
        <w:rPr>
          <w:rFonts w:ascii="Times New Roman" w:hAnsi="Times New Roman"/>
          <w:color w:val="0F243E" w:themeColor="text2" w:themeShade="80"/>
          <w:sz w:val="26"/>
          <w:szCs w:val="26"/>
        </w:rPr>
        <w:t xml:space="preserve">, potrebbe risultare inappropriato un riferimento all’ambito oggettivo di applicazione. </w:t>
      </w:r>
      <w:r w:rsidR="00ED10EF">
        <w:rPr>
          <w:rFonts w:ascii="Times New Roman" w:hAnsi="Times New Roman"/>
          <w:color w:val="0F243E" w:themeColor="text2" w:themeShade="80"/>
          <w:sz w:val="26"/>
          <w:szCs w:val="26"/>
        </w:rPr>
        <w:t>Ma il dato formale</w:t>
      </w:r>
      <w:r w:rsidR="00A72EA4">
        <w:rPr>
          <w:rFonts w:ascii="Times New Roman" w:hAnsi="Times New Roman"/>
          <w:color w:val="0F243E" w:themeColor="text2" w:themeShade="80"/>
          <w:sz w:val="26"/>
          <w:szCs w:val="26"/>
        </w:rPr>
        <w:t>,</w:t>
      </w:r>
      <w:r w:rsidR="00ED10EF">
        <w:rPr>
          <w:rFonts w:ascii="Times New Roman" w:hAnsi="Times New Roman"/>
          <w:color w:val="0F243E" w:themeColor="text2" w:themeShade="80"/>
          <w:sz w:val="26"/>
          <w:szCs w:val="26"/>
        </w:rPr>
        <w:t xml:space="preserve"> incentrato sulla puntuale individuazione delle norme del codice applicabili ai settori speciali</w:t>
      </w:r>
      <w:r w:rsidR="00A72EA4">
        <w:rPr>
          <w:rFonts w:ascii="Times New Roman" w:hAnsi="Times New Roman"/>
          <w:color w:val="0F243E" w:themeColor="text2" w:themeShade="80"/>
          <w:sz w:val="26"/>
          <w:szCs w:val="26"/>
        </w:rPr>
        <w:t>,</w:t>
      </w:r>
      <w:r w:rsidR="00EE5A6B">
        <w:rPr>
          <w:rFonts w:ascii="Times New Roman" w:hAnsi="Times New Roman"/>
          <w:color w:val="0F243E" w:themeColor="text2" w:themeShade="80"/>
          <w:sz w:val="26"/>
          <w:szCs w:val="26"/>
        </w:rPr>
        <w:t xml:space="preserve"> non può essere trascurato.</w:t>
      </w:r>
    </w:p>
    <w:p w:rsidR="00E55FD5" w:rsidRDefault="008D117E" w:rsidP="002B568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Si </w:t>
      </w:r>
      <w:r w:rsidR="00BF1B00">
        <w:rPr>
          <w:rFonts w:ascii="Times New Roman" w:hAnsi="Times New Roman"/>
          <w:color w:val="0F243E" w:themeColor="text2" w:themeShade="80"/>
          <w:sz w:val="26"/>
          <w:szCs w:val="26"/>
        </w:rPr>
        <w:t xml:space="preserve">deve </w:t>
      </w:r>
      <w:r>
        <w:rPr>
          <w:rFonts w:ascii="Times New Roman" w:hAnsi="Times New Roman"/>
          <w:color w:val="0F243E" w:themeColor="text2" w:themeShade="80"/>
          <w:sz w:val="26"/>
          <w:szCs w:val="26"/>
        </w:rPr>
        <w:t>comunque replicare</w:t>
      </w:r>
      <w:r w:rsidR="00A72EA4">
        <w:rPr>
          <w:rFonts w:ascii="Times New Roman" w:hAnsi="Times New Roman"/>
          <w:color w:val="0F243E" w:themeColor="text2" w:themeShade="80"/>
          <w:sz w:val="26"/>
          <w:szCs w:val="26"/>
        </w:rPr>
        <w:t xml:space="preserve"> a queste obiezioni</w:t>
      </w:r>
      <w:r>
        <w:rPr>
          <w:rFonts w:ascii="Times New Roman" w:hAnsi="Times New Roman"/>
          <w:color w:val="0F243E" w:themeColor="text2" w:themeShade="80"/>
          <w:sz w:val="26"/>
          <w:szCs w:val="26"/>
        </w:rPr>
        <w:t xml:space="preserve"> che </w:t>
      </w:r>
      <w:r w:rsidR="002B568E">
        <w:rPr>
          <w:rFonts w:ascii="Times New Roman" w:hAnsi="Times New Roman"/>
          <w:color w:val="0F243E" w:themeColor="text2" w:themeShade="80"/>
          <w:sz w:val="26"/>
          <w:szCs w:val="26"/>
        </w:rPr>
        <w:t xml:space="preserve">l’art. 213, comma </w:t>
      </w:r>
      <w:r w:rsidRPr="002B568E">
        <w:rPr>
          <w:rFonts w:ascii="Times New Roman" w:hAnsi="Times New Roman"/>
          <w:color w:val="0F243E" w:themeColor="text2" w:themeShade="80"/>
          <w:sz w:val="26"/>
          <w:szCs w:val="26"/>
        </w:rPr>
        <w:t>2</w:t>
      </w:r>
      <w:r w:rsidR="002B568E">
        <w:rPr>
          <w:rFonts w:ascii="Times New Roman" w:hAnsi="Times New Roman"/>
          <w:color w:val="0F243E" w:themeColor="text2" w:themeShade="80"/>
          <w:sz w:val="26"/>
          <w:szCs w:val="26"/>
        </w:rPr>
        <w:t>, collega la regolazione flessibile all’attività di tutte le “</w:t>
      </w:r>
      <w:r w:rsidR="002B568E" w:rsidRPr="00A72EA4">
        <w:rPr>
          <w:rFonts w:ascii="Times New Roman" w:hAnsi="Times New Roman"/>
          <w:i/>
          <w:color w:val="0F243E" w:themeColor="text2" w:themeShade="80"/>
          <w:sz w:val="26"/>
          <w:szCs w:val="26"/>
        </w:rPr>
        <w:t>stazioni appaltanti</w:t>
      </w:r>
      <w:r w:rsidR="002B568E">
        <w:rPr>
          <w:rFonts w:ascii="Times New Roman" w:hAnsi="Times New Roman"/>
          <w:color w:val="0F243E" w:themeColor="text2" w:themeShade="80"/>
          <w:sz w:val="26"/>
          <w:szCs w:val="26"/>
        </w:rPr>
        <w:t>”:</w:t>
      </w:r>
      <w:r w:rsidRPr="002B568E">
        <w:rPr>
          <w:rFonts w:ascii="Times New Roman" w:hAnsi="Times New Roman"/>
          <w:color w:val="0F243E" w:themeColor="text2" w:themeShade="80"/>
          <w:sz w:val="26"/>
          <w:szCs w:val="26"/>
        </w:rPr>
        <w:t xml:space="preserve"> </w:t>
      </w:r>
      <w:r w:rsidR="00557920">
        <w:rPr>
          <w:rFonts w:ascii="Times New Roman" w:hAnsi="Times New Roman"/>
          <w:color w:val="0F243E" w:themeColor="text2" w:themeShade="80"/>
          <w:sz w:val="26"/>
          <w:szCs w:val="26"/>
        </w:rPr>
        <w:t>“</w:t>
      </w:r>
      <w:r w:rsidRPr="00557920">
        <w:rPr>
          <w:rFonts w:ascii="Times New Roman" w:hAnsi="Times New Roman"/>
          <w:i/>
          <w:color w:val="0F243E" w:themeColor="text2" w:themeShade="80"/>
          <w:sz w:val="26"/>
          <w:szCs w:val="26"/>
        </w:rPr>
        <w:t>L'ANAC, attraverso linee guida, bandi-tipo, capitolati-tipo, contratti-tipo ed altri strumenti di regolazione flessibile, comunque denominati, garantisce la promozione dell'efficienza, della qualità dell'att</w:t>
      </w:r>
      <w:r w:rsidR="00557920" w:rsidRPr="00557920">
        <w:rPr>
          <w:rFonts w:ascii="Times New Roman" w:hAnsi="Times New Roman"/>
          <w:i/>
          <w:color w:val="0F243E" w:themeColor="text2" w:themeShade="80"/>
          <w:sz w:val="26"/>
          <w:szCs w:val="26"/>
        </w:rPr>
        <w:t xml:space="preserve">ività delle stazioni appaltanti </w:t>
      </w:r>
      <w:r w:rsidR="00557920">
        <w:rPr>
          <w:rFonts w:ascii="Times New Roman" w:hAnsi="Times New Roman"/>
          <w:color w:val="0F243E" w:themeColor="text2" w:themeShade="80"/>
          <w:sz w:val="26"/>
          <w:szCs w:val="26"/>
        </w:rPr>
        <w:t>(…).”</w:t>
      </w:r>
    </w:p>
    <w:p w:rsidR="00557920" w:rsidRDefault="00557920" w:rsidP="002B568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Questa indicazione potrebbe avere carattere risolutivo: anche nei settori speciali, il potere di regolazione riguarda i soli contratti in cui il committente possa qualificarsi come </w:t>
      </w:r>
      <w:r w:rsidRPr="00247040">
        <w:rPr>
          <w:rFonts w:ascii="Times New Roman" w:hAnsi="Times New Roman"/>
          <w:i/>
          <w:color w:val="0F243E" w:themeColor="text2" w:themeShade="80"/>
          <w:sz w:val="26"/>
          <w:szCs w:val="26"/>
        </w:rPr>
        <w:t>stazione appaltante</w:t>
      </w:r>
      <w:r>
        <w:rPr>
          <w:rFonts w:ascii="Times New Roman" w:hAnsi="Times New Roman"/>
          <w:color w:val="0F243E" w:themeColor="text2" w:themeShade="80"/>
          <w:sz w:val="26"/>
          <w:szCs w:val="26"/>
        </w:rPr>
        <w:t xml:space="preserve">, in senso tecnico. Ne deriva, quindi, un preciso limite oggettivo della </w:t>
      </w:r>
      <w:r w:rsidR="00743891">
        <w:rPr>
          <w:rFonts w:ascii="Times New Roman" w:hAnsi="Times New Roman"/>
          <w:color w:val="0F243E" w:themeColor="text2" w:themeShade="80"/>
          <w:sz w:val="26"/>
          <w:szCs w:val="26"/>
        </w:rPr>
        <w:t xml:space="preserve">sola </w:t>
      </w:r>
      <w:r>
        <w:rPr>
          <w:rFonts w:ascii="Times New Roman" w:hAnsi="Times New Roman"/>
          <w:color w:val="0F243E" w:themeColor="text2" w:themeShade="80"/>
          <w:sz w:val="26"/>
          <w:szCs w:val="26"/>
        </w:rPr>
        <w:t xml:space="preserve">funzione </w:t>
      </w:r>
      <w:r w:rsidR="00743891">
        <w:rPr>
          <w:rFonts w:ascii="Times New Roman" w:hAnsi="Times New Roman"/>
          <w:color w:val="0F243E" w:themeColor="text2" w:themeShade="80"/>
          <w:sz w:val="26"/>
          <w:szCs w:val="26"/>
        </w:rPr>
        <w:t xml:space="preserve">regolatoria </w:t>
      </w:r>
      <w:r>
        <w:rPr>
          <w:rFonts w:ascii="Times New Roman" w:hAnsi="Times New Roman"/>
          <w:color w:val="0F243E" w:themeColor="text2" w:themeShade="80"/>
          <w:sz w:val="26"/>
          <w:szCs w:val="26"/>
        </w:rPr>
        <w:t xml:space="preserve">dell’ANAC, prevista dall’art. 213, comma 2, </w:t>
      </w:r>
      <w:r w:rsidR="00743891">
        <w:rPr>
          <w:rFonts w:ascii="Times New Roman" w:hAnsi="Times New Roman"/>
          <w:color w:val="0F243E" w:themeColor="text2" w:themeShade="80"/>
          <w:sz w:val="26"/>
          <w:szCs w:val="26"/>
        </w:rPr>
        <w:t>non estensibile ai contratti</w:t>
      </w:r>
      <w:r w:rsidR="00ED1C8F">
        <w:rPr>
          <w:rFonts w:ascii="Times New Roman" w:hAnsi="Times New Roman"/>
          <w:color w:val="0F243E" w:themeColor="text2" w:themeShade="80"/>
          <w:sz w:val="26"/>
          <w:szCs w:val="26"/>
        </w:rPr>
        <w:t xml:space="preserve"> </w:t>
      </w:r>
      <w:r w:rsidR="00ED1C8F" w:rsidRPr="00ED1C8F">
        <w:rPr>
          <w:rFonts w:ascii="Times New Roman" w:hAnsi="Times New Roman"/>
          <w:i/>
          <w:color w:val="0F243E" w:themeColor="text2" w:themeShade="80"/>
          <w:sz w:val="26"/>
          <w:szCs w:val="26"/>
        </w:rPr>
        <w:t>estranei</w:t>
      </w:r>
      <w:r w:rsidR="00743891">
        <w:rPr>
          <w:rFonts w:ascii="Times New Roman" w:hAnsi="Times New Roman"/>
          <w:color w:val="0F243E" w:themeColor="text2" w:themeShade="80"/>
          <w:sz w:val="26"/>
          <w:szCs w:val="26"/>
        </w:rPr>
        <w:t>.</w:t>
      </w:r>
    </w:p>
    <w:p w:rsidR="00247040" w:rsidRDefault="003360BB" w:rsidP="002B568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Più larga è invece la dimensione del potere di vigilanza concreta</w:t>
      </w:r>
      <w:r w:rsidR="00247040">
        <w:rPr>
          <w:rFonts w:ascii="Times New Roman" w:hAnsi="Times New Roman"/>
          <w:color w:val="0F243E" w:themeColor="text2" w:themeShade="80"/>
          <w:sz w:val="26"/>
          <w:szCs w:val="26"/>
        </w:rPr>
        <w:t>.</w:t>
      </w:r>
    </w:p>
    <w:p w:rsidR="003360BB" w:rsidRDefault="00C61EC5" w:rsidP="002B568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Quest</w:t>
      </w:r>
      <w:r w:rsidR="00247040">
        <w:rPr>
          <w:rFonts w:ascii="Times New Roman" w:hAnsi="Times New Roman"/>
          <w:color w:val="0F243E" w:themeColor="text2" w:themeShade="80"/>
          <w:sz w:val="26"/>
          <w:szCs w:val="26"/>
        </w:rPr>
        <w:t>’ultimo</w:t>
      </w:r>
      <w:r>
        <w:rPr>
          <w:rFonts w:ascii="Times New Roman" w:hAnsi="Times New Roman"/>
          <w:color w:val="0F243E" w:themeColor="text2" w:themeShade="80"/>
          <w:sz w:val="26"/>
          <w:szCs w:val="26"/>
        </w:rPr>
        <w:t xml:space="preserve"> dato, merita qualche ulteriore riflessione, perché pone in luce la problematica relazione tra il potere di vigilanza “atomistico” e quello regolatorio, che possono essere logicamente dissociati.</w:t>
      </w:r>
    </w:p>
    <w:p w:rsidR="00567CAE" w:rsidRDefault="00567CAE" w:rsidP="002B568E">
      <w:pPr>
        <w:pStyle w:val="Paragrafoelenco"/>
        <w:tabs>
          <w:tab w:val="left" w:pos="0"/>
        </w:tabs>
        <w:ind w:left="0"/>
        <w:rPr>
          <w:rFonts w:ascii="Times New Roman" w:hAnsi="Times New Roman"/>
          <w:color w:val="0F243E" w:themeColor="text2" w:themeShade="80"/>
          <w:sz w:val="26"/>
          <w:szCs w:val="26"/>
        </w:rPr>
      </w:pPr>
    </w:p>
    <w:p w:rsidR="00567CAE" w:rsidRPr="00B258AC" w:rsidRDefault="00B258AC" w:rsidP="00567CAE">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sidRPr="00B258AC">
        <w:rPr>
          <w:rFonts w:ascii="Times New Roman" w:hAnsi="Times New Roman"/>
          <w:b/>
          <w:smallCaps/>
          <w:color w:val="0F243E" w:themeColor="text2" w:themeShade="80"/>
          <w:sz w:val="26"/>
          <w:szCs w:val="26"/>
        </w:rPr>
        <w:t>L’autonomia normativa e organizzativa delle stazioni appaltanti operanti nei settori speciali. La compatibilità con il potere di regolazione dell’ANAC.</w:t>
      </w:r>
    </w:p>
    <w:p w:rsidR="009A4432" w:rsidRDefault="00E55FD5"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Vi è poi una problema di ordine sistematico</w:t>
      </w:r>
      <w:r w:rsidR="00635963">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che dovrebbe condizionare profondamente l’effettivo spazio</w:t>
      </w:r>
      <w:r w:rsidR="009A4432">
        <w:rPr>
          <w:rFonts w:ascii="Times New Roman" w:hAnsi="Times New Roman"/>
          <w:color w:val="0F243E" w:themeColor="text2" w:themeShade="80"/>
          <w:sz w:val="26"/>
          <w:szCs w:val="26"/>
        </w:rPr>
        <w:t>, nei settori speciali,</w:t>
      </w:r>
      <w:r>
        <w:rPr>
          <w:rFonts w:ascii="Times New Roman" w:hAnsi="Times New Roman"/>
          <w:color w:val="0F243E" w:themeColor="text2" w:themeShade="80"/>
          <w:sz w:val="26"/>
          <w:szCs w:val="26"/>
        </w:rPr>
        <w:t xml:space="preserve"> dell’idea della </w:t>
      </w:r>
      <w:r w:rsidR="009A4432">
        <w:rPr>
          <w:rFonts w:ascii="Times New Roman" w:hAnsi="Times New Roman"/>
          <w:color w:val="0F243E" w:themeColor="text2" w:themeShade="80"/>
          <w:sz w:val="26"/>
          <w:szCs w:val="26"/>
        </w:rPr>
        <w:t>regolazione flessibile disposta dall’ANAC.</w:t>
      </w:r>
    </w:p>
    <w:p w:rsidR="00D2792B" w:rsidRDefault="00565CF6"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Occorre evidenziare</w:t>
      </w:r>
      <w:r w:rsidR="009A4432">
        <w:rPr>
          <w:rFonts w:ascii="Times New Roman" w:hAnsi="Times New Roman"/>
          <w:color w:val="0F243E" w:themeColor="text2" w:themeShade="80"/>
          <w:sz w:val="26"/>
          <w:szCs w:val="26"/>
        </w:rPr>
        <w:t>, infatti, che, in questo campo</w:t>
      </w:r>
      <w:r w:rsidR="00457BC1">
        <w:rPr>
          <w:rFonts w:ascii="Times New Roman" w:hAnsi="Times New Roman"/>
          <w:color w:val="0F243E" w:themeColor="text2" w:themeShade="80"/>
          <w:sz w:val="26"/>
          <w:szCs w:val="26"/>
        </w:rPr>
        <w:t>, è affermato</w:t>
      </w:r>
      <w:r w:rsidR="00D2792B">
        <w:rPr>
          <w:rFonts w:ascii="Times New Roman" w:hAnsi="Times New Roman"/>
          <w:color w:val="0F243E" w:themeColor="text2" w:themeShade="80"/>
          <w:sz w:val="26"/>
          <w:szCs w:val="26"/>
        </w:rPr>
        <w:t>, da tempo,</w:t>
      </w:r>
      <w:r w:rsidR="00457BC1">
        <w:rPr>
          <w:rFonts w:ascii="Times New Roman" w:hAnsi="Times New Roman"/>
          <w:color w:val="0F243E" w:themeColor="text2" w:themeShade="80"/>
          <w:sz w:val="26"/>
          <w:szCs w:val="26"/>
        </w:rPr>
        <w:t xml:space="preserve"> un principio di accentuata autonomia organizzativa delle singole stazioni appaltanti</w:t>
      </w:r>
      <w:r w:rsidR="00132507">
        <w:rPr>
          <w:rFonts w:ascii="Times New Roman" w:hAnsi="Times New Roman"/>
          <w:color w:val="0F243E" w:themeColor="text2" w:themeShade="80"/>
          <w:sz w:val="26"/>
          <w:szCs w:val="26"/>
        </w:rPr>
        <w:t>, riferito a profili essenziali delle procedure di affidamento, comprensivi dei sistemi di qualificazio</w:t>
      </w:r>
      <w:r w:rsidR="00D2792B">
        <w:rPr>
          <w:rFonts w:ascii="Times New Roman" w:hAnsi="Times New Roman"/>
          <w:color w:val="0F243E" w:themeColor="text2" w:themeShade="80"/>
          <w:sz w:val="26"/>
          <w:szCs w:val="26"/>
        </w:rPr>
        <w:t>ne degli operatori economici e delle modalità di affidamento dei</w:t>
      </w:r>
      <w:r w:rsidR="00132507">
        <w:rPr>
          <w:rFonts w:ascii="Times New Roman" w:hAnsi="Times New Roman"/>
          <w:color w:val="0F243E" w:themeColor="text2" w:themeShade="80"/>
          <w:sz w:val="26"/>
          <w:szCs w:val="26"/>
        </w:rPr>
        <w:t xml:space="preserve"> contratti sotto soglia</w:t>
      </w:r>
      <w:r w:rsidR="00D2792B">
        <w:rPr>
          <w:rFonts w:ascii="Times New Roman" w:hAnsi="Times New Roman"/>
          <w:color w:val="0F243E" w:themeColor="text2" w:themeShade="80"/>
          <w:sz w:val="26"/>
          <w:szCs w:val="26"/>
        </w:rPr>
        <w:t>.</w:t>
      </w:r>
    </w:p>
    <w:p w:rsidR="00C413C3" w:rsidRDefault="005B3A9A"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Quindi, nei settori speciali, il </w:t>
      </w:r>
      <w:r w:rsidR="00A50C62">
        <w:rPr>
          <w:rFonts w:ascii="Times New Roman" w:hAnsi="Times New Roman"/>
          <w:color w:val="0F243E" w:themeColor="text2" w:themeShade="80"/>
          <w:sz w:val="26"/>
          <w:szCs w:val="26"/>
        </w:rPr>
        <w:t xml:space="preserve">concetto </w:t>
      </w:r>
      <w:r w:rsidR="00D2792B">
        <w:rPr>
          <w:rFonts w:ascii="Times New Roman" w:hAnsi="Times New Roman"/>
          <w:color w:val="0F243E" w:themeColor="text2" w:themeShade="80"/>
          <w:sz w:val="26"/>
          <w:szCs w:val="26"/>
        </w:rPr>
        <w:t xml:space="preserve">generale </w:t>
      </w:r>
      <w:r w:rsidR="00A50C62">
        <w:rPr>
          <w:rFonts w:ascii="Times New Roman" w:hAnsi="Times New Roman"/>
          <w:color w:val="0F243E" w:themeColor="text2" w:themeShade="80"/>
          <w:sz w:val="26"/>
          <w:szCs w:val="26"/>
        </w:rPr>
        <w:t xml:space="preserve">di </w:t>
      </w:r>
      <w:r w:rsidR="00A50C62" w:rsidRPr="0052665E">
        <w:rPr>
          <w:rFonts w:ascii="Times New Roman" w:hAnsi="Times New Roman"/>
          <w:i/>
          <w:color w:val="0F243E" w:themeColor="text2" w:themeShade="80"/>
          <w:sz w:val="26"/>
          <w:szCs w:val="26"/>
        </w:rPr>
        <w:t>flessibilità</w:t>
      </w:r>
      <w:r w:rsidR="00A50C62">
        <w:rPr>
          <w:rFonts w:ascii="Times New Roman" w:hAnsi="Times New Roman"/>
          <w:color w:val="0F243E" w:themeColor="text2" w:themeShade="80"/>
          <w:sz w:val="26"/>
          <w:szCs w:val="26"/>
        </w:rPr>
        <w:t xml:space="preserve"> disciplinare è </w:t>
      </w:r>
      <w:r w:rsidR="00C819BA">
        <w:rPr>
          <w:rFonts w:ascii="Times New Roman" w:hAnsi="Times New Roman"/>
          <w:color w:val="0F243E" w:themeColor="text2" w:themeShade="80"/>
          <w:sz w:val="26"/>
          <w:szCs w:val="26"/>
        </w:rPr>
        <w:t xml:space="preserve">inteso anche in senso </w:t>
      </w:r>
      <w:r w:rsidR="00C819BA" w:rsidRPr="00BF1B00">
        <w:rPr>
          <w:rFonts w:ascii="Times New Roman" w:hAnsi="Times New Roman"/>
          <w:i/>
          <w:color w:val="0F243E" w:themeColor="text2" w:themeShade="80"/>
          <w:sz w:val="26"/>
          <w:szCs w:val="26"/>
        </w:rPr>
        <w:t>soggettivo</w:t>
      </w:r>
      <w:r w:rsidR="00C819BA">
        <w:rPr>
          <w:rFonts w:ascii="Times New Roman" w:hAnsi="Times New Roman"/>
          <w:color w:val="0F243E" w:themeColor="text2" w:themeShade="80"/>
          <w:sz w:val="26"/>
          <w:szCs w:val="26"/>
        </w:rPr>
        <w:t xml:space="preserve">, poiché i poteri decisionali non sono assegnati ad una Autorità </w:t>
      </w:r>
      <w:r w:rsidR="00C413C3">
        <w:rPr>
          <w:rFonts w:ascii="Times New Roman" w:hAnsi="Times New Roman"/>
          <w:color w:val="0F243E" w:themeColor="text2" w:themeShade="80"/>
          <w:sz w:val="26"/>
          <w:szCs w:val="26"/>
        </w:rPr>
        <w:t>centrale</w:t>
      </w:r>
      <w:r w:rsidR="00BF1B00">
        <w:rPr>
          <w:rFonts w:ascii="Times New Roman" w:hAnsi="Times New Roman"/>
          <w:color w:val="0F243E" w:themeColor="text2" w:themeShade="80"/>
          <w:sz w:val="26"/>
          <w:szCs w:val="26"/>
        </w:rPr>
        <w:t xml:space="preserve"> di regolazione</w:t>
      </w:r>
      <w:r w:rsidR="00C413C3">
        <w:rPr>
          <w:rFonts w:ascii="Times New Roman" w:hAnsi="Times New Roman"/>
          <w:color w:val="0F243E" w:themeColor="text2" w:themeShade="80"/>
          <w:sz w:val="26"/>
          <w:szCs w:val="26"/>
        </w:rPr>
        <w:t xml:space="preserve">, ma </w:t>
      </w:r>
      <w:r>
        <w:rPr>
          <w:rFonts w:ascii="Times New Roman" w:hAnsi="Times New Roman"/>
          <w:color w:val="0F243E" w:themeColor="text2" w:themeShade="80"/>
          <w:sz w:val="26"/>
          <w:szCs w:val="26"/>
        </w:rPr>
        <w:t xml:space="preserve">sono </w:t>
      </w:r>
      <w:r w:rsidR="00C413C3">
        <w:rPr>
          <w:rFonts w:ascii="Times New Roman" w:hAnsi="Times New Roman"/>
          <w:color w:val="0F243E" w:themeColor="text2" w:themeShade="80"/>
          <w:sz w:val="26"/>
          <w:szCs w:val="26"/>
        </w:rPr>
        <w:t>riconosciuti</w:t>
      </w:r>
      <w:r w:rsidR="00BF1B00">
        <w:rPr>
          <w:rFonts w:ascii="Times New Roman" w:hAnsi="Times New Roman"/>
          <w:color w:val="0F243E" w:themeColor="text2" w:themeShade="80"/>
          <w:sz w:val="26"/>
          <w:szCs w:val="26"/>
        </w:rPr>
        <w:t>, direttamente,</w:t>
      </w:r>
      <w:r w:rsidR="00C413C3">
        <w:rPr>
          <w:rFonts w:ascii="Times New Roman" w:hAnsi="Times New Roman"/>
          <w:color w:val="0F243E" w:themeColor="text2" w:themeShade="80"/>
          <w:sz w:val="26"/>
          <w:szCs w:val="26"/>
        </w:rPr>
        <w:t xml:space="preserve"> in capo a ciascun ente.</w:t>
      </w:r>
    </w:p>
    <w:p w:rsidR="00132507" w:rsidRDefault="00132507"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Si prospetta, allora, la questione della sovrapposizione e </w:t>
      </w:r>
      <w:r w:rsidR="005B3A9A">
        <w:rPr>
          <w:rFonts w:ascii="Times New Roman" w:hAnsi="Times New Roman"/>
          <w:color w:val="0F243E" w:themeColor="text2" w:themeShade="80"/>
          <w:sz w:val="26"/>
          <w:szCs w:val="26"/>
        </w:rPr>
        <w:t xml:space="preserve">del possibile </w:t>
      </w:r>
      <w:r>
        <w:rPr>
          <w:rFonts w:ascii="Times New Roman" w:hAnsi="Times New Roman"/>
          <w:color w:val="0F243E" w:themeColor="text2" w:themeShade="80"/>
          <w:sz w:val="26"/>
          <w:szCs w:val="26"/>
        </w:rPr>
        <w:t xml:space="preserve">conflitto tra fonti diverse, tutte ispirate, in qualche modo, dal concetto di </w:t>
      </w:r>
      <w:r w:rsidRPr="00132507">
        <w:rPr>
          <w:rFonts w:ascii="Times New Roman" w:hAnsi="Times New Roman"/>
          <w:i/>
          <w:color w:val="0F243E" w:themeColor="text2" w:themeShade="80"/>
          <w:sz w:val="26"/>
          <w:szCs w:val="26"/>
        </w:rPr>
        <w:t>flessibilità</w:t>
      </w:r>
      <w:r>
        <w:rPr>
          <w:rFonts w:ascii="Times New Roman" w:hAnsi="Times New Roman"/>
          <w:color w:val="0F243E" w:themeColor="text2" w:themeShade="80"/>
          <w:sz w:val="26"/>
          <w:szCs w:val="26"/>
        </w:rPr>
        <w:t>.</w:t>
      </w:r>
    </w:p>
    <w:p w:rsidR="005F7BAE" w:rsidRPr="002360E5" w:rsidRDefault="00C413C3" w:rsidP="00596E5E">
      <w:pPr>
        <w:pStyle w:val="Paragrafoelenco"/>
        <w:tabs>
          <w:tab w:val="left" w:pos="0"/>
        </w:tabs>
        <w:ind w:left="0"/>
        <w:rPr>
          <w:rFonts w:ascii="Times New Roman" w:hAnsi="Times New Roman"/>
          <w:color w:val="0F243E" w:themeColor="text2" w:themeShade="80"/>
          <w:sz w:val="26"/>
          <w:szCs w:val="26"/>
        </w:rPr>
      </w:pPr>
      <w:r w:rsidRPr="00C413C3">
        <w:rPr>
          <w:rFonts w:ascii="Times New Roman" w:hAnsi="Times New Roman"/>
          <w:color w:val="0F243E" w:themeColor="text2" w:themeShade="80"/>
          <w:sz w:val="26"/>
          <w:szCs w:val="26"/>
        </w:rPr>
        <w:t>Per i sol</w:t>
      </w:r>
      <w:r w:rsidR="001319AA" w:rsidRPr="00C413C3">
        <w:rPr>
          <w:rFonts w:ascii="Times New Roman" w:hAnsi="Times New Roman"/>
          <w:color w:val="0F243E" w:themeColor="text2" w:themeShade="80"/>
          <w:sz w:val="26"/>
          <w:szCs w:val="26"/>
        </w:rPr>
        <w:t>i</w:t>
      </w:r>
      <w:r w:rsidR="001319AA" w:rsidRPr="002360E5">
        <w:rPr>
          <w:rFonts w:ascii="Times New Roman" w:hAnsi="Times New Roman"/>
          <w:i/>
          <w:color w:val="0F243E" w:themeColor="text2" w:themeShade="80"/>
          <w:sz w:val="26"/>
          <w:szCs w:val="26"/>
        </w:rPr>
        <w:t xml:space="preserve"> settori speciali</w:t>
      </w:r>
      <w:r w:rsidR="001319AA" w:rsidRPr="002360E5">
        <w:rPr>
          <w:rFonts w:ascii="Times New Roman" w:hAnsi="Times New Roman"/>
          <w:color w:val="0F243E" w:themeColor="text2" w:themeShade="80"/>
          <w:sz w:val="26"/>
          <w:szCs w:val="26"/>
        </w:rPr>
        <w:t xml:space="preserve"> sono previste</w:t>
      </w:r>
      <w:r w:rsidR="00BF1B00">
        <w:rPr>
          <w:rFonts w:ascii="Times New Roman" w:hAnsi="Times New Roman"/>
          <w:color w:val="0F243E" w:themeColor="text2" w:themeShade="80"/>
          <w:sz w:val="26"/>
          <w:szCs w:val="26"/>
        </w:rPr>
        <w:t>, in particolare,</w:t>
      </w:r>
      <w:r w:rsidR="001319AA" w:rsidRPr="002360E5">
        <w:rPr>
          <w:rFonts w:ascii="Times New Roman" w:hAnsi="Times New Roman"/>
          <w:color w:val="0F243E" w:themeColor="text2" w:themeShade="80"/>
          <w:sz w:val="26"/>
          <w:szCs w:val="26"/>
        </w:rPr>
        <w:t xml:space="preserve"> </w:t>
      </w:r>
      <w:r w:rsidR="004B52DC" w:rsidRPr="002360E5">
        <w:rPr>
          <w:rFonts w:ascii="Times New Roman" w:hAnsi="Times New Roman"/>
          <w:color w:val="0F243E" w:themeColor="text2" w:themeShade="80"/>
          <w:sz w:val="26"/>
          <w:szCs w:val="26"/>
        </w:rPr>
        <w:t xml:space="preserve">ulteriori </w:t>
      </w:r>
      <w:r w:rsidR="001319AA" w:rsidRPr="002360E5">
        <w:rPr>
          <w:rFonts w:ascii="Times New Roman" w:hAnsi="Times New Roman"/>
          <w:color w:val="0F243E" w:themeColor="text2" w:themeShade="80"/>
          <w:sz w:val="26"/>
          <w:szCs w:val="26"/>
        </w:rPr>
        <w:t>disposizioni riguardanti le “</w:t>
      </w:r>
      <w:r w:rsidR="001319AA" w:rsidRPr="002360E5">
        <w:rPr>
          <w:rFonts w:ascii="Times New Roman" w:hAnsi="Times New Roman"/>
          <w:i/>
          <w:color w:val="0F243E" w:themeColor="text2" w:themeShade="80"/>
          <w:sz w:val="26"/>
          <w:szCs w:val="26"/>
        </w:rPr>
        <w:t>fonti di disciplina</w:t>
      </w:r>
      <w:r w:rsidR="005F7BAE" w:rsidRPr="002360E5">
        <w:rPr>
          <w:rFonts w:ascii="Times New Roman" w:hAnsi="Times New Roman"/>
          <w:i/>
          <w:color w:val="0F243E" w:themeColor="text2" w:themeShade="80"/>
          <w:sz w:val="26"/>
          <w:szCs w:val="26"/>
        </w:rPr>
        <w:t xml:space="preserve"> secondaria, o terziaria</w:t>
      </w:r>
      <w:r w:rsidR="005F7BAE" w:rsidRPr="002360E5">
        <w:rPr>
          <w:rFonts w:ascii="Times New Roman" w:hAnsi="Times New Roman"/>
          <w:color w:val="0F243E" w:themeColor="text2" w:themeShade="80"/>
          <w:sz w:val="26"/>
          <w:szCs w:val="26"/>
        </w:rPr>
        <w:t>”</w:t>
      </w:r>
      <w:r w:rsidR="004B52DC" w:rsidRPr="002360E5">
        <w:rPr>
          <w:rFonts w:ascii="Times New Roman" w:hAnsi="Times New Roman"/>
          <w:color w:val="0F243E" w:themeColor="text2" w:themeShade="80"/>
          <w:sz w:val="26"/>
          <w:szCs w:val="26"/>
        </w:rPr>
        <w:t>, di non immediata qualificazione giuridica e non coordinate espressamente con l’attività regolatoria dell’ANAC</w:t>
      </w:r>
      <w:r w:rsidR="005F7BAE" w:rsidRPr="002360E5">
        <w:rPr>
          <w:rFonts w:ascii="Times New Roman" w:hAnsi="Times New Roman"/>
          <w:color w:val="0F243E" w:themeColor="text2" w:themeShade="80"/>
          <w:sz w:val="26"/>
          <w:szCs w:val="26"/>
        </w:rPr>
        <w:t>: si pensi</w:t>
      </w:r>
      <w:r w:rsidR="00A94196">
        <w:rPr>
          <w:rFonts w:ascii="Times New Roman" w:hAnsi="Times New Roman"/>
          <w:color w:val="0F243E" w:themeColor="text2" w:themeShade="80"/>
          <w:sz w:val="26"/>
          <w:szCs w:val="26"/>
        </w:rPr>
        <w:t xml:space="preserve"> alla previsione degli autonomi sistemi di qualificazione posti in essere dalle singole stazioni appaltanti</w:t>
      </w:r>
      <w:r w:rsidR="006B47E5">
        <w:rPr>
          <w:rFonts w:ascii="Times New Roman" w:hAnsi="Times New Roman"/>
          <w:color w:val="0F243E" w:themeColor="text2" w:themeShade="80"/>
          <w:sz w:val="26"/>
          <w:szCs w:val="26"/>
        </w:rPr>
        <w:t xml:space="preserve"> (art. 128)</w:t>
      </w:r>
      <w:r w:rsidR="00A94196">
        <w:rPr>
          <w:rFonts w:ascii="Times New Roman" w:hAnsi="Times New Roman"/>
          <w:color w:val="0F243E" w:themeColor="text2" w:themeShade="80"/>
          <w:sz w:val="26"/>
          <w:szCs w:val="26"/>
        </w:rPr>
        <w:t xml:space="preserve"> e</w:t>
      </w:r>
      <w:r w:rsidR="004B52DC" w:rsidRPr="002360E5">
        <w:rPr>
          <w:rFonts w:ascii="Times New Roman" w:hAnsi="Times New Roman"/>
          <w:color w:val="0F243E" w:themeColor="text2" w:themeShade="80"/>
          <w:sz w:val="26"/>
          <w:szCs w:val="26"/>
        </w:rPr>
        <w:t>, soprattutto</w:t>
      </w:r>
      <w:r w:rsidR="00A94196">
        <w:rPr>
          <w:rFonts w:ascii="Times New Roman" w:hAnsi="Times New Roman"/>
          <w:color w:val="0F243E" w:themeColor="text2" w:themeShade="80"/>
          <w:sz w:val="26"/>
          <w:szCs w:val="26"/>
        </w:rPr>
        <w:t>,</w:t>
      </w:r>
      <w:r w:rsidR="005F7BAE" w:rsidRPr="002360E5">
        <w:rPr>
          <w:rFonts w:ascii="Times New Roman" w:hAnsi="Times New Roman"/>
          <w:color w:val="0F243E" w:themeColor="text2" w:themeShade="80"/>
          <w:sz w:val="26"/>
          <w:szCs w:val="26"/>
        </w:rPr>
        <w:t xml:space="preserve"> all’ipotesi </w:t>
      </w:r>
      <w:r w:rsidR="004B52DC" w:rsidRPr="002360E5">
        <w:rPr>
          <w:rFonts w:ascii="Times New Roman" w:hAnsi="Times New Roman"/>
          <w:color w:val="0F243E" w:themeColor="text2" w:themeShade="80"/>
          <w:sz w:val="26"/>
          <w:szCs w:val="26"/>
        </w:rPr>
        <w:t xml:space="preserve">fondamentale </w:t>
      </w:r>
      <w:r w:rsidR="005F7BAE" w:rsidRPr="002360E5">
        <w:rPr>
          <w:rFonts w:ascii="Times New Roman" w:hAnsi="Times New Roman"/>
          <w:color w:val="0F243E" w:themeColor="text2" w:themeShade="80"/>
          <w:sz w:val="26"/>
          <w:szCs w:val="26"/>
        </w:rPr>
        <w:t>di cui all’art. 36, comma 8, secondo cui “</w:t>
      </w:r>
      <w:r w:rsidR="005F7BAE" w:rsidRPr="002360E5">
        <w:rPr>
          <w:rFonts w:ascii="Times New Roman" w:hAnsi="Times New Roman"/>
          <w:i/>
          <w:color w:val="0F243E" w:themeColor="text2" w:themeShade="80"/>
          <w:sz w:val="26"/>
          <w:szCs w:val="26"/>
        </w:rPr>
        <w:t>Le imprese pubbliche e i soggetti titolari di diritti speciali ed esclusivi per gli appalti di lavori, forniture e servizi di importo inferiore alla soglia comunitaria, rientranti nell'ambito definito dagli articoli da 115 a 121, applicano la disciplina stabilita nei rispettivi regolamenti, la quale, comunque, deve essere conforme ai principi dettati dal trattato UE a tutela della concorrenza</w:t>
      </w:r>
      <w:r w:rsidR="005F7BAE" w:rsidRPr="002360E5">
        <w:rPr>
          <w:rFonts w:ascii="Times New Roman" w:hAnsi="Times New Roman"/>
          <w:color w:val="0F243E" w:themeColor="text2" w:themeShade="80"/>
          <w:sz w:val="26"/>
          <w:szCs w:val="26"/>
        </w:rPr>
        <w:t>.”</w:t>
      </w:r>
    </w:p>
    <w:p w:rsidR="009041A5" w:rsidRDefault="009041A5"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 norma</w:t>
      </w:r>
      <w:r w:rsidR="006B47E5">
        <w:rPr>
          <w:rFonts w:ascii="Times New Roman" w:hAnsi="Times New Roman"/>
          <w:color w:val="0F243E" w:themeColor="text2" w:themeShade="80"/>
          <w:sz w:val="26"/>
          <w:szCs w:val="26"/>
        </w:rPr>
        <w:t xml:space="preserve"> risulta in sostanziale continuità con il regime previgente e, comunque,</w:t>
      </w:r>
      <w:r w:rsidRPr="002360E5">
        <w:rPr>
          <w:rFonts w:ascii="Times New Roman" w:hAnsi="Times New Roman"/>
          <w:color w:val="0F243E" w:themeColor="text2" w:themeShade="80"/>
          <w:sz w:val="26"/>
          <w:szCs w:val="26"/>
        </w:rPr>
        <w:t xml:space="preserve"> attua il principio di cui all’art. 1, comma 1, lettera ii) della delega: “</w:t>
      </w:r>
      <w:r w:rsidRPr="002360E5">
        <w:rPr>
          <w:rFonts w:ascii="Times New Roman" w:hAnsi="Times New Roman"/>
          <w:i/>
          <w:color w:val="0F243E" w:themeColor="text2" w:themeShade="80"/>
          <w:sz w:val="26"/>
          <w:szCs w:val="26"/>
        </w:rPr>
        <w:t>garanzia di adeguati livelli di pubblicità e trasparenza delle procedure anche per gli appalti pubblici e i contratti di concessione sotto la soglia di rilevanza comunitaria, assicurando, anche nelle forme semplificate di aggiudicazione, la valutazione comparativa tra più offerte, prevedendo che debbano essere invitati a presentare offerta almeno cinque operatori economici, ove esistenti, nonché un’adeguata rotazione, ferma restando la facoltà per le imprese pubbliche dei settori speciali di cui alla direttiva 2014/25/UE di applicare la disciplina stabilita nei rispettivi regolamenti, adottati in conformità ai princìpi dettati dal Trattato sul funzionamento dell’Unione europea a tutela della concorrenza;</w:t>
      </w:r>
      <w:r w:rsidR="00EC4514" w:rsidRPr="002360E5">
        <w:rPr>
          <w:rFonts w:ascii="Times New Roman" w:hAnsi="Times New Roman"/>
          <w:i/>
          <w:color w:val="0F243E" w:themeColor="text2" w:themeShade="80"/>
          <w:sz w:val="26"/>
          <w:szCs w:val="26"/>
        </w:rPr>
        <w:t>”.</w:t>
      </w:r>
    </w:p>
    <w:p w:rsidR="00BF1B00" w:rsidRDefault="00905491"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Va notato</w:t>
      </w:r>
      <w:r w:rsidR="00BF1B00">
        <w:rPr>
          <w:rFonts w:ascii="Times New Roman" w:hAnsi="Times New Roman"/>
          <w:color w:val="0F243E" w:themeColor="text2" w:themeShade="80"/>
          <w:sz w:val="26"/>
          <w:szCs w:val="26"/>
        </w:rPr>
        <w:t xml:space="preserve"> il significativo passaggio dalla </w:t>
      </w:r>
      <w:r w:rsidR="00C02027">
        <w:rPr>
          <w:rFonts w:ascii="Times New Roman" w:hAnsi="Times New Roman"/>
          <w:color w:val="0F243E" w:themeColor="text2" w:themeShade="80"/>
          <w:sz w:val="26"/>
          <w:szCs w:val="26"/>
        </w:rPr>
        <w:t xml:space="preserve">formulazione della </w:t>
      </w:r>
      <w:r w:rsidR="00BF1B00">
        <w:rPr>
          <w:rFonts w:ascii="Times New Roman" w:hAnsi="Times New Roman"/>
          <w:color w:val="0F243E" w:themeColor="text2" w:themeShade="80"/>
          <w:sz w:val="26"/>
          <w:szCs w:val="26"/>
        </w:rPr>
        <w:t xml:space="preserve">norma di delega alla </w:t>
      </w:r>
      <w:r w:rsidR="00C02027">
        <w:rPr>
          <w:rFonts w:ascii="Times New Roman" w:hAnsi="Times New Roman"/>
          <w:color w:val="0F243E" w:themeColor="text2" w:themeShade="80"/>
          <w:sz w:val="26"/>
          <w:szCs w:val="26"/>
        </w:rPr>
        <w:t xml:space="preserve">dizione prevista dalla </w:t>
      </w:r>
      <w:r w:rsidR="00BF1B00">
        <w:rPr>
          <w:rFonts w:ascii="Times New Roman" w:hAnsi="Times New Roman"/>
          <w:color w:val="0F243E" w:themeColor="text2" w:themeShade="80"/>
          <w:sz w:val="26"/>
          <w:szCs w:val="26"/>
        </w:rPr>
        <w:t xml:space="preserve">sua </w:t>
      </w:r>
      <w:r w:rsidR="00C02027">
        <w:rPr>
          <w:rFonts w:ascii="Times New Roman" w:hAnsi="Times New Roman"/>
          <w:color w:val="0F243E" w:themeColor="text2" w:themeShade="80"/>
          <w:sz w:val="26"/>
          <w:szCs w:val="26"/>
        </w:rPr>
        <w:t>disposi</w:t>
      </w:r>
      <w:r w:rsidR="00BF1B00">
        <w:rPr>
          <w:rFonts w:ascii="Times New Roman" w:hAnsi="Times New Roman"/>
          <w:color w:val="0F243E" w:themeColor="text2" w:themeShade="80"/>
          <w:sz w:val="26"/>
          <w:szCs w:val="26"/>
        </w:rPr>
        <w:t>zione</w:t>
      </w:r>
      <w:r w:rsidR="00C03740">
        <w:rPr>
          <w:rFonts w:ascii="Times New Roman" w:hAnsi="Times New Roman"/>
          <w:color w:val="0F243E" w:themeColor="text2" w:themeShade="80"/>
          <w:sz w:val="26"/>
          <w:szCs w:val="26"/>
        </w:rPr>
        <w:t xml:space="preserve"> </w:t>
      </w:r>
      <w:r w:rsidR="00C02027">
        <w:rPr>
          <w:rFonts w:ascii="Times New Roman" w:hAnsi="Times New Roman"/>
          <w:color w:val="0F243E" w:themeColor="text2" w:themeShade="80"/>
          <w:sz w:val="26"/>
          <w:szCs w:val="26"/>
        </w:rPr>
        <w:t>attua</w:t>
      </w:r>
      <w:r w:rsidR="00C03740">
        <w:rPr>
          <w:rFonts w:ascii="Times New Roman" w:hAnsi="Times New Roman"/>
          <w:color w:val="0F243E" w:themeColor="text2" w:themeShade="80"/>
          <w:sz w:val="26"/>
          <w:szCs w:val="26"/>
        </w:rPr>
        <w:t>tiva</w:t>
      </w:r>
      <w:r w:rsidR="00BF1B00">
        <w:rPr>
          <w:rFonts w:ascii="Times New Roman" w:hAnsi="Times New Roman"/>
          <w:color w:val="0F243E" w:themeColor="text2" w:themeShade="80"/>
          <w:sz w:val="26"/>
          <w:szCs w:val="26"/>
        </w:rPr>
        <w:t xml:space="preserve"> nel codice. La delega prevede, letteralmente, la salvezza della </w:t>
      </w:r>
      <w:r w:rsidR="00BF1B00" w:rsidRPr="00BF1B00">
        <w:rPr>
          <w:rFonts w:ascii="Times New Roman" w:hAnsi="Times New Roman"/>
          <w:i/>
          <w:color w:val="0F243E" w:themeColor="text2" w:themeShade="80"/>
          <w:sz w:val="26"/>
          <w:szCs w:val="26"/>
        </w:rPr>
        <w:t>facoltà</w:t>
      </w:r>
      <w:r w:rsidR="00BF1B00">
        <w:rPr>
          <w:rFonts w:ascii="Times New Roman" w:hAnsi="Times New Roman"/>
          <w:color w:val="0F243E" w:themeColor="text2" w:themeShade="80"/>
          <w:sz w:val="26"/>
          <w:szCs w:val="26"/>
        </w:rPr>
        <w:t xml:space="preserve">, per le imprese pubbliche, di adottare appositi regolamenti. L’art. 36 non ripete il riferimento alla mera </w:t>
      </w:r>
      <w:r w:rsidR="00BF1B00" w:rsidRPr="00BF1B00">
        <w:rPr>
          <w:rFonts w:ascii="Times New Roman" w:hAnsi="Times New Roman"/>
          <w:i/>
          <w:color w:val="0F243E" w:themeColor="text2" w:themeShade="80"/>
          <w:sz w:val="26"/>
          <w:szCs w:val="26"/>
        </w:rPr>
        <w:t>facoltà</w:t>
      </w:r>
      <w:r w:rsidR="00BF1B00">
        <w:rPr>
          <w:rFonts w:ascii="Times New Roman" w:hAnsi="Times New Roman"/>
          <w:color w:val="0F243E" w:themeColor="text2" w:themeShade="80"/>
          <w:sz w:val="26"/>
          <w:szCs w:val="26"/>
        </w:rPr>
        <w:t>, ma contempla i regolamenti delle imprese pubbliche come unica fonte di disciplina degli appalti sotto soglia. Da qui si potrebbe trarre il corollario che l’adozione dei regolamenti sia doveros</w:t>
      </w:r>
      <w:r w:rsidR="00C03740">
        <w:rPr>
          <w:rFonts w:ascii="Times New Roman" w:hAnsi="Times New Roman"/>
          <w:color w:val="0F243E" w:themeColor="text2" w:themeShade="80"/>
          <w:sz w:val="26"/>
          <w:szCs w:val="26"/>
        </w:rPr>
        <w:t>a</w:t>
      </w:r>
      <w:r w:rsidR="00BF1B00">
        <w:rPr>
          <w:rFonts w:ascii="Times New Roman" w:hAnsi="Times New Roman"/>
          <w:color w:val="0F243E" w:themeColor="text2" w:themeShade="80"/>
          <w:sz w:val="26"/>
          <w:szCs w:val="26"/>
        </w:rPr>
        <w:t xml:space="preserve"> e che la disciplina codicistica sia totalmente inapplicabile.</w:t>
      </w:r>
    </w:p>
    <w:p w:rsidR="00132507" w:rsidRDefault="00BF1B00" w:rsidP="00132507">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Questa soluzione, seppure teoricamente conforme alla lettera della disposizione</w:t>
      </w:r>
      <w:r w:rsidR="00132507">
        <w:rPr>
          <w:rFonts w:ascii="Times New Roman" w:hAnsi="Times New Roman"/>
          <w:color w:val="0F243E" w:themeColor="text2" w:themeShade="80"/>
          <w:sz w:val="26"/>
          <w:szCs w:val="26"/>
        </w:rPr>
        <w:t>, risulta però scarsamente convincente e ne resterebbe oscura la finalità. Non si comprende, infatti, per quale motivo le imprese pubbliche non possano scegliere, nella loro autonomia, di autovincolarsi alle disposizioni previste per i settori ordinari. A tal fine, non sembra necessaria l’adozione di uno specifico atto regolamentare. La semplice inerzia dovrebbe giustificare l’operatività</w:t>
      </w:r>
      <w:r w:rsidR="00C03740">
        <w:rPr>
          <w:rFonts w:ascii="Times New Roman" w:hAnsi="Times New Roman"/>
          <w:color w:val="0F243E" w:themeColor="text2" w:themeShade="80"/>
          <w:sz w:val="26"/>
          <w:szCs w:val="26"/>
        </w:rPr>
        <w:t>,</w:t>
      </w:r>
      <w:r w:rsidR="00132507">
        <w:rPr>
          <w:rFonts w:ascii="Times New Roman" w:hAnsi="Times New Roman"/>
          <w:color w:val="0F243E" w:themeColor="text2" w:themeShade="80"/>
          <w:sz w:val="26"/>
          <w:szCs w:val="26"/>
        </w:rPr>
        <w:t xml:space="preserve"> </w:t>
      </w:r>
      <w:r w:rsidR="00132507" w:rsidRPr="00C03740">
        <w:rPr>
          <w:rFonts w:ascii="Times New Roman" w:hAnsi="Times New Roman"/>
          <w:i/>
          <w:color w:val="0F243E" w:themeColor="text2" w:themeShade="80"/>
          <w:sz w:val="26"/>
          <w:szCs w:val="26"/>
        </w:rPr>
        <w:t>residuale</w:t>
      </w:r>
      <w:r w:rsidR="009F3B21">
        <w:rPr>
          <w:rFonts w:ascii="Times New Roman" w:hAnsi="Times New Roman"/>
          <w:color w:val="0F243E" w:themeColor="text2" w:themeShade="80"/>
          <w:sz w:val="26"/>
          <w:szCs w:val="26"/>
        </w:rPr>
        <w:t>,</w:t>
      </w:r>
      <w:r w:rsidR="00132507">
        <w:rPr>
          <w:rFonts w:ascii="Times New Roman" w:hAnsi="Times New Roman"/>
          <w:color w:val="0F243E" w:themeColor="text2" w:themeShade="80"/>
          <w:sz w:val="26"/>
          <w:szCs w:val="26"/>
        </w:rPr>
        <w:t xml:space="preserve"> della disciplina legislativa di cui all’art. 36.</w:t>
      </w:r>
    </w:p>
    <w:p w:rsidR="00132507" w:rsidRPr="00132507" w:rsidRDefault="00132507" w:rsidP="00132507">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Probabilmente, la formulazione prescelta dal codice si differenzia da</w:t>
      </w:r>
      <w:r w:rsidR="009F3B21">
        <w:rPr>
          <w:rFonts w:ascii="Times New Roman" w:hAnsi="Times New Roman"/>
          <w:color w:val="0F243E" w:themeColor="text2" w:themeShade="80"/>
          <w:sz w:val="26"/>
          <w:szCs w:val="26"/>
        </w:rPr>
        <w:t xml:space="preserve"> quella de</w:t>
      </w:r>
      <w:r>
        <w:rPr>
          <w:rFonts w:ascii="Times New Roman" w:hAnsi="Times New Roman"/>
          <w:color w:val="0F243E" w:themeColor="text2" w:themeShade="80"/>
          <w:sz w:val="26"/>
          <w:szCs w:val="26"/>
        </w:rPr>
        <w:t>lla delega perché vorrebbe sancire una più spiccata preferenza per i regolamenti autonomi della stazioni appaltanti operanti nei settori speciali.</w:t>
      </w:r>
    </w:p>
    <w:p w:rsidR="00565CF6" w:rsidRPr="002360E5" w:rsidRDefault="00562C1E"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Nulla dice</w:t>
      </w:r>
      <w:r w:rsidR="009578EA">
        <w:rPr>
          <w:rFonts w:ascii="Times New Roman" w:hAnsi="Times New Roman"/>
          <w:color w:val="0F243E" w:themeColor="text2" w:themeShade="80"/>
          <w:sz w:val="26"/>
          <w:szCs w:val="26"/>
        </w:rPr>
        <w:t>, però,</w:t>
      </w:r>
      <w:r w:rsidRPr="002360E5">
        <w:rPr>
          <w:rFonts w:ascii="Times New Roman" w:hAnsi="Times New Roman"/>
          <w:color w:val="0F243E" w:themeColor="text2" w:themeShade="80"/>
          <w:sz w:val="26"/>
          <w:szCs w:val="26"/>
        </w:rPr>
        <w:t xml:space="preserve"> la disposizione in ordine alla natura giuridica di tali “</w:t>
      </w:r>
      <w:r w:rsidRPr="002360E5">
        <w:rPr>
          <w:rFonts w:ascii="Times New Roman" w:hAnsi="Times New Roman"/>
          <w:i/>
          <w:color w:val="0F243E" w:themeColor="text2" w:themeShade="80"/>
          <w:sz w:val="26"/>
          <w:szCs w:val="26"/>
        </w:rPr>
        <w:t>regolamenti</w:t>
      </w:r>
      <w:r w:rsidRPr="002360E5">
        <w:rPr>
          <w:rFonts w:ascii="Times New Roman" w:hAnsi="Times New Roman"/>
          <w:color w:val="0F243E" w:themeColor="text2" w:themeShade="80"/>
          <w:sz w:val="26"/>
          <w:szCs w:val="26"/>
        </w:rPr>
        <w:t>”</w:t>
      </w:r>
      <w:r w:rsidR="00E412BE" w:rsidRPr="002360E5">
        <w:rPr>
          <w:rStyle w:val="Rimandonotaapidipagina"/>
          <w:rFonts w:ascii="Times New Roman" w:hAnsi="Times New Roman"/>
          <w:color w:val="0F243E" w:themeColor="text2" w:themeShade="80"/>
          <w:sz w:val="26"/>
          <w:szCs w:val="26"/>
        </w:rPr>
        <w:footnoteReference w:id="6"/>
      </w:r>
      <w:r w:rsidRPr="002360E5">
        <w:rPr>
          <w:rFonts w:ascii="Times New Roman" w:hAnsi="Times New Roman"/>
          <w:color w:val="0F243E" w:themeColor="text2" w:themeShade="80"/>
          <w:sz w:val="26"/>
          <w:szCs w:val="26"/>
        </w:rPr>
        <w:t xml:space="preserve">, alla loro collocazione nella gerarchia delle fonti, al loro carattere </w:t>
      </w:r>
      <w:r w:rsidRPr="009578EA">
        <w:rPr>
          <w:rFonts w:ascii="Times New Roman" w:hAnsi="Times New Roman"/>
          <w:i/>
          <w:color w:val="0F243E" w:themeColor="text2" w:themeShade="80"/>
          <w:sz w:val="26"/>
          <w:szCs w:val="26"/>
        </w:rPr>
        <w:t>flessibile</w:t>
      </w:r>
      <w:r w:rsidRPr="002360E5">
        <w:rPr>
          <w:rFonts w:ascii="Times New Roman" w:hAnsi="Times New Roman"/>
          <w:color w:val="0F243E" w:themeColor="text2" w:themeShade="80"/>
          <w:sz w:val="26"/>
          <w:szCs w:val="26"/>
        </w:rPr>
        <w:t xml:space="preserve"> o meno. Le ricadute de</w:t>
      </w:r>
      <w:r w:rsidR="00701EF8" w:rsidRPr="002360E5">
        <w:rPr>
          <w:rFonts w:ascii="Times New Roman" w:hAnsi="Times New Roman"/>
          <w:color w:val="0F243E" w:themeColor="text2" w:themeShade="80"/>
          <w:sz w:val="26"/>
          <w:szCs w:val="26"/>
        </w:rPr>
        <w:t>rivanti dall’esatta qualificazione dovrebbero essere di estrema importanza</w:t>
      </w:r>
      <w:r w:rsidR="009578EA">
        <w:rPr>
          <w:rFonts w:ascii="Times New Roman" w:hAnsi="Times New Roman"/>
          <w:color w:val="0F243E" w:themeColor="text2" w:themeShade="80"/>
          <w:sz w:val="26"/>
          <w:szCs w:val="26"/>
        </w:rPr>
        <w:t>,</w:t>
      </w:r>
      <w:r w:rsidR="00701EF8" w:rsidRPr="002360E5">
        <w:rPr>
          <w:rFonts w:ascii="Times New Roman" w:hAnsi="Times New Roman"/>
          <w:color w:val="0F243E" w:themeColor="text2" w:themeShade="80"/>
          <w:sz w:val="26"/>
          <w:szCs w:val="26"/>
        </w:rPr>
        <w:t xml:space="preserve"> anche ai fini della tutela giurisdizionale (riparto, ambito del sindacato, ecc.)</w:t>
      </w:r>
      <w:r w:rsidR="0056505B" w:rsidRPr="002360E5">
        <w:rPr>
          <w:rStyle w:val="Rimandonotaapidipagina"/>
          <w:rFonts w:ascii="Times New Roman" w:hAnsi="Times New Roman"/>
          <w:color w:val="0F243E" w:themeColor="text2" w:themeShade="80"/>
          <w:sz w:val="26"/>
          <w:szCs w:val="26"/>
        </w:rPr>
        <w:footnoteReference w:id="7"/>
      </w:r>
      <w:r w:rsidR="00701EF8" w:rsidRPr="002360E5">
        <w:rPr>
          <w:rFonts w:ascii="Times New Roman" w:hAnsi="Times New Roman"/>
          <w:color w:val="0F243E" w:themeColor="text2" w:themeShade="80"/>
          <w:sz w:val="26"/>
          <w:szCs w:val="26"/>
        </w:rPr>
        <w:t>.</w:t>
      </w:r>
    </w:p>
    <w:p w:rsidR="00B77CFA" w:rsidRDefault="0090701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Le LG dell’ANAC</w:t>
      </w:r>
      <w:r w:rsidR="009578EA">
        <w:rPr>
          <w:rFonts w:ascii="Times New Roman" w:hAnsi="Times New Roman"/>
          <w:color w:val="0F243E" w:themeColor="text2" w:themeShade="80"/>
          <w:sz w:val="26"/>
          <w:szCs w:val="26"/>
        </w:rPr>
        <w:t xml:space="preserve"> n.</w:t>
      </w:r>
      <w:r w:rsidR="00074671">
        <w:rPr>
          <w:rFonts w:ascii="Times New Roman" w:hAnsi="Times New Roman"/>
          <w:color w:val="0F243E" w:themeColor="text2" w:themeShade="80"/>
          <w:sz w:val="26"/>
          <w:szCs w:val="26"/>
        </w:rPr>
        <w:t xml:space="preserve"> </w:t>
      </w:r>
      <w:r w:rsidR="009578EA">
        <w:rPr>
          <w:rFonts w:ascii="Times New Roman" w:hAnsi="Times New Roman"/>
          <w:color w:val="0F243E" w:themeColor="text2" w:themeShade="80"/>
          <w:sz w:val="26"/>
          <w:szCs w:val="26"/>
        </w:rPr>
        <w:t>4,</w:t>
      </w:r>
      <w:r w:rsidRPr="002360E5">
        <w:rPr>
          <w:rFonts w:ascii="Times New Roman" w:hAnsi="Times New Roman"/>
          <w:color w:val="0F243E" w:themeColor="text2" w:themeShade="80"/>
          <w:sz w:val="26"/>
          <w:szCs w:val="26"/>
        </w:rPr>
        <w:t xml:space="preserve"> in materia di affidamenti sottosoglia</w:t>
      </w:r>
      <w:r w:rsidR="00074671">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w:t>
      </w:r>
      <w:r w:rsidR="002246F8">
        <w:rPr>
          <w:rFonts w:ascii="Times New Roman" w:hAnsi="Times New Roman"/>
          <w:color w:val="0F243E" w:themeColor="text2" w:themeShade="80"/>
          <w:sz w:val="26"/>
          <w:szCs w:val="26"/>
        </w:rPr>
        <w:t xml:space="preserve">non </w:t>
      </w:r>
      <w:r w:rsidR="00E76417" w:rsidRPr="002360E5">
        <w:rPr>
          <w:rFonts w:ascii="Times New Roman" w:hAnsi="Times New Roman"/>
          <w:color w:val="0F243E" w:themeColor="text2" w:themeShade="80"/>
          <w:sz w:val="26"/>
          <w:szCs w:val="26"/>
        </w:rPr>
        <w:t>affronta</w:t>
      </w:r>
      <w:r w:rsidR="009578EA">
        <w:rPr>
          <w:rFonts w:ascii="Times New Roman" w:hAnsi="Times New Roman"/>
          <w:color w:val="0F243E" w:themeColor="text2" w:themeShade="80"/>
          <w:sz w:val="26"/>
          <w:szCs w:val="26"/>
        </w:rPr>
        <w:t>no</w:t>
      </w:r>
      <w:r w:rsidR="002246F8">
        <w:rPr>
          <w:rFonts w:ascii="Times New Roman" w:hAnsi="Times New Roman"/>
          <w:color w:val="0F243E" w:themeColor="text2" w:themeShade="80"/>
          <w:sz w:val="26"/>
          <w:szCs w:val="26"/>
        </w:rPr>
        <w:t xml:space="preserve"> in modo esplicito </w:t>
      </w:r>
      <w:r w:rsidR="00E76417" w:rsidRPr="002360E5">
        <w:rPr>
          <w:rFonts w:ascii="Times New Roman" w:hAnsi="Times New Roman"/>
          <w:color w:val="0F243E" w:themeColor="text2" w:themeShade="80"/>
          <w:sz w:val="26"/>
          <w:szCs w:val="26"/>
        </w:rPr>
        <w:t>il tema del</w:t>
      </w:r>
      <w:r w:rsidR="002246F8">
        <w:rPr>
          <w:rFonts w:ascii="Times New Roman" w:hAnsi="Times New Roman"/>
          <w:color w:val="0F243E" w:themeColor="text2" w:themeShade="80"/>
          <w:sz w:val="26"/>
          <w:szCs w:val="26"/>
        </w:rPr>
        <w:t xml:space="preserve"> rapporto tra le diverse fonti di disciplina </w:t>
      </w:r>
      <w:r w:rsidR="00B77CFA">
        <w:rPr>
          <w:rFonts w:ascii="Times New Roman" w:hAnsi="Times New Roman"/>
          <w:color w:val="0F243E" w:themeColor="text2" w:themeShade="80"/>
          <w:sz w:val="26"/>
          <w:szCs w:val="26"/>
        </w:rPr>
        <w:t>nel</w:t>
      </w:r>
      <w:r w:rsidR="00E76417" w:rsidRPr="002360E5">
        <w:rPr>
          <w:rFonts w:ascii="Times New Roman" w:hAnsi="Times New Roman"/>
          <w:color w:val="0F243E" w:themeColor="text2" w:themeShade="80"/>
          <w:sz w:val="26"/>
          <w:szCs w:val="26"/>
        </w:rPr>
        <w:t>l’ambito d</w:t>
      </w:r>
      <w:r w:rsidR="00B77CFA">
        <w:rPr>
          <w:rFonts w:ascii="Times New Roman" w:hAnsi="Times New Roman"/>
          <w:color w:val="0F243E" w:themeColor="text2" w:themeShade="80"/>
          <w:sz w:val="26"/>
          <w:szCs w:val="26"/>
        </w:rPr>
        <w:t>ei settori speciali.</w:t>
      </w:r>
    </w:p>
    <w:p w:rsidR="007F4D47" w:rsidRDefault="00B77CFA"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La timidezza dell’intervento dell’Autorità è in qualche misura condizionato dalla discutibile premessa secondo cui le LG di cui all’art. 36 </w:t>
      </w:r>
      <w:r w:rsidR="007F4D47">
        <w:rPr>
          <w:rFonts w:ascii="Times New Roman" w:hAnsi="Times New Roman"/>
          <w:color w:val="0F243E" w:themeColor="text2" w:themeShade="80"/>
          <w:sz w:val="26"/>
          <w:szCs w:val="26"/>
        </w:rPr>
        <w:t>s</w:t>
      </w:r>
      <w:r w:rsidR="00FC136E">
        <w:rPr>
          <w:rFonts w:ascii="Times New Roman" w:hAnsi="Times New Roman"/>
          <w:color w:val="0F243E" w:themeColor="text2" w:themeShade="80"/>
          <w:sz w:val="26"/>
          <w:szCs w:val="26"/>
        </w:rPr>
        <w:t>arebber</w:t>
      </w:r>
      <w:r w:rsidR="007F4D47">
        <w:rPr>
          <w:rFonts w:ascii="Times New Roman" w:hAnsi="Times New Roman"/>
          <w:color w:val="0F243E" w:themeColor="text2" w:themeShade="80"/>
          <w:sz w:val="26"/>
          <w:szCs w:val="26"/>
        </w:rPr>
        <w:t xml:space="preserve">o prive di efficacia vincolante (vedi </w:t>
      </w:r>
      <w:r w:rsidR="007F4D47" w:rsidRPr="007F4D47">
        <w:rPr>
          <w:rFonts w:ascii="Times New Roman" w:hAnsi="Times New Roman"/>
          <w:i/>
          <w:color w:val="0F243E" w:themeColor="text2" w:themeShade="80"/>
          <w:sz w:val="26"/>
          <w:szCs w:val="26"/>
        </w:rPr>
        <w:t>infra</w:t>
      </w:r>
      <w:r w:rsidR="007F4D47">
        <w:rPr>
          <w:rFonts w:ascii="Times New Roman" w:hAnsi="Times New Roman"/>
          <w:color w:val="0F243E" w:themeColor="text2" w:themeShade="80"/>
          <w:sz w:val="26"/>
          <w:szCs w:val="26"/>
        </w:rPr>
        <w:t>)</w:t>
      </w:r>
      <w:r w:rsidR="00FC136E">
        <w:rPr>
          <w:rFonts w:ascii="Times New Roman" w:hAnsi="Times New Roman"/>
          <w:color w:val="0F243E" w:themeColor="text2" w:themeShade="80"/>
          <w:sz w:val="26"/>
          <w:szCs w:val="26"/>
        </w:rPr>
        <w:t xml:space="preserve">, con la conseguenza che il problema del coordinamento tra le </w:t>
      </w:r>
      <w:r w:rsidR="00CA5D58">
        <w:rPr>
          <w:rFonts w:ascii="Times New Roman" w:hAnsi="Times New Roman"/>
          <w:color w:val="0F243E" w:themeColor="text2" w:themeShade="80"/>
          <w:sz w:val="26"/>
          <w:szCs w:val="26"/>
        </w:rPr>
        <w:t xml:space="preserve">fonti </w:t>
      </w:r>
      <w:r w:rsidR="00FC136E">
        <w:rPr>
          <w:rFonts w:ascii="Times New Roman" w:hAnsi="Times New Roman"/>
          <w:color w:val="0F243E" w:themeColor="text2" w:themeShade="80"/>
          <w:sz w:val="26"/>
          <w:szCs w:val="26"/>
        </w:rPr>
        <w:t>potrebbe essere risolto solo dal giudice e non con un atto dell’ANAC</w:t>
      </w:r>
      <w:r w:rsidR="00CA5D58" w:rsidRPr="00CA5D58">
        <w:rPr>
          <w:rFonts w:ascii="Times New Roman" w:hAnsi="Times New Roman"/>
          <w:color w:val="0F243E" w:themeColor="text2" w:themeShade="80"/>
          <w:sz w:val="26"/>
          <w:szCs w:val="26"/>
        </w:rPr>
        <w:t xml:space="preserve"> </w:t>
      </w:r>
      <w:r w:rsidR="00CA5D58">
        <w:rPr>
          <w:rFonts w:ascii="Times New Roman" w:hAnsi="Times New Roman"/>
          <w:color w:val="0F243E" w:themeColor="text2" w:themeShade="80"/>
          <w:sz w:val="26"/>
          <w:szCs w:val="26"/>
        </w:rPr>
        <w:t>privo di carattere imperativo</w:t>
      </w:r>
      <w:r w:rsidR="007F4D47">
        <w:rPr>
          <w:rFonts w:ascii="Times New Roman" w:hAnsi="Times New Roman"/>
          <w:color w:val="0F243E" w:themeColor="text2" w:themeShade="80"/>
          <w:sz w:val="26"/>
          <w:szCs w:val="26"/>
        </w:rPr>
        <w:t>.</w:t>
      </w:r>
    </w:p>
    <w:p w:rsidR="00E76417" w:rsidRPr="007F4D47" w:rsidRDefault="00FC136E" w:rsidP="007F4D47">
      <w:pPr>
        <w:pStyle w:val="Paragrafoelenco"/>
        <w:tabs>
          <w:tab w:val="left" w:pos="0"/>
        </w:tabs>
        <w:ind w:left="0"/>
        <w:rPr>
          <w:rFonts w:ascii="Times New Roman" w:hAnsi="Times New Roman"/>
          <w:i/>
          <w:color w:val="0F243E" w:themeColor="text2" w:themeShade="80"/>
          <w:sz w:val="26"/>
          <w:szCs w:val="26"/>
          <w:lang w:eastAsia="it-IT"/>
        </w:rPr>
      </w:pPr>
      <w:r>
        <w:rPr>
          <w:rFonts w:ascii="Times New Roman" w:hAnsi="Times New Roman"/>
          <w:color w:val="0F243E" w:themeColor="text2" w:themeShade="80"/>
          <w:sz w:val="26"/>
          <w:szCs w:val="26"/>
        </w:rPr>
        <w:t>In questa prospettiva, a</w:t>
      </w:r>
      <w:r w:rsidR="007F4D47">
        <w:rPr>
          <w:rFonts w:ascii="Times New Roman" w:hAnsi="Times New Roman"/>
          <w:color w:val="0F243E" w:themeColor="text2" w:themeShade="80"/>
          <w:sz w:val="26"/>
          <w:szCs w:val="26"/>
        </w:rPr>
        <w:t>l punto 1.1.</w:t>
      </w:r>
      <w:r w:rsidR="00CA5D58">
        <w:rPr>
          <w:rFonts w:ascii="Times New Roman" w:hAnsi="Times New Roman"/>
          <w:color w:val="0F243E" w:themeColor="text2" w:themeShade="80"/>
          <w:sz w:val="26"/>
          <w:szCs w:val="26"/>
        </w:rPr>
        <w:t>,</w:t>
      </w:r>
      <w:r w:rsidR="007F4D47">
        <w:rPr>
          <w:rFonts w:ascii="Times New Roman" w:hAnsi="Times New Roman"/>
          <w:color w:val="0F243E" w:themeColor="text2" w:themeShade="80"/>
          <w:sz w:val="26"/>
          <w:szCs w:val="26"/>
        </w:rPr>
        <w:t xml:space="preserve"> </w:t>
      </w:r>
      <w:r>
        <w:rPr>
          <w:rFonts w:ascii="Times New Roman" w:hAnsi="Times New Roman"/>
          <w:color w:val="0F243E" w:themeColor="text2" w:themeShade="80"/>
          <w:sz w:val="26"/>
          <w:szCs w:val="26"/>
        </w:rPr>
        <w:t>le LG</w:t>
      </w:r>
      <w:r w:rsidR="00CA5D58">
        <w:rPr>
          <w:rFonts w:ascii="Times New Roman" w:hAnsi="Times New Roman"/>
          <w:color w:val="0F243E" w:themeColor="text2" w:themeShade="80"/>
          <w:sz w:val="26"/>
          <w:szCs w:val="26"/>
        </w:rPr>
        <w:t>, allo scopo di definire l’ambito di applicazione delle disciplina,</w:t>
      </w:r>
      <w:r>
        <w:rPr>
          <w:rFonts w:ascii="Times New Roman" w:hAnsi="Times New Roman"/>
          <w:color w:val="0F243E" w:themeColor="text2" w:themeShade="80"/>
          <w:sz w:val="26"/>
          <w:szCs w:val="26"/>
        </w:rPr>
        <w:t xml:space="preserve"> </w:t>
      </w:r>
      <w:r w:rsidR="007F4D47">
        <w:rPr>
          <w:rFonts w:ascii="Times New Roman" w:hAnsi="Times New Roman"/>
          <w:color w:val="0F243E" w:themeColor="text2" w:themeShade="80"/>
          <w:sz w:val="26"/>
          <w:szCs w:val="26"/>
        </w:rPr>
        <w:t>si limita</w:t>
      </w:r>
      <w:r>
        <w:rPr>
          <w:rFonts w:ascii="Times New Roman" w:hAnsi="Times New Roman"/>
          <w:color w:val="0F243E" w:themeColor="text2" w:themeShade="80"/>
          <w:sz w:val="26"/>
          <w:szCs w:val="26"/>
        </w:rPr>
        <w:t>no</w:t>
      </w:r>
      <w:r w:rsidR="007F4D47">
        <w:rPr>
          <w:rFonts w:ascii="Times New Roman" w:hAnsi="Times New Roman"/>
          <w:color w:val="0F243E" w:themeColor="text2" w:themeShade="80"/>
          <w:sz w:val="26"/>
          <w:szCs w:val="26"/>
        </w:rPr>
        <w:t xml:space="preserve"> a statuire che “</w:t>
      </w:r>
      <w:r w:rsidR="00E76417" w:rsidRPr="007F4D47">
        <w:rPr>
          <w:rFonts w:ascii="Times New Roman" w:hAnsi="Times New Roman"/>
          <w:b/>
          <w:bCs/>
          <w:i/>
          <w:color w:val="0F243E" w:themeColor="text2" w:themeShade="80"/>
          <w:sz w:val="26"/>
          <w:szCs w:val="26"/>
          <w:lang w:eastAsia="it-IT"/>
        </w:rPr>
        <w:t xml:space="preserve">1.1 </w:t>
      </w:r>
      <w:r w:rsidR="00E76417" w:rsidRPr="007F4D47">
        <w:rPr>
          <w:rFonts w:ascii="Times New Roman" w:hAnsi="Times New Roman"/>
          <w:i/>
          <w:color w:val="0F243E" w:themeColor="text2" w:themeShade="80"/>
          <w:sz w:val="26"/>
          <w:szCs w:val="26"/>
          <w:lang w:eastAsia="it-IT"/>
        </w:rPr>
        <w:t>Le disposizioni di cui all’art. 36 del Codice e le presenti linee guida si applicano alle stazioni appaltanti - ad eccezione delle imprese pubbliche e dei soggetti titolari di diritti speciali ed esclusivi per gli appalti di lavori, forniture e servizi di importo inferiore alla soglia comunitaria, rientranti nell’ambito definito dagli articoli da 115 a 121 del Codice - (di seguito solo stazioni appaltanti), che intendono affidare lavori servizi e forniture di importo inferiore alle soglie di cui all’art. 35 del Codice:</w:t>
      </w:r>
    </w:p>
    <w:p w:rsidR="00E76417" w:rsidRPr="007F4D47" w:rsidRDefault="00E76417" w:rsidP="00596E5E">
      <w:pPr>
        <w:tabs>
          <w:tab w:val="left" w:pos="0"/>
        </w:tabs>
        <w:autoSpaceDE w:val="0"/>
        <w:autoSpaceDN w:val="0"/>
        <w:adjustRightInd w:val="0"/>
        <w:rPr>
          <w:rFonts w:ascii="Times New Roman" w:hAnsi="Times New Roman"/>
          <w:i/>
          <w:color w:val="0F243E" w:themeColor="text2" w:themeShade="80"/>
          <w:sz w:val="26"/>
          <w:szCs w:val="26"/>
          <w:lang w:eastAsia="it-IT"/>
        </w:rPr>
      </w:pPr>
      <w:r w:rsidRPr="007F4D47">
        <w:rPr>
          <w:rFonts w:ascii="Times New Roman" w:hAnsi="Times New Roman"/>
          <w:i/>
          <w:color w:val="0F243E" w:themeColor="text2" w:themeShade="80"/>
          <w:sz w:val="26"/>
          <w:szCs w:val="26"/>
          <w:lang w:eastAsia="it-IT"/>
        </w:rPr>
        <w:t>a) nei settori ordinari, ivi inclusi i servizi attinenti all’architettura e all’ingegneria e i servizi sociali e</w:t>
      </w:r>
      <w:r w:rsidR="00FF2DFE" w:rsidRPr="007F4D47">
        <w:rPr>
          <w:rFonts w:ascii="Times New Roman" w:hAnsi="Times New Roman"/>
          <w:i/>
          <w:color w:val="0F243E" w:themeColor="text2" w:themeShade="80"/>
          <w:sz w:val="26"/>
          <w:szCs w:val="26"/>
          <w:lang w:eastAsia="it-IT"/>
        </w:rPr>
        <w:t xml:space="preserve"> </w:t>
      </w:r>
      <w:r w:rsidRPr="007F4D47">
        <w:rPr>
          <w:rFonts w:ascii="Times New Roman" w:hAnsi="Times New Roman"/>
          <w:i/>
          <w:color w:val="0F243E" w:themeColor="text2" w:themeShade="80"/>
          <w:sz w:val="26"/>
          <w:szCs w:val="26"/>
          <w:lang w:eastAsia="it-IT"/>
        </w:rPr>
        <w:t>gli altri servizi specifici elencati all’allegato IX;</w:t>
      </w:r>
    </w:p>
    <w:p w:rsidR="00FF2DFE" w:rsidRPr="007F4D47" w:rsidRDefault="00E76417" w:rsidP="00596E5E">
      <w:pPr>
        <w:tabs>
          <w:tab w:val="left" w:pos="0"/>
        </w:tabs>
        <w:autoSpaceDE w:val="0"/>
        <w:autoSpaceDN w:val="0"/>
        <w:adjustRightInd w:val="0"/>
        <w:rPr>
          <w:rFonts w:ascii="Times New Roman" w:hAnsi="Times New Roman"/>
          <w:color w:val="0F243E" w:themeColor="text2" w:themeShade="80"/>
          <w:sz w:val="26"/>
          <w:szCs w:val="26"/>
          <w:lang w:eastAsia="it-IT"/>
        </w:rPr>
      </w:pPr>
      <w:r w:rsidRPr="007F4D47">
        <w:rPr>
          <w:rFonts w:ascii="Times New Roman" w:hAnsi="Times New Roman"/>
          <w:i/>
          <w:color w:val="0F243E" w:themeColor="text2" w:themeShade="80"/>
          <w:sz w:val="26"/>
          <w:szCs w:val="26"/>
          <w:lang w:eastAsia="it-IT"/>
        </w:rPr>
        <w:t>b) nei settori speciali, in quanto compatibili.</w:t>
      </w:r>
      <w:r w:rsidR="007F4D47">
        <w:rPr>
          <w:rFonts w:ascii="Times New Roman" w:hAnsi="Times New Roman"/>
          <w:color w:val="0F243E" w:themeColor="text2" w:themeShade="80"/>
          <w:sz w:val="26"/>
          <w:szCs w:val="26"/>
          <w:lang w:eastAsia="it-IT"/>
        </w:rPr>
        <w:t>”</w:t>
      </w:r>
    </w:p>
    <w:p w:rsidR="002373CB" w:rsidRPr="002360E5" w:rsidRDefault="002373CB"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Al punto 1.2., poi, le LG si </w:t>
      </w:r>
      <w:r w:rsidR="00FC136E">
        <w:rPr>
          <w:rFonts w:ascii="Times New Roman" w:hAnsi="Times New Roman"/>
          <w:color w:val="0F243E" w:themeColor="text2" w:themeShade="80"/>
          <w:sz w:val="26"/>
          <w:szCs w:val="26"/>
        </w:rPr>
        <w:t>ferm</w:t>
      </w:r>
      <w:r w:rsidRPr="002360E5">
        <w:rPr>
          <w:rFonts w:ascii="Times New Roman" w:hAnsi="Times New Roman"/>
          <w:color w:val="0F243E" w:themeColor="text2" w:themeShade="80"/>
          <w:sz w:val="26"/>
          <w:szCs w:val="26"/>
        </w:rPr>
        <w:t>ano a</w:t>
      </w:r>
      <w:r w:rsidR="00FC136E">
        <w:rPr>
          <w:rFonts w:ascii="Times New Roman" w:hAnsi="Times New Roman"/>
          <w:color w:val="0F243E" w:themeColor="text2" w:themeShade="80"/>
          <w:sz w:val="26"/>
          <w:szCs w:val="26"/>
        </w:rPr>
        <w:t xml:space="preserve"> una schematica parafrasi </w:t>
      </w:r>
      <w:r w:rsidRPr="002360E5">
        <w:rPr>
          <w:rFonts w:ascii="Times New Roman" w:hAnsi="Times New Roman"/>
          <w:color w:val="0F243E" w:themeColor="text2" w:themeShade="80"/>
          <w:sz w:val="26"/>
          <w:szCs w:val="26"/>
        </w:rPr>
        <w:t>testual</w:t>
      </w:r>
      <w:r w:rsidR="00FC136E">
        <w:rPr>
          <w:rFonts w:ascii="Times New Roman" w:hAnsi="Times New Roman"/>
          <w:color w:val="0F243E" w:themeColor="text2" w:themeShade="80"/>
          <w:sz w:val="26"/>
          <w:szCs w:val="26"/>
        </w:rPr>
        <w:t>e</w:t>
      </w:r>
      <w:r w:rsidRPr="002360E5">
        <w:rPr>
          <w:rFonts w:ascii="Times New Roman" w:hAnsi="Times New Roman"/>
          <w:color w:val="0F243E" w:themeColor="text2" w:themeShade="80"/>
          <w:sz w:val="26"/>
          <w:szCs w:val="26"/>
        </w:rPr>
        <w:t xml:space="preserve"> </w:t>
      </w:r>
      <w:r w:rsidR="00FC136E">
        <w:rPr>
          <w:rFonts w:ascii="Times New Roman" w:hAnsi="Times New Roman"/>
          <w:color w:val="0F243E" w:themeColor="text2" w:themeShade="80"/>
          <w:sz w:val="26"/>
          <w:szCs w:val="26"/>
        </w:rPr>
        <w:t>del</w:t>
      </w:r>
      <w:r w:rsidRPr="002360E5">
        <w:rPr>
          <w:rFonts w:ascii="Times New Roman" w:hAnsi="Times New Roman"/>
          <w:color w:val="0F243E" w:themeColor="text2" w:themeShade="80"/>
          <w:sz w:val="26"/>
          <w:szCs w:val="26"/>
        </w:rPr>
        <w:t>l’art. 36, comma 8, del codice:</w:t>
      </w:r>
    </w:p>
    <w:p w:rsidR="002373CB" w:rsidRPr="002360E5" w:rsidRDefault="002373CB"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b/>
          <w:bCs/>
          <w:color w:val="0F243E" w:themeColor="text2" w:themeShade="80"/>
          <w:sz w:val="26"/>
          <w:szCs w:val="26"/>
          <w:lang w:eastAsia="it-IT"/>
        </w:rPr>
        <w:t>“</w:t>
      </w:r>
      <w:r w:rsidRPr="00AE3181">
        <w:rPr>
          <w:rFonts w:ascii="Times New Roman" w:hAnsi="Times New Roman"/>
          <w:b/>
          <w:bCs/>
          <w:i/>
          <w:color w:val="0F243E" w:themeColor="text2" w:themeShade="80"/>
          <w:sz w:val="26"/>
          <w:szCs w:val="26"/>
          <w:lang w:eastAsia="it-IT"/>
        </w:rPr>
        <w:t xml:space="preserve">1.2 </w:t>
      </w:r>
      <w:r w:rsidRPr="00AE3181">
        <w:rPr>
          <w:rFonts w:ascii="Times New Roman" w:hAnsi="Times New Roman"/>
          <w:i/>
          <w:color w:val="0F243E" w:themeColor="text2" w:themeShade="80"/>
          <w:sz w:val="26"/>
          <w:szCs w:val="26"/>
          <w:lang w:eastAsia="it-IT"/>
        </w:rPr>
        <w:t>Le imprese pubbliche e i soggetti titolari di diritti speciali ed esclusivi per gli appalti di lavori, forniture e servizi di importo inferiore alla soglia comunitaria, rientranti nell’ambito definito dagli articoli da 115 a 121, applicano la disciplina stabilita nei rispettivi regolamenti, la quale, comunque, deve essere conforme ai principi dettati dal Trattato UE, in particolare quelli di non discriminazione in base alla nazionalità, parità di trattamento, di trasparenza a tutela della concorrenza.</w:t>
      </w:r>
      <w:r w:rsidRPr="002360E5">
        <w:rPr>
          <w:rFonts w:ascii="Times New Roman" w:hAnsi="Times New Roman"/>
          <w:color w:val="0F243E" w:themeColor="text2" w:themeShade="80"/>
          <w:sz w:val="26"/>
          <w:szCs w:val="26"/>
          <w:lang w:eastAsia="it-IT"/>
        </w:rPr>
        <w:t>”</w:t>
      </w:r>
    </w:p>
    <w:p w:rsidR="002373CB" w:rsidRPr="002360E5" w:rsidRDefault="002373CB"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Si deve notare che</w:t>
      </w:r>
      <w:r w:rsidR="00AE3181">
        <w:rPr>
          <w:rFonts w:ascii="Times New Roman" w:hAnsi="Times New Roman"/>
          <w:color w:val="0F243E" w:themeColor="text2" w:themeShade="80"/>
          <w:sz w:val="26"/>
          <w:szCs w:val="26"/>
        </w:rPr>
        <w:t>, in questo modo,</w:t>
      </w:r>
      <w:r w:rsidRPr="002360E5">
        <w:rPr>
          <w:rFonts w:ascii="Times New Roman" w:hAnsi="Times New Roman"/>
          <w:color w:val="0F243E" w:themeColor="text2" w:themeShade="80"/>
          <w:sz w:val="26"/>
          <w:szCs w:val="26"/>
        </w:rPr>
        <w:t xml:space="preserve"> l’ANAC</w:t>
      </w:r>
      <w:r w:rsidR="00FC136E">
        <w:rPr>
          <w:rFonts w:ascii="Times New Roman" w:hAnsi="Times New Roman"/>
          <w:color w:val="0F243E" w:themeColor="text2" w:themeShade="80"/>
          <w:sz w:val="26"/>
          <w:szCs w:val="26"/>
        </w:rPr>
        <w:t xml:space="preserve">, nell’atto che dovrebbe fornire </w:t>
      </w:r>
      <w:r w:rsidR="00C30F9A">
        <w:rPr>
          <w:rFonts w:ascii="Times New Roman" w:hAnsi="Times New Roman"/>
          <w:color w:val="0F243E" w:themeColor="text2" w:themeShade="80"/>
          <w:sz w:val="26"/>
          <w:szCs w:val="26"/>
        </w:rPr>
        <w:t>un dec</w:t>
      </w:r>
      <w:r w:rsidR="002F2E1F">
        <w:rPr>
          <w:rFonts w:ascii="Times New Roman" w:hAnsi="Times New Roman"/>
          <w:color w:val="0F243E" w:themeColor="text2" w:themeShade="80"/>
          <w:sz w:val="26"/>
          <w:szCs w:val="26"/>
        </w:rPr>
        <w:t>i</w:t>
      </w:r>
      <w:r w:rsidR="00C30F9A">
        <w:rPr>
          <w:rFonts w:ascii="Times New Roman" w:hAnsi="Times New Roman"/>
          <w:color w:val="0F243E" w:themeColor="text2" w:themeShade="80"/>
          <w:sz w:val="26"/>
          <w:szCs w:val="26"/>
        </w:rPr>
        <w:t xml:space="preserve">sivo </w:t>
      </w:r>
      <w:r w:rsidR="00FC136E">
        <w:rPr>
          <w:rFonts w:ascii="Times New Roman" w:hAnsi="Times New Roman"/>
          <w:color w:val="0F243E" w:themeColor="text2" w:themeShade="80"/>
          <w:sz w:val="26"/>
          <w:szCs w:val="26"/>
        </w:rPr>
        <w:t>“</w:t>
      </w:r>
      <w:r w:rsidR="00FC136E" w:rsidRPr="00C30F9A">
        <w:rPr>
          <w:rFonts w:ascii="Times New Roman" w:hAnsi="Times New Roman"/>
          <w:i/>
          <w:color w:val="0F243E" w:themeColor="text2" w:themeShade="80"/>
          <w:sz w:val="26"/>
          <w:szCs w:val="26"/>
        </w:rPr>
        <w:t>supporto</w:t>
      </w:r>
      <w:r w:rsidR="00FC136E">
        <w:rPr>
          <w:rFonts w:ascii="Times New Roman" w:hAnsi="Times New Roman"/>
          <w:color w:val="0F243E" w:themeColor="text2" w:themeShade="80"/>
          <w:sz w:val="26"/>
          <w:szCs w:val="26"/>
        </w:rPr>
        <w:t>” alle stazioni appaltanti</w:t>
      </w:r>
      <w:r w:rsidRPr="002360E5">
        <w:rPr>
          <w:rFonts w:ascii="Times New Roman" w:hAnsi="Times New Roman"/>
          <w:color w:val="0F243E" w:themeColor="text2" w:themeShade="80"/>
          <w:sz w:val="26"/>
          <w:szCs w:val="26"/>
        </w:rPr>
        <w:t>:</w:t>
      </w:r>
    </w:p>
    <w:p w:rsidR="002373CB" w:rsidRPr="002360E5" w:rsidRDefault="002373CB" w:rsidP="00596E5E">
      <w:pPr>
        <w:pStyle w:val="Paragrafoelenco"/>
        <w:numPr>
          <w:ilvl w:val="0"/>
          <w:numId w:val="2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non si preoccupa affatto di spiegare</w:t>
      </w:r>
      <w:r w:rsidR="00FC136E">
        <w:rPr>
          <w:rFonts w:ascii="Times New Roman" w:hAnsi="Times New Roman"/>
          <w:color w:val="0F243E" w:themeColor="text2" w:themeShade="80"/>
          <w:sz w:val="26"/>
          <w:szCs w:val="26"/>
        </w:rPr>
        <w:t>, nemmeno sommariamente</w:t>
      </w:r>
      <w:r w:rsidR="00AE3181">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quali siano le regole</w:t>
      </w:r>
      <w:r w:rsidR="005C475D">
        <w:rPr>
          <w:rFonts w:ascii="Times New Roman" w:hAnsi="Times New Roman"/>
          <w:color w:val="0F243E" w:themeColor="text2" w:themeShade="80"/>
          <w:sz w:val="26"/>
          <w:szCs w:val="26"/>
        </w:rPr>
        <w:t xml:space="preserve"> legislative </w:t>
      </w:r>
      <w:r w:rsidRPr="002360E5">
        <w:rPr>
          <w:rFonts w:ascii="Times New Roman" w:hAnsi="Times New Roman"/>
          <w:color w:val="0F243E" w:themeColor="text2" w:themeShade="80"/>
          <w:sz w:val="26"/>
          <w:szCs w:val="26"/>
        </w:rPr>
        <w:t xml:space="preserve"> per gli affidamenti sotto soglia </w:t>
      </w:r>
      <w:r w:rsidR="00AE3181">
        <w:rPr>
          <w:rFonts w:ascii="Times New Roman" w:hAnsi="Times New Roman"/>
          <w:color w:val="0F243E" w:themeColor="text2" w:themeShade="80"/>
          <w:sz w:val="26"/>
          <w:szCs w:val="26"/>
        </w:rPr>
        <w:t xml:space="preserve">previste per i settori ordinari ma </w:t>
      </w:r>
      <w:r w:rsidRPr="002360E5">
        <w:rPr>
          <w:rFonts w:ascii="Times New Roman" w:hAnsi="Times New Roman"/>
          <w:color w:val="0F243E" w:themeColor="text2" w:themeShade="80"/>
          <w:sz w:val="26"/>
          <w:szCs w:val="26"/>
        </w:rPr>
        <w:t>compatibili con i settori speciali</w:t>
      </w:r>
      <w:r w:rsidR="00AE3181">
        <w:rPr>
          <w:rFonts w:ascii="Times New Roman" w:hAnsi="Times New Roman"/>
          <w:color w:val="0F243E" w:themeColor="text2" w:themeShade="80"/>
          <w:sz w:val="26"/>
          <w:szCs w:val="26"/>
        </w:rPr>
        <w:t xml:space="preserve"> e a questi applicabili</w:t>
      </w:r>
      <w:r w:rsidRPr="002360E5">
        <w:rPr>
          <w:rFonts w:ascii="Times New Roman" w:hAnsi="Times New Roman"/>
          <w:color w:val="0F243E" w:themeColor="text2" w:themeShade="80"/>
          <w:sz w:val="26"/>
          <w:szCs w:val="26"/>
        </w:rPr>
        <w:t>;</w:t>
      </w:r>
    </w:p>
    <w:p w:rsidR="002373CB" w:rsidRPr="002360E5" w:rsidRDefault="002373CB" w:rsidP="00596E5E">
      <w:pPr>
        <w:pStyle w:val="Paragrafoelenco"/>
        <w:numPr>
          <w:ilvl w:val="0"/>
          <w:numId w:val="2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non </w:t>
      </w:r>
      <w:r w:rsidR="00AE3181">
        <w:rPr>
          <w:rFonts w:ascii="Times New Roman" w:hAnsi="Times New Roman"/>
          <w:color w:val="0F243E" w:themeColor="text2" w:themeShade="80"/>
          <w:sz w:val="26"/>
          <w:szCs w:val="26"/>
        </w:rPr>
        <w:t>indic</w:t>
      </w:r>
      <w:r w:rsidRPr="002360E5">
        <w:rPr>
          <w:rFonts w:ascii="Times New Roman" w:hAnsi="Times New Roman"/>
          <w:color w:val="0F243E" w:themeColor="text2" w:themeShade="80"/>
          <w:sz w:val="26"/>
          <w:szCs w:val="26"/>
        </w:rPr>
        <w:t xml:space="preserve">a </w:t>
      </w:r>
      <w:r w:rsidR="005C475D">
        <w:rPr>
          <w:rFonts w:ascii="Times New Roman" w:hAnsi="Times New Roman"/>
          <w:color w:val="0F243E" w:themeColor="text2" w:themeShade="80"/>
          <w:sz w:val="26"/>
          <w:szCs w:val="26"/>
        </w:rPr>
        <w:t xml:space="preserve">chiaramente </w:t>
      </w:r>
      <w:r w:rsidR="00FC136E">
        <w:rPr>
          <w:rFonts w:ascii="Times New Roman" w:hAnsi="Times New Roman"/>
          <w:color w:val="0F243E" w:themeColor="text2" w:themeShade="80"/>
          <w:sz w:val="26"/>
          <w:szCs w:val="26"/>
        </w:rPr>
        <w:t xml:space="preserve">nemmeno </w:t>
      </w:r>
      <w:r w:rsidRPr="002360E5">
        <w:rPr>
          <w:rFonts w:ascii="Times New Roman" w:hAnsi="Times New Roman"/>
          <w:color w:val="0F243E" w:themeColor="text2" w:themeShade="80"/>
          <w:sz w:val="26"/>
          <w:szCs w:val="26"/>
        </w:rPr>
        <w:t>quali parti delle LG siano applicabili ai settori speciali e, se del caso, con quali adattamenti</w:t>
      </w:r>
      <w:r w:rsidR="005C475D">
        <w:rPr>
          <w:rFonts w:ascii="Times New Roman" w:hAnsi="Times New Roman"/>
          <w:color w:val="0F243E" w:themeColor="text2" w:themeShade="80"/>
          <w:sz w:val="26"/>
          <w:szCs w:val="26"/>
        </w:rPr>
        <w:t>, fermandosi al generico richiamo alla valutazione di compatibilità</w:t>
      </w:r>
      <w:r w:rsidRPr="002360E5">
        <w:rPr>
          <w:rFonts w:ascii="Times New Roman" w:hAnsi="Times New Roman"/>
          <w:color w:val="0F243E" w:themeColor="text2" w:themeShade="80"/>
          <w:sz w:val="26"/>
          <w:szCs w:val="26"/>
        </w:rPr>
        <w:t>;</w:t>
      </w:r>
    </w:p>
    <w:p w:rsidR="00281460" w:rsidRDefault="002373CB" w:rsidP="00596E5E">
      <w:pPr>
        <w:pStyle w:val="Paragrafoelenco"/>
        <w:numPr>
          <w:ilvl w:val="0"/>
          <w:numId w:val="2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non </w:t>
      </w:r>
      <w:r w:rsidR="00FC136E" w:rsidRPr="002360E5">
        <w:rPr>
          <w:rFonts w:ascii="Times New Roman" w:hAnsi="Times New Roman"/>
          <w:color w:val="0F243E" w:themeColor="text2" w:themeShade="80"/>
          <w:sz w:val="26"/>
          <w:szCs w:val="26"/>
        </w:rPr>
        <w:t>puntualizza</w:t>
      </w:r>
      <w:r w:rsidRPr="002360E5">
        <w:rPr>
          <w:rFonts w:ascii="Times New Roman" w:hAnsi="Times New Roman"/>
          <w:color w:val="0F243E" w:themeColor="text2" w:themeShade="80"/>
          <w:sz w:val="26"/>
          <w:szCs w:val="26"/>
        </w:rPr>
        <w:t xml:space="preserve"> alcun criterio di redazione dei regolamenti delle imprese pubbliche e </w:t>
      </w:r>
      <w:r w:rsidR="00281460">
        <w:rPr>
          <w:rFonts w:ascii="Times New Roman" w:hAnsi="Times New Roman"/>
          <w:color w:val="0F243E" w:themeColor="text2" w:themeShade="80"/>
          <w:sz w:val="26"/>
          <w:szCs w:val="26"/>
        </w:rPr>
        <w:t>de</w:t>
      </w:r>
      <w:r w:rsidRPr="002360E5">
        <w:rPr>
          <w:rFonts w:ascii="Times New Roman" w:hAnsi="Times New Roman"/>
          <w:color w:val="0F243E" w:themeColor="text2" w:themeShade="80"/>
          <w:sz w:val="26"/>
          <w:szCs w:val="26"/>
        </w:rPr>
        <w:t>i soggetti titolari di diritti speciali ed esclusivi</w:t>
      </w:r>
      <w:r w:rsidR="00FC136E">
        <w:rPr>
          <w:rFonts w:ascii="Times New Roman" w:hAnsi="Times New Roman"/>
          <w:color w:val="0F243E" w:themeColor="text2" w:themeShade="80"/>
          <w:sz w:val="26"/>
          <w:szCs w:val="26"/>
        </w:rPr>
        <w:t>;</w:t>
      </w:r>
    </w:p>
    <w:p w:rsidR="002373CB" w:rsidRPr="002360E5" w:rsidRDefault="00281460" w:rsidP="00596E5E">
      <w:pPr>
        <w:pStyle w:val="Paragrafoelenco"/>
        <w:numPr>
          <w:ilvl w:val="0"/>
          <w:numId w:val="25"/>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non fissa alcun rapporto</w:t>
      </w:r>
      <w:r w:rsidR="00FC136E">
        <w:rPr>
          <w:rFonts w:ascii="Times New Roman" w:hAnsi="Times New Roman"/>
          <w:color w:val="0F243E" w:themeColor="text2" w:themeShade="80"/>
          <w:sz w:val="26"/>
          <w:szCs w:val="26"/>
        </w:rPr>
        <w:t xml:space="preserve"> di coordinamento o di gerarchia</w:t>
      </w:r>
      <w:r>
        <w:rPr>
          <w:rFonts w:ascii="Times New Roman" w:hAnsi="Times New Roman"/>
          <w:color w:val="0F243E" w:themeColor="text2" w:themeShade="80"/>
          <w:sz w:val="26"/>
          <w:szCs w:val="26"/>
        </w:rPr>
        <w:t xml:space="preserve"> tra tali regolamenti e le LG</w:t>
      </w:r>
      <w:r w:rsidR="002373CB" w:rsidRPr="002360E5">
        <w:rPr>
          <w:rFonts w:ascii="Times New Roman" w:hAnsi="Times New Roman"/>
          <w:color w:val="0F243E" w:themeColor="text2" w:themeShade="80"/>
          <w:sz w:val="26"/>
          <w:szCs w:val="26"/>
        </w:rPr>
        <w:t>.</w:t>
      </w:r>
    </w:p>
    <w:p w:rsidR="006B1630" w:rsidRPr="002360E5" w:rsidRDefault="006B1630"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 soluzione più plausibile è che le LG </w:t>
      </w:r>
      <w:r w:rsidR="00281460">
        <w:rPr>
          <w:rFonts w:ascii="Times New Roman" w:hAnsi="Times New Roman"/>
          <w:color w:val="0F243E" w:themeColor="text2" w:themeShade="80"/>
          <w:sz w:val="26"/>
          <w:szCs w:val="26"/>
        </w:rPr>
        <w:t xml:space="preserve">n. 4, relative agli affidamenti sottosoglia </w:t>
      </w:r>
      <w:r w:rsidRPr="002360E5">
        <w:rPr>
          <w:rFonts w:ascii="Times New Roman" w:hAnsi="Times New Roman"/>
          <w:color w:val="0F243E" w:themeColor="text2" w:themeShade="80"/>
          <w:sz w:val="26"/>
          <w:szCs w:val="26"/>
        </w:rPr>
        <w:t>riguardino, nei settori speciali, solo le</w:t>
      </w:r>
      <w:r w:rsidR="00FC136E">
        <w:rPr>
          <w:rFonts w:ascii="Times New Roman" w:hAnsi="Times New Roman"/>
          <w:color w:val="0F243E" w:themeColor="text2" w:themeShade="80"/>
          <w:sz w:val="26"/>
          <w:szCs w:val="26"/>
        </w:rPr>
        <w:t xml:space="preserve"> amministrazioni aggiudicatrici e che, in tale ambito oggettivo e soggettivo, esse si applichino, integralmente, senza alcuna deroga o limitazione.</w:t>
      </w:r>
    </w:p>
    <w:p w:rsidR="006B1630" w:rsidRPr="002360E5" w:rsidRDefault="006B1630"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Per gli altri soggetti</w:t>
      </w:r>
      <w:r w:rsidR="00FC136E">
        <w:rPr>
          <w:rFonts w:ascii="Times New Roman" w:hAnsi="Times New Roman"/>
          <w:color w:val="0F243E" w:themeColor="text2" w:themeShade="80"/>
          <w:sz w:val="26"/>
          <w:szCs w:val="26"/>
        </w:rPr>
        <w:t xml:space="preserve"> aggiudicatori nei settori speciali</w:t>
      </w:r>
      <w:r w:rsidRPr="002360E5">
        <w:rPr>
          <w:rFonts w:ascii="Times New Roman" w:hAnsi="Times New Roman"/>
          <w:color w:val="0F243E" w:themeColor="text2" w:themeShade="80"/>
          <w:sz w:val="26"/>
          <w:szCs w:val="26"/>
        </w:rPr>
        <w:t>, invece, prevale</w:t>
      </w:r>
      <w:r w:rsidR="0093663C">
        <w:rPr>
          <w:rFonts w:ascii="Times New Roman" w:hAnsi="Times New Roman"/>
          <w:color w:val="0F243E" w:themeColor="text2" w:themeShade="80"/>
          <w:sz w:val="26"/>
          <w:szCs w:val="26"/>
        </w:rPr>
        <w:t>, incondizionatamente,</w:t>
      </w:r>
      <w:r w:rsidRPr="002360E5">
        <w:rPr>
          <w:rFonts w:ascii="Times New Roman" w:hAnsi="Times New Roman"/>
          <w:color w:val="0F243E" w:themeColor="text2" w:themeShade="80"/>
          <w:sz w:val="26"/>
          <w:szCs w:val="26"/>
        </w:rPr>
        <w:t xml:space="preserve"> il principio di </w:t>
      </w:r>
      <w:r w:rsidRPr="002360E5">
        <w:rPr>
          <w:rFonts w:ascii="Times New Roman" w:hAnsi="Times New Roman"/>
          <w:i/>
          <w:color w:val="0F243E" w:themeColor="text2" w:themeShade="80"/>
          <w:sz w:val="26"/>
          <w:szCs w:val="26"/>
        </w:rPr>
        <w:t>autonomia</w:t>
      </w:r>
      <w:r w:rsidRPr="002360E5">
        <w:rPr>
          <w:rFonts w:ascii="Times New Roman" w:hAnsi="Times New Roman"/>
          <w:color w:val="0F243E" w:themeColor="text2" w:themeShade="80"/>
          <w:sz w:val="26"/>
          <w:szCs w:val="26"/>
        </w:rPr>
        <w:t xml:space="preserve"> </w:t>
      </w:r>
      <w:r w:rsidR="00E516FB" w:rsidRPr="002360E5">
        <w:rPr>
          <w:rFonts w:ascii="Times New Roman" w:hAnsi="Times New Roman"/>
          <w:color w:val="0F243E" w:themeColor="text2" w:themeShade="80"/>
          <w:sz w:val="26"/>
          <w:szCs w:val="26"/>
        </w:rPr>
        <w:t xml:space="preserve">disciplinare e organizzativa, </w:t>
      </w:r>
      <w:r w:rsidRPr="002360E5">
        <w:rPr>
          <w:rFonts w:ascii="Times New Roman" w:hAnsi="Times New Roman"/>
          <w:color w:val="0F243E" w:themeColor="text2" w:themeShade="80"/>
          <w:sz w:val="26"/>
          <w:szCs w:val="26"/>
        </w:rPr>
        <w:t>espresso attraverso i regolamenti</w:t>
      </w:r>
      <w:r w:rsidR="007312A6">
        <w:rPr>
          <w:rFonts w:ascii="Times New Roman" w:hAnsi="Times New Roman"/>
          <w:color w:val="0F243E" w:themeColor="text2" w:themeShade="80"/>
          <w:sz w:val="26"/>
          <w:szCs w:val="26"/>
        </w:rPr>
        <w:t xml:space="preserve"> adottati dai singoli enti</w:t>
      </w:r>
      <w:r w:rsidRPr="002360E5">
        <w:rPr>
          <w:rFonts w:ascii="Times New Roman" w:hAnsi="Times New Roman"/>
          <w:color w:val="0F243E" w:themeColor="text2" w:themeShade="80"/>
          <w:sz w:val="26"/>
          <w:szCs w:val="26"/>
        </w:rPr>
        <w:t xml:space="preserve">, subordinati solo </w:t>
      </w:r>
      <w:r w:rsidR="0093663C">
        <w:rPr>
          <w:rFonts w:ascii="Times New Roman" w:hAnsi="Times New Roman"/>
          <w:color w:val="0F243E" w:themeColor="text2" w:themeShade="80"/>
          <w:sz w:val="26"/>
          <w:szCs w:val="26"/>
        </w:rPr>
        <w:t>al rispetto de</w:t>
      </w:r>
      <w:r w:rsidRPr="002360E5">
        <w:rPr>
          <w:rFonts w:ascii="Times New Roman" w:hAnsi="Times New Roman"/>
          <w:color w:val="0F243E" w:themeColor="text2" w:themeShade="80"/>
          <w:sz w:val="26"/>
          <w:szCs w:val="26"/>
        </w:rPr>
        <w:t>i principi del Trattato.</w:t>
      </w:r>
      <w:r w:rsidR="00E516FB" w:rsidRPr="002360E5">
        <w:rPr>
          <w:rFonts w:ascii="Times New Roman" w:hAnsi="Times New Roman"/>
          <w:color w:val="0F243E" w:themeColor="text2" w:themeShade="80"/>
          <w:sz w:val="26"/>
          <w:szCs w:val="26"/>
        </w:rPr>
        <w:t xml:space="preserve"> Pertanto, le LG non sembrano avere </w:t>
      </w:r>
      <w:r w:rsidR="007312A6">
        <w:rPr>
          <w:rFonts w:ascii="Times New Roman" w:hAnsi="Times New Roman"/>
          <w:color w:val="0F243E" w:themeColor="text2" w:themeShade="80"/>
          <w:sz w:val="26"/>
          <w:szCs w:val="26"/>
        </w:rPr>
        <w:t xml:space="preserve">alcuno </w:t>
      </w:r>
      <w:r w:rsidR="00E516FB" w:rsidRPr="002360E5">
        <w:rPr>
          <w:rFonts w:ascii="Times New Roman" w:hAnsi="Times New Roman"/>
          <w:color w:val="0F243E" w:themeColor="text2" w:themeShade="80"/>
          <w:sz w:val="26"/>
          <w:szCs w:val="26"/>
        </w:rPr>
        <w:t>spazio operativo, se non nella forma eventuale degli atti meramente interpretativi, privi di efficacia vincolante.</w:t>
      </w:r>
    </w:p>
    <w:p w:rsidR="0006232A" w:rsidRDefault="00FA3206"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Evidentemente, </w:t>
      </w:r>
      <w:r w:rsidR="00C33FF6" w:rsidRPr="002360E5">
        <w:rPr>
          <w:rFonts w:ascii="Times New Roman" w:hAnsi="Times New Roman"/>
          <w:color w:val="0F243E" w:themeColor="text2" w:themeShade="80"/>
          <w:sz w:val="26"/>
          <w:szCs w:val="26"/>
        </w:rPr>
        <w:t>su temi di così rilevante impatto,</w:t>
      </w:r>
      <w:r>
        <w:rPr>
          <w:rFonts w:ascii="Times New Roman" w:hAnsi="Times New Roman"/>
          <w:color w:val="0F243E" w:themeColor="text2" w:themeShade="80"/>
          <w:sz w:val="26"/>
          <w:szCs w:val="26"/>
        </w:rPr>
        <w:t xml:space="preserve"> riguardanti la stessa architettura delle fonti,</w:t>
      </w:r>
      <w:r w:rsidR="00C33FF6" w:rsidRPr="002360E5">
        <w:rPr>
          <w:rFonts w:ascii="Times New Roman" w:hAnsi="Times New Roman"/>
          <w:color w:val="0F243E" w:themeColor="text2" w:themeShade="80"/>
          <w:sz w:val="26"/>
          <w:szCs w:val="26"/>
        </w:rPr>
        <w:t xml:space="preserve"> il codice</w:t>
      </w:r>
      <w:r>
        <w:rPr>
          <w:rFonts w:ascii="Times New Roman" w:hAnsi="Times New Roman"/>
          <w:color w:val="0F243E" w:themeColor="text2" w:themeShade="80"/>
          <w:sz w:val="26"/>
          <w:szCs w:val="26"/>
        </w:rPr>
        <w:t xml:space="preserve"> avrebbe dovuto esprimersi in termini più trasparenti, </w:t>
      </w:r>
      <w:r w:rsidR="00C33FF6" w:rsidRPr="002360E5">
        <w:rPr>
          <w:rFonts w:ascii="Times New Roman" w:hAnsi="Times New Roman"/>
          <w:color w:val="0F243E" w:themeColor="text2" w:themeShade="80"/>
          <w:sz w:val="26"/>
          <w:szCs w:val="26"/>
        </w:rPr>
        <w:t>e</w:t>
      </w:r>
      <w:r>
        <w:rPr>
          <w:rFonts w:ascii="Times New Roman" w:hAnsi="Times New Roman"/>
          <w:color w:val="0F243E" w:themeColor="text2" w:themeShade="80"/>
          <w:sz w:val="26"/>
          <w:szCs w:val="26"/>
        </w:rPr>
        <w:t>, in mancanza, l’ANAC, attraverso</w:t>
      </w:r>
      <w:r w:rsidR="00C33FF6" w:rsidRPr="002360E5">
        <w:rPr>
          <w:rFonts w:ascii="Times New Roman" w:hAnsi="Times New Roman"/>
          <w:color w:val="0F243E" w:themeColor="text2" w:themeShade="80"/>
          <w:sz w:val="26"/>
          <w:szCs w:val="26"/>
        </w:rPr>
        <w:t xml:space="preserve"> le</w:t>
      </w:r>
      <w:r>
        <w:rPr>
          <w:rFonts w:ascii="Times New Roman" w:hAnsi="Times New Roman"/>
          <w:color w:val="0F243E" w:themeColor="text2" w:themeShade="80"/>
          <w:sz w:val="26"/>
          <w:szCs w:val="26"/>
        </w:rPr>
        <w:t xml:space="preserve"> proprie</w:t>
      </w:r>
      <w:r w:rsidR="00C33FF6" w:rsidRPr="002360E5">
        <w:rPr>
          <w:rFonts w:ascii="Times New Roman" w:hAnsi="Times New Roman"/>
          <w:color w:val="0F243E" w:themeColor="text2" w:themeShade="80"/>
          <w:sz w:val="26"/>
          <w:szCs w:val="26"/>
        </w:rPr>
        <w:t xml:space="preserve"> LG</w:t>
      </w:r>
      <w:r>
        <w:rPr>
          <w:rFonts w:ascii="Times New Roman" w:hAnsi="Times New Roman"/>
          <w:color w:val="0F243E" w:themeColor="text2" w:themeShade="80"/>
          <w:sz w:val="26"/>
          <w:szCs w:val="26"/>
        </w:rPr>
        <w:t xml:space="preserve">, eventualmente anche solo non vincolanti, </w:t>
      </w:r>
      <w:r w:rsidR="0006232A">
        <w:rPr>
          <w:rFonts w:ascii="Times New Roman" w:hAnsi="Times New Roman"/>
          <w:color w:val="0F243E" w:themeColor="text2" w:themeShade="80"/>
          <w:sz w:val="26"/>
          <w:szCs w:val="26"/>
        </w:rPr>
        <w:t>dovrebbe fornire ogni utile chiarimento.</w:t>
      </w:r>
    </w:p>
    <w:p w:rsidR="00FC136E" w:rsidRDefault="00FC136E" w:rsidP="00596E5E">
      <w:pPr>
        <w:pStyle w:val="Paragrafoelenco"/>
        <w:tabs>
          <w:tab w:val="left" w:pos="0"/>
        </w:tabs>
        <w:ind w:left="0"/>
        <w:rPr>
          <w:rFonts w:ascii="Times New Roman" w:hAnsi="Times New Roman"/>
          <w:color w:val="0F243E" w:themeColor="text2" w:themeShade="80"/>
          <w:sz w:val="26"/>
          <w:szCs w:val="26"/>
        </w:rPr>
      </w:pPr>
    </w:p>
    <w:p w:rsidR="00464979" w:rsidRPr="002E1AFA" w:rsidRDefault="009A3DA9" w:rsidP="00464979">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sidRPr="002E1AFA">
        <w:rPr>
          <w:rFonts w:ascii="Times New Roman" w:hAnsi="Times New Roman"/>
          <w:b/>
          <w:smallCaps/>
          <w:color w:val="0F243E" w:themeColor="text2" w:themeShade="80"/>
          <w:sz w:val="26"/>
          <w:szCs w:val="26"/>
        </w:rPr>
        <w:t>La puntuale indicazione delle disposizioni applicab</w:t>
      </w:r>
      <w:r w:rsidR="002E1AFA" w:rsidRPr="002E1AFA">
        <w:rPr>
          <w:rFonts w:ascii="Times New Roman" w:hAnsi="Times New Roman"/>
          <w:b/>
          <w:smallCaps/>
          <w:color w:val="0F243E" w:themeColor="text2" w:themeShade="80"/>
          <w:sz w:val="26"/>
          <w:szCs w:val="26"/>
        </w:rPr>
        <w:t>ili ai settori speciali e il ruolo della regolazione flessibile.</w:t>
      </w:r>
    </w:p>
    <w:p w:rsidR="0067574B" w:rsidRPr="002360E5" w:rsidRDefault="00FC136E"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Un altro aspetto relativo alla portata della regolamentazione flessibile nei settori speciali riguarda il significato di uno dei principi cardine della materia. </w:t>
      </w:r>
      <w:r w:rsidRPr="002360E5">
        <w:rPr>
          <w:rFonts w:ascii="Times New Roman" w:hAnsi="Times New Roman"/>
          <w:color w:val="0F243E" w:themeColor="text2" w:themeShade="80"/>
          <w:sz w:val="26"/>
          <w:szCs w:val="26"/>
        </w:rPr>
        <w:t xml:space="preserve">La </w:t>
      </w:r>
      <w:r w:rsidR="0067574B" w:rsidRPr="002360E5">
        <w:rPr>
          <w:rFonts w:ascii="Times New Roman" w:hAnsi="Times New Roman"/>
          <w:color w:val="0F243E" w:themeColor="text2" w:themeShade="80"/>
          <w:sz w:val="26"/>
          <w:szCs w:val="26"/>
        </w:rPr>
        <w:t>legge n. 11/2016, all’articolo 1, comma 1, lettera h</w:t>
      </w:r>
      <w:r>
        <w:rPr>
          <w:rFonts w:ascii="Times New Roman" w:hAnsi="Times New Roman"/>
          <w:color w:val="0F243E" w:themeColor="text2" w:themeShade="80"/>
          <w:sz w:val="26"/>
          <w:szCs w:val="26"/>
        </w:rPr>
        <w:t>)</w:t>
      </w:r>
      <w:r w:rsidR="0067574B" w:rsidRPr="002360E5">
        <w:rPr>
          <w:rFonts w:ascii="Times New Roman" w:hAnsi="Times New Roman"/>
          <w:color w:val="0F243E" w:themeColor="text2" w:themeShade="80"/>
          <w:sz w:val="26"/>
          <w:szCs w:val="26"/>
        </w:rPr>
        <w:t xml:space="preserve">, prevede il seguente criterio di delega: </w:t>
      </w:r>
      <w:r>
        <w:rPr>
          <w:rFonts w:ascii="Times New Roman" w:hAnsi="Times New Roman"/>
          <w:color w:val="0F243E" w:themeColor="text2" w:themeShade="80"/>
          <w:sz w:val="26"/>
          <w:szCs w:val="26"/>
        </w:rPr>
        <w:t>“</w:t>
      </w:r>
      <w:r w:rsidR="0067574B" w:rsidRPr="002360E5">
        <w:rPr>
          <w:rFonts w:ascii="Times New Roman" w:hAnsi="Times New Roman"/>
          <w:i/>
          <w:color w:val="0F243E" w:themeColor="text2" w:themeShade="80"/>
          <w:sz w:val="26"/>
          <w:szCs w:val="26"/>
        </w:rPr>
        <w:t>h) puntuale indicazione, in materia di affidamento dei contratti nei settori speciali, delle disposizioni ad essi applicabili, anche al fine di favorire la trasparenza nel settore e la piena apertura e contendibilità dei relativi mercati</w:t>
      </w:r>
      <w:r w:rsidR="00EF54E8" w:rsidRPr="002360E5">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w:t>
      </w:r>
    </w:p>
    <w:p w:rsidR="00E51BF1" w:rsidRDefault="00EF54E8"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 finalità principale del criterio riguarda</w:t>
      </w:r>
      <w:r w:rsidR="00E51BF1">
        <w:rPr>
          <w:rFonts w:ascii="Times New Roman" w:hAnsi="Times New Roman"/>
          <w:color w:val="0F243E" w:themeColor="text2" w:themeShade="80"/>
          <w:sz w:val="26"/>
          <w:szCs w:val="26"/>
        </w:rPr>
        <w:t>, quindi,</w:t>
      </w:r>
      <w:r w:rsidRPr="002360E5">
        <w:rPr>
          <w:rFonts w:ascii="Times New Roman" w:hAnsi="Times New Roman"/>
          <w:color w:val="0F243E" w:themeColor="text2" w:themeShade="80"/>
          <w:sz w:val="26"/>
          <w:szCs w:val="26"/>
        </w:rPr>
        <w:t xml:space="preserve"> la definizione</w:t>
      </w:r>
      <w:r w:rsidR="002F2E1F">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w:t>
      </w:r>
      <w:r w:rsidRPr="007815B1">
        <w:rPr>
          <w:rFonts w:ascii="Times New Roman" w:hAnsi="Times New Roman"/>
          <w:i/>
          <w:color w:val="0F243E" w:themeColor="text2" w:themeShade="80"/>
          <w:sz w:val="26"/>
          <w:szCs w:val="26"/>
        </w:rPr>
        <w:t>chiara</w:t>
      </w:r>
      <w:r w:rsidRPr="002360E5">
        <w:rPr>
          <w:rFonts w:ascii="Times New Roman" w:hAnsi="Times New Roman"/>
          <w:color w:val="0F243E" w:themeColor="text2" w:themeShade="80"/>
          <w:sz w:val="26"/>
          <w:szCs w:val="26"/>
        </w:rPr>
        <w:t xml:space="preserve"> </w:t>
      </w:r>
      <w:r w:rsidR="00FC136E">
        <w:rPr>
          <w:rFonts w:ascii="Times New Roman" w:hAnsi="Times New Roman"/>
          <w:color w:val="0F243E" w:themeColor="text2" w:themeShade="80"/>
          <w:sz w:val="26"/>
          <w:szCs w:val="26"/>
        </w:rPr>
        <w:t>e analitica</w:t>
      </w:r>
      <w:r w:rsidR="002F2E1F">
        <w:rPr>
          <w:rFonts w:ascii="Times New Roman" w:hAnsi="Times New Roman"/>
          <w:color w:val="0F243E" w:themeColor="text2" w:themeShade="80"/>
          <w:sz w:val="26"/>
          <w:szCs w:val="26"/>
        </w:rPr>
        <w:t>,</w:t>
      </w:r>
      <w:r w:rsidR="00FC136E">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della disciplina applicabile</w:t>
      </w:r>
      <w:r w:rsidR="00FC136E">
        <w:rPr>
          <w:rFonts w:ascii="Times New Roman" w:hAnsi="Times New Roman"/>
          <w:color w:val="0F243E" w:themeColor="text2" w:themeShade="80"/>
          <w:sz w:val="26"/>
          <w:szCs w:val="26"/>
        </w:rPr>
        <w:t xml:space="preserve"> ai settori speciali</w:t>
      </w:r>
      <w:r w:rsidR="00F256C0" w:rsidRPr="002360E5">
        <w:rPr>
          <w:rFonts w:ascii="Times New Roman" w:hAnsi="Times New Roman"/>
          <w:color w:val="0F243E" w:themeColor="text2" w:themeShade="80"/>
          <w:sz w:val="26"/>
          <w:szCs w:val="26"/>
        </w:rPr>
        <w:t>.</w:t>
      </w:r>
    </w:p>
    <w:p w:rsidR="00BB267B" w:rsidRDefault="00BB267B"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Vanno comunque sottolineati due elementi, in parte contraddittori, ricavabili dal citato criterio di delega.</w:t>
      </w:r>
    </w:p>
    <w:p w:rsidR="00E51BF1" w:rsidRDefault="00BB267B"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Da una parte, infatti, la</w:t>
      </w:r>
      <w:r w:rsidR="00E51BF1">
        <w:rPr>
          <w:rFonts w:ascii="Times New Roman" w:hAnsi="Times New Roman"/>
          <w:color w:val="0F243E" w:themeColor="text2" w:themeShade="80"/>
          <w:sz w:val="26"/>
          <w:szCs w:val="26"/>
        </w:rPr>
        <w:t xml:space="preserve"> richiesta</w:t>
      </w:r>
      <w:r>
        <w:rPr>
          <w:rFonts w:ascii="Times New Roman" w:hAnsi="Times New Roman"/>
          <w:color w:val="0F243E" w:themeColor="text2" w:themeShade="80"/>
          <w:sz w:val="26"/>
          <w:szCs w:val="26"/>
        </w:rPr>
        <w:t xml:space="preserve"> “</w:t>
      </w:r>
      <w:r w:rsidRPr="00E51BF1">
        <w:rPr>
          <w:rFonts w:ascii="Times New Roman" w:hAnsi="Times New Roman"/>
          <w:i/>
          <w:color w:val="0F243E" w:themeColor="text2" w:themeShade="80"/>
          <w:sz w:val="26"/>
          <w:szCs w:val="26"/>
        </w:rPr>
        <w:t>precisione</w:t>
      </w:r>
      <w:r>
        <w:rPr>
          <w:rFonts w:ascii="Times New Roman" w:hAnsi="Times New Roman"/>
          <w:color w:val="0F243E" w:themeColor="text2" w:themeShade="80"/>
          <w:sz w:val="26"/>
          <w:szCs w:val="26"/>
        </w:rPr>
        <w:t xml:space="preserve">” della disciplina sembrerebbe scarsamente compatibile con </w:t>
      </w:r>
      <w:r w:rsidR="00075487">
        <w:rPr>
          <w:rFonts w:ascii="Times New Roman" w:hAnsi="Times New Roman"/>
          <w:color w:val="0F243E" w:themeColor="text2" w:themeShade="80"/>
          <w:sz w:val="26"/>
          <w:szCs w:val="26"/>
        </w:rPr>
        <w:t>la tecnica della regolazione flessibile.</w:t>
      </w:r>
    </w:p>
    <w:p w:rsidR="00F256C0" w:rsidRDefault="00075487"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Dall’altro lato, però</w:t>
      </w:r>
      <w:r w:rsidR="00F256C0" w:rsidRPr="002360E5">
        <w:rPr>
          <w:rFonts w:ascii="Times New Roman" w:hAnsi="Times New Roman"/>
          <w:color w:val="0F243E" w:themeColor="text2" w:themeShade="80"/>
          <w:sz w:val="26"/>
          <w:szCs w:val="26"/>
        </w:rPr>
        <w:t xml:space="preserve">, </w:t>
      </w:r>
      <w:r>
        <w:rPr>
          <w:rFonts w:ascii="Times New Roman" w:hAnsi="Times New Roman"/>
          <w:color w:val="0F243E" w:themeColor="text2" w:themeShade="80"/>
          <w:sz w:val="26"/>
          <w:szCs w:val="26"/>
        </w:rPr>
        <w:t>emerge la</w:t>
      </w:r>
      <w:r w:rsidR="00F256C0" w:rsidRPr="002360E5">
        <w:rPr>
          <w:rFonts w:ascii="Times New Roman" w:hAnsi="Times New Roman"/>
          <w:color w:val="0F243E" w:themeColor="text2" w:themeShade="80"/>
          <w:sz w:val="26"/>
          <w:szCs w:val="26"/>
        </w:rPr>
        <w:t xml:space="preserve"> consapevolezza della esistenza</w:t>
      </w:r>
      <w:r>
        <w:rPr>
          <w:rFonts w:ascii="Times New Roman" w:hAnsi="Times New Roman"/>
          <w:color w:val="0F243E" w:themeColor="text2" w:themeShade="80"/>
          <w:sz w:val="26"/>
          <w:szCs w:val="26"/>
        </w:rPr>
        <w:t>, nei settori speciali,</w:t>
      </w:r>
      <w:r w:rsidR="00F256C0" w:rsidRPr="002360E5">
        <w:rPr>
          <w:rFonts w:ascii="Times New Roman" w:hAnsi="Times New Roman"/>
          <w:color w:val="0F243E" w:themeColor="text2" w:themeShade="80"/>
          <w:sz w:val="26"/>
          <w:szCs w:val="26"/>
        </w:rPr>
        <w:t xml:space="preserve"> di </w:t>
      </w:r>
      <w:r w:rsidR="002F2E1F">
        <w:rPr>
          <w:rFonts w:ascii="Times New Roman" w:hAnsi="Times New Roman"/>
          <w:color w:val="0F243E" w:themeColor="text2" w:themeShade="80"/>
          <w:sz w:val="26"/>
          <w:szCs w:val="26"/>
        </w:rPr>
        <w:t xml:space="preserve">distinti </w:t>
      </w:r>
      <w:r w:rsidR="00F256C0" w:rsidRPr="002360E5">
        <w:rPr>
          <w:rFonts w:ascii="Times New Roman" w:hAnsi="Times New Roman"/>
          <w:color w:val="0F243E" w:themeColor="text2" w:themeShade="80"/>
          <w:sz w:val="26"/>
          <w:szCs w:val="26"/>
        </w:rPr>
        <w:t>“</w:t>
      </w:r>
      <w:r w:rsidR="00F256C0" w:rsidRPr="002360E5">
        <w:rPr>
          <w:rFonts w:ascii="Times New Roman" w:hAnsi="Times New Roman"/>
          <w:i/>
          <w:color w:val="0F243E" w:themeColor="text2" w:themeShade="80"/>
          <w:sz w:val="26"/>
          <w:szCs w:val="26"/>
        </w:rPr>
        <w:t>relativi mercati</w:t>
      </w:r>
      <w:r w:rsidR="00F256C0" w:rsidRPr="002360E5">
        <w:rPr>
          <w:rFonts w:ascii="Times New Roman" w:hAnsi="Times New Roman"/>
          <w:color w:val="0F243E" w:themeColor="text2" w:themeShade="80"/>
          <w:sz w:val="26"/>
          <w:szCs w:val="26"/>
        </w:rPr>
        <w:t>”</w:t>
      </w:r>
      <w:r w:rsidR="00E412BE" w:rsidRPr="002360E5">
        <w:rPr>
          <w:rFonts w:ascii="Times New Roman" w:hAnsi="Times New Roman"/>
          <w:color w:val="0F243E" w:themeColor="text2" w:themeShade="80"/>
          <w:sz w:val="26"/>
          <w:szCs w:val="26"/>
        </w:rPr>
        <w:t>,</w:t>
      </w:r>
      <w:r w:rsidR="00F256C0" w:rsidRPr="002360E5">
        <w:rPr>
          <w:rFonts w:ascii="Times New Roman" w:hAnsi="Times New Roman"/>
          <w:color w:val="0F243E" w:themeColor="text2" w:themeShade="80"/>
          <w:sz w:val="26"/>
          <w:szCs w:val="26"/>
        </w:rPr>
        <w:t xml:space="preserve"> dotati di </w:t>
      </w:r>
      <w:r w:rsidR="005E6782">
        <w:rPr>
          <w:rFonts w:ascii="Times New Roman" w:hAnsi="Times New Roman"/>
          <w:color w:val="0F243E" w:themeColor="text2" w:themeShade="80"/>
          <w:sz w:val="26"/>
          <w:szCs w:val="26"/>
        </w:rPr>
        <w:t xml:space="preserve">proprie </w:t>
      </w:r>
      <w:r w:rsidR="00F256C0" w:rsidRPr="002360E5">
        <w:rPr>
          <w:rFonts w:ascii="Times New Roman" w:hAnsi="Times New Roman"/>
          <w:color w:val="0F243E" w:themeColor="text2" w:themeShade="80"/>
          <w:sz w:val="26"/>
          <w:szCs w:val="26"/>
        </w:rPr>
        <w:t>peculiarità</w:t>
      </w:r>
      <w:r w:rsidR="005E6782">
        <w:rPr>
          <w:rFonts w:ascii="Times New Roman" w:hAnsi="Times New Roman"/>
          <w:color w:val="0F243E" w:themeColor="text2" w:themeShade="80"/>
          <w:sz w:val="26"/>
          <w:szCs w:val="26"/>
        </w:rPr>
        <w:t xml:space="preserve">. Questa </w:t>
      </w:r>
      <w:r w:rsidR="00E51BF1">
        <w:rPr>
          <w:rFonts w:ascii="Times New Roman" w:hAnsi="Times New Roman"/>
          <w:color w:val="0F243E" w:themeColor="text2" w:themeShade="80"/>
          <w:sz w:val="26"/>
          <w:szCs w:val="26"/>
        </w:rPr>
        <w:t xml:space="preserve">oggettiva </w:t>
      </w:r>
      <w:r w:rsidR="005E6782">
        <w:rPr>
          <w:rFonts w:ascii="Times New Roman" w:hAnsi="Times New Roman"/>
          <w:color w:val="0F243E" w:themeColor="text2" w:themeShade="80"/>
          <w:sz w:val="26"/>
          <w:szCs w:val="26"/>
        </w:rPr>
        <w:t>differenziazione, al contrario, potrebbe giustificare interventi di regolazione flessibile “</w:t>
      </w:r>
      <w:r w:rsidR="005E6782" w:rsidRPr="008D3A18">
        <w:rPr>
          <w:rFonts w:ascii="Times New Roman" w:hAnsi="Times New Roman"/>
          <w:i/>
          <w:color w:val="0F243E" w:themeColor="text2" w:themeShade="80"/>
          <w:sz w:val="26"/>
          <w:szCs w:val="26"/>
        </w:rPr>
        <w:t>orizzontale</w:t>
      </w:r>
      <w:r w:rsidR="005E6782">
        <w:rPr>
          <w:rFonts w:ascii="Times New Roman" w:hAnsi="Times New Roman"/>
          <w:color w:val="0F243E" w:themeColor="text2" w:themeShade="80"/>
          <w:sz w:val="26"/>
          <w:szCs w:val="26"/>
        </w:rPr>
        <w:t>”</w:t>
      </w:r>
      <w:r w:rsidR="008D3A18">
        <w:rPr>
          <w:rFonts w:ascii="Times New Roman" w:hAnsi="Times New Roman"/>
          <w:color w:val="0F243E" w:themeColor="text2" w:themeShade="80"/>
          <w:sz w:val="26"/>
          <w:szCs w:val="26"/>
        </w:rPr>
        <w:t xml:space="preserve">: </w:t>
      </w:r>
      <w:r w:rsidR="00E51BF1">
        <w:rPr>
          <w:rFonts w:ascii="Times New Roman" w:hAnsi="Times New Roman"/>
          <w:color w:val="0F243E" w:themeColor="text2" w:themeShade="80"/>
          <w:sz w:val="26"/>
          <w:szCs w:val="26"/>
        </w:rPr>
        <w:t>vale a dire linee guida che moduli</w:t>
      </w:r>
      <w:r w:rsidR="008D3A18">
        <w:rPr>
          <w:rFonts w:ascii="Times New Roman" w:hAnsi="Times New Roman"/>
          <w:color w:val="0F243E" w:themeColor="text2" w:themeShade="80"/>
          <w:sz w:val="26"/>
          <w:szCs w:val="26"/>
        </w:rPr>
        <w:t xml:space="preserve">no la disciplina applicabile in funzione del settore </w:t>
      </w:r>
      <w:r w:rsidR="00E51BF1">
        <w:rPr>
          <w:rFonts w:ascii="Times New Roman" w:hAnsi="Times New Roman"/>
          <w:color w:val="0F243E" w:themeColor="text2" w:themeShade="80"/>
          <w:sz w:val="26"/>
          <w:szCs w:val="26"/>
        </w:rPr>
        <w:t xml:space="preserve">speciale </w:t>
      </w:r>
      <w:r w:rsidR="008D3A18">
        <w:rPr>
          <w:rFonts w:ascii="Times New Roman" w:hAnsi="Times New Roman"/>
          <w:color w:val="0F243E" w:themeColor="text2" w:themeShade="80"/>
          <w:sz w:val="26"/>
          <w:szCs w:val="26"/>
        </w:rPr>
        <w:t>considerato</w:t>
      </w:r>
      <w:r w:rsidR="00F256C0" w:rsidRPr="002360E5">
        <w:rPr>
          <w:rFonts w:ascii="Times New Roman" w:hAnsi="Times New Roman"/>
          <w:color w:val="0F243E" w:themeColor="text2" w:themeShade="80"/>
          <w:sz w:val="26"/>
          <w:szCs w:val="26"/>
        </w:rPr>
        <w:t>.</w:t>
      </w:r>
    </w:p>
    <w:p w:rsidR="008D3A18" w:rsidRDefault="00E51BF1"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Riguardo al primo punto, </w:t>
      </w:r>
      <w:r w:rsidR="001F6E55">
        <w:rPr>
          <w:rFonts w:ascii="Times New Roman" w:hAnsi="Times New Roman"/>
          <w:color w:val="0F243E" w:themeColor="text2" w:themeShade="80"/>
          <w:sz w:val="26"/>
          <w:szCs w:val="26"/>
        </w:rPr>
        <w:t xml:space="preserve">però, </w:t>
      </w:r>
      <w:r>
        <w:rPr>
          <w:rFonts w:ascii="Times New Roman" w:hAnsi="Times New Roman"/>
          <w:color w:val="0F243E" w:themeColor="text2" w:themeShade="80"/>
          <w:sz w:val="26"/>
          <w:szCs w:val="26"/>
        </w:rPr>
        <w:t>è ragionevole ritenere che il principio di precisione riguardi essenzialmente la normativa primaria. Nel tendenziale avvicinamento tra i settori ordina</w:t>
      </w:r>
      <w:r w:rsidR="001F6E55">
        <w:rPr>
          <w:rFonts w:ascii="Times New Roman" w:hAnsi="Times New Roman"/>
          <w:color w:val="0F243E" w:themeColor="text2" w:themeShade="80"/>
          <w:sz w:val="26"/>
          <w:szCs w:val="26"/>
        </w:rPr>
        <w:t>r</w:t>
      </w:r>
      <w:r>
        <w:rPr>
          <w:rFonts w:ascii="Times New Roman" w:hAnsi="Times New Roman"/>
          <w:color w:val="0F243E" w:themeColor="text2" w:themeShade="80"/>
          <w:sz w:val="26"/>
          <w:szCs w:val="26"/>
        </w:rPr>
        <w:t>i e quelli speciali, le differenze devono essere limitate e razionalmente giustificate. Pertanto, essere devono risultare con chiarezza.</w:t>
      </w:r>
    </w:p>
    <w:p w:rsidR="00E51BF1" w:rsidRDefault="00E51BF1"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Il codice</w:t>
      </w:r>
      <w:r w:rsidR="001F6E55">
        <w:rPr>
          <w:rFonts w:ascii="Times New Roman" w:hAnsi="Times New Roman"/>
          <w:color w:val="0F243E" w:themeColor="text2" w:themeShade="80"/>
          <w:sz w:val="26"/>
          <w:szCs w:val="26"/>
        </w:rPr>
        <w:t>, peraltro,</w:t>
      </w:r>
      <w:r>
        <w:rPr>
          <w:rFonts w:ascii="Times New Roman" w:hAnsi="Times New Roman"/>
          <w:color w:val="0F243E" w:themeColor="text2" w:themeShade="80"/>
          <w:sz w:val="26"/>
          <w:szCs w:val="26"/>
        </w:rPr>
        <w:t xml:space="preserve"> non ha realizzato pienamente questo risultato di auspicata </w:t>
      </w:r>
      <w:r w:rsidR="001F6E55">
        <w:rPr>
          <w:rFonts w:ascii="Times New Roman" w:hAnsi="Times New Roman"/>
          <w:color w:val="0F243E" w:themeColor="text2" w:themeShade="80"/>
          <w:sz w:val="26"/>
          <w:szCs w:val="26"/>
        </w:rPr>
        <w:t>nitidezza</w:t>
      </w:r>
      <w:r>
        <w:rPr>
          <w:rFonts w:ascii="Times New Roman" w:hAnsi="Times New Roman"/>
          <w:color w:val="0F243E" w:themeColor="text2" w:themeShade="80"/>
          <w:sz w:val="26"/>
          <w:szCs w:val="26"/>
        </w:rPr>
        <w:t>.</w:t>
      </w:r>
    </w:p>
    <w:p w:rsidR="00E51BF1" w:rsidRDefault="00E51BF1"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Ma sembra corretto ritenere che la “</w:t>
      </w:r>
      <w:r w:rsidRPr="00FA077A">
        <w:rPr>
          <w:rFonts w:ascii="Times New Roman" w:hAnsi="Times New Roman"/>
          <w:i/>
          <w:color w:val="0F243E" w:themeColor="text2" w:themeShade="80"/>
          <w:sz w:val="26"/>
          <w:szCs w:val="26"/>
        </w:rPr>
        <w:t>precisa individuazione</w:t>
      </w:r>
      <w:r>
        <w:rPr>
          <w:rFonts w:ascii="Times New Roman" w:hAnsi="Times New Roman"/>
          <w:color w:val="0F243E" w:themeColor="text2" w:themeShade="80"/>
          <w:sz w:val="26"/>
          <w:szCs w:val="26"/>
        </w:rPr>
        <w:t xml:space="preserve">” delle disposizioni </w:t>
      </w:r>
      <w:r w:rsidR="00C34325">
        <w:rPr>
          <w:rFonts w:ascii="Times New Roman" w:hAnsi="Times New Roman"/>
          <w:color w:val="0F243E" w:themeColor="text2" w:themeShade="80"/>
          <w:sz w:val="26"/>
          <w:szCs w:val="26"/>
        </w:rPr>
        <w:t xml:space="preserve">legislative </w:t>
      </w:r>
      <w:r>
        <w:rPr>
          <w:rFonts w:ascii="Times New Roman" w:hAnsi="Times New Roman"/>
          <w:color w:val="0F243E" w:themeColor="text2" w:themeShade="80"/>
          <w:sz w:val="26"/>
          <w:szCs w:val="26"/>
        </w:rPr>
        <w:t>applicabili ai settori speciali non preclude l’applicazione degli strumenti di regolazione flessibile da queste</w:t>
      </w:r>
      <w:r w:rsidR="00C34325">
        <w:rPr>
          <w:rFonts w:ascii="Times New Roman" w:hAnsi="Times New Roman"/>
          <w:color w:val="0F243E" w:themeColor="text2" w:themeShade="80"/>
          <w:sz w:val="26"/>
          <w:szCs w:val="26"/>
        </w:rPr>
        <w:t xml:space="preserve"> espressamente</w:t>
      </w:r>
      <w:r>
        <w:rPr>
          <w:rFonts w:ascii="Times New Roman" w:hAnsi="Times New Roman"/>
          <w:color w:val="0F243E" w:themeColor="text2" w:themeShade="80"/>
          <w:sz w:val="26"/>
          <w:szCs w:val="26"/>
        </w:rPr>
        <w:t xml:space="preserve"> richiamate.</w:t>
      </w:r>
    </w:p>
    <w:p w:rsidR="00E51BF1" w:rsidRDefault="00C34325"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Per quanto riguarda </w:t>
      </w:r>
      <w:r w:rsidR="00E51BF1">
        <w:rPr>
          <w:rFonts w:ascii="Times New Roman" w:hAnsi="Times New Roman"/>
          <w:color w:val="0F243E" w:themeColor="text2" w:themeShade="80"/>
          <w:sz w:val="26"/>
          <w:szCs w:val="26"/>
        </w:rPr>
        <w:t xml:space="preserve">i </w:t>
      </w:r>
      <w:r w:rsidR="004F4325">
        <w:rPr>
          <w:rFonts w:ascii="Times New Roman" w:hAnsi="Times New Roman"/>
          <w:color w:val="0F243E" w:themeColor="text2" w:themeShade="80"/>
          <w:sz w:val="26"/>
          <w:szCs w:val="26"/>
        </w:rPr>
        <w:t xml:space="preserve">possibili </w:t>
      </w:r>
      <w:r w:rsidR="00E51BF1">
        <w:rPr>
          <w:rFonts w:ascii="Times New Roman" w:hAnsi="Times New Roman"/>
          <w:color w:val="0F243E" w:themeColor="text2" w:themeShade="80"/>
          <w:sz w:val="26"/>
          <w:szCs w:val="26"/>
        </w:rPr>
        <w:t>contenuti degli interventi regolatori in ambiti riferiti tanto ai settori ordinari quanto a quelli speciali, il significato del criterio di delega non è univoco.</w:t>
      </w:r>
    </w:p>
    <w:p w:rsidR="00E51BF1" w:rsidRDefault="007D42AC"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Si fronteggiano, infatti due visioni diverse dei settori speciali, che riflettono</w:t>
      </w:r>
      <w:r w:rsidR="004F4325">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probabilmente</w:t>
      </w:r>
      <w:r w:rsidR="004F4325">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le ambiguità di tali mercati e </w:t>
      </w:r>
      <w:r w:rsidR="004F4325">
        <w:rPr>
          <w:rFonts w:ascii="Times New Roman" w:hAnsi="Times New Roman"/>
          <w:color w:val="0F243E" w:themeColor="text2" w:themeShade="80"/>
          <w:sz w:val="26"/>
          <w:szCs w:val="26"/>
        </w:rPr>
        <w:t>del</w:t>
      </w:r>
      <w:r>
        <w:rPr>
          <w:rFonts w:ascii="Times New Roman" w:hAnsi="Times New Roman"/>
          <w:color w:val="0F243E" w:themeColor="text2" w:themeShade="80"/>
          <w:sz w:val="26"/>
          <w:szCs w:val="26"/>
        </w:rPr>
        <w:t>la loro trasformazione</w:t>
      </w:r>
      <w:r w:rsidR="00564D9D">
        <w:rPr>
          <w:rFonts w:ascii="Times New Roman" w:hAnsi="Times New Roman"/>
          <w:color w:val="0F243E" w:themeColor="text2" w:themeShade="80"/>
          <w:sz w:val="26"/>
          <w:szCs w:val="26"/>
        </w:rPr>
        <w:t xml:space="preserve"> in atto</w:t>
      </w:r>
      <w:r>
        <w:rPr>
          <w:rFonts w:ascii="Times New Roman" w:hAnsi="Times New Roman"/>
          <w:color w:val="0F243E" w:themeColor="text2" w:themeShade="80"/>
          <w:sz w:val="26"/>
          <w:szCs w:val="26"/>
        </w:rPr>
        <w:t>.</w:t>
      </w:r>
    </w:p>
    <w:p w:rsidR="007D42AC" w:rsidRDefault="007D42AC" w:rsidP="00564D9D">
      <w:pPr>
        <w:pStyle w:val="Paragrafoelenco"/>
        <w:numPr>
          <w:ilvl w:val="0"/>
          <w:numId w:val="27"/>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Da una parte, si vorrebbe valorizzare l’</w:t>
      </w:r>
      <w:r w:rsidR="00564D9D">
        <w:rPr>
          <w:rFonts w:ascii="Times New Roman" w:hAnsi="Times New Roman"/>
          <w:color w:val="0F243E" w:themeColor="text2" w:themeShade="80"/>
          <w:sz w:val="26"/>
          <w:szCs w:val="26"/>
        </w:rPr>
        <w:t>i</w:t>
      </w:r>
      <w:r>
        <w:rPr>
          <w:rFonts w:ascii="Times New Roman" w:hAnsi="Times New Roman"/>
          <w:color w:val="0F243E" w:themeColor="text2" w:themeShade="80"/>
          <w:sz w:val="26"/>
          <w:szCs w:val="26"/>
        </w:rPr>
        <w:t>dea della uniformità e della semplificazione. Pertanto, le LG non dovrebbero mai prevedere regimi differenziati per i settori ordinari e per quelli speciali, a meno che ciò non sia stabilito dalla norma primaria.</w:t>
      </w:r>
    </w:p>
    <w:p w:rsidR="007D42AC" w:rsidRDefault="007D42AC" w:rsidP="00564D9D">
      <w:pPr>
        <w:pStyle w:val="Paragrafoelenco"/>
        <w:numPr>
          <w:ilvl w:val="0"/>
          <w:numId w:val="27"/>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Dall’altro lato, la </w:t>
      </w:r>
      <w:r w:rsidRPr="004F4325">
        <w:rPr>
          <w:rFonts w:ascii="Times New Roman" w:hAnsi="Times New Roman"/>
          <w:i/>
          <w:color w:val="0F243E" w:themeColor="text2" w:themeShade="80"/>
          <w:sz w:val="26"/>
          <w:szCs w:val="26"/>
        </w:rPr>
        <w:t>differenziazione</w:t>
      </w:r>
      <w:r>
        <w:rPr>
          <w:rFonts w:ascii="Times New Roman" w:hAnsi="Times New Roman"/>
          <w:color w:val="0F243E" w:themeColor="text2" w:themeShade="80"/>
          <w:sz w:val="26"/>
          <w:szCs w:val="26"/>
        </w:rPr>
        <w:t xml:space="preserve"> dei mercati cara</w:t>
      </w:r>
      <w:r w:rsidR="00564D9D">
        <w:rPr>
          <w:rFonts w:ascii="Times New Roman" w:hAnsi="Times New Roman"/>
          <w:color w:val="0F243E" w:themeColor="text2" w:themeShade="80"/>
          <w:sz w:val="26"/>
          <w:szCs w:val="26"/>
        </w:rPr>
        <w:t>tterizzanti i settori speciali pot</w:t>
      </w:r>
      <w:r>
        <w:rPr>
          <w:rFonts w:ascii="Times New Roman" w:hAnsi="Times New Roman"/>
          <w:color w:val="0F243E" w:themeColor="text2" w:themeShade="80"/>
          <w:sz w:val="26"/>
          <w:szCs w:val="26"/>
        </w:rPr>
        <w:t xml:space="preserve">rebbe giustificare e incoraggiare la previsione di regole </w:t>
      </w:r>
      <w:r w:rsidRPr="00BD3660">
        <w:rPr>
          <w:rFonts w:ascii="Times New Roman" w:hAnsi="Times New Roman"/>
          <w:i/>
          <w:color w:val="0F243E" w:themeColor="text2" w:themeShade="80"/>
          <w:sz w:val="26"/>
          <w:szCs w:val="26"/>
        </w:rPr>
        <w:t>ad hoc</w:t>
      </w:r>
      <w:r>
        <w:rPr>
          <w:rFonts w:ascii="Times New Roman" w:hAnsi="Times New Roman"/>
          <w:color w:val="0F243E" w:themeColor="text2" w:themeShade="80"/>
          <w:sz w:val="26"/>
          <w:szCs w:val="26"/>
        </w:rPr>
        <w:t>, in conformità al principio di flessibilità orizzontale.</w:t>
      </w:r>
    </w:p>
    <w:p w:rsidR="00E51BF1" w:rsidRDefault="007D42AC"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Un‘ipotesi ricostruttiva intermedia intende distinguere due situazioni diverse. Il codice, infatti, può stabilire, alternativamente:</w:t>
      </w:r>
    </w:p>
    <w:p w:rsidR="007D42AC" w:rsidRDefault="007D42AC" w:rsidP="00C76E48">
      <w:pPr>
        <w:pStyle w:val="Paragrafoelenco"/>
        <w:numPr>
          <w:ilvl w:val="0"/>
          <w:numId w:val="28"/>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L’incondizionata applicazione di disposizioni previste per i settori ordinari;</w:t>
      </w:r>
    </w:p>
    <w:p w:rsidR="007D42AC" w:rsidRDefault="007D42AC" w:rsidP="00C76E48">
      <w:pPr>
        <w:pStyle w:val="Paragrafoelenco"/>
        <w:numPr>
          <w:ilvl w:val="0"/>
          <w:numId w:val="28"/>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L’applicazione delle norme ordinarie solo “</w:t>
      </w:r>
      <w:r w:rsidRPr="00BD3660">
        <w:rPr>
          <w:rFonts w:ascii="Times New Roman" w:hAnsi="Times New Roman"/>
          <w:i/>
          <w:color w:val="0F243E" w:themeColor="text2" w:themeShade="80"/>
          <w:sz w:val="26"/>
          <w:szCs w:val="26"/>
        </w:rPr>
        <w:t>in quanto compatibili</w:t>
      </w:r>
      <w:r>
        <w:rPr>
          <w:rFonts w:ascii="Times New Roman" w:hAnsi="Times New Roman"/>
          <w:color w:val="0F243E" w:themeColor="text2" w:themeShade="80"/>
          <w:sz w:val="26"/>
          <w:szCs w:val="26"/>
        </w:rPr>
        <w:t>”.</w:t>
      </w:r>
      <w:r w:rsidR="00C76E48">
        <w:rPr>
          <w:rFonts w:ascii="Times New Roman" w:hAnsi="Times New Roman"/>
          <w:color w:val="0F243E" w:themeColor="text2" w:themeShade="80"/>
          <w:sz w:val="26"/>
          <w:szCs w:val="26"/>
        </w:rPr>
        <w:t xml:space="preserve"> Questa ipotesi è di notevole ampiezza, perché riguarda, fra l’altro, tutti gli articoli da 1 a 58.</w:t>
      </w:r>
    </w:p>
    <w:p w:rsidR="007D42AC" w:rsidRDefault="007D42AC" w:rsidP="007D42A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Nel primo caso, la differenziazione incentrata sul carattere ordinario o speciale del settore non pare </w:t>
      </w:r>
      <w:r w:rsidR="00564D9D">
        <w:rPr>
          <w:rFonts w:ascii="Times New Roman" w:hAnsi="Times New Roman"/>
          <w:color w:val="0F243E" w:themeColor="text2" w:themeShade="80"/>
          <w:sz w:val="26"/>
          <w:szCs w:val="26"/>
        </w:rPr>
        <w:t xml:space="preserve">di per sé </w:t>
      </w:r>
      <w:r>
        <w:rPr>
          <w:rFonts w:ascii="Times New Roman" w:hAnsi="Times New Roman"/>
          <w:color w:val="0F243E" w:themeColor="text2" w:themeShade="80"/>
          <w:sz w:val="26"/>
          <w:szCs w:val="26"/>
        </w:rPr>
        <w:t>sufficiente per giustifica</w:t>
      </w:r>
      <w:r w:rsidR="00564D9D">
        <w:rPr>
          <w:rFonts w:ascii="Times New Roman" w:hAnsi="Times New Roman"/>
          <w:color w:val="0F243E" w:themeColor="text2" w:themeShade="80"/>
          <w:sz w:val="26"/>
          <w:szCs w:val="26"/>
        </w:rPr>
        <w:t>re LG dal contenuto disomogeneo.</w:t>
      </w:r>
    </w:p>
    <w:p w:rsidR="00715FF0" w:rsidRPr="007D42AC" w:rsidRDefault="00715FF0" w:rsidP="007D42A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Nel secondo caso, invece, l’ANAC p</w:t>
      </w:r>
      <w:r w:rsidR="00387556">
        <w:rPr>
          <w:rFonts w:ascii="Times New Roman" w:hAnsi="Times New Roman"/>
          <w:color w:val="0F243E" w:themeColor="text2" w:themeShade="80"/>
          <w:sz w:val="26"/>
          <w:szCs w:val="26"/>
        </w:rPr>
        <w:t>otrebbe e dovrebbe</w:t>
      </w:r>
      <w:r>
        <w:rPr>
          <w:rFonts w:ascii="Times New Roman" w:hAnsi="Times New Roman"/>
          <w:color w:val="0F243E" w:themeColor="text2" w:themeShade="80"/>
          <w:sz w:val="26"/>
          <w:szCs w:val="26"/>
        </w:rPr>
        <w:t xml:space="preserve"> indicare gli eventuali elementi di </w:t>
      </w:r>
      <w:r w:rsidRPr="00BD3660">
        <w:rPr>
          <w:rFonts w:ascii="Times New Roman" w:hAnsi="Times New Roman"/>
          <w:i/>
          <w:color w:val="0F243E" w:themeColor="text2" w:themeShade="80"/>
          <w:sz w:val="26"/>
          <w:szCs w:val="26"/>
        </w:rPr>
        <w:t>distinzione</w:t>
      </w:r>
      <w:r>
        <w:rPr>
          <w:rFonts w:ascii="Times New Roman" w:hAnsi="Times New Roman"/>
          <w:color w:val="0F243E" w:themeColor="text2" w:themeShade="80"/>
          <w:sz w:val="26"/>
          <w:szCs w:val="26"/>
        </w:rPr>
        <w:t xml:space="preserve"> che sorregge la scelta di uniformare o di</w:t>
      </w:r>
      <w:r w:rsidR="007A6DEB">
        <w:rPr>
          <w:rFonts w:ascii="Times New Roman" w:hAnsi="Times New Roman"/>
          <w:color w:val="0F243E" w:themeColor="text2" w:themeShade="80"/>
          <w:sz w:val="26"/>
          <w:szCs w:val="26"/>
        </w:rPr>
        <w:t>s</w:t>
      </w:r>
      <w:r>
        <w:rPr>
          <w:rFonts w:ascii="Times New Roman" w:hAnsi="Times New Roman"/>
          <w:color w:val="0F243E" w:themeColor="text2" w:themeShade="80"/>
          <w:sz w:val="26"/>
          <w:szCs w:val="26"/>
        </w:rPr>
        <w:t>tinguere la disciplina attuativa del codice.</w:t>
      </w:r>
    </w:p>
    <w:p w:rsidR="00A71157" w:rsidRPr="00A71157" w:rsidRDefault="00A71157" w:rsidP="00A71157">
      <w:pPr>
        <w:tabs>
          <w:tab w:val="left" w:pos="0"/>
        </w:tabs>
        <w:rPr>
          <w:rFonts w:ascii="Times New Roman" w:hAnsi="Times New Roman"/>
          <w:color w:val="0F243E" w:themeColor="text2" w:themeShade="80"/>
          <w:sz w:val="26"/>
          <w:szCs w:val="26"/>
        </w:rPr>
      </w:pPr>
      <w:r w:rsidRPr="00A71157">
        <w:rPr>
          <w:rFonts w:ascii="Times New Roman" w:hAnsi="Times New Roman"/>
          <w:color w:val="0F243E" w:themeColor="text2" w:themeShade="80"/>
          <w:sz w:val="26"/>
          <w:szCs w:val="26"/>
        </w:rPr>
        <w:t>Come efficacemente sottolineato dalla Commissione</w:t>
      </w:r>
      <w:r>
        <w:rPr>
          <w:rFonts w:ascii="Times New Roman" w:hAnsi="Times New Roman"/>
          <w:color w:val="0F243E" w:themeColor="text2" w:themeShade="80"/>
          <w:sz w:val="26"/>
          <w:szCs w:val="26"/>
        </w:rPr>
        <w:t xml:space="preserve"> </w:t>
      </w:r>
      <w:r w:rsidRPr="00A71157">
        <w:rPr>
          <w:rFonts w:ascii="Times New Roman" w:hAnsi="Times New Roman"/>
          <w:color w:val="0F243E" w:themeColor="text2" w:themeShade="80"/>
          <w:sz w:val="26"/>
          <w:szCs w:val="26"/>
        </w:rPr>
        <w:t>Speciale del Consiglio di Stato nel parere del</w:t>
      </w:r>
      <w:r>
        <w:rPr>
          <w:rFonts w:ascii="Times New Roman" w:hAnsi="Times New Roman"/>
          <w:color w:val="0F243E" w:themeColor="text2" w:themeShade="80"/>
          <w:sz w:val="26"/>
          <w:szCs w:val="26"/>
        </w:rPr>
        <w:t xml:space="preserve"> </w:t>
      </w:r>
      <w:r w:rsidRPr="00A71157">
        <w:rPr>
          <w:rFonts w:ascii="Times New Roman" w:hAnsi="Times New Roman"/>
          <w:color w:val="0F243E" w:themeColor="text2" w:themeShade="80"/>
          <w:sz w:val="26"/>
          <w:szCs w:val="26"/>
        </w:rPr>
        <w:t>21 marzo 2016, “il codice (...) individua, per i settori</w:t>
      </w:r>
      <w:r>
        <w:rPr>
          <w:rFonts w:ascii="Times New Roman" w:hAnsi="Times New Roman"/>
          <w:color w:val="0F243E" w:themeColor="text2" w:themeShade="80"/>
          <w:sz w:val="26"/>
          <w:szCs w:val="26"/>
        </w:rPr>
        <w:t xml:space="preserve"> </w:t>
      </w:r>
      <w:r w:rsidRPr="00A71157">
        <w:rPr>
          <w:rFonts w:ascii="Times New Roman" w:hAnsi="Times New Roman"/>
          <w:color w:val="0F243E" w:themeColor="text2" w:themeShade="80"/>
          <w:sz w:val="26"/>
          <w:szCs w:val="26"/>
        </w:rPr>
        <w:t>speciali, la disciplina applicabile con una triplice</w:t>
      </w:r>
      <w:r>
        <w:rPr>
          <w:rFonts w:ascii="Times New Roman" w:hAnsi="Times New Roman"/>
          <w:color w:val="0F243E" w:themeColor="text2" w:themeShade="80"/>
          <w:sz w:val="26"/>
          <w:szCs w:val="26"/>
        </w:rPr>
        <w:t xml:space="preserve"> </w:t>
      </w:r>
      <w:r w:rsidRPr="00A71157">
        <w:rPr>
          <w:rFonts w:ascii="Times New Roman" w:hAnsi="Times New Roman"/>
          <w:color w:val="0F243E" w:themeColor="text2" w:themeShade="80"/>
          <w:sz w:val="26"/>
          <w:szCs w:val="26"/>
        </w:rPr>
        <w:t>tecnica:</w:t>
      </w:r>
    </w:p>
    <w:p w:rsidR="00A71157" w:rsidRPr="00A71157" w:rsidRDefault="00A71157" w:rsidP="00A71157">
      <w:pPr>
        <w:tabs>
          <w:tab w:val="left" w:pos="0"/>
        </w:tabs>
        <w:rPr>
          <w:rFonts w:ascii="Times New Roman" w:hAnsi="Times New Roman"/>
          <w:color w:val="0F243E" w:themeColor="text2" w:themeShade="80"/>
          <w:sz w:val="26"/>
          <w:szCs w:val="26"/>
        </w:rPr>
      </w:pPr>
      <w:r w:rsidRPr="00A71157">
        <w:rPr>
          <w:rFonts w:ascii="Times New Roman" w:hAnsi="Times New Roman"/>
          <w:color w:val="0F243E" w:themeColor="text2" w:themeShade="80"/>
          <w:sz w:val="26"/>
          <w:szCs w:val="26"/>
        </w:rPr>
        <w:t>- la inclusione, già nella parte generale, di disposizioni</w:t>
      </w:r>
      <w:r>
        <w:rPr>
          <w:rFonts w:ascii="Times New Roman" w:hAnsi="Times New Roman"/>
          <w:color w:val="0F243E" w:themeColor="text2" w:themeShade="80"/>
          <w:sz w:val="26"/>
          <w:szCs w:val="26"/>
        </w:rPr>
        <w:t xml:space="preserve"> </w:t>
      </w:r>
      <w:r w:rsidRPr="00A71157">
        <w:rPr>
          <w:rFonts w:ascii="Times New Roman" w:hAnsi="Times New Roman"/>
          <w:color w:val="0F243E" w:themeColor="text2" w:themeShade="80"/>
          <w:sz w:val="26"/>
          <w:szCs w:val="26"/>
        </w:rPr>
        <w:t>specifiche per i settori speciali;</w:t>
      </w:r>
    </w:p>
    <w:p w:rsidR="00A71157" w:rsidRPr="00A71157" w:rsidRDefault="00A71157" w:rsidP="00A71157">
      <w:pPr>
        <w:tabs>
          <w:tab w:val="left" w:pos="0"/>
        </w:tabs>
        <w:rPr>
          <w:rFonts w:ascii="Times New Roman" w:hAnsi="Times New Roman"/>
          <w:color w:val="0F243E" w:themeColor="text2" w:themeShade="80"/>
          <w:sz w:val="26"/>
          <w:szCs w:val="26"/>
        </w:rPr>
      </w:pPr>
      <w:r w:rsidRPr="00A71157">
        <w:rPr>
          <w:rFonts w:ascii="Times New Roman" w:hAnsi="Times New Roman"/>
          <w:color w:val="0F243E" w:themeColor="text2" w:themeShade="80"/>
          <w:sz w:val="26"/>
          <w:szCs w:val="26"/>
        </w:rPr>
        <w:t>- la ricognizione delle disposizioni applicabili, dettate</w:t>
      </w:r>
      <w:r>
        <w:rPr>
          <w:rFonts w:ascii="Times New Roman" w:hAnsi="Times New Roman"/>
          <w:color w:val="0F243E" w:themeColor="text2" w:themeShade="80"/>
          <w:sz w:val="26"/>
          <w:szCs w:val="26"/>
        </w:rPr>
        <w:t xml:space="preserve"> </w:t>
      </w:r>
      <w:r w:rsidRPr="00A71157">
        <w:rPr>
          <w:rFonts w:ascii="Times New Roman" w:hAnsi="Times New Roman"/>
          <w:color w:val="0F243E" w:themeColor="text2" w:themeShade="80"/>
          <w:sz w:val="26"/>
          <w:szCs w:val="26"/>
        </w:rPr>
        <w:t>per i settori ordinari;</w:t>
      </w:r>
    </w:p>
    <w:p w:rsidR="00E51BF1" w:rsidRDefault="00A71157" w:rsidP="00A71157">
      <w:pPr>
        <w:tabs>
          <w:tab w:val="left" w:pos="0"/>
        </w:tabs>
        <w:rPr>
          <w:rFonts w:ascii="Times New Roman" w:hAnsi="Times New Roman"/>
          <w:color w:val="0F243E" w:themeColor="text2" w:themeShade="80"/>
          <w:sz w:val="26"/>
          <w:szCs w:val="26"/>
        </w:rPr>
      </w:pPr>
      <w:r w:rsidRPr="00A71157">
        <w:rPr>
          <w:rFonts w:ascii="Times New Roman" w:hAnsi="Times New Roman"/>
          <w:color w:val="0F243E" w:themeColor="text2" w:themeShade="80"/>
          <w:sz w:val="26"/>
          <w:szCs w:val="26"/>
        </w:rPr>
        <w:t>- le disposizioni specifiche”.</w:t>
      </w:r>
    </w:p>
    <w:p w:rsidR="00A71157" w:rsidRPr="00083223" w:rsidRDefault="00A71157" w:rsidP="00A71157">
      <w:pPr>
        <w:tabs>
          <w:tab w:val="left" w:pos="0"/>
        </w:tabs>
        <w:rPr>
          <w:rFonts w:ascii="Times New Roman" w:hAnsi="Times New Roman"/>
          <w:color w:val="0F243E" w:themeColor="text2" w:themeShade="80"/>
          <w:sz w:val="26"/>
          <w:szCs w:val="26"/>
        </w:rPr>
      </w:pPr>
      <w:r w:rsidRPr="00083223">
        <w:rPr>
          <w:rFonts w:ascii="Times New Roman" w:hAnsi="Times New Roman"/>
          <w:color w:val="0F243E" w:themeColor="text2" w:themeShade="80"/>
          <w:sz w:val="26"/>
          <w:szCs w:val="26"/>
        </w:rPr>
        <w:t>Va, poi, dato conto della soppressione della facoltà</w:t>
      </w:r>
      <w:r w:rsidR="00083223">
        <w:rPr>
          <w:rFonts w:ascii="Times New Roman" w:hAnsi="Times New Roman"/>
          <w:color w:val="0F243E" w:themeColor="text2" w:themeShade="80"/>
          <w:sz w:val="26"/>
          <w:szCs w:val="26"/>
        </w:rPr>
        <w:t xml:space="preserve"> generale,</w:t>
      </w:r>
      <w:r w:rsidRPr="00083223">
        <w:rPr>
          <w:rFonts w:ascii="Times New Roman" w:hAnsi="Times New Roman"/>
          <w:color w:val="0F243E" w:themeColor="text2" w:themeShade="80"/>
          <w:sz w:val="26"/>
          <w:szCs w:val="26"/>
        </w:rPr>
        <w:t xml:space="preserve"> in capo agli enti aggiudicatori</w:t>
      </w:r>
      <w:r w:rsidR="00083223">
        <w:rPr>
          <w:rFonts w:ascii="Times New Roman" w:hAnsi="Times New Roman"/>
          <w:color w:val="0F243E" w:themeColor="text2" w:themeShade="80"/>
          <w:sz w:val="26"/>
          <w:szCs w:val="26"/>
        </w:rPr>
        <w:t xml:space="preserve"> nei settori speciali,</w:t>
      </w:r>
      <w:r w:rsidRPr="00083223">
        <w:rPr>
          <w:rFonts w:ascii="Times New Roman" w:hAnsi="Times New Roman"/>
          <w:color w:val="0F243E" w:themeColor="text2" w:themeShade="80"/>
          <w:sz w:val="26"/>
          <w:szCs w:val="26"/>
        </w:rPr>
        <w:t xml:space="preserve"> di optare per l’applicazione, su base volontaria, delle disposizioni dettate per i settori ordinari, secondo quanto già previsto dall’art. 206, comma 3, del D.Lgs. n. 163/2006 (“</w:t>
      </w:r>
      <w:r w:rsidRPr="00083223">
        <w:rPr>
          <w:rFonts w:ascii="Times New Roman" w:hAnsi="Times New Roman"/>
          <w:i/>
          <w:color w:val="0F243E" w:themeColor="text2" w:themeShade="80"/>
          <w:sz w:val="26"/>
          <w:szCs w:val="26"/>
        </w:rPr>
        <w:t>nel rispetto del principio di proporzionalità, gli enti aggiudicatori possono applicare altre disposizioni della parte II, alla cui osservanza non sono obbligati in base al presente articolo, indicandolo nell’avviso con cui si indice la gara, ovvero, nelle procedure in cui manchi l’avviso con cui si indice la gara, nell’invito a presentare un’offerta</w:t>
      </w:r>
      <w:r w:rsidR="00657F94">
        <w:rPr>
          <w:rFonts w:ascii="Times New Roman" w:hAnsi="Times New Roman"/>
          <w:color w:val="0F243E" w:themeColor="text2" w:themeShade="80"/>
          <w:sz w:val="26"/>
          <w:szCs w:val="26"/>
        </w:rPr>
        <w:t>”), e nel</w:t>
      </w:r>
      <w:r w:rsidRPr="00083223">
        <w:rPr>
          <w:rFonts w:ascii="Times New Roman" w:hAnsi="Times New Roman"/>
          <w:color w:val="0F243E" w:themeColor="text2" w:themeShade="80"/>
          <w:sz w:val="26"/>
          <w:szCs w:val="26"/>
        </w:rPr>
        <w:t>l’art. 339, comma 2, d.P.R. n. 207/2010 (“</w:t>
      </w:r>
      <w:r w:rsidRPr="00657F94">
        <w:rPr>
          <w:rFonts w:ascii="Times New Roman" w:hAnsi="Times New Roman"/>
          <w:i/>
          <w:color w:val="0F243E" w:themeColor="text2" w:themeShade="80"/>
          <w:sz w:val="26"/>
          <w:szCs w:val="26"/>
        </w:rPr>
        <w:t>gli enti aggiudicatori hanno comunque facoltà di applicare, nel rispetto dei principi di proporzionalità e adeguatezza, le disposizioni del presente regolamento diverse da quelle elencate al comma 1, con apposita previsione contrattuale dandone preventiva comunicazione nell’avviso con cui si indice la gara o nell’invito a presentare offerta</w:t>
      </w:r>
      <w:r w:rsidRPr="00083223">
        <w:rPr>
          <w:rFonts w:ascii="Times New Roman" w:hAnsi="Times New Roman"/>
          <w:color w:val="0F243E" w:themeColor="text2" w:themeShade="80"/>
          <w:sz w:val="26"/>
          <w:szCs w:val="26"/>
        </w:rPr>
        <w:t>”).</w:t>
      </w:r>
    </w:p>
    <w:p w:rsidR="00A71157" w:rsidRPr="00083223" w:rsidRDefault="00A71157" w:rsidP="00A71157">
      <w:pPr>
        <w:tabs>
          <w:tab w:val="left" w:pos="0"/>
        </w:tabs>
        <w:rPr>
          <w:rFonts w:ascii="Times New Roman" w:hAnsi="Times New Roman"/>
          <w:color w:val="0F243E" w:themeColor="text2" w:themeShade="80"/>
          <w:sz w:val="26"/>
          <w:szCs w:val="26"/>
        </w:rPr>
      </w:pPr>
      <w:r w:rsidRPr="00083223">
        <w:rPr>
          <w:rFonts w:ascii="Times New Roman" w:hAnsi="Times New Roman"/>
          <w:color w:val="0F243E" w:themeColor="text2" w:themeShade="80"/>
          <w:sz w:val="26"/>
          <w:szCs w:val="26"/>
        </w:rPr>
        <w:t xml:space="preserve">Il venir meno di tale possibilità pare doversi correlare al divieto di </w:t>
      </w:r>
      <w:r w:rsidRPr="00657F94">
        <w:rPr>
          <w:rFonts w:ascii="Times New Roman" w:hAnsi="Times New Roman"/>
          <w:i/>
          <w:color w:val="0F243E" w:themeColor="text2" w:themeShade="80"/>
          <w:sz w:val="26"/>
          <w:szCs w:val="26"/>
        </w:rPr>
        <w:t>gold plating</w:t>
      </w:r>
      <w:r w:rsidR="00657F94">
        <w:rPr>
          <w:rFonts w:ascii="Times New Roman" w:hAnsi="Times New Roman"/>
          <w:color w:val="0F243E" w:themeColor="text2" w:themeShade="80"/>
          <w:sz w:val="26"/>
          <w:szCs w:val="26"/>
        </w:rPr>
        <w:t xml:space="preserve"> contenuto nel</w:t>
      </w:r>
      <w:r w:rsidRPr="00083223">
        <w:rPr>
          <w:rFonts w:ascii="Times New Roman" w:hAnsi="Times New Roman"/>
          <w:color w:val="0F243E" w:themeColor="text2" w:themeShade="80"/>
          <w:sz w:val="26"/>
          <w:szCs w:val="26"/>
        </w:rPr>
        <w:t>la legge delega</w:t>
      </w:r>
      <w:r w:rsidR="00657F94">
        <w:rPr>
          <w:rFonts w:ascii="Times New Roman" w:hAnsi="Times New Roman"/>
          <w:color w:val="0F243E" w:themeColor="text2" w:themeShade="80"/>
          <w:sz w:val="26"/>
          <w:szCs w:val="26"/>
        </w:rPr>
        <w:t>,</w:t>
      </w:r>
      <w:r w:rsidRPr="00083223">
        <w:rPr>
          <w:rFonts w:ascii="Times New Roman" w:hAnsi="Times New Roman"/>
          <w:color w:val="0F243E" w:themeColor="text2" w:themeShade="80"/>
          <w:sz w:val="26"/>
          <w:szCs w:val="26"/>
        </w:rPr>
        <w:t xml:space="preserve"> ossia al “</w:t>
      </w:r>
      <w:r w:rsidRPr="00657F94">
        <w:rPr>
          <w:rFonts w:ascii="Times New Roman" w:hAnsi="Times New Roman"/>
          <w:i/>
          <w:color w:val="0F243E" w:themeColor="text2" w:themeShade="80"/>
          <w:sz w:val="26"/>
          <w:szCs w:val="26"/>
        </w:rPr>
        <w:t>divieto di introduzione o di mantenimento di livelli regolazione superiori a quelli minimi richiesti dalle direttive, come definiti dall’articolo 14, commi 24- ter e 24-quater, della legge 28 novembre 2005, n. 246</w:t>
      </w:r>
      <w:r w:rsidRPr="00083223">
        <w:rPr>
          <w:rFonts w:ascii="Times New Roman" w:hAnsi="Times New Roman"/>
          <w:color w:val="0F243E" w:themeColor="text2" w:themeShade="80"/>
          <w:sz w:val="26"/>
          <w:szCs w:val="26"/>
        </w:rPr>
        <w:t>”.</w:t>
      </w:r>
    </w:p>
    <w:p w:rsidR="00A71157" w:rsidRPr="00083223" w:rsidRDefault="00A71157" w:rsidP="00A71157">
      <w:pPr>
        <w:tabs>
          <w:tab w:val="left" w:pos="0"/>
        </w:tabs>
        <w:rPr>
          <w:rFonts w:ascii="Times New Roman" w:hAnsi="Times New Roman"/>
          <w:color w:val="0F243E" w:themeColor="text2" w:themeShade="80"/>
          <w:sz w:val="26"/>
          <w:szCs w:val="26"/>
        </w:rPr>
      </w:pPr>
      <w:r w:rsidRPr="00083223">
        <w:rPr>
          <w:rFonts w:ascii="Times New Roman" w:hAnsi="Times New Roman"/>
          <w:color w:val="0F243E" w:themeColor="text2" w:themeShade="80"/>
          <w:sz w:val="26"/>
          <w:szCs w:val="26"/>
        </w:rPr>
        <w:t xml:space="preserve">Così facendo, se da un lato si rende immune la disciplina dei settori speciali da eventuali dilatazioni del suo ‘normale’ campo di applicazione, dall’altro lato se ne compromette però significativamente la sua </w:t>
      </w:r>
      <w:r w:rsidRPr="00C67D2C">
        <w:rPr>
          <w:rFonts w:ascii="Times New Roman" w:hAnsi="Times New Roman"/>
          <w:i/>
          <w:color w:val="0F243E" w:themeColor="text2" w:themeShade="80"/>
          <w:sz w:val="26"/>
          <w:szCs w:val="26"/>
        </w:rPr>
        <w:t xml:space="preserve">flessibilità </w:t>
      </w:r>
      <w:r w:rsidRPr="00083223">
        <w:rPr>
          <w:rFonts w:ascii="Times New Roman" w:hAnsi="Times New Roman"/>
          <w:color w:val="0F243E" w:themeColor="text2" w:themeShade="80"/>
          <w:sz w:val="26"/>
          <w:szCs w:val="26"/>
        </w:rPr>
        <w:t>che, storicamente, l’ha sempre contraddistinta da quella dei settori ordinari.</w:t>
      </w:r>
    </w:p>
    <w:p w:rsidR="00464979" w:rsidRPr="009F4E0C" w:rsidRDefault="00464979" w:rsidP="00464979">
      <w:pPr>
        <w:pStyle w:val="Paragrafoelenco"/>
        <w:tabs>
          <w:tab w:val="left" w:pos="0"/>
        </w:tabs>
        <w:ind w:left="1353" w:firstLine="0"/>
        <w:rPr>
          <w:rFonts w:ascii="Times New Roman" w:hAnsi="Times New Roman"/>
          <w:smallCaps/>
          <w:color w:val="0F243E" w:themeColor="text2" w:themeShade="80"/>
          <w:sz w:val="26"/>
          <w:szCs w:val="26"/>
        </w:rPr>
      </w:pPr>
    </w:p>
    <w:p w:rsidR="00464979" w:rsidRPr="007C736B" w:rsidRDefault="007C736B" w:rsidP="00464979">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sidRPr="007C736B">
        <w:rPr>
          <w:rFonts w:ascii="Times New Roman" w:hAnsi="Times New Roman"/>
          <w:b/>
          <w:smallCaps/>
          <w:color w:val="0F243E" w:themeColor="text2" w:themeShade="80"/>
          <w:sz w:val="26"/>
          <w:szCs w:val="26"/>
        </w:rPr>
        <w:t xml:space="preserve">L’esercizio concreto dei poteri di regolazione flessibile. La scarsa incidenza quantitativa e qualitativa </w:t>
      </w:r>
      <w:r w:rsidR="00294895">
        <w:rPr>
          <w:rFonts w:ascii="Times New Roman" w:hAnsi="Times New Roman"/>
          <w:b/>
          <w:smallCaps/>
          <w:color w:val="0F243E" w:themeColor="text2" w:themeShade="80"/>
          <w:sz w:val="26"/>
          <w:szCs w:val="26"/>
        </w:rPr>
        <w:t xml:space="preserve">delle linee guida </w:t>
      </w:r>
      <w:r w:rsidRPr="007C736B">
        <w:rPr>
          <w:rFonts w:ascii="Times New Roman" w:hAnsi="Times New Roman"/>
          <w:b/>
          <w:smallCaps/>
          <w:color w:val="0F243E" w:themeColor="text2" w:themeShade="80"/>
          <w:sz w:val="26"/>
          <w:szCs w:val="26"/>
        </w:rPr>
        <w:t>nei settori speciali.</w:t>
      </w:r>
    </w:p>
    <w:p w:rsidR="002816D4" w:rsidRPr="00083223" w:rsidRDefault="002816D4" w:rsidP="00A71157">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Già da queste prime osservazioni emerge la sensazione che i settori speciali non siano particolarmente permeabili alla tecnica della </w:t>
      </w:r>
      <w:r w:rsidR="0021373D">
        <w:rPr>
          <w:rFonts w:ascii="Times New Roman" w:hAnsi="Times New Roman"/>
          <w:color w:val="0F243E" w:themeColor="text2" w:themeShade="80"/>
          <w:sz w:val="26"/>
          <w:szCs w:val="26"/>
        </w:rPr>
        <w:t>regolazione flessibile.</w:t>
      </w:r>
    </w:p>
    <w:p w:rsidR="006B47E5" w:rsidRDefault="001F060A"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Può essere utile, allora, dare conto</w:t>
      </w:r>
      <w:r w:rsidR="008608B9">
        <w:rPr>
          <w:rFonts w:ascii="Times New Roman" w:hAnsi="Times New Roman"/>
          <w:color w:val="0F243E" w:themeColor="text2" w:themeShade="80"/>
          <w:sz w:val="26"/>
          <w:szCs w:val="26"/>
        </w:rPr>
        <w:t xml:space="preserve"> anche</w:t>
      </w:r>
      <w:r>
        <w:rPr>
          <w:rFonts w:ascii="Times New Roman" w:hAnsi="Times New Roman"/>
          <w:color w:val="0F243E" w:themeColor="text2" w:themeShade="80"/>
          <w:sz w:val="26"/>
          <w:szCs w:val="26"/>
        </w:rPr>
        <w:t xml:space="preserve"> di quale sia stato, finora l’effettivo esercizio della regolazione</w:t>
      </w:r>
      <w:r w:rsidR="002816D4">
        <w:rPr>
          <w:rFonts w:ascii="Times New Roman" w:hAnsi="Times New Roman"/>
          <w:color w:val="0F243E" w:themeColor="text2" w:themeShade="80"/>
          <w:sz w:val="26"/>
          <w:szCs w:val="26"/>
        </w:rPr>
        <w:t xml:space="preserve"> flessibile intestata all’ANAC</w:t>
      </w:r>
      <w:r w:rsidR="008608B9">
        <w:rPr>
          <w:rFonts w:ascii="Times New Roman" w:hAnsi="Times New Roman"/>
          <w:color w:val="0F243E" w:themeColor="text2" w:themeShade="80"/>
          <w:sz w:val="26"/>
          <w:szCs w:val="26"/>
        </w:rPr>
        <w:t>,</w:t>
      </w:r>
      <w:r w:rsidR="002816D4">
        <w:rPr>
          <w:rFonts w:ascii="Times New Roman" w:hAnsi="Times New Roman"/>
          <w:color w:val="0F243E" w:themeColor="text2" w:themeShade="80"/>
          <w:sz w:val="26"/>
          <w:szCs w:val="26"/>
        </w:rPr>
        <w:t xml:space="preserve"> e</w:t>
      </w:r>
      <w:r>
        <w:rPr>
          <w:rFonts w:ascii="Times New Roman" w:hAnsi="Times New Roman"/>
          <w:color w:val="0F243E" w:themeColor="text2" w:themeShade="80"/>
          <w:sz w:val="26"/>
          <w:szCs w:val="26"/>
        </w:rPr>
        <w:t xml:space="preserve"> in quale modo essa abbia inciso partitamente sui settori speciali.</w:t>
      </w:r>
    </w:p>
    <w:p w:rsidR="004C2ACC" w:rsidRDefault="001F060A" w:rsidP="001F060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Al momento, risultano</w:t>
      </w:r>
      <w:r w:rsidR="004C2ACC">
        <w:rPr>
          <w:rFonts w:ascii="Times New Roman" w:hAnsi="Times New Roman"/>
          <w:color w:val="0F243E" w:themeColor="text2" w:themeShade="80"/>
          <w:sz w:val="26"/>
          <w:szCs w:val="26"/>
        </w:rPr>
        <w:t xml:space="preserve"> varati:</w:t>
      </w:r>
    </w:p>
    <w:p w:rsidR="00C67D2C" w:rsidRDefault="004C2ACC" w:rsidP="00C67D2C">
      <w:pPr>
        <w:pStyle w:val="Paragrafoelenco"/>
        <w:numPr>
          <w:ilvl w:val="0"/>
          <w:numId w:val="25"/>
        </w:numPr>
        <w:tabs>
          <w:tab w:val="left" w:pos="0"/>
        </w:tabs>
        <w:ind w:left="0" w:firstLine="709"/>
        <w:rPr>
          <w:rFonts w:ascii="Times New Roman" w:hAnsi="Times New Roman"/>
          <w:color w:val="0F243E" w:themeColor="text2" w:themeShade="80"/>
          <w:sz w:val="26"/>
          <w:szCs w:val="26"/>
        </w:rPr>
      </w:pPr>
      <w:r w:rsidRPr="00C67D2C">
        <w:rPr>
          <w:rFonts w:ascii="Times New Roman" w:hAnsi="Times New Roman"/>
          <w:color w:val="0F243E" w:themeColor="text2" w:themeShade="80"/>
          <w:sz w:val="26"/>
          <w:szCs w:val="26"/>
        </w:rPr>
        <w:t>un solo contratto tipo;</w:t>
      </w:r>
      <w:r w:rsidR="00C67D2C" w:rsidRPr="00C67D2C">
        <w:rPr>
          <w:rFonts w:ascii="Times New Roman" w:hAnsi="Times New Roman"/>
          <w:color w:val="0F243E" w:themeColor="text2" w:themeShade="80"/>
          <w:sz w:val="26"/>
          <w:szCs w:val="26"/>
        </w:rPr>
        <w:t xml:space="preserve"> </w:t>
      </w:r>
    </w:p>
    <w:p w:rsidR="00C67D2C" w:rsidRDefault="004C2ACC" w:rsidP="00C67D2C">
      <w:pPr>
        <w:pStyle w:val="Paragrafoelenco"/>
        <w:numPr>
          <w:ilvl w:val="0"/>
          <w:numId w:val="25"/>
        </w:numPr>
        <w:tabs>
          <w:tab w:val="left" w:pos="0"/>
        </w:tabs>
        <w:ind w:left="0" w:firstLine="709"/>
        <w:rPr>
          <w:rFonts w:ascii="Times New Roman" w:hAnsi="Times New Roman"/>
          <w:color w:val="0F243E" w:themeColor="text2" w:themeShade="80"/>
          <w:sz w:val="26"/>
          <w:szCs w:val="26"/>
        </w:rPr>
      </w:pPr>
      <w:r w:rsidRPr="00C67D2C">
        <w:rPr>
          <w:rFonts w:ascii="Times New Roman" w:hAnsi="Times New Roman"/>
          <w:color w:val="0F243E" w:themeColor="text2" w:themeShade="80"/>
          <w:sz w:val="26"/>
          <w:szCs w:val="26"/>
        </w:rPr>
        <w:t xml:space="preserve">8 linee guida, </w:t>
      </w:r>
      <w:r w:rsidR="001F060A" w:rsidRPr="00C67D2C">
        <w:rPr>
          <w:rFonts w:ascii="Times New Roman" w:hAnsi="Times New Roman"/>
          <w:color w:val="0F243E" w:themeColor="text2" w:themeShade="80"/>
          <w:sz w:val="26"/>
          <w:szCs w:val="26"/>
        </w:rPr>
        <w:t>al</w:t>
      </w:r>
      <w:r w:rsidRPr="00C67D2C">
        <w:rPr>
          <w:rFonts w:ascii="Times New Roman" w:hAnsi="Times New Roman"/>
          <w:color w:val="0F243E" w:themeColor="text2" w:themeShade="80"/>
          <w:sz w:val="26"/>
          <w:szCs w:val="26"/>
        </w:rPr>
        <w:t>cune delle quali già modificate;</w:t>
      </w:r>
      <w:r w:rsidR="00C67D2C" w:rsidRPr="00C67D2C">
        <w:rPr>
          <w:rFonts w:ascii="Times New Roman" w:hAnsi="Times New Roman"/>
          <w:color w:val="0F243E" w:themeColor="text2" w:themeShade="80"/>
          <w:sz w:val="26"/>
          <w:szCs w:val="26"/>
        </w:rPr>
        <w:t xml:space="preserve"> </w:t>
      </w:r>
    </w:p>
    <w:p w:rsidR="001F060A" w:rsidRPr="00C67D2C" w:rsidRDefault="004C2ACC" w:rsidP="00C67D2C">
      <w:pPr>
        <w:pStyle w:val="Paragrafoelenco"/>
        <w:numPr>
          <w:ilvl w:val="0"/>
          <w:numId w:val="25"/>
        </w:numPr>
        <w:tabs>
          <w:tab w:val="left" w:pos="0"/>
        </w:tabs>
        <w:ind w:left="0" w:firstLine="709"/>
        <w:rPr>
          <w:rFonts w:ascii="Times New Roman" w:hAnsi="Times New Roman"/>
          <w:color w:val="0F243E" w:themeColor="text2" w:themeShade="80"/>
          <w:sz w:val="26"/>
          <w:szCs w:val="26"/>
        </w:rPr>
      </w:pPr>
      <w:r w:rsidRPr="00C67D2C">
        <w:rPr>
          <w:rFonts w:ascii="Times New Roman" w:hAnsi="Times New Roman"/>
          <w:color w:val="0F243E" w:themeColor="text2" w:themeShade="80"/>
          <w:sz w:val="26"/>
          <w:szCs w:val="26"/>
        </w:rPr>
        <w:t>2 bandi tipo.</w:t>
      </w:r>
    </w:p>
    <w:p w:rsidR="004C2ACC" w:rsidRPr="002360E5" w:rsidRDefault="004C2ACC" w:rsidP="001F060A">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Questi sono, nel dettaglio, i provvedimenti, oggi vigenti, di regolazione flessibile.</w:t>
      </w:r>
    </w:p>
    <w:p w:rsidR="004C2ACC" w:rsidRPr="0056717F" w:rsidRDefault="004C2ACC" w:rsidP="004C2ACC">
      <w:pPr>
        <w:tabs>
          <w:tab w:val="left" w:pos="0"/>
        </w:tabs>
        <w:rPr>
          <w:rFonts w:ascii="Times New Roman" w:eastAsia="Times New Roman" w:hAnsi="Times New Roman"/>
          <w:bCs/>
          <w:i/>
          <w:color w:val="0F243E" w:themeColor="text2" w:themeShade="80"/>
          <w:sz w:val="26"/>
          <w:szCs w:val="26"/>
          <w:lang w:eastAsia="it-IT"/>
        </w:rPr>
      </w:pPr>
      <w:r w:rsidRPr="0056717F">
        <w:rPr>
          <w:rFonts w:ascii="Times New Roman" w:eastAsia="Times New Roman" w:hAnsi="Times New Roman"/>
          <w:bCs/>
          <w:i/>
          <w:color w:val="0F243E" w:themeColor="text2" w:themeShade="80"/>
          <w:sz w:val="26"/>
          <w:szCs w:val="26"/>
          <w:lang w:eastAsia="it-IT"/>
        </w:rPr>
        <w:t>Determinazione n. 618 del 08/06/2016, recante Linee guida operative e clausole contrattuali-tipo per l’affidamento di servizi assicurativi.</w:t>
      </w:r>
    </w:p>
    <w:p w:rsidR="001F060A" w:rsidRPr="0056717F" w:rsidRDefault="00AF20BD" w:rsidP="001F060A">
      <w:pPr>
        <w:pStyle w:val="NormaleWeb"/>
        <w:tabs>
          <w:tab w:val="left" w:pos="0"/>
        </w:tabs>
        <w:rPr>
          <w:i/>
          <w:color w:val="0F243E" w:themeColor="text2" w:themeShade="80"/>
          <w:sz w:val="26"/>
          <w:szCs w:val="26"/>
        </w:rPr>
      </w:pPr>
      <w:hyperlink r:id="rId8" w:history="1">
        <w:r w:rsidR="001F060A" w:rsidRPr="0056717F">
          <w:rPr>
            <w:rStyle w:val="Collegamentoipertestuale"/>
            <w:i/>
            <w:color w:val="0F243E" w:themeColor="text2" w:themeShade="80"/>
            <w:sz w:val="26"/>
            <w:szCs w:val="26"/>
            <w:u w:val="none"/>
          </w:rPr>
          <w:t>Linee Guida n. 1 - Indirizzi generali sull’affidamento dei servizi attinenti all’architettura e all’ingegneria</w:t>
        </w:r>
      </w:hyperlink>
      <w:r w:rsidR="001F060A" w:rsidRPr="0056717F">
        <w:rPr>
          <w:i/>
          <w:color w:val="0F243E" w:themeColor="text2" w:themeShade="80"/>
          <w:sz w:val="26"/>
          <w:szCs w:val="26"/>
        </w:rPr>
        <w:t>.</w:t>
      </w:r>
    </w:p>
    <w:p w:rsidR="001F060A" w:rsidRPr="0056717F" w:rsidRDefault="00AF20BD" w:rsidP="001F060A">
      <w:pPr>
        <w:pStyle w:val="NormaleWeb"/>
        <w:tabs>
          <w:tab w:val="left" w:pos="0"/>
        </w:tabs>
        <w:rPr>
          <w:i/>
          <w:color w:val="0F243E" w:themeColor="text2" w:themeShade="80"/>
          <w:sz w:val="26"/>
          <w:szCs w:val="26"/>
        </w:rPr>
      </w:pPr>
      <w:hyperlink r:id="rId9" w:history="1">
        <w:r w:rsidR="001F060A" w:rsidRPr="0056717F">
          <w:rPr>
            <w:rStyle w:val="Collegamentoipertestuale"/>
            <w:i/>
            <w:color w:val="0F243E" w:themeColor="text2" w:themeShade="80"/>
            <w:sz w:val="26"/>
            <w:szCs w:val="26"/>
            <w:u w:val="none"/>
          </w:rPr>
          <w:t>Linee Guida n. 2 - Offerta economicamente più vantaggiosa</w:t>
        </w:r>
      </w:hyperlink>
      <w:r w:rsidR="001F060A" w:rsidRPr="0056717F">
        <w:rPr>
          <w:i/>
          <w:color w:val="0F243E" w:themeColor="text2" w:themeShade="80"/>
          <w:sz w:val="26"/>
          <w:szCs w:val="26"/>
        </w:rPr>
        <w:t>.</w:t>
      </w:r>
    </w:p>
    <w:p w:rsidR="001F060A" w:rsidRPr="0056717F" w:rsidRDefault="00AF20BD" w:rsidP="001F060A">
      <w:pPr>
        <w:pStyle w:val="NormaleWeb"/>
        <w:tabs>
          <w:tab w:val="left" w:pos="0"/>
        </w:tabs>
        <w:rPr>
          <w:i/>
          <w:color w:val="0F243E" w:themeColor="text2" w:themeShade="80"/>
          <w:sz w:val="26"/>
          <w:szCs w:val="26"/>
        </w:rPr>
      </w:pPr>
      <w:hyperlink r:id="rId10" w:history="1">
        <w:r w:rsidR="001F060A" w:rsidRPr="0056717F">
          <w:rPr>
            <w:rStyle w:val="Collegamentoipertestuale"/>
            <w:i/>
            <w:color w:val="0F243E" w:themeColor="text2" w:themeShade="80"/>
            <w:sz w:val="26"/>
            <w:szCs w:val="26"/>
            <w:u w:val="none"/>
          </w:rPr>
          <w:t>Linee Guida n. 3 - Nomina, ruolo e compiti del responsabile unico del procedimento per l’affidamento di appalti e concessioni</w:t>
        </w:r>
      </w:hyperlink>
      <w:r w:rsidR="001F060A" w:rsidRPr="0056717F">
        <w:rPr>
          <w:i/>
          <w:color w:val="0F243E" w:themeColor="text2" w:themeShade="80"/>
          <w:sz w:val="26"/>
          <w:szCs w:val="26"/>
        </w:rPr>
        <w:t>.</w:t>
      </w:r>
    </w:p>
    <w:p w:rsidR="001F060A" w:rsidRPr="0056717F" w:rsidRDefault="00AF20BD" w:rsidP="001F060A">
      <w:pPr>
        <w:pStyle w:val="NormaleWeb"/>
        <w:tabs>
          <w:tab w:val="left" w:pos="0"/>
        </w:tabs>
        <w:rPr>
          <w:i/>
          <w:color w:val="0F243E" w:themeColor="text2" w:themeShade="80"/>
          <w:sz w:val="26"/>
          <w:szCs w:val="26"/>
        </w:rPr>
      </w:pPr>
      <w:hyperlink r:id="rId11" w:history="1">
        <w:r w:rsidR="001F060A" w:rsidRPr="0056717F">
          <w:rPr>
            <w:rStyle w:val="Collegamentoipertestuale"/>
            <w:i/>
            <w:color w:val="0F243E" w:themeColor="text2" w:themeShade="80"/>
            <w:sz w:val="26"/>
            <w:szCs w:val="26"/>
            <w:u w:val="none"/>
          </w:rPr>
          <w:t>Linee Guida n. 4 - Procedure per l’affidamento dei contratti pubblici di importo inferiore alle soglie di rilevanza comunitaria, indagini di mercato e formazione e gestione degli elenchi di operatori economici</w:t>
        </w:r>
      </w:hyperlink>
      <w:r w:rsidR="001F060A" w:rsidRPr="0056717F">
        <w:rPr>
          <w:i/>
          <w:color w:val="0F243E" w:themeColor="text2" w:themeShade="80"/>
          <w:sz w:val="26"/>
          <w:szCs w:val="26"/>
        </w:rPr>
        <w:t>.</w:t>
      </w:r>
    </w:p>
    <w:p w:rsidR="001F060A" w:rsidRPr="0056717F" w:rsidRDefault="00AF20BD" w:rsidP="001F060A">
      <w:pPr>
        <w:pStyle w:val="NormaleWeb"/>
        <w:tabs>
          <w:tab w:val="left" w:pos="0"/>
        </w:tabs>
        <w:rPr>
          <w:rStyle w:val="Collegamentoipertestuale"/>
          <w:i/>
          <w:color w:val="0F243E" w:themeColor="text2" w:themeShade="80"/>
          <w:sz w:val="26"/>
          <w:szCs w:val="26"/>
          <w:u w:val="none"/>
        </w:rPr>
      </w:pPr>
      <w:hyperlink r:id="rId12" w:history="1">
        <w:r w:rsidR="001F060A" w:rsidRPr="0056717F">
          <w:rPr>
            <w:rStyle w:val="Collegamentoipertestuale"/>
            <w:i/>
            <w:color w:val="0F243E" w:themeColor="text2" w:themeShade="80"/>
            <w:sz w:val="26"/>
            <w:szCs w:val="26"/>
            <w:u w:val="none"/>
          </w:rPr>
          <w:t>Linee Guida n. 5 - Criteri di scelta dei commissari di gara e di iscrizione degli esperti nell’Albo nazionale obbligatorio dei componenti delle commissioni giudicatrici</w:t>
        </w:r>
      </w:hyperlink>
      <w:r w:rsidR="001F060A" w:rsidRPr="0056717F">
        <w:rPr>
          <w:rStyle w:val="Collegamentoipertestuale"/>
          <w:i/>
          <w:color w:val="0F243E" w:themeColor="text2" w:themeShade="80"/>
          <w:sz w:val="26"/>
          <w:szCs w:val="26"/>
          <w:u w:val="none"/>
        </w:rPr>
        <w:t>.</w:t>
      </w:r>
    </w:p>
    <w:p w:rsidR="001F060A" w:rsidRPr="0056717F" w:rsidRDefault="00AF20BD" w:rsidP="001F060A">
      <w:pPr>
        <w:pStyle w:val="NormaleWeb"/>
        <w:tabs>
          <w:tab w:val="left" w:pos="0"/>
        </w:tabs>
        <w:rPr>
          <w:rStyle w:val="Collegamentoipertestuale"/>
          <w:i/>
          <w:color w:val="0F243E" w:themeColor="text2" w:themeShade="80"/>
          <w:sz w:val="26"/>
          <w:szCs w:val="26"/>
          <w:u w:val="none"/>
        </w:rPr>
      </w:pPr>
      <w:hyperlink r:id="rId13" w:history="1">
        <w:r w:rsidR="001F060A" w:rsidRPr="0056717F">
          <w:rPr>
            <w:rStyle w:val="Collegamentoipertestuale"/>
            <w:i/>
            <w:color w:val="0F243E" w:themeColor="text2" w:themeShade="80"/>
            <w:sz w:val="26"/>
            <w:szCs w:val="26"/>
            <w:u w:val="none"/>
          </w:rPr>
          <w:t>Linee Guida n. 6 - Indicazione dei mezzi di prova adeguati e delle carenze nell’esecuzione di un precedente contratto di appalto che possano considerarsi significative per la dimostrazione delle circostanze di esclusione di cui all’art. 80, comma 5, lett. c) del Codice</w:t>
        </w:r>
      </w:hyperlink>
      <w:r w:rsidR="001F060A" w:rsidRPr="0056717F">
        <w:rPr>
          <w:rStyle w:val="Collegamentoipertestuale"/>
          <w:i/>
          <w:color w:val="0F243E" w:themeColor="text2" w:themeShade="80"/>
          <w:sz w:val="26"/>
          <w:szCs w:val="26"/>
          <w:u w:val="none"/>
        </w:rPr>
        <w:t>.</w:t>
      </w:r>
    </w:p>
    <w:p w:rsidR="001F060A" w:rsidRPr="0056717F" w:rsidRDefault="00AF20BD" w:rsidP="001F060A">
      <w:pPr>
        <w:pStyle w:val="NormaleWeb"/>
        <w:tabs>
          <w:tab w:val="left" w:pos="0"/>
        </w:tabs>
        <w:rPr>
          <w:rStyle w:val="Collegamentoipertestuale"/>
          <w:i/>
          <w:color w:val="0F243E" w:themeColor="text2" w:themeShade="80"/>
          <w:sz w:val="26"/>
          <w:szCs w:val="26"/>
          <w:u w:val="none"/>
        </w:rPr>
      </w:pPr>
      <w:hyperlink r:id="rId14" w:history="1">
        <w:r w:rsidR="001F060A" w:rsidRPr="0056717F">
          <w:rPr>
            <w:rStyle w:val="Collegamentoipertestuale"/>
            <w:i/>
            <w:color w:val="0F243E" w:themeColor="text2" w:themeShade="80"/>
            <w:sz w:val="26"/>
            <w:szCs w:val="26"/>
            <w:u w:val="none"/>
          </w:rPr>
          <w:t>Linee Guida n. 7 - Linee Guida per l’iscrizione nell’Elenco delle amministrazioni aggiudicatrici e degli enti aggiudicatori che operano mediante affidamenti diretti nei confronti di proprie società in house previsto dall’art. 192 del d.lgs. 50/2016</w:t>
        </w:r>
      </w:hyperlink>
      <w:r w:rsidR="001F060A" w:rsidRPr="0056717F">
        <w:rPr>
          <w:rStyle w:val="Collegamentoipertestuale"/>
          <w:i/>
          <w:color w:val="0F243E" w:themeColor="text2" w:themeShade="80"/>
          <w:sz w:val="26"/>
          <w:szCs w:val="26"/>
          <w:u w:val="none"/>
        </w:rPr>
        <w:t>.</w:t>
      </w:r>
    </w:p>
    <w:p w:rsidR="001F060A" w:rsidRPr="0056717F" w:rsidRDefault="00AF20BD" w:rsidP="001F060A">
      <w:pPr>
        <w:pStyle w:val="NormaleWeb"/>
        <w:tabs>
          <w:tab w:val="left" w:pos="0"/>
        </w:tabs>
        <w:rPr>
          <w:rStyle w:val="Collegamentoipertestuale"/>
          <w:i/>
          <w:color w:val="0F243E" w:themeColor="text2" w:themeShade="80"/>
          <w:sz w:val="26"/>
          <w:szCs w:val="26"/>
          <w:u w:val="none"/>
        </w:rPr>
      </w:pPr>
      <w:hyperlink r:id="rId15" w:history="1">
        <w:r w:rsidR="001F060A" w:rsidRPr="0056717F">
          <w:rPr>
            <w:rStyle w:val="Collegamentoipertestuale"/>
            <w:i/>
            <w:color w:val="0F243E" w:themeColor="text2" w:themeShade="80"/>
            <w:sz w:val="26"/>
            <w:szCs w:val="26"/>
            <w:u w:val="none"/>
          </w:rPr>
          <w:t>Linee Guida n. 8 - Ricorso a procedure negoziate senza previa pubblicazione di un bando nel caso di forniture e servizi ritenuti infungibili</w:t>
        </w:r>
      </w:hyperlink>
      <w:r w:rsidR="001F060A" w:rsidRPr="0056717F">
        <w:rPr>
          <w:rStyle w:val="Collegamentoipertestuale"/>
          <w:i/>
          <w:color w:val="0F243E" w:themeColor="text2" w:themeShade="80"/>
          <w:sz w:val="26"/>
          <w:szCs w:val="26"/>
          <w:u w:val="none"/>
        </w:rPr>
        <w:t>.</w:t>
      </w:r>
    </w:p>
    <w:p w:rsidR="001F060A" w:rsidRPr="0056717F" w:rsidRDefault="00AF20BD" w:rsidP="001F060A">
      <w:pPr>
        <w:tabs>
          <w:tab w:val="left" w:pos="0"/>
        </w:tabs>
        <w:rPr>
          <w:rFonts w:ascii="Times New Roman" w:eastAsia="Times New Roman" w:hAnsi="Times New Roman"/>
          <w:bCs/>
          <w:i/>
          <w:color w:val="0F243E" w:themeColor="text2" w:themeShade="80"/>
          <w:sz w:val="26"/>
          <w:szCs w:val="26"/>
          <w:lang w:eastAsia="it-IT"/>
        </w:rPr>
      </w:pPr>
      <w:hyperlink r:id="rId16" w:history="1">
        <w:r w:rsidR="001F060A" w:rsidRPr="0056717F">
          <w:rPr>
            <w:rFonts w:ascii="Times New Roman" w:eastAsia="Times New Roman" w:hAnsi="Times New Roman"/>
            <w:i/>
            <w:color w:val="0F243E" w:themeColor="text2" w:themeShade="80"/>
            <w:sz w:val="26"/>
            <w:szCs w:val="26"/>
            <w:lang w:eastAsia="it-IT"/>
          </w:rPr>
          <w:t>Bando-tipo numero 1 del 22/11/2017</w:t>
        </w:r>
      </w:hyperlink>
      <w:r w:rsidR="001F060A" w:rsidRPr="0056717F">
        <w:rPr>
          <w:rFonts w:ascii="Times New Roman" w:eastAsia="Times New Roman" w:hAnsi="Times New Roman"/>
          <w:i/>
          <w:color w:val="0F243E" w:themeColor="text2" w:themeShade="80"/>
          <w:sz w:val="26"/>
          <w:szCs w:val="26"/>
          <w:lang w:eastAsia="it-IT"/>
        </w:rPr>
        <w:t xml:space="preserve">, recante </w:t>
      </w:r>
      <w:r w:rsidR="001F060A" w:rsidRPr="0056717F">
        <w:rPr>
          <w:rFonts w:ascii="Times New Roman" w:eastAsia="Times New Roman" w:hAnsi="Times New Roman"/>
          <w:bCs/>
          <w:i/>
          <w:color w:val="0F243E" w:themeColor="text2" w:themeShade="80"/>
          <w:sz w:val="26"/>
          <w:szCs w:val="26"/>
          <w:lang w:eastAsia="it-IT"/>
        </w:rPr>
        <w:t>Schema di disciplinare di gara per l’affidamento di servizi e forniture nei settori ordinari, di importo pari o superiore alla soglia comunitaria, aggiudicati all’offerta economicamente più vantaggiosa secondo il miglior rapporto qualità/prezzo;</w:t>
      </w:r>
    </w:p>
    <w:p w:rsidR="001F060A" w:rsidRPr="0056717F" w:rsidRDefault="00AF20BD" w:rsidP="001F060A">
      <w:pPr>
        <w:tabs>
          <w:tab w:val="left" w:pos="0"/>
        </w:tabs>
        <w:rPr>
          <w:rFonts w:ascii="Times New Roman" w:eastAsia="Times New Roman" w:hAnsi="Times New Roman"/>
          <w:bCs/>
          <w:i/>
          <w:color w:val="0F243E" w:themeColor="text2" w:themeShade="80"/>
          <w:sz w:val="26"/>
          <w:szCs w:val="26"/>
          <w:lang w:eastAsia="it-IT"/>
        </w:rPr>
      </w:pPr>
      <w:hyperlink r:id="rId17" w:history="1">
        <w:r w:rsidR="001F060A" w:rsidRPr="0056717F">
          <w:rPr>
            <w:rFonts w:ascii="Times New Roman" w:eastAsia="Times New Roman" w:hAnsi="Times New Roman"/>
            <w:bCs/>
            <w:i/>
            <w:color w:val="0F243E" w:themeColor="text2" w:themeShade="80"/>
            <w:sz w:val="26"/>
            <w:szCs w:val="26"/>
            <w:lang w:eastAsia="it-IT"/>
          </w:rPr>
          <w:t>Bando-tipo numero 2 del 10/01/2018</w:t>
        </w:r>
      </w:hyperlink>
      <w:r w:rsidR="001F060A" w:rsidRPr="0056717F">
        <w:rPr>
          <w:rFonts w:ascii="Times New Roman" w:eastAsia="Times New Roman" w:hAnsi="Times New Roman"/>
          <w:bCs/>
          <w:i/>
          <w:color w:val="0F243E" w:themeColor="text2" w:themeShade="80"/>
          <w:sz w:val="26"/>
          <w:szCs w:val="26"/>
          <w:lang w:eastAsia="it-IT"/>
        </w:rPr>
        <w:t>, recante Schema di disciplinare di gara Procedura aperta per l’affidamento di contratti pubblici di servizi di pulizia di importo pari o superiore alla soglia comunitaria con il criterio dell’offerta economicamente più vantaggiosa sulla base del miglior rapporto qualità/prezzo.</w:t>
      </w:r>
    </w:p>
    <w:p w:rsidR="001F060A" w:rsidRDefault="001F060A" w:rsidP="001F060A">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Si tratta, all’evidenza, di un quadro ancora lontano dal completamento della disciplina attuativa del codice, ma che consente già di cogliere gli indirizzi </w:t>
      </w:r>
      <w:r w:rsidR="001C0C61">
        <w:rPr>
          <w:rFonts w:ascii="Times New Roman" w:hAnsi="Times New Roman"/>
          <w:color w:val="0F243E" w:themeColor="text2" w:themeShade="80"/>
          <w:sz w:val="26"/>
          <w:szCs w:val="26"/>
        </w:rPr>
        <w:t xml:space="preserve">generali </w:t>
      </w:r>
      <w:r>
        <w:rPr>
          <w:rFonts w:ascii="Times New Roman" w:hAnsi="Times New Roman"/>
          <w:color w:val="0F243E" w:themeColor="text2" w:themeShade="80"/>
          <w:sz w:val="26"/>
          <w:szCs w:val="26"/>
        </w:rPr>
        <w:t>seguiti dall’ANAC</w:t>
      </w:r>
      <w:r w:rsidR="001C0C61">
        <w:rPr>
          <w:rFonts w:ascii="Times New Roman" w:hAnsi="Times New Roman"/>
          <w:color w:val="0F243E" w:themeColor="text2" w:themeShade="80"/>
          <w:sz w:val="26"/>
          <w:szCs w:val="26"/>
        </w:rPr>
        <w:t xml:space="preserve">, l’impostazione di fondo dei loro contenuti, lo </w:t>
      </w:r>
      <w:r w:rsidR="001C0C61" w:rsidRPr="00AF64C6">
        <w:rPr>
          <w:rFonts w:ascii="Times New Roman" w:hAnsi="Times New Roman"/>
          <w:i/>
          <w:color w:val="0F243E" w:themeColor="text2" w:themeShade="80"/>
          <w:sz w:val="26"/>
          <w:szCs w:val="26"/>
        </w:rPr>
        <w:t>stile</w:t>
      </w:r>
      <w:r w:rsidR="001C0C61">
        <w:rPr>
          <w:rFonts w:ascii="Times New Roman" w:hAnsi="Times New Roman"/>
          <w:color w:val="0F243E" w:themeColor="text2" w:themeShade="80"/>
          <w:sz w:val="26"/>
          <w:szCs w:val="26"/>
        </w:rPr>
        <w:t xml:space="preserve"> utilizzato</w:t>
      </w:r>
      <w:r>
        <w:rPr>
          <w:rFonts w:ascii="Times New Roman" w:hAnsi="Times New Roman"/>
          <w:color w:val="0F243E" w:themeColor="text2" w:themeShade="80"/>
          <w:sz w:val="26"/>
          <w:szCs w:val="26"/>
        </w:rPr>
        <w:t>.</w:t>
      </w:r>
      <w:r w:rsidR="002447BA">
        <w:rPr>
          <w:rFonts w:ascii="Times New Roman" w:hAnsi="Times New Roman"/>
          <w:color w:val="0F243E" w:themeColor="text2" w:themeShade="80"/>
          <w:sz w:val="26"/>
          <w:szCs w:val="26"/>
        </w:rPr>
        <w:t xml:space="preserve"> Un primo sommario esame di tali atti permette anche di valutare quale sia stato l’impatto della regolazione flessibile nei settori speciali, sotto due concorrenti aspetti: la quantità </w:t>
      </w:r>
      <w:r w:rsidR="00B86DC4">
        <w:rPr>
          <w:rFonts w:ascii="Times New Roman" w:hAnsi="Times New Roman"/>
          <w:color w:val="0F243E" w:themeColor="text2" w:themeShade="80"/>
          <w:sz w:val="26"/>
          <w:szCs w:val="26"/>
        </w:rPr>
        <w:t xml:space="preserve">e profondità degli interventi dell’ANAC; l’attitudine dei provvedimenti ad </w:t>
      </w:r>
      <w:r w:rsidR="00294895">
        <w:rPr>
          <w:rFonts w:ascii="Times New Roman" w:hAnsi="Times New Roman"/>
          <w:color w:val="0F243E" w:themeColor="text2" w:themeShade="80"/>
          <w:sz w:val="26"/>
          <w:szCs w:val="26"/>
        </w:rPr>
        <w:t>accentuare</w:t>
      </w:r>
      <w:r w:rsidR="00B86DC4">
        <w:rPr>
          <w:rFonts w:ascii="Times New Roman" w:hAnsi="Times New Roman"/>
          <w:color w:val="0F243E" w:themeColor="text2" w:themeShade="80"/>
          <w:sz w:val="26"/>
          <w:szCs w:val="26"/>
        </w:rPr>
        <w:t xml:space="preserve"> o ridurre le distanze tra i settori ordinari e i settori speciali.</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 primi commentatori (</w:t>
      </w:r>
      <w:r w:rsidRPr="002360E5">
        <w:rPr>
          <w:rFonts w:ascii="Times New Roman" w:hAnsi="Times New Roman"/>
          <w:smallCaps/>
          <w:color w:val="0F243E" w:themeColor="text2" w:themeShade="80"/>
          <w:sz w:val="26"/>
          <w:szCs w:val="26"/>
        </w:rPr>
        <w:t>D’Herin H</w:t>
      </w:r>
      <w:r w:rsidRPr="002360E5">
        <w:rPr>
          <w:rFonts w:ascii="Times New Roman" w:hAnsi="Times New Roman"/>
          <w:color w:val="0F243E" w:themeColor="text2" w:themeShade="80"/>
          <w:sz w:val="26"/>
          <w:szCs w:val="26"/>
        </w:rPr>
        <w:t xml:space="preserve">., </w:t>
      </w:r>
      <w:r w:rsidRPr="002360E5">
        <w:rPr>
          <w:rFonts w:ascii="Times New Roman" w:hAnsi="Times New Roman"/>
          <w:i/>
          <w:color w:val="0F243E" w:themeColor="text2" w:themeShade="80"/>
          <w:sz w:val="26"/>
          <w:szCs w:val="26"/>
        </w:rPr>
        <w:t>I settori speciali sempre meno speciali (e sempre più ordinari)</w:t>
      </w:r>
      <w:r w:rsidRPr="002360E5">
        <w:rPr>
          <w:rFonts w:ascii="Times New Roman" w:hAnsi="Times New Roman"/>
          <w:color w:val="0F243E" w:themeColor="text2" w:themeShade="80"/>
          <w:sz w:val="26"/>
          <w:szCs w:val="26"/>
        </w:rPr>
        <w:t xml:space="preserve">, </w:t>
      </w:r>
      <w:r w:rsidRPr="002360E5">
        <w:rPr>
          <w:rFonts w:ascii="Times New Roman" w:hAnsi="Times New Roman"/>
          <w:i/>
          <w:color w:val="0F243E" w:themeColor="text2" w:themeShade="80"/>
          <w:sz w:val="26"/>
          <w:szCs w:val="26"/>
        </w:rPr>
        <w:t>Urb. e app.</w:t>
      </w:r>
      <w:r w:rsidRPr="002360E5">
        <w:rPr>
          <w:rFonts w:ascii="Times New Roman" w:hAnsi="Times New Roman"/>
          <w:color w:val="0F243E" w:themeColor="text2" w:themeShade="80"/>
          <w:sz w:val="26"/>
          <w:szCs w:val="26"/>
        </w:rPr>
        <w:t xml:space="preserve"> 2016, 1029, ss., specie 1037) avevano preconizzato che “</w:t>
      </w:r>
      <w:r w:rsidRPr="002360E5">
        <w:rPr>
          <w:rFonts w:ascii="Times New Roman" w:hAnsi="Times New Roman"/>
          <w:i/>
          <w:color w:val="0F243E" w:themeColor="text2" w:themeShade="80"/>
          <w:sz w:val="26"/>
          <w:szCs w:val="26"/>
        </w:rPr>
        <w:t>Un ruolo attivo nella differenziazione tra i due regimi andrà riconosciuto - ma non è dato ancora sapere in quale misura - anche all’Autorità Nazionale Anticorruzione cui è demandata in larga parte l’attuazione del Codice “attraverso linee guida, bandi</w:t>
      </w:r>
      <w:r w:rsidR="00BE2F12">
        <w:rPr>
          <w:rFonts w:ascii="Times New Roman" w:hAnsi="Times New Roman"/>
          <w:i/>
          <w:color w:val="0F243E" w:themeColor="text2" w:themeShade="80"/>
          <w:sz w:val="26"/>
          <w:szCs w:val="26"/>
        </w:rPr>
        <w:t xml:space="preserve"> </w:t>
      </w:r>
      <w:r w:rsidRPr="002360E5">
        <w:rPr>
          <w:rFonts w:ascii="Times New Roman" w:hAnsi="Times New Roman"/>
          <w:i/>
          <w:color w:val="0F243E" w:themeColor="text2" w:themeShade="80"/>
          <w:sz w:val="26"/>
          <w:szCs w:val="26"/>
        </w:rPr>
        <w:t>tipo, capitolati-tipo, contratti-tipo ed altri strumenti di regolamentazione flessibile” (art. 213) che, di certo, investiranno anche i settori speciali. Si evidenzia, peraltro, che nessuno dei documenti di consultazione relativi alle “linee guida attuative del nuovo codice” sinora resi disponibili tratta in modo specifico la materia degli appalti dei settori speciali.”</w:t>
      </w:r>
    </w:p>
    <w:p w:rsidR="001F060A" w:rsidRPr="002360E5" w:rsidRDefault="001F060A" w:rsidP="00F421D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Ma, finora, la prassi della regolazione flessibile specificamente dedicata ai settori speciali</w:t>
      </w:r>
      <w:r w:rsidR="00BB0012">
        <w:rPr>
          <w:rFonts w:ascii="Times New Roman" w:hAnsi="Times New Roman"/>
          <w:color w:val="0F243E" w:themeColor="text2" w:themeShade="80"/>
          <w:sz w:val="26"/>
          <w:szCs w:val="26"/>
        </w:rPr>
        <w:t xml:space="preserve"> non sembra essere andata in questa direzione. L’impressione complessiva è che l’ANAC non abbia ancora </w:t>
      </w:r>
      <w:r w:rsidR="00F41B78">
        <w:rPr>
          <w:rFonts w:ascii="Times New Roman" w:hAnsi="Times New Roman"/>
          <w:color w:val="0F243E" w:themeColor="text2" w:themeShade="80"/>
          <w:sz w:val="26"/>
          <w:szCs w:val="26"/>
        </w:rPr>
        <w:t xml:space="preserve">compiuto scelte consapevoli in ordine al trattamento sistematico dei settori speciali, </w:t>
      </w:r>
      <w:r w:rsidR="002F4045">
        <w:rPr>
          <w:rFonts w:ascii="Times New Roman" w:hAnsi="Times New Roman"/>
          <w:color w:val="0F243E" w:themeColor="text2" w:themeShade="80"/>
          <w:sz w:val="26"/>
          <w:szCs w:val="26"/>
        </w:rPr>
        <w:t xml:space="preserve">limitandosi a </w:t>
      </w:r>
      <w:r w:rsidR="00922DAF">
        <w:rPr>
          <w:rFonts w:ascii="Times New Roman" w:hAnsi="Times New Roman"/>
          <w:color w:val="0F243E" w:themeColor="text2" w:themeShade="80"/>
          <w:sz w:val="26"/>
          <w:szCs w:val="26"/>
        </w:rPr>
        <w:t>interventi episodici e marginali.</w:t>
      </w:r>
      <w:r w:rsidR="00F421DE">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D’altro canto,</w:t>
      </w:r>
      <w:r w:rsidR="008C2D74">
        <w:rPr>
          <w:rFonts w:ascii="Times New Roman" w:hAnsi="Times New Roman"/>
          <w:color w:val="0F243E" w:themeColor="text2" w:themeShade="80"/>
          <w:sz w:val="26"/>
          <w:szCs w:val="26"/>
        </w:rPr>
        <w:t xml:space="preserve"> come si è già osservato,</w:t>
      </w:r>
      <w:r w:rsidRPr="002360E5">
        <w:rPr>
          <w:rFonts w:ascii="Times New Roman" w:hAnsi="Times New Roman"/>
          <w:color w:val="0F243E" w:themeColor="text2" w:themeShade="80"/>
          <w:sz w:val="26"/>
          <w:szCs w:val="26"/>
        </w:rPr>
        <w:t xml:space="preserve"> nessuna disposizione del codice prevede particolari interventi regolatori</w:t>
      </w:r>
      <w:r w:rsidR="00D24725">
        <w:rPr>
          <w:rFonts w:ascii="Times New Roman" w:hAnsi="Times New Roman"/>
          <w:color w:val="0F243E" w:themeColor="text2" w:themeShade="80"/>
          <w:sz w:val="26"/>
          <w:szCs w:val="26"/>
        </w:rPr>
        <w:t xml:space="preserve"> tipici</w:t>
      </w:r>
      <w:r w:rsidRPr="002360E5">
        <w:rPr>
          <w:rFonts w:ascii="Times New Roman" w:hAnsi="Times New Roman"/>
          <w:color w:val="0F243E" w:themeColor="text2" w:themeShade="80"/>
          <w:sz w:val="26"/>
          <w:szCs w:val="26"/>
        </w:rPr>
        <w:t xml:space="preserve"> riferiti puntualmente ai settori speciali.</w:t>
      </w:r>
    </w:p>
    <w:p w:rsidR="001F060A" w:rsidRPr="002360E5" w:rsidRDefault="00D24725" w:rsidP="001F060A">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Più nel dettaglio, </w:t>
      </w:r>
      <w:r w:rsidRPr="002360E5">
        <w:rPr>
          <w:rFonts w:ascii="Times New Roman" w:hAnsi="Times New Roman"/>
          <w:color w:val="0F243E" w:themeColor="text2" w:themeShade="80"/>
          <w:sz w:val="26"/>
          <w:szCs w:val="26"/>
        </w:rPr>
        <w:t xml:space="preserve">in </w:t>
      </w:r>
      <w:r w:rsidR="001F060A" w:rsidRPr="002360E5">
        <w:rPr>
          <w:rFonts w:ascii="Times New Roman" w:hAnsi="Times New Roman"/>
          <w:color w:val="0F243E" w:themeColor="text2" w:themeShade="80"/>
          <w:sz w:val="26"/>
          <w:szCs w:val="26"/>
        </w:rPr>
        <w:t xml:space="preserve">concreto, si può osservare che </w:t>
      </w:r>
      <w:r w:rsidR="00AF3D65">
        <w:rPr>
          <w:rFonts w:ascii="Times New Roman" w:hAnsi="Times New Roman"/>
          <w:color w:val="0F243E" w:themeColor="text2" w:themeShade="80"/>
          <w:sz w:val="26"/>
          <w:szCs w:val="26"/>
        </w:rPr>
        <w:t xml:space="preserve">il contratto-tipo relativo ai servizi assicurativi e </w:t>
      </w:r>
      <w:r w:rsidR="001F060A" w:rsidRPr="002360E5">
        <w:rPr>
          <w:rFonts w:ascii="Times New Roman" w:hAnsi="Times New Roman"/>
          <w:color w:val="0F243E" w:themeColor="text2" w:themeShade="80"/>
          <w:sz w:val="26"/>
          <w:szCs w:val="26"/>
        </w:rPr>
        <w:t xml:space="preserve">le </w:t>
      </w:r>
      <w:r w:rsidR="00A443B8">
        <w:rPr>
          <w:rFonts w:ascii="Times New Roman" w:hAnsi="Times New Roman"/>
          <w:color w:val="0F243E" w:themeColor="text2" w:themeShade="80"/>
          <w:sz w:val="26"/>
          <w:szCs w:val="26"/>
        </w:rPr>
        <w:t>linee guida (“</w:t>
      </w:r>
      <w:r w:rsidR="001F060A" w:rsidRPr="002360E5">
        <w:rPr>
          <w:rFonts w:ascii="Times New Roman" w:hAnsi="Times New Roman"/>
          <w:color w:val="0F243E" w:themeColor="text2" w:themeShade="80"/>
          <w:sz w:val="26"/>
          <w:szCs w:val="26"/>
        </w:rPr>
        <w:t>LG</w:t>
      </w:r>
      <w:r w:rsidR="00A443B8">
        <w:rPr>
          <w:rFonts w:ascii="Times New Roman" w:hAnsi="Times New Roman"/>
          <w:color w:val="0F243E" w:themeColor="text2" w:themeShade="80"/>
          <w:sz w:val="26"/>
          <w:szCs w:val="26"/>
        </w:rPr>
        <w:t>”)</w:t>
      </w:r>
      <w:r w:rsidR="001F060A" w:rsidRPr="002360E5">
        <w:rPr>
          <w:rFonts w:ascii="Times New Roman" w:hAnsi="Times New Roman"/>
          <w:color w:val="0F243E" w:themeColor="text2" w:themeShade="80"/>
          <w:sz w:val="26"/>
          <w:szCs w:val="26"/>
        </w:rPr>
        <w:t xml:space="preserve"> n. 2, 5 e 7 non fanno alcuna m</w:t>
      </w:r>
      <w:r w:rsidR="00AE1F23">
        <w:rPr>
          <w:rFonts w:ascii="Times New Roman" w:hAnsi="Times New Roman"/>
          <w:color w:val="0F243E" w:themeColor="text2" w:themeShade="80"/>
          <w:sz w:val="26"/>
          <w:szCs w:val="26"/>
        </w:rPr>
        <w:t>enzione dei settori speciali. Si tratta di una</w:t>
      </w:r>
      <w:r w:rsidR="001F060A" w:rsidRPr="002360E5">
        <w:rPr>
          <w:rFonts w:ascii="Times New Roman" w:hAnsi="Times New Roman"/>
          <w:color w:val="0F243E" w:themeColor="text2" w:themeShade="80"/>
          <w:sz w:val="26"/>
          <w:szCs w:val="26"/>
        </w:rPr>
        <w:t xml:space="preserve"> lacuna assai criticabile, perché la definizione precisa del campo di applicazione dovrebbe essere uno dei principi cardine di ogni intervento di regolazione: ma si sconta, evidentemente, l’eterogeneità dei provvedimenti </w:t>
      </w:r>
      <w:r w:rsidR="00A443B8">
        <w:rPr>
          <w:rFonts w:ascii="Times New Roman" w:hAnsi="Times New Roman"/>
          <w:color w:val="0F243E" w:themeColor="text2" w:themeShade="80"/>
          <w:sz w:val="26"/>
          <w:szCs w:val="26"/>
        </w:rPr>
        <w:t xml:space="preserve">regolatori </w:t>
      </w:r>
      <w:r w:rsidR="001F060A" w:rsidRPr="002360E5">
        <w:rPr>
          <w:rFonts w:ascii="Times New Roman" w:hAnsi="Times New Roman"/>
          <w:color w:val="0F243E" w:themeColor="text2" w:themeShade="80"/>
          <w:sz w:val="26"/>
          <w:szCs w:val="26"/>
        </w:rPr>
        <w:t>adottati e la diversità delle tecniche di redazione.</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 LG n. 8, più correttamente, menziona i settori speciali, ma solo per chiarire, opportunamente, che anche essi ricadono nel campo di applicazione del provvedimento.</w:t>
      </w:r>
      <w:r w:rsidR="00F45B7B">
        <w:rPr>
          <w:rFonts w:ascii="Times New Roman" w:hAnsi="Times New Roman"/>
          <w:color w:val="0F243E" w:themeColor="text2" w:themeShade="80"/>
          <w:sz w:val="26"/>
          <w:szCs w:val="26"/>
        </w:rPr>
        <w:t xml:space="preserve"> Quindi, l’atto assume una posizione per così dire “</w:t>
      </w:r>
      <w:r w:rsidR="00F45B7B" w:rsidRPr="00A443B8">
        <w:rPr>
          <w:rFonts w:ascii="Times New Roman" w:hAnsi="Times New Roman"/>
          <w:i/>
          <w:color w:val="0F243E" w:themeColor="text2" w:themeShade="80"/>
          <w:sz w:val="26"/>
          <w:szCs w:val="26"/>
        </w:rPr>
        <w:t>neutrale</w:t>
      </w:r>
      <w:r w:rsidR="00F45B7B">
        <w:rPr>
          <w:rFonts w:ascii="Times New Roman" w:hAnsi="Times New Roman"/>
          <w:color w:val="0F243E" w:themeColor="text2" w:themeShade="80"/>
          <w:sz w:val="26"/>
          <w:szCs w:val="26"/>
        </w:rPr>
        <w:t xml:space="preserve">” in ordine al tema del rapporto con la disciplina dei settori ordinari. Limitandosi ad una sintetica ricognizione del dato normativo </w:t>
      </w:r>
      <w:r w:rsidR="006C436A">
        <w:rPr>
          <w:rFonts w:ascii="Times New Roman" w:hAnsi="Times New Roman"/>
          <w:color w:val="0F243E" w:themeColor="text2" w:themeShade="80"/>
          <w:sz w:val="26"/>
          <w:szCs w:val="26"/>
        </w:rPr>
        <w:t>primario, l’ANAC non intende né ridurre, né accentuare</w:t>
      </w:r>
      <w:r w:rsidR="00A443B8">
        <w:rPr>
          <w:rFonts w:ascii="Times New Roman" w:hAnsi="Times New Roman"/>
          <w:color w:val="0F243E" w:themeColor="text2" w:themeShade="80"/>
          <w:sz w:val="26"/>
          <w:szCs w:val="26"/>
        </w:rPr>
        <w:t>,</w:t>
      </w:r>
      <w:r w:rsidR="006C436A">
        <w:rPr>
          <w:rFonts w:ascii="Times New Roman" w:hAnsi="Times New Roman"/>
          <w:color w:val="0F243E" w:themeColor="text2" w:themeShade="80"/>
          <w:sz w:val="26"/>
          <w:szCs w:val="26"/>
        </w:rPr>
        <w:t xml:space="preserve"> i profili di differenziazione stabiliti dal codice.</w:t>
      </w:r>
    </w:p>
    <w:p w:rsidR="001F060A" w:rsidRPr="002360E5" w:rsidRDefault="0042712F" w:rsidP="001F060A">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Anche l</w:t>
      </w:r>
      <w:r w:rsidR="001F060A" w:rsidRPr="002360E5">
        <w:rPr>
          <w:rFonts w:ascii="Times New Roman" w:hAnsi="Times New Roman"/>
          <w:color w:val="0F243E" w:themeColor="text2" w:themeShade="80"/>
          <w:sz w:val="26"/>
          <w:szCs w:val="26"/>
        </w:rPr>
        <w:t>e altre LG (1, 3, 4 e 6) menzionano i settori speciali</w:t>
      </w:r>
      <w:r>
        <w:rPr>
          <w:rFonts w:ascii="Times New Roman" w:hAnsi="Times New Roman"/>
          <w:color w:val="0F243E" w:themeColor="text2" w:themeShade="80"/>
          <w:sz w:val="26"/>
          <w:szCs w:val="26"/>
        </w:rPr>
        <w:t>,</w:t>
      </w:r>
      <w:r w:rsidR="001F060A" w:rsidRPr="002360E5">
        <w:rPr>
          <w:rFonts w:ascii="Times New Roman" w:hAnsi="Times New Roman"/>
          <w:color w:val="0F243E" w:themeColor="text2" w:themeShade="80"/>
          <w:sz w:val="26"/>
          <w:szCs w:val="26"/>
        </w:rPr>
        <w:t xml:space="preserve"> al solo scopo di chiarire quale sia l’ambito di applicazione della disciplina recata dal singolo atto regolatorio, in conformità alla previsione della normativa primaria.</w:t>
      </w:r>
      <w:r>
        <w:rPr>
          <w:rFonts w:ascii="Times New Roman" w:hAnsi="Times New Roman"/>
          <w:color w:val="0F243E" w:themeColor="text2" w:themeShade="80"/>
          <w:sz w:val="26"/>
          <w:szCs w:val="26"/>
        </w:rPr>
        <w:t xml:space="preserve"> In questi casi, si registra un maggiore sforzo di elaborazione compiuto dall’ANAC. Ma l’intento perseguito dall’Autorità è palesemente interpretativo del dato offerto dal codice.</w:t>
      </w:r>
      <w:r w:rsidR="00884F33">
        <w:rPr>
          <w:rFonts w:ascii="Times New Roman" w:hAnsi="Times New Roman"/>
          <w:color w:val="0F243E" w:themeColor="text2" w:themeShade="80"/>
          <w:sz w:val="26"/>
          <w:szCs w:val="26"/>
        </w:rPr>
        <w:t xml:space="preserve"> Manca qualsiasi ambizione di sviluppare innovativamente la disciplina stabilita dalla disciplina primaria.</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Così, nelle LG n. 1, al punto 5.2., si chiarisce, in via interpretativa, che il divieto di cui all’art. 59 del codice “</w:t>
      </w:r>
      <w:r w:rsidRPr="002360E5">
        <w:rPr>
          <w:rFonts w:ascii="Times New Roman" w:hAnsi="Times New Roman"/>
          <w:i/>
          <w:color w:val="0F243E" w:themeColor="text2" w:themeShade="80"/>
          <w:sz w:val="26"/>
          <w:szCs w:val="26"/>
        </w:rPr>
        <w:t>non trova applicazione nei settori speciali, non essendo la norma richiamata dall’art. 114 del Codice né dalle successive disposizioni di dettaglio. È da ritenersi principio generale, come tale applicabile anche sei settori speciali, qualora si ricorra ad appalto integrato, che il progettista deve essere adeguatamente qualificato il relazione al servizio che si intende allo stesso affidare.</w:t>
      </w:r>
      <w:r w:rsidRPr="002360E5">
        <w:rPr>
          <w:rFonts w:ascii="Times New Roman" w:hAnsi="Times New Roman"/>
          <w:color w:val="0F243E" w:themeColor="text2" w:themeShade="80"/>
          <w:sz w:val="26"/>
          <w:szCs w:val="26"/>
        </w:rPr>
        <w:t>”</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Anche il punto n. 2.1.1 </w:t>
      </w:r>
      <w:r w:rsidR="00884F33">
        <w:rPr>
          <w:rFonts w:ascii="Times New Roman" w:hAnsi="Times New Roman"/>
          <w:color w:val="0F243E" w:themeColor="text2" w:themeShade="80"/>
          <w:sz w:val="26"/>
          <w:szCs w:val="26"/>
        </w:rPr>
        <w:t xml:space="preserve">delle stesse LG n. 1 </w:t>
      </w:r>
      <w:r w:rsidRPr="002360E5">
        <w:rPr>
          <w:rFonts w:ascii="Times New Roman" w:hAnsi="Times New Roman"/>
          <w:color w:val="0F243E" w:themeColor="text2" w:themeShade="80"/>
          <w:sz w:val="26"/>
          <w:szCs w:val="26"/>
        </w:rPr>
        <w:t>si limita ad un chiarimento interpretativo riguardante la disciplina di livello legislativo applicabile ai settori speciali: “</w:t>
      </w:r>
      <w:r w:rsidRPr="002360E5">
        <w:rPr>
          <w:rFonts w:ascii="Times New Roman" w:hAnsi="Times New Roman"/>
          <w:i/>
          <w:color w:val="0F243E" w:themeColor="text2" w:themeShade="80"/>
          <w:sz w:val="26"/>
          <w:szCs w:val="26"/>
        </w:rPr>
        <w:t>Gli incarichi di importo superiore a centomila euro sono affidati solo con procedura aperta o ristretta ai sensi degli artt. 60 e 61 (art. 157, comma 2, ultimo periodo). La norma deve essere interpretata in combinato disposto con il comma 1 del medesimo articolo che rende applicabile agli incarichi di importo superiore alla soglia di rilevanza comunitaria la parte Parte II, Titolo I, II, III e IV del Codice, ne deriva che il riferimento all’importo superiore a 100.000 euro deve essere inteso come compreso tra 100.000 e la soglia di rilevanza comunitaria, fissate in euro 135.000 e 209.000, rispettivamente per le autorità centrali e quelle sub-centrali (art. 35, comma 1, lettere b) e c), nei settori ordinari, e in euro 418.000 per i settori speciali (art. 35, comma 2, lett.b)), ai quali trovano applicazione le disposizioni dei settori ordinari nei limiti di quanto previsto dall’art. 114 del Codice.</w:t>
      </w:r>
      <w:r w:rsidRPr="002360E5">
        <w:rPr>
          <w:rFonts w:ascii="Times New Roman" w:hAnsi="Times New Roman"/>
          <w:color w:val="0F243E" w:themeColor="text2" w:themeShade="80"/>
          <w:sz w:val="26"/>
          <w:szCs w:val="26"/>
        </w:rPr>
        <w:t>”</w:t>
      </w:r>
    </w:p>
    <w:p w:rsidR="001F060A" w:rsidRPr="002360E5" w:rsidRDefault="0042033E" w:rsidP="001F060A">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Analogamente, </w:t>
      </w:r>
      <w:r w:rsidRPr="002360E5">
        <w:rPr>
          <w:rFonts w:ascii="Times New Roman" w:hAnsi="Times New Roman"/>
          <w:color w:val="0F243E" w:themeColor="text2" w:themeShade="80"/>
          <w:sz w:val="26"/>
          <w:szCs w:val="26"/>
        </w:rPr>
        <w:t xml:space="preserve">le </w:t>
      </w:r>
      <w:r w:rsidR="001F060A" w:rsidRPr="002360E5">
        <w:rPr>
          <w:rFonts w:ascii="Times New Roman" w:hAnsi="Times New Roman"/>
          <w:color w:val="0F243E" w:themeColor="text2" w:themeShade="80"/>
          <w:sz w:val="26"/>
          <w:szCs w:val="26"/>
        </w:rPr>
        <w:t xml:space="preserve">LG n. 3, </w:t>
      </w:r>
      <w:r w:rsidR="00C00668">
        <w:rPr>
          <w:rFonts w:ascii="Times New Roman" w:hAnsi="Times New Roman"/>
          <w:color w:val="0F243E" w:themeColor="text2" w:themeShade="80"/>
          <w:sz w:val="26"/>
          <w:szCs w:val="26"/>
        </w:rPr>
        <w:t xml:space="preserve">in materia di </w:t>
      </w:r>
      <w:r>
        <w:rPr>
          <w:rFonts w:ascii="Times New Roman" w:hAnsi="Times New Roman"/>
          <w:color w:val="0F243E" w:themeColor="text2" w:themeShade="80"/>
          <w:sz w:val="26"/>
          <w:szCs w:val="26"/>
        </w:rPr>
        <w:t>responsabile unico del procedimento (</w:t>
      </w:r>
      <w:r w:rsidR="00C00668">
        <w:rPr>
          <w:rFonts w:ascii="Times New Roman" w:hAnsi="Times New Roman"/>
          <w:color w:val="0F243E" w:themeColor="text2" w:themeShade="80"/>
          <w:sz w:val="26"/>
          <w:szCs w:val="26"/>
        </w:rPr>
        <w:t>RUP</w:t>
      </w:r>
      <w:r>
        <w:rPr>
          <w:rFonts w:ascii="Times New Roman" w:hAnsi="Times New Roman"/>
          <w:color w:val="0F243E" w:themeColor="text2" w:themeShade="80"/>
          <w:sz w:val="26"/>
          <w:szCs w:val="26"/>
        </w:rPr>
        <w:t>)</w:t>
      </w:r>
      <w:r w:rsidR="00C00668">
        <w:rPr>
          <w:rFonts w:ascii="Times New Roman" w:hAnsi="Times New Roman"/>
          <w:color w:val="0F243E" w:themeColor="text2" w:themeShade="80"/>
          <w:sz w:val="26"/>
          <w:szCs w:val="26"/>
        </w:rPr>
        <w:t xml:space="preserve">, </w:t>
      </w:r>
      <w:r w:rsidR="001F060A" w:rsidRPr="002360E5">
        <w:rPr>
          <w:rFonts w:ascii="Times New Roman" w:hAnsi="Times New Roman"/>
          <w:color w:val="0F243E" w:themeColor="text2" w:themeShade="80"/>
          <w:sz w:val="26"/>
          <w:szCs w:val="26"/>
        </w:rPr>
        <w:t>al punto n. 1</w:t>
      </w:r>
      <w:r w:rsidR="00C00668">
        <w:rPr>
          <w:rFonts w:ascii="Times New Roman" w:hAnsi="Times New Roman"/>
          <w:color w:val="0F243E" w:themeColor="text2" w:themeShade="80"/>
          <w:sz w:val="26"/>
          <w:szCs w:val="26"/>
        </w:rPr>
        <w:t>,</w:t>
      </w:r>
      <w:r w:rsidR="001F060A" w:rsidRPr="002360E5">
        <w:rPr>
          <w:rFonts w:ascii="Times New Roman" w:hAnsi="Times New Roman"/>
          <w:color w:val="0F243E" w:themeColor="text2" w:themeShade="80"/>
          <w:sz w:val="26"/>
          <w:szCs w:val="26"/>
        </w:rPr>
        <w:t xml:space="preserve"> ricordano quale sia la normativa legislativa applicabile ai settori speciali, senza dettare ulteriori disposizioni particolari.</w:t>
      </w:r>
    </w:p>
    <w:p w:rsidR="001F060A" w:rsidRPr="002360E5" w:rsidRDefault="001F060A" w:rsidP="001F060A">
      <w:pPr>
        <w:tabs>
          <w:tab w:val="left" w:pos="0"/>
        </w:tabs>
        <w:autoSpaceDE w:val="0"/>
        <w:autoSpaceDN w:val="0"/>
        <w:adjustRightInd w:val="0"/>
        <w:rPr>
          <w:rFonts w:ascii="Times New Roman" w:hAnsi="Times New Roman"/>
          <w:color w:val="0F243E" w:themeColor="text2" w:themeShade="80"/>
          <w:sz w:val="26"/>
          <w:szCs w:val="26"/>
        </w:rPr>
      </w:pPr>
      <w:r w:rsidRPr="002360E5">
        <w:rPr>
          <w:rFonts w:ascii="Times New Roman" w:hAnsi="Times New Roman"/>
          <w:b/>
          <w:bCs/>
          <w:color w:val="0F243E" w:themeColor="text2" w:themeShade="80"/>
          <w:sz w:val="26"/>
          <w:szCs w:val="26"/>
        </w:rPr>
        <w:t>“</w:t>
      </w:r>
      <w:r w:rsidRPr="002360E5">
        <w:rPr>
          <w:rFonts w:ascii="Times New Roman" w:hAnsi="Times New Roman"/>
          <w:b/>
          <w:bCs/>
          <w:i/>
          <w:color w:val="0F243E" w:themeColor="text2" w:themeShade="80"/>
          <w:sz w:val="26"/>
          <w:szCs w:val="26"/>
        </w:rPr>
        <w:t xml:space="preserve">1.1. </w:t>
      </w:r>
      <w:r w:rsidRPr="002360E5">
        <w:rPr>
          <w:rFonts w:ascii="Times New Roman" w:hAnsi="Times New Roman"/>
          <w:i/>
          <w:color w:val="0F243E" w:themeColor="text2" w:themeShade="80"/>
          <w:sz w:val="26"/>
          <w:szCs w:val="26"/>
        </w:rPr>
        <w:t>L’art. 31 individua le funzioni del RUP negli appalti di lavori, servizi e forniture e nelle concessioni. Le disposizioni in esso contenute si applicano anche alle stazioni appaltanti che ricorrono ai sistemi di acquisto e di negoziazione delle centrali di committenza o che operano in aggregazione e, per espresso rinvio dell’art. 114, ai settori speciali (gas, energia termica, elettricità, acqua, trasporti, servizi postali, sfruttamento di area geografica). Disposizioni particolari sono, invece, previste per i servizi attinenti all’ingegneria e all’architettura, per il caso di appalti di particolare complessità e per gli appalti di lavori aggiudicati con la formula del contraente generale, mentre la norma in esame non si applica alle stazioni appaltanti che non sono pubbliche amministrazioni ed enti pubblici. Dette stazioni appaltanti sono tenute a individuare, secondo i propri ordinamenti e nel rispetto dei criteri di economicità, efficacia, imparzialità, pubblicità e trasparenza, uno o più soggetti cui affidare i compiti propri del responsabile del procedimento, limitatamente al rispetto delle norme del Codice alla cui osservanza sono tenute</w:t>
      </w:r>
      <w:r w:rsidRPr="002360E5">
        <w:rPr>
          <w:rFonts w:ascii="Times New Roman" w:hAnsi="Times New Roman"/>
          <w:color w:val="0F243E" w:themeColor="text2" w:themeShade="80"/>
          <w:sz w:val="26"/>
          <w:szCs w:val="26"/>
        </w:rPr>
        <w:t>.”</w:t>
      </w:r>
    </w:p>
    <w:p w:rsidR="001F060A" w:rsidRPr="002360E5" w:rsidRDefault="00C0735E" w:rsidP="001F060A">
      <w:pPr>
        <w:tabs>
          <w:tab w:val="left" w:pos="0"/>
        </w:tabs>
        <w:autoSpaceDE w:val="0"/>
        <w:autoSpaceDN w:val="0"/>
        <w:adjustRightInd w:val="0"/>
        <w:rPr>
          <w:rFonts w:ascii="Times New Roman" w:hAnsi="Times New Roman"/>
          <w:i/>
          <w:color w:val="0F243E" w:themeColor="text2" w:themeShade="80"/>
          <w:sz w:val="26"/>
          <w:szCs w:val="26"/>
        </w:rPr>
      </w:pPr>
      <w:r>
        <w:rPr>
          <w:rFonts w:ascii="Times New Roman" w:hAnsi="Times New Roman"/>
          <w:color w:val="0F243E" w:themeColor="text2" w:themeShade="80"/>
          <w:sz w:val="26"/>
          <w:szCs w:val="26"/>
        </w:rPr>
        <w:t>Come già ricordato, l</w:t>
      </w:r>
      <w:r w:rsidR="001F060A" w:rsidRPr="002360E5">
        <w:rPr>
          <w:rFonts w:ascii="Times New Roman" w:hAnsi="Times New Roman"/>
          <w:color w:val="0F243E" w:themeColor="text2" w:themeShade="80"/>
          <w:sz w:val="26"/>
          <w:szCs w:val="26"/>
        </w:rPr>
        <w:t>e LG n. 4, al punto 1.1</w:t>
      </w:r>
      <w:r w:rsidR="00C00668">
        <w:rPr>
          <w:rFonts w:ascii="Times New Roman" w:hAnsi="Times New Roman"/>
          <w:color w:val="0F243E" w:themeColor="text2" w:themeShade="80"/>
          <w:sz w:val="26"/>
          <w:szCs w:val="26"/>
        </w:rPr>
        <w:t>,</w:t>
      </w:r>
      <w:r w:rsidR="001F060A" w:rsidRPr="002360E5">
        <w:rPr>
          <w:rFonts w:ascii="Times New Roman" w:hAnsi="Times New Roman"/>
          <w:color w:val="0F243E" w:themeColor="text2" w:themeShade="80"/>
          <w:sz w:val="26"/>
          <w:szCs w:val="26"/>
        </w:rPr>
        <w:t xml:space="preserve"> stabiliscono l’ambito di applicazione dell’atto di regolazione, richiamando, pedissequamente, l’art. 36 del codice: </w:t>
      </w:r>
      <w:r w:rsidR="001F060A" w:rsidRPr="002360E5">
        <w:rPr>
          <w:rFonts w:ascii="Times New Roman" w:hAnsi="Times New Roman"/>
          <w:i/>
          <w:color w:val="0F243E" w:themeColor="text2" w:themeShade="80"/>
          <w:sz w:val="26"/>
          <w:szCs w:val="26"/>
        </w:rPr>
        <w:t>Le disposizioni di cui all’art. 36 del Codice e le presenti linee guida si applicano alle stazioni appaltanti - ad eccezione delle imprese pubbliche e dei soggetti titolari di diritti speciali ed esclusivi per gli appalti di lavori, forniture e servizi di importo inferiore alla soglia comunitaria, rientranti nell’ambito definito dagli articoli da 115 a 121 del Codice - (di seguito solo stazioni appaltanti), che intendono affidare lavori servizi e forniture di importo inferiore alle soglie di cui all’art. 35 del Codice:</w:t>
      </w:r>
    </w:p>
    <w:p w:rsidR="001F060A" w:rsidRPr="002360E5" w:rsidRDefault="001F060A" w:rsidP="001F060A">
      <w:pPr>
        <w:tabs>
          <w:tab w:val="left" w:pos="0"/>
        </w:tabs>
        <w:autoSpaceDE w:val="0"/>
        <w:autoSpaceDN w:val="0"/>
        <w:adjustRightInd w:val="0"/>
        <w:jc w:val="left"/>
        <w:rPr>
          <w:rFonts w:ascii="Times New Roman" w:hAnsi="Times New Roman"/>
          <w:i/>
          <w:color w:val="0F243E" w:themeColor="text2" w:themeShade="80"/>
          <w:sz w:val="26"/>
          <w:szCs w:val="26"/>
        </w:rPr>
      </w:pPr>
      <w:r w:rsidRPr="002360E5">
        <w:rPr>
          <w:rFonts w:ascii="Times New Roman" w:hAnsi="Times New Roman"/>
          <w:i/>
          <w:color w:val="0F243E" w:themeColor="text2" w:themeShade="80"/>
          <w:sz w:val="26"/>
          <w:szCs w:val="26"/>
        </w:rPr>
        <w:t>a) nei settori ordinari, ivi inclusi i servizi attinenti all’architettura e all’ingegneria e i servizi sociali e gli altri servizi specifici elencati all’allegato IX;</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i/>
          <w:color w:val="0F243E" w:themeColor="text2" w:themeShade="80"/>
          <w:sz w:val="26"/>
          <w:szCs w:val="26"/>
        </w:rPr>
        <w:t xml:space="preserve">b) nei settori speciali, in quanto compatibili. </w:t>
      </w:r>
      <w:r w:rsidRPr="002360E5">
        <w:rPr>
          <w:rFonts w:ascii="Times New Roman" w:hAnsi="Times New Roman"/>
          <w:b/>
          <w:bCs/>
          <w:i/>
          <w:color w:val="0F243E" w:themeColor="text2" w:themeShade="80"/>
          <w:sz w:val="26"/>
          <w:szCs w:val="26"/>
        </w:rPr>
        <w:t xml:space="preserve">1.2 </w:t>
      </w:r>
      <w:r w:rsidRPr="002360E5">
        <w:rPr>
          <w:rFonts w:ascii="Times New Roman" w:hAnsi="Times New Roman"/>
          <w:i/>
          <w:color w:val="0F243E" w:themeColor="text2" w:themeShade="80"/>
          <w:sz w:val="26"/>
          <w:szCs w:val="26"/>
        </w:rPr>
        <w:t>Le imprese pubbliche e i soggetti titolari di diritti speciali ed esclusivi per gli appalti di lavori, forniture e servizi di importo inferiore alla soglia comunitaria, rientranti nell’ambito definito dagli articoli da 115 a 121, applicano la disciplina stabilita nei rispettivi regolamenti, la quale, comunque, deve essere conforme ai principi dettati dal Trattato UE, in particolare quelli di non discriminazione in base alla nazionalità, parità di trattamento, di trasparenza a tutela della concorrenza.</w:t>
      </w:r>
      <w:r w:rsidRPr="002360E5">
        <w:rPr>
          <w:rFonts w:ascii="Times New Roman" w:hAnsi="Times New Roman"/>
          <w:color w:val="0F243E" w:themeColor="text2" w:themeShade="80"/>
          <w:sz w:val="26"/>
          <w:szCs w:val="26"/>
        </w:rPr>
        <w:t>”</w:t>
      </w:r>
    </w:p>
    <w:p w:rsidR="001F060A" w:rsidRPr="002360E5" w:rsidRDefault="001F060A" w:rsidP="001F060A">
      <w:pPr>
        <w:tabs>
          <w:tab w:val="left" w:pos="0"/>
        </w:tabs>
        <w:rPr>
          <w:rFonts w:ascii="Times New Roman" w:hAnsi="Times New Roman"/>
          <w:i/>
          <w:color w:val="0F243E" w:themeColor="text2" w:themeShade="80"/>
          <w:sz w:val="26"/>
          <w:szCs w:val="26"/>
        </w:rPr>
      </w:pPr>
      <w:r w:rsidRPr="002360E5">
        <w:rPr>
          <w:rFonts w:ascii="Times New Roman" w:hAnsi="Times New Roman"/>
          <w:color w:val="0F243E" w:themeColor="text2" w:themeShade="80"/>
          <w:sz w:val="26"/>
          <w:szCs w:val="26"/>
        </w:rPr>
        <w:t>Infine, nelle LG n. 6, si descrive l’ambi</w:t>
      </w:r>
      <w:r w:rsidR="00C0735E">
        <w:rPr>
          <w:rFonts w:ascii="Times New Roman" w:hAnsi="Times New Roman"/>
          <w:color w:val="0F243E" w:themeColor="text2" w:themeShade="80"/>
          <w:sz w:val="26"/>
          <w:szCs w:val="26"/>
        </w:rPr>
        <w:t>to di applicazione del provvedim</w:t>
      </w:r>
      <w:r w:rsidRPr="002360E5">
        <w:rPr>
          <w:rFonts w:ascii="Times New Roman" w:hAnsi="Times New Roman"/>
          <w:color w:val="0F243E" w:themeColor="text2" w:themeShade="80"/>
          <w:sz w:val="26"/>
          <w:szCs w:val="26"/>
        </w:rPr>
        <w:t>ento, richiamando l’art. 80 e l’art. 136: “</w:t>
      </w:r>
      <w:r w:rsidRPr="002360E5">
        <w:rPr>
          <w:rFonts w:ascii="Times New Roman" w:hAnsi="Times New Roman"/>
          <w:b/>
          <w:bCs/>
          <w:i/>
          <w:color w:val="0F243E" w:themeColor="text2" w:themeShade="80"/>
          <w:sz w:val="26"/>
          <w:szCs w:val="26"/>
        </w:rPr>
        <w:t xml:space="preserve">1.1 </w:t>
      </w:r>
      <w:r w:rsidRPr="002360E5">
        <w:rPr>
          <w:rFonts w:ascii="Times New Roman" w:hAnsi="Times New Roman"/>
          <w:i/>
          <w:color w:val="0F243E" w:themeColor="text2" w:themeShade="80"/>
          <w:sz w:val="26"/>
          <w:szCs w:val="26"/>
        </w:rPr>
        <w:t>L’art. 80 del codice e, segnatamente, per quel che qui rileva, il suo comma 5, lett. c) si applica agli appalti e alle concessioni nei settori ordinari sia sopra che sotto soglia (art. 36, comma 5) e, ai sensi dell’art. 136 del Codice, ai settori speciali quando l’ente aggiudicatore è un’amministrazione aggiudicatrice.</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b/>
          <w:bCs/>
          <w:i/>
          <w:color w:val="0F243E" w:themeColor="text2" w:themeShade="80"/>
          <w:sz w:val="26"/>
          <w:szCs w:val="26"/>
        </w:rPr>
        <w:t xml:space="preserve">1.2 </w:t>
      </w:r>
      <w:r w:rsidRPr="002360E5">
        <w:rPr>
          <w:rFonts w:ascii="Times New Roman" w:hAnsi="Times New Roman"/>
          <w:i/>
          <w:color w:val="0F243E" w:themeColor="text2" w:themeShade="80"/>
          <w:sz w:val="26"/>
          <w:szCs w:val="26"/>
        </w:rPr>
        <w:t>Se l’ente aggiudicatore non è un’amministrazione aggiudicatrice, le norme e i criteri oggettivi per l’esclusione e la selezione degli operatori economici che richiedono di essere iscritti in un sistema di qualificazione o che richiedono di partecipare alle procedure di selezione possono includere i motivi di esclusione di cui all’art. 80, alle condizioni stabilite nel richiamato art. 136.</w:t>
      </w:r>
      <w:r w:rsidRPr="002360E5">
        <w:rPr>
          <w:rFonts w:ascii="Times New Roman" w:hAnsi="Times New Roman"/>
          <w:color w:val="0F243E" w:themeColor="text2" w:themeShade="80"/>
          <w:sz w:val="26"/>
          <w:szCs w:val="26"/>
        </w:rPr>
        <w:t>”</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Dal punto di vista oggettivo, quindi, </w:t>
      </w:r>
      <w:r w:rsidR="00FB15ED">
        <w:rPr>
          <w:rFonts w:ascii="Times New Roman" w:hAnsi="Times New Roman"/>
          <w:color w:val="0F243E" w:themeColor="text2" w:themeShade="80"/>
          <w:sz w:val="26"/>
          <w:szCs w:val="26"/>
        </w:rPr>
        <w:t>tanto l’unico</w:t>
      </w:r>
      <w:r w:rsidR="00C0735E">
        <w:rPr>
          <w:rFonts w:ascii="Times New Roman" w:hAnsi="Times New Roman"/>
          <w:color w:val="0F243E" w:themeColor="text2" w:themeShade="80"/>
          <w:sz w:val="26"/>
          <w:szCs w:val="26"/>
        </w:rPr>
        <w:t xml:space="preserve"> contratto tipo, quanto </w:t>
      </w:r>
      <w:r w:rsidRPr="002360E5">
        <w:rPr>
          <w:rFonts w:ascii="Times New Roman" w:hAnsi="Times New Roman"/>
          <w:color w:val="0F243E" w:themeColor="text2" w:themeShade="80"/>
          <w:sz w:val="26"/>
          <w:szCs w:val="26"/>
        </w:rPr>
        <w:t xml:space="preserve">le </w:t>
      </w:r>
      <w:r w:rsidR="00FB15ED">
        <w:rPr>
          <w:rFonts w:ascii="Times New Roman" w:hAnsi="Times New Roman"/>
          <w:color w:val="0F243E" w:themeColor="text2" w:themeShade="80"/>
          <w:sz w:val="26"/>
          <w:szCs w:val="26"/>
        </w:rPr>
        <w:t xml:space="preserve">8 </w:t>
      </w:r>
      <w:r w:rsidRPr="002360E5">
        <w:rPr>
          <w:rFonts w:ascii="Times New Roman" w:hAnsi="Times New Roman"/>
          <w:color w:val="0F243E" w:themeColor="text2" w:themeShade="80"/>
          <w:sz w:val="26"/>
          <w:szCs w:val="26"/>
        </w:rPr>
        <w:t>LG finora varate dall’ANAC non prevedono alcuna prescrizione differenziata per i settori speciali, nemmeno nella forma attenuata del consiglio, dell’esortazione, della indicazione della migliore pratica.</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Né l’istruttoria degli atti evidenzia una particolare consapevolezza della scelta compiuta.</w:t>
      </w:r>
    </w:p>
    <w:p w:rsidR="001F060A"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Presumibilmente, nei casi considerati non sono emerse ragioni peculiari di differenziazione e l’Autorità ha </w:t>
      </w:r>
      <w:r w:rsidR="002C43B4">
        <w:rPr>
          <w:rFonts w:ascii="Times New Roman" w:hAnsi="Times New Roman"/>
          <w:color w:val="0F243E" w:themeColor="text2" w:themeShade="80"/>
          <w:sz w:val="26"/>
          <w:szCs w:val="26"/>
        </w:rPr>
        <w:t>fin</w:t>
      </w:r>
      <w:r w:rsidRPr="002360E5">
        <w:rPr>
          <w:rFonts w:ascii="Times New Roman" w:hAnsi="Times New Roman"/>
          <w:color w:val="0F243E" w:themeColor="text2" w:themeShade="80"/>
          <w:sz w:val="26"/>
          <w:szCs w:val="26"/>
        </w:rPr>
        <w:t>ito</w:t>
      </w:r>
      <w:r w:rsidR="00005572">
        <w:rPr>
          <w:rFonts w:ascii="Times New Roman" w:hAnsi="Times New Roman"/>
          <w:color w:val="0F243E" w:themeColor="text2" w:themeShade="80"/>
          <w:sz w:val="26"/>
          <w:szCs w:val="26"/>
        </w:rPr>
        <w:t>, in sostanza,</w:t>
      </w:r>
      <w:r w:rsidRPr="002360E5">
        <w:rPr>
          <w:rFonts w:ascii="Times New Roman" w:hAnsi="Times New Roman"/>
          <w:color w:val="0F243E" w:themeColor="text2" w:themeShade="80"/>
          <w:sz w:val="26"/>
          <w:szCs w:val="26"/>
        </w:rPr>
        <w:t xml:space="preserve"> </w:t>
      </w:r>
      <w:r w:rsidR="002C43B4">
        <w:rPr>
          <w:rFonts w:ascii="Times New Roman" w:hAnsi="Times New Roman"/>
          <w:color w:val="0F243E" w:themeColor="text2" w:themeShade="80"/>
          <w:sz w:val="26"/>
          <w:szCs w:val="26"/>
        </w:rPr>
        <w:t xml:space="preserve">per </w:t>
      </w:r>
      <w:r w:rsidRPr="002360E5">
        <w:rPr>
          <w:rFonts w:ascii="Times New Roman" w:hAnsi="Times New Roman"/>
          <w:color w:val="0F243E" w:themeColor="text2" w:themeShade="80"/>
          <w:sz w:val="26"/>
          <w:szCs w:val="26"/>
        </w:rPr>
        <w:t>incoraggiare il processo di omogeneizzazione delle procedure</w:t>
      </w:r>
      <w:r w:rsidR="00005572">
        <w:rPr>
          <w:rFonts w:ascii="Times New Roman" w:hAnsi="Times New Roman"/>
          <w:color w:val="0F243E" w:themeColor="text2" w:themeShade="80"/>
          <w:sz w:val="26"/>
          <w:szCs w:val="26"/>
        </w:rPr>
        <w:t>, stabilito dalla legge</w:t>
      </w:r>
      <w:r w:rsidRPr="002360E5">
        <w:rPr>
          <w:rFonts w:ascii="Times New Roman" w:hAnsi="Times New Roman"/>
          <w:color w:val="0F243E" w:themeColor="text2" w:themeShade="80"/>
          <w:sz w:val="26"/>
          <w:szCs w:val="26"/>
        </w:rPr>
        <w:t>.</w:t>
      </w:r>
    </w:p>
    <w:p w:rsidR="006A1CB7" w:rsidRDefault="006A1CB7" w:rsidP="001F060A">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Al tempo stesso, in questo modo, gli interventi regolatori sembrano coerenti con il principio del divieto del </w:t>
      </w:r>
      <w:r w:rsidRPr="00022A99">
        <w:rPr>
          <w:rFonts w:ascii="Times New Roman" w:hAnsi="Times New Roman"/>
          <w:i/>
          <w:color w:val="0F243E" w:themeColor="text2" w:themeShade="80"/>
          <w:sz w:val="26"/>
          <w:szCs w:val="26"/>
        </w:rPr>
        <w:t>gold plating</w:t>
      </w:r>
      <w:r>
        <w:rPr>
          <w:rFonts w:ascii="Times New Roman" w:hAnsi="Times New Roman"/>
          <w:color w:val="0F243E" w:themeColor="text2" w:themeShade="80"/>
          <w:sz w:val="26"/>
          <w:szCs w:val="26"/>
        </w:rPr>
        <w:t>, perché non aggiungono</w:t>
      </w:r>
      <w:r w:rsidR="00FB15ED">
        <w:rPr>
          <w:rFonts w:ascii="Times New Roman" w:hAnsi="Times New Roman"/>
          <w:color w:val="0F243E" w:themeColor="text2" w:themeShade="80"/>
          <w:sz w:val="26"/>
          <w:szCs w:val="26"/>
        </w:rPr>
        <w:t>, per i settori speciali,</w:t>
      </w:r>
      <w:r>
        <w:rPr>
          <w:rFonts w:ascii="Times New Roman" w:hAnsi="Times New Roman"/>
          <w:color w:val="0F243E" w:themeColor="text2" w:themeShade="80"/>
          <w:sz w:val="26"/>
          <w:szCs w:val="26"/>
        </w:rPr>
        <w:t xml:space="preserve"> livelli di </w:t>
      </w:r>
      <w:r w:rsidR="00022A99">
        <w:rPr>
          <w:rFonts w:ascii="Times New Roman" w:hAnsi="Times New Roman"/>
          <w:color w:val="0F243E" w:themeColor="text2" w:themeShade="80"/>
          <w:sz w:val="26"/>
          <w:szCs w:val="26"/>
        </w:rPr>
        <w:t>disciplina non necessari e non espressamente previsti.</w:t>
      </w:r>
    </w:p>
    <w:p w:rsidR="00022A99" w:rsidRPr="002360E5" w:rsidRDefault="00022A99" w:rsidP="001F060A">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Ancora, in questo modo, risulta ampiamente garantita la flessibilità e l’autonomia delle stazioni appaltanti operanti nei settori speciali</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Resta però la sensazione che l’ANAC non abbia inteso affrontare </w:t>
      </w:r>
      <w:r w:rsidR="00563074">
        <w:rPr>
          <w:rFonts w:ascii="Times New Roman" w:hAnsi="Times New Roman"/>
          <w:color w:val="0F243E" w:themeColor="text2" w:themeShade="80"/>
          <w:sz w:val="26"/>
          <w:szCs w:val="26"/>
        </w:rPr>
        <w:t xml:space="preserve">seriamente </w:t>
      </w:r>
      <w:r w:rsidRPr="002360E5">
        <w:rPr>
          <w:rFonts w:ascii="Times New Roman" w:hAnsi="Times New Roman"/>
          <w:color w:val="0F243E" w:themeColor="text2" w:themeShade="80"/>
          <w:sz w:val="26"/>
          <w:szCs w:val="26"/>
        </w:rPr>
        <w:t xml:space="preserve">il tema della </w:t>
      </w:r>
      <w:r w:rsidR="00563074">
        <w:rPr>
          <w:rFonts w:ascii="Times New Roman" w:hAnsi="Times New Roman"/>
          <w:color w:val="0F243E" w:themeColor="text2" w:themeShade="80"/>
          <w:sz w:val="26"/>
          <w:szCs w:val="26"/>
        </w:rPr>
        <w:t xml:space="preserve">possibile </w:t>
      </w:r>
      <w:r w:rsidRPr="002360E5">
        <w:rPr>
          <w:rFonts w:ascii="Times New Roman" w:hAnsi="Times New Roman"/>
          <w:color w:val="0F243E" w:themeColor="text2" w:themeShade="80"/>
          <w:sz w:val="26"/>
          <w:szCs w:val="26"/>
        </w:rPr>
        <w:t>flessibilità “</w:t>
      </w:r>
      <w:r w:rsidRPr="00563074">
        <w:rPr>
          <w:rFonts w:ascii="Times New Roman" w:hAnsi="Times New Roman"/>
          <w:i/>
          <w:color w:val="0F243E" w:themeColor="text2" w:themeShade="80"/>
          <w:sz w:val="26"/>
          <w:szCs w:val="26"/>
        </w:rPr>
        <w:t>orizzontale</w:t>
      </w:r>
      <w:r w:rsidRPr="002360E5">
        <w:rPr>
          <w:rFonts w:ascii="Times New Roman" w:hAnsi="Times New Roman"/>
          <w:color w:val="0F243E" w:themeColor="text2" w:themeShade="80"/>
          <w:sz w:val="26"/>
          <w:szCs w:val="26"/>
        </w:rPr>
        <w:t>” della regolazione che, forse, avrebbe potuto indirizzare verso atti più articolati e differenziati.</w:t>
      </w:r>
    </w:p>
    <w:p w:rsidR="001F060A"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D’altro canto, nemmeno gli </w:t>
      </w:r>
      <w:r w:rsidRPr="002360E5">
        <w:rPr>
          <w:rFonts w:ascii="Times New Roman" w:hAnsi="Times New Roman"/>
          <w:i/>
          <w:color w:val="0F243E" w:themeColor="text2" w:themeShade="80"/>
          <w:sz w:val="26"/>
          <w:szCs w:val="26"/>
        </w:rPr>
        <w:t>stakeholders</w:t>
      </w:r>
      <w:r w:rsidRPr="002360E5">
        <w:rPr>
          <w:rFonts w:ascii="Times New Roman" w:hAnsi="Times New Roman"/>
          <w:color w:val="0F243E" w:themeColor="text2" w:themeShade="80"/>
          <w:sz w:val="26"/>
          <w:szCs w:val="26"/>
        </w:rPr>
        <w:t xml:space="preserve"> dei settori speciali hanno manifestato particolare interesse per l’adozio</w:t>
      </w:r>
      <w:r w:rsidR="00563074">
        <w:rPr>
          <w:rFonts w:ascii="Times New Roman" w:hAnsi="Times New Roman"/>
          <w:color w:val="0F243E" w:themeColor="text2" w:themeShade="80"/>
          <w:sz w:val="26"/>
          <w:szCs w:val="26"/>
        </w:rPr>
        <w:t>ne di regole diversificate, né,</w:t>
      </w:r>
      <w:r w:rsidR="00383821">
        <w:rPr>
          <w:rFonts w:ascii="Times New Roman" w:hAnsi="Times New Roman"/>
          <w:color w:val="0F243E" w:themeColor="text2" w:themeShade="80"/>
          <w:sz w:val="26"/>
          <w:szCs w:val="26"/>
        </w:rPr>
        <w:t xml:space="preserve"> </w:t>
      </w:r>
      <w:r w:rsidR="00563074">
        <w:rPr>
          <w:rFonts w:ascii="Times New Roman" w:hAnsi="Times New Roman"/>
          <w:color w:val="0F243E" w:themeColor="text2" w:themeShade="80"/>
          <w:sz w:val="26"/>
          <w:szCs w:val="26"/>
        </w:rPr>
        <w:t>all’opposto</w:t>
      </w:r>
      <w:r w:rsidR="00383821">
        <w:rPr>
          <w:rFonts w:ascii="Times New Roman" w:hAnsi="Times New Roman"/>
          <w:color w:val="0F243E" w:themeColor="text2" w:themeShade="80"/>
          <w:sz w:val="26"/>
          <w:szCs w:val="26"/>
        </w:rPr>
        <w:t>, si sono espressi nel senso di accentuare la convergenza verso la disciplina dei settori ordinari</w:t>
      </w:r>
      <w:r w:rsidR="00563074">
        <w:rPr>
          <w:rFonts w:ascii="Times New Roman" w:hAnsi="Times New Roman"/>
          <w:color w:val="0F243E" w:themeColor="text2" w:themeShade="80"/>
          <w:sz w:val="26"/>
          <w:szCs w:val="26"/>
        </w:rPr>
        <w:t>.</w:t>
      </w:r>
    </w:p>
    <w:p w:rsidR="00383821" w:rsidRPr="002360E5" w:rsidRDefault="00383821" w:rsidP="001F060A">
      <w:pPr>
        <w:tabs>
          <w:tab w:val="left" w:pos="0"/>
        </w:tabs>
        <w:rPr>
          <w:rFonts w:ascii="Times New Roman" w:hAnsi="Times New Roman"/>
          <w:color w:val="0F243E" w:themeColor="text2" w:themeShade="80"/>
          <w:sz w:val="26"/>
          <w:szCs w:val="26"/>
        </w:rPr>
      </w:pPr>
    </w:p>
    <w:p w:rsidR="00F32607" w:rsidRPr="007156BC" w:rsidRDefault="00294895" w:rsidP="00F32607">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sidRPr="007156BC">
        <w:rPr>
          <w:rFonts w:ascii="Times New Roman" w:hAnsi="Times New Roman"/>
          <w:b/>
          <w:smallCaps/>
          <w:color w:val="0F243E" w:themeColor="text2" w:themeShade="80"/>
          <w:sz w:val="26"/>
          <w:szCs w:val="26"/>
        </w:rPr>
        <w:t>L’esperienza concreta dei bandi tipo. L’inapplicabilità diretta ai settori speciali e l</w:t>
      </w:r>
      <w:r w:rsidR="007156BC">
        <w:rPr>
          <w:rFonts w:ascii="Times New Roman" w:hAnsi="Times New Roman"/>
          <w:b/>
          <w:smallCaps/>
          <w:color w:val="0F243E" w:themeColor="text2" w:themeShade="80"/>
          <w:sz w:val="26"/>
          <w:szCs w:val="26"/>
        </w:rPr>
        <w:t>’esortazione</w:t>
      </w:r>
      <w:r w:rsidRPr="007156BC">
        <w:rPr>
          <w:rFonts w:ascii="Times New Roman" w:hAnsi="Times New Roman"/>
          <w:b/>
          <w:smallCaps/>
          <w:color w:val="0F243E" w:themeColor="text2" w:themeShade="80"/>
          <w:sz w:val="26"/>
          <w:szCs w:val="26"/>
        </w:rPr>
        <w:t xml:space="preserve"> </w:t>
      </w:r>
      <w:r w:rsidR="007156BC" w:rsidRPr="007156BC">
        <w:rPr>
          <w:rFonts w:ascii="Times New Roman" w:hAnsi="Times New Roman"/>
          <w:b/>
          <w:smallCaps/>
          <w:color w:val="0F243E" w:themeColor="text2" w:themeShade="80"/>
          <w:sz w:val="26"/>
          <w:szCs w:val="26"/>
        </w:rPr>
        <w:t>non vincolante dell’ANAC</w:t>
      </w:r>
      <w:r w:rsidR="007156BC">
        <w:rPr>
          <w:rFonts w:ascii="Times New Roman" w:hAnsi="Times New Roman"/>
          <w:b/>
          <w:smallCaps/>
          <w:color w:val="0F243E" w:themeColor="text2" w:themeShade="80"/>
          <w:sz w:val="26"/>
          <w:szCs w:val="26"/>
        </w:rPr>
        <w:t xml:space="preserve"> alla loro osservanza spontanea</w:t>
      </w:r>
      <w:r w:rsidR="007156BC" w:rsidRPr="007156BC">
        <w:rPr>
          <w:rFonts w:ascii="Times New Roman" w:hAnsi="Times New Roman"/>
          <w:b/>
          <w:smallCaps/>
          <w:color w:val="0F243E" w:themeColor="text2" w:themeShade="80"/>
          <w:sz w:val="26"/>
          <w:szCs w:val="26"/>
        </w:rPr>
        <w:t>.</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A considerazioni parzialmente diverse</w:t>
      </w:r>
      <w:r w:rsidR="002C43B4">
        <w:rPr>
          <w:rFonts w:ascii="Times New Roman" w:hAnsi="Times New Roman"/>
          <w:color w:val="0F243E" w:themeColor="text2" w:themeShade="80"/>
          <w:sz w:val="26"/>
          <w:szCs w:val="26"/>
        </w:rPr>
        <w:t xml:space="preserve"> in ordine alle peculiarità dei settori speciali</w:t>
      </w:r>
      <w:r w:rsidRPr="002360E5">
        <w:rPr>
          <w:rFonts w:ascii="Times New Roman" w:hAnsi="Times New Roman"/>
          <w:color w:val="0F243E" w:themeColor="text2" w:themeShade="80"/>
          <w:sz w:val="26"/>
          <w:szCs w:val="26"/>
        </w:rPr>
        <w:t xml:space="preserve"> conduce la valutazione dei due </w:t>
      </w:r>
      <w:r w:rsidRPr="002360E5">
        <w:rPr>
          <w:rFonts w:ascii="Times New Roman" w:hAnsi="Times New Roman"/>
          <w:i/>
          <w:color w:val="0F243E" w:themeColor="text2" w:themeShade="80"/>
          <w:sz w:val="26"/>
          <w:szCs w:val="26"/>
        </w:rPr>
        <w:t>bandi tipo</w:t>
      </w:r>
      <w:r w:rsidRPr="002360E5">
        <w:rPr>
          <w:rFonts w:ascii="Times New Roman" w:hAnsi="Times New Roman"/>
          <w:color w:val="0F243E" w:themeColor="text2" w:themeShade="80"/>
          <w:sz w:val="26"/>
          <w:szCs w:val="26"/>
        </w:rPr>
        <w:t xml:space="preserve"> finora adottati dall’ANAC.</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Va premesso che l’art. né l’art. 71, relativo ai bandi tipo, né l’art. 59 (che, disciplinando il bando nei settori ordinari</w:t>
      </w:r>
      <w:r w:rsidR="00383821">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richiama espressamente l’art. 71) sono applicabili ai settori speciali. In tale ambito, del resto, il codice prevede un’apposita dettagliata disciplina</w:t>
      </w:r>
      <w:r w:rsidR="00647E93">
        <w:rPr>
          <w:rFonts w:ascii="Times New Roman" w:hAnsi="Times New Roman"/>
          <w:color w:val="0F243E" w:themeColor="text2" w:themeShade="80"/>
          <w:sz w:val="26"/>
          <w:szCs w:val="26"/>
        </w:rPr>
        <w:t xml:space="preserve"> riguardante i contenuti del disciplinare di gara e il suo procedimento di formazione</w:t>
      </w:r>
      <w:r w:rsidRPr="002360E5">
        <w:rPr>
          <w:rFonts w:ascii="Times New Roman" w:hAnsi="Times New Roman"/>
          <w:color w:val="0F243E" w:themeColor="text2" w:themeShade="80"/>
          <w:sz w:val="26"/>
          <w:szCs w:val="26"/>
        </w:rPr>
        <w:t>.</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Pertanto, entrambi i bandi tipo muovono dalla corretta affermazione della inapplicabilità delle regole </w:t>
      </w:r>
      <w:r w:rsidR="00B01D97">
        <w:rPr>
          <w:rFonts w:ascii="Times New Roman" w:hAnsi="Times New Roman"/>
          <w:color w:val="0F243E" w:themeColor="text2" w:themeShade="80"/>
          <w:sz w:val="26"/>
          <w:szCs w:val="26"/>
        </w:rPr>
        <w:t xml:space="preserve">da esse stabilite </w:t>
      </w:r>
      <w:r w:rsidRPr="002360E5">
        <w:rPr>
          <w:rFonts w:ascii="Times New Roman" w:hAnsi="Times New Roman"/>
          <w:color w:val="0F243E" w:themeColor="text2" w:themeShade="80"/>
          <w:sz w:val="26"/>
          <w:szCs w:val="26"/>
        </w:rPr>
        <w:t>ai settori speciali.</w:t>
      </w:r>
    </w:p>
    <w:p w:rsidR="001F060A" w:rsidRPr="002360E5" w:rsidRDefault="001F060A" w:rsidP="001F060A">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Tutta</w:t>
      </w:r>
      <w:r w:rsidR="00B01D97">
        <w:rPr>
          <w:rFonts w:ascii="Times New Roman" w:hAnsi="Times New Roman"/>
          <w:color w:val="0F243E" w:themeColor="text2" w:themeShade="80"/>
          <w:sz w:val="26"/>
          <w:szCs w:val="26"/>
        </w:rPr>
        <w:t xml:space="preserve">via, con molta prudenza, l’ANAC, in entrambi i provvedimenti, </w:t>
      </w:r>
      <w:r w:rsidRPr="002360E5">
        <w:rPr>
          <w:rFonts w:ascii="Times New Roman" w:hAnsi="Times New Roman"/>
          <w:color w:val="0F243E" w:themeColor="text2" w:themeShade="80"/>
          <w:sz w:val="26"/>
          <w:szCs w:val="26"/>
        </w:rPr>
        <w:t>“</w:t>
      </w:r>
      <w:r w:rsidRPr="00957D2B">
        <w:rPr>
          <w:rFonts w:ascii="Times New Roman" w:hAnsi="Times New Roman"/>
          <w:i/>
          <w:color w:val="0F243E" w:themeColor="text2" w:themeShade="80"/>
          <w:sz w:val="26"/>
          <w:szCs w:val="26"/>
        </w:rPr>
        <w:t>invita</w:t>
      </w:r>
      <w:r w:rsidRPr="002360E5">
        <w:rPr>
          <w:rFonts w:ascii="Times New Roman" w:hAnsi="Times New Roman"/>
          <w:color w:val="0F243E" w:themeColor="text2" w:themeShade="80"/>
          <w:sz w:val="26"/>
          <w:szCs w:val="26"/>
        </w:rPr>
        <w:t>” le stazioni appaltanti non soggette al vincolo condizionato del bando tipo a uniformarsi ad esso, se non vi sono norme “incompatibili”.</w:t>
      </w:r>
    </w:p>
    <w:p w:rsidR="00A60E96" w:rsidRPr="00F421DE" w:rsidRDefault="00A60E96" w:rsidP="00A60E96">
      <w:pPr>
        <w:tabs>
          <w:tab w:val="left" w:pos="0"/>
        </w:tabs>
        <w:rPr>
          <w:rFonts w:ascii="Times New Roman" w:hAnsi="Times New Roman"/>
          <w:color w:val="365F91"/>
          <w:sz w:val="26"/>
          <w:szCs w:val="26"/>
        </w:rPr>
      </w:pPr>
      <w:r w:rsidRPr="00F421DE">
        <w:rPr>
          <w:rFonts w:ascii="Times New Roman" w:hAnsi="Times New Roman"/>
          <w:color w:val="365F91"/>
          <w:sz w:val="26"/>
          <w:szCs w:val="26"/>
        </w:rPr>
        <w:t>I</w:t>
      </w:r>
      <w:r w:rsidR="004B36C1" w:rsidRPr="00F421DE">
        <w:rPr>
          <w:rFonts w:ascii="Times New Roman" w:hAnsi="Times New Roman"/>
          <w:color w:val="365F91"/>
          <w:sz w:val="26"/>
          <w:szCs w:val="26"/>
        </w:rPr>
        <w:t>n particolare, i</w:t>
      </w:r>
      <w:r w:rsidRPr="00F421DE">
        <w:rPr>
          <w:rFonts w:ascii="Times New Roman" w:hAnsi="Times New Roman"/>
          <w:color w:val="365F91"/>
          <w:sz w:val="26"/>
          <w:szCs w:val="26"/>
        </w:rPr>
        <w:t xml:space="preserve">l primo bando tipo varato dall’ANAC ribadisce il carattere </w:t>
      </w:r>
      <w:r w:rsidRPr="00F421DE">
        <w:rPr>
          <w:rFonts w:ascii="Times New Roman" w:hAnsi="Times New Roman"/>
          <w:i/>
          <w:color w:val="365F91"/>
          <w:sz w:val="26"/>
          <w:szCs w:val="26"/>
        </w:rPr>
        <w:t>vincolante</w:t>
      </w:r>
      <w:r w:rsidRPr="00F421DE">
        <w:rPr>
          <w:rFonts w:ascii="Times New Roman" w:hAnsi="Times New Roman"/>
          <w:color w:val="365F91"/>
          <w:sz w:val="26"/>
          <w:szCs w:val="26"/>
        </w:rPr>
        <w:t xml:space="preserve"> delle prescrizioni, indicando le possibilità di deroga, in alcuni casi incoraggiando le stazioni appaltanti a modificare il disciplinare.</w:t>
      </w:r>
    </w:p>
    <w:p w:rsidR="00A60E96" w:rsidRPr="00F421DE" w:rsidRDefault="004B36C1" w:rsidP="00A60E96">
      <w:pPr>
        <w:tabs>
          <w:tab w:val="left" w:pos="0"/>
        </w:tabs>
        <w:rPr>
          <w:rFonts w:ascii="Times New Roman" w:hAnsi="Times New Roman"/>
          <w:color w:val="365F91"/>
          <w:sz w:val="26"/>
          <w:szCs w:val="26"/>
        </w:rPr>
      </w:pPr>
      <w:r w:rsidRPr="00F421DE">
        <w:rPr>
          <w:rFonts w:ascii="Times New Roman" w:hAnsi="Times New Roman"/>
          <w:color w:val="365F91"/>
          <w:sz w:val="26"/>
          <w:szCs w:val="26"/>
        </w:rPr>
        <w:t xml:space="preserve">Ad esempio, si dice che </w:t>
      </w:r>
      <w:r w:rsidR="00A60E96" w:rsidRPr="00F421DE">
        <w:rPr>
          <w:rFonts w:ascii="Times New Roman" w:hAnsi="Times New Roman"/>
          <w:color w:val="365F91"/>
          <w:sz w:val="26"/>
          <w:szCs w:val="26"/>
        </w:rPr>
        <w:t>“</w:t>
      </w:r>
      <w:r w:rsidR="00A60E96" w:rsidRPr="00F421DE">
        <w:rPr>
          <w:rFonts w:ascii="Times New Roman" w:hAnsi="Times New Roman"/>
          <w:i/>
          <w:color w:val="365F91"/>
          <w:sz w:val="26"/>
          <w:szCs w:val="26"/>
        </w:rPr>
        <w:t>La circostanza che la gara sia telematica costituisce adeguata motivazione di scostamento dalle previsioni del Disciplinare tipo, pertanto, in caso di gara telematica le stazioni appaltanti apporteranno le opportune modifiche al testo del Disciplinare.”</w:t>
      </w:r>
    </w:p>
    <w:p w:rsidR="00A60E96" w:rsidRPr="00F421DE" w:rsidRDefault="00A60E96" w:rsidP="00A60E96">
      <w:pPr>
        <w:tabs>
          <w:tab w:val="left" w:pos="0"/>
        </w:tabs>
        <w:rPr>
          <w:rFonts w:ascii="Times New Roman" w:hAnsi="Times New Roman"/>
          <w:color w:val="365F91"/>
          <w:sz w:val="26"/>
          <w:szCs w:val="26"/>
        </w:rPr>
      </w:pPr>
      <w:r w:rsidRPr="00F421DE">
        <w:rPr>
          <w:rFonts w:ascii="Times New Roman" w:hAnsi="Times New Roman"/>
          <w:color w:val="365F91"/>
          <w:sz w:val="26"/>
          <w:szCs w:val="26"/>
        </w:rPr>
        <w:t>“</w:t>
      </w:r>
      <w:r w:rsidRPr="00F421DE">
        <w:rPr>
          <w:rFonts w:ascii="Times New Roman" w:hAnsi="Times New Roman"/>
          <w:i/>
          <w:color w:val="365F91"/>
          <w:sz w:val="26"/>
          <w:szCs w:val="26"/>
        </w:rPr>
        <w:t>Nel caso in cui la Stazione appaltante voglia prevedere un Bando che prevede l’aggiudicazione con il criterio del prezzo più basso, il Disciplinare può essere opportunamente adattato e utilizzato nella misura in cui sia compatibile</w:t>
      </w:r>
      <w:r w:rsidRPr="00F421DE">
        <w:rPr>
          <w:rFonts w:ascii="Times New Roman" w:hAnsi="Times New Roman"/>
          <w:color w:val="365F91"/>
          <w:sz w:val="26"/>
          <w:szCs w:val="26"/>
        </w:rPr>
        <w:t>.”</w:t>
      </w:r>
    </w:p>
    <w:p w:rsidR="00A60E96" w:rsidRPr="00F421DE" w:rsidRDefault="00A60E96" w:rsidP="00A60E96">
      <w:pPr>
        <w:tabs>
          <w:tab w:val="left" w:pos="0"/>
        </w:tabs>
        <w:rPr>
          <w:rFonts w:ascii="Times New Roman" w:hAnsi="Times New Roman"/>
          <w:color w:val="365F91"/>
          <w:sz w:val="26"/>
          <w:szCs w:val="26"/>
        </w:rPr>
      </w:pPr>
      <w:r w:rsidRPr="00F421DE">
        <w:rPr>
          <w:rFonts w:ascii="Times New Roman" w:hAnsi="Times New Roman"/>
          <w:color w:val="365F91"/>
          <w:sz w:val="26"/>
          <w:szCs w:val="26"/>
        </w:rPr>
        <w:t>Di notevole interesse è anche l’articolato r</w:t>
      </w:r>
      <w:r w:rsidR="00C744BF" w:rsidRPr="00F421DE">
        <w:rPr>
          <w:rFonts w:ascii="Times New Roman" w:hAnsi="Times New Roman"/>
          <w:color w:val="365F91"/>
          <w:sz w:val="26"/>
          <w:szCs w:val="26"/>
        </w:rPr>
        <w:t>iferimento ai settori speciali.</w:t>
      </w:r>
    </w:p>
    <w:p w:rsidR="00E55D4C" w:rsidRPr="002360E5"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Secondo l’ANAC, </w:t>
      </w:r>
      <w:r w:rsidRPr="002360E5">
        <w:rPr>
          <w:rFonts w:ascii="Times New Roman" w:hAnsi="Times New Roman"/>
          <w:color w:val="0F243E" w:themeColor="text2" w:themeShade="80"/>
          <w:sz w:val="26"/>
          <w:szCs w:val="26"/>
        </w:rPr>
        <w:t>sol</w:t>
      </w:r>
      <w:r>
        <w:rPr>
          <w:rFonts w:ascii="Times New Roman" w:hAnsi="Times New Roman"/>
          <w:color w:val="0F243E" w:themeColor="text2" w:themeShade="80"/>
          <w:sz w:val="26"/>
          <w:szCs w:val="26"/>
        </w:rPr>
        <w:t>tant</w:t>
      </w:r>
      <w:r w:rsidRPr="002360E5">
        <w:rPr>
          <w:rFonts w:ascii="Times New Roman" w:hAnsi="Times New Roman"/>
          <w:color w:val="0F243E" w:themeColor="text2" w:themeShade="80"/>
          <w:sz w:val="26"/>
          <w:szCs w:val="26"/>
        </w:rPr>
        <w:t>o le amministrazioni aggiudicatrici sono tenute a farne applicazione, ma solo per l’affidamento di forniture e servizi non connessi con le attività di cui agli articoli da 115-121. Altrimenti, per tutti gli enti aggiudicatori, l’utilizzo del bando tipo</w:t>
      </w:r>
      <w:r>
        <w:rPr>
          <w:rFonts w:ascii="Times New Roman" w:hAnsi="Times New Roman"/>
          <w:color w:val="0F243E" w:themeColor="text2" w:themeShade="80"/>
          <w:sz w:val="26"/>
          <w:szCs w:val="26"/>
        </w:rPr>
        <w:t>, sebbene non obbligatorio,</w:t>
      </w:r>
      <w:r w:rsidRPr="002360E5">
        <w:rPr>
          <w:rFonts w:ascii="Times New Roman" w:hAnsi="Times New Roman"/>
          <w:color w:val="0F243E" w:themeColor="text2" w:themeShade="80"/>
          <w:sz w:val="26"/>
          <w:szCs w:val="26"/>
        </w:rPr>
        <w:t xml:space="preserve"> è </w:t>
      </w:r>
      <w:r>
        <w:rPr>
          <w:rFonts w:ascii="Times New Roman" w:hAnsi="Times New Roman"/>
          <w:color w:val="0F243E" w:themeColor="text2" w:themeShade="80"/>
          <w:sz w:val="26"/>
          <w:szCs w:val="26"/>
        </w:rPr>
        <w:t>“consigliato”</w:t>
      </w:r>
      <w:r w:rsidRPr="002360E5">
        <w:rPr>
          <w:rFonts w:ascii="Times New Roman" w:hAnsi="Times New Roman"/>
          <w:color w:val="0F243E" w:themeColor="text2" w:themeShade="80"/>
          <w:sz w:val="26"/>
          <w:szCs w:val="26"/>
        </w:rPr>
        <w:t>.</w:t>
      </w:r>
    </w:p>
    <w:p w:rsidR="00E55D4C" w:rsidRPr="002360E5" w:rsidRDefault="00E55D4C" w:rsidP="00E55D4C">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w:t>
      </w:r>
      <w:r w:rsidRPr="002360E5">
        <w:rPr>
          <w:rFonts w:ascii="Times New Roman" w:hAnsi="Times New Roman"/>
          <w:i/>
          <w:color w:val="0F243E" w:themeColor="text2" w:themeShade="80"/>
          <w:sz w:val="26"/>
          <w:szCs w:val="26"/>
        </w:rPr>
        <w:t>Il Disciplinare in parola non è vincolante per gli enti aggiudicatori che operano nei settori speciali. Tuttavia, si invitano gli stessi ad utilizzare le parti dello schema proposto, in quanto compatibili con la disciplina dei suddetti settori, al fine di ottenere una maggiore standardizzazione dei bandi di gara. Il modello è obbligatorio per le amministrazioni aggiudicatrici che operano nei settori speciali quando affidano servizi e forniture non connesse con le attività di cui agli articoli da 115 a 121 del Codice, in quanto la disciplina di riferimento, in tal caso, resta quella dedicata dal Codice ai settori ordinari.</w:t>
      </w:r>
      <w:r w:rsidRPr="002360E5">
        <w:rPr>
          <w:rFonts w:ascii="Times New Roman" w:hAnsi="Times New Roman"/>
          <w:color w:val="0F243E" w:themeColor="text2" w:themeShade="80"/>
          <w:sz w:val="26"/>
          <w:szCs w:val="26"/>
        </w:rPr>
        <w:t>”</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A stretto rigore, questa “raccomandazione” dell’ANAC sembrerebbe del tutto estranea ai contenuti tipici del bando tipo. Questo deve prevedere prescrizioni vincolanti, salvo deroga motivata.</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D’altro canto, una volta correttamente riconosciuto l’ambito di applicazione delle prescrizioni, non estensibili ai settori speciali, l’intervento dell’Autorità in questo ambito dovrebbe reputarsi precluso.</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Insomma, vi sarebbero due ragioni distinte per dubitare della pertinenza delle indicazioni fornite dall’ANAC:</w:t>
      </w:r>
    </w:p>
    <w:p w:rsidR="00E55D4C" w:rsidRDefault="00E55D4C" w:rsidP="00E55D4C">
      <w:pPr>
        <w:pStyle w:val="Paragrafoelenco"/>
        <w:numPr>
          <w:ilvl w:val="0"/>
          <w:numId w:val="15"/>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w:t>
      </w:r>
      <w:r w:rsidR="00C744BF">
        <w:rPr>
          <w:rFonts w:ascii="Times New Roman" w:hAnsi="Times New Roman"/>
          <w:color w:val="0F243E" w:themeColor="text2" w:themeShade="80"/>
          <w:sz w:val="26"/>
          <w:szCs w:val="26"/>
        </w:rPr>
        <w:t>n generale, i</w:t>
      </w:r>
      <w:r>
        <w:rPr>
          <w:rFonts w:ascii="Times New Roman" w:hAnsi="Times New Roman"/>
          <w:color w:val="0F243E" w:themeColor="text2" w:themeShade="80"/>
          <w:sz w:val="26"/>
          <w:szCs w:val="26"/>
        </w:rPr>
        <w:t xml:space="preserve">l bando tipo deve contenere solo </w:t>
      </w:r>
      <w:r w:rsidRPr="00B71945">
        <w:rPr>
          <w:rFonts w:ascii="Times New Roman" w:hAnsi="Times New Roman"/>
          <w:i/>
          <w:color w:val="0F243E" w:themeColor="text2" w:themeShade="80"/>
          <w:sz w:val="26"/>
          <w:szCs w:val="26"/>
        </w:rPr>
        <w:t>vincoli</w:t>
      </w:r>
      <w:r>
        <w:rPr>
          <w:rFonts w:ascii="Times New Roman" w:hAnsi="Times New Roman"/>
          <w:color w:val="0F243E" w:themeColor="text2" w:themeShade="80"/>
          <w:sz w:val="26"/>
          <w:szCs w:val="26"/>
        </w:rPr>
        <w:t xml:space="preserve"> condizionati</w:t>
      </w:r>
      <w:r w:rsidR="00C744BF">
        <w:rPr>
          <w:rFonts w:ascii="Times New Roman" w:hAnsi="Times New Roman"/>
          <w:color w:val="0F243E" w:themeColor="text2" w:themeShade="80"/>
          <w:sz w:val="26"/>
          <w:szCs w:val="26"/>
        </w:rPr>
        <w:t xml:space="preserve"> e non consigli</w:t>
      </w:r>
      <w:r>
        <w:rPr>
          <w:rFonts w:ascii="Times New Roman" w:hAnsi="Times New Roman"/>
          <w:color w:val="0F243E" w:themeColor="text2" w:themeShade="80"/>
          <w:sz w:val="26"/>
          <w:szCs w:val="26"/>
        </w:rPr>
        <w:t>;</w:t>
      </w:r>
    </w:p>
    <w:p w:rsidR="00E55D4C" w:rsidRPr="008F4A26" w:rsidRDefault="00E55D4C" w:rsidP="00E55D4C">
      <w:pPr>
        <w:pStyle w:val="Paragrafoelenco"/>
        <w:numPr>
          <w:ilvl w:val="0"/>
          <w:numId w:val="15"/>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Non può riguardare un oggetto estraneo al suo ambito di applicazione.</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Entrambe le affermazioni devono essere valutate con attenzione.</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 primi commentatori ritengono che l’ANAC sia titolare, comunque, di un generalissimo potere di impulso, di promozione e di supporto, che, anche al di fuori della nozione di regolazione flessibile, potrebbe manifestarsi attraverso determinazioni interpretative, esortative, collaborative, ecc.</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Questo potere avrebbe la massima dimensione e, quindi, non richiederebbe specifiche disposizioni autorizzative. Sul piano formale, poi, i “consigli” dell’ANAC ben potrebbero essere contenuti in altri diversi atti.</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È però necessario che l’Autorità chiarisca perfettamente la distinzione tra prescrizioni vincolanti, </w:t>
      </w:r>
      <w:r w:rsidR="00707D4B">
        <w:rPr>
          <w:rFonts w:ascii="Times New Roman" w:hAnsi="Times New Roman"/>
          <w:color w:val="0F243E" w:themeColor="text2" w:themeShade="80"/>
          <w:sz w:val="26"/>
          <w:szCs w:val="26"/>
        </w:rPr>
        <w:t xml:space="preserve">regole </w:t>
      </w:r>
      <w:r>
        <w:rPr>
          <w:rFonts w:ascii="Times New Roman" w:hAnsi="Times New Roman"/>
          <w:color w:val="0F243E" w:themeColor="text2" w:themeShade="80"/>
          <w:sz w:val="26"/>
          <w:szCs w:val="26"/>
        </w:rPr>
        <w:t xml:space="preserve">semi-vincolanti, </w:t>
      </w:r>
      <w:r w:rsidR="00707D4B">
        <w:rPr>
          <w:rFonts w:ascii="Times New Roman" w:hAnsi="Times New Roman"/>
          <w:color w:val="0F243E" w:themeColor="text2" w:themeShade="80"/>
          <w:sz w:val="26"/>
          <w:szCs w:val="26"/>
        </w:rPr>
        <w:t xml:space="preserve">mere </w:t>
      </w:r>
      <w:r>
        <w:rPr>
          <w:rFonts w:ascii="Times New Roman" w:hAnsi="Times New Roman"/>
          <w:color w:val="0F243E" w:themeColor="text2" w:themeShade="80"/>
          <w:sz w:val="26"/>
          <w:szCs w:val="26"/>
        </w:rPr>
        <w:t>raccomandazioni, se contenuti in un unico atto.</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Inoltre, sembrerebbe precluso all’ANAC di degradare nella forma di mere raccomandazioni quelle che dovrebbero essere, secondo la norma primaria, vere e proprie prescrizioni.</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 questa prospettiva, allora, si possono prospettare due conclusioni, riferite ai contenuti dei bandi-tipo.</w:t>
      </w:r>
    </w:p>
    <w:p w:rsidR="00E55D4C" w:rsidRDefault="00E55D4C" w:rsidP="00E55D4C">
      <w:pPr>
        <w:pStyle w:val="Paragrafoelenco"/>
        <w:numPr>
          <w:ilvl w:val="0"/>
          <w:numId w:val="29"/>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Per i settori ordinari, l’inclusione di indicazioni prive di carattere prescrittivo risulta inopportuna e fuorviante e non è comunque ammessa negli ambiti in cui l’ANAC è tenuta a fissare le regole del disciplin</w:t>
      </w:r>
      <w:r w:rsidR="00707D4B">
        <w:rPr>
          <w:rFonts w:ascii="Times New Roman" w:hAnsi="Times New Roman"/>
          <w:color w:val="0F243E" w:themeColor="text2" w:themeShade="80"/>
          <w:sz w:val="26"/>
          <w:szCs w:val="26"/>
        </w:rPr>
        <w:t>are di gara.</w:t>
      </w:r>
    </w:p>
    <w:p w:rsidR="00E55D4C" w:rsidRPr="000F0420" w:rsidRDefault="00E55D4C" w:rsidP="00E55D4C">
      <w:pPr>
        <w:pStyle w:val="Paragrafoelenco"/>
        <w:numPr>
          <w:ilvl w:val="0"/>
          <w:numId w:val="29"/>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Per i settori speciali, al di fuori dello spazio di obbligatorietà dei bandi tipo, sono ammissibili raccomandazioni</w:t>
      </w:r>
      <w:r w:rsidR="00707D4B">
        <w:rPr>
          <w:rFonts w:ascii="Times New Roman" w:hAnsi="Times New Roman"/>
          <w:color w:val="0F243E" w:themeColor="text2" w:themeShade="80"/>
          <w:sz w:val="26"/>
          <w:szCs w:val="26"/>
        </w:rPr>
        <w:t>, del tutto</w:t>
      </w:r>
      <w:r>
        <w:rPr>
          <w:rFonts w:ascii="Times New Roman" w:hAnsi="Times New Roman"/>
          <w:color w:val="0F243E" w:themeColor="text2" w:themeShade="80"/>
          <w:sz w:val="26"/>
          <w:szCs w:val="26"/>
        </w:rPr>
        <w:t xml:space="preserve"> non vincolanti</w:t>
      </w:r>
      <w:r w:rsidR="00707D4B">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dell’Autorità.</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Ma quali sono gli effetti giuridici di tali “esortazioni”?</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È fuori discussione che le stazioni appaltanti siano esonerate da qualsiasi motivazione qualora scelgano di discostarsi dal bando-tipo.</w:t>
      </w:r>
    </w:p>
    <w:p w:rsidR="00E55D4C" w:rsidRDefault="00E55D4C" w:rsidP="00E55D4C">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Si possono però considerare due situazioni problematiche</w:t>
      </w:r>
      <w:r w:rsidR="00707D4B">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in cui la raccomandazione potrebbe assumere rilievo.</w:t>
      </w:r>
    </w:p>
    <w:p w:rsidR="00E55D4C" w:rsidRDefault="00E55D4C" w:rsidP="00E55D4C">
      <w:pPr>
        <w:pStyle w:val="Paragrafoelenco"/>
        <w:numPr>
          <w:ilvl w:val="0"/>
          <w:numId w:val="30"/>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La prima è l’ipotesi in cui il </w:t>
      </w:r>
      <w:r w:rsidR="00707D4B">
        <w:rPr>
          <w:rFonts w:ascii="Times New Roman" w:hAnsi="Times New Roman"/>
          <w:color w:val="0F243E" w:themeColor="text2" w:themeShade="80"/>
          <w:sz w:val="26"/>
          <w:szCs w:val="26"/>
        </w:rPr>
        <w:t xml:space="preserve">singolo </w:t>
      </w:r>
      <w:r w:rsidR="008A68AF">
        <w:rPr>
          <w:rFonts w:ascii="Times New Roman" w:hAnsi="Times New Roman"/>
          <w:color w:val="0F243E" w:themeColor="text2" w:themeShade="80"/>
          <w:sz w:val="26"/>
          <w:szCs w:val="26"/>
        </w:rPr>
        <w:t xml:space="preserve">disciplinare </w:t>
      </w:r>
      <w:r>
        <w:rPr>
          <w:rFonts w:ascii="Times New Roman" w:hAnsi="Times New Roman"/>
          <w:color w:val="0F243E" w:themeColor="text2" w:themeShade="80"/>
          <w:sz w:val="26"/>
          <w:szCs w:val="26"/>
        </w:rPr>
        <w:t>di gara, difforme dal bando tipo, sia giudicato illegittimo. La circostanza che l’ANAC abbia suggerito di farne applicazione “spontanea” potrebbe determinare</w:t>
      </w:r>
      <w:r w:rsidR="008A68AF">
        <w:rPr>
          <w:rFonts w:ascii="Times New Roman" w:hAnsi="Times New Roman"/>
          <w:color w:val="0F243E" w:themeColor="text2" w:themeShade="80"/>
          <w:sz w:val="26"/>
          <w:szCs w:val="26"/>
        </w:rPr>
        <w:t>, indubbiamente,</w:t>
      </w:r>
      <w:r>
        <w:rPr>
          <w:rFonts w:ascii="Times New Roman" w:hAnsi="Times New Roman"/>
          <w:color w:val="0F243E" w:themeColor="text2" w:themeShade="80"/>
          <w:sz w:val="26"/>
          <w:szCs w:val="26"/>
        </w:rPr>
        <w:t xml:space="preserve"> conseguenze sul piano delle responsabilità della stazione appaltante e dei suoi agenti.</w:t>
      </w:r>
    </w:p>
    <w:p w:rsidR="00E55D4C" w:rsidRPr="00E65ED1" w:rsidRDefault="00E55D4C" w:rsidP="00E55D4C">
      <w:pPr>
        <w:pStyle w:val="Paragrafoelenco"/>
        <w:numPr>
          <w:ilvl w:val="0"/>
          <w:numId w:val="30"/>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La seconda ipotesi è in un certo senso speculare e riguarda il caso in cui la stazione appaltante abbia adottato, di propria iniziativa, un </w:t>
      </w:r>
      <w:r w:rsidR="008A68AF">
        <w:rPr>
          <w:rFonts w:ascii="Times New Roman" w:hAnsi="Times New Roman"/>
          <w:color w:val="0F243E" w:themeColor="text2" w:themeShade="80"/>
          <w:sz w:val="26"/>
          <w:szCs w:val="26"/>
        </w:rPr>
        <w:t>disciplinare di gara</w:t>
      </w:r>
      <w:r>
        <w:rPr>
          <w:rFonts w:ascii="Times New Roman" w:hAnsi="Times New Roman"/>
          <w:color w:val="0F243E" w:themeColor="text2" w:themeShade="80"/>
          <w:sz w:val="26"/>
          <w:szCs w:val="26"/>
        </w:rPr>
        <w:t xml:space="preserve"> conforme al bando tipo, ma poi risultato illegittimo. In questa eventualità, sembrerebbe espandersi l’</w:t>
      </w:r>
      <w:r w:rsidRPr="00D07851">
        <w:rPr>
          <w:rFonts w:ascii="Times New Roman" w:hAnsi="Times New Roman"/>
          <w:i/>
          <w:color w:val="0F243E" w:themeColor="text2" w:themeShade="80"/>
          <w:sz w:val="26"/>
          <w:szCs w:val="26"/>
        </w:rPr>
        <w:t>effetto di liceità</w:t>
      </w:r>
      <w:r>
        <w:rPr>
          <w:rFonts w:ascii="Times New Roman" w:hAnsi="Times New Roman"/>
          <w:color w:val="0F243E" w:themeColor="text2" w:themeShade="80"/>
          <w:sz w:val="26"/>
          <w:szCs w:val="26"/>
        </w:rPr>
        <w:t xml:space="preserve"> che caratterizza le raccomandazioni non vincolanti. L’agente che ne abbia fatto spontanea applicazione è certamente scusato. Non sembra, invece, che nell’ipotesi formulata sussista un onere di doppia impugnazione: la lesione deriva dal bando concreto e non dalla prescrizione generale del bando tipo. Tuttavia, non dovrebbe escludersi, a priori, la facoltà di impugnare anche la clausola del bando tipo, nella parte riguardante la sua applicabilità ai settori speciali, prospettando la lesione anche meramente potenziale derivante dalla sua riconosciuta applicabilità ai settori speciali.</w:t>
      </w:r>
    </w:p>
    <w:p w:rsidR="00957D2B" w:rsidRDefault="00957D2B" w:rsidP="00596E5E">
      <w:pPr>
        <w:pStyle w:val="Paragrafoelenco"/>
        <w:tabs>
          <w:tab w:val="left" w:pos="0"/>
        </w:tabs>
        <w:ind w:left="0"/>
        <w:rPr>
          <w:rFonts w:ascii="Times New Roman" w:hAnsi="Times New Roman"/>
          <w:color w:val="0F243E" w:themeColor="text2" w:themeShade="80"/>
          <w:sz w:val="26"/>
          <w:szCs w:val="26"/>
        </w:rPr>
      </w:pPr>
    </w:p>
    <w:p w:rsidR="00F32607" w:rsidRPr="003B50A2" w:rsidRDefault="003B50A2" w:rsidP="00F32607">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sidRPr="003B50A2">
        <w:rPr>
          <w:rFonts w:ascii="Times New Roman" w:hAnsi="Times New Roman"/>
          <w:b/>
          <w:smallCaps/>
          <w:color w:val="0F243E" w:themeColor="text2" w:themeShade="80"/>
          <w:sz w:val="26"/>
          <w:szCs w:val="26"/>
        </w:rPr>
        <w:t xml:space="preserve">L’oggettiva assenza di rilievo della </w:t>
      </w:r>
      <w:r w:rsidRPr="00566C96">
        <w:rPr>
          <w:rFonts w:ascii="Times New Roman" w:hAnsi="Times New Roman"/>
          <w:b/>
          <w:i/>
          <w:smallCaps/>
          <w:color w:val="0F243E" w:themeColor="text2" w:themeShade="80"/>
          <w:sz w:val="26"/>
          <w:szCs w:val="26"/>
        </w:rPr>
        <w:t>regolazione flessibile</w:t>
      </w:r>
      <w:r w:rsidRPr="003B50A2">
        <w:rPr>
          <w:rFonts w:ascii="Times New Roman" w:hAnsi="Times New Roman"/>
          <w:b/>
          <w:smallCaps/>
          <w:color w:val="0F243E" w:themeColor="text2" w:themeShade="80"/>
          <w:sz w:val="26"/>
          <w:szCs w:val="26"/>
        </w:rPr>
        <w:t xml:space="preserve"> nei settori speciali e le sue possibili ragioni.</w:t>
      </w:r>
      <w:r w:rsidR="00566C96">
        <w:rPr>
          <w:rFonts w:ascii="Times New Roman" w:hAnsi="Times New Roman"/>
          <w:b/>
          <w:smallCaps/>
          <w:color w:val="0F243E" w:themeColor="text2" w:themeShade="80"/>
          <w:sz w:val="26"/>
          <w:szCs w:val="26"/>
        </w:rPr>
        <w:t xml:space="preserve"> Le criticità degli strumenti innovativi previsti dal codice.</w:t>
      </w:r>
    </w:p>
    <w:p w:rsidR="001F060A" w:rsidRDefault="0058736F"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Fermandosi ad una considerazione di tipo meramente </w:t>
      </w:r>
      <w:r w:rsidRPr="0058736F">
        <w:rPr>
          <w:rFonts w:ascii="Times New Roman" w:hAnsi="Times New Roman"/>
          <w:i/>
          <w:color w:val="0F243E" w:themeColor="text2" w:themeShade="80"/>
          <w:sz w:val="26"/>
          <w:szCs w:val="26"/>
        </w:rPr>
        <w:t>quantitativo</w:t>
      </w:r>
      <w:r>
        <w:rPr>
          <w:rFonts w:ascii="Times New Roman" w:hAnsi="Times New Roman"/>
          <w:color w:val="0F243E" w:themeColor="text2" w:themeShade="80"/>
          <w:sz w:val="26"/>
          <w:szCs w:val="26"/>
        </w:rPr>
        <w:t>, allora, colpisce il peso davvero modesto che la regolazione flessibile ha avuto finora nei settori speciali. Né, in prospettiva, ci si deve attendere un significativo sviluppo nell’uso di tali strumenti.</w:t>
      </w:r>
    </w:p>
    <w:p w:rsidR="0058736F" w:rsidRDefault="0058736F"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Le ragioni di questo oggettivo insuccesso dipende da ragioni proprie dei settori speciali e da cause riferite alle criticità della stessa figura della regolazione flessibile delineata dal codice.</w:t>
      </w:r>
    </w:p>
    <w:p w:rsidR="0058736F" w:rsidRDefault="00C77ADD"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Nei settori speciali il principio della flessibilità è già largamente consolidato, sin dalle direttive del 2004 e d</w:t>
      </w:r>
      <w:r w:rsidR="005106E7">
        <w:rPr>
          <w:rFonts w:ascii="Times New Roman" w:hAnsi="Times New Roman"/>
          <w:color w:val="0F243E" w:themeColor="text2" w:themeShade="80"/>
          <w:sz w:val="26"/>
          <w:szCs w:val="26"/>
        </w:rPr>
        <w:t>a</w:t>
      </w:r>
      <w:r>
        <w:rPr>
          <w:rFonts w:ascii="Times New Roman" w:hAnsi="Times New Roman"/>
          <w:color w:val="0F243E" w:themeColor="text2" w:themeShade="80"/>
          <w:sz w:val="26"/>
          <w:szCs w:val="26"/>
        </w:rPr>
        <w:t xml:space="preserve">l previgente codice. Ma esso </w:t>
      </w:r>
      <w:r w:rsidR="00567C9F">
        <w:rPr>
          <w:rFonts w:ascii="Times New Roman" w:hAnsi="Times New Roman"/>
          <w:color w:val="0F243E" w:themeColor="text2" w:themeShade="80"/>
          <w:sz w:val="26"/>
          <w:szCs w:val="26"/>
        </w:rPr>
        <w:t>è declinato con efficacia attraverso il riconoscimento della potestà autorganizzativa dei singoli enti e mediante l’applicazione di appositi istituti di semplificazione.</w:t>
      </w:r>
    </w:p>
    <w:p w:rsidR="00567C9F" w:rsidRDefault="00567C9F"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 quest</w:t>
      </w:r>
      <w:r w:rsidR="005106E7">
        <w:rPr>
          <w:rFonts w:ascii="Times New Roman" w:hAnsi="Times New Roman"/>
          <w:color w:val="0F243E" w:themeColor="text2" w:themeShade="80"/>
          <w:sz w:val="26"/>
          <w:szCs w:val="26"/>
        </w:rPr>
        <w:t>i ambiti</w:t>
      </w:r>
      <w:r>
        <w:rPr>
          <w:rFonts w:ascii="Times New Roman" w:hAnsi="Times New Roman"/>
          <w:color w:val="0F243E" w:themeColor="text2" w:themeShade="80"/>
          <w:sz w:val="26"/>
          <w:szCs w:val="26"/>
        </w:rPr>
        <w:t>, lo spazio di intervento dell’ANAC non svolge alcun ruolo utile e, al contrario, potrebbe complicare il quadro della disciplina.</w:t>
      </w:r>
    </w:p>
    <w:p w:rsidR="00567C9F" w:rsidRDefault="00567C9F"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Le “</w:t>
      </w:r>
      <w:r w:rsidRPr="00567C9F">
        <w:rPr>
          <w:rFonts w:ascii="Times New Roman" w:hAnsi="Times New Roman"/>
          <w:i/>
          <w:color w:val="0F243E" w:themeColor="text2" w:themeShade="80"/>
          <w:sz w:val="26"/>
          <w:szCs w:val="26"/>
        </w:rPr>
        <w:t>peculiarità</w:t>
      </w:r>
      <w:r>
        <w:rPr>
          <w:rFonts w:ascii="Times New Roman" w:hAnsi="Times New Roman"/>
          <w:color w:val="0F243E" w:themeColor="text2" w:themeShade="80"/>
          <w:sz w:val="26"/>
          <w:szCs w:val="26"/>
        </w:rPr>
        <w:t>” dei mercati di riferimento possono spiegare l’introduzione di particolari norme derogatorie, le quali devono essere chiare e puntuali, stabili nel tempo, e non strutturate con la fisionomia incerta dell</w:t>
      </w:r>
      <w:r w:rsidR="00082A55">
        <w:rPr>
          <w:rFonts w:ascii="Times New Roman" w:hAnsi="Times New Roman"/>
          <w:color w:val="0F243E" w:themeColor="text2" w:themeShade="80"/>
          <w:sz w:val="26"/>
          <w:szCs w:val="26"/>
        </w:rPr>
        <w:t>e linee guida</w:t>
      </w:r>
      <w:r>
        <w:rPr>
          <w:rFonts w:ascii="Times New Roman" w:hAnsi="Times New Roman"/>
          <w:color w:val="0F243E" w:themeColor="text2" w:themeShade="80"/>
          <w:sz w:val="26"/>
          <w:szCs w:val="26"/>
        </w:rPr>
        <w:t>.</w:t>
      </w:r>
    </w:p>
    <w:p w:rsidR="00082A55" w:rsidRDefault="00082A55"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Ma le cause della scarsa fortuna di regolazione flessibile nei settori speciali derivano anche, e soprattutto, dalle numerose criticità che presentano, in generale, tali strumenti.</w:t>
      </w:r>
    </w:p>
    <w:p w:rsidR="0010580F" w:rsidRDefault="00684BE3"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Occorre allora ampliare l’orizzonte di indagine e interrogarsi sui caratteri </w:t>
      </w:r>
      <w:r w:rsidR="003374E3">
        <w:rPr>
          <w:rFonts w:ascii="Times New Roman" w:hAnsi="Times New Roman"/>
          <w:color w:val="0F243E" w:themeColor="text2" w:themeShade="80"/>
          <w:sz w:val="26"/>
          <w:szCs w:val="26"/>
        </w:rPr>
        <w:t xml:space="preserve">propri </w:t>
      </w:r>
      <w:r>
        <w:rPr>
          <w:rFonts w:ascii="Times New Roman" w:hAnsi="Times New Roman"/>
          <w:color w:val="0F243E" w:themeColor="text2" w:themeShade="80"/>
          <w:sz w:val="26"/>
          <w:szCs w:val="26"/>
        </w:rPr>
        <w:t xml:space="preserve">della </w:t>
      </w:r>
      <w:r w:rsidRPr="0093279A">
        <w:rPr>
          <w:rFonts w:ascii="Times New Roman" w:hAnsi="Times New Roman"/>
          <w:i/>
          <w:color w:val="0F243E" w:themeColor="text2" w:themeShade="80"/>
          <w:sz w:val="26"/>
          <w:szCs w:val="26"/>
        </w:rPr>
        <w:t>regolazione flessibile</w:t>
      </w:r>
      <w:r>
        <w:rPr>
          <w:rFonts w:ascii="Times New Roman" w:hAnsi="Times New Roman"/>
          <w:color w:val="0F243E" w:themeColor="text2" w:themeShade="80"/>
          <w:sz w:val="26"/>
          <w:szCs w:val="26"/>
        </w:rPr>
        <w:t xml:space="preserve">, </w:t>
      </w:r>
      <w:r w:rsidR="0040743A">
        <w:rPr>
          <w:rFonts w:ascii="Times New Roman" w:hAnsi="Times New Roman"/>
          <w:color w:val="0F243E" w:themeColor="text2" w:themeShade="80"/>
          <w:sz w:val="26"/>
          <w:szCs w:val="26"/>
        </w:rPr>
        <w:t xml:space="preserve">in particolare, delle linee guida e dei bandi tipo, </w:t>
      </w:r>
      <w:r>
        <w:rPr>
          <w:rFonts w:ascii="Times New Roman" w:hAnsi="Times New Roman"/>
          <w:color w:val="0F243E" w:themeColor="text2" w:themeShade="80"/>
          <w:sz w:val="26"/>
          <w:szCs w:val="26"/>
        </w:rPr>
        <w:t>per stabilirne le potenziali applicazioni ai settori speciali</w:t>
      </w:r>
      <w:r w:rsidR="0063412A">
        <w:rPr>
          <w:rFonts w:ascii="Times New Roman" w:hAnsi="Times New Roman"/>
          <w:color w:val="0F243E" w:themeColor="text2" w:themeShade="80"/>
          <w:sz w:val="26"/>
          <w:szCs w:val="26"/>
        </w:rPr>
        <w:t>.</w:t>
      </w:r>
    </w:p>
    <w:p w:rsidR="007620E5" w:rsidRDefault="00D7405F"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Il tema è stato</w:t>
      </w:r>
      <w:r w:rsidR="007620E5">
        <w:rPr>
          <w:rFonts w:ascii="Times New Roman" w:hAnsi="Times New Roman"/>
          <w:color w:val="0F243E" w:themeColor="text2" w:themeShade="80"/>
          <w:sz w:val="26"/>
          <w:szCs w:val="26"/>
        </w:rPr>
        <w:t xml:space="preserve"> largamente analizzato sotto due profili distinti, anche se strettamente intrecciati:</w:t>
      </w:r>
    </w:p>
    <w:p w:rsidR="007620E5" w:rsidRDefault="007620E5" w:rsidP="00E44C5F">
      <w:pPr>
        <w:pStyle w:val="Paragrafoelenco"/>
        <w:numPr>
          <w:ilvl w:val="0"/>
          <w:numId w:val="25"/>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la descrizione della disciplina e della natura giuridica de</w:t>
      </w:r>
      <w:r w:rsidR="00110595">
        <w:rPr>
          <w:rFonts w:ascii="Times New Roman" w:hAnsi="Times New Roman"/>
          <w:color w:val="0F243E" w:themeColor="text2" w:themeShade="80"/>
          <w:sz w:val="26"/>
          <w:szCs w:val="26"/>
        </w:rPr>
        <w:t>gli strumenti de</w:t>
      </w:r>
      <w:r>
        <w:rPr>
          <w:rFonts w:ascii="Times New Roman" w:hAnsi="Times New Roman"/>
          <w:color w:val="0F243E" w:themeColor="text2" w:themeShade="80"/>
          <w:sz w:val="26"/>
          <w:szCs w:val="26"/>
        </w:rPr>
        <w:t>lla regolamentazione flessibile</w:t>
      </w:r>
      <w:r w:rsidR="00110595">
        <w:rPr>
          <w:rFonts w:ascii="Times New Roman" w:hAnsi="Times New Roman"/>
          <w:color w:val="0F243E" w:themeColor="text2" w:themeShade="80"/>
          <w:sz w:val="26"/>
          <w:szCs w:val="26"/>
        </w:rPr>
        <w:t xml:space="preserve"> prevista dal codice</w:t>
      </w:r>
      <w:r>
        <w:rPr>
          <w:rFonts w:ascii="Times New Roman" w:hAnsi="Times New Roman"/>
          <w:color w:val="0F243E" w:themeColor="text2" w:themeShade="80"/>
          <w:sz w:val="26"/>
          <w:szCs w:val="26"/>
        </w:rPr>
        <w:t>;</w:t>
      </w:r>
    </w:p>
    <w:p w:rsidR="00E32038" w:rsidRDefault="00110595" w:rsidP="00E44C5F">
      <w:pPr>
        <w:pStyle w:val="Paragrafoelenco"/>
        <w:numPr>
          <w:ilvl w:val="0"/>
          <w:numId w:val="25"/>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la </w:t>
      </w:r>
      <w:r w:rsidRPr="00860B45">
        <w:rPr>
          <w:rFonts w:ascii="Times New Roman" w:hAnsi="Times New Roman"/>
          <w:i/>
          <w:color w:val="0F243E" w:themeColor="text2" w:themeShade="80"/>
          <w:sz w:val="26"/>
          <w:szCs w:val="26"/>
        </w:rPr>
        <w:t>giustificazione</w:t>
      </w:r>
      <w:r w:rsidR="0032367B">
        <w:rPr>
          <w:rFonts w:ascii="Times New Roman" w:hAnsi="Times New Roman"/>
          <w:color w:val="0F243E" w:themeColor="text2" w:themeShade="80"/>
          <w:sz w:val="26"/>
          <w:szCs w:val="26"/>
        </w:rPr>
        <w:t>, per così dire</w:t>
      </w:r>
      <w:r>
        <w:rPr>
          <w:rFonts w:ascii="Times New Roman" w:hAnsi="Times New Roman"/>
          <w:color w:val="0F243E" w:themeColor="text2" w:themeShade="80"/>
          <w:sz w:val="26"/>
          <w:szCs w:val="26"/>
        </w:rPr>
        <w:t xml:space="preserve"> </w:t>
      </w:r>
      <w:r w:rsidRPr="00E32038">
        <w:rPr>
          <w:rFonts w:ascii="Times New Roman" w:hAnsi="Times New Roman"/>
          <w:i/>
          <w:color w:val="0F243E" w:themeColor="text2" w:themeShade="80"/>
          <w:sz w:val="26"/>
          <w:szCs w:val="26"/>
        </w:rPr>
        <w:t>logica</w:t>
      </w:r>
      <w:r w:rsidR="0032367B">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della introduzione</w:t>
      </w:r>
      <w:r w:rsidR="00D7405F">
        <w:rPr>
          <w:rFonts w:ascii="Times New Roman" w:hAnsi="Times New Roman"/>
          <w:color w:val="0F243E" w:themeColor="text2" w:themeShade="80"/>
          <w:sz w:val="26"/>
          <w:szCs w:val="26"/>
        </w:rPr>
        <w:t xml:space="preserve"> </w:t>
      </w:r>
      <w:r w:rsidR="00860B45">
        <w:rPr>
          <w:rFonts w:ascii="Times New Roman" w:hAnsi="Times New Roman"/>
          <w:color w:val="0F243E" w:themeColor="text2" w:themeShade="80"/>
          <w:sz w:val="26"/>
          <w:szCs w:val="26"/>
        </w:rPr>
        <w:t xml:space="preserve">del potere di regolazione flessibile </w:t>
      </w:r>
      <w:r>
        <w:rPr>
          <w:rFonts w:ascii="Times New Roman" w:hAnsi="Times New Roman"/>
          <w:color w:val="0F243E" w:themeColor="text2" w:themeShade="80"/>
          <w:sz w:val="26"/>
          <w:szCs w:val="26"/>
        </w:rPr>
        <w:t>nel</w:t>
      </w:r>
      <w:r w:rsidR="00E32038">
        <w:rPr>
          <w:rFonts w:ascii="Times New Roman" w:hAnsi="Times New Roman"/>
          <w:color w:val="0F243E" w:themeColor="text2" w:themeShade="80"/>
          <w:sz w:val="26"/>
          <w:szCs w:val="26"/>
        </w:rPr>
        <w:t xml:space="preserve"> sistema e della intestazione di tale potere in capo all’ANAC.</w:t>
      </w:r>
    </w:p>
    <w:p w:rsidR="0063412A" w:rsidRDefault="00AA2F27" w:rsidP="00E32038">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Entrambi i percorsi di indagine sono stati accompagnati, frequentemente, dalla esplicita affermazione di “</w:t>
      </w:r>
      <w:r w:rsidRPr="00716EC0">
        <w:rPr>
          <w:rFonts w:ascii="Times New Roman" w:hAnsi="Times New Roman"/>
          <w:i/>
          <w:color w:val="0F243E" w:themeColor="text2" w:themeShade="80"/>
          <w:sz w:val="26"/>
          <w:szCs w:val="26"/>
        </w:rPr>
        <w:t>giudizi di valore</w:t>
      </w:r>
      <w:r>
        <w:rPr>
          <w:rFonts w:ascii="Times New Roman" w:hAnsi="Times New Roman"/>
          <w:color w:val="0F243E" w:themeColor="text2" w:themeShade="80"/>
          <w:sz w:val="26"/>
          <w:szCs w:val="26"/>
        </w:rPr>
        <w:t xml:space="preserve">” </w:t>
      </w:r>
      <w:r w:rsidR="00B24D4B">
        <w:rPr>
          <w:rFonts w:ascii="Times New Roman" w:hAnsi="Times New Roman"/>
          <w:color w:val="0F243E" w:themeColor="text2" w:themeShade="80"/>
          <w:sz w:val="26"/>
          <w:szCs w:val="26"/>
        </w:rPr>
        <w:t xml:space="preserve">contrapposti </w:t>
      </w:r>
      <w:r>
        <w:rPr>
          <w:rFonts w:ascii="Times New Roman" w:hAnsi="Times New Roman"/>
          <w:color w:val="0F243E" w:themeColor="text2" w:themeShade="80"/>
          <w:sz w:val="26"/>
          <w:szCs w:val="26"/>
        </w:rPr>
        <w:t xml:space="preserve">sull’efficacia e sull’utilità </w:t>
      </w:r>
      <w:r w:rsidR="00B24D4B">
        <w:rPr>
          <w:rFonts w:ascii="Times New Roman" w:hAnsi="Times New Roman"/>
          <w:color w:val="0F243E" w:themeColor="text2" w:themeShade="80"/>
          <w:sz w:val="26"/>
          <w:szCs w:val="26"/>
        </w:rPr>
        <w:t>dell’impostazione seguita dal codice.</w:t>
      </w:r>
    </w:p>
    <w:p w:rsidR="00013318" w:rsidRDefault="00013318" w:rsidP="00E32038">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Si può anticipare che, allo stato, sembrano </w:t>
      </w:r>
      <w:r w:rsidR="00EF7A9A">
        <w:rPr>
          <w:rFonts w:ascii="Times New Roman" w:hAnsi="Times New Roman"/>
          <w:color w:val="0F243E" w:themeColor="text2" w:themeShade="80"/>
          <w:sz w:val="26"/>
          <w:szCs w:val="26"/>
        </w:rPr>
        <w:t xml:space="preserve">prevalenti atteggiamenti radicalmente critici verso il sistema codicistico, riferiti, in particolare, alla </w:t>
      </w:r>
      <w:r w:rsidR="00321476">
        <w:rPr>
          <w:rFonts w:ascii="Times New Roman" w:hAnsi="Times New Roman"/>
          <w:color w:val="0F243E" w:themeColor="text2" w:themeShade="80"/>
          <w:sz w:val="26"/>
          <w:szCs w:val="26"/>
        </w:rPr>
        <w:t>scelta di attribuire i</w:t>
      </w:r>
      <w:r w:rsidR="00EF7A9A">
        <w:rPr>
          <w:rFonts w:ascii="Times New Roman" w:hAnsi="Times New Roman"/>
          <w:color w:val="0F243E" w:themeColor="text2" w:themeShade="80"/>
          <w:sz w:val="26"/>
          <w:szCs w:val="26"/>
        </w:rPr>
        <w:t>l pote</w:t>
      </w:r>
      <w:r w:rsidR="00321476">
        <w:rPr>
          <w:rFonts w:ascii="Times New Roman" w:hAnsi="Times New Roman"/>
          <w:color w:val="0F243E" w:themeColor="text2" w:themeShade="80"/>
          <w:sz w:val="26"/>
          <w:szCs w:val="26"/>
        </w:rPr>
        <w:t>re di regolazione all’Autorità</w:t>
      </w:r>
      <w:r w:rsidR="0032367B">
        <w:rPr>
          <w:rFonts w:ascii="Times New Roman" w:hAnsi="Times New Roman"/>
          <w:color w:val="0F243E" w:themeColor="text2" w:themeShade="80"/>
          <w:sz w:val="26"/>
          <w:szCs w:val="26"/>
        </w:rPr>
        <w:t xml:space="preserve"> e alla eccessiva indeterminatezza dello stesso concetto di regolazione flessibile</w:t>
      </w:r>
      <w:r w:rsidR="00321476">
        <w:rPr>
          <w:rFonts w:ascii="Times New Roman" w:hAnsi="Times New Roman"/>
          <w:color w:val="0F243E" w:themeColor="text2" w:themeShade="80"/>
          <w:sz w:val="26"/>
          <w:szCs w:val="26"/>
        </w:rPr>
        <w:t>.</w:t>
      </w:r>
      <w:r w:rsidR="00E34D3E">
        <w:rPr>
          <w:rFonts w:ascii="Times New Roman" w:hAnsi="Times New Roman"/>
          <w:color w:val="0F243E" w:themeColor="text2" w:themeShade="80"/>
          <w:sz w:val="26"/>
          <w:szCs w:val="26"/>
        </w:rPr>
        <w:t xml:space="preserve"> Le obiezioni “politiche” investono, più in generale, il ruolo e la fisionomia dell’ANAC </w:t>
      </w:r>
      <w:r w:rsidR="005152E6">
        <w:rPr>
          <w:rFonts w:ascii="Times New Roman" w:hAnsi="Times New Roman"/>
          <w:color w:val="0F243E" w:themeColor="text2" w:themeShade="80"/>
          <w:sz w:val="26"/>
          <w:szCs w:val="26"/>
        </w:rPr>
        <w:t>e si connettono alla prospettata illegittimità costituzionale delle norme che assegnano all’Auto</w:t>
      </w:r>
      <w:r w:rsidR="00CA521B">
        <w:rPr>
          <w:rFonts w:ascii="Times New Roman" w:hAnsi="Times New Roman"/>
          <w:color w:val="0F243E" w:themeColor="text2" w:themeShade="80"/>
          <w:sz w:val="26"/>
          <w:szCs w:val="26"/>
        </w:rPr>
        <w:t>rità così ampi poteri normativi.</w:t>
      </w:r>
    </w:p>
    <w:p w:rsidR="00CA521B" w:rsidRDefault="00CA521B" w:rsidP="00E32038">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Non meno diffuso è un orientamento tendenzialmente </w:t>
      </w:r>
      <w:r w:rsidRPr="00CA521B">
        <w:rPr>
          <w:rFonts w:ascii="Times New Roman" w:hAnsi="Times New Roman"/>
          <w:i/>
          <w:color w:val="0F243E" w:themeColor="text2" w:themeShade="80"/>
          <w:sz w:val="26"/>
          <w:szCs w:val="26"/>
        </w:rPr>
        <w:t>scettico</w:t>
      </w:r>
      <w:r w:rsidR="00917286">
        <w:rPr>
          <w:rFonts w:ascii="Times New Roman" w:hAnsi="Times New Roman"/>
          <w:color w:val="0F243E" w:themeColor="text2" w:themeShade="80"/>
          <w:sz w:val="26"/>
          <w:szCs w:val="26"/>
        </w:rPr>
        <w:t xml:space="preserve"> sulla effettiva portata innovativa del concetto di regolazione flessibile</w:t>
      </w:r>
      <w:r w:rsidR="0074332F">
        <w:rPr>
          <w:rFonts w:ascii="Times New Roman" w:hAnsi="Times New Roman"/>
          <w:color w:val="0F243E" w:themeColor="text2" w:themeShade="80"/>
          <w:sz w:val="26"/>
          <w:szCs w:val="26"/>
        </w:rPr>
        <w:t xml:space="preserve"> e della sua utilità pratica</w:t>
      </w:r>
      <w:r w:rsidR="00341075">
        <w:rPr>
          <w:rFonts w:ascii="Times New Roman" w:hAnsi="Times New Roman"/>
          <w:color w:val="0F243E" w:themeColor="text2" w:themeShade="80"/>
          <w:sz w:val="26"/>
          <w:szCs w:val="26"/>
        </w:rPr>
        <w:t>. Da questo punto di vista</w:t>
      </w:r>
      <w:r w:rsidR="00917286">
        <w:rPr>
          <w:rFonts w:ascii="Times New Roman" w:hAnsi="Times New Roman"/>
          <w:color w:val="0F243E" w:themeColor="text2" w:themeShade="80"/>
          <w:sz w:val="26"/>
          <w:szCs w:val="26"/>
        </w:rPr>
        <w:t xml:space="preserve">, </w:t>
      </w:r>
      <w:r w:rsidR="00341075">
        <w:rPr>
          <w:rFonts w:ascii="Times New Roman" w:hAnsi="Times New Roman"/>
          <w:color w:val="0F243E" w:themeColor="text2" w:themeShade="80"/>
          <w:sz w:val="26"/>
          <w:szCs w:val="26"/>
        </w:rPr>
        <w:t>si osserva che, in ultima analisi, i poteri dell’ANAC sono riconducibili ai collaudati schemi giuridici dei regolamenti, degli atti generali e delle direttive</w:t>
      </w:r>
      <w:r w:rsidR="00390773">
        <w:rPr>
          <w:rFonts w:ascii="Times New Roman" w:hAnsi="Times New Roman"/>
          <w:color w:val="0F243E" w:themeColor="text2" w:themeShade="80"/>
          <w:sz w:val="26"/>
          <w:szCs w:val="26"/>
        </w:rPr>
        <w:t>.</w:t>
      </w:r>
      <w:r w:rsidR="0074332F">
        <w:rPr>
          <w:rFonts w:ascii="Times New Roman" w:hAnsi="Times New Roman"/>
          <w:color w:val="0F243E" w:themeColor="text2" w:themeShade="80"/>
          <w:sz w:val="26"/>
          <w:szCs w:val="26"/>
        </w:rPr>
        <w:t xml:space="preserve"> Gli auspicati risultati di miglioramento dell’efficienza del mercato dei contratti pubblici, si dice, potrebbe</w:t>
      </w:r>
      <w:r w:rsidR="008772C2">
        <w:rPr>
          <w:rFonts w:ascii="Times New Roman" w:hAnsi="Times New Roman"/>
          <w:color w:val="0F243E" w:themeColor="text2" w:themeShade="80"/>
          <w:sz w:val="26"/>
          <w:szCs w:val="26"/>
        </w:rPr>
        <w:t>ro essere realizzati mediante l’uso degli strumenti tradizionali: ciò che conta sono i contenuti e non gli schemi formali, tanto più se essi determinano infiniti dubbi e incertezze operative.</w:t>
      </w:r>
    </w:p>
    <w:p w:rsidR="00251393" w:rsidRPr="00CA521B" w:rsidRDefault="00251393" w:rsidP="00E32038">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Si aggiunge</w:t>
      </w:r>
      <w:r w:rsidR="00E44C5F">
        <w:rPr>
          <w:rFonts w:ascii="Times New Roman" w:hAnsi="Times New Roman"/>
          <w:color w:val="0F243E" w:themeColor="text2" w:themeShade="80"/>
          <w:sz w:val="26"/>
          <w:szCs w:val="26"/>
        </w:rPr>
        <w:t>, poi,</w:t>
      </w:r>
      <w:r>
        <w:rPr>
          <w:rFonts w:ascii="Times New Roman" w:hAnsi="Times New Roman"/>
          <w:color w:val="0F243E" w:themeColor="text2" w:themeShade="80"/>
          <w:sz w:val="26"/>
          <w:szCs w:val="26"/>
        </w:rPr>
        <w:t xml:space="preserve"> che il disegno delle fonti previsto dal codice presenta contorni incerti </w:t>
      </w:r>
      <w:r w:rsidR="00A43464">
        <w:rPr>
          <w:rFonts w:ascii="Times New Roman" w:hAnsi="Times New Roman"/>
          <w:color w:val="0F243E" w:themeColor="text2" w:themeShade="80"/>
          <w:sz w:val="26"/>
          <w:szCs w:val="26"/>
        </w:rPr>
        <w:t>e che, in concreto, il lento e ancora incompleto procedimento di attu</w:t>
      </w:r>
      <w:r w:rsidR="00A44DF4">
        <w:rPr>
          <w:rFonts w:ascii="Times New Roman" w:hAnsi="Times New Roman"/>
          <w:color w:val="0F243E" w:themeColor="text2" w:themeShade="80"/>
          <w:sz w:val="26"/>
          <w:szCs w:val="26"/>
        </w:rPr>
        <w:t>azione della normativa primaria</w:t>
      </w:r>
      <w:r w:rsidR="00A43464">
        <w:rPr>
          <w:rFonts w:ascii="Times New Roman" w:hAnsi="Times New Roman"/>
          <w:color w:val="0F243E" w:themeColor="text2" w:themeShade="80"/>
          <w:sz w:val="26"/>
          <w:szCs w:val="26"/>
        </w:rPr>
        <w:t xml:space="preserve"> </w:t>
      </w:r>
      <w:r w:rsidR="002F7EB6">
        <w:rPr>
          <w:rFonts w:ascii="Times New Roman" w:hAnsi="Times New Roman"/>
          <w:color w:val="0F243E" w:themeColor="text2" w:themeShade="80"/>
          <w:sz w:val="26"/>
          <w:szCs w:val="26"/>
        </w:rPr>
        <w:t xml:space="preserve">ha </w:t>
      </w:r>
      <w:r w:rsidR="00A43464">
        <w:rPr>
          <w:rFonts w:ascii="Times New Roman" w:hAnsi="Times New Roman"/>
          <w:color w:val="0F243E" w:themeColor="text2" w:themeShade="80"/>
          <w:sz w:val="26"/>
          <w:szCs w:val="26"/>
        </w:rPr>
        <w:t>portato a risultati deludenti</w:t>
      </w:r>
      <w:r w:rsidR="00D3340F">
        <w:rPr>
          <w:rFonts w:ascii="Times New Roman" w:hAnsi="Times New Roman"/>
          <w:color w:val="0F243E" w:themeColor="text2" w:themeShade="80"/>
          <w:sz w:val="26"/>
          <w:szCs w:val="26"/>
        </w:rPr>
        <w:t>, senza migliorare il vecchio sistema incentrato sull’unico regolamento generale (n.</w:t>
      </w:r>
      <w:r w:rsidR="00261CA7">
        <w:rPr>
          <w:rFonts w:ascii="Times New Roman" w:hAnsi="Times New Roman"/>
          <w:color w:val="0F243E" w:themeColor="text2" w:themeShade="80"/>
          <w:sz w:val="26"/>
          <w:szCs w:val="26"/>
        </w:rPr>
        <w:t xml:space="preserve"> </w:t>
      </w:r>
      <w:r w:rsidR="00D3340F">
        <w:rPr>
          <w:rFonts w:ascii="Times New Roman" w:hAnsi="Times New Roman"/>
          <w:color w:val="0F243E" w:themeColor="text2" w:themeShade="80"/>
          <w:sz w:val="26"/>
          <w:szCs w:val="26"/>
        </w:rPr>
        <w:t>207/2010)</w:t>
      </w:r>
      <w:r w:rsidR="0008600B">
        <w:rPr>
          <w:rFonts w:ascii="Times New Roman" w:hAnsi="Times New Roman"/>
          <w:color w:val="0F243E" w:themeColor="text2" w:themeShade="80"/>
          <w:sz w:val="26"/>
          <w:szCs w:val="26"/>
        </w:rPr>
        <w:t>.</w:t>
      </w:r>
    </w:p>
    <w:p w:rsidR="0008600B" w:rsidRDefault="00864261" w:rsidP="00E32038">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È forse opportuno</w:t>
      </w:r>
      <w:r w:rsidR="002A5A23">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allora</w:t>
      </w:r>
      <w:r w:rsidR="002A5A23">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w:t>
      </w:r>
      <w:r w:rsidR="002F7EB6">
        <w:rPr>
          <w:rFonts w:ascii="Times New Roman" w:hAnsi="Times New Roman"/>
          <w:color w:val="0F243E" w:themeColor="text2" w:themeShade="80"/>
          <w:sz w:val="26"/>
          <w:szCs w:val="26"/>
        </w:rPr>
        <w:t>svolgere alcune considerazioni su</w:t>
      </w:r>
      <w:r w:rsidR="00A750E8">
        <w:rPr>
          <w:rFonts w:ascii="Times New Roman" w:hAnsi="Times New Roman"/>
          <w:color w:val="0F243E" w:themeColor="text2" w:themeShade="80"/>
          <w:sz w:val="26"/>
          <w:szCs w:val="26"/>
        </w:rPr>
        <w:t xml:space="preserve">l tema della attuale conformazione della </w:t>
      </w:r>
      <w:r w:rsidR="00A750E8" w:rsidRPr="00396F79">
        <w:rPr>
          <w:rFonts w:ascii="Times New Roman" w:hAnsi="Times New Roman"/>
          <w:i/>
          <w:color w:val="0F243E" w:themeColor="text2" w:themeShade="80"/>
          <w:sz w:val="26"/>
          <w:szCs w:val="26"/>
        </w:rPr>
        <w:t>regolamentazione flessibil</w:t>
      </w:r>
      <w:r w:rsidR="002A5A23" w:rsidRPr="00396F79">
        <w:rPr>
          <w:rFonts w:ascii="Times New Roman" w:hAnsi="Times New Roman"/>
          <w:i/>
          <w:color w:val="0F243E" w:themeColor="text2" w:themeShade="80"/>
          <w:sz w:val="26"/>
          <w:szCs w:val="26"/>
        </w:rPr>
        <w:t>e</w:t>
      </w:r>
      <w:r w:rsidR="002A5A23">
        <w:rPr>
          <w:rFonts w:ascii="Times New Roman" w:hAnsi="Times New Roman"/>
          <w:color w:val="0F243E" w:themeColor="text2" w:themeShade="80"/>
          <w:sz w:val="26"/>
          <w:szCs w:val="26"/>
        </w:rPr>
        <w:t xml:space="preserve"> dei contratti pubblici, distinguendo:</w:t>
      </w:r>
    </w:p>
    <w:p w:rsidR="002A5A23" w:rsidRDefault="00DF6E5E" w:rsidP="002A5A23">
      <w:pPr>
        <w:pStyle w:val="Paragrafoelenco"/>
        <w:numPr>
          <w:ilvl w:val="0"/>
          <w:numId w:val="25"/>
        </w:num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L’impostazione</w:t>
      </w:r>
      <w:r w:rsidR="002A5A23">
        <w:rPr>
          <w:rFonts w:ascii="Times New Roman" w:hAnsi="Times New Roman"/>
          <w:color w:val="0F243E" w:themeColor="text2" w:themeShade="80"/>
          <w:sz w:val="26"/>
          <w:szCs w:val="26"/>
        </w:rPr>
        <w:t xml:space="preserve"> generale</w:t>
      </w:r>
      <w:r w:rsidR="00396F79">
        <w:rPr>
          <w:rFonts w:ascii="Times New Roman" w:hAnsi="Times New Roman"/>
          <w:color w:val="0F243E" w:themeColor="text2" w:themeShade="80"/>
          <w:sz w:val="26"/>
          <w:szCs w:val="26"/>
        </w:rPr>
        <w:t xml:space="preserve"> seguita</w:t>
      </w:r>
      <w:r w:rsidR="002A5A23">
        <w:rPr>
          <w:rFonts w:ascii="Times New Roman" w:hAnsi="Times New Roman"/>
          <w:color w:val="0F243E" w:themeColor="text2" w:themeShade="80"/>
          <w:sz w:val="26"/>
          <w:szCs w:val="26"/>
        </w:rPr>
        <w:t xml:space="preserve"> d</w:t>
      </w:r>
      <w:r w:rsidR="00396F79">
        <w:rPr>
          <w:rFonts w:ascii="Times New Roman" w:hAnsi="Times New Roman"/>
          <w:color w:val="0F243E" w:themeColor="text2" w:themeShade="80"/>
          <w:sz w:val="26"/>
          <w:szCs w:val="26"/>
        </w:rPr>
        <w:t>a</w:t>
      </w:r>
      <w:r w:rsidR="002A5A23">
        <w:rPr>
          <w:rFonts w:ascii="Times New Roman" w:hAnsi="Times New Roman"/>
          <w:color w:val="0F243E" w:themeColor="text2" w:themeShade="80"/>
          <w:sz w:val="26"/>
          <w:szCs w:val="26"/>
        </w:rPr>
        <w:t>lle direttive europee;</w:t>
      </w:r>
    </w:p>
    <w:p w:rsidR="00DF6E5E" w:rsidRDefault="00DF6E5E" w:rsidP="002A5A23">
      <w:pPr>
        <w:pStyle w:val="Paragrafoelenco"/>
        <w:numPr>
          <w:ilvl w:val="0"/>
          <w:numId w:val="25"/>
        </w:num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 principi espressi dalla legge di delega n. 11/2016;</w:t>
      </w:r>
    </w:p>
    <w:p w:rsidR="00DF6E5E" w:rsidRDefault="00DF6E5E" w:rsidP="002A5A23">
      <w:pPr>
        <w:pStyle w:val="Paragrafoelenco"/>
        <w:numPr>
          <w:ilvl w:val="0"/>
          <w:numId w:val="25"/>
        </w:num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La disciplin</w:t>
      </w:r>
      <w:r w:rsidR="00F421DE">
        <w:rPr>
          <w:rFonts w:ascii="Times New Roman" w:hAnsi="Times New Roman"/>
          <w:color w:val="0F243E" w:themeColor="text2" w:themeShade="80"/>
          <w:sz w:val="26"/>
          <w:szCs w:val="26"/>
        </w:rPr>
        <w:t>a fissata dal codice n. 50/2016.</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p>
    <w:p w:rsidR="00D46DBD" w:rsidRPr="002360E5" w:rsidRDefault="00D46DBD" w:rsidP="00596E5E">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sidRPr="002360E5">
        <w:rPr>
          <w:rFonts w:ascii="Times New Roman" w:hAnsi="Times New Roman"/>
          <w:b/>
          <w:smallCaps/>
          <w:color w:val="0F243E" w:themeColor="text2" w:themeShade="80"/>
          <w:sz w:val="26"/>
          <w:szCs w:val="26"/>
        </w:rPr>
        <w:t xml:space="preserve">La </w:t>
      </w:r>
      <w:r w:rsidR="00566C96">
        <w:rPr>
          <w:rFonts w:ascii="Times New Roman" w:hAnsi="Times New Roman"/>
          <w:b/>
          <w:smallCaps/>
          <w:color w:val="0F243E" w:themeColor="text2" w:themeShade="80"/>
          <w:sz w:val="26"/>
          <w:szCs w:val="26"/>
        </w:rPr>
        <w:t>flessibilità nelle direttive del 2014</w:t>
      </w:r>
      <w:r w:rsidR="005A3D4D">
        <w:rPr>
          <w:rFonts w:ascii="Times New Roman" w:hAnsi="Times New Roman"/>
          <w:b/>
          <w:smallCaps/>
          <w:color w:val="0F243E" w:themeColor="text2" w:themeShade="80"/>
          <w:sz w:val="26"/>
          <w:szCs w:val="26"/>
        </w:rPr>
        <w:t xml:space="preserve">: la </w:t>
      </w:r>
      <w:r w:rsidR="00EC3F2C">
        <w:rPr>
          <w:rFonts w:ascii="Times New Roman" w:hAnsi="Times New Roman"/>
          <w:b/>
          <w:smallCaps/>
          <w:color w:val="0F243E" w:themeColor="text2" w:themeShade="80"/>
          <w:sz w:val="26"/>
          <w:szCs w:val="26"/>
        </w:rPr>
        <w:t xml:space="preserve">duttilità degli </w:t>
      </w:r>
      <w:r w:rsidR="00AF4631">
        <w:rPr>
          <w:rFonts w:ascii="Times New Roman" w:hAnsi="Times New Roman"/>
          <w:b/>
          <w:smallCaps/>
          <w:color w:val="0F243E" w:themeColor="text2" w:themeShade="80"/>
          <w:sz w:val="26"/>
          <w:szCs w:val="26"/>
        </w:rPr>
        <w:t xml:space="preserve">istituti, la </w:t>
      </w:r>
      <w:r w:rsidR="005A3D4D">
        <w:rPr>
          <w:rFonts w:ascii="Times New Roman" w:hAnsi="Times New Roman"/>
          <w:b/>
          <w:smallCaps/>
          <w:color w:val="0F243E" w:themeColor="text2" w:themeShade="80"/>
          <w:sz w:val="26"/>
          <w:szCs w:val="26"/>
        </w:rPr>
        <w:t>discrezionalità delle singole stazioni appaltanti e la</w:t>
      </w:r>
      <w:r w:rsidR="00AF4631">
        <w:rPr>
          <w:rFonts w:ascii="Times New Roman" w:hAnsi="Times New Roman"/>
          <w:b/>
          <w:smallCaps/>
          <w:color w:val="0F243E" w:themeColor="text2" w:themeShade="80"/>
          <w:sz w:val="26"/>
          <w:szCs w:val="26"/>
        </w:rPr>
        <w:t xml:space="preserve"> chiarezza delle norme primarie</w:t>
      </w:r>
      <w:r w:rsidR="00040C20">
        <w:rPr>
          <w:rFonts w:ascii="Times New Roman" w:hAnsi="Times New Roman"/>
          <w:b/>
          <w:smallCaps/>
          <w:color w:val="0F243E" w:themeColor="text2" w:themeShade="80"/>
          <w:sz w:val="26"/>
          <w:szCs w:val="26"/>
        </w:rPr>
        <w:t>.</w:t>
      </w:r>
    </w:p>
    <w:p w:rsidR="00D46DBD" w:rsidRPr="002360E5" w:rsidRDefault="00480E76"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w:t>
      </w:r>
      <w:r w:rsidR="00D46DBD" w:rsidRPr="002360E5">
        <w:rPr>
          <w:rFonts w:ascii="Times New Roman" w:hAnsi="Times New Roman"/>
          <w:color w:val="0F243E" w:themeColor="text2" w:themeShade="80"/>
          <w:sz w:val="26"/>
          <w:szCs w:val="26"/>
        </w:rPr>
        <w:t>’idea</w:t>
      </w:r>
      <w:r>
        <w:rPr>
          <w:rFonts w:ascii="Times New Roman" w:hAnsi="Times New Roman"/>
          <w:color w:val="0F243E" w:themeColor="text2" w:themeShade="80"/>
          <w:sz w:val="26"/>
          <w:szCs w:val="26"/>
        </w:rPr>
        <w:t>-</w:t>
      </w:r>
      <w:r w:rsidR="00975DD2" w:rsidRPr="002360E5">
        <w:rPr>
          <w:rFonts w:ascii="Times New Roman" w:hAnsi="Times New Roman"/>
          <w:color w:val="0F243E" w:themeColor="text2" w:themeShade="80"/>
          <w:sz w:val="26"/>
          <w:szCs w:val="26"/>
        </w:rPr>
        <w:t>base</w:t>
      </w:r>
      <w:r w:rsidR="00D46DBD" w:rsidRPr="002360E5">
        <w:rPr>
          <w:rFonts w:ascii="Times New Roman" w:hAnsi="Times New Roman"/>
          <w:color w:val="0F243E" w:themeColor="text2" w:themeShade="80"/>
          <w:sz w:val="26"/>
          <w:szCs w:val="26"/>
        </w:rPr>
        <w:t xml:space="preserve"> di una normativa “duttile” e “malleabile”</w:t>
      </w:r>
      <w:r w:rsidR="001964BE" w:rsidRPr="002360E5">
        <w:rPr>
          <w:rFonts w:ascii="Times New Roman" w:hAnsi="Times New Roman"/>
          <w:color w:val="0F243E" w:themeColor="text2" w:themeShade="80"/>
          <w:sz w:val="26"/>
          <w:szCs w:val="26"/>
        </w:rPr>
        <w:t xml:space="preserve">, sia pure di livello </w:t>
      </w:r>
      <w:r w:rsidR="001964BE" w:rsidRPr="002360E5">
        <w:rPr>
          <w:rFonts w:ascii="Times New Roman" w:hAnsi="Times New Roman"/>
          <w:i/>
          <w:color w:val="0F243E" w:themeColor="text2" w:themeShade="80"/>
          <w:sz w:val="26"/>
          <w:szCs w:val="26"/>
        </w:rPr>
        <w:t>subprimario</w:t>
      </w:r>
      <w:r w:rsidR="001964BE" w:rsidRPr="002360E5">
        <w:rPr>
          <w:rFonts w:ascii="Times New Roman" w:hAnsi="Times New Roman"/>
          <w:color w:val="0F243E" w:themeColor="text2" w:themeShade="80"/>
          <w:sz w:val="26"/>
          <w:szCs w:val="26"/>
        </w:rPr>
        <w:t>,</w:t>
      </w:r>
      <w:r w:rsidR="00D46DBD" w:rsidRPr="002360E5">
        <w:rPr>
          <w:rFonts w:ascii="Times New Roman" w:hAnsi="Times New Roman"/>
          <w:color w:val="0F243E" w:themeColor="text2" w:themeShade="80"/>
          <w:sz w:val="26"/>
          <w:szCs w:val="26"/>
        </w:rPr>
        <w:t xml:space="preserve"> applicabile alla materia dei contratti pubblici</w:t>
      </w:r>
      <w:r w:rsidR="001964BE" w:rsidRPr="002360E5">
        <w:rPr>
          <w:rFonts w:ascii="Times New Roman" w:hAnsi="Times New Roman"/>
          <w:color w:val="0F243E" w:themeColor="text2" w:themeShade="80"/>
          <w:sz w:val="26"/>
          <w:szCs w:val="26"/>
        </w:rPr>
        <w:t>,</w:t>
      </w:r>
      <w:r w:rsidR="00D46DBD" w:rsidRPr="002360E5">
        <w:rPr>
          <w:rFonts w:ascii="Times New Roman" w:hAnsi="Times New Roman"/>
          <w:color w:val="0F243E" w:themeColor="text2" w:themeShade="80"/>
          <w:sz w:val="26"/>
          <w:szCs w:val="26"/>
        </w:rPr>
        <w:t xml:space="preserve"> non sembra affatto corrispondere ad una indicazione precisa imposta dal </w:t>
      </w:r>
      <w:r w:rsidR="00D46DBD" w:rsidRPr="002360E5">
        <w:rPr>
          <w:rFonts w:ascii="Times New Roman" w:hAnsi="Times New Roman"/>
          <w:i/>
          <w:color w:val="0F243E" w:themeColor="text2" w:themeShade="80"/>
          <w:sz w:val="26"/>
          <w:szCs w:val="26"/>
        </w:rPr>
        <w:t xml:space="preserve">diritto europeo </w:t>
      </w:r>
      <w:r w:rsidR="00D46DBD" w:rsidRPr="002360E5">
        <w:rPr>
          <w:rFonts w:ascii="Times New Roman" w:hAnsi="Times New Roman"/>
          <w:color w:val="0F243E" w:themeColor="text2" w:themeShade="80"/>
          <w:sz w:val="26"/>
          <w:szCs w:val="26"/>
        </w:rPr>
        <w:t>e</w:t>
      </w:r>
      <w:r w:rsidR="00921B7D" w:rsidRPr="002360E5">
        <w:rPr>
          <w:rFonts w:ascii="Times New Roman" w:hAnsi="Times New Roman"/>
          <w:color w:val="0F243E" w:themeColor="text2" w:themeShade="80"/>
          <w:sz w:val="26"/>
          <w:szCs w:val="26"/>
        </w:rPr>
        <w:t>, segnatamente,</w:t>
      </w:r>
      <w:r w:rsidR="00D46DBD" w:rsidRPr="002360E5">
        <w:rPr>
          <w:rFonts w:ascii="Times New Roman" w:hAnsi="Times New Roman"/>
          <w:color w:val="0F243E" w:themeColor="text2" w:themeShade="80"/>
          <w:sz w:val="26"/>
          <w:szCs w:val="26"/>
        </w:rPr>
        <w:t xml:space="preserve"> dalle direttive del 2014.</w:t>
      </w:r>
      <w:r w:rsidR="00873EC6" w:rsidRPr="002360E5">
        <w:rPr>
          <w:rFonts w:ascii="Times New Roman" w:hAnsi="Times New Roman"/>
          <w:color w:val="0F243E" w:themeColor="text2" w:themeShade="80"/>
          <w:sz w:val="26"/>
          <w:szCs w:val="26"/>
        </w:rPr>
        <w:t xml:space="preserve"> Né, del resto, pare questa la strada seguita nel recepimento effettuato da</w:t>
      </w:r>
      <w:r w:rsidR="00503284" w:rsidRPr="002360E5">
        <w:rPr>
          <w:rFonts w:ascii="Times New Roman" w:hAnsi="Times New Roman"/>
          <w:color w:val="0F243E" w:themeColor="text2" w:themeShade="80"/>
          <w:sz w:val="26"/>
          <w:szCs w:val="26"/>
        </w:rPr>
        <w:t>gli</w:t>
      </w:r>
      <w:r w:rsidR="00873EC6" w:rsidRPr="002360E5">
        <w:rPr>
          <w:rFonts w:ascii="Times New Roman" w:hAnsi="Times New Roman"/>
          <w:color w:val="0F243E" w:themeColor="text2" w:themeShade="80"/>
          <w:sz w:val="26"/>
          <w:szCs w:val="26"/>
        </w:rPr>
        <w:t xml:space="preserve"> altri Stati membri</w:t>
      </w:r>
      <w:r w:rsidR="00503284" w:rsidRPr="002360E5">
        <w:rPr>
          <w:rFonts w:ascii="Times New Roman" w:hAnsi="Times New Roman"/>
          <w:color w:val="0F243E" w:themeColor="text2" w:themeShade="80"/>
          <w:sz w:val="26"/>
          <w:szCs w:val="26"/>
        </w:rPr>
        <w:t xml:space="preserve"> dell’Unione</w:t>
      </w:r>
      <w:r w:rsidR="00873EC6" w:rsidRPr="002360E5">
        <w:rPr>
          <w:rFonts w:ascii="Times New Roman" w:hAnsi="Times New Roman"/>
          <w:color w:val="0F243E" w:themeColor="text2" w:themeShade="80"/>
          <w:sz w:val="26"/>
          <w:szCs w:val="26"/>
        </w:rPr>
        <w:t>.</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Ciò non significa, tuttavia, che il concetto</w:t>
      </w:r>
      <w:r w:rsidR="00873EC6" w:rsidRPr="002360E5">
        <w:rPr>
          <w:rFonts w:ascii="Times New Roman" w:hAnsi="Times New Roman"/>
          <w:color w:val="0F243E" w:themeColor="text2" w:themeShade="80"/>
          <w:sz w:val="26"/>
          <w:szCs w:val="26"/>
        </w:rPr>
        <w:t xml:space="preserve"> ampliss</w:t>
      </w:r>
      <w:r w:rsidR="00503284" w:rsidRPr="002360E5">
        <w:rPr>
          <w:rFonts w:ascii="Times New Roman" w:hAnsi="Times New Roman"/>
          <w:color w:val="0F243E" w:themeColor="text2" w:themeShade="80"/>
          <w:sz w:val="26"/>
          <w:szCs w:val="26"/>
        </w:rPr>
        <w:t>i</w:t>
      </w:r>
      <w:r w:rsidR="00873EC6" w:rsidRPr="002360E5">
        <w:rPr>
          <w:rFonts w:ascii="Times New Roman" w:hAnsi="Times New Roman"/>
          <w:color w:val="0F243E" w:themeColor="text2" w:themeShade="80"/>
          <w:sz w:val="26"/>
          <w:szCs w:val="26"/>
        </w:rPr>
        <w:t>mo</w:t>
      </w:r>
      <w:r w:rsidRPr="002360E5">
        <w:rPr>
          <w:rFonts w:ascii="Times New Roman" w:hAnsi="Times New Roman"/>
          <w:color w:val="0F243E" w:themeColor="text2" w:themeShade="80"/>
          <w:sz w:val="26"/>
          <w:szCs w:val="26"/>
        </w:rPr>
        <w:t xml:space="preserve"> di </w:t>
      </w:r>
      <w:r w:rsidRPr="002360E5">
        <w:rPr>
          <w:rFonts w:ascii="Times New Roman" w:hAnsi="Times New Roman"/>
          <w:i/>
          <w:color w:val="0F243E" w:themeColor="text2" w:themeShade="80"/>
          <w:sz w:val="26"/>
          <w:szCs w:val="26"/>
        </w:rPr>
        <w:t>flessibilità</w:t>
      </w:r>
      <w:r w:rsidRPr="002360E5">
        <w:rPr>
          <w:rFonts w:ascii="Times New Roman" w:hAnsi="Times New Roman"/>
          <w:color w:val="0F243E" w:themeColor="text2" w:themeShade="80"/>
          <w:sz w:val="26"/>
          <w:szCs w:val="26"/>
        </w:rPr>
        <w:t xml:space="preserve"> sia del tutto privo di rilevo</w:t>
      </w:r>
      <w:r w:rsidR="00975DD2" w:rsidRPr="002360E5">
        <w:rPr>
          <w:rFonts w:ascii="Times New Roman" w:hAnsi="Times New Roman"/>
          <w:color w:val="0F243E" w:themeColor="text2" w:themeShade="80"/>
          <w:sz w:val="26"/>
          <w:szCs w:val="26"/>
        </w:rPr>
        <w:t xml:space="preserve"> nella normativa comunitaria</w:t>
      </w:r>
      <w:r w:rsidRPr="002360E5">
        <w:rPr>
          <w:rFonts w:ascii="Times New Roman" w:hAnsi="Times New Roman"/>
          <w:color w:val="0F243E" w:themeColor="text2" w:themeShade="80"/>
          <w:sz w:val="26"/>
          <w:szCs w:val="26"/>
        </w:rPr>
        <w:t>, ancorché con riferimento a</w:t>
      </w:r>
      <w:r w:rsidR="00921B7D" w:rsidRPr="002360E5">
        <w:rPr>
          <w:rFonts w:ascii="Times New Roman" w:hAnsi="Times New Roman"/>
          <w:color w:val="0F243E" w:themeColor="text2" w:themeShade="80"/>
          <w:sz w:val="26"/>
          <w:szCs w:val="26"/>
        </w:rPr>
        <w:t>d</w:t>
      </w:r>
      <w:r w:rsidRPr="002360E5">
        <w:rPr>
          <w:rFonts w:ascii="Times New Roman" w:hAnsi="Times New Roman"/>
          <w:color w:val="0F243E" w:themeColor="text2" w:themeShade="80"/>
          <w:sz w:val="26"/>
          <w:szCs w:val="26"/>
        </w:rPr>
        <w:t xml:space="preserve"> aspetti del tema</w:t>
      </w:r>
      <w:r w:rsidR="00503284" w:rsidRPr="002360E5">
        <w:rPr>
          <w:rFonts w:ascii="Times New Roman" w:hAnsi="Times New Roman"/>
          <w:color w:val="0F243E" w:themeColor="text2" w:themeShade="80"/>
          <w:sz w:val="26"/>
          <w:szCs w:val="26"/>
        </w:rPr>
        <w:t xml:space="preserve"> diversi da quello del carattere assunto dalla disciplina nazionale di recepimento</w:t>
      </w:r>
      <w:r w:rsidRPr="002360E5">
        <w:rPr>
          <w:rFonts w:ascii="Times New Roman" w:hAnsi="Times New Roman"/>
          <w:color w:val="0F243E" w:themeColor="text2" w:themeShade="80"/>
          <w:sz w:val="26"/>
          <w:szCs w:val="26"/>
        </w:rPr>
        <w:t>.</w:t>
      </w:r>
    </w:p>
    <w:p w:rsidR="00D46DBD" w:rsidRPr="002360E5" w:rsidRDefault="00975DD2"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D’altro canto</w:t>
      </w:r>
      <w:r w:rsidR="00D46DBD" w:rsidRPr="002360E5">
        <w:rPr>
          <w:rFonts w:ascii="Times New Roman" w:hAnsi="Times New Roman"/>
          <w:color w:val="0F243E" w:themeColor="text2" w:themeShade="80"/>
          <w:sz w:val="26"/>
          <w:szCs w:val="26"/>
        </w:rPr>
        <w:t xml:space="preserve">, non si può nemmeno prospettare, a prima vista, </w:t>
      </w:r>
      <w:r w:rsidR="00BE7910" w:rsidRPr="002360E5">
        <w:rPr>
          <w:rFonts w:ascii="Times New Roman" w:hAnsi="Times New Roman"/>
          <w:color w:val="0F243E" w:themeColor="text2" w:themeShade="80"/>
          <w:sz w:val="26"/>
          <w:szCs w:val="26"/>
        </w:rPr>
        <w:t xml:space="preserve">alcun </w:t>
      </w:r>
      <w:r w:rsidR="00D46DBD" w:rsidRPr="002360E5">
        <w:rPr>
          <w:rFonts w:ascii="Times New Roman" w:hAnsi="Times New Roman"/>
          <w:color w:val="0F243E" w:themeColor="text2" w:themeShade="80"/>
          <w:sz w:val="26"/>
          <w:szCs w:val="26"/>
        </w:rPr>
        <w:t>dubbio di radicale incompatibilità</w:t>
      </w:r>
      <w:r w:rsidR="00BE7910" w:rsidRPr="002360E5">
        <w:rPr>
          <w:rFonts w:ascii="Times New Roman" w:hAnsi="Times New Roman"/>
          <w:color w:val="0F243E" w:themeColor="text2" w:themeShade="80"/>
          <w:sz w:val="26"/>
          <w:szCs w:val="26"/>
        </w:rPr>
        <w:t xml:space="preserve"> </w:t>
      </w:r>
      <w:r w:rsidR="000B66A7" w:rsidRPr="002360E5">
        <w:rPr>
          <w:rFonts w:ascii="Times New Roman" w:hAnsi="Times New Roman"/>
          <w:color w:val="0F243E" w:themeColor="text2" w:themeShade="80"/>
          <w:sz w:val="26"/>
          <w:szCs w:val="26"/>
        </w:rPr>
        <w:t xml:space="preserve">tra </w:t>
      </w:r>
      <w:r w:rsidR="00D46DBD" w:rsidRPr="002360E5">
        <w:rPr>
          <w:rFonts w:ascii="Times New Roman" w:hAnsi="Times New Roman"/>
          <w:color w:val="0F243E" w:themeColor="text2" w:themeShade="80"/>
          <w:sz w:val="26"/>
          <w:szCs w:val="26"/>
        </w:rPr>
        <w:t>le direttive</w:t>
      </w:r>
      <w:r w:rsidR="001964BE" w:rsidRPr="002360E5">
        <w:rPr>
          <w:rFonts w:ascii="Times New Roman" w:hAnsi="Times New Roman"/>
          <w:color w:val="0F243E" w:themeColor="text2" w:themeShade="80"/>
          <w:sz w:val="26"/>
          <w:szCs w:val="26"/>
        </w:rPr>
        <w:t xml:space="preserve"> e</w:t>
      </w:r>
      <w:r w:rsidR="000B66A7" w:rsidRPr="002360E5">
        <w:rPr>
          <w:rFonts w:ascii="Times New Roman" w:hAnsi="Times New Roman"/>
          <w:color w:val="0F243E" w:themeColor="text2" w:themeShade="80"/>
          <w:sz w:val="26"/>
          <w:szCs w:val="26"/>
        </w:rPr>
        <w:t xml:space="preserve"> </w:t>
      </w:r>
      <w:r w:rsidR="001964BE" w:rsidRPr="002360E5">
        <w:rPr>
          <w:rFonts w:ascii="Times New Roman" w:hAnsi="Times New Roman"/>
          <w:color w:val="0F243E" w:themeColor="text2" w:themeShade="80"/>
          <w:sz w:val="26"/>
          <w:szCs w:val="26"/>
        </w:rPr>
        <w:t xml:space="preserve">la normativa </w:t>
      </w:r>
      <w:r w:rsidR="001A1781" w:rsidRPr="002360E5">
        <w:rPr>
          <w:rFonts w:ascii="Times New Roman" w:hAnsi="Times New Roman"/>
          <w:color w:val="0F243E" w:themeColor="text2" w:themeShade="80"/>
          <w:sz w:val="26"/>
          <w:szCs w:val="26"/>
        </w:rPr>
        <w:t xml:space="preserve">di attuazione </w:t>
      </w:r>
      <w:r w:rsidR="001964BE" w:rsidRPr="002360E5">
        <w:rPr>
          <w:rFonts w:ascii="Times New Roman" w:hAnsi="Times New Roman"/>
          <w:color w:val="0F243E" w:themeColor="text2" w:themeShade="80"/>
          <w:sz w:val="26"/>
          <w:szCs w:val="26"/>
        </w:rPr>
        <w:t xml:space="preserve">nazionale </w:t>
      </w:r>
      <w:r w:rsidR="001964BE" w:rsidRPr="002360E5">
        <w:rPr>
          <w:rFonts w:ascii="Times New Roman" w:hAnsi="Times New Roman"/>
          <w:i/>
          <w:color w:val="0F243E" w:themeColor="text2" w:themeShade="80"/>
          <w:sz w:val="26"/>
          <w:szCs w:val="26"/>
        </w:rPr>
        <w:t>morbida</w:t>
      </w:r>
      <w:r w:rsidR="000B66A7" w:rsidRPr="002360E5">
        <w:rPr>
          <w:rFonts w:ascii="Times New Roman" w:hAnsi="Times New Roman"/>
          <w:color w:val="0F243E" w:themeColor="text2" w:themeShade="80"/>
          <w:sz w:val="26"/>
          <w:szCs w:val="26"/>
        </w:rPr>
        <w:t>.</w:t>
      </w:r>
      <w:r w:rsidR="001A1781" w:rsidRPr="002360E5">
        <w:rPr>
          <w:rFonts w:ascii="Times New Roman" w:hAnsi="Times New Roman"/>
          <w:color w:val="0F243E" w:themeColor="text2" w:themeShade="80"/>
          <w:sz w:val="26"/>
          <w:szCs w:val="26"/>
        </w:rPr>
        <w:t xml:space="preserve"> </w:t>
      </w:r>
      <w:r w:rsidR="000B66A7" w:rsidRPr="002360E5">
        <w:rPr>
          <w:rFonts w:ascii="Times New Roman" w:hAnsi="Times New Roman"/>
          <w:color w:val="0F243E" w:themeColor="text2" w:themeShade="80"/>
          <w:sz w:val="26"/>
          <w:szCs w:val="26"/>
        </w:rPr>
        <w:t xml:space="preserve">Resta </w:t>
      </w:r>
      <w:r w:rsidR="001A1781" w:rsidRPr="002360E5">
        <w:rPr>
          <w:rFonts w:ascii="Times New Roman" w:hAnsi="Times New Roman"/>
          <w:color w:val="0F243E" w:themeColor="text2" w:themeShade="80"/>
          <w:sz w:val="26"/>
          <w:szCs w:val="26"/>
        </w:rPr>
        <w:t>fermo il principio secondo cui</w:t>
      </w:r>
      <w:r w:rsidR="00BE7910" w:rsidRPr="002360E5">
        <w:rPr>
          <w:rFonts w:ascii="Times New Roman" w:hAnsi="Times New Roman"/>
          <w:color w:val="0F243E" w:themeColor="text2" w:themeShade="80"/>
          <w:sz w:val="26"/>
          <w:szCs w:val="26"/>
        </w:rPr>
        <w:t xml:space="preserve"> il diritto “</w:t>
      </w:r>
      <w:r w:rsidR="00B622FE" w:rsidRPr="002360E5">
        <w:rPr>
          <w:rFonts w:ascii="Times New Roman" w:hAnsi="Times New Roman"/>
          <w:i/>
          <w:color w:val="0F243E" w:themeColor="text2" w:themeShade="80"/>
          <w:sz w:val="26"/>
          <w:szCs w:val="26"/>
        </w:rPr>
        <w:t>flessibile</w:t>
      </w:r>
      <w:r w:rsidR="00BE7910" w:rsidRPr="002360E5">
        <w:rPr>
          <w:rFonts w:ascii="Times New Roman" w:hAnsi="Times New Roman"/>
          <w:color w:val="0F243E" w:themeColor="text2" w:themeShade="80"/>
          <w:sz w:val="26"/>
          <w:szCs w:val="26"/>
        </w:rPr>
        <w:t xml:space="preserve">” nazionale </w:t>
      </w:r>
      <w:r w:rsidR="00480E76">
        <w:rPr>
          <w:rFonts w:ascii="Times New Roman" w:hAnsi="Times New Roman"/>
          <w:color w:val="0F243E" w:themeColor="text2" w:themeShade="80"/>
          <w:sz w:val="26"/>
          <w:szCs w:val="26"/>
        </w:rPr>
        <w:t>non do</w:t>
      </w:r>
      <w:r w:rsidR="001A1781" w:rsidRPr="002360E5">
        <w:rPr>
          <w:rFonts w:ascii="Times New Roman" w:hAnsi="Times New Roman"/>
          <w:color w:val="0F243E" w:themeColor="text2" w:themeShade="80"/>
          <w:sz w:val="26"/>
          <w:szCs w:val="26"/>
        </w:rPr>
        <w:t>v</w:t>
      </w:r>
      <w:r w:rsidR="00480E76">
        <w:rPr>
          <w:rFonts w:ascii="Times New Roman" w:hAnsi="Times New Roman"/>
          <w:color w:val="0F243E" w:themeColor="text2" w:themeShade="80"/>
          <w:sz w:val="26"/>
          <w:szCs w:val="26"/>
        </w:rPr>
        <w:t>r</w:t>
      </w:r>
      <w:r w:rsidR="001A1781" w:rsidRPr="002360E5">
        <w:rPr>
          <w:rFonts w:ascii="Times New Roman" w:hAnsi="Times New Roman"/>
          <w:color w:val="0F243E" w:themeColor="text2" w:themeShade="80"/>
          <w:sz w:val="26"/>
          <w:szCs w:val="26"/>
        </w:rPr>
        <w:t>e</w:t>
      </w:r>
      <w:r w:rsidR="00480E76">
        <w:rPr>
          <w:rFonts w:ascii="Times New Roman" w:hAnsi="Times New Roman"/>
          <w:color w:val="0F243E" w:themeColor="text2" w:themeShade="80"/>
          <w:sz w:val="26"/>
          <w:szCs w:val="26"/>
        </w:rPr>
        <w:t>bbe</w:t>
      </w:r>
      <w:r w:rsidR="001A1781" w:rsidRPr="002360E5">
        <w:rPr>
          <w:rFonts w:ascii="Times New Roman" w:hAnsi="Times New Roman"/>
          <w:color w:val="0F243E" w:themeColor="text2" w:themeShade="80"/>
          <w:sz w:val="26"/>
          <w:szCs w:val="26"/>
        </w:rPr>
        <w:t xml:space="preserve"> mai </w:t>
      </w:r>
      <w:r w:rsidR="00BE7910" w:rsidRPr="002360E5">
        <w:rPr>
          <w:rFonts w:ascii="Times New Roman" w:hAnsi="Times New Roman"/>
          <w:color w:val="0F243E" w:themeColor="text2" w:themeShade="80"/>
          <w:sz w:val="26"/>
          <w:szCs w:val="26"/>
        </w:rPr>
        <w:t>costitui</w:t>
      </w:r>
      <w:r w:rsidR="001A1781" w:rsidRPr="002360E5">
        <w:rPr>
          <w:rFonts w:ascii="Times New Roman" w:hAnsi="Times New Roman"/>
          <w:color w:val="0F243E" w:themeColor="text2" w:themeShade="80"/>
          <w:sz w:val="26"/>
          <w:szCs w:val="26"/>
        </w:rPr>
        <w:t>re</w:t>
      </w:r>
      <w:r w:rsidR="00BE7910" w:rsidRPr="002360E5">
        <w:rPr>
          <w:rFonts w:ascii="Times New Roman" w:hAnsi="Times New Roman"/>
          <w:color w:val="0F243E" w:themeColor="text2" w:themeShade="80"/>
          <w:sz w:val="26"/>
          <w:szCs w:val="26"/>
        </w:rPr>
        <w:t xml:space="preserve"> una sorta di </w:t>
      </w:r>
      <w:r w:rsidR="00261728">
        <w:rPr>
          <w:rFonts w:ascii="Times New Roman" w:hAnsi="Times New Roman"/>
          <w:color w:val="0F243E" w:themeColor="text2" w:themeShade="80"/>
          <w:sz w:val="26"/>
          <w:szCs w:val="26"/>
        </w:rPr>
        <w:t>mascherata elusione dei vincoli europei, determinando un</w:t>
      </w:r>
      <w:r w:rsidR="00B622FE" w:rsidRPr="002360E5">
        <w:rPr>
          <w:rFonts w:ascii="Times New Roman" w:hAnsi="Times New Roman"/>
          <w:color w:val="0F243E" w:themeColor="text2" w:themeShade="80"/>
          <w:sz w:val="26"/>
          <w:szCs w:val="26"/>
        </w:rPr>
        <w:t xml:space="preserve"> </w:t>
      </w:r>
      <w:r w:rsidR="00BE7910" w:rsidRPr="002360E5">
        <w:rPr>
          <w:rFonts w:ascii="Times New Roman" w:hAnsi="Times New Roman"/>
          <w:color w:val="0F243E" w:themeColor="text2" w:themeShade="80"/>
          <w:sz w:val="26"/>
          <w:szCs w:val="26"/>
        </w:rPr>
        <w:t>recepimento</w:t>
      </w:r>
      <w:r w:rsidR="00B622FE" w:rsidRPr="002360E5">
        <w:rPr>
          <w:rFonts w:ascii="Times New Roman" w:hAnsi="Times New Roman"/>
          <w:color w:val="0F243E" w:themeColor="text2" w:themeShade="80"/>
          <w:sz w:val="26"/>
          <w:szCs w:val="26"/>
        </w:rPr>
        <w:t xml:space="preserve"> incompleto</w:t>
      </w:r>
      <w:r w:rsidR="00BE7910" w:rsidRPr="002360E5">
        <w:rPr>
          <w:rFonts w:ascii="Times New Roman" w:hAnsi="Times New Roman"/>
          <w:color w:val="0F243E" w:themeColor="text2" w:themeShade="80"/>
          <w:sz w:val="26"/>
          <w:szCs w:val="26"/>
        </w:rPr>
        <w:t xml:space="preserve"> </w:t>
      </w:r>
      <w:r w:rsidR="00B622FE" w:rsidRPr="002360E5">
        <w:rPr>
          <w:rFonts w:ascii="Times New Roman" w:hAnsi="Times New Roman"/>
          <w:color w:val="0F243E" w:themeColor="text2" w:themeShade="80"/>
          <w:sz w:val="26"/>
          <w:szCs w:val="26"/>
        </w:rPr>
        <w:t xml:space="preserve">o </w:t>
      </w:r>
      <w:r w:rsidR="00BE7910" w:rsidRPr="002360E5">
        <w:rPr>
          <w:rFonts w:ascii="Times New Roman" w:hAnsi="Times New Roman"/>
          <w:color w:val="0F243E" w:themeColor="text2" w:themeShade="80"/>
          <w:sz w:val="26"/>
          <w:szCs w:val="26"/>
        </w:rPr>
        <w:t>“attenuato” del diritto UE.</w:t>
      </w:r>
      <w:r w:rsidR="00261728">
        <w:rPr>
          <w:rFonts w:ascii="Times New Roman" w:hAnsi="Times New Roman"/>
          <w:color w:val="0F243E" w:themeColor="text2" w:themeShade="80"/>
          <w:sz w:val="26"/>
          <w:szCs w:val="26"/>
        </w:rPr>
        <w:t xml:space="preserve"> Anzi, l’effettività delle direttive del 2014</w:t>
      </w:r>
      <w:r w:rsidR="001A1781" w:rsidRPr="002360E5">
        <w:rPr>
          <w:rFonts w:ascii="Times New Roman" w:hAnsi="Times New Roman"/>
          <w:color w:val="0F243E" w:themeColor="text2" w:themeShade="80"/>
          <w:sz w:val="26"/>
          <w:szCs w:val="26"/>
        </w:rPr>
        <w:t xml:space="preserve"> deve essere garantita attraverso adeguati strumenti processuali e sostanziali.</w:t>
      </w:r>
      <w:r w:rsidR="000B66A7" w:rsidRPr="002360E5">
        <w:rPr>
          <w:rFonts w:ascii="Times New Roman" w:hAnsi="Times New Roman"/>
          <w:color w:val="0F243E" w:themeColor="text2" w:themeShade="80"/>
          <w:sz w:val="26"/>
          <w:szCs w:val="26"/>
        </w:rPr>
        <w:t xml:space="preserve"> Ma</w:t>
      </w:r>
      <w:r w:rsidR="00A44DF4">
        <w:rPr>
          <w:rFonts w:ascii="Times New Roman" w:hAnsi="Times New Roman"/>
          <w:color w:val="0F243E" w:themeColor="text2" w:themeShade="80"/>
          <w:sz w:val="26"/>
          <w:szCs w:val="26"/>
        </w:rPr>
        <w:t>,</w:t>
      </w:r>
      <w:r w:rsidR="000B66A7" w:rsidRPr="002360E5">
        <w:rPr>
          <w:rFonts w:ascii="Times New Roman" w:hAnsi="Times New Roman"/>
          <w:color w:val="0F243E" w:themeColor="text2" w:themeShade="80"/>
          <w:sz w:val="26"/>
          <w:szCs w:val="26"/>
        </w:rPr>
        <w:t xml:space="preserve"> a</w:t>
      </w:r>
      <w:r w:rsidR="00A44DF4">
        <w:rPr>
          <w:rFonts w:ascii="Times New Roman" w:hAnsi="Times New Roman"/>
          <w:color w:val="0F243E" w:themeColor="text2" w:themeShade="80"/>
          <w:sz w:val="26"/>
          <w:szCs w:val="26"/>
        </w:rPr>
        <w:t>l</w:t>
      </w:r>
      <w:r w:rsidR="000B66A7" w:rsidRPr="002360E5">
        <w:rPr>
          <w:rFonts w:ascii="Times New Roman" w:hAnsi="Times New Roman"/>
          <w:color w:val="0F243E" w:themeColor="text2" w:themeShade="80"/>
          <w:sz w:val="26"/>
          <w:szCs w:val="26"/>
        </w:rPr>
        <w:t>l</w:t>
      </w:r>
      <w:r w:rsidR="00261728">
        <w:rPr>
          <w:rFonts w:ascii="Times New Roman" w:hAnsi="Times New Roman"/>
          <w:color w:val="0F243E" w:themeColor="text2" w:themeShade="80"/>
          <w:sz w:val="26"/>
          <w:szCs w:val="26"/>
        </w:rPr>
        <w:t>’interno</w:t>
      </w:r>
      <w:r w:rsidR="000B66A7" w:rsidRPr="002360E5">
        <w:rPr>
          <w:rFonts w:ascii="Times New Roman" w:hAnsi="Times New Roman"/>
          <w:color w:val="0F243E" w:themeColor="text2" w:themeShade="80"/>
          <w:sz w:val="26"/>
          <w:szCs w:val="26"/>
        </w:rPr>
        <w:t xml:space="preserve"> di questo ovvio confine, spetta al legislatore nazionale l’individuazione degli idonei strumenti di diritto interno che assic</w:t>
      </w:r>
      <w:r w:rsidR="00404729" w:rsidRPr="002360E5">
        <w:rPr>
          <w:rFonts w:ascii="Times New Roman" w:hAnsi="Times New Roman"/>
          <w:color w:val="0F243E" w:themeColor="text2" w:themeShade="80"/>
          <w:sz w:val="26"/>
          <w:szCs w:val="26"/>
        </w:rPr>
        <w:t>urino l’efficace</w:t>
      </w:r>
      <w:r w:rsidR="000B66A7" w:rsidRPr="002360E5">
        <w:rPr>
          <w:rFonts w:ascii="Times New Roman" w:hAnsi="Times New Roman"/>
          <w:color w:val="0F243E" w:themeColor="text2" w:themeShade="80"/>
          <w:sz w:val="26"/>
          <w:szCs w:val="26"/>
        </w:rPr>
        <w:t xml:space="preserve"> </w:t>
      </w:r>
      <w:r w:rsidR="00641217" w:rsidRPr="002360E5">
        <w:rPr>
          <w:rFonts w:ascii="Times New Roman" w:hAnsi="Times New Roman"/>
          <w:color w:val="0F243E" w:themeColor="text2" w:themeShade="80"/>
          <w:sz w:val="26"/>
          <w:szCs w:val="26"/>
        </w:rPr>
        <w:t>attuazione della normativa UE.</w:t>
      </w:r>
    </w:p>
    <w:p w:rsidR="00ED6FF1"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Il diritto europeo intende </w:t>
      </w:r>
      <w:r w:rsidR="00B427D0" w:rsidRPr="002360E5">
        <w:rPr>
          <w:rFonts w:ascii="Times New Roman" w:hAnsi="Times New Roman"/>
          <w:color w:val="0F243E" w:themeColor="text2" w:themeShade="80"/>
          <w:sz w:val="26"/>
          <w:szCs w:val="26"/>
        </w:rPr>
        <w:t xml:space="preserve">senz’altro </w:t>
      </w:r>
      <w:r w:rsidRPr="002360E5">
        <w:rPr>
          <w:rFonts w:ascii="Times New Roman" w:hAnsi="Times New Roman"/>
          <w:color w:val="0F243E" w:themeColor="text2" w:themeShade="80"/>
          <w:sz w:val="26"/>
          <w:szCs w:val="26"/>
        </w:rPr>
        <w:t>valorizzare la “</w:t>
      </w:r>
      <w:r w:rsidRPr="002360E5">
        <w:rPr>
          <w:rFonts w:ascii="Times New Roman" w:hAnsi="Times New Roman"/>
          <w:i/>
          <w:color w:val="0F243E" w:themeColor="text2" w:themeShade="80"/>
          <w:sz w:val="26"/>
          <w:szCs w:val="26"/>
        </w:rPr>
        <w:t>flessibilità</w:t>
      </w:r>
      <w:r w:rsidRPr="002360E5">
        <w:rPr>
          <w:rFonts w:ascii="Times New Roman" w:hAnsi="Times New Roman"/>
          <w:color w:val="0F243E" w:themeColor="text2" w:themeShade="80"/>
          <w:sz w:val="26"/>
          <w:szCs w:val="26"/>
        </w:rPr>
        <w:t>” delle procedure di affidamento e degli strumenti contrattuali messi a disposizione delle stazioni appaltanti</w:t>
      </w:r>
      <w:r w:rsidR="00F27CBC" w:rsidRPr="002360E5">
        <w:rPr>
          <w:rStyle w:val="Rimandonotaapidipagina"/>
          <w:rFonts w:ascii="Times New Roman" w:hAnsi="Times New Roman"/>
          <w:color w:val="0F243E" w:themeColor="text2" w:themeShade="80"/>
          <w:sz w:val="26"/>
          <w:szCs w:val="26"/>
        </w:rPr>
        <w:footnoteReference w:id="8"/>
      </w:r>
      <w:r w:rsidRPr="002360E5">
        <w:rPr>
          <w:rFonts w:ascii="Times New Roman" w:hAnsi="Times New Roman"/>
          <w:color w:val="0F243E" w:themeColor="text2" w:themeShade="80"/>
          <w:sz w:val="26"/>
          <w:szCs w:val="26"/>
        </w:rPr>
        <w:t xml:space="preserve">, accentuando </w:t>
      </w:r>
      <w:r w:rsidR="0055196F">
        <w:rPr>
          <w:rFonts w:ascii="Times New Roman" w:hAnsi="Times New Roman"/>
          <w:color w:val="0F243E" w:themeColor="text2" w:themeShade="80"/>
          <w:sz w:val="26"/>
          <w:szCs w:val="26"/>
        </w:rPr>
        <w:t>gl</w:t>
      </w:r>
      <w:r w:rsidRPr="002360E5">
        <w:rPr>
          <w:rFonts w:ascii="Times New Roman" w:hAnsi="Times New Roman"/>
          <w:color w:val="0F243E" w:themeColor="text2" w:themeShade="80"/>
          <w:sz w:val="26"/>
          <w:szCs w:val="26"/>
        </w:rPr>
        <w:t xml:space="preserve">i </w:t>
      </w:r>
      <w:r w:rsidR="0055196F" w:rsidRPr="002360E5">
        <w:rPr>
          <w:rFonts w:ascii="Times New Roman" w:hAnsi="Times New Roman"/>
          <w:color w:val="0F243E" w:themeColor="text2" w:themeShade="80"/>
          <w:sz w:val="26"/>
          <w:szCs w:val="26"/>
        </w:rPr>
        <w:t xml:space="preserve">autonomi </w:t>
      </w:r>
      <w:r w:rsidRPr="002360E5">
        <w:rPr>
          <w:rFonts w:ascii="Times New Roman" w:hAnsi="Times New Roman"/>
          <w:color w:val="0F243E" w:themeColor="text2" w:themeShade="80"/>
          <w:sz w:val="26"/>
          <w:szCs w:val="26"/>
        </w:rPr>
        <w:t>poteri di scelta delle amministrazioni aggiudicatrici</w:t>
      </w:r>
      <w:r w:rsidR="00B427D0" w:rsidRPr="002360E5">
        <w:rPr>
          <w:rFonts w:ascii="Times New Roman" w:hAnsi="Times New Roman"/>
          <w:color w:val="0F243E" w:themeColor="text2" w:themeShade="80"/>
          <w:sz w:val="26"/>
          <w:szCs w:val="26"/>
        </w:rPr>
        <w:t>, nel rispetto delle finalità generali dell’ordinamento</w:t>
      </w:r>
      <w:r w:rsidRPr="002360E5">
        <w:rPr>
          <w:rFonts w:ascii="Times New Roman" w:hAnsi="Times New Roman"/>
          <w:color w:val="0F243E" w:themeColor="text2" w:themeShade="80"/>
          <w:sz w:val="26"/>
          <w:szCs w:val="26"/>
        </w:rPr>
        <w:t xml:space="preserve">. </w:t>
      </w:r>
      <w:r w:rsidR="00ED6FF1" w:rsidRPr="002360E5">
        <w:rPr>
          <w:rFonts w:ascii="Times New Roman" w:hAnsi="Times New Roman"/>
          <w:color w:val="0F243E" w:themeColor="text2" w:themeShade="80"/>
          <w:sz w:val="26"/>
          <w:szCs w:val="26"/>
        </w:rPr>
        <w:t xml:space="preserve">Le direttive attribuiscono espressamente alle stazioni appaltanti </w:t>
      </w:r>
      <w:r w:rsidR="00762F1E">
        <w:rPr>
          <w:rFonts w:ascii="Times New Roman" w:hAnsi="Times New Roman"/>
          <w:color w:val="0F243E" w:themeColor="text2" w:themeShade="80"/>
          <w:sz w:val="26"/>
          <w:szCs w:val="26"/>
        </w:rPr>
        <w:t xml:space="preserve">(tanto nei settori ordinari, quanto, in modo più accentuato, nei settori speciali) </w:t>
      </w:r>
      <w:r w:rsidR="00ED6FF1" w:rsidRPr="002360E5">
        <w:rPr>
          <w:rFonts w:ascii="Times New Roman" w:hAnsi="Times New Roman"/>
          <w:color w:val="0F243E" w:themeColor="text2" w:themeShade="80"/>
          <w:sz w:val="26"/>
          <w:szCs w:val="26"/>
        </w:rPr>
        <w:t>un largo potere di autorganizzazione</w:t>
      </w:r>
      <w:r w:rsidR="00E04812" w:rsidRPr="002360E5">
        <w:rPr>
          <w:rFonts w:ascii="Times New Roman" w:hAnsi="Times New Roman"/>
          <w:color w:val="0F243E" w:themeColor="text2" w:themeShade="80"/>
          <w:sz w:val="26"/>
          <w:szCs w:val="26"/>
        </w:rPr>
        <w:t>,</w:t>
      </w:r>
      <w:r w:rsidR="00ED6FF1" w:rsidRPr="002360E5">
        <w:rPr>
          <w:rFonts w:ascii="Times New Roman" w:hAnsi="Times New Roman"/>
          <w:color w:val="0F243E" w:themeColor="text2" w:themeShade="80"/>
          <w:sz w:val="26"/>
          <w:szCs w:val="26"/>
        </w:rPr>
        <w:t xml:space="preserve"> non solo strutturale, ma anche di </w:t>
      </w:r>
      <w:r w:rsidR="00B622FE" w:rsidRPr="002360E5">
        <w:rPr>
          <w:rFonts w:ascii="Times New Roman" w:hAnsi="Times New Roman"/>
          <w:color w:val="0F243E" w:themeColor="text2" w:themeShade="80"/>
          <w:sz w:val="26"/>
          <w:szCs w:val="26"/>
        </w:rPr>
        <w:t>gestione e sviluppo</w:t>
      </w:r>
      <w:r w:rsidR="00ED6FF1" w:rsidRPr="002360E5">
        <w:rPr>
          <w:rFonts w:ascii="Times New Roman" w:hAnsi="Times New Roman"/>
          <w:color w:val="0F243E" w:themeColor="text2" w:themeShade="80"/>
          <w:sz w:val="26"/>
          <w:szCs w:val="26"/>
        </w:rPr>
        <w:t xml:space="preserve"> del </w:t>
      </w:r>
      <w:r w:rsidR="00ED6FF1" w:rsidRPr="002360E5">
        <w:rPr>
          <w:rFonts w:ascii="Times New Roman" w:hAnsi="Times New Roman"/>
          <w:i/>
          <w:color w:val="0F243E" w:themeColor="text2" w:themeShade="80"/>
          <w:sz w:val="26"/>
          <w:szCs w:val="26"/>
        </w:rPr>
        <w:t>procedimento</w:t>
      </w:r>
      <w:r w:rsidR="00B622FE" w:rsidRPr="002360E5">
        <w:rPr>
          <w:rFonts w:ascii="Times New Roman" w:hAnsi="Times New Roman"/>
          <w:color w:val="0F243E" w:themeColor="text2" w:themeShade="80"/>
          <w:sz w:val="26"/>
          <w:szCs w:val="26"/>
        </w:rPr>
        <w:t xml:space="preserve"> diretto all’affidamento del contratto</w:t>
      </w:r>
      <w:r w:rsidR="00ED6FF1" w:rsidRPr="002360E5">
        <w:rPr>
          <w:rFonts w:ascii="Times New Roman" w:hAnsi="Times New Roman"/>
          <w:color w:val="0F243E" w:themeColor="text2" w:themeShade="80"/>
          <w:sz w:val="26"/>
          <w:szCs w:val="26"/>
        </w:rPr>
        <w:t>.</w:t>
      </w:r>
    </w:p>
    <w:p w:rsidR="00640D32" w:rsidRPr="002360E5" w:rsidRDefault="008D7486" w:rsidP="00596E5E">
      <w:pPr>
        <w:pStyle w:val="Paragrafoelenco"/>
        <w:tabs>
          <w:tab w:val="left" w:pos="0"/>
        </w:tabs>
        <w:ind w:left="0"/>
        <w:rPr>
          <w:rFonts w:ascii="Times New Roman" w:hAnsi="Times New Roman"/>
          <w:i/>
          <w:color w:val="0F243E" w:themeColor="text2" w:themeShade="80"/>
          <w:sz w:val="26"/>
          <w:szCs w:val="26"/>
        </w:rPr>
      </w:pPr>
      <w:r>
        <w:rPr>
          <w:rFonts w:ascii="Times New Roman" w:hAnsi="Times New Roman"/>
          <w:color w:val="0F243E" w:themeColor="text2" w:themeShade="80"/>
          <w:sz w:val="26"/>
          <w:szCs w:val="26"/>
        </w:rPr>
        <w:t xml:space="preserve">Questo principio viene esplicitato proprio con riguardo ai </w:t>
      </w:r>
      <w:r w:rsidRPr="008D7486">
        <w:rPr>
          <w:rFonts w:ascii="Times New Roman" w:hAnsi="Times New Roman"/>
          <w:i/>
          <w:color w:val="0F243E" w:themeColor="text2" w:themeShade="80"/>
          <w:sz w:val="26"/>
          <w:szCs w:val="26"/>
        </w:rPr>
        <w:t>settori speciali</w:t>
      </w:r>
      <w:r>
        <w:rPr>
          <w:rFonts w:ascii="Times New Roman" w:hAnsi="Times New Roman"/>
          <w:color w:val="0F243E" w:themeColor="text2" w:themeShade="80"/>
          <w:sz w:val="26"/>
          <w:szCs w:val="26"/>
        </w:rPr>
        <w:t xml:space="preserve">. </w:t>
      </w:r>
      <w:r w:rsidR="00640D32" w:rsidRPr="002360E5">
        <w:rPr>
          <w:rFonts w:ascii="Times New Roman" w:hAnsi="Times New Roman"/>
          <w:color w:val="0F243E" w:themeColor="text2" w:themeShade="80"/>
          <w:sz w:val="26"/>
          <w:szCs w:val="26"/>
        </w:rPr>
        <w:t xml:space="preserve">Secondo il </w:t>
      </w:r>
      <w:r w:rsidR="00640D32" w:rsidRPr="008D7486">
        <w:rPr>
          <w:rFonts w:ascii="Times New Roman" w:hAnsi="Times New Roman"/>
          <w:i/>
          <w:color w:val="0F243E" w:themeColor="text2" w:themeShade="80"/>
          <w:sz w:val="26"/>
          <w:szCs w:val="26"/>
        </w:rPr>
        <w:t>Considerando</w:t>
      </w:r>
      <w:r w:rsidR="00640D32" w:rsidRPr="002360E5">
        <w:rPr>
          <w:rFonts w:ascii="Times New Roman" w:hAnsi="Times New Roman"/>
          <w:color w:val="0F243E" w:themeColor="text2" w:themeShade="80"/>
          <w:sz w:val="26"/>
          <w:szCs w:val="26"/>
        </w:rPr>
        <w:t xml:space="preserve"> 2 della direttiva 2014/25/UE, </w:t>
      </w:r>
      <w:r w:rsidR="00A56153" w:rsidRPr="002360E5">
        <w:rPr>
          <w:rFonts w:ascii="Times New Roman" w:hAnsi="Times New Roman"/>
          <w:color w:val="0F243E" w:themeColor="text2" w:themeShade="80"/>
          <w:sz w:val="26"/>
          <w:szCs w:val="26"/>
        </w:rPr>
        <w:t>“</w:t>
      </w:r>
      <w:r w:rsidR="00640D32" w:rsidRPr="002360E5">
        <w:rPr>
          <w:rFonts w:ascii="Times New Roman" w:hAnsi="Times New Roman"/>
          <w:color w:val="0F243E" w:themeColor="text2" w:themeShade="80"/>
          <w:sz w:val="26"/>
          <w:szCs w:val="26"/>
        </w:rPr>
        <w:t xml:space="preserve">Al fine di assicurare l’apertura alla concorrenza degli appalti pubblici di enti che operano nei settori dell’acqua, dell’energia, dei trasporti e dei servizi postali è opportuno stabilire disposizioni di coordinamento per i contratti con valore superiore a una certa soglia. Tale coordinamento è necessario per assicurare l’effetto dei principi del trattato sul funzionamento dell’Unione europea (TFUE), in particolare la libera circolazione delle merci, la libertà di stabilimento e la libera prestazione dei servizi, nonché i principi che ne derivano, come la parità di trattamento, la non discriminazione, il mutuo riconoscimento, la proporzionalità e la trasparenza. In considerazione della natura dei settori interessati, il coordinamento delle procedure d’appalto a livello di Unione, pur continuando a salvaguardare l’applicazione di detti principi, dovrebbe istituire un quadro per pratiche commerciali leali e </w:t>
      </w:r>
      <w:r w:rsidR="00640D32" w:rsidRPr="0055196F">
        <w:rPr>
          <w:rFonts w:ascii="Times New Roman" w:hAnsi="Times New Roman"/>
          <w:i/>
          <w:color w:val="0F243E" w:themeColor="text2" w:themeShade="80"/>
          <w:sz w:val="26"/>
          <w:szCs w:val="26"/>
        </w:rPr>
        <w:t>permettere la massima flessibilità</w:t>
      </w:r>
      <w:r w:rsidR="00640D32" w:rsidRPr="002360E5">
        <w:rPr>
          <w:rFonts w:ascii="Times New Roman" w:hAnsi="Times New Roman"/>
          <w:color w:val="0F243E" w:themeColor="text2" w:themeShade="80"/>
          <w:sz w:val="26"/>
          <w:szCs w:val="26"/>
        </w:rPr>
        <w:t>.</w:t>
      </w:r>
      <w:r w:rsidR="00A56153" w:rsidRPr="002360E5">
        <w:rPr>
          <w:rFonts w:ascii="Times New Roman" w:hAnsi="Times New Roman"/>
          <w:color w:val="0F243E" w:themeColor="text2" w:themeShade="80"/>
          <w:sz w:val="26"/>
          <w:szCs w:val="26"/>
        </w:rPr>
        <w:t>”</w:t>
      </w:r>
      <w:r w:rsidR="00A56153" w:rsidRPr="002360E5">
        <w:rPr>
          <w:rStyle w:val="Rimandonotaapidipagina"/>
          <w:rFonts w:ascii="Times New Roman" w:hAnsi="Times New Roman"/>
          <w:color w:val="0F243E" w:themeColor="text2" w:themeShade="80"/>
          <w:sz w:val="26"/>
          <w:szCs w:val="26"/>
        </w:rPr>
        <w:footnoteReference w:id="9"/>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Ma questo </w:t>
      </w:r>
      <w:r w:rsidR="00B427D0" w:rsidRPr="002360E5">
        <w:rPr>
          <w:rFonts w:ascii="Times New Roman" w:hAnsi="Times New Roman"/>
          <w:color w:val="0F243E" w:themeColor="text2" w:themeShade="80"/>
          <w:sz w:val="26"/>
          <w:szCs w:val="26"/>
        </w:rPr>
        <w:t xml:space="preserve">importante </w:t>
      </w:r>
      <w:r w:rsidRPr="002360E5">
        <w:rPr>
          <w:rFonts w:ascii="Times New Roman" w:hAnsi="Times New Roman"/>
          <w:color w:val="0F243E" w:themeColor="text2" w:themeShade="80"/>
          <w:sz w:val="26"/>
          <w:szCs w:val="26"/>
        </w:rPr>
        <w:t>concetto di “</w:t>
      </w:r>
      <w:r w:rsidRPr="0055196F">
        <w:rPr>
          <w:rFonts w:ascii="Times New Roman" w:hAnsi="Times New Roman"/>
          <w:i/>
          <w:color w:val="0F243E" w:themeColor="text2" w:themeShade="80"/>
          <w:sz w:val="26"/>
          <w:szCs w:val="26"/>
        </w:rPr>
        <w:t>elasticità</w:t>
      </w:r>
      <w:r w:rsidRPr="002360E5">
        <w:rPr>
          <w:rFonts w:ascii="Times New Roman" w:hAnsi="Times New Roman"/>
          <w:color w:val="0F243E" w:themeColor="text2" w:themeShade="80"/>
          <w:sz w:val="26"/>
          <w:szCs w:val="26"/>
        </w:rPr>
        <w:t>”</w:t>
      </w:r>
      <w:r w:rsidR="0055196F">
        <w:rPr>
          <w:rFonts w:ascii="Times New Roman" w:hAnsi="Times New Roman"/>
          <w:color w:val="0F243E" w:themeColor="text2" w:themeShade="80"/>
          <w:sz w:val="26"/>
          <w:szCs w:val="26"/>
        </w:rPr>
        <w:t xml:space="preserve"> – è bene sottolinearlo -</w:t>
      </w:r>
      <w:r w:rsidRPr="002360E5">
        <w:rPr>
          <w:rFonts w:ascii="Times New Roman" w:hAnsi="Times New Roman"/>
          <w:color w:val="0F243E" w:themeColor="text2" w:themeShade="80"/>
          <w:sz w:val="26"/>
          <w:szCs w:val="26"/>
        </w:rPr>
        <w:t xml:space="preserve"> riguarda non tanto la </w:t>
      </w:r>
      <w:r w:rsidRPr="002360E5">
        <w:rPr>
          <w:rFonts w:ascii="Times New Roman" w:hAnsi="Times New Roman"/>
          <w:i/>
          <w:color w:val="0F243E" w:themeColor="text2" w:themeShade="80"/>
          <w:sz w:val="26"/>
          <w:szCs w:val="26"/>
        </w:rPr>
        <w:t>struttura</w:t>
      </w:r>
      <w:r w:rsidRPr="002360E5">
        <w:rPr>
          <w:rFonts w:ascii="Times New Roman" w:hAnsi="Times New Roman"/>
          <w:color w:val="0F243E" w:themeColor="text2" w:themeShade="80"/>
          <w:sz w:val="26"/>
          <w:szCs w:val="26"/>
        </w:rPr>
        <w:t xml:space="preserve"> della disciplina</w:t>
      </w:r>
      <w:r w:rsidR="00F2492A" w:rsidRPr="002360E5">
        <w:rPr>
          <w:rFonts w:ascii="Times New Roman" w:hAnsi="Times New Roman"/>
          <w:color w:val="0F243E" w:themeColor="text2" w:themeShade="80"/>
          <w:sz w:val="26"/>
          <w:szCs w:val="26"/>
        </w:rPr>
        <w:t xml:space="preserve"> normativa</w:t>
      </w:r>
      <w:r w:rsidR="00B31122" w:rsidRPr="002360E5">
        <w:rPr>
          <w:rFonts w:ascii="Times New Roman" w:hAnsi="Times New Roman"/>
          <w:color w:val="0F243E" w:themeColor="text2" w:themeShade="80"/>
          <w:sz w:val="26"/>
          <w:szCs w:val="26"/>
        </w:rPr>
        <w:t xml:space="preserve"> e la sua forza di resistenza passiva</w:t>
      </w:r>
      <w:r w:rsidRPr="002360E5">
        <w:rPr>
          <w:rFonts w:ascii="Times New Roman" w:hAnsi="Times New Roman"/>
          <w:color w:val="0F243E" w:themeColor="text2" w:themeShade="80"/>
          <w:sz w:val="26"/>
          <w:szCs w:val="26"/>
        </w:rPr>
        <w:t>, quanto</w:t>
      </w:r>
      <w:r w:rsidR="00D632C9">
        <w:rPr>
          <w:rFonts w:ascii="Times New Roman" w:hAnsi="Times New Roman"/>
          <w:color w:val="0F243E" w:themeColor="text2" w:themeShade="80"/>
          <w:sz w:val="26"/>
          <w:szCs w:val="26"/>
        </w:rPr>
        <w:t>, piuttosto,</w:t>
      </w:r>
      <w:r w:rsidRPr="002360E5">
        <w:rPr>
          <w:rFonts w:ascii="Times New Roman" w:hAnsi="Times New Roman"/>
          <w:color w:val="0F243E" w:themeColor="text2" w:themeShade="80"/>
          <w:sz w:val="26"/>
          <w:szCs w:val="26"/>
        </w:rPr>
        <w:t xml:space="preserve"> l’esercizio delle</w:t>
      </w:r>
      <w:r w:rsidR="00B427D0" w:rsidRPr="002360E5">
        <w:rPr>
          <w:rFonts w:ascii="Times New Roman" w:hAnsi="Times New Roman"/>
          <w:color w:val="0F243E" w:themeColor="text2" w:themeShade="80"/>
          <w:sz w:val="26"/>
          <w:szCs w:val="26"/>
        </w:rPr>
        <w:t xml:space="preserve"> funzioni delle singole stazioni</w:t>
      </w:r>
      <w:r w:rsidRPr="002360E5">
        <w:rPr>
          <w:rFonts w:ascii="Times New Roman" w:hAnsi="Times New Roman"/>
          <w:color w:val="0F243E" w:themeColor="text2" w:themeShade="80"/>
          <w:sz w:val="26"/>
          <w:szCs w:val="26"/>
        </w:rPr>
        <w:t xml:space="preserve"> appaltanti, la loro discrezionalità, connessa alla dinamicità dei rapporti economici.</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L’elasticità delle </w:t>
      </w:r>
      <w:r w:rsidRPr="002360E5">
        <w:rPr>
          <w:rFonts w:ascii="Times New Roman" w:hAnsi="Times New Roman"/>
          <w:i/>
          <w:color w:val="0F243E" w:themeColor="text2" w:themeShade="80"/>
          <w:sz w:val="26"/>
          <w:szCs w:val="26"/>
        </w:rPr>
        <w:t>procedure</w:t>
      </w:r>
      <w:r w:rsidRPr="002360E5">
        <w:rPr>
          <w:rFonts w:ascii="Times New Roman" w:hAnsi="Times New Roman"/>
          <w:color w:val="0F243E" w:themeColor="text2" w:themeShade="80"/>
          <w:sz w:val="26"/>
          <w:szCs w:val="26"/>
        </w:rPr>
        <w:t xml:space="preserve">, del resto, dovrebbe essere bilanciata dalla cogenza dei principi generali UE, concernenti, in particolare, la trasparenza delle </w:t>
      </w:r>
      <w:r w:rsidR="00BE3D4E" w:rsidRPr="002360E5">
        <w:rPr>
          <w:rFonts w:ascii="Times New Roman" w:hAnsi="Times New Roman"/>
          <w:color w:val="0F243E" w:themeColor="text2" w:themeShade="80"/>
          <w:sz w:val="26"/>
          <w:szCs w:val="26"/>
        </w:rPr>
        <w:t xml:space="preserve">attività svolte dalle stazioni appaltanti </w:t>
      </w:r>
      <w:r w:rsidRPr="002360E5">
        <w:rPr>
          <w:rFonts w:ascii="Times New Roman" w:hAnsi="Times New Roman"/>
          <w:color w:val="0F243E" w:themeColor="text2" w:themeShade="80"/>
          <w:sz w:val="26"/>
          <w:szCs w:val="26"/>
        </w:rPr>
        <w:t>e la non discriminazione.</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Si potrebbe affermare, quindi, che la tendenza del legislatore europeo sia quella di creare una sorta di </w:t>
      </w:r>
      <w:r w:rsidR="00B31122" w:rsidRPr="002360E5">
        <w:rPr>
          <w:rFonts w:ascii="Times New Roman" w:hAnsi="Times New Roman"/>
          <w:color w:val="0F243E" w:themeColor="text2" w:themeShade="80"/>
          <w:sz w:val="26"/>
          <w:szCs w:val="26"/>
        </w:rPr>
        <w:t xml:space="preserve">ampia </w:t>
      </w:r>
      <w:r w:rsidRPr="002360E5">
        <w:rPr>
          <w:rFonts w:ascii="Times New Roman" w:hAnsi="Times New Roman"/>
          <w:color w:val="0F243E" w:themeColor="text2" w:themeShade="80"/>
          <w:sz w:val="26"/>
          <w:szCs w:val="26"/>
        </w:rPr>
        <w:t>“</w:t>
      </w:r>
      <w:r w:rsidRPr="002360E5">
        <w:rPr>
          <w:rFonts w:ascii="Times New Roman" w:hAnsi="Times New Roman"/>
          <w:i/>
          <w:color w:val="0F243E" w:themeColor="text2" w:themeShade="80"/>
          <w:sz w:val="26"/>
          <w:szCs w:val="26"/>
        </w:rPr>
        <w:t>forbice</w:t>
      </w:r>
      <w:r w:rsidRPr="002360E5">
        <w:rPr>
          <w:rFonts w:ascii="Times New Roman" w:hAnsi="Times New Roman"/>
          <w:color w:val="0F243E" w:themeColor="text2" w:themeShade="80"/>
          <w:sz w:val="26"/>
          <w:szCs w:val="26"/>
        </w:rPr>
        <w:t xml:space="preserve">” tra poche regole fisse e inderogabili, </w:t>
      </w:r>
      <w:r w:rsidR="008426D2" w:rsidRPr="002360E5">
        <w:rPr>
          <w:rFonts w:ascii="Times New Roman" w:hAnsi="Times New Roman"/>
          <w:color w:val="0F243E" w:themeColor="text2" w:themeShade="80"/>
          <w:sz w:val="26"/>
          <w:szCs w:val="26"/>
        </w:rPr>
        <w:t>espresse dalle direttive</w:t>
      </w:r>
      <w:r w:rsidR="008426D2">
        <w:rPr>
          <w:rFonts w:ascii="Times New Roman" w:hAnsi="Times New Roman"/>
          <w:color w:val="0F243E" w:themeColor="text2" w:themeShade="80"/>
          <w:sz w:val="26"/>
          <w:szCs w:val="26"/>
        </w:rPr>
        <w:t xml:space="preserve"> e</w:t>
      </w:r>
      <w:r w:rsidR="008426D2" w:rsidRPr="002360E5">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strutturate come chiari principi, da una parte, e i poteri di scelta delle amministrazioni, contrassegnati da larghi margini di elasticità</w:t>
      </w:r>
      <w:r w:rsidR="00BE3D4E" w:rsidRPr="002360E5">
        <w:rPr>
          <w:rFonts w:ascii="Times New Roman" w:hAnsi="Times New Roman"/>
          <w:color w:val="0F243E" w:themeColor="text2" w:themeShade="80"/>
          <w:sz w:val="26"/>
          <w:szCs w:val="26"/>
        </w:rPr>
        <w:t xml:space="preserve"> e di apprezzamento tecnico-discrezionale</w:t>
      </w:r>
      <w:r w:rsidR="00013B0D" w:rsidRPr="002360E5">
        <w:rPr>
          <w:rFonts w:ascii="Times New Roman" w:hAnsi="Times New Roman"/>
          <w:color w:val="0F243E" w:themeColor="text2" w:themeShade="80"/>
          <w:sz w:val="26"/>
          <w:szCs w:val="26"/>
        </w:rPr>
        <w:t>, dall’altra parte</w:t>
      </w:r>
      <w:r w:rsidRPr="002360E5">
        <w:rPr>
          <w:rFonts w:ascii="Times New Roman" w:hAnsi="Times New Roman"/>
          <w:color w:val="0F243E" w:themeColor="text2" w:themeShade="80"/>
          <w:sz w:val="26"/>
          <w:szCs w:val="26"/>
        </w:rPr>
        <w:t>.</w:t>
      </w:r>
    </w:p>
    <w:p w:rsidR="00553C6D" w:rsidRPr="002360E5" w:rsidRDefault="008841CC"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Nel diritto UE, poi, </w:t>
      </w:r>
      <w:r w:rsidRPr="002360E5">
        <w:rPr>
          <w:rFonts w:ascii="Times New Roman" w:hAnsi="Times New Roman"/>
          <w:color w:val="0F243E" w:themeColor="text2" w:themeShade="80"/>
          <w:sz w:val="26"/>
          <w:szCs w:val="26"/>
        </w:rPr>
        <w:t xml:space="preserve">il </w:t>
      </w:r>
      <w:r w:rsidR="00553C6D" w:rsidRPr="002360E5">
        <w:rPr>
          <w:rFonts w:ascii="Times New Roman" w:hAnsi="Times New Roman"/>
          <w:color w:val="0F243E" w:themeColor="text2" w:themeShade="80"/>
          <w:sz w:val="26"/>
          <w:szCs w:val="26"/>
        </w:rPr>
        <w:t xml:space="preserve">concetto di </w:t>
      </w:r>
      <w:r w:rsidR="00553C6D" w:rsidRPr="002360E5">
        <w:rPr>
          <w:rFonts w:ascii="Times New Roman" w:hAnsi="Times New Roman"/>
          <w:i/>
          <w:color w:val="0F243E" w:themeColor="text2" w:themeShade="80"/>
          <w:sz w:val="26"/>
          <w:szCs w:val="26"/>
        </w:rPr>
        <w:t>flessibilità</w:t>
      </w:r>
      <w:r w:rsidR="00553C6D" w:rsidRPr="002360E5">
        <w:rPr>
          <w:rFonts w:ascii="Times New Roman" w:hAnsi="Times New Roman"/>
          <w:color w:val="0F243E" w:themeColor="text2" w:themeShade="80"/>
          <w:sz w:val="26"/>
          <w:szCs w:val="26"/>
        </w:rPr>
        <w:t>, è utilizzato</w:t>
      </w:r>
      <w:r>
        <w:rPr>
          <w:rFonts w:ascii="Times New Roman" w:hAnsi="Times New Roman"/>
          <w:color w:val="0F243E" w:themeColor="text2" w:themeShade="80"/>
          <w:sz w:val="26"/>
          <w:szCs w:val="26"/>
        </w:rPr>
        <w:t xml:space="preserve"> in specifici</w:t>
      </w:r>
      <w:r w:rsidR="00D632C9">
        <w:rPr>
          <w:rFonts w:ascii="Times New Roman" w:hAnsi="Times New Roman"/>
          <w:color w:val="0F243E" w:themeColor="text2" w:themeShade="80"/>
          <w:sz w:val="26"/>
          <w:szCs w:val="26"/>
        </w:rPr>
        <w:t>, ma eterogenei</w:t>
      </w:r>
      <w:r>
        <w:rPr>
          <w:rFonts w:ascii="Times New Roman" w:hAnsi="Times New Roman"/>
          <w:color w:val="0F243E" w:themeColor="text2" w:themeShade="80"/>
          <w:sz w:val="26"/>
          <w:szCs w:val="26"/>
        </w:rPr>
        <w:t xml:space="preserve"> contesti: ad esempio</w:t>
      </w:r>
      <w:r w:rsidR="00553C6D" w:rsidRPr="002360E5">
        <w:rPr>
          <w:rFonts w:ascii="Times New Roman" w:hAnsi="Times New Roman"/>
          <w:color w:val="0F243E" w:themeColor="text2" w:themeShade="80"/>
          <w:sz w:val="26"/>
          <w:szCs w:val="26"/>
        </w:rPr>
        <w:t xml:space="preserve"> per giustif</w:t>
      </w:r>
      <w:r w:rsidR="00DB79F2" w:rsidRPr="002360E5">
        <w:rPr>
          <w:rFonts w:ascii="Times New Roman" w:hAnsi="Times New Roman"/>
          <w:color w:val="0F243E" w:themeColor="text2" w:themeShade="80"/>
          <w:sz w:val="26"/>
          <w:szCs w:val="26"/>
        </w:rPr>
        <w:t xml:space="preserve">icare la </w:t>
      </w:r>
      <w:r>
        <w:rPr>
          <w:rFonts w:ascii="Times New Roman" w:hAnsi="Times New Roman"/>
          <w:color w:val="0F243E" w:themeColor="text2" w:themeShade="80"/>
          <w:sz w:val="26"/>
          <w:szCs w:val="26"/>
        </w:rPr>
        <w:t xml:space="preserve">possibilità di </w:t>
      </w:r>
      <w:r w:rsidR="00DB79F2" w:rsidRPr="002360E5">
        <w:rPr>
          <w:rFonts w:ascii="Times New Roman" w:hAnsi="Times New Roman"/>
          <w:color w:val="0F243E" w:themeColor="text2" w:themeShade="80"/>
          <w:sz w:val="26"/>
          <w:szCs w:val="26"/>
        </w:rPr>
        <w:t>modifica del contratto aggiudicato, per effetto di fatti esterni sopravvenuti</w:t>
      </w:r>
      <w:r w:rsidR="00591CBE">
        <w:rPr>
          <w:rFonts w:ascii="Times New Roman" w:hAnsi="Times New Roman"/>
          <w:color w:val="0F243E" w:themeColor="text2" w:themeShade="80"/>
          <w:sz w:val="26"/>
          <w:szCs w:val="26"/>
        </w:rPr>
        <w:t>, senza necessità di attivare una nuova procedura di scelta del contraente</w:t>
      </w:r>
      <w:r w:rsidR="00DB79F2" w:rsidRPr="002360E5">
        <w:rPr>
          <w:rFonts w:ascii="Times New Roman" w:hAnsi="Times New Roman"/>
          <w:color w:val="0F243E" w:themeColor="text2" w:themeShade="80"/>
          <w:sz w:val="26"/>
          <w:szCs w:val="26"/>
        </w:rPr>
        <w:t>.</w:t>
      </w:r>
    </w:p>
    <w:p w:rsidR="00553C6D" w:rsidRPr="002360E5" w:rsidRDefault="00DB79F2" w:rsidP="00596E5E">
      <w:pPr>
        <w:pStyle w:val="Paragrafoelenco"/>
        <w:tabs>
          <w:tab w:val="left" w:pos="0"/>
        </w:tabs>
        <w:ind w:left="0"/>
        <w:rPr>
          <w:rFonts w:ascii="Times New Roman" w:hAnsi="Times New Roman"/>
          <w:i/>
          <w:color w:val="0F243E" w:themeColor="text2" w:themeShade="80"/>
          <w:sz w:val="26"/>
          <w:szCs w:val="26"/>
        </w:rPr>
      </w:pPr>
      <w:r w:rsidRPr="002360E5">
        <w:rPr>
          <w:rFonts w:ascii="Times New Roman" w:hAnsi="Times New Roman"/>
          <w:color w:val="0F243E" w:themeColor="text2" w:themeShade="80"/>
          <w:sz w:val="26"/>
          <w:szCs w:val="26"/>
        </w:rPr>
        <w:t xml:space="preserve">Secondo il </w:t>
      </w:r>
      <w:r w:rsidRPr="002360E5">
        <w:rPr>
          <w:rFonts w:ascii="Times New Roman" w:hAnsi="Times New Roman"/>
          <w:i/>
          <w:color w:val="0F243E" w:themeColor="text2" w:themeShade="80"/>
          <w:sz w:val="26"/>
          <w:szCs w:val="26"/>
        </w:rPr>
        <w:t>Considerando</w:t>
      </w:r>
      <w:r w:rsidRPr="002360E5">
        <w:rPr>
          <w:rFonts w:ascii="Times New Roman" w:hAnsi="Times New Roman"/>
          <w:color w:val="0F243E" w:themeColor="text2" w:themeShade="80"/>
          <w:sz w:val="26"/>
          <w:szCs w:val="26"/>
        </w:rPr>
        <w:t xml:space="preserve"> n. 115 della direttiva n. 25/2014/UE, “</w:t>
      </w:r>
      <w:r w:rsidR="00553C6D" w:rsidRPr="002360E5">
        <w:rPr>
          <w:rFonts w:ascii="Times New Roman" w:hAnsi="Times New Roman"/>
          <w:i/>
          <w:color w:val="0F243E" w:themeColor="text2" w:themeShade="80"/>
          <w:sz w:val="26"/>
          <w:szCs w:val="26"/>
        </w:rPr>
        <w:t xml:space="preserve">Gli enti aggiudicatori si trovano a volte ad affrontare circostanze esterne che non era possibile prevedere quando hanno aggiudicato l’appalto, in particolare quando l’esecuzione dell’appalto copre un periodo lungo. In questo caso è necessaria una </w:t>
      </w:r>
      <w:r w:rsidR="00553C6D" w:rsidRPr="002360E5">
        <w:rPr>
          <w:rFonts w:ascii="Times New Roman" w:hAnsi="Times New Roman"/>
          <w:b/>
          <w:i/>
          <w:color w:val="0F243E" w:themeColor="text2" w:themeShade="80"/>
          <w:sz w:val="26"/>
          <w:szCs w:val="26"/>
          <w:u w:val="single"/>
        </w:rPr>
        <w:t>certa flessibilità</w:t>
      </w:r>
      <w:r w:rsidR="00553C6D" w:rsidRPr="002360E5">
        <w:rPr>
          <w:rFonts w:ascii="Times New Roman" w:hAnsi="Times New Roman"/>
          <w:i/>
          <w:color w:val="0F243E" w:themeColor="text2" w:themeShade="80"/>
          <w:sz w:val="26"/>
          <w:szCs w:val="26"/>
        </w:rPr>
        <w:t xml:space="preserve"> per adattare il contratto a tali circostanze, senza ricorrere a una nuova procedura di appalto. Il concetto di circostanze imprevedibili si riferisce a circostanze che non si potevano prevedere nonostante una ragionevole e diligente preparazione dell’aggiudicazione iniziale da parte dell’ente aggiudicatore, tenendo conto dei mezzi a sua disposizione, della natura e delle caratteristiche del progetto specifico, delle buone prassi nel settore in questione e della necessità di garantire un rapporto adeguato tra le risorse investite nel preparare l’aggiudicazione e il suo valore prevedibile</w:t>
      </w:r>
      <w:r w:rsidR="003F2F86" w:rsidRPr="002360E5">
        <w:rPr>
          <w:rStyle w:val="Rimandonotaapidipagina"/>
          <w:rFonts w:ascii="Times New Roman" w:hAnsi="Times New Roman"/>
          <w:i/>
          <w:color w:val="0F243E" w:themeColor="text2" w:themeShade="80"/>
          <w:sz w:val="26"/>
          <w:szCs w:val="26"/>
        </w:rPr>
        <w:footnoteReference w:id="10"/>
      </w:r>
      <w:r w:rsidR="00553C6D" w:rsidRPr="002360E5">
        <w:rPr>
          <w:rFonts w:ascii="Times New Roman" w:hAnsi="Times New Roman"/>
          <w:i/>
          <w:color w:val="0F243E" w:themeColor="text2" w:themeShade="80"/>
          <w:sz w:val="26"/>
          <w:szCs w:val="26"/>
        </w:rPr>
        <w:t>.</w:t>
      </w:r>
    </w:p>
    <w:p w:rsidR="00402E2A" w:rsidRPr="002360E5" w:rsidRDefault="00402E2A"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Ancora, la nota della </w:t>
      </w:r>
      <w:r w:rsidRPr="00D632C9">
        <w:rPr>
          <w:rFonts w:ascii="Times New Roman" w:hAnsi="Times New Roman"/>
          <w:i/>
          <w:color w:val="0F243E" w:themeColor="text2" w:themeShade="80"/>
          <w:sz w:val="26"/>
          <w:szCs w:val="26"/>
        </w:rPr>
        <w:t>flessibilità</w:t>
      </w:r>
      <w:r w:rsidRPr="002360E5">
        <w:rPr>
          <w:rFonts w:ascii="Times New Roman" w:hAnsi="Times New Roman"/>
          <w:color w:val="0F243E" w:themeColor="text2" w:themeShade="80"/>
          <w:sz w:val="26"/>
          <w:szCs w:val="26"/>
        </w:rPr>
        <w:t xml:space="preserve"> è utilizzata per delineare</w:t>
      </w:r>
      <w:r w:rsidR="00591CBE">
        <w:rPr>
          <w:rFonts w:ascii="Times New Roman" w:hAnsi="Times New Roman"/>
          <w:color w:val="0F243E" w:themeColor="text2" w:themeShade="80"/>
          <w:sz w:val="26"/>
          <w:szCs w:val="26"/>
        </w:rPr>
        <w:t>, in via del tutto descrittiva,</w:t>
      </w:r>
      <w:r w:rsidRPr="002360E5">
        <w:rPr>
          <w:rFonts w:ascii="Times New Roman" w:hAnsi="Times New Roman"/>
          <w:color w:val="0F243E" w:themeColor="text2" w:themeShade="80"/>
          <w:sz w:val="26"/>
          <w:szCs w:val="26"/>
        </w:rPr>
        <w:t xml:space="preserve"> alcuni moderni meccanismi di affidamento. Si veda il </w:t>
      </w:r>
      <w:r w:rsidRPr="002360E5">
        <w:rPr>
          <w:rFonts w:ascii="Times New Roman" w:hAnsi="Times New Roman"/>
          <w:i/>
          <w:color w:val="0F243E" w:themeColor="text2" w:themeShade="80"/>
          <w:sz w:val="26"/>
          <w:szCs w:val="26"/>
        </w:rPr>
        <w:t>Considerando</w:t>
      </w:r>
      <w:r w:rsidRPr="002360E5">
        <w:rPr>
          <w:rFonts w:ascii="Times New Roman" w:hAnsi="Times New Roman"/>
          <w:color w:val="0F243E" w:themeColor="text2" w:themeShade="80"/>
          <w:sz w:val="26"/>
          <w:szCs w:val="26"/>
        </w:rPr>
        <w:t xml:space="preserve"> n. (126): “</w:t>
      </w:r>
      <w:r w:rsidRPr="002360E5">
        <w:rPr>
          <w:rFonts w:ascii="Times New Roman" w:hAnsi="Times New Roman"/>
          <w:i/>
          <w:color w:val="0F243E" w:themeColor="text2" w:themeShade="80"/>
          <w:sz w:val="26"/>
          <w:szCs w:val="26"/>
        </w:rPr>
        <w:t xml:space="preserve">Tradizionalmente si è fatto ricorso ai concorsi di progettazione soprattutto nel settore della pianificazione territoriale, dell’urbanistica, dell’architettura, dell’ingegneria o dell’elaborazione di dati. Occorre tuttavia rammentare che </w:t>
      </w:r>
      <w:r w:rsidRPr="002360E5">
        <w:rPr>
          <w:rFonts w:ascii="Times New Roman" w:hAnsi="Times New Roman"/>
          <w:b/>
          <w:i/>
          <w:color w:val="0F243E" w:themeColor="text2" w:themeShade="80"/>
          <w:sz w:val="26"/>
          <w:szCs w:val="26"/>
          <w:u w:val="single"/>
        </w:rPr>
        <w:t>tali strumenti flessibili</w:t>
      </w:r>
      <w:r w:rsidRPr="002360E5">
        <w:rPr>
          <w:rFonts w:ascii="Times New Roman" w:hAnsi="Times New Roman"/>
          <w:i/>
          <w:color w:val="0F243E" w:themeColor="text2" w:themeShade="80"/>
          <w:sz w:val="26"/>
          <w:szCs w:val="26"/>
        </w:rPr>
        <w:t xml:space="preserve"> potrebbero essere utilizzati anche per altri scopi e che si può stabilire che i successivi contratti di servizio siano aggiudicati al vincitore o a uno dei vincitori del concorso di progettazione mediante una procedura negoziata senza pubblicazione.</w:t>
      </w:r>
      <w:r w:rsidR="00C6705C" w:rsidRPr="002360E5">
        <w:rPr>
          <w:rStyle w:val="Rimandonotaapidipagina"/>
          <w:rFonts w:ascii="Times New Roman" w:hAnsi="Times New Roman"/>
          <w:i/>
          <w:color w:val="0F243E" w:themeColor="text2" w:themeShade="80"/>
          <w:sz w:val="26"/>
          <w:szCs w:val="26"/>
        </w:rPr>
        <w:footnoteReference w:id="11"/>
      </w:r>
    </w:p>
    <w:p w:rsidR="008619B2" w:rsidRPr="002360E5" w:rsidRDefault="00B4407F"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Anche</w:t>
      </w:r>
      <w:r w:rsidR="00D24F38" w:rsidRPr="002360E5">
        <w:rPr>
          <w:rFonts w:ascii="Times New Roman" w:hAnsi="Times New Roman"/>
          <w:color w:val="0F243E" w:themeColor="text2" w:themeShade="80"/>
          <w:sz w:val="26"/>
          <w:szCs w:val="26"/>
        </w:rPr>
        <w:t xml:space="preserve"> la direttiva n. 24/2014/UE, nei</w:t>
      </w:r>
      <w:r w:rsidRPr="002360E5">
        <w:rPr>
          <w:rFonts w:ascii="Times New Roman" w:hAnsi="Times New Roman"/>
          <w:color w:val="0F243E" w:themeColor="text2" w:themeShade="80"/>
          <w:sz w:val="26"/>
          <w:szCs w:val="26"/>
        </w:rPr>
        <w:t xml:space="preserve"> </w:t>
      </w:r>
      <w:r w:rsidRPr="002360E5">
        <w:rPr>
          <w:rFonts w:ascii="Times New Roman" w:hAnsi="Times New Roman"/>
          <w:i/>
          <w:color w:val="0F243E" w:themeColor="text2" w:themeShade="80"/>
          <w:sz w:val="26"/>
          <w:szCs w:val="26"/>
        </w:rPr>
        <w:t>Considerando</w:t>
      </w:r>
      <w:r w:rsidRPr="002360E5">
        <w:rPr>
          <w:rFonts w:ascii="Times New Roman" w:hAnsi="Times New Roman"/>
          <w:color w:val="0F243E" w:themeColor="text2" w:themeShade="80"/>
          <w:sz w:val="26"/>
          <w:szCs w:val="26"/>
        </w:rPr>
        <w:t xml:space="preserve"> n. </w:t>
      </w:r>
      <w:r w:rsidR="008619B2" w:rsidRPr="002360E5">
        <w:rPr>
          <w:rFonts w:ascii="Times New Roman" w:hAnsi="Times New Roman"/>
          <w:color w:val="0F243E" w:themeColor="text2" w:themeShade="80"/>
          <w:sz w:val="26"/>
          <w:szCs w:val="26"/>
        </w:rPr>
        <w:t>(42)</w:t>
      </w:r>
      <w:r w:rsidR="00D24F38" w:rsidRPr="002360E5">
        <w:rPr>
          <w:rFonts w:ascii="Times New Roman" w:hAnsi="Times New Roman"/>
          <w:color w:val="0F243E" w:themeColor="text2" w:themeShade="80"/>
          <w:sz w:val="26"/>
          <w:szCs w:val="26"/>
        </w:rPr>
        <w:t xml:space="preserve"> e n. (61), utilizzano la nozione di flessibilità per giustificare la disciplina delle procedure negoziate e degli accordi quadro.</w:t>
      </w:r>
    </w:p>
    <w:p w:rsidR="008619B2" w:rsidRPr="002360E5" w:rsidRDefault="00D24F38"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w:t>
      </w:r>
      <w:r w:rsidR="008619B2" w:rsidRPr="002360E5">
        <w:rPr>
          <w:rFonts w:ascii="Times New Roman" w:hAnsi="Times New Roman"/>
          <w:i/>
          <w:color w:val="0F243E" w:themeColor="text2" w:themeShade="80"/>
          <w:sz w:val="26"/>
          <w:szCs w:val="26"/>
        </w:rPr>
        <w:t xml:space="preserve">È indispensabile che le amministrazioni aggiudicatrici dispongano di </w:t>
      </w:r>
      <w:r w:rsidR="008619B2" w:rsidRPr="002360E5">
        <w:rPr>
          <w:rFonts w:ascii="Times New Roman" w:hAnsi="Times New Roman"/>
          <w:b/>
          <w:i/>
          <w:color w:val="0F243E" w:themeColor="text2" w:themeShade="80"/>
          <w:sz w:val="26"/>
          <w:szCs w:val="26"/>
          <w:u w:val="single"/>
        </w:rPr>
        <w:t>maggiore flessibilità</w:t>
      </w:r>
      <w:r w:rsidR="008619B2" w:rsidRPr="002360E5">
        <w:rPr>
          <w:rFonts w:ascii="Times New Roman" w:hAnsi="Times New Roman"/>
          <w:i/>
          <w:color w:val="0F243E" w:themeColor="text2" w:themeShade="80"/>
          <w:sz w:val="26"/>
          <w:szCs w:val="26"/>
        </w:rPr>
        <w:t xml:space="preserve"> nella scelta di una procedura d’appalto che prevede la negoziazione</w:t>
      </w:r>
      <w:r w:rsidRPr="002360E5">
        <w:rPr>
          <w:rFonts w:ascii="Times New Roman" w:hAnsi="Times New Roman"/>
          <w:color w:val="0F243E" w:themeColor="text2" w:themeShade="80"/>
          <w:sz w:val="26"/>
          <w:szCs w:val="26"/>
        </w:rPr>
        <w:t>” (42)</w:t>
      </w:r>
      <w:r w:rsidR="008619B2" w:rsidRPr="002360E5">
        <w:rPr>
          <w:rFonts w:ascii="Times New Roman" w:hAnsi="Times New Roman"/>
          <w:color w:val="0F243E" w:themeColor="text2" w:themeShade="80"/>
          <w:sz w:val="26"/>
          <w:szCs w:val="26"/>
        </w:rPr>
        <w:t>.</w:t>
      </w:r>
    </w:p>
    <w:p w:rsidR="00BB0D94" w:rsidRPr="002360E5" w:rsidRDefault="00BB0D94"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Le condizioni oggettive per stabilire quale tra gli operatori economici parte dell’accordo quadro debba svolgere un determinato compito, per esempio forniture o servizi destinati a essere usati da persone fisiche, possono includere, nel contesto di accordi quadro che stabiliscano tutti i termini, le esigenze o la scelta delle persone fisiche interessate.</w:t>
      </w:r>
    </w:p>
    <w:p w:rsidR="00BB0D94" w:rsidRPr="002360E5" w:rsidRDefault="00F7504F"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 </w:t>
      </w:r>
      <w:r w:rsidR="00BB0D94" w:rsidRPr="002360E5">
        <w:rPr>
          <w:rFonts w:ascii="Times New Roman" w:hAnsi="Times New Roman"/>
          <w:i/>
          <w:color w:val="0F243E" w:themeColor="text2" w:themeShade="80"/>
          <w:sz w:val="26"/>
          <w:szCs w:val="26"/>
        </w:rPr>
        <w:t xml:space="preserve">Le amministrazioni aggiudicatrici dovrebbero beneficiare di una </w:t>
      </w:r>
      <w:r w:rsidR="00BB0D94" w:rsidRPr="002360E5">
        <w:rPr>
          <w:rFonts w:ascii="Times New Roman" w:hAnsi="Times New Roman"/>
          <w:b/>
          <w:i/>
          <w:color w:val="0F243E" w:themeColor="text2" w:themeShade="80"/>
          <w:sz w:val="26"/>
          <w:szCs w:val="26"/>
          <w:u w:val="single"/>
        </w:rPr>
        <w:t xml:space="preserve">maggiore flessibilità </w:t>
      </w:r>
      <w:r w:rsidR="00BB0D94" w:rsidRPr="002360E5">
        <w:rPr>
          <w:rFonts w:ascii="Times New Roman" w:hAnsi="Times New Roman"/>
          <w:i/>
          <w:color w:val="0F243E" w:themeColor="text2" w:themeShade="80"/>
          <w:sz w:val="26"/>
          <w:szCs w:val="26"/>
        </w:rPr>
        <w:t>quando aggiudicano appalti nell’ambito di accordi quadro conclusi con più di un operatore economico e in cui sono riportati tutti i termini</w:t>
      </w:r>
      <w:r w:rsidRPr="002360E5">
        <w:rPr>
          <w:rFonts w:ascii="Times New Roman" w:hAnsi="Times New Roman"/>
          <w:color w:val="0F243E" w:themeColor="text2" w:themeShade="80"/>
          <w:sz w:val="26"/>
          <w:szCs w:val="26"/>
        </w:rPr>
        <w:t>” (61)</w:t>
      </w:r>
      <w:r w:rsidR="00BB0D94" w:rsidRPr="002360E5">
        <w:rPr>
          <w:rFonts w:ascii="Times New Roman" w:hAnsi="Times New Roman"/>
          <w:color w:val="0F243E" w:themeColor="text2" w:themeShade="80"/>
          <w:sz w:val="26"/>
          <w:szCs w:val="26"/>
        </w:rPr>
        <w:t>.</w:t>
      </w:r>
    </w:p>
    <w:p w:rsidR="008619B2" w:rsidRDefault="00B97768"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Dunque, il concetto di flessibilità, </w:t>
      </w:r>
      <w:r w:rsidR="00045480">
        <w:rPr>
          <w:rFonts w:ascii="Times New Roman" w:hAnsi="Times New Roman"/>
          <w:color w:val="0F243E" w:themeColor="text2" w:themeShade="80"/>
          <w:sz w:val="26"/>
          <w:szCs w:val="26"/>
        </w:rPr>
        <w:t xml:space="preserve">significativamente </w:t>
      </w:r>
      <w:r>
        <w:rPr>
          <w:rFonts w:ascii="Times New Roman" w:hAnsi="Times New Roman"/>
          <w:color w:val="0F243E" w:themeColor="text2" w:themeShade="80"/>
          <w:sz w:val="26"/>
          <w:szCs w:val="26"/>
        </w:rPr>
        <w:t xml:space="preserve">presente nelle </w:t>
      </w:r>
      <w:r w:rsidR="00045480">
        <w:rPr>
          <w:rFonts w:ascii="Times New Roman" w:hAnsi="Times New Roman"/>
          <w:color w:val="0F243E" w:themeColor="text2" w:themeShade="80"/>
          <w:sz w:val="26"/>
          <w:szCs w:val="26"/>
        </w:rPr>
        <w:t xml:space="preserve">sole </w:t>
      </w:r>
      <w:r>
        <w:rPr>
          <w:rFonts w:ascii="Times New Roman" w:hAnsi="Times New Roman"/>
          <w:color w:val="0F243E" w:themeColor="text2" w:themeShade="80"/>
          <w:sz w:val="26"/>
          <w:szCs w:val="26"/>
        </w:rPr>
        <w:t>premesse delle direttive, ma non nell’articolato, non pare fornire particolare supporto alla tecnica della regolazione flessibile.</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Un discorso </w:t>
      </w:r>
      <w:r w:rsidR="00013B0D" w:rsidRPr="002360E5">
        <w:rPr>
          <w:rFonts w:ascii="Times New Roman" w:hAnsi="Times New Roman"/>
          <w:color w:val="0F243E" w:themeColor="text2" w:themeShade="80"/>
          <w:sz w:val="26"/>
          <w:szCs w:val="26"/>
        </w:rPr>
        <w:t>separato</w:t>
      </w:r>
      <w:r w:rsidR="00E93764">
        <w:rPr>
          <w:rFonts w:ascii="Times New Roman" w:hAnsi="Times New Roman"/>
          <w:color w:val="0F243E" w:themeColor="text2" w:themeShade="80"/>
          <w:sz w:val="26"/>
          <w:szCs w:val="26"/>
        </w:rPr>
        <w:t xml:space="preserve"> sul ruolo della flessibilità normativa</w:t>
      </w:r>
      <w:r w:rsidR="00013B0D" w:rsidRPr="002360E5">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 xml:space="preserve">meritano, ovviamente, le prescrizioni delle direttive a </w:t>
      </w:r>
      <w:r w:rsidRPr="002360E5">
        <w:rPr>
          <w:rFonts w:ascii="Times New Roman" w:hAnsi="Times New Roman"/>
          <w:i/>
          <w:color w:val="0F243E" w:themeColor="text2" w:themeShade="80"/>
          <w:sz w:val="26"/>
          <w:szCs w:val="26"/>
        </w:rPr>
        <w:t>recepimento facoltativo</w:t>
      </w:r>
      <w:r w:rsidRPr="002360E5">
        <w:rPr>
          <w:rFonts w:ascii="Times New Roman" w:hAnsi="Times New Roman"/>
          <w:color w:val="0F243E" w:themeColor="text2" w:themeShade="80"/>
          <w:sz w:val="26"/>
          <w:szCs w:val="26"/>
        </w:rPr>
        <w:t xml:space="preserve"> e i casi in cui sia la stessa di</w:t>
      </w:r>
      <w:r w:rsidR="00D52FA4" w:rsidRPr="002360E5">
        <w:rPr>
          <w:rFonts w:ascii="Times New Roman" w:hAnsi="Times New Roman"/>
          <w:color w:val="0F243E" w:themeColor="text2" w:themeShade="80"/>
          <w:sz w:val="26"/>
          <w:szCs w:val="26"/>
        </w:rPr>
        <w:t>sciplina eu</w:t>
      </w:r>
      <w:r w:rsidR="00D7252B" w:rsidRPr="002360E5">
        <w:rPr>
          <w:rFonts w:ascii="Times New Roman" w:hAnsi="Times New Roman"/>
          <w:color w:val="0F243E" w:themeColor="text2" w:themeShade="80"/>
          <w:sz w:val="26"/>
          <w:szCs w:val="26"/>
        </w:rPr>
        <w:t>r</w:t>
      </w:r>
      <w:r w:rsidR="00D52FA4" w:rsidRPr="002360E5">
        <w:rPr>
          <w:rFonts w:ascii="Times New Roman" w:hAnsi="Times New Roman"/>
          <w:color w:val="0F243E" w:themeColor="text2" w:themeShade="80"/>
          <w:sz w:val="26"/>
          <w:szCs w:val="26"/>
        </w:rPr>
        <w:t>ope</w:t>
      </w:r>
      <w:r w:rsidRPr="002360E5">
        <w:rPr>
          <w:rFonts w:ascii="Times New Roman" w:hAnsi="Times New Roman"/>
          <w:color w:val="0F243E" w:themeColor="text2" w:themeShade="80"/>
          <w:sz w:val="26"/>
          <w:szCs w:val="26"/>
        </w:rPr>
        <w:t>a a prevedere più opzioni alternative</w:t>
      </w:r>
      <w:r w:rsidR="00D7252B" w:rsidRPr="002360E5">
        <w:rPr>
          <w:rFonts w:ascii="Times New Roman" w:hAnsi="Times New Roman"/>
          <w:color w:val="0F243E" w:themeColor="text2" w:themeShade="80"/>
          <w:sz w:val="26"/>
          <w:szCs w:val="26"/>
        </w:rPr>
        <w:t xml:space="preserve"> per la realizzazione delle finalità prese di mira</w:t>
      </w:r>
      <w:r w:rsidRPr="002360E5">
        <w:rPr>
          <w:rFonts w:ascii="Times New Roman" w:hAnsi="Times New Roman"/>
          <w:color w:val="0F243E" w:themeColor="text2" w:themeShade="80"/>
          <w:sz w:val="26"/>
          <w:szCs w:val="26"/>
        </w:rPr>
        <w:t>. In entrambe tali eventualità vi è un’attenuazione della rigidità delle regole europee, ma gli Stati membri sono comunque tenuti a completare la disciplina</w:t>
      </w:r>
      <w:r w:rsidR="00013B0D" w:rsidRPr="002360E5">
        <w:rPr>
          <w:rFonts w:ascii="Times New Roman" w:hAnsi="Times New Roman"/>
          <w:color w:val="0F243E" w:themeColor="text2" w:themeShade="80"/>
          <w:sz w:val="26"/>
          <w:szCs w:val="26"/>
        </w:rPr>
        <w:t xml:space="preserve"> interna</w:t>
      </w:r>
      <w:r w:rsidRPr="002360E5">
        <w:rPr>
          <w:rFonts w:ascii="Times New Roman" w:hAnsi="Times New Roman"/>
          <w:color w:val="0F243E" w:themeColor="text2" w:themeShade="80"/>
          <w:sz w:val="26"/>
          <w:szCs w:val="26"/>
        </w:rPr>
        <w:t xml:space="preserve">, che, una volta delineata, deve mantenere i caratteri della </w:t>
      </w:r>
      <w:r w:rsidR="00D52FA4" w:rsidRPr="002360E5">
        <w:rPr>
          <w:rFonts w:ascii="Times New Roman" w:hAnsi="Times New Roman"/>
          <w:color w:val="0F243E" w:themeColor="text2" w:themeShade="80"/>
          <w:sz w:val="26"/>
          <w:szCs w:val="26"/>
        </w:rPr>
        <w:t>suffi</w:t>
      </w:r>
      <w:r w:rsidR="00595E45" w:rsidRPr="002360E5">
        <w:rPr>
          <w:rFonts w:ascii="Times New Roman" w:hAnsi="Times New Roman"/>
          <w:color w:val="0F243E" w:themeColor="text2" w:themeShade="80"/>
          <w:sz w:val="26"/>
          <w:szCs w:val="26"/>
        </w:rPr>
        <w:t>c</w:t>
      </w:r>
      <w:r w:rsidR="00D52FA4" w:rsidRPr="002360E5">
        <w:rPr>
          <w:rFonts w:ascii="Times New Roman" w:hAnsi="Times New Roman"/>
          <w:color w:val="0F243E" w:themeColor="text2" w:themeShade="80"/>
          <w:sz w:val="26"/>
          <w:szCs w:val="26"/>
        </w:rPr>
        <w:t>i</w:t>
      </w:r>
      <w:r w:rsidR="00595E45" w:rsidRPr="002360E5">
        <w:rPr>
          <w:rFonts w:ascii="Times New Roman" w:hAnsi="Times New Roman"/>
          <w:color w:val="0F243E" w:themeColor="text2" w:themeShade="80"/>
          <w:sz w:val="26"/>
          <w:szCs w:val="26"/>
        </w:rPr>
        <w:t xml:space="preserve">ente </w:t>
      </w:r>
      <w:r w:rsidRPr="002360E5">
        <w:rPr>
          <w:rFonts w:ascii="Times New Roman" w:hAnsi="Times New Roman"/>
          <w:color w:val="0F243E" w:themeColor="text2" w:themeShade="80"/>
          <w:sz w:val="26"/>
          <w:szCs w:val="26"/>
        </w:rPr>
        <w:t>rigidità</w:t>
      </w:r>
      <w:r w:rsidR="00013B0D" w:rsidRPr="002360E5">
        <w:rPr>
          <w:rFonts w:ascii="Times New Roman" w:hAnsi="Times New Roman"/>
          <w:color w:val="0F243E" w:themeColor="text2" w:themeShade="80"/>
          <w:sz w:val="26"/>
          <w:szCs w:val="26"/>
        </w:rPr>
        <w:t>, per assicurare certezza giuridica agli operatori ec</w:t>
      </w:r>
      <w:r w:rsidR="008831D5" w:rsidRPr="002360E5">
        <w:rPr>
          <w:rFonts w:ascii="Times New Roman" w:hAnsi="Times New Roman"/>
          <w:color w:val="0F243E" w:themeColor="text2" w:themeShade="80"/>
          <w:sz w:val="26"/>
          <w:szCs w:val="26"/>
        </w:rPr>
        <w:t>o</w:t>
      </w:r>
      <w:r w:rsidR="00013B0D" w:rsidRPr="002360E5">
        <w:rPr>
          <w:rFonts w:ascii="Times New Roman" w:hAnsi="Times New Roman"/>
          <w:color w:val="0F243E" w:themeColor="text2" w:themeShade="80"/>
          <w:sz w:val="26"/>
          <w:szCs w:val="26"/>
        </w:rPr>
        <w:t>nomici e alle stazioni appaltanti</w:t>
      </w:r>
      <w:r w:rsidRPr="002360E5">
        <w:rPr>
          <w:rFonts w:ascii="Times New Roman" w:hAnsi="Times New Roman"/>
          <w:color w:val="0F243E" w:themeColor="text2" w:themeShade="80"/>
          <w:sz w:val="26"/>
          <w:szCs w:val="26"/>
        </w:rPr>
        <w:t>.</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A fronte della descritta </w:t>
      </w:r>
      <w:r w:rsidR="009647BC" w:rsidRPr="002360E5">
        <w:rPr>
          <w:rFonts w:ascii="Times New Roman" w:hAnsi="Times New Roman"/>
          <w:color w:val="0F243E" w:themeColor="text2" w:themeShade="80"/>
          <w:sz w:val="26"/>
          <w:szCs w:val="26"/>
        </w:rPr>
        <w:t xml:space="preserve">distanza </w:t>
      </w:r>
      <w:r w:rsidRPr="002360E5">
        <w:rPr>
          <w:rFonts w:ascii="Times New Roman" w:hAnsi="Times New Roman"/>
          <w:color w:val="0F243E" w:themeColor="text2" w:themeShade="80"/>
          <w:sz w:val="26"/>
          <w:szCs w:val="26"/>
        </w:rPr>
        <w:t xml:space="preserve">tra </w:t>
      </w:r>
      <w:r w:rsidR="009647BC" w:rsidRPr="002360E5">
        <w:rPr>
          <w:rFonts w:ascii="Times New Roman" w:hAnsi="Times New Roman"/>
          <w:color w:val="0F243E" w:themeColor="text2" w:themeShade="80"/>
          <w:sz w:val="26"/>
          <w:szCs w:val="26"/>
        </w:rPr>
        <w:t xml:space="preserve">le </w:t>
      </w:r>
      <w:r w:rsidRPr="002360E5">
        <w:rPr>
          <w:rFonts w:ascii="Times New Roman" w:hAnsi="Times New Roman"/>
          <w:color w:val="0F243E" w:themeColor="text2" w:themeShade="80"/>
          <w:sz w:val="26"/>
          <w:szCs w:val="26"/>
        </w:rPr>
        <w:t>regole inderogabili</w:t>
      </w:r>
      <w:r w:rsidR="000E3408">
        <w:rPr>
          <w:rFonts w:ascii="Times New Roman" w:hAnsi="Times New Roman"/>
          <w:color w:val="0F243E" w:themeColor="text2" w:themeShade="80"/>
          <w:sz w:val="26"/>
          <w:szCs w:val="26"/>
        </w:rPr>
        <w:t xml:space="preserve"> </w:t>
      </w:r>
      <w:r w:rsidR="00D066E5" w:rsidRPr="002360E5">
        <w:rPr>
          <w:rFonts w:ascii="Times New Roman" w:hAnsi="Times New Roman"/>
          <w:color w:val="0F243E" w:themeColor="text2" w:themeShade="80"/>
          <w:sz w:val="26"/>
          <w:szCs w:val="26"/>
        </w:rPr>
        <w:t>europee</w:t>
      </w:r>
      <w:r w:rsidRPr="002360E5">
        <w:rPr>
          <w:rFonts w:ascii="Times New Roman" w:hAnsi="Times New Roman"/>
          <w:color w:val="0F243E" w:themeColor="text2" w:themeShade="80"/>
          <w:sz w:val="26"/>
          <w:szCs w:val="26"/>
        </w:rPr>
        <w:t xml:space="preserve"> e </w:t>
      </w:r>
      <w:r w:rsidR="00D92343" w:rsidRPr="002360E5">
        <w:rPr>
          <w:rFonts w:ascii="Times New Roman" w:hAnsi="Times New Roman"/>
          <w:color w:val="0F243E" w:themeColor="text2" w:themeShade="80"/>
          <w:sz w:val="26"/>
          <w:szCs w:val="26"/>
        </w:rPr>
        <w:t xml:space="preserve">la </w:t>
      </w:r>
      <w:r w:rsidRPr="002360E5">
        <w:rPr>
          <w:rFonts w:ascii="Times New Roman" w:hAnsi="Times New Roman"/>
          <w:color w:val="0F243E" w:themeColor="text2" w:themeShade="80"/>
          <w:sz w:val="26"/>
          <w:szCs w:val="26"/>
        </w:rPr>
        <w:t>duttilità delle opzioni riservate alle stazioni appaltanti, ci si potrebbe chiedere quale sia</w:t>
      </w:r>
      <w:r w:rsidR="00D066E5" w:rsidRPr="002360E5">
        <w:rPr>
          <w:rFonts w:ascii="Times New Roman" w:hAnsi="Times New Roman"/>
          <w:color w:val="0F243E" w:themeColor="text2" w:themeShade="80"/>
          <w:sz w:val="26"/>
          <w:szCs w:val="26"/>
        </w:rPr>
        <w:t>, allora,</w:t>
      </w:r>
      <w:r w:rsidRPr="002360E5">
        <w:rPr>
          <w:rFonts w:ascii="Times New Roman" w:hAnsi="Times New Roman"/>
          <w:color w:val="0F243E" w:themeColor="text2" w:themeShade="80"/>
          <w:sz w:val="26"/>
          <w:szCs w:val="26"/>
        </w:rPr>
        <w:t xml:space="preserve"> lo spazio per una </w:t>
      </w:r>
      <w:r w:rsidR="00D066E5" w:rsidRPr="002360E5">
        <w:rPr>
          <w:rFonts w:ascii="Times New Roman" w:hAnsi="Times New Roman"/>
          <w:color w:val="0F243E" w:themeColor="text2" w:themeShade="80"/>
          <w:sz w:val="26"/>
          <w:szCs w:val="26"/>
        </w:rPr>
        <w:t xml:space="preserve">ulteriore </w:t>
      </w:r>
      <w:r w:rsidRPr="000E3408">
        <w:rPr>
          <w:rFonts w:ascii="Times New Roman" w:hAnsi="Times New Roman"/>
          <w:i/>
          <w:color w:val="0F243E" w:themeColor="text2" w:themeShade="80"/>
          <w:sz w:val="26"/>
          <w:szCs w:val="26"/>
        </w:rPr>
        <w:t>regolamentazione flessibile</w:t>
      </w:r>
      <w:r w:rsidRPr="002360E5">
        <w:rPr>
          <w:rFonts w:ascii="Times New Roman" w:hAnsi="Times New Roman"/>
          <w:color w:val="0F243E" w:themeColor="text2" w:themeShade="80"/>
          <w:sz w:val="26"/>
          <w:szCs w:val="26"/>
        </w:rPr>
        <w:t xml:space="preserve"> nazionale, </w:t>
      </w:r>
      <w:r w:rsidR="00D066E5" w:rsidRPr="002360E5">
        <w:rPr>
          <w:rFonts w:ascii="Times New Roman" w:hAnsi="Times New Roman"/>
          <w:color w:val="0F243E" w:themeColor="text2" w:themeShade="80"/>
          <w:sz w:val="26"/>
          <w:szCs w:val="26"/>
        </w:rPr>
        <w:t>riferita a</w:t>
      </w:r>
      <w:r w:rsidRPr="002360E5">
        <w:rPr>
          <w:rFonts w:ascii="Times New Roman" w:hAnsi="Times New Roman"/>
          <w:color w:val="0F243E" w:themeColor="text2" w:themeShade="80"/>
          <w:sz w:val="26"/>
          <w:szCs w:val="26"/>
        </w:rPr>
        <w:t>i contratti soggetti alle direttive.</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Un</w:t>
      </w:r>
      <w:r w:rsidR="00D92343" w:rsidRPr="002360E5">
        <w:rPr>
          <w:rFonts w:ascii="Times New Roman" w:hAnsi="Times New Roman"/>
          <w:color w:val="0F243E" w:themeColor="text2" w:themeShade="80"/>
          <w:sz w:val="26"/>
          <w:szCs w:val="26"/>
        </w:rPr>
        <w:t>’event</w:t>
      </w:r>
      <w:r w:rsidR="00DA2AD1" w:rsidRPr="002360E5">
        <w:rPr>
          <w:rFonts w:ascii="Times New Roman" w:hAnsi="Times New Roman"/>
          <w:color w:val="0F243E" w:themeColor="text2" w:themeShade="80"/>
          <w:sz w:val="26"/>
          <w:szCs w:val="26"/>
        </w:rPr>
        <w:t>u</w:t>
      </w:r>
      <w:r w:rsidR="00D92343" w:rsidRPr="002360E5">
        <w:rPr>
          <w:rFonts w:ascii="Times New Roman" w:hAnsi="Times New Roman"/>
          <w:color w:val="0F243E" w:themeColor="text2" w:themeShade="80"/>
          <w:sz w:val="26"/>
          <w:szCs w:val="26"/>
        </w:rPr>
        <w:t>ale</w:t>
      </w:r>
      <w:r w:rsidRPr="002360E5">
        <w:rPr>
          <w:rFonts w:ascii="Times New Roman" w:hAnsi="Times New Roman"/>
          <w:color w:val="0F243E" w:themeColor="text2" w:themeShade="80"/>
          <w:sz w:val="26"/>
          <w:szCs w:val="26"/>
        </w:rPr>
        <w:t xml:space="preserve"> regolazione “morbida”, infatti, potrebbe, alternativamente</w:t>
      </w:r>
      <w:r w:rsidR="00F914FC" w:rsidRPr="002360E5">
        <w:rPr>
          <w:rFonts w:ascii="Times New Roman" w:hAnsi="Times New Roman"/>
          <w:color w:val="0F243E" w:themeColor="text2" w:themeShade="80"/>
          <w:sz w:val="26"/>
          <w:szCs w:val="26"/>
        </w:rPr>
        <w:t>, palesare il rischio di</w:t>
      </w:r>
      <w:r w:rsidRPr="002360E5">
        <w:rPr>
          <w:rFonts w:ascii="Times New Roman" w:hAnsi="Times New Roman"/>
          <w:color w:val="0F243E" w:themeColor="text2" w:themeShade="80"/>
          <w:sz w:val="26"/>
          <w:szCs w:val="26"/>
        </w:rPr>
        <w:t>:</w:t>
      </w:r>
    </w:p>
    <w:p w:rsidR="00D46DBD" w:rsidRPr="002360E5" w:rsidRDefault="00D46DBD"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Attenuare la </w:t>
      </w:r>
      <w:r w:rsidR="00D92343" w:rsidRPr="002360E5">
        <w:rPr>
          <w:rFonts w:ascii="Times New Roman" w:hAnsi="Times New Roman"/>
          <w:color w:val="0F243E" w:themeColor="text2" w:themeShade="80"/>
          <w:sz w:val="26"/>
          <w:szCs w:val="26"/>
        </w:rPr>
        <w:t xml:space="preserve">descritta </w:t>
      </w:r>
      <w:r w:rsidRPr="002360E5">
        <w:rPr>
          <w:rFonts w:ascii="Times New Roman" w:hAnsi="Times New Roman"/>
          <w:color w:val="0F243E" w:themeColor="text2" w:themeShade="80"/>
          <w:sz w:val="26"/>
          <w:szCs w:val="26"/>
        </w:rPr>
        <w:t>“</w:t>
      </w:r>
      <w:r w:rsidRPr="002360E5">
        <w:rPr>
          <w:rFonts w:ascii="Times New Roman" w:hAnsi="Times New Roman"/>
          <w:i/>
          <w:color w:val="0F243E" w:themeColor="text2" w:themeShade="80"/>
          <w:sz w:val="26"/>
          <w:szCs w:val="26"/>
        </w:rPr>
        <w:t>durezza</w:t>
      </w:r>
      <w:r w:rsidRPr="002360E5">
        <w:rPr>
          <w:rFonts w:ascii="Times New Roman" w:hAnsi="Times New Roman"/>
          <w:color w:val="0F243E" w:themeColor="text2" w:themeShade="80"/>
          <w:sz w:val="26"/>
          <w:szCs w:val="26"/>
        </w:rPr>
        <w:t>” delle norme europee;</w:t>
      </w:r>
    </w:p>
    <w:p w:rsidR="00D46DBD" w:rsidRPr="002360E5" w:rsidRDefault="00D46DBD"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Irrigidire</w:t>
      </w:r>
      <w:r w:rsidR="00D92343" w:rsidRPr="002360E5">
        <w:rPr>
          <w:rFonts w:ascii="Times New Roman" w:hAnsi="Times New Roman"/>
          <w:color w:val="0F243E" w:themeColor="text2" w:themeShade="80"/>
          <w:sz w:val="26"/>
          <w:szCs w:val="26"/>
        </w:rPr>
        <w:t>, al contrario,</w:t>
      </w:r>
      <w:r w:rsidRPr="002360E5">
        <w:rPr>
          <w:rFonts w:ascii="Times New Roman" w:hAnsi="Times New Roman"/>
          <w:color w:val="0F243E" w:themeColor="text2" w:themeShade="80"/>
          <w:sz w:val="26"/>
          <w:szCs w:val="26"/>
        </w:rPr>
        <w:t xml:space="preserve"> la malleabilità delle procedure</w:t>
      </w:r>
      <w:r w:rsidR="0065244D" w:rsidRPr="002360E5">
        <w:rPr>
          <w:rFonts w:ascii="Times New Roman" w:hAnsi="Times New Roman"/>
          <w:color w:val="0F243E" w:themeColor="text2" w:themeShade="80"/>
          <w:sz w:val="26"/>
          <w:szCs w:val="26"/>
        </w:rPr>
        <w:t xml:space="preserve">, elidendo il potere </w:t>
      </w:r>
      <w:r w:rsidR="00BF6E71">
        <w:rPr>
          <w:rFonts w:ascii="Times New Roman" w:hAnsi="Times New Roman"/>
          <w:color w:val="0F243E" w:themeColor="text2" w:themeShade="80"/>
          <w:sz w:val="26"/>
          <w:szCs w:val="26"/>
        </w:rPr>
        <w:t xml:space="preserve">di scelta discrezionale </w:t>
      </w:r>
      <w:r w:rsidR="0065244D" w:rsidRPr="002360E5">
        <w:rPr>
          <w:rFonts w:ascii="Times New Roman" w:hAnsi="Times New Roman"/>
          <w:color w:val="0F243E" w:themeColor="text2" w:themeShade="80"/>
          <w:sz w:val="26"/>
          <w:szCs w:val="26"/>
        </w:rPr>
        <w:t>riconosciuto</w:t>
      </w:r>
      <w:r w:rsidRPr="002360E5">
        <w:rPr>
          <w:rFonts w:ascii="Times New Roman" w:hAnsi="Times New Roman"/>
          <w:color w:val="0F243E" w:themeColor="text2" w:themeShade="80"/>
          <w:sz w:val="26"/>
          <w:szCs w:val="26"/>
        </w:rPr>
        <w:t xml:space="preserve"> in capo alle </w:t>
      </w:r>
      <w:r w:rsidR="000E3408">
        <w:rPr>
          <w:rFonts w:ascii="Times New Roman" w:hAnsi="Times New Roman"/>
          <w:color w:val="0F243E" w:themeColor="text2" w:themeShade="80"/>
          <w:sz w:val="26"/>
          <w:szCs w:val="26"/>
        </w:rPr>
        <w:t xml:space="preserve">singole </w:t>
      </w:r>
      <w:r w:rsidRPr="002360E5">
        <w:rPr>
          <w:rFonts w:ascii="Times New Roman" w:hAnsi="Times New Roman"/>
          <w:color w:val="0F243E" w:themeColor="text2" w:themeShade="80"/>
          <w:sz w:val="26"/>
          <w:szCs w:val="26"/>
        </w:rPr>
        <w:t>stazioni appaltanti</w:t>
      </w:r>
      <w:r w:rsidR="00872535">
        <w:rPr>
          <w:rStyle w:val="Rimandonotaapidipagina"/>
          <w:rFonts w:ascii="Times New Roman" w:hAnsi="Times New Roman"/>
          <w:color w:val="0F243E" w:themeColor="text2" w:themeShade="80"/>
          <w:sz w:val="26"/>
          <w:szCs w:val="26"/>
        </w:rPr>
        <w:footnoteReference w:id="12"/>
      </w:r>
      <w:r w:rsidRPr="002360E5">
        <w:rPr>
          <w:rFonts w:ascii="Times New Roman" w:hAnsi="Times New Roman"/>
          <w:color w:val="0F243E" w:themeColor="text2" w:themeShade="80"/>
          <w:sz w:val="26"/>
          <w:szCs w:val="26"/>
        </w:rPr>
        <w:t>.</w:t>
      </w:r>
    </w:p>
    <w:p w:rsidR="00D46DBD" w:rsidRPr="002360E5" w:rsidRDefault="00157675"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In entrambe </w:t>
      </w:r>
      <w:r w:rsidR="00D46DBD" w:rsidRPr="002360E5">
        <w:rPr>
          <w:rFonts w:ascii="Times New Roman" w:hAnsi="Times New Roman"/>
          <w:color w:val="0F243E" w:themeColor="text2" w:themeShade="80"/>
          <w:sz w:val="26"/>
          <w:szCs w:val="26"/>
        </w:rPr>
        <w:t xml:space="preserve">le </w:t>
      </w:r>
      <w:r w:rsidR="00F914FC" w:rsidRPr="002360E5">
        <w:rPr>
          <w:rFonts w:ascii="Times New Roman" w:hAnsi="Times New Roman"/>
          <w:color w:val="0F243E" w:themeColor="text2" w:themeShade="80"/>
          <w:sz w:val="26"/>
          <w:szCs w:val="26"/>
        </w:rPr>
        <w:t>eventualità</w:t>
      </w:r>
      <w:r w:rsidRPr="002360E5">
        <w:rPr>
          <w:rFonts w:ascii="Times New Roman" w:hAnsi="Times New Roman"/>
          <w:color w:val="0F243E" w:themeColor="text2" w:themeShade="80"/>
          <w:sz w:val="26"/>
          <w:szCs w:val="26"/>
        </w:rPr>
        <w:t>, si realizzerebbe un assetto</w:t>
      </w:r>
      <w:r w:rsidR="005A076E" w:rsidRPr="002360E5">
        <w:rPr>
          <w:rFonts w:ascii="Times New Roman" w:hAnsi="Times New Roman"/>
          <w:color w:val="0F243E" w:themeColor="text2" w:themeShade="80"/>
          <w:sz w:val="26"/>
          <w:szCs w:val="26"/>
        </w:rPr>
        <w:t xml:space="preserve"> difficilmente compatibile</w:t>
      </w:r>
      <w:r w:rsidR="00D46DBD" w:rsidRPr="002360E5">
        <w:rPr>
          <w:rFonts w:ascii="Times New Roman" w:hAnsi="Times New Roman"/>
          <w:color w:val="0F243E" w:themeColor="text2" w:themeShade="80"/>
          <w:sz w:val="26"/>
          <w:szCs w:val="26"/>
        </w:rPr>
        <w:t xml:space="preserve"> con il diritto UE.</w:t>
      </w:r>
    </w:p>
    <w:p w:rsidR="005A076E" w:rsidRPr="002360E5" w:rsidRDefault="005A076E"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Si </w:t>
      </w:r>
      <w:r w:rsidR="00F421DE">
        <w:rPr>
          <w:rFonts w:ascii="Times New Roman" w:hAnsi="Times New Roman"/>
          <w:color w:val="0F243E" w:themeColor="text2" w:themeShade="80"/>
          <w:sz w:val="26"/>
          <w:szCs w:val="26"/>
        </w:rPr>
        <w:t>replica</w:t>
      </w:r>
      <w:r w:rsidRPr="002360E5">
        <w:rPr>
          <w:rFonts w:ascii="Times New Roman" w:hAnsi="Times New Roman"/>
          <w:color w:val="0F243E" w:themeColor="text2" w:themeShade="80"/>
          <w:sz w:val="26"/>
          <w:szCs w:val="26"/>
        </w:rPr>
        <w:t xml:space="preserve"> che le stazi</w:t>
      </w:r>
      <w:r w:rsidR="00494621" w:rsidRPr="002360E5">
        <w:rPr>
          <w:rFonts w:ascii="Times New Roman" w:hAnsi="Times New Roman"/>
          <w:color w:val="0F243E" w:themeColor="text2" w:themeShade="80"/>
          <w:sz w:val="26"/>
          <w:szCs w:val="26"/>
        </w:rPr>
        <w:t>oni appaltanti</w:t>
      </w:r>
      <w:r w:rsidRPr="002360E5">
        <w:rPr>
          <w:rFonts w:ascii="Times New Roman" w:hAnsi="Times New Roman"/>
          <w:color w:val="0F243E" w:themeColor="text2" w:themeShade="80"/>
          <w:sz w:val="26"/>
          <w:szCs w:val="26"/>
        </w:rPr>
        <w:t xml:space="preserve"> potrebbero apprezzare suggerimenti, indicazioni operative, </w:t>
      </w:r>
      <w:r w:rsidR="005816BB" w:rsidRPr="002360E5">
        <w:rPr>
          <w:rFonts w:ascii="Times New Roman" w:hAnsi="Times New Roman"/>
          <w:color w:val="0F243E" w:themeColor="text2" w:themeShade="80"/>
          <w:sz w:val="26"/>
          <w:szCs w:val="26"/>
        </w:rPr>
        <w:t>criteri interpretativi diretti a supportarle nelle loro autonome scelte. Ma, in questo modo, potrebbero giust</w:t>
      </w:r>
      <w:r w:rsidR="00BE4A5B" w:rsidRPr="002360E5">
        <w:rPr>
          <w:rFonts w:ascii="Times New Roman" w:hAnsi="Times New Roman"/>
          <w:color w:val="0F243E" w:themeColor="text2" w:themeShade="80"/>
          <w:sz w:val="26"/>
          <w:szCs w:val="26"/>
        </w:rPr>
        <w:t>i</w:t>
      </w:r>
      <w:r w:rsidR="005816BB" w:rsidRPr="002360E5">
        <w:rPr>
          <w:rFonts w:ascii="Times New Roman" w:hAnsi="Times New Roman"/>
          <w:color w:val="0F243E" w:themeColor="text2" w:themeShade="80"/>
          <w:sz w:val="26"/>
          <w:szCs w:val="26"/>
        </w:rPr>
        <w:t xml:space="preserve">ficarsi </w:t>
      </w:r>
      <w:r w:rsidR="00BE4A5B" w:rsidRPr="002360E5">
        <w:rPr>
          <w:rFonts w:ascii="Times New Roman" w:hAnsi="Times New Roman"/>
          <w:color w:val="0F243E" w:themeColor="text2" w:themeShade="80"/>
          <w:sz w:val="26"/>
          <w:szCs w:val="26"/>
        </w:rPr>
        <w:t>solo gli atti delle Autorità di vigilanza privi di efficacia vincolante.</w:t>
      </w:r>
    </w:p>
    <w:p w:rsidR="00577A2C" w:rsidRPr="002360E5" w:rsidRDefault="00577A2C"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Si ricava quindi l’impressione che, seppure confinata al livello della normativa secondaria, la </w:t>
      </w:r>
      <w:r w:rsidRPr="002360E5">
        <w:rPr>
          <w:rFonts w:ascii="Times New Roman" w:hAnsi="Times New Roman"/>
          <w:i/>
          <w:color w:val="0F243E" w:themeColor="text2" w:themeShade="80"/>
          <w:sz w:val="26"/>
          <w:szCs w:val="26"/>
        </w:rPr>
        <w:t>regolamentazione flessibile</w:t>
      </w:r>
      <w:r w:rsidRPr="002360E5">
        <w:rPr>
          <w:rFonts w:ascii="Times New Roman" w:hAnsi="Times New Roman"/>
          <w:color w:val="0F243E" w:themeColor="text2" w:themeShade="80"/>
          <w:sz w:val="26"/>
          <w:szCs w:val="26"/>
        </w:rPr>
        <w:t xml:space="preserve"> </w:t>
      </w:r>
      <w:r w:rsidR="006B44D8" w:rsidRPr="002360E5">
        <w:rPr>
          <w:rFonts w:ascii="Times New Roman" w:hAnsi="Times New Roman"/>
          <w:color w:val="0F243E" w:themeColor="text2" w:themeShade="80"/>
          <w:sz w:val="26"/>
          <w:szCs w:val="26"/>
        </w:rPr>
        <w:t xml:space="preserve">nazionale </w:t>
      </w:r>
      <w:r w:rsidRPr="002360E5">
        <w:rPr>
          <w:rFonts w:ascii="Times New Roman" w:hAnsi="Times New Roman"/>
          <w:color w:val="0F243E" w:themeColor="text2" w:themeShade="80"/>
          <w:sz w:val="26"/>
          <w:szCs w:val="26"/>
        </w:rPr>
        <w:t xml:space="preserve">non sia </w:t>
      </w:r>
      <w:r w:rsidR="006B44D8" w:rsidRPr="002360E5">
        <w:rPr>
          <w:rFonts w:ascii="Times New Roman" w:hAnsi="Times New Roman"/>
          <w:color w:val="0F243E" w:themeColor="text2" w:themeShade="80"/>
          <w:sz w:val="26"/>
          <w:szCs w:val="26"/>
        </w:rPr>
        <w:t xml:space="preserve">affatto </w:t>
      </w:r>
      <w:r w:rsidRPr="002360E5">
        <w:rPr>
          <w:rFonts w:ascii="Times New Roman" w:hAnsi="Times New Roman"/>
          <w:color w:val="0F243E" w:themeColor="text2" w:themeShade="80"/>
          <w:sz w:val="26"/>
          <w:szCs w:val="26"/>
        </w:rPr>
        <w:t>incoraggiata nella prospettiva del diritto UE dei contratti pubblici</w:t>
      </w:r>
      <w:r w:rsidR="0065244D" w:rsidRPr="002360E5">
        <w:rPr>
          <w:rFonts w:ascii="Times New Roman" w:hAnsi="Times New Roman"/>
          <w:color w:val="0F243E" w:themeColor="text2" w:themeShade="80"/>
          <w:sz w:val="26"/>
          <w:szCs w:val="26"/>
        </w:rPr>
        <w:t xml:space="preserve"> e non sia considerata particolarmente utile per rendere effettiva la disciplina cogente racchiusa nelle direttive</w:t>
      </w:r>
      <w:r w:rsidRPr="002360E5">
        <w:rPr>
          <w:rFonts w:ascii="Times New Roman" w:hAnsi="Times New Roman"/>
          <w:color w:val="0F243E" w:themeColor="text2" w:themeShade="80"/>
          <w:sz w:val="26"/>
          <w:szCs w:val="26"/>
        </w:rPr>
        <w:t>.</w:t>
      </w:r>
    </w:p>
    <w:p w:rsidR="002C2E98" w:rsidRDefault="002C2E98"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Sarà dunque necessario verificare, di volta in volta, se </w:t>
      </w:r>
      <w:r w:rsidR="00232B4D" w:rsidRPr="002360E5">
        <w:rPr>
          <w:rFonts w:ascii="Times New Roman" w:hAnsi="Times New Roman"/>
          <w:color w:val="0F243E" w:themeColor="text2" w:themeShade="80"/>
          <w:sz w:val="26"/>
          <w:szCs w:val="26"/>
        </w:rPr>
        <w:t>gli atti di esercizio del potere di</w:t>
      </w:r>
      <w:r w:rsidRPr="002360E5">
        <w:rPr>
          <w:rFonts w:ascii="Times New Roman" w:hAnsi="Times New Roman"/>
          <w:color w:val="0F243E" w:themeColor="text2" w:themeShade="80"/>
          <w:sz w:val="26"/>
          <w:szCs w:val="26"/>
        </w:rPr>
        <w:t xml:space="preserve"> regolamentazione flessibile d</w:t>
      </w:r>
      <w:r w:rsidR="00232B4D" w:rsidRPr="002360E5">
        <w:rPr>
          <w:rFonts w:ascii="Times New Roman" w:hAnsi="Times New Roman"/>
          <w:color w:val="0F243E" w:themeColor="text2" w:themeShade="80"/>
          <w:sz w:val="26"/>
          <w:szCs w:val="26"/>
        </w:rPr>
        <w:t>ell’ANAC determin</w:t>
      </w:r>
      <w:r w:rsidR="00EA0A26">
        <w:rPr>
          <w:rFonts w:ascii="Times New Roman" w:hAnsi="Times New Roman"/>
          <w:color w:val="0F243E" w:themeColor="text2" w:themeShade="80"/>
          <w:sz w:val="26"/>
          <w:szCs w:val="26"/>
        </w:rPr>
        <w:t>in</w:t>
      </w:r>
      <w:r w:rsidR="00232B4D" w:rsidRPr="002360E5">
        <w:rPr>
          <w:rFonts w:ascii="Times New Roman" w:hAnsi="Times New Roman"/>
          <w:color w:val="0F243E" w:themeColor="text2" w:themeShade="80"/>
          <w:sz w:val="26"/>
          <w:szCs w:val="26"/>
        </w:rPr>
        <w:t xml:space="preserve">o, o </w:t>
      </w:r>
      <w:r w:rsidRPr="002360E5">
        <w:rPr>
          <w:rFonts w:ascii="Times New Roman" w:hAnsi="Times New Roman"/>
          <w:color w:val="0F243E" w:themeColor="text2" w:themeShade="80"/>
          <w:sz w:val="26"/>
          <w:szCs w:val="26"/>
        </w:rPr>
        <w:t>no</w:t>
      </w:r>
      <w:r w:rsidR="00232B4D" w:rsidRPr="002360E5">
        <w:rPr>
          <w:rFonts w:ascii="Times New Roman" w:hAnsi="Times New Roman"/>
          <w:color w:val="0F243E" w:themeColor="text2" w:themeShade="80"/>
          <w:sz w:val="26"/>
          <w:szCs w:val="26"/>
        </w:rPr>
        <w:t>, un indebolimento delle prescrizioni inderogabili del</w:t>
      </w:r>
      <w:r w:rsidRPr="002360E5">
        <w:rPr>
          <w:rFonts w:ascii="Times New Roman" w:hAnsi="Times New Roman"/>
          <w:color w:val="0F243E" w:themeColor="text2" w:themeShade="80"/>
          <w:sz w:val="26"/>
          <w:szCs w:val="26"/>
        </w:rPr>
        <w:t xml:space="preserve"> diritto dell’Unione europea</w:t>
      </w:r>
      <w:r w:rsidR="00232B4D" w:rsidRPr="002360E5">
        <w:rPr>
          <w:rFonts w:ascii="Times New Roman" w:hAnsi="Times New Roman"/>
          <w:color w:val="0F243E" w:themeColor="text2" w:themeShade="80"/>
          <w:sz w:val="26"/>
          <w:szCs w:val="26"/>
        </w:rPr>
        <w:t xml:space="preserve">, o riducano eccessivamente i margini di scelta delle stazioni </w:t>
      </w:r>
      <w:r w:rsidR="00D13CAA" w:rsidRPr="002360E5">
        <w:rPr>
          <w:rFonts w:ascii="Times New Roman" w:hAnsi="Times New Roman"/>
          <w:color w:val="0F243E" w:themeColor="text2" w:themeShade="80"/>
          <w:sz w:val="26"/>
          <w:szCs w:val="26"/>
        </w:rPr>
        <w:t>appaltanti</w:t>
      </w:r>
      <w:r w:rsidRPr="002360E5">
        <w:rPr>
          <w:rFonts w:ascii="Times New Roman" w:hAnsi="Times New Roman"/>
          <w:color w:val="0F243E" w:themeColor="text2" w:themeShade="80"/>
          <w:sz w:val="26"/>
          <w:szCs w:val="26"/>
        </w:rPr>
        <w:t>.</w:t>
      </w:r>
    </w:p>
    <w:p w:rsidR="00813E66" w:rsidRPr="002360E5" w:rsidRDefault="00813E66"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Va ancora aggiunto che nelle direttive del 2014, dal punto di vista della organizzazione strutturale del sistema dei contratti pubblici, le </w:t>
      </w:r>
      <w:r w:rsidRPr="00507ED0">
        <w:rPr>
          <w:rFonts w:ascii="Times New Roman" w:hAnsi="Times New Roman"/>
          <w:i/>
          <w:color w:val="0F243E" w:themeColor="text2" w:themeShade="80"/>
          <w:sz w:val="26"/>
          <w:szCs w:val="26"/>
        </w:rPr>
        <w:t>Autorità di controllo</w:t>
      </w:r>
      <w:r w:rsidRPr="002360E5">
        <w:rPr>
          <w:rFonts w:ascii="Times New Roman" w:hAnsi="Times New Roman"/>
          <w:color w:val="0F243E" w:themeColor="text2" w:themeShade="80"/>
          <w:sz w:val="26"/>
          <w:szCs w:val="26"/>
        </w:rPr>
        <w:t xml:space="preserve"> sono menzionate (ma solo a</w:t>
      </w:r>
      <w:r w:rsidR="00F421DE">
        <w:rPr>
          <w:rFonts w:ascii="Times New Roman" w:hAnsi="Times New Roman"/>
          <w:color w:val="0F243E" w:themeColor="text2" w:themeShade="80"/>
          <w:sz w:val="26"/>
          <w:szCs w:val="26"/>
        </w:rPr>
        <w:t>i</w:t>
      </w:r>
      <w:r w:rsidRPr="002360E5">
        <w:rPr>
          <w:rFonts w:ascii="Times New Roman" w:hAnsi="Times New Roman"/>
          <w:color w:val="0F243E" w:themeColor="text2" w:themeShade="80"/>
          <w:sz w:val="26"/>
          <w:szCs w:val="26"/>
        </w:rPr>
        <w:t xml:space="preserve"> </w:t>
      </w:r>
      <w:r w:rsidRPr="002360E5">
        <w:rPr>
          <w:rFonts w:ascii="Times New Roman" w:hAnsi="Times New Roman"/>
          <w:i/>
          <w:color w:val="0F243E" w:themeColor="text2" w:themeShade="80"/>
          <w:sz w:val="26"/>
          <w:szCs w:val="26"/>
        </w:rPr>
        <w:t>Considerando</w:t>
      </w:r>
      <w:r w:rsidRPr="002360E5">
        <w:rPr>
          <w:rFonts w:ascii="Times New Roman" w:hAnsi="Times New Roman"/>
          <w:color w:val="0F243E" w:themeColor="text2" w:themeShade="80"/>
          <w:sz w:val="26"/>
          <w:szCs w:val="26"/>
        </w:rPr>
        <w:t xml:space="preserve"> n. 122</w:t>
      </w:r>
      <w:r w:rsidR="00F421DE">
        <w:rPr>
          <w:rFonts w:ascii="Times New Roman" w:hAnsi="Times New Roman"/>
          <w:color w:val="0F243E" w:themeColor="text2" w:themeShade="80"/>
          <w:sz w:val="26"/>
          <w:szCs w:val="26"/>
        </w:rPr>
        <w:t xml:space="preserve"> della direttiva n. 24 e n. 128 della direttiva n. 25</w:t>
      </w:r>
      <w:r w:rsidRPr="002360E5">
        <w:rPr>
          <w:rFonts w:ascii="Times New Roman" w:hAnsi="Times New Roman"/>
          <w:color w:val="0F243E" w:themeColor="text2" w:themeShade="80"/>
          <w:sz w:val="26"/>
          <w:szCs w:val="26"/>
        </w:rPr>
        <w:t xml:space="preserve">), quali titolari di poteri di </w:t>
      </w:r>
      <w:r w:rsidRPr="00EA0A26">
        <w:rPr>
          <w:rFonts w:ascii="Times New Roman" w:hAnsi="Times New Roman"/>
          <w:i/>
          <w:color w:val="0F243E" w:themeColor="text2" w:themeShade="80"/>
          <w:sz w:val="26"/>
          <w:szCs w:val="26"/>
        </w:rPr>
        <w:t>vigilanza</w:t>
      </w:r>
      <w:r w:rsidRPr="002360E5">
        <w:rPr>
          <w:rFonts w:ascii="Times New Roman" w:hAnsi="Times New Roman"/>
          <w:color w:val="0F243E" w:themeColor="text2" w:themeShade="80"/>
          <w:sz w:val="26"/>
          <w:szCs w:val="26"/>
        </w:rPr>
        <w:t>, senza attribuzione necessaria di poteri di carattere normativo o regolatorio.</w:t>
      </w:r>
    </w:p>
    <w:p w:rsidR="00813E66" w:rsidRPr="002360E5" w:rsidRDefault="007542CF"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Si può osservare che, del resto, nell’ambito dei contratti pubblici, sembrano meno rilevanti, rispetto ad altri settori, i “</w:t>
      </w:r>
      <w:r w:rsidRPr="007A17B2">
        <w:rPr>
          <w:rFonts w:ascii="Times New Roman" w:hAnsi="Times New Roman"/>
          <w:i/>
          <w:color w:val="0F243E" w:themeColor="text2" w:themeShade="80"/>
          <w:sz w:val="26"/>
          <w:szCs w:val="26"/>
        </w:rPr>
        <w:t>concetti indeterminati</w:t>
      </w:r>
      <w:r w:rsidRPr="002360E5">
        <w:rPr>
          <w:rFonts w:ascii="Times New Roman" w:hAnsi="Times New Roman"/>
          <w:color w:val="0F243E" w:themeColor="text2" w:themeShade="80"/>
          <w:sz w:val="26"/>
          <w:szCs w:val="26"/>
        </w:rPr>
        <w:t>”</w:t>
      </w:r>
      <w:r w:rsidR="00507ED0">
        <w:rPr>
          <w:rFonts w:ascii="Times New Roman" w:hAnsi="Times New Roman"/>
          <w:color w:val="0F243E" w:themeColor="text2" w:themeShade="80"/>
          <w:sz w:val="26"/>
          <w:szCs w:val="26"/>
        </w:rPr>
        <w:t>, di contenuto tecnico,</w:t>
      </w:r>
      <w:r w:rsidRPr="002360E5">
        <w:rPr>
          <w:rFonts w:ascii="Times New Roman" w:hAnsi="Times New Roman"/>
          <w:color w:val="0F243E" w:themeColor="text2" w:themeShade="80"/>
          <w:sz w:val="26"/>
          <w:szCs w:val="26"/>
        </w:rPr>
        <w:t xml:space="preserve"> che richiedono di essere sviluppati con appositi atti generali.</w:t>
      </w:r>
    </w:p>
    <w:p w:rsidR="007542CF" w:rsidRPr="002360E5" w:rsidRDefault="007542CF"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Né parrebbe sufficiente il riferimento, nel diritto UE, alla rapidità dell’evoluzione del sistema e alla differenziazione geografica.</w:t>
      </w:r>
    </w:p>
    <w:p w:rsidR="00D46DBD" w:rsidRPr="002360E5" w:rsidRDefault="00577A2C"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In ogni caso, quella </w:t>
      </w:r>
      <w:r w:rsidR="00D46DBD" w:rsidRPr="002360E5">
        <w:rPr>
          <w:rFonts w:ascii="Times New Roman" w:hAnsi="Times New Roman"/>
          <w:color w:val="0F243E" w:themeColor="text2" w:themeShade="80"/>
          <w:sz w:val="26"/>
          <w:szCs w:val="26"/>
        </w:rPr>
        <w:t xml:space="preserve">della </w:t>
      </w:r>
      <w:r w:rsidR="00D46DBD" w:rsidRPr="002360E5">
        <w:rPr>
          <w:rFonts w:ascii="Times New Roman" w:hAnsi="Times New Roman"/>
          <w:i/>
          <w:color w:val="0F243E" w:themeColor="text2" w:themeShade="80"/>
          <w:sz w:val="26"/>
          <w:szCs w:val="26"/>
        </w:rPr>
        <w:t>regolazione flessibile</w:t>
      </w:r>
      <w:r w:rsidR="00D46DBD" w:rsidRPr="002360E5">
        <w:rPr>
          <w:rFonts w:ascii="Times New Roman" w:hAnsi="Times New Roman"/>
          <w:color w:val="0F243E" w:themeColor="text2" w:themeShade="80"/>
          <w:sz w:val="26"/>
          <w:szCs w:val="26"/>
        </w:rPr>
        <w:t xml:space="preserve"> dei contratti pubblici, quindi, risulta un’opzione </w:t>
      </w:r>
      <w:r w:rsidR="00490CAE" w:rsidRPr="002360E5">
        <w:rPr>
          <w:rFonts w:ascii="Times New Roman" w:hAnsi="Times New Roman"/>
          <w:color w:val="0F243E" w:themeColor="text2" w:themeShade="80"/>
          <w:sz w:val="26"/>
          <w:szCs w:val="26"/>
        </w:rPr>
        <w:t xml:space="preserve">del tutto </w:t>
      </w:r>
      <w:r w:rsidR="002F7AB3" w:rsidRPr="002360E5">
        <w:rPr>
          <w:rFonts w:ascii="Times New Roman" w:hAnsi="Times New Roman"/>
          <w:i/>
          <w:color w:val="0F243E" w:themeColor="text2" w:themeShade="80"/>
          <w:sz w:val="26"/>
          <w:szCs w:val="26"/>
        </w:rPr>
        <w:t>autonoma</w:t>
      </w:r>
      <w:r w:rsidR="002F7AB3" w:rsidRPr="002360E5">
        <w:rPr>
          <w:rFonts w:ascii="Times New Roman" w:hAnsi="Times New Roman"/>
          <w:color w:val="0F243E" w:themeColor="text2" w:themeShade="80"/>
          <w:sz w:val="26"/>
          <w:szCs w:val="26"/>
        </w:rPr>
        <w:t xml:space="preserve"> </w:t>
      </w:r>
      <w:r w:rsidR="00D46DBD" w:rsidRPr="002360E5">
        <w:rPr>
          <w:rFonts w:ascii="Times New Roman" w:hAnsi="Times New Roman"/>
          <w:color w:val="0F243E" w:themeColor="text2" w:themeShade="80"/>
          <w:sz w:val="26"/>
          <w:szCs w:val="26"/>
        </w:rPr>
        <w:t>del legislatore</w:t>
      </w:r>
      <w:r w:rsidR="002F7AB3" w:rsidRPr="002360E5">
        <w:rPr>
          <w:rFonts w:ascii="Times New Roman" w:hAnsi="Times New Roman"/>
          <w:color w:val="0F243E" w:themeColor="text2" w:themeShade="80"/>
          <w:sz w:val="26"/>
          <w:szCs w:val="26"/>
        </w:rPr>
        <w:t xml:space="preserve"> italiano</w:t>
      </w:r>
      <w:r w:rsidR="00D46DBD" w:rsidRPr="002360E5">
        <w:rPr>
          <w:rFonts w:ascii="Times New Roman" w:hAnsi="Times New Roman"/>
          <w:color w:val="0F243E" w:themeColor="text2" w:themeShade="80"/>
          <w:sz w:val="26"/>
          <w:szCs w:val="26"/>
        </w:rPr>
        <w:t xml:space="preserve">, </w:t>
      </w:r>
      <w:r w:rsidR="007F76F9" w:rsidRPr="002360E5">
        <w:rPr>
          <w:rFonts w:ascii="Times New Roman" w:hAnsi="Times New Roman"/>
          <w:color w:val="0F243E" w:themeColor="text2" w:themeShade="80"/>
          <w:sz w:val="26"/>
          <w:szCs w:val="26"/>
        </w:rPr>
        <w:t xml:space="preserve">la quale </w:t>
      </w:r>
      <w:r w:rsidR="00D46DBD" w:rsidRPr="002360E5">
        <w:rPr>
          <w:rFonts w:ascii="Times New Roman" w:hAnsi="Times New Roman"/>
          <w:color w:val="0F243E" w:themeColor="text2" w:themeShade="80"/>
          <w:sz w:val="26"/>
          <w:szCs w:val="26"/>
        </w:rPr>
        <w:t>deve essere analizzata nel quadro del sistema nazionale</w:t>
      </w:r>
      <w:r w:rsidR="00D13CAA" w:rsidRPr="002360E5">
        <w:rPr>
          <w:rFonts w:ascii="Times New Roman" w:hAnsi="Times New Roman"/>
          <w:color w:val="0F243E" w:themeColor="text2" w:themeShade="80"/>
          <w:sz w:val="26"/>
          <w:szCs w:val="26"/>
        </w:rPr>
        <w:t>.</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p>
    <w:p w:rsidR="00BF4BFC" w:rsidRPr="002360E5" w:rsidRDefault="009F6831" w:rsidP="00596E5E">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Pr>
          <w:rFonts w:ascii="Times New Roman" w:hAnsi="Times New Roman"/>
          <w:b/>
          <w:smallCaps/>
          <w:color w:val="0F243E" w:themeColor="text2" w:themeShade="80"/>
          <w:sz w:val="26"/>
          <w:szCs w:val="26"/>
        </w:rPr>
        <w:t>I princ</w:t>
      </w:r>
      <w:r w:rsidR="008E4FB0">
        <w:rPr>
          <w:rFonts w:ascii="Times New Roman" w:hAnsi="Times New Roman"/>
          <w:b/>
          <w:smallCaps/>
          <w:color w:val="0F243E" w:themeColor="text2" w:themeShade="80"/>
          <w:sz w:val="26"/>
          <w:szCs w:val="26"/>
        </w:rPr>
        <w:t>ipi della regolazione flessibile</w:t>
      </w:r>
      <w:r>
        <w:rPr>
          <w:rFonts w:ascii="Times New Roman" w:hAnsi="Times New Roman"/>
          <w:b/>
          <w:smallCaps/>
          <w:color w:val="0F243E" w:themeColor="text2" w:themeShade="80"/>
          <w:sz w:val="26"/>
          <w:szCs w:val="26"/>
        </w:rPr>
        <w:t xml:space="preserve"> affermati dalla legge n. 16/2016.</w:t>
      </w:r>
    </w:p>
    <w:p w:rsidR="00D46DBD"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Il dato positivo nazionale è incentrato</w:t>
      </w:r>
      <w:r w:rsidR="00F3596D">
        <w:rPr>
          <w:rFonts w:ascii="Times New Roman" w:hAnsi="Times New Roman"/>
          <w:color w:val="0F243E" w:themeColor="text2" w:themeShade="80"/>
          <w:sz w:val="26"/>
          <w:szCs w:val="26"/>
        </w:rPr>
        <w:t>, anzitutto,</w:t>
      </w:r>
      <w:r w:rsidRPr="002360E5">
        <w:rPr>
          <w:rFonts w:ascii="Times New Roman" w:hAnsi="Times New Roman"/>
          <w:color w:val="0F243E" w:themeColor="text2" w:themeShade="80"/>
          <w:sz w:val="26"/>
          <w:szCs w:val="26"/>
        </w:rPr>
        <w:t xml:space="preserve"> nella formula “</w:t>
      </w:r>
      <w:r w:rsidRPr="002360E5">
        <w:rPr>
          <w:rFonts w:ascii="Times New Roman" w:hAnsi="Times New Roman"/>
          <w:i/>
          <w:color w:val="0F243E" w:themeColor="text2" w:themeShade="80"/>
          <w:sz w:val="26"/>
          <w:szCs w:val="26"/>
        </w:rPr>
        <w:t>strumenti di regolamentazione flessibile</w:t>
      </w:r>
      <w:r w:rsidRPr="002360E5">
        <w:rPr>
          <w:rFonts w:ascii="Times New Roman" w:hAnsi="Times New Roman"/>
          <w:color w:val="0F243E" w:themeColor="text2" w:themeShade="80"/>
          <w:sz w:val="26"/>
          <w:szCs w:val="26"/>
        </w:rPr>
        <w:t>”, prevista dall’art. 1, comma 1, lettera t)</w:t>
      </w:r>
      <w:r w:rsidR="000D6F60" w:rsidRPr="002360E5">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della </w:t>
      </w:r>
      <w:r w:rsidRPr="00F3596D">
        <w:rPr>
          <w:rFonts w:ascii="Times New Roman" w:hAnsi="Times New Roman"/>
          <w:color w:val="0F243E" w:themeColor="text2" w:themeShade="80"/>
          <w:sz w:val="26"/>
          <w:szCs w:val="26"/>
        </w:rPr>
        <w:t>legge delega</w:t>
      </w:r>
      <w:r w:rsidRPr="002360E5">
        <w:rPr>
          <w:rFonts w:ascii="Times New Roman" w:hAnsi="Times New Roman"/>
          <w:color w:val="0F243E" w:themeColor="text2" w:themeShade="80"/>
          <w:sz w:val="26"/>
          <w:szCs w:val="26"/>
        </w:rPr>
        <w:t xml:space="preserve"> 28 gennaio 2016, n. 11, nell’ambito, quindi, della enunciazione dei principi generali della materia, </w:t>
      </w:r>
      <w:r w:rsidR="00F3596D">
        <w:rPr>
          <w:rFonts w:ascii="Times New Roman" w:hAnsi="Times New Roman"/>
          <w:color w:val="0F243E" w:themeColor="text2" w:themeShade="80"/>
          <w:sz w:val="26"/>
          <w:szCs w:val="26"/>
        </w:rPr>
        <w:t xml:space="preserve">destinati ad essere </w:t>
      </w:r>
      <w:r w:rsidRPr="002360E5">
        <w:rPr>
          <w:rFonts w:ascii="Times New Roman" w:hAnsi="Times New Roman"/>
          <w:color w:val="0F243E" w:themeColor="text2" w:themeShade="80"/>
          <w:sz w:val="26"/>
          <w:szCs w:val="26"/>
        </w:rPr>
        <w:t>attuati nel codice</w:t>
      </w:r>
      <w:r w:rsidR="00507ED0">
        <w:rPr>
          <w:rFonts w:ascii="Times New Roman" w:hAnsi="Times New Roman"/>
          <w:color w:val="0F243E" w:themeColor="text2" w:themeShade="80"/>
          <w:sz w:val="26"/>
          <w:szCs w:val="26"/>
        </w:rPr>
        <w:t xml:space="preserve"> e a orientarne l’interpretazione</w:t>
      </w:r>
      <w:r w:rsidR="00F421DE">
        <w:rPr>
          <w:rFonts w:ascii="Times New Roman" w:hAnsi="Times New Roman"/>
          <w:color w:val="0F243E" w:themeColor="text2" w:themeShade="80"/>
          <w:sz w:val="26"/>
          <w:szCs w:val="26"/>
        </w:rPr>
        <w:t>:</w:t>
      </w:r>
    </w:p>
    <w:p w:rsidR="00D46DBD"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i/>
          <w:color w:val="0F243E" w:themeColor="text2" w:themeShade="80"/>
          <w:sz w:val="26"/>
          <w:szCs w:val="26"/>
          <w:shd w:val="clear" w:color="auto" w:fill="FFFFFF"/>
        </w:rPr>
        <w:t xml:space="preserve">“t) attribuzione all'ANAC di più ampie funzioni di promozione dell'efficienza, di sostegno allo sviluppo delle migliori pratiche, di facilitazione allo scambio di informazioni tra stazioni appaltanti e di vigilanza nel settore degli appalti pubblici e dei contratti di concessione, comprendenti anche poteri di controllo, raccomandazione, intervento cautelare, di deterrenza e sanzionatorio, </w:t>
      </w:r>
      <w:r w:rsidRPr="002360E5">
        <w:rPr>
          <w:rFonts w:ascii="Times New Roman" w:hAnsi="Times New Roman"/>
          <w:b/>
          <w:i/>
          <w:color w:val="0F243E" w:themeColor="text2" w:themeShade="80"/>
          <w:sz w:val="26"/>
          <w:szCs w:val="26"/>
          <w:u w:val="single"/>
          <w:shd w:val="clear" w:color="auto" w:fill="FFFFFF"/>
        </w:rPr>
        <w:t>nonché di adozione di atti di indirizzo</w:t>
      </w:r>
      <w:r w:rsidRPr="002360E5">
        <w:rPr>
          <w:rFonts w:ascii="Times New Roman" w:hAnsi="Times New Roman"/>
          <w:i/>
          <w:color w:val="0F243E" w:themeColor="text2" w:themeShade="80"/>
          <w:sz w:val="26"/>
          <w:szCs w:val="26"/>
          <w:shd w:val="clear" w:color="auto" w:fill="FFFFFF"/>
        </w:rPr>
        <w:t xml:space="preserve"> quali linee guida, bandi-tipo, contratti-tipo </w:t>
      </w:r>
      <w:r w:rsidRPr="002360E5">
        <w:rPr>
          <w:rFonts w:ascii="Times New Roman" w:hAnsi="Times New Roman"/>
          <w:b/>
          <w:i/>
          <w:color w:val="0F243E" w:themeColor="text2" w:themeShade="80"/>
          <w:sz w:val="26"/>
          <w:szCs w:val="26"/>
          <w:u w:val="single"/>
          <w:shd w:val="clear" w:color="auto" w:fill="FFFFFF"/>
        </w:rPr>
        <w:t xml:space="preserve">ed altri strumenti di regolamentazione flessibile, </w:t>
      </w:r>
      <w:r w:rsidRPr="002360E5">
        <w:rPr>
          <w:rFonts w:ascii="Times New Roman" w:hAnsi="Times New Roman"/>
          <w:i/>
          <w:color w:val="0F243E" w:themeColor="text2" w:themeShade="80"/>
          <w:sz w:val="26"/>
          <w:szCs w:val="26"/>
          <w:shd w:val="clear" w:color="auto" w:fill="FFFFFF"/>
        </w:rPr>
        <w:t>anche dotati di efficacia vincolante e fatta salva l'impugnabilità di tutte le decisioni e gli atti assunti dall'ANAC innanzi ai competenti org</w:t>
      </w:r>
      <w:r w:rsidR="00F421DE">
        <w:rPr>
          <w:rFonts w:ascii="Times New Roman" w:hAnsi="Times New Roman"/>
          <w:i/>
          <w:color w:val="0F243E" w:themeColor="text2" w:themeShade="80"/>
          <w:sz w:val="26"/>
          <w:szCs w:val="26"/>
          <w:shd w:val="clear" w:color="auto" w:fill="FFFFFF"/>
        </w:rPr>
        <w:t>ani di giustizia amministrativa</w:t>
      </w:r>
      <w:r w:rsidRPr="002360E5">
        <w:rPr>
          <w:rFonts w:ascii="Times New Roman" w:hAnsi="Times New Roman"/>
          <w:i/>
          <w:color w:val="0F243E" w:themeColor="text2" w:themeShade="80"/>
          <w:sz w:val="26"/>
          <w:szCs w:val="26"/>
          <w:shd w:val="clear" w:color="auto" w:fill="FFFFFF"/>
        </w:rPr>
        <w:t>”</w:t>
      </w:r>
      <w:r w:rsidR="00F421DE">
        <w:rPr>
          <w:rFonts w:ascii="Times New Roman" w:hAnsi="Times New Roman"/>
          <w:i/>
          <w:color w:val="0F243E" w:themeColor="text2" w:themeShade="80"/>
          <w:sz w:val="26"/>
          <w:szCs w:val="26"/>
          <w:shd w:val="clear" w:color="auto" w:fill="FFFFFF"/>
        </w:rPr>
        <w:t>.</w:t>
      </w:r>
    </w:p>
    <w:p w:rsidR="00D46DBD"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 disposizione </w:t>
      </w:r>
      <w:r w:rsidR="001F7B4A" w:rsidRPr="002360E5">
        <w:rPr>
          <w:rFonts w:ascii="Times New Roman" w:hAnsi="Times New Roman"/>
          <w:color w:val="0F243E" w:themeColor="text2" w:themeShade="80"/>
          <w:sz w:val="26"/>
          <w:szCs w:val="26"/>
        </w:rPr>
        <w:t xml:space="preserve">ha una struttura </w:t>
      </w:r>
      <w:r w:rsidRPr="002360E5">
        <w:rPr>
          <w:rFonts w:ascii="Times New Roman" w:hAnsi="Times New Roman"/>
          <w:color w:val="0F243E" w:themeColor="text2" w:themeShade="80"/>
          <w:sz w:val="26"/>
          <w:szCs w:val="26"/>
        </w:rPr>
        <w:t xml:space="preserve">piuttosto articolata e sembra preoccupata di </w:t>
      </w:r>
      <w:r w:rsidR="00445D62" w:rsidRPr="002360E5">
        <w:rPr>
          <w:rFonts w:ascii="Times New Roman" w:hAnsi="Times New Roman"/>
          <w:color w:val="0F243E" w:themeColor="text2" w:themeShade="80"/>
          <w:sz w:val="26"/>
          <w:szCs w:val="26"/>
        </w:rPr>
        <w:t>sottoline</w:t>
      </w:r>
      <w:r w:rsidRPr="002360E5">
        <w:rPr>
          <w:rFonts w:ascii="Times New Roman" w:hAnsi="Times New Roman"/>
          <w:color w:val="0F243E" w:themeColor="text2" w:themeShade="80"/>
          <w:sz w:val="26"/>
          <w:szCs w:val="26"/>
        </w:rPr>
        <w:t>are</w:t>
      </w:r>
      <w:r w:rsidR="008D012F" w:rsidRPr="002360E5">
        <w:rPr>
          <w:rFonts w:ascii="Times New Roman" w:hAnsi="Times New Roman"/>
          <w:color w:val="0F243E" w:themeColor="text2" w:themeShade="80"/>
          <w:sz w:val="26"/>
          <w:szCs w:val="26"/>
        </w:rPr>
        <w:t>, essenzialmente,</w:t>
      </w:r>
      <w:r w:rsidRPr="002360E5">
        <w:rPr>
          <w:rFonts w:ascii="Times New Roman" w:hAnsi="Times New Roman"/>
          <w:color w:val="0F243E" w:themeColor="text2" w:themeShade="80"/>
          <w:sz w:val="26"/>
          <w:szCs w:val="26"/>
        </w:rPr>
        <w:t xml:space="preserve"> l’idea di una radicale estensione dei </w:t>
      </w:r>
      <w:r w:rsidRPr="002360E5">
        <w:rPr>
          <w:rFonts w:ascii="Times New Roman" w:hAnsi="Times New Roman"/>
          <w:i/>
          <w:color w:val="0F243E" w:themeColor="text2" w:themeShade="80"/>
          <w:sz w:val="26"/>
          <w:szCs w:val="26"/>
        </w:rPr>
        <w:t>poteri</w:t>
      </w:r>
      <w:r w:rsidRPr="002360E5">
        <w:rPr>
          <w:rFonts w:ascii="Times New Roman" w:hAnsi="Times New Roman"/>
          <w:color w:val="0F243E" w:themeColor="text2" w:themeShade="80"/>
          <w:sz w:val="26"/>
          <w:szCs w:val="26"/>
        </w:rPr>
        <w:t xml:space="preserve"> (già larghi) dell’ANAC, effettuata mediante una vasta elencazione di </w:t>
      </w:r>
      <w:r w:rsidR="009E3F33">
        <w:rPr>
          <w:rFonts w:ascii="Times New Roman" w:hAnsi="Times New Roman"/>
          <w:color w:val="0F243E" w:themeColor="text2" w:themeShade="80"/>
          <w:sz w:val="26"/>
          <w:szCs w:val="26"/>
        </w:rPr>
        <w:t xml:space="preserve">competenze </w:t>
      </w:r>
      <w:r w:rsidRPr="002360E5">
        <w:rPr>
          <w:rFonts w:ascii="Times New Roman" w:hAnsi="Times New Roman"/>
          <w:color w:val="0F243E" w:themeColor="text2" w:themeShade="80"/>
          <w:sz w:val="26"/>
          <w:szCs w:val="26"/>
        </w:rPr>
        <w:t>e funzioni, delineate con espressioni piuttosto eterogenee.</w:t>
      </w:r>
    </w:p>
    <w:p w:rsidR="00E253BB"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Si parte, infatti, da</w:t>
      </w:r>
      <w:r w:rsidR="00445D62" w:rsidRPr="002360E5">
        <w:rPr>
          <w:rFonts w:ascii="Times New Roman" w:hAnsi="Times New Roman"/>
          <w:color w:val="0F243E" w:themeColor="text2" w:themeShade="80"/>
          <w:sz w:val="26"/>
          <w:szCs w:val="26"/>
        </w:rPr>
        <w:t>l duplice</w:t>
      </w:r>
      <w:r w:rsidRPr="002360E5">
        <w:rPr>
          <w:rFonts w:ascii="Times New Roman" w:hAnsi="Times New Roman"/>
          <w:color w:val="0F243E" w:themeColor="text2" w:themeShade="80"/>
          <w:sz w:val="26"/>
          <w:szCs w:val="26"/>
        </w:rPr>
        <w:t xml:space="preserve"> </w:t>
      </w:r>
      <w:r w:rsidRPr="002360E5">
        <w:rPr>
          <w:rFonts w:ascii="Times New Roman" w:hAnsi="Times New Roman"/>
          <w:i/>
          <w:color w:val="0F243E" w:themeColor="text2" w:themeShade="80"/>
          <w:sz w:val="26"/>
          <w:szCs w:val="26"/>
        </w:rPr>
        <w:t>riferimento</w:t>
      </w:r>
      <w:r w:rsidR="00E253BB" w:rsidRPr="002360E5">
        <w:rPr>
          <w:rFonts w:ascii="Times New Roman" w:hAnsi="Times New Roman"/>
          <w:color w:val="0F243E" w:themeColor="text2" w:themeShade="80"/>
          <w:sz w:val="26"/>
          <w:szCs w:val="26"/>
        </w:rPr>
        <w:t>:</w:t>
      </w:r>
    </w:p>
    <w:p w:rsidR="00E253BB" w:rsidRPr="002360E5" w:rsidRDefault="00E253BB"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w:t>
      </w:r>
      <w:r w:rsidR="00D46DBD" w:rsidRPr="002360E5">
        <w:rPr>
          <w:rFonts w:ascii="Times New Roman" w:hAnsi="Times New Roman"/>
          <w:color w:val="0F243E" w:themeColor="text2" w:themeShade="80"/>
          <w:sz w:val="26"/>
          <w:szCs w:val="26"/>
        </w:rPr>
        <w:t xml:space="preserve"> all</w:t>
      </w:r>
      <w:r w:rsidR="00BE7F31" w:rsidRPr="002360E5">
        <w:rPr>
          <w:rFonts w:ascii="Times New Roman" w:hAnsi="Times New Roman"/>
          <w:color w:val="0F243E" w:themeColor="text2" w:themeShade="80"/>
          <w:sz w:val="26"/>
          <w:szCs w:val="26"/>
        </w:rPr>
        <w:t>a funzione</w:t>
      </w:r>
      <w:r w:rsidR="00D46DBD" w:rsidRPr="002360E5">
        <w:rPr>
          <w:rFonts w:ascii="Times New Roman" w:hAnsi="Times New Roman"/>
          <w:color w:val="0F243E" w:themeColor="text2" w:themeShade="80"/>
          <w:sz w:val="26"/>
          <w:szCs w:val="26"/>
        </w:rPr>
        <w:t xml:space="preserve"> di “</w:t>
      </w:r>
      <w:r w:rsidR="00D46DBD" w:rsidRPr="002360E5">
        <w:rPr>
          <w:rFonts w:ascii="Times New Roman" w:hAnsi="Times New Roman"/>
          <w:i/>
          <w:color w:val="0F243E" w:themeColor="text2" w:themeShade="80"/>
          <w:sz w:val="26"/>
          <w:szCs w:val="26"/>
        </w:rPr>
        <w:t>promozione dell’efficienza</w:t>
      </w:r>
      <w:r w:rsidR="00D46DBD" w:rsidRPr="002360E5">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w:t>
      </w:r>
    </w:p>
    <w:p w:rsidR="00E253BB" w:rsidRDefault="00E253BB"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w:t>
      </w:r>
      <w:r w:rsidR="00D46DBD" w:rsidRPr="002360E5">
        <w:rPr>
          <w:rFonts w:ascii="Times New Roman" w:hAnsi="Times New Roman"/>
          <w:color w:val="0F243E" w:themeColor="text2" w:themeShade="80"/>
          <w:sz w:val="26"/>
          <w:szCs w:val="26"/>
        </w:rPr>
        <w:t xml:space="preserve"> al </w:t>
      </w:r>
      <w:r w:rsidR="00BE7F31" w:rsidRPr="002360E5">
        <w:rPr>
          <w:rFonts w:ascii="Times New Roman" w:hAnsi="Times New Roman"/>
          <w:color w:val="0F243E" w:themeColor="text2" w:themeShade="80"/>
          <w:sz w:val="26"/>
          <w:szCs w:val="26"/>
        </w:rPr>
        <w:t xml:space="preserve">compito di </w:t>
      </w:r>
      <w:r w:rsidR="00D46DBD" w:rsidRPr="002360E5">
        <w:rPr>
          <w:rFonts w:ascii="Times New Roman" w:hAnsi="Times New Roman"/>
          <w:color w:val="0F243E" w:themeColor="text2" w:themeShade="80"/>
          <w:sz w:val="26"/>
          <w:szCs w:val="26"/>
        </w:rPr>
        <w:t>“</w:t>
      </w:r>
      <w:r w:rsidR="00D46DBD" w:rsidRPr="002360E5">
        <w:rPr>
          <w:rFonts w:ascii="Times New Roman" w:hAnsi="Times New Roman"/>
          <w:i/>
          <w:color w:val="0F243E" w:themeColor="text2" w:themeShade="80"/>
          <w:sz w:val="26"/>
          <w:szCs w:val="26"/>
        </w:rPr>
        <w:t>sostegno allo sviluppo delle migliori pratiche</w:t>
      </w:r>
      <w:r w:rsidR="007F1AC1">
        <w:rPr>
          <w:rFonts w:ascii="Times New Roman" w:hAnsi="Times New Roman"/>
          <w:color w:val="0F243E" w:themeColor="text2" w:themeShade="80"/>
          <w:sz w:val="26"/>
          <w:szCs w:val="26"/>
        </w:rPr>
        <w:t>”.</w:t>
      </w:r>
    </w:p>
    <w:p w:rsidR="007F1AC1" w:rsidRPr="002360E5" w:rsidRDefault="007F1AC1"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A ben vedere, in questo contesto linguistico, </w:t>
      </w:r>
      <w:r w:rsidR="00056BFD" w:rsidRPr="004C78E9">
        <w:rPr>
          <w:rFonts w:ascii="Times New Roman" w:hAnsi="Times New Roman"/>
          <w:i/>
          <w:color w:val="0F243E" w:themeColor="text2" w:themeShade="80"/>
          <w:sz w:val="26"/>
          <w:szCs w:val="26"/>
        </w:rPr>
        <w:t>promozione dell’efficienza</w:t>
      </w:r>
      <w:r w:rsidR="00056BFD">
        <w:rPr>
          <w:rFonts w:ascii="Times New Roman" w:hAnsi="Times New Roman"/>
          <w:color w:val="0F243E" w:themeColor="text2" w:themeShade="80"/>
          <w:sz w:val="26"/>
          <w:szCs w:val="26"/>
        </w:rPr>
        <w:t xml:space="preserve"> e </w:t>
      </w:r>
      <w:r w:rsidR="00056BFD" w:rsidRPr="004C78E9">
        <w:rPr>
          <w:rFonts w:ascii="Times New Roman" w:hAnsi="Times New Roman"/>
          <w:i/>
          <w:color w:val="0F243E" w:themeColor="text2" w:themeShade="80"/>
          <w:sz w:val="26"/>
          <w:szCs w:val="26"/>
        </w:rPr>
        <w:t>sviluppo delle migliori pratiche</w:t>
      </w:r>
      <w:r w:rsidR="00056BFD">
        <w:rPr>
          <w:rFonts w:ascii="Times New Roman" w:hAnsi="Times New Roman"/>
          <w:color w:val="0F243E" w:themeColor="text2" w:themeShade="80"/>
          <w:sz w:val="26"/>
          <w:szCs w:val="26"/>
        </w:rPr>
        <w:t xml:space="preserve"> assumono la connotazione di “finalità”, piuttosto che di</w:t>
      </w:r>
      <w:r w:rsidR="004C78E9">
        <w:rPr>
          <w:rFonts w:ascii="Times New Roman" w:hAnsi="Times New Roman"/>
          <w:color w:val="0F243E" w:themeColor="text2" w:themeShade="80"/>
          <w:sz w:val="26"/>
          <w:szCs w:val="26"/>
        </w:rPr>
        <w:t xml:space="preserve"> autonome</w:t>
      </w:r>
      <w:r w:rsidR="00056BFD">
        <w:rPr>
          <w:rFonts w:ascii="Times New Roman" w:hAnsi="Times New Roman"/>
          <w:color w:val="0F243E" w:themeColor="text2" w:themeShade="80"/>
          <w:sz w:val="26"/>
          <w:szCs w:val="26"/>
        </w:rPr>
        <w:t xml:space="preserve"> </w:t>
      </w:r>
      <w:r w:rsidR="00056BFD" w:rsidRPr="004C78E9">
        <w:rPr>
          <w:rFonts w:ascii="Times New Roman" w:hAnsi="Times New Roman"/>
          <w:i/>
          <w:color w:val="0F243E" w:themeColor="text2" w:themeShade="80"/>
          <w:sz w:val="26"/>
          <w:szCs w:val="26"/>
        </w:rPr>
        <w:t>funzioni</w:t>
      </w:r>
      <w:r w:rsidR="00056BFD">
        <w:rPr>
          <w:rFonts w:ascii="Times New Roman" w:hAnsi="Times New Roman"/>
          <w:color w:val="0F243E" w:themeColor="text2" w:themeShade="80"/>
          <w:sz w:val="26"/>
          <w:szCs w:val="26"/>
        </w:rPr>
        <w:t xml:space="preserve"> in senso proprio.</w:t>
      </w:r>
    </w:p>
    <w:p w:rsidR="00D46DBD" w:rsidRDefault="00E253BB"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Si enunciano,</w:t>
      </w:r>
      <w:r w:rsidR="00D46DBD" w:rsidRPr="002360E5">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poi</w:t>
      </w:r>
      <w:r w:rsidR="00DB5E13" w:rsidRPr="002360E5">
        <w:rPr>
          <w:rFonts w:ascii="Times New Roman" w:hAnsi="Times New Roman"/>
          <w:color w:val="0F243E" w:themeColor="text2" w:themeShade="80"/>
          <w:sz w:val="26"/>
          <w:szCs w:val="26"/>
        </w:rPr>
        <w:t>, in modo più concreto,</w:t>
      </w:r>
      <w:r w:rsidR="00D46DBD" w:rsidRPr="002360E5">
        <w:rPr>
          <w:rFonts w:ascii="Times New Roman" w:hAnsi="Times New Roman"/>
          <w:color w:val="0F243E" w:themeColor="text2" w:themeShade="80"/>
          <w:sz w:val="26"/>
          <w:szCs w:val="26"/>
        </w:rPr>
        <w:t xml:space="preserve"> </w:t>
      </w:r>
      <w:r w:rsidR="00FE140F">
        <w:rPr>
          <w:rFonts w:ascii="Times New Roman" w:hAnsi="Times New Roman"/>
          <w:color w:val="0F243E" w:themeColor="text2" w:themeShade="80"/>
          <w:sz w:val="26"/>
          <w:szCs w:val="26"/>
        </w:rPr>
        <w:t xml:space="preserve">dopo i </w:t>
      </w:r>
      <w:r w:rsidR="00FE140F" w:rsidRPr="002360E5">
        <w:rPr>
          <w:rFonts w:ascii="Times New Roman" w:hAnsi="Times New Roman"/>
          <w:i/>
          <w:color w:val="0F243E" w:themeColor="text2" w:themeShade="80"/>
          <w:sz w:val="26"/>
          <w:szCs w:val="26"/>
          <w:shd w:val="clear" w:color="auto" w:fill="FFFFFF"/>
        </w:rPr>
        <w:t>poteri di controllo, raccomandazione, intervento cautelare, di deterrenza e sanzionatorio</w:t>
      </w:r>
      <w:r w:rsidR="004C78E9">
        <w:rPr>
          <w:rFonts w:ascii="Times New Roman" w:hAnsi="Times New Roman"/>
          <w:color w:val="0F243E" w:themeColor="text2" w:themeShade="80"/>
          <w:sz w:val="26"/>
          <w:szCs w:val="26"/>
          <w:shd w:val="clear" w:color="auto" w:fill="FFFFFF"/>
        </w:rPr>
        <w:t>,</w:t>
      </w:r>
      <w:r w:rsidR="00FE140F" w:rsidRPr="002360E5">
        <w:rPr>
          <w:rFonts w:ascii="Times New Roman" w:hAnsi="Times New Roman"/>
          <w:color w:val="0F243E" w:themeColor="text2" w:themeShade="80"/>
          <w:sz w:val="26"/>
          <w:szCs w:val="26"/>
        </w:rPr>
        <w:t xml:space="preserve"> </w:t>
      </w:r>
      <w:r w:rsidR="00D46DBD" w:rsidRPr="002360E5">
        <w:rPr>
          <w:rFonts w:ascii="Times New Roman" w:hAnsi="Times New Roman"/>
          <w:color w:val="0F243E" w:themeColor="text2" w:themeShade="80"/>
          <w:sz w:val="26"/>
          <w:szCs w:val="26"/>
        </w:rPr>
        <w:t xml:space="preserve">i </w:t>
      </w:r>
      <w:r w:rsidR="00FE140F">
        <w:rPr>
          <w:rFonts w:ascii="Times New Roman" w:hAnsi="Times New Roman"/>
          <w:color w:val="0F243E" w:themeColor="text2" w:themeShade="80"/>
          <w:sz w:val="26"/>
          <w:szCs w:val="26"/>
        </w:rPr>
        <w:t xml:space="preserve">distinti </w:t>
      </w:r>
      <w:r w:rsidR="00D46DBD" w:rsidRPr="002360E5">
        <w:rPr>
          <w:rFonts w:ascii="Times New Roman" w:hAnsi="Times New Roman"/>
          <w:color w:val="0F243E" w:themeColor="text2" w:themeShade="80"/>
          <w:sz w:val="26"/>
          <w:szCs w:val="26"/>
        </w:rPr>
        <w:t>poteri di “</w:t>
      </w:r>
      <w:r w:rsidR="00D46DBD" w:rsidRPr="002360E5">
        <w:rPr>
          <w:rFonts w:ascii="Times New Roman" w:hAnsi="Times New Roman"/>
          <w:i/>
          <w:color w:val="0F243E" w:themeColor="text2" w:themeShade="80"/>
          <w:sz w:val="26"/>
          <w:szCs w:val="26"/>
        </w:rPr>
        <w:t>adozione di atti di indirizzo</w:t>
      </w:r>
      <w:r w:rsidR="00D46DBD" w:rsidRPr="002360E5">
        <w:rPr>
          <w:rFonts w:ascii="Times New Roman" w:hAnsi="Times New Roman"/>
          <w:color w:val="0F243E" w:themeColor="text2" w:themeShade="80"/>
          <w:sz w:val="26"/>
          <w:szCs w:val="26"/>
        </w:rPr>
        <w:t>”.</w:t>
      </w:r>
    </w:p>
    <w:p w:rsidR="00421031" w:rsidRDefault="00507A28"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All’interno di questa nozione degli </w:t>
      </w:r>
      <w:r w:rsidRPr="004C78E9">
        <w:rPr>
          <w:rFonts w:ascii="Times New Roman" w:hAnsi="Times New Roman"/>
          <w:i/>
          <w:color w:val="0F243E" w:themeColor="text2" w:themeShade="80"/>
          <w:sz w:val="26"/>
          <w:szCs w:val="26"/>
        </w:rPr>
        <w:t>atti di indirizzo</w:t>
      </w:r>
      <w:r>
        <w:rPr>
          <w:rFonts w:ascii="Times New Roman" w:hAnsi="Times New Roman"/>
          <w:color w:val="0F243E" w:themeColor="text2" w:themeShade="80"/>
          <w:sz w:val="26"/>
          <w:szCs w:val="26"/>
        </w:rPr>
        <w:t xml:space="preserve">, sono indicati </w:t>
      </w:r>
      <w:r w:rsidR="00F21EAF">
        <w:rPr>
          <w:rFonts w:ascii="Times New Roman" w:hAnsi="Times New Roman"/>
          <w:color w:val="0F243E" w:themeColor="text2" w:themeShade="80"/>
          <w:sz w:val="26"/>
          <w:szCs w:val="26"/>
        </w:rPr>
        <w:t>alcuni tipi specifici</w:t>
      </w:r>
      <w:r w:rsidR="002F2BC9">
        <w:rPr>
          <w:rFonts w:ascii="Times New Roman" w:hAnsi="Times New Roman"/>
          <w:color w:val="0F243E" w:themeColor="text2" w:themeShade="80"/>
          <w:sz w:val="26"/>
          <w:szCs w:val="26"/>
        </w:rPr>
        <w:t xml:space="preserve"> (</w:t>
      </w:r>
      <w:r w:rsidR="002F2BC9" w:rsidRPr="002360E5">
        <w:rPr>
          <w:rFonts w:ascii="Times New Roman" w:hAnsi="Times New Roman"/>
          <w:i/>
          <w:color w:val="0F243E" w:themeColor="text2" w:themeShade="80"/>
          <w:sz w:val="26"/>
          <w:szCs w:val="26"/>
          <w:shd w:val="clear" w:color="auto" w:fill="FFFFFF"/>
        </w:rPr>
        <w:t>linee guida, bandi-tipo, contratti-tipo</w:t>
      </w:r>
      <w:r w:rsidR="002F2BC9">
        <w:rPr>
          <w:rFonts w:ascii="Times New Roman" w:hAnsi="Times New Roman"/>
          <w:color w:val="0F243E" w:themeColor="text2" w:themeShade="80"/>
          <w:sz w:val="26"/>
          <w:szCs w:val="26"/>
          <w:shd w:val="clear" w:color="auto" w:fill="FFFFFF"/>
        </w:rPr>
        <w:t>)</w:t>
      </w:r>
      <w:r w:rsidR="00F21EAF">
        <w:rPr>
          <w:rFonts w:ascii="Times New Roman" w:hAnsi="Times New Roman"/>
          <w:color w:val="0F243E" w:themeColor="text2" w:themeShade="80"/>
          <w:sz w:val="26"/>
          <w:szCs w:val="26"/>
        </w:rPr>
        <w:t xml:space="preserve">, insieme alla categoria residuale degli </w:t>
      </w:r>
      <w:r w:rsidR="00F21EAF" w:rsidRPr="004C78E9">
        <w:rPr>
          <w:rFonts w:ascii="Times New Roman" w:hAnsi="Times New Roman"/>
          <w:i/>
          <w:color w:val="0F243E" w:themeColor="text2" w:themeShade="80"/>
          <w:sz w:val="26"/>
          <w:szCs w:val="26"/>
        </w:rPr>
        <w:t>strumenti di regolamentazione flessibile</w:t>
      </w:r>
      <w:r w:rsidR="00F21EAF">
        <w:rPr>
          <w:rFonts w:ascii="Times New Roman" w:hAnsi="Times New Roman"/>
          <w:color w:val="0F243E" w:themeColor="text2" w:themeShade="80"/>
          <w:sz w:val="26"/>
          <w:szCs w:val="26"/>
        </w:rPr>
        <w:t>.</w:t>
      </w:r>
    </w:p>
    <w:p w:rsidR="00CE3513" w:rsidRDefault="00CE3513"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Si menziona, poi, l’eventualità che tali atti (d’indirizzo) abbiano “</w:t>
      </w:r>
      <w:r w:rsidRPr="00CE3513">
        <w:rPr>
          <w:rFonts w:ascii="Times New Roman" w:hAnsi="Times New Roman"/>
          <w:i/>
          <w:color w:val="0F243E" w:themeColor="text2" w:themeShade="80"/>
          <w:sz w:val="26"/>
          <w:szCs w:val="26"/>
        </w:rPr>
        <w:t>efficacia vincolante</w:t>
      </w:r>
      <w:r>
        <w:rPr>
          <w:rFonts w:ascii="Times New Roman" w:hAnsi="Times New Roman"/>
          <w:color w:val="0F243E" w:themeColor="text2" w:themeShade="80"/>
          <w:sz w:val="26"/>
          <w:szCs w:val="26"/>
        </w:rPr>
        <w:t>”, lasciando chiaramente intendere che</w:t>
      </w:r>
      <w:r w:rsidR="002F2BC9">
        <w:rPr>
          <w:rFonts w:ascii="Times New Roman" w:hAnsi="Times New Roman"/>
          <w:color w:val="0F243E" w:themeColor="text2" w:themeShade="80"/>
          <w:sz w:val="26"/>
          <w:szCs w:val="26"/>
        </w:rPr>
        <w:t xml:space="preserve"> potrebbero anche esserne privi, ancorché non emerga, nella disposizione, un criterio discriminante tra le due eventualità.</w:t>
      </w:r>
    </w:p>
    <w:p w:rsidR="00CE3513" w:rsidRDefault="00CE3513"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Da ultimo, si fa “</w:t>
      </w:r>
      <w:r w:rsidRPr="00A9089F">
        <w:rPr>
          <w:rFonts w:ascii="Times New Roman" w:hAnsi="Times New Roman"/>
          <w:i/>
          <w:color w:val="0F243E" w:themeColor="text2" w:themeShade="80"/>
          <w:sz w:val="26"/>
          <w:szCs w:val="26"/>
        </w:rPr>
        <w:t>salva</w:t>
      </w:r>
      <w:r>
        <w:rPr>
          <w:rFonts w:ascii="Times New Roman" w:hAnsi="Times New Roman"/>
          <w:color w:val="0F243E" w:themeColor="text2" w:themeShade="80"/>
          <w:sz w:val="26"/>
          <w:szCs w:val="26"/>
        </w:rPr>
        <w:t>” l’impugnabilità dinanzi al TAR, con una espressione che pare riferita, però, a tutti gli atti dell’ANAC e non ai soli atti di indirizzo</w:t>
      </w:r>
      <w:r w:rsidR="00A9089F">
        <w:rPr>
          <w:rFonts w:ascii="Times New Roman" w:hAnsi="Times New Roman"/>
          <w:color w:val="0F243E" w:themeColor="text2" w:themeShade="80"/>
          <w:sz w:val="26"/>
          <w:szCs w:val="26"/>
        </w:rPr>
        <w:t xml:space="preserve"> e di regolamentazione flessibile</w:t>
      </w:r>
      <w:r>
        <w:rPr>
          <w:rFonts w:ascii="Times New Roman" w:hAnsi="Times New Roman"/>
          <w:color w:val="0F243E" w:themeColor="text2" w:themeShade="80"/>
          <w:sz w:val="26"/>
          <w:szCs w:val="26"/>
        </w:rPr>
        <w:t>.</w:t>
      </w:r>
    </w:p>
    <w:p w:rsidR="0036605E"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 disposizione della legge </w:t>
      </w:r>
      <w:r w:rsidR="008D012F" w:rsidRPr="002360E5">
        <w:rPr>
          <w:rFonts w:ascii="Times New Roman" w:hAnsi="Times New Roman"/>
          <w:color w:val="0F243E" w:themeColor="text2" w:themeShade="80"/>
          <w:sz w:val="26"/>
          <w:szCs w:val="26"/>
        </w:rPr>
        <w:t xml:space="preserve">di delega </w:t>
      </w:r>
      <w:r w:rsidRPr="002360E5">
        <w:rPr>
          <w:rFonts w:ascii="Times New Roman" w:hAnsi="Times New Roman"/>
          <w:color w:val="0F243E" w:themeColor="text2" w:themeShade="80"/>
          <w:sz w:val="26"/>
          <w:szCs w:val="26"/>
        </w:rPr>
        <w:t>contempla, quindi, una categoria generale</w:t>
      </w:r>
      <w:r w:rsidR="00A9465A" w:rsidRPr="002360E5">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formalmente “residuale”</w:t>
      </w:r>
      <w:r w:rsidR="00A9465A" w:rsidRPr="002360E5">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la </w:t>
      </w:r>
      <w:r w:rsidRPr="002360E5">
        <w:rPr>
          <w:rFonts w:ascii="Times New Roman" w:hAnsi="Times New Roman"/>
          <w:i/>
          <w:color w:val="0F243E" w:themeColor="text2" w:themeShade="80"/>
          <w:sz w:val="26"/>
          <w:szCs w:val="26"/>
        </w:rPr>
        <w:t>regolamentazione flessibile</w:t>
      </w:r>
      <w:r w:rsidRPr="002360E5">
        <w:rPr>
          <w:rFonts w:ascii="Times New Roman" w:hAnsi="Times New Roman"/>
          <w:color w:val="0F243E" w:themeColor="text2" w:themeShade="80"/>
          <w:sz w:val="26"/>
          <w:szCs w:val="26"/>
        </w:rPr>
        <w:t xml:space="preserve">, </w:t>
      </w:r>
      <w:r w:rsidR="005E12F2">
        <w:rPr>
          <w:rFonts w:ascii="Times New Roman" w:hAnsi="Times New Roman"/>
          <w:color w:val="0F243E" w:themeColor="text2" w:themeShade="80"/>
          <w:sz w:val="26"/>
          <w:szCs w:val="26"/>
        </w:rPr>
        <w:t>inserita all’interno della figura più ampia de</w:t>
      </w:r>
      <w:r w:rsidRPr="002360E5">
        <w:rPr>
          <w:rFonts w:ascii="Times New Roman" w:hAnsi="Times New Roman"/>
          <w:color w:val="0F243E" w:themeColor="text2" w:themeShade="80"/>
          <w:sz w:val="26"/>
          <w:szCs w:val="26"/>
        </w:rPr>
        <w:t>gli “</w:t>
      </w:r>
      <w:r w:rsidRPr="00A9089F">
        <w:rPr>
          <w:rFonts w:ascii="Times New Roman" w:hAnsi="Times New Roman"/>
          <w:i/>
          <w:color w:val="0F243E" w:themeColor="text2" w:themeShade="80"/>
          <w:sz w:val="26"/>
          <w:szCs w:val="26"/>
        </w:rPr>
        <w:t>atti di indirizzo</w:t>
      </w:r>
      <w:r w:rsidRPr="002360E5">
        <w:rPr>
          <w:rFonts w:ascii="Times New Roman" w:hAnsi="Times New Roman"/>
          <w:color w:val="0F243E" w:themeColor="text2" w:themeShade="80"/>
          <w:sz w:val="26"/>
          <w:szCs w:val="26"/>
        </w:rPr>
        <w:t>”</w:t>
      </w:r>
      <w:r w:rsidR="005E12F2">
        <w:rPr>
          <w:rFonts w:ascii="Times New Roman" w:hAnsi="Times New Roman"/>
          <w:color w:val="0F243E" w:themeColor="text2" w:themeShade="80"/>
          <w:sz w:val="26"/>
          <w:szCs w:val="26"/>
        </w:rPr>
        <w:t>, ma distinta da</w:t>
      </w:r>
      <w:r w:rsidR="00A9089F">
        <w:rPr>
          <w:rFonts w:ascii="Times New Roman" w:hAnsi="Times New Roman"/>
          <w:color w:val="0F243E" w:themeColor="text2" w:themeShade="80"/>
          <w:sz w:val="26"/>
          <w:szCs w:val="26"/>
        </w:rPr>
        <w:t xml:space="preserve"> quella de</w:t>
      </w:r>
      <w:r w:rsidR="005E12F2">
        <w:rPr>
          <w:rFonts w:ascii="Times New Roman" w:hAnsi="Times New Roman"/>
          <w:color w:val="0F243E" w:themeColor="text2" w:themeShade="80"/>
          <w:sz w:val="26"/>
          <w:szCs w:val="26"/>
        </w:rPr>
        <w:t>gli atti di (mera) raccomandazione</w:t>
      </w:r>
      <w:r w:rsidR="0036605E">
        <w:rPr>
          <w:rFonts w:ascii="Times New Roman" w:hAnsi="Times New Roman"/>
          <w:color w:val="0F243E" w:themeColor="text2" w:themeShade="80"/>
          <w:sz w:val="26"/>
          <w:szCs w:val="26"/>
        </w:rPr>
        <w:t>.</w:t>
      </w:r>
    </w:p>
    <w:p w:rsidR="00D46DBD" w:rsidRPr="002360E5" w:rsidRDefault="00E725E7"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Muovendo da una scomposizione letterale della </w:t>
      </w:r>
      <w:r w:rsidR="00D46DBD" w:rsidRPr="002360E5">
        <w:rPr>
          <w:rFonts w:ascii="Times New Roman" w:hAnsi="Times New Roman"/>
          <w:color w:val="0F243E" w:themeColor="text2" w:themeShade="80"/>
          <w:sz w:val="26"/>
          <w:szCs w:val="26"/>
        </w:rPr>
        <w:t>disposizione legislativa</w:t>
      </w:r>
      <w:r w:rsidR="008D6AD1" w:rsidRPr="002360E5">
        <w:rPr>
          <w:rFonts w:ascii="Times New Roman" w:hAnsi="Times New Roman"/>
          <w:color w:val="0F243E" w:themeColor="text2" w:themeShade="80"/>
          <w:sz w:val="26"/>
          <w:szCs w:val="26"/>
        </w:rPr>
        <w:t xml:space="preserve"> di delega</w:t>
      </w:r>
      <w:r w:rsidR="00D46DBD" w:rsidRPr="002360E5">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s</w:t>
      </w:r>
      <w:r w:rsidR="0095258B" w:rsidRPr="002360E5">
        <w:rPr>
          <w:rFonts w:ascii="Times New Roman" w:hAnsi="Times New Roman"/>
          <w:color w:val="0F243E" w:themeColor="text2" w:themeShade="80"/>
          <w:sz w:val="26"/>
          <w:szCs w:val="26"/>
        </w:rPr>
        <w:t>i</w:t>
      </w:r>
      <w:r w:rsidRPr="002360E5">
        <w:rPr>
          <w:rFonts w:ascii="Times New Roman" w:hAnsi="Times New Roman"/>
          <w:color w:val="0F243E" w:themeColor="text2" w:themeShade="80"/>
          <w:sz w:val="26"/>
          <w:szCs w:val="26"/>
        </w:rPr>
        <w:t xml:space="preserve"> potrebbero svolgere le prime considerazioni esegetiche.</w:t>
      </w:r>
    </w:p>
    <w:p w:rsidR="00D46DBD" w:rsidRPr="002360E5" w:rsidRDefault="00E725E7"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w:t>
      </w:r>
      <w:r w:rsidR="00C6015F" w:rsidRPr="002360E5">
        <w:rPr>
          <w:rFonts w:ascii="Times New Roman" w:hAnsi="Times New Roman"/>
          <w:color w:val="0F243E" w:themeColor="text2" w:themeShade="80"/>
          <w:sz w:val="26"/>
          <w:szCs w:val="26"/>
        </w:rPr>
        <w:t xml:space="preserve">’ANAC </w:t>
      </w:r>
      <w:r w:rsidR="00D46DBD" w:rsidRPr="002360E5">
        <w:rPr>
          <w:rFonts w:ascii="Times New Roman" w:hAnsi="Times New Roman"/>
          <w:color w:val="0F243E" w:themeColor="text2" w:themeShade="80"/>
          <w:sz w:val="26"/>
          <w:szCs w:val="26"/>
        </w:rPr>
        <w:t>ha</w:t>
      </w:r>
      <w:r w:rsidR="00C6015F" w:rsidRPr="002360E5">
        <w:rPr>
          <w:rFonts w:ascii="Times New Roman" w:hAnsi="Times New Roman"/>
          <w:color w:val="0F243E" w:themeColor="text2" w:themeShade="80"/>
          <w:sz w:val="26"/>
          <w:szCs w:val="26"/>
        </w:rPr>
        <w:t>, insieme ad altre funzioni,</w:t>
      </w:r>
      <w:r w:rsidR="00D46DBD" w:rsidRPr="002360E5">
        <w:rPr>
          <w:rFonts w:ascii="Times New Roman" w:hAnsi="Times New Roman"/>
          <w:color w:val="0F243E" w:themeColor="text2" w:themeShade="80"/>
          <w:sz w:val="26"/>
          <w:szCs w:val="26"/>
        </w:rPr>
        <w:t xml:space="preserve"> il potere </w:t>
      </w:r>
      <w:r w:rsidR="00C6015F" w:rsidRPr="002360E5">
        <w:rPr>
          <w:rFonts w:ascii="Times New Roman" w:hAnsi="Times New Roman"/>
          <w:color w:val="0F243E" w:themeColor="text2" w:themeShade="80"/>
          <w:sz w:val="26"/>
          <w:szCs w:val="26"/>
        </w:rPr>
        <w:t xml:space="preserve">generale </w:t>
      </w:r>
      <w:r w:rsidR="00D46DBD" w:rsidRPr="002360E5">
        <w:rPr>
          <w:rFonts w:ascii="Times New Roman" w:hAnsi="Times New Roman"/>
          <w:color w:val="0F243E" w:themeColor="text2" w:themeShade="80"/>
          <w:sz w:val="26"/>
          <w:szCs w:val="26"/>
        </w:rPr>
        <w:t xml:space="preserve">di adottare </w:t>
      </w:r>
      <w:r w:rsidR="00D46DBD" w:rsidRPr="002360E5">
        <w:rPr>
          <w:rFonts w:ascii="Times New Roman" w:hAnsi="Times New Roman"/>
          <w:i/>
          <w:color w:val="0F243E" w:themeColor="text2" w:themeShade="80"/>
          <w:sz w:val="26"/>
          <w:szCs w:val="26"/>
        </w:rPr>
        <w:t>atti di indirizzo</w:t>
      </w:r>
      <w:r w:rsidR="00C6015F" w:rsidRPr="002360E5">
        <w:rPr>
          <w:rFonts w:ascii="Times New Roman" w:hAnsi="Times New Roman"/>
          <w:color w:val="0F243E" w:themeColor="text2" w:themeShade="80"/>
          <w:sz w:val="26"/>
          <w:szCs w:val="26"/>
        </w:rPr>
        <w:t xml:space="preserve">, </w:t>
      </w:r>
      <w:r w:rsidR="004A5473" w:rsidRPr="002360E5">
        <w:rPr>
          <w:rFonts w:ascii="Times New Roman" w:hAnsi="Times New Roman"/>
          <w:color w:val="0F243E" w:themeColor="text2" w:themeShade="80"/>
          <w:sz w:val="26"/>
          <w:szCs w:val="26"/>
        </w:rPr>
        <w:t>di amp</w:t>
      </w:r>
      <w:r w:rsidR="000D0243">
        <w:rPr>
          <w:rFonts w:ascii="Times New Roman" w:hAnsi="Times New Roman"/>
          <w:color w:val="0F243E" w:themeColor="text2" w:themeShade="80"/>
          <w:sz w:val="26"/>
          <w:szCs w:val="26"/>
        </w:rPr>
        <w:t>lissim</w:t>
      </w:r>
      <w:r w:rsidR="004A5473" w:rsidRPr="002360E5">
        <w:rPr>
          <w:rFonts w:ascii="Times New Roman" w:hAnsi="Times New Roman"/>
          <w:color w:val="0F243E" w:themeColor="text2" w:themeShade="80"/>
          <w:sz w:val="26"/>
          <w:szCs w:val="26"/>
        </w:rPr>
        <w:t xml:space="preserve">o </w:t>
      </w:r>
      <w:r w:rsidR="001464AA">
        <w:rPr>
          <w:rFonts w:ascii="Times New Roman" w:hAnsi="Times New Roman"/>
          <w:color w:val="0F243E" w:themeColor="text2" w:themeShade="80"/>
          <w:sz w:val="26"/>
          <w:szCs w:val="26"/>
        </w:rPr>
        <w:t xml:space="preserve">oggetto, </w:t>
      </w:r>
      <w:r w:rsidR="004A5473" w:rsidRPr="002360E5">
        <w:rPr>
          <w:rFonts w:ascii="Times New Roman" w:hAnsi="Times New Roman"/>
          <w:color w:val="0F243E" w:themeColor="text2" w:themeShade="80"/>
          <w:sz w:val="26"/>
          <w:szCs w:val="26"/>
        </w:rPr>
        <w:t>contenuto</w:t>
      </w:r>
      <w:r w:rsidR="001464AA">
        <w:rPr>
          <w:rFonts w:ascii="Times New Roman" w:hAnsi="Times New Roman"/>
          <w:color w:val="0F243E" w:themeColor="text2" w:themeShade="80"/>
          <w:sz w:val="26"/>
          <w:szCs w:val="26"/>
        </w:rPr>
        <w:t xml:space="preserve">, </w:t>
      </w:r>
      <w:r w:rsidR="00757C14">
        <w:rPr>
          <w:rFonts w:ascii="Times New Roman" w:hAnsi="Times New Roman"/>
          <w:color w:val="0F243E" w:themeColor="text2" w:themeShade="80"/>
          <w:sz w:val="26"/>
          <w:szCs w:val="26"/>
        </w:rPr>
        <w:t>efficacia</w:t>
      </w:r>
      <w:r w:rsidR="004A5473" w:rsidRPr="002360E5">
        <w:rPr>
          <w:rFonts w:ascii="Times New Roman" w:hAnsi="Times New Roman"/>
          <w:color w:val="0F243E" w:themeColor="text2" w:themeShade="80"/>
          <w:sz w:val="26"/>
          <w:szCs w:val="26"/>
        </w:rPr>
        <w:t xml:space="preserve"> e fisionomia</w:t>
      </w:r>
      <w:r w:rsidRPr="002360E5">
        <w:rPr>
          <w:rFonts w:ascii="Times New Roman" w:hAnsi="Times New Roman"/>
          <w:color w:val="0F243E" w:themeColor="text2" w:themeShade="80"/>
          <w:sz w:val="26"/>
          <w:szCs w:val="26"/>
        </w:rPr>
        <w:t>.</w:t>
      </w:r>
    </w:p>
    <w:p w:rsidR="00D46DBD" w:rsidRPr="002360E5" w:rsidRDefault="00370E5B"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T</w:t>
      </w:r>
      <w:r w:rsidR="00D46DBD" w:rsidRPr="002360E5">
        <w:rPr>
          <w:rFonts w:ascii="Times New Roman" w:hAnsi="Times New Roman"/>
          <w:color w:val="0F243E" w:themeColor="text2" w:themeShade="80"/>
          <w:sz w:val="26"/>
          <w:szCs w:val="26"/>
        </w:rPr>
        <w:t>ra questi</w:t>
      </w:r>
      <w:r w:rsidR="004A5473" w:rsidRPr="002360E5">
        <w:rPr>
          <w:rFonts w:ascii="Times New Roman" w:hAnsi="Times New Roman"/>
          <w:color w:val="0F243E" w:themeColor="text2" w:themeShade="80"/>
          <w:sz w:val="26"/>
          <w:szCs w:val="26"/>
        </w:rPr>
        <w:t xml:space="preserve"> atti di indirizzo sono compresi, anche,</w:t>
      </w:r>
      <w:r w:rsidR="001464AA">
        <w:rPr>
          <w:rFonts w:ascii="Times New Roman" w:hAnsi="Times New Roman"/>
          <w:color w:val="0F243E" w:themeColor="text2" w:themeShade="80"/>
          <w:sz w:val="26"/>
          <w:szCs w:val="26"/>
        </w:rPr>
        <w:t xml:space="preserve"> in via meramente esemplificativa, </w:t>
      </w:r>
      <w:r w:rsidR="00D46DBD" w:rsidRPr="002360E5">
        <w:rPr>
          <w:rFonts w:ascii="Times New Roman" w:hAnsi="Times New Roman"/>
          <w:color w:val="0F243E" w:themeColor="text2" w:themeShade="80"/>
          <w:sz w:val="26"/>
          <w:szCs w:val="26"/>
        </w:rPr>
        <w:t xml:space="preserve">le </w:t>
      </w:r>
      <w:r w:rsidR="00D46DBD" w:rsidRPr="002360E5">
        <w:rPr>
          <w:rFonts w:ascii="Times New Roman" w:hAnsi="Times New Roman"/>
          <w:i/>
          <w:color w:val="0F243E" w:themeColor="text2" w:themeShade="80"/>
          <w:sz w:val="26"/>
          <w:szCs w:val="26"/>
        </w:rPr>
        <w:t>linee guida</w:t>
      </w:r>
      <w:r w:rsidR="00D46DBD" w:rsidRPr="002360E5">
        <w:rPr>
          <w:rFonts w:ascii="Times New Roman" w:hAnsi="Times New Roman"/>
          <w:color w:val="0F243E" w:themeColor="text2" w:themeShade="80"/>
          <w:sz w:val="26"/>
          <w:szCs w:val="26"/>
        </w:rPr>
        <w:t xml:space="preserve">, i </w:t>
      </w:r>
      <w:r w:rsidR="00D46DBD" w:rsidRPr="002360E5">
        <w:rPr>
          <w:rFonts w:ascii="Times New Roman" w:hAnsi="Times New Roman"/>
          <w:i/>
          <w:color w:val="0F243E" w:themeColor="text2" w:themeShade="80"/>
          <w:sz w:val="26"/>
          <w:szCs w:val="26"/>
        </w:rPr>
        <w:t>bandi-tipo</w:t>
      </w:r>
      <w:r w:rsidR="00D46DBD" w:rsidRPr="002360E5">
        <w:rPr>
          <w:rFonts w:ascii="Times New Roman" w:hAnsi="Times New Roman"/>
          <w:color w:val="0F243E" w:themeColor="text2" w:themeShade="80"/>
          <w:sz w:val="26"/>
          <w:szCs w:val="26"/>
        </w:rPr>
        <w:t xml:space="preserve"> e i </w:t>
      </w:r>
      <w:r w:rsidR="00D46DBD" w:rsidRPr="002360E5">
        <w:rPr>
          <w:rFonts w:ascii="Times New Roman" w:hAnsi="Times New Roman"/>
          <w:i/>
          <w:color w:val="0F243E" w:themeColor="text2" w:themeShade="80"/>
          <w:sz w:val="26"/>
          <w:szCs w:val="26"/>
        </w:rPr>
        <w:t>contratti-tipo</w:t>
      </w:r>
      <w:r w:rsidRPr="002360E5">
        <w:rPr>
          <w:rFonts w:ascii="Times New Roman" w:hAnsi="Times New Roman"/>
          <w:color w:val="0F243E" w:themeColor="text2" w:themeShade="80"/>
          <w:sz w:val="26"/>
          <w:szCs w:val="26"/>
        </w:rPr>
        <w:t>.</w:t>
      </w:r>
    </w:p>
    <w:p w:rsidR="00E9492F" w:rsidRPr="002360E5" w:rsidRDefault="00370E5B"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w:t>
      </w:r>
      <w:r w:rsidR="004A5473" w:rsidRPr="002360E5">
        <w:rPr>
          <w:rFonts w:ascii="Times New Roman" w:hAnsi="Times New Roman"/>
          <w:color w:val="0F243E" w:themeColor="text2" w:themeShade="80"/>
          <w:sz w:val="26"/>
          <w:szCs w:val="26"/>
        </w:rPr>
        <w:t>’elencazione d</w:t>
      </w:r>
      <w:r w:rsidRPr="002360E5">
        <w:rPr>
          <w:rFonts w:ascii="Times New Roman" w:hAnsi="Times New Roman"/>
          <w:color w:val="0F243E" w:themeColor="text2" w:themeShade="80"/>
          <w:sz w:val="26"/>
          <w:szCs w:val="26"/>
        </w:rPr>
        <w:t>egl</w:t>
      </w:r>
      <w:r w:rsidR="004A5473" w:rsidRPr="002360E5">
        <w:rPr>
          <w:rFonts w:ascii="Times New Roman" w:hAnsi="Times New Roman"/>
          <w:color w:val="0F243E" w:themeColor="text2" w:themeShade="80"/>
          <w:sz w:val="26"/>
          <w:szCs w:val="26"/>
        </w:rPr>
        <w:t xml:space="preserve">i atti tipici non delimita </w:t>
      </w:r>
      <w:r w:rsidRPr="002360E5">
        <w:rPr>
          <w:rFonts w:ascii="Times New Roman" w:hAnsi="Times New Roman"/>
          <w:color w:val="0F243E" w:themeColor="text2" w:themeShade="80"/>
          <w:sz w:val="26"/>
          <w:szCs w:val="26"/>
        </w:rPr>
        <w:t>le modalità di esercizio de</w:t>
      </w:r>
      <w:r w:rsidR="004A5473" w:rsidRPr="002360E5">
        <w:rPr>
          <w:rFonts w:ascii="Times New Roman" w:hAnsi="Times New Roman"/>
          <w:color w:val="0F243E" w:themeColor="text2" w:themeShade="80"/>
          <w:sz w:val="26"/>
          <w:szCs w:val="26"/>
        </w:rPr>
        <w:t>l potere di indirizzo assegnato all’Autorità</w:t>
      </w:r>
      <w:r w:rsidR="00E9492F" w:rsidRPr="002360E5">
        <w:rPr>
          <w:rFonts w:ascii="Times New Roman" w:hAnsi="Times New Roman"/>
          <w:color w:val="0F243E" w:themeColor="text2" w:themeShade="80"/>
          <w:sz w:val="26"/>
          <w:szCs w:val="26"/>
        </w:rPr>
        <w:t xml:space="preserve">, che </w:t>
      </w:r>
      <w:r w:rsidR="008342DD" w:rsidRPr="002360E5">
        <w:rPr>
          <w:rFonts w:ascii="Times New Roman" w:hAnsi="Times New Roman"/>
          <w:color w:val="0F243E" w:themeColor="text2" w:themeShade="80"/>
          <w:sz w:val="26"/>
          <w:szCs w:val="26"/>
        </w:rPr>
        <w:t>potrebbe</w:t>
      </w:r>
      <w:r w:rsidR="00E9492F" w:rsidRPr="002360E5">
        <w:rPr>
          <w:rFonts w:ascii="Times New Roman" w:hAnsi="Times New Roman"/>
          <w:color w:val="0F243E" w:themeColor="text2" w:themeShade="80"/>
          <w:sz w:val="26"/>
          <w:szCs w:val="26"/>
        </w:rPr>
        <w:t xml:space="preserve"> </w:t>
      </w:r>
      <w:r w:rsidR="008342DD" w:rsidRPr="002360E5">
        <w:rPr>
          <w:rFonts w:ascii="Times New Roman" w:hAnsi="Times New Roman"/>
          <w:color w:val="0F243E" w:themeColor="text2" w:themeShade="80"/>
          <w:sz w:val="26"/>
          <w:szCs w:val="26"/>
        </w:rPr>
        <w:t>svolgersi</w:t>
      </w:r>
      <w:r w:rsidR="0098465F">
        <w:rPr>
          <w:rFonts w:ascii="Times New Roman" w:hAnsi="Times New Roman"/>
          <w:color w:val="0F243E" w:themeColor="text2" w:themeShade="80"/>
          <w:sz w:val="26"/>
          <w:szCs w:val="26"/>
        </w:rPr>
        <w:t>, comunque,</w:t>
      </w:r>
      <w:r w:rsidR="00E9492F" w:rsidRPr="002360E5">
        <w:rPr>
          <w:rFonts w:ascii="Times New Roman" w:hAnsi="Times New Roman"/>
          <w:color w:val="0F243E" w:themeColor="text2" w:themeShade="80"/>
          <w:sz w:val="26"/>
          <w:szCs w:val="26"/>
        </w:rPr>
        <w:t xml:space="preserve"> </w:t>
      </w:r>
      <w:r w:rsidR="008342DD" w:rsidRPr="002360E5">
        <w:rPr>
          <w:rFonts w:ascii="Times New Roman" w:hAnsi="Times New Roman"/>
          <w:color w:val="0F243E" w:themeColor="text2" w:themeShade="80"/>
          <w:sz w:val="26"/>
          <w:szCs w:val="26"/>
        </w:rPr>
        <w:t>anc</w:t>
      </w:r>
      <w:r w:rsidR="0098465F">
        <w:rPr>
          <w:rFonts w:ascii="Times New Roman" w:hAnsi="Times New Roman"/>
          <w:color w:val="0F243E" w:themeColor="text2" w:themeShade="80"/>
          <w:sz w:val="26"/>
          <w:szCs w:val="26"/>
        </w:rPr>
        <w:t>h</w:t>
      </w:r>
      <w:r w:rsidR="008342DD" w:rsidRPr="002360E5">
        <w:rPr>
          <w:rFonts w:ascii="Times New Roman" w:hAnsi="Times New Roman"/>
          <w:color w:val="0F243E" w:themeColor="text2" w:themeShade="80"/>
          <w:sz w:val="26"/>
          <w:szCs w:val="26"/>
        </w:rPr>
        <w:t>e attraverso altri strumenti.</w:t>
      </w:r>
    </w:p>
    <w:p w:rsidR="00D46DBD" w:rsidRPr="002360E5" w:rsidRDefault="0018127F"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T</w:t>
      </w:r>
      <w:r w:rsidR="00581F67" w:rsidRPr="002360E5">
        <w:rPr>
          <w:rFonts w:ascii="Times New Roman" w:hAnsi="Times New Roman"/>
          <w:color w:val="0F243E" w:themeColor="text2" w:themeShade="80"/>
          <w:sz w:val="26"/>
          <w:szCs w:val="26"/>
        </w:rPr>
        <w:t xml:space="preserve">utte </w:t>
      </w:r>
      <w:r w:rsidR="00D46DBD" w:rsidRPr="002360E5">
        <w:rPr>
          <w:rFonts w:ascii="Times New Roman" w:hAnsi="Times New Roman"/>
          <w:color w:val="0F243E" w:themeColor="text2" w:themeShade="80"/>
          <w:sz w:val="26"/>
          <w:szCs w:val="26"/>
        </w:rPr>
        <w:t>le figure tipizzate elencate dalla disposizione vanno ricondotte</w:t>
      </w:r>
      <w:r w:rsidR="00E9492F" w:rsidRPr="002360E5">
        <w:rPr>
          <w:rFonts w:ascii="Times New Roman" w:hAnsi="Times New Roman"/>
          <w:color w:val="0F243E" w:themeColor="text2" w:themeShade="80"/>
          <w:sz w:val="26"/>
          <w:szCs w:val="26"/>
        </w:rPr>
        <w:t>, in ogni caso,</w:t>
      </w:r>
      <w:r w:rsidR="00D46DBD" w:rsidRPr="002360E5">
        <w:rPr>
          <w:rFonts w:ascii="Times New Roman" w:hAnsi="Times New Roman"/>
          <w:color w:val="0F243E" w:themeColor="text2" w:themeShade="80"/>
          <w:sz w:val="26"/>
          <w:szCs w:val="26"/>
        </w:rPr>
        <w:t xml:space="preserve"> alla nozione </w:t>
      </w:r>
      <w:r w:rsidRPr="002360E5">
        <w:rPr>
          <w:rFonts w:ascii="Times New Roman" w:hAnsi="Times New Roman"/>
          <w:color w:val="0F243E" w:themeColor="text2" w:themeShade="80"/>
          <w:sz w:val="26"/>
          <w:szCs w:val="26"/>
        </w:rPr>
        <w:t xml:space="preserve">larga </w:t>
      </w:r>
      <w:r w:rsidR="00D46DBD" w:rsidRPr="002360E5">
        <w:rPr>
          <w:rFonts w:ascii="Times New Roman" w:hAnsi="Times New Roman"/>
          <w:color w:val="0F243E" w:themeColor="text2" w:themeShade="80"/>
          <w:sz w:val="26"/>
          <w:szCs w:val="26"/>
        </w:rPr>
        <w:t>di “</w:t>
      </w:r>
      <w:r w:rsidR="00D46DBD" w:rsidRPr="002360E5">
        <w:rPr>
          <w:rFonts w:ascii="Times New Roman" w:hAnsi="Times New Roman"/>
          <w:i/>
          <w:color w:val="0F243E" w:themeColor="text2" w:themeShade="80"/>
          <w:sz w:val="26"/>
          <w:szCs w:val="26"/>
        </w:rPr>
        <w:t>regolamentazione flessibile</w:t>
      </w:r>
      <w:r w:rsidR="00D46DBD" w:rsidRPr="002360E5">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w:t>
      </w:r>
    </w:p>
    <w:p w:rsidR="00E9492F" w:rsidRPr="002360E5" w:rsidRDefault="00751AC3"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T</w:t>
      </w:r>
      <w:r w:rsidR="00D46DBD" w:rsidRPr="002360E5">
        <w:rPr>
          <w:rFonts w:ascii="Times New Roman" w:hAnsi="Times New Roman"/>
          <w:color w:val="0F243E" w:themeColor="text2" w:themeShade="80"/>
          <w:sz w:val="26"/>
          <w:szCs w:val="26"/>
        </w:rPr>
        <w:t xml:space="preserve">ali atti possono assumere, o meno, </w:t>
      </w:r>
      <w:r w:rsidR="00D46DBD" w:rsidRPr="002360E5">
        <w:rPr>
          <w:rFonts w:ascii="Times New Roman" w:hAnsi="Times New Roman"/>
          <w:i/>
          <w:color w:val="0F243E" w:themeColor="text2" w:themeShade="80"/>
          <w:sz w:val="26"/>
          <w:szCs w:val="26"/>
        </w:rPr>
        <w:t>efficacia vincolante</w:t>
      </w:r>
      <w:r w:rsidR="00D46DBD" w:rsidRPr="002360E5">
        <w:rPr>
          <w:rFonts w:ascii="Times New Roman" w:hAnsi="Times New Roman"/>
          <w:color w:val="0F243E" w:themeColor="text2" w:themeShade="80"/>
          <w:sz w:val="26"/>
          <w:szCs w:val="26"/>
        </w:rPr>
        <w:t>, ma</w:t>
      </w:r>
      <w:r w:rsidR="00581F67" w:rsidRPr="002360E5">
        <w:rPr>
          <w:rFonts w:ascii="Times New Roman" w:hAnsi="Times New Roman"/>
          <w:color w:val="0F243E" w:themeColor="text2" w:themeShade="80"/>
          <w:sz w:val="26"/>
          <w:szCs w:val="26"/>
        </w:rPr>
        <w:t>, indipendentemente da tale qualificazione,</w:t>
      </w:r>
      <w:r w:rsidR="00D46DBD" w:rsidRPr="002360E5">
        <w:rPr>
          <w:rFonts w:ascii="Times New Roman" w:hAnsi="Times New Roman"/>
          <w:color w:val="0F243E" w:themeColor="text2" w:themeShade="80"/>
          <w:sz w:val="26"/>
          <w:szCs w:val="26"/>
        </w:rPr>
        <w:t xml:space="preserve"> restano sempre </w:t>
      </w:r>
      <w:r w:rsidRPr="002360E5">
        <w:rPr>
          <w:rFonts w:ascii="Times New Roman" w:hAnsi="Times New Roman"/>
          <w:color w:val="0F243E" w:themeColor="text2" w:themeShade="80"/>
          <w:sz w:val="26"/>
          <w:szCs w:val="26"/>
        </w:rPr>
        <w:t>inquadrati ne</w:t>
      </w:r>
      <w:r w:rsidR="00D46DBD" w:rsidRPr="002360E5">
        <w:rPr>
          <w:rFonts w:ascii="Times New Roman" w:hAnsi="Times New Roman"/>
          <w:color w:val="0F243E" w:themeColor="text2" w:themeShade="80"/>
          <w:sz w:val="26"/>
          <w:szCs w:val="26"/>
        </w:rPr>
        <w:t xml:space="preserve">lla </w:t>
      </w:r>
      <w:r w:rsidRPr="002360E5">
        <w:rPr>
          <w:rFonts w:ascii="Times New Roman" w:hAnsi="Times New Roman"/>
          <w:color w:val="0F243E" w:themeColor="text2" w:themeShade="80"/>
          <w:sz w:val="26"/>
          <w:szCs w:val="26"/>
        </w:rPr>
        <w:t>categoria legislativa</w:t>
      </w:r>
      <w:r w:rsidR="00D46DBD" w:rsidRPr="002360E5">
        <w:rPr>
          <w:rFonts w:ascii="Times New Roman" w:hAnsi="Times New Roman"/>
          <w:color w:val="0F243E" w:themeColor="text2" w:themeShade="80"/>
          <w:sz w:val="26"/>
          <w:szCs w:val="26"/>
        </w:rPr>
        <w:t xml:space="preserve"> della regolamentazione </w:t>
      </w:r>
      <w:r w:rsidR="00D46DBD" w:rsidRPr="002360E5">
        <w:rPr>
          <w:rFonts w:ascii="Times New Roman" w:hAnsi="Times New Roman"/>
          <w:i/>
          <w:color w:val="0F243E" w:themeColor="text2" w:themeShade="80"/>
          <w:sz w:val="26"/>
          <w:szCs w:val="26"/>
        </w:rPr>
        <w:t>flessibile</w:t>
      </w:r>
      <w:r w:rsidRPr="002360E5">
        <w:rPr>
          <w:rFonts w:ascii="Times New Roman" w:hAnsi="Times New Roman"/>
          <w:color w:val="0F243E" w:themeColor="text2" w:themeShade="80"/>
          <w:sz w:val="26"/>
          <w:szCs w:val="26"/>
        </w:rPr>
        <w:t>.</w:t>
      </w:r>
    </w:p>
    <w:p w:rsidR="00D46DBD" w:rsidRPr="002360E5" w:rsidRDefault="00673830"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G</w:t>
      </w:r>
      <w:r w:rsidR="00B534B8" w:rsidRPr="002360E5">
        <w:rPr>
          <w:rFonts w:ascii="Times New Roman" w:hAnsi="Times New Roman"/>
          <w:color w:val="0F243E" w:themeColor="text2" w:themeShade="80"/>
          <w:sz w:val="26"/>
          <w:szCs w:val="26"/>
        </w:rPr>
        <w:t xml:space="preserve">li </w:t>
      </w:r>
      <w:r w:rsidR="00D46DBD" w:rsidRPr="002360E5">
        <w:rPr>
          <w:rFonts w:ascii="Times New Roman" w:hAnsi="Times New Roman"/>
          <w:color w:val="0F243E" w:themeColor="text2" w:themeShade="80"/>
          <w:sz w:val="26"/>
          <w:szCs w:val="26"/>
        </w:rPr>
        <w:t xml:space="preserve">atti di indirizzo e </w:t>
      </w:r>
      <w:r w:rsidR="00B534B8" w:rsidRPr="002360E5">
        <w:rPr>
          <w:rFonts w:ascii="Times New Roman" w:hAnsi="Times New Roman"/>
          <w:color w:val="0F243E" w:themeColor="text2" w:themeShade="80"/>
          <w:sz w:val="26"/>
          <w:szCs w:val="26"/>
        </w:rPr>
        <w:t xml:space="preserve">la </w:t>
      </w:r>
      <w:r w:rsidR="00D46DBD" w:rsidRPr="002360E5">
        <w:rPr>
          <w:rFonts w:ascii="Times New Roman" w:hAnsi="Times New Roman"/>
          <w:color w:val="0F243E" w:themeColor="text2" w:themeShade="80"/>
          <w:sz w:val="26"/>
          <w:szCs w:val="26"/>
        </w:rPr>
        <w:t>regolamentazione flessibile perseguono sempre gli obiettivi</w:t>
      </w:r>
      <w:r w:rsidR="00E9492F" w:rsidRPr="002360E5">
        <w:rPr>
          <w:rFonts w:ascii="Times New Roman" w:hAnsi="Times New Roman"/>
          <w:color w:val="0F243E" w:themeColor="text2" w:themeShade="80"/>
          <w:sz w:val="26"/>
          <w:szCs w:val="26"/>
        </w:rPr>
        <w:t xml:space="preserve"> amplissimi</w:t>
      </w:r>
      <w:r w:rsidR="00D46DBD" w:rsidRPr="002360E5">
        <w:rPr>
          <w:rFonts w:ascii="Times New Roman" w:hAnsi="Times New Roman"/>
          <w:color w:val="0F243E" w:themeColor="text2" w:themeShade="80"/>
          <w:sz w:val="26"/>
          <w:szCs w:val="26"/>
        </w:rPr>
        <w:t xml:space="preserve"> di </w:t>
      </w:r>
      <w:r w:rsidR="00D46DBD" w:rsidRPr="002360E5">
        <w:rPr>
          <w:rFonts w:ascii="Times New Roman" w:hAnsi="Times New Roman"/>
          <w:i/>
          <w:color w:val="0F243E" w:themeColor="text2" w:themeShade="80"/>
          <w:sz w:val="26"/>
          <w:szCs w:val="26"/>
        </w:rPr>
        <w:t>promozione</w:t>
      </w:r>
      <w:r w:rsidR="00D46DBD" w:rsidRPr="002360E5">
        <w:rPr>
          <w:rFonts w:ascii="Times New Roman" w:hAnsi="Times New Roman"/>
          <w:color w:val="0F243E" w:themeColor="text2" w:themeShade="80"/>
          <w:sz w:val="26"/>
          <w:szCs w:val="26"/>
        </w:rPr>
        <w:t xml:space="preserve"> dell’efficienza e</w:t>
      </w:r>
      <w:r w:rsidR="00D61281">
        <w:rPr>
          <w:rFonts w:ascii="Times New Roman" w:hAnsi="Times New Roman"/>
          <w:color w:val="0F243E" w:themeColor="text2" w:themeShade="80"/>
          <w:sz w:val="26"/>
          <w:szCs w:val="26"/>
        </w:rPr>
        <w:t xml:space="preserve"> di </w:t>
      </w:r>
      <w:r w:rsidR="00D61281" w:rsidRPr="0098465F">
        <w:rPr>
          <w:rFonts w:ascii="Times New Roman" w:hAnsi="Times New Roman"/>
          <w:i/>
          <w:color w:val="0F243E" w:themeColor="text2" w:themeShade="80"/>
          <w:sz w:val="26"/>
          <w:szCs w:val="26"/>
        </w:rPr>
        <w:t>sostegno</w:t>
      </w:r>
      <w:r w:rsidR="00D46DBD" w:rsidRPr="002360E5">
        <w:rPr>
          <w:rFonts w:ascii="Times New Roman" w:hAnsi="Times New Roman"/>
          <w:color w:val="0F243E" w:themeColor="text2" w:themeShade="80"/>
          <w:sz w:val="26"/>
          <w:szCs w:val="26"/>
        </w:rPr>
        <w:t xml:space="preserve"> delle migliori pratiche.</w:t>
      </w:r>
      <w:r w:rsidRPr="002360E5">
        <w:rPr>
          <w:rFonts w:ascii="Times New Roman" w:hAnsi="Times New Roman"/>
          <w:color w:val="0F243E" w:themeColor="text2" w:themeShade="80"/>
          <w:sz w:val="26"/>
          <w:szCs w:val="26"/>
        </w:rPr>
        <w:t xml:space="preserve"> </w:t>
      </w:r>
    </w:p>
    <w:p w:rsidR="00673830" w:rsidRPr="002360E5" w:rsidRDefault="00491A51"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Il percorso </w:t>
      </w:r>
      <w:r w:rsidR="0098465F">
        <w:rPr>
          <w:rFonts w:ascii="Times New Roman" w:hAnsi="Times New Roman"/>
          <w:color w:val="0F243E" w:themeColor="text2" w:themeShade="80"/>
          <w:sz w:val="26"/>
          <w:szCs w:val="26"/>
        </w:rPr>
        <w:t>logico svolt</w:t>
      </w:r>
      <w:r w:rsidRPr="002360E5">
        <w:rPr>
          <w:rFonts w:ascii="Times New Roman" w:hAnsi="Times New Roman"/>
          <w:color w:val="0F243E" w:themeColor="text2" w:themeShade="80"/>
          <w:sz w:val="26"/>
          <w:szCs w:val="26"/>
        </w:rPr>
        <w:t>o dalla disposizione, pertanto, sembrerebbe svolgersi in questa direzione</w:t>
      </w:r>
      <w:r w:rsidR="00AC05D1" w:rsidRPr="002360E5">
        <w:rPr>
          <w:rFonts w:ascii="Times New Roman" w:hAnsi="Times New Roman"/>
          <w:color w:val="0F243E" w:themeColor="text2" w:themeShade="80"/>
          <w:sz w:val="26"/>
          <w:szCs w:val="26"/>
        </w:rPr>
        <w:t>:</w:t>
      </w:r>
    </w:p>
    <w:p w:rsidR="00AC05D1" w:rsidRPr="002360E5" w:rsidRDefault="00AC05D1" w:rsidP="00764688">
      <w:pPr>
        <w:pStyle w:val="Paragrafoelenco"/>
        <w:numPr>
          <w:ilvl w:val="0"/>
          <w:numId w:val="24"/>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L’ANAC è titolare di un generalissimo potere di </w:t>
      </w:r>
      <w:r w:rsidRPr="00764688">
        <w:rPr>
          <w:rFonts w:ascii="Times New Roman" w:hAnsi="Times New Roman"/>
          <w:i/>
          <w:color w:val="0F243E" w:themeColor="text2" w:themeShade="80"/>
          <w:sz w:val="26"/>
          <w:szCs w:val="26"/>
        </w:rPr>
        <w:t>indirizzo</w:t>
      </w:r>
      <w:r w:rsidRPr="002360E5">
        <w:rPr>
          <w:rFonts w:ascii="Times New Roman" w:hAnsi="Times New Roman"/>
          <w:color w:val="0F243E" w:themeColor="text2" w:themeShade="80"/>
          <w:sz w:val="26"/>
          <w:szCs w:val="26"/>
        </w:rPr>
        <w:t>, funzionalizzato all’obiettivo dell’efficienza;</w:t>
      </w:r>
    </w:p>
    <w:p w:rsidR="00AC05D1" w:rsidRPr="002360E5" w:rsidRDefault="00AC05D1" w:rsidP="00596E5E">
      <w:pPr>
        <w:pStyle w:val="Paragrafoelenco"/>
        <w:numPr>
          <w:ilvl w:val="0"/>
          <w:numId w:val="24"/>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 regolamentazione flessibile costituisce lo </w:t>
      </w:r>
      <w:r w:rsidRPr="00764688">
        <w:rPr>
          <w:rFonts w:ascii="Times New Roman" w:hAnsi="Times New Roman"/>
          <w:i/>
          <w:color w:val="0F243E" w:themeColor="text2" w:themeShade="80"/>
          <w:sz w:val="26"/>
          <w:szCs w:val="26"/>
        </w:rPr>
        <w:t>strumento giuridico</w:t>
      </w:r>
      <w:r w:rsidRPr="002360E5">
        <w:rPr>
          <w:rFonts w:ascii="Times New Roman" w:hAnsi="Times New Roman"/>
          <w:color w:val="0F243E" w:themeColor="text2" w:themeShade="80"/>
          <w:sz w:val="26"/>
          <w:szCs w:val="26"/>
        </w:rPr>
        <w:t xml:space="preserve"> principale per attuare questa funzione;</w:t>
      </w:r>
    </w:p>
    <w:p w:rsidR="00AC05D1" w:rsidRPr="002360E5" w:rsidRDefault="00AC05D1" w:rsidP="00596E5E">
      <w:pPr>
        <w:pStyle w:val="Paragrafoelenco"/>
        <w:numPr>
          <w:ilvl w:val="0"/>
          <w:numId w:val="24"/>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Le </w:t>
      </w:r>
      <w:r w:rsidR="00764688" w:rsidRPr="00DB0B39">
        <w:rPr>
          <w:rFonts w:ascii="Times New Roman" w:hAnsi="Times New Roman"/>
          <w:i/>
          <w:color w:val="0F243E" w:themeColor="text2" w:themeShade="80"/>
          <w:sz w:val="26"/>
          <w:szCs w:val="26"/>
        </w:rPr>
        <w:t xml:space="preserve">linee </w:t>
      </w:r>
      <w:r w:rsidRPr="00DB0B39">
        <w:rPr>
          <w:rFonts w:ascii="Times New Roman" w:hAnsi="Times New Roman"/>
          <w:i/>
          <w:color w:val="0F243E" w:themeColor="text2" w:themeShade="80"/>
          <w:sz w:val="26"/>
          <w:szCs w:val="26"/>
        </w:rPr>
        <w:t>guida</w:t>
      </w:r>
      <w:r w:rsidR="00764688">
        <w:rPr>
          <w:rFonts w:ascii="Times New Roman" w:hAnsi="Times New Roman"/>
          <w:color w:val="0F243E" w:themeColor="text2" w:themeShade="80"/>
          <w:sz w:val="26"/>
          <w:szCs w:val="26"/>
        </w:rPr>
        <w:t>, a loro volta,</w:t>
      </w:r>
      <w:r w:rsidRPr="002360E5">
        <w:rPr>
          <w:rFonts w:ascii="Times New Roman" w:hAnsi="Times New Roman"/>
          <w:color w:val="0F243E" w:themeColor="text2" w:themeShade="80"/>
          <w:sz w:val="26"/>
          <w:szCs w:val="26"/>
        </w:rPr>
        <w:t xml:space="preserve"> sono una delle manifestazioni del potere di indirizzo attuato con la regola</w:t>
      </w:r>
      <w:r w:rsidR="000568C2" w:rsidRPr="002360E5">
        <w:rPr>
          <w:rFonts w:ascii="Times New Roman" w:hAnsi="Times New Roman"/>
          <w:color w:val="0F243E" w:themeColor="text2" w:themeShade="80"/>
          <w:sz w:val="26"/>
          <w:szCs w:val="26"/>
        </w:rPr>
        <w:t>mentazione flessibile.</w:t>
      </w:r>
    </w:p>
    <w:p w:rsidR="00A67B3B" w:rsidRPr="002360E5" w:rsidRDefault="00A67B3B" w:rsidP="00596E5E">
      <w:pPr>
        <w:pStyle w:val="Paragrafoelenco"/>
        <w:tabs>
          <w:tab w:val="left" w:pos="0"/>
        </w:tabs>
        <w:ind w:left="0"/>
        <w:rPr>
          <w:rFonts w:ascii="Times New Roman" w:hAnsi="Times New Roman"/>
          <w:color w:val="0F243E" w:themeColor="text2" w:themeShade="80"/>
          <w:sz w:val="26"/>
          <w:szCs w:val="26"/>
        </w:rPr>
      </w:pPr>
      <w:bookmarkStart w:id="0" w:name="05"/>
      <w:r w:rsidRPr="002360E5">
        <w:rPr>
          <w:rFonts w:ascii="Times New Roman" w:hAnsi="Times New Roman"/>
          <w:color w:val="0F243E" w:themeColor="text2" w:themeShade="80"/>
          <w:sz w:val="26"/>
          <w:szCs w:val="26"/>
        </w:rPr>
        <w:t xml:space="preserve">L’art 1, comma 5, della legge prevede, poi, un’ulteriore previsione, secondo cui, </w:t>
      </w:r>
      <w:bookmarkEnd w:id="0"/>
      <w:r w:rsidR="0095258B" w:rsidRPr="002360E5">
        <w:rPr>
          <w:rFonts w:ascii="Times New Roman" w:hAnsi="Times New Roman"/>
          <w:color w:val="0F243E" w:themeColor="text2" w:themeShade="80"/>
          <w:sz w:val="26"/>
          <w:szCs w:val="26"/>
        </w:rPr>
        <w:t>“</w:t>
      </w:r>
      <w:r w:rsidR="00F013F9" w:rsidRPr="002360E5">
        <w:rPr>
          <w:rFonts w:ascii="Times New Roman" w:hAnsi="Times New Roman"/>
          <w:i/>
          <w:color w:val="0F243E" w:themeColor="text2" w:themeShade="80"/>
          <w:sz w:val="26"/>
          <w:szCs w:val="26"/>
        </w:rPr>
        <w:t>s</w:t>
      </w:r>
      <w:r w:rsidRPr="002360E5">
        <w:rPr>
          <w:rFonts w:ascii="Times New Roman" w:hAnsi="Times New Roman"/>
          <w:i/>
          <w:color w:val="0F243E" w:themeColor="text2" w:themeShade="80"/>
          <w:sz w:val="26"/>
          <w:szCs w:val="26"/>
        </w:rPr>
        <w:t>ulla base del decreto di riordino sono, altresì, emanate linee guida di carattere generale proposte dall’ANAC e approvate con decreto del Ministro delle infrastrutture e dei trasporti, che sono trasmesse prima dell’adozione alle competenti Commissioni parlamentari per il parere</w:t>
      </w:r>
      <w:r w:rsidRPr="002360E5">
        <w:rPr>
          <w:rFonts w:ascii="Times New Roman" w:hAnsi="Times New Roman"/>
          <w:color w:val="0F243E" w:themeColor="text2" w:themeShade="80"/>
          <w:sz w:val="26"/>
          <w:szCs w:val="26"/>
        </w:rPr>
        <w:t>.</w:t>
      </w:r>
      <w:r w:rsidR="00F013F9" w:rsidRPr="002360E5">
        <w:rPr>
          <w:rFonts w:ascii="Times New Roman" w:hAnsi="Times New Roman"/>
          <w:color w:val="0F243E" w:themeColor="text2" w:themeShade="80"/>
          <w:sz w:val="26"/>
          <w:szCs w:val="26"/>
        </w:rPr>
        <w:t>”</w:t>
      </w:r>
    </w:p>
    <w:p w:rsidR="00A67B3B" w:rsidRPr="002360E5" w:rsidRDefault="00F013F9"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Si dovrebbe trattare di un’ipotesi diversa, sia per il rilievo dell’approvazione ministeriale</w:t>
      </w:r>
      <w:r w:rsidR="001F5264">
        <w:rPr>
          <w:rFonts w:ascii="Times New Roman" w:hAnsi="Times New Roman"/>
          <w:color w:val="0F243E" w:themeColor="text2" w:themeShade="80"/>
          <w:sz w:val="26"/>
          <w:szCs w:val="26"/>
        </w:rPr>
        <w:t xml:space="preserve"> e il passaggio attraverso l’avviso delle Camere</w:t>
      </w:r>
      <w:r w:rsidRPr="002360E5">
        <w:rPr>
          <w:rFonts w:ascii="Times New Roman" w:hAnsi="Times New Roman"/>
          <w:color w:val="0F243E" w:themeColor="text2" w:themeShade="80"/>
          <w:sz w:val="26"/>
          <w:szCs w:val="26"/>
        </w:rPr>
        <w:t>, sia per la connessione con il “riordino”, sia, infine, per il carattere generale della previsione.</w:t>
      </w:r>
      <w:r w:rsidR="00DB0B39">
        <w:rPr>
          <w:rFonts w:ascii="Times New Roman" w:hAnsi="Times New Roman"/>
          <w:color w:val="0F243E" w:themeColor="text2" w:themeShade="80"/>
          <w:sz w:val="26"/>
          <w:szCs w:val="26"/>
        </w:rPr>
        <w:t xml:space="preserve"> Ma si utilizza, comunque, la formula “</w:t>
      </w:r>
      <w:r w:rsidR="00DB0B39" w:rsidRPr="00AD4812">
        <w:rPr>
          <w:rFonts w:ascii="Times New Roman" w:hAnsi="Times New Roman"/>
          <w:i/>
          <w:color w:val="0F243E" w:themeColor="text2" w:themeShade="80"/>
          <w:sz w:val="26"/>
          <w:szCs w:val="26"/>
        </w:rPr>
        <w:t>linee guida</w:t>
      </w:r>
      <w:r w:rsidR="00DB0B39">
        <w:rPr>
          <w:rFonts w:ascii="Times New Roman" w:hAnsi="Times New Roman"/>
          <w:color w:val="0F243E" w:themeColor="text2" w:themeShade="80"/>
          <w:sz w:val="26"/>
          <w:szCs w:val="26"/>
        </w:rPr>
        <w:t xml:space="preserve">”, che deve essere coordinata </w:t>
      </w:r>
      <w:r w:rsidR="00AD4812">
        <w:rPr>
          <w:rFonts w:ascii="Times New Roman" w:hAnsi="Times New Roman"/>
          <w:color w:val="0F243E" w:themeColor="text2" w:themeShade="80"/>
          <w:sz w:val="26"/>
          <w:szCs w:val="26"/>
        </w:rPr>
        <w:t>con l’impostazione complessiva della legge delega.</w:t>
      </w:r>
    </w:p>
    <w:p w:rsidR="00F013F9" w:rsidRPr="002360E5" w:rsidRDefault="00F013F9"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L’attuazione di tale </w:t>
      </w:r>
      <w:r w:rsidR="001F5264">
        <w:rPr>
          <w:rFonts w:ascii="Times New Roman" w:hAnsi="Times New Roman"/>
          <w:color w:val="0F243E" w:themeColor="text2" w:themeShade="80"/>
          <w:sz w:val="26"/>
          <w:szCs w:val="26"/>
        </w:rPr>
        <w:t xml:space="preserve">ultima </w:t>
      </w:r>
      <w:r w:rsidRPr="002360E5">
        <w:rPr>
          <w:rFonts w:ascii="Times New Roman" w:hAnsi="Times New Roman"/>
          <w:color w:val="0F243E" w:themeColor="text2" w:themeShade="80"/>
          <w:sz w:val="26"/>
          <w:szCs w:val="26"/>
        </w:rPr>
        <w:t>previsione era stata compiuta attraverso l’art. 214, comma 12</w:t>
      </w:r>
      <w:r w:rsidR="00E6394C">
        <w:rPr>
          <w:rFonts w:ascii="Times New Roman" w:hAnsi="Times New Roman"/>
          <w:color w:val="0F243E" w:themeColor="text2" w:themeShade="80"/>
          <w:sz w:val="26"/>
          <w:szCs w:val="26"/>
        </w:rPr>
        <w:t>, del codice</w:t>
      </w:r>
      <w:r w:rsidRPr="002360E5">
        <w:rPr>
          <w:rFonts w:ascii="Times New Roman" w:hAnsi="Times New Roman"/>
          <w:color w:val="0F243E" w:themeColor="text2" w:themeShade="80"/>
          <w:sz w:val="26"/>
          <w:szCs w:val="26"/>
        </w:rPr>
        <w:t>: “</w:t>
      </w:r>
      <w:r w:rsidRPr="002360E5">
        <w:rPr>
          <w:rFonts w:ascii="Times New Roman" w:hAnsi="Times New Roman"/>
          <w:i/>
          <w:color w:val="0F243E" w:themeColor="text2" w:themeShade="80"/>
          <w:sz w:val="26"/>
          <w:szCs w:val="26"/>
        </w:rPr>
        <w:t xml:space="preserve">Ai sensi dell'articolo </w:t>
      </w:r>
      <w:hyperlink r:id="rId18" w:anchor="id=10LX0000824001ART13,__m=document" w:history="1">
        <w:r w:rsidRPr="002360E5">
          <w:rPr>
            <w:rFonts w:ascii="Times New Roman" w:hAnsi="Times New Roman"/>
            <w:color w:val="0F243E" w:themeColor="text2" w:themeShade="80"/>
            <w:sz w:val="26"/>
            <w:szCs w:val="26"/>
          </w:rPr>
          <w:t>1, comma 5</w:t>
        </w:r>
      </w:hyperlink>
      <w:r w:rsidRPr="002360E5">
        <w:rPr>
          <w:rFonts w:ascii="Times New Roman" w:hAnsi="Times New Roman"/>
          <w:i/>
          <w:color w:val="0F243E" w:themeColor="text2" w:themeShade="80"/>
          <w:sz w:val="26"/>
          <w:szCs w:val="26"/>
        </w:rPr>
        <w:t xml:space="preserve"> della </w:t>
      </w:r>
      <w:hyperlink r:id="rId19" w:anchor="id=10LX0000824001ART0,__m=document" w:history="1">
        <w:r w:rsidRPr="002360E5">
          <w:rPr>
            <w:rFonts w:ascii="Times New Roman" w:hAnsi="Times New Roman"/>
            <w:color w:val="0F243E" w:themeColor="text2" w:themeShade="80"/>
            <w:sz w:val="26"/>
            <w:szCs w:val="26"/>
          </w:rPr>
          <w:t>legge 28 gennaio 2016, n. 11</w:t>
        </w:r>
      </w:hyperlink>
      <w:r w:rsidRPr="002360E5">
        <w:rPr>
          <w:rFonts w:ascii="Times New Roman" w:hAnsi="Times New Roman"/>
          <w:i/>
          <w:color w:val="0F243E" w:themeColor="text2" w:themeShade="80"/>
          <w:sz w:val="26"/>
          <w:szCs w:val="26"/>
        </w:rPr>
        <w:t>, il Ministro delle infrastrutture e dei trasporti può adottare linee guida interpretative e di indirizzo, su proposta dell'ANAC, sentite le Commissioni parlamentari, per assicurare l'uniforme applicazione e interpretazione delle norme di cui al presente codice”</w:t>
      </w:r>
      <w:r w:rsidR="001F5264">
        <w:rPr>
          <w:rFonts w:ascii="Times New Roman" w:hAnsi="Times New Roman"/>
          <w:color w:val="0F243E" w:themeColor="text2" w:themeShade="80"/>
          <w:sz w:val="26"/>
          <w:szCs w:val="26"/>
        </w:rPr>
        <w:t>.</w:t>
      </w:r>
    </w:p>
    <w:p w:rsidR="00F013F9" w:rsidRPr="002360E5" w:rsidRDefault="00F013F9" w:rsidP="00596E5E">
      <w:pPr>
        <w:tabs>
          <w:tab w:val="left" w:pos="0"/>
        </w:tabs>
        <w:rPr>
          <w:rFonts w:ascii="Times New Roman" w:hAnsi="Times New Roman"/>
          <w:color w:val="0F243E" w:themeColor="text2" w:themeShade="80"/>
          <w:sz w:val="26"/>
          <w:szCs w:val="26"/>
        </w:rPr>
      </w:pPr>
      <w:bookmarkStart w:id="1" w:name="501"/>
      <w:r w:rsidRPr="002360E5">
        <w:rPr>
          <w:rFonts w:ascii="Times New Roman" w:hAnsi="Times New Roman"/>
          <w:color w:val="0F243E" w:themeColor="text2" w:themeShade="80"/>
          <w:sz w:val="26"/>
          <w:szCs w:val="26"/>
        </w:rPr>
        <w:t>Ma tale</w:t>
      </w:r>
      <w:r w:rsidR="00631C8B">
        <w:rPr>
          <w:rFonts w:ascii="Times New Roman" w:hAnsi="Times New Roman"/>
          <w:color w:val="0F243E" w:themeColor="text2" w:themeShade="80"/>
          <w:sz w:val="26"/>
          <w:szCs w:val="26"/>
        </w:rPr>
        <w:t xml:space="preserve"> ultima</w:t>
      </w:r>
      <w:r w:rsidRPr="002360E5">
        <w:rPr>
          <w:rFonts w:ascii="Times New Roman" w:hAnsi="Times New Roman"/>
          <w:color w:val="0F243E" w:themeColor="text2" w:themeShade="80"/>
          <w:sz w:val="26"/>
          <w:szCs w:val="26"/>
        </w:rPr>
        <w:t xml:space="preserve"> previsione, rimasta priva di applicazioni, è stata </w:t>
      </w:r>
      <w:bookmarkEnd w:id="1"/>
      <w:r w:rsidR="00AD4812">
        <w:rPr>
          <w:rFonts w:ascii="Times New Roman" w:hAnsi="Times New Roman"/>
          <w:color w:val="0F243E" w:themeColor="text2" w:themeShade="80"/>
          <w:sz w:val="26"/>
          <w:szCs w:val="26"/>
        </w:rPr>
        <w:t xml:space="preserve">definitivamente </w:t>
      </w:r>
      <w:r w:rsidRPr="002360E5">
        <w:rPr>
          <w:rFonts w:ascii="Times New Roman" w:hAnsi="Times New Roman"/>
          <w:color w:val="0F243E" w:themeColor="text2" w:themeShade="80"/>
          <w:sz w:val="26"/>
          <w:szCs w:val="26"/>
        </w:rPr>
        <w:t>abrogata dall'</w:t>
      </w:r>
      <w:hyperlink r:id="rId20" w:anchor="id=10LX0000848912ART138,__m=document" w:history="1">
        <w:r w:rsidRPr="002360E5">
          <w:rPr>
            <w:rFonts w:ascii="Times New Roman" w:hAnsi="Times New Roman"/>
            <w:color w:val="0F243E" w:themeColor="text2" w:themeShade="80"/>
            <w:sz w:val="26"/>
            <w:szCs w:val="26"/>
          </w:rPr>
          <w:t xml:space="preserve">art. 126, comma 1, lett. f), del </w:t>
        </w:r>
        <w:r w:rsidRPr="00AD4812">
          <w:rPr>
            <w:rFonts w:ascii="Times New Roman" w:hAnsi="Times New Roman"/>
            <w:i/>
            <w:color w:val="0F243E" w:themeColor="text2" w:themeShade="80"/>
            <w:sz w:val="26"/>
            <w:szCs w:val="26"/>
          </w:rPr>
          <w:t>decreto correttivo</w:t>
        </w:r>
        <w:r w:rsidRPr="002360E5">
          <w:rPr>
            <w:rFonts w:ascii="Times New Roman" w:hAnsi="Times New Roman"/>
            <w:color w:val="0F243E" w:themeColor="text2" w:themeShade="80"/>
            <w:sz w:val="26"/>
            <w:szCs w:val="26"/>
          </w:rPr>
          <w:t xml:space="preserve"> </w:t>
        </w:r>
        <w:r w:rsidR="00AD4812">
          <w:rPr>
            <w:rFonts w:ascii="Times New Roman" w:hAnsi="Times New Roman"/>
            <w:color w:val="0F243E" w:themeColor="text2" w:themeShade="80"/>
            <w:sz w:val="26"/>
            <w:szCs w:val="26"/>
          </w:rPr>
          <w:t xml:space="preserve">del codice, </w:t>
        </w:r>
        <w:r w:rsidRPr="002360E5">
          <w:rPr>
            <w:rFonts w:ascii="Times New Roman" w:hAnsi="Times New Roman"/>
            <w:color w:val="0F243E" w:themeColor="text2" w:themeShade="80"/>
            <w:sz w:val="26"/>
            <w:szCs w:val="26"/>
          </w:rPr>
          <w:t>di cui al D.Lgs. 19 aprile 2017, n. 56</w:t>
        </w:r>
      </w:hyperlink>
      <w:r w:rsidRPr="002360E5">
        <w:rPr>
          <w:rFonts w:ascii="Times New Roman" w:hAnsi="Times New Roman"/>
          <w:color w:val="0F243E" w:themeColor="text2" w:themeShade="80"/>
          <w:sz w:val="26"/>
          <w:szCs w:val="26"/>
        </w:rPr>
        <w:t>.</w:t>
      </w:r>
      <w:r w:rsidR="00E6394C">
        <w:rPr>
          <w:rFonts w:ascii="Times New Roman" w:hAnsi="Times New Roman"/>
          <w:color w:val="0F243E" w:themeColor="text2" w:themeShade="80"/>
          <w:sz w:val="26"/>
          <w:szCs w:val="26"/>
        </w:rPr>
        <w:t xml:space="preserve"> Pertanto, la sua importanza sistematica è ora venuta meno.</w:t>
      </w:r>
    </w:p>
    <w:p w:rsidR="00D46DBD" w:rsidRPr="002360E5" w:rsidRDefault="00D46DBD" w:rsidP="00596E5E">
      <w:pPr>
        <w:tabs>
          <w:tab w:val="left" w:pos="0"/>
        </w:tabs>
        <w:rPr>
          <w:rFonts w:ascii="Times New Roman" w:hAnsi="Times New Roman"/>
          <w:color w:val="0F243E" w:themeColor="text2" w:themeShade="80"/>
          <w:sz w:val="26"/>
          <w:szCs w:val="26"/>
        </w:rPr>
      </w:pPr>
    </w:p>
    <w:p w:rsidR="00D46DBD" w:rsidRPr="002360E5" w:rsidRDefault="008E4FB0" w:rsidP="00596E5E">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Pr>
          <w:rFonts w:ascii="Times New Roman" w:hAnsi="Times New Roman"/>
          <w:b/>
          <w:smallCaps/>
          <w:color w:val="0F243E" w:themeColor="text2" w:themeShade="80"/>
          <w:sz w:val="26"/>
          <w:szCs w:val="26"/>
        </w:rPr>
        <w:t xml:space="preserve">Dalla </w:t>
      </w:r>
      <w:r w:rsidRPr="005C0A84">
        <w:rPr>
          <w:rFonts w:ascii="Times New Roman" w:hAnsi="Times New Roman"/>
          <w:b/>
          <w:i/>
          <w:smallCaps/>
          <w:color w:val="0F243E" w:themeColor="text2" w:themeShade="80"/>
          <w:sz w:val="26"/>
          <w:szCs w:val="26"/>
        </w:rPr>
        <w:t>regolamentazione</w:t>
      </w:r>
      <w:r>
        <w:rPr>
          <w:rFonts w:ascii="Times New Roman" w:hAnsi="Times New Roman"/>
          <w:b/>
          <w:smallCaps/>
          <w:color w:val="0F243E" w:themeColor="text2" w:themeShade="80"/>
          <w:sz w:val="26"/>
          <w:szCs w:val="26"/>
        </w:rPr>
        <w:t xml:space="preserve"> alla </w:t>
      </w:r>
      <w:r w:rsidRPr="005C0A84">
        <w:rPr>
          <w:rFonts w:ascii="Times New Roman" w:hAnsi="Times New Roman"/>
          <w:b/>
          <w:i/>
          <w:smallCaps/>
          <w:color w:val="0F243E" w:themeColor="text2" w:themeShade="80"/>
          <w:sz w:val="26"/>
          <w:szCs w:val="26"/>
        </w:rPr>
        <w:t>regolazione</w:t>
      </w:r>
      <w:r>
        <w:rPr>
          <w:rFonts w:ascii="Times New Roman" w:hAnsi="Times New Roman"/>
          <w:b/>
          <w:smallCaps/>
          <w:color w:val="0F243E" w:themeColor="text2" w:themeShade="80"/>
          <w:sz w:val="26"/>
          <w:szCs w:val="26"/>
        </w:rPr>
        <w:t xml:space="preserve"> flessibile: </w:t>
      </w:r>
      <w:r w:rsidR="005C0A84">
        <w:rPr>
          <w:rFonts w:ascii="Times New Roman" w:hAnsi="Times New Roman"/>
          <w:b/>
          <w:smallCaps/>
          <w:color w:val="0F243E" w:themeColor="text2" w:themeShade="80"/>
          <w:sz w:val="26"/>
          <w:szCs w:val="26"/>
        </w:rPr>
        <w:t xml:space="preserve">le previsioni del codice </w:t>
      </w:r>
      <w:r w:rsidR="00B534B8" w:rsidRPr="002360E5">
        <w:rPr>
          <w:rFonts w:ascii="Times New Roman" w:hAnsi="Times New Roman"/>
          <w:b/>
          <w:smallCaps/>
          <w:color w:val="0F243E" w:themeColor="text2" w:themeShade="80"/>
          <w:sz w:val="26"/>
          <w:szCs w:val="26"/>
        </w:rPr>
        <w:t>n. 50/2016</w:t>
      </w:r>
      <w:r w:rsidR="00D46DBD" w:rsidRPr="002360E5">
        <w:rPr>
          <w:rFonts w:ascii="Times New Roman" w:hAnsi="Times New Roman"/>
          <w:b/>
          <w:smallCaps/>
          <w:color w:val="0F243E" w:themeColor="text2" w:themeShade="80"/>
          <w:sz w:val="26"/>
          <w:szCs w:val="26"/>
        </w:rPr>
        <w:t xml:space="preserve">. </w:t>
      </w:r>
    </w:p>
    <w:p w:rsidR="00F26834" w:rsidRPr="002360E5" w:rsidRDefault="008D6AD1"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L’attuazione </w:t>
      </w:r>
      <w:r w:rsidR="00D46DBD" w:rsidRPr="002360E5">
        <w:rPr>
          <w:rFonts w:ascii="Times New Roman" w:hAnsi="Times New Roman"/>
          <w:color w:val="0F243E" w:themeColor="text2" w:themeShade="80"/>
          <w:sz w:val="26"/>
          <w:szCs w:val="26"/>
        </w:rPr>
        <w:t>de</w:t>
      </w:r>
      <w:r w:rsidR="00F452DD" w:rsidRPr="002360E5">
        <w:rPr>
          <w:rFonts w:ascii="Times New Roman" w:hAnsi="Times New Roman"/>
          <w:color w:val="0F243E" w:themeColor="text2" w:themeShade="80"/>
          <w:sz w:val="26"/>
          <w:szCs w:val="26"/>
        </w:rPr>
        <w:t xml:space="preserve">i </w:t>
      </w:r>
      <w:r w:rsidR="00F02B97" w:rsidRPr="002360E5">
        <w:rPr>
          <w:rFonts w:ascii="Times New Roman" w:hAnsi="Times New Roman"/>
          <w:color w:val="0F243E" w:themeColor="text2" w:themeShade="80"/>
          <w:sz w:val="26"/>
          <w:szCs w:val="26"/>
        </w:rPr>
        <w:t xml:space="preserve">succinti </w:t>
      </w:r>
      <w:r w:rsidR="00F452DD" w:rsidRPr="002360E5">
        <w:rPr>
          <w:rFonts w:ascii="Times New Roman" w:hAnsi="Times New Roman"/>
          <w:color w:val="0F243E" w:themeColor="text2" w:themeShade="80"/>
          <w:sz w:val="26"/>
          <w:szCs w:val="26"/>
        </w:rPr>
        <w:t>principi stabiliti da</w:t>
      </w:r>
      <w:r w:rsidR="00D46DBD" w:rsidRPr="002360E5">
        <w:rPr>
          <w:rFonts w:ascii="Times New Roman" w:hAnsi="Times New Roman"/>
          <w:color w:val="0F243E" w:themeColor="text2" w:themeShade="80"/>
          <w:sz w:val="26"/>
          <w:szCs w:val="26"/>
        </w:rPr>
        <w:t xml:space="preserve">lla delega </w:t>
      </w:r>
      <w:r w:rsidR="00F452DD" w:rsidRPr="002360E5">
        <w:rPr>
          <w:rFonts w:ascii="Times New Roman" w:hAnsi="Times New Roman"/>
          <w:color w:val="0F243E" w:themeColor="text2" w:themeShade="80"/>
          <w:sz w:val="26"/>
          <w:szCs w:val="26"/>
        </w:rPr>
        <w:t xml:space="preserve">è compiuta </w:t>
      </w:r>
      <w:r w:rsidR="00D46DBD" w:rsidRPr="002360E5">
        <w:rPr>
          <w:rFonts w:ascii="Times New Roman" w:hAnsi="Times New Roman"/>
          <w:color w:val="0F243E" w:themeColor="text2" w:themeShade="80"/>
          <w:sz w:val="26"/>
          <w:szCs w:val="26"/>
        </w:rPr>
        <w:t>nel codice dei contratti pubblici (n</w:t>
      </w:r>
      <w:r w:rsidR="00F26834" w:rsidRPr="002360E5">
        <w:rPr>
          <w:rFonts w:ascii="Times New Roman" w:hAnsi="Times New Roman"/>
          <w:color w:val="0F243E" w:themeColor="text2" w:themeShade="80"/>
          <w:sz w:val="26"/>
          <w:szCs w:val="26"/>
        </w:rPr>
        <w:t>.</w:t>
      </w:r>
      <w:r w:rsidR="00D46DBD" w:rsidRPr="002360E5">
        <w:rPr>
          <w:rFonts w:ascii="Times New Roman" w:hAnsi="Times New Roman"/>
          <w:color w:val="0F243E" w:themeColor="text2" w:themeShade="80"/>
          <w:sz w:val="26"/>
          <w:szCs w:val="26"/>
        </w:rPr>
        <w:t xml:space="preserve"> 50/2016) </w:t>
      </w:r>
      <w:r w:rsidR="006F7387" w:rsidRPr="002360E5">
        <w:rPr>
          <w:rFonts w:ascii="Times New Roman" w:hAnsi="Times New Roman"/>
          <w:color w:val="0F243E" w:themeColor="text2" w:themeShade="80"/>
          <w:sz w:val="26"/>
          <w:szCs w:val="26"/>
        </w:rPr>
        <w:t>in un modo</w:t>
      </w:r>
      <w:r w:rsidR="00F02B97" w:rsidRPr="002360E5">
        <w:rPr>
          <w:rFonts w:ascii="Times New Roman" w:hAnsi="Times New Roman"/>
          <w:color w:val="0F243E" w:themeColor="text2" w:themeShade="80"/>
          <w:sz w:val="26"/>
          <w:szCs w:val="26"/>
        </w:rPr>
        <w:t xml:space="preserve"> piuttosto sintetico</w:t>
      </w:r>
      <w:r w:rsidR="006F7387" w:rsidRPr="002360E5">
        <w:rPr>
          <w:rFonts w:ascii="Times New Roman" w:hAnsi="Times New Roman"/>
          <w:color w:val="0F243E" w:themeColor="text2" w:themeShade="80"/>
          <w:sz w:val="26"/>
          <w:szCs w:val="26"/>
        </w:rPr>
        <w:t xml:space="preserve">, che si snoda </w:t>
      </w:r>
      <w:r w:rsidR="00F26834" w:rsidRPr="002360E5">
        <w:rPr>
          <w:rFonts w:ascii="Times New Roman" w:hAnsi="Times New Roman"/>
          <w:color w:val="0F243E" w:themeColor="text2" w:themeShade="80"/>
          <w:sz w:val="26"/>
          <w:szCs w:val="26"/>
        </w:rPr>
        <w:t>attraverso due</w:t>
      </w:r>
      <w:r w:rsidR="002657BF">
        <w:rPr>
          <w:rFonts w:ascii="Times New Roman" w:hAnsi="Times New Roman"/>
          <w:color w:val="0F243E" w:themeColor="text2" w:themeShade="80"/>
          <w:sz w:val="26"/>
          <w:szCs w:val="26"/>
        </w:rPr>
        <w:t>, formalmente</w:t>
      </w:r>
      <w:r w:rsidR="00F26834" w:rsidRPr="002360E5">
        <w:rPr>
          <w:rFonts w:ascii="Times New Roman" w:hAnsi="Times New Roman"/>
          <w:color w:val="0F243E" w:themeColor="text2" w:themeShade="80"/>
          <w:sz w:val="26"/>
          <w:szCs w:val="26"/>
        </w:rPr>
        <w:t xml:space="preserve"> </w:t>
      </w:r>
      <w:r w:rsidR="00F02B97" w:rsidRPr="002360E5">
        <w:rPr>
          <w:rFonts w:ascii="Times New Roman" w:hAnsi="Times New Roman"/>
          <w:color w:val="0F243E" w:themeColor="text2" w:themeShade="80"/>
          <w:sz w:val="26"/>
          <w:szCs w:val="26"/>
        </w:rPr>
        <w:t>brevi</w:t>
      </w:r>
      <w:r w:rsidR="002657BF">
        <w:rPr>
          <w:rFonts w:ascii="Times New Roman" w:hAnsi="Times New Roman"/>
          <w:color w:val="0F243E" w:themeColor="text2" w:themeShade="80"/>
          <w:sz w:val="26"/>
          <w:szCs w:val="26"/>
        </w:rPr>
        <w:t>,</w:t>
      </w:r>
      <w:r w:rsidR="00F02B97" w:rsidRPr="002360E5">
        <w:rPr>
          <w:rFonts w:ascii="Times New Roman" w:hAnsi="Times New Roman"/>
          <w:color w:val="0F243E" w:themeColor="text2" w:themeShade="80"/>
          <w:sz w:val="26"/>
          <w:szCs w:val="26"/>
        </w:rPr>
        <w:t xml:space="preserve"> </w:t>
      </w:r>
      <w:r w:rsidR="00F26834" w:rsidRPr="002360E5">
        <w:rPr>
          <w:rFonts w:ascii="Times New Roman" w:hAnsi="Times New Roman"/>
          <w:color w:val="0F243E" w:themeColor="text2" w:themeShade="80"/>
          <w:sz w:val="26"/>
          <w:szCs w:val="26"/>
        </w:rPr>
        <w:t>passaggi</w:t>
      </w:r>
      <w:r w:rsidR="00F02B97" w:rsidRPr="002360E5">
        <w:rPr>
          <w:rFonts w:ascii="Times New Roman" w:hAnsi="Times New Roman"/>
          <w:color w:val="0F243E" w:themeColor="text2" w:themeShade="80"/>
          <w:sz w:val="26"/>
          <w:szCs w:val="26"/>
        </w:rPr>
        <w:t>.</w:t>
      </w:r>
    </w:p>
    <w:p w:rsidR="00F26834" w:rsidRPr="002360E5" w:rsidRDefault="006F7387" w:rsidP="00596E5E">
      <w:pPr>
        <w:pStyle w:val="Paragrafoelenco"/>
        <w:numPr>
          <w:ilvl w:val="0"/>
          <w:numId w:val="15"/>
        </w:numPr>
        <w:tabs>
          <w:tab w:val="left" w:pos="0"/>
        </w:tabs>
        <w:ind w:left="0" w:firstLine="709"/>
        <w:rPr>
          <w:rFonts w:ascii="Times New Roman" w:hAnsi="Times New Roman"/>
          <w:b/>
          <w:color w:val="0F243E" w:themeColor="text2" w:themeShade="80"/>
          <w:sz w:val="26"/>
          <w:szCs w:val="26"/>
        </w:rPr>
      </w:pPr>
      <w:r w:rsidRPr="002360E5">
        <w:rPr>
          <w:rFonts w:ascii="Times New Roman" w:hAnsi="Times New Roman"/>
          <w:color w:val="0F243E" w:themeColor="text2" w:themeShade="80"/>
          <w:sz w:val="26"/>
          <w:szCs w:val="26"/>
        </w:rPr>
        <w:t xml:space="preserve">Anzitutto, vi è una complessa </w:t>
      </w:r>
      <w:r w:rsidR="00F26834" w:rsidRPr="002360E5">
        <w:rPr>
          <w:rFonts w:ascii="Times New Roman" w:hAnsi="Times New Roman"/>
          <w:color w:val="0F243E" w:themeColor="text2" w:themeShade="80"/>
          <w:sz w:val="26"/>
          <w:szCs w:val="26"/>
        </w:rPr>
        <w:t>previsione generale, costituita,</w:t>
      </w:r>
      <w:r w:rsidR="00D46DBD" w:rsidRPr="002360E5">
        <w:rPr>
          <w:rFonts w:ascii="Times New Roman" w:hAnsi="Times New Roman"/>
          <w:color w:val="0F243E" w:themeColor="text2" w:themeShade="80"/>
          <w:sz w:val="26"/>
          <w:szCs w:val="26"/>
        </w:rPr>
        <w:t xml:space="preserve"> essenzialmente</w:t>
      </w:r>
      <w:r w:rsidR="002657BF">
        <w:rPr>
          <w:rFonts w:ascii="Times New Roman" w:hAnsi="Times New Roman"/>
          <w:color w:val="0F243E" w:themeColor="text2" w:themeShade="80"/>
          <w:sz w:val="26"/>
          <w:szCs w:val="26"/>
        </w:rPr>
        <w:t xml:space="preserve">, </w:t>
      </w:r>
      <w:r w:rsidR="002657BF" w:rsidRPr="002657BF">
        <w:rPr>
          <w:rFonts w:ascii="Times New Roman" w:hAnsi="Times New Roman"/>
          <w:color w:val="0F243E" w:themeColor="text2" w:themeShade="80"/>
          <w:sz w:val="26"/>
          <w:szCs w:val="26"/>
        </w:rPr>
        <w:t>da</w:t>
      </w:r>
      <w:r w:rsidR="00D46DBD" w:rsidRPr="002657BF">
        <w:rPr>
          <w:rFonts w:ascii="Times New Roman" w:hAnsi="Times New Roman"/>
          <w:color w:val="0F243E" w:themeColor="text2" w:themeShade="80"/>
          <w:sz w:val="26"/>
          <w:szCs w:val="26"/>
        </w:rPr>
        <w:t>ll’art. 213, comma 2</w:t>
      </w:r>
      <w:r w:rsidR="00067512" w:rsidRPr="002360E5">
        <w:rPr>
          <w:rFonts w:ascii="Times New Roman" w:hAnsi="Times New Roman"/>
          <w:color w:val="0F243E" w:themeColor="text2" w:themeShade="80"/>
          <w:sz w:val="26"/>
          <w:szCs w:val="26"/>
        </w:rPr>
        <w:t>. La disposizione è</w:t>
      </w:r>
      <w:r w:rsidRPr="002360E5">
        <w:rPr>
          <w:rFonts w:ascii="Times New Roman" w:hAnsi="Times New Roman"/>
          <w:color w:val="0F243E" w:themeColor="text2" w:themeShade="80"/>
          <w:sz w:val="26"/>
          <w:szCs w:val="26"/>
        </w:rPr>
        <w:t xml:space="preserve"> de</w:t>
      </w:r>
      <w:r w:rsidR="001447FA" w:rsidRPr="002360E5">
        <w:rPr>
          <w:rFonts w:ascii="Times New Roman" w:hAnsi="Times New Roman"/>
          <w:color w:val="0F243E" w:themeColor="text2" w:themeShade="80"/>
          <w:sz w:val="26"/>
          <w:szCs w:val="26"/>
        </w:rPr>
        <w:t>stin</w:t>
      </w:r>
      <w:r w:rsidRPr="002360E5">
        <w:rPr>
          <w:rFonts w:ascii="Times New Roman" w:hAnsi="Times New Roman"/>
          <w:color w:val="0F243E" w:themeColor="text2" w:themeShade="80"/>
          <w:sz w:val="26"/>
          <w:szCs w:val="26"/>
        </w:rPr>
        <w:t>at</w:t>
      </w:r>
      <w:r w:rsidR="00067512" w:rsidRPr="002360E5">
        <w:rPr>
          <w:rFonts w:ascii="Times New Roman" w:hAnsi="Times New Roman"/>
          <w:color w:val="0F243E" w:themeColor="text2" w:themeShade="80"/>
          <w:sz w:val="26"/>
          <w:szCs w:val="26"/>
        </w:rPr>
        <w:t>a</w:t>
      </w:r>
      <w:r w:rsidRPr="002360E5">
        <w:rPr>
          <w:rFonts w:ascii="Times New Roman" w:hAnsi="Times New Roman"/>
          <w:color w:val="0F243E" w:themeColor="text2" w:themeShade="80"/>
          <w:sz w:val="26"/>
          <w:szCs w:val="26"/>
        </w:rPr>
        <w:t xml:space="preserve"> a delineare i poteri generali di intervento dell’ANAC</w:t>
      </w:r>
      <w:r w:rsidR="00067512" w:rsidRPr="002360E5">
        <w:rPr>
          <w:rFonts w:ascii="Times New Roman" w:hAnsi="Times New Roman"/>
          <w:b/>
          <w:color w:val="0F243E" w:themeColor="text2" w:themeShade="80"/>
          <w:sz w:val="26"/>
          <w:szCs w:val="26"/>
        </w:rPr>
        <w:t>.</w:t>
      </w:r>
    </w:p>
    <w:p w:rsidR="00D46DBD" w:rsidRPr="002360E5" w:rsidRDefault="006F7387" w:rsidP="00596E5E">
      <w:pPr>
        <w:pStyle w:val="Paragrafoelenco"/>
        <w:numPr>
          <w:ilvl w:val="0"/>
          <w:numId w:val="15"/>
        </w:numPr>
        <w:tabs>
          <w:tab w:val="left" w:pos="0"/>
        </w:tabs>
        <w:ind w:left="0" w:firstLine="709"/>
        <w:rPr>
          <w:rFonts w:ascii="Times New Roman" w:hAnsi="Times New Roman"/>
          <w:b/>
          <w:color w:val="0F243E" w:themeColor="text2" w:themeShade="80"/>
          <w:sz w:val="26"/>
          <w:szCs w:val="26"/>
        </w:rPr>
      </w:pPr>
      <w:r w:rsidRPr="002360E5">
        <w:rPr>
          <w:rFonts w:ascii="Times New Roman" w:hAnsi="Times New Roman"/>
          <w:color w:val="0F243E" w:themeColor="text2" w:themeShade="80"/>
          <w:sz w:val="26"/>
          <w:szCs w:val="26"/>
        </w:rPr>
        <w:t xml:space="preserve">Disseminate nel codice, poi, </w:t>
      </w:r>
      <w:r w:rsidR="001447FA" w:rsidRPr="002360E5">
        <w:rPr>
          <w:rFonts w:ascii="Times New Roman" w:hAnsi="Times New Roman"/>
          <w:color w:val="0F243E" w:themeColor="text2" w:themeShade="80"/>
          <w:sz w:val="26"/>
          <w:szCs w:val="26"/>
        </w:rPr>
        <w:t xml:space="preserve">vi sono numerose </w:t>
      </w:r>
      <w:r w:rsidR="00F26834" w:rsidRPr="002360E5">
        <w:rPr>
          <w:rFonts w:ascii="Times New Roman" w:hAnsi="Times New Roman"/>
          <w:color w:val="0F243E" w:themeColor="text2" w:themeShade="80"/>
          <w:sz w:val="26"/>
          <w:szCs w:val="26"/>
        </w:rPr>
        <w:t>disposizioni speciali che contemplano</w:t>
      </w:r>
      <w:r w:rsidR="00067512" w:rsidRPr="002360E5">
        <w:rPr>
          <w:rFonts w:ascii="Times New Roman" w:hAnsi="Times New Roman"/>
          <w:color w:val="0F243E" w:themeColor="text2" w:themeShade="80"/>
          <w:sz w:val="26"/>
          <w:szCs w:val="26"/>
        </w:rPr>
        <w:t xml:space="preserve"> le singole</w:t>
      </w:r>
      <w:r w:rsidR="00F26834" w:rsidRPr="002360E5">
        <w:rPr>
          <w:rFonts w:ascii="Times New Roman" w:hAnsi="Times New Roman"/>
          <w:color w:val="0F243E" w:themeColor="text2" w:themeShade="80"/>
          <w:sz w:val="26"/>
          <w:szCs w:val="26"/>
        </w:rPr>
        <w:t xml:space="preserve"> ipotesi di intervento regolatorio di attuazione</w:t>
      </w:r>
      <w:r w:rsidR="001447FA" w:rsidRPr="002360E5">
        <w:rPr>
          <w:rFonts w:ascii="Times New Roman" w:hAnsi="Times New Roman"/>
          <w:color w:val="0F243E" w:themeColor="text2" w:themeShade="80"/>
          <w:sz w:val="26"/>
          <w:szCs w:val="26"/>
        </w:rPr>
        <w:t>. Tali norme presentano c</w:t>
      </w:r>
      <w:r w:rsidR="00E97E0D">
        <w:rPr>
          <w:rFonts w:ascii="Times New Roman" w:hAnsi="Times New Roman"/>
          <w:color w:val="0F243E" w:themeColor="text2" w:themeShade="80"/>
          <w:sz w:val="26"/>
          <w:szCs w:val="26"/>
        </w:rPr>
        <w:t>ontenuto e fisionomia eterogenei</w:t>
      </w:r>
      <w:r w:rsidR="001447FA" w:rsidRPr="002360E5">
        <w:rPr>
          <w:rFonts w:ascii="Times New Roman" w:hAnsi="Times New Roman"/>
          <w:color w:val="0F243E" w:themeColor="text2" w:themeShade="80"/>
          <w:sz w:val="26"/>
          <w:szCs w:val="26"/>
        </w:rPr>
        <w:t xml:space="preserve"> e omettono un puntuale richiamo all’art. 213</w:t>
      </w:r>
      <w:r w:rsidR="00D46DBD" w:rsidRPr="002360E5">
        <w:rPr>
          <w:rFonts w:ascii="Times New Roman" w:hAnsi="Times New Roman"/>
          <w:b/>
          <w:color w:val="0F243E" w:themeColor="text2" w:themeShade="80"/>
          <w:sz w:val="26"/>
          <w:szCs w:val="26"/>
        </w:rPr>
        <w:t>.</w:t>
      </w:r>
    </w:p>
    <w:p w:rsidR="00B534B8" w:rsidRPr="002360E5" w:rsidRDefault="00B534B8"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 disposizione generale si limita</w:t>
      </w:r>
      <w:r w:rsidR="00DA1DD0" w:rsidRPr="002360E5">
        <w:rPr>
          <w:rFonts w:ascii="Times New Roman" w:hAnsi="Times New Roman"/>
          <w:color w:val="0F243E" w:themeColor="text2" w:themeShade="80"/>
          <w:sz w:val="26"/>
          <w:szCs w:val="26"/>
        </w:rPr>
        <w:t>, peraltro,</w:t>
      </w:r>
      <w:r w:rsidRPr="002360E5">
        <w:rPr>
          <w:rFonts w:ascii="Times New Roman" w:hAnsi="Times New Roman"/>
          <w:color w:val="0F243E" w:themeColor="text2" w:themeShade="80"/>
          <w:sz w:val="26"/>
          <w:szCs w:val="26"/>
        </w:rPr>
        <w:t xml:space="preserve"> ad una </w:t>
      </w:r>
      <w:r w:rsidR="00DA1DD0" w:rsidRPr="002360E5">
        <w:rPr>
          <w:rFonts w:ascii="Times New Roman" w:hAnsi="Times New Roman"/>
          <w:color w:val="0F243E" w:themeColor="text2" w:themeShade="80"/>
          <w:sz w:val="26"/>
          <w:szCs w:val="26"/>
        </w:rPr>
        <w:t xml:space="preserve">deludente </w:t>
      </w:r>
      <w:r w:rsidRPr="002360E5">
        <w:rPr>
          <w:rFonts w:ascii="Times New Roman" w:hAnsi="Times New Roman"/>
          <w:color w:val="0F243E" w:themeColor="text2" w:themeShade="80"/>
          <w:sz w:val="26"/>
          <w:szCs w:val="26"/>
        </w:rPr>
        <w:t>enunciazione</w:t>
      </w:r>
      <w:r w:rsidR="003D1B43">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mol</w:t>
      </w:r>
      <w:r w:rsidR="006479D9" w:rsidRPr="002360E5">
        <w:rPr>
          <w:rFonts w:ascii="Times New Roman" w:hAnsi="Times New Roman"/>
          <w:color w:val="0F243E" w:themeColor="text2" w:themeShade="80"/>
          <w:sz w:val="26"/>
          <w:szCs w:val="26"/>
        </w:rPr>
        <w:t>t</w:t>
      </w:r>
      <w:r w:rsidRPr="002360E5">
        <w:rPr>
          <w:rFonts w:ascii="Times New Roman" w:hAnsi="Times New Roman"/>
          <w:color w:val="0F243E" w:themeColor="text2" w:themeShade="80"/>
          <w:sz w:val="26"/>
          <w:szCs w:val="26"/>
        </w:rPr>
        <w:t xml:space="preserve">o </w:t>
      </w:r>
      <w:r w:rsidR="003C54FE" w:rsidRPr="002360E5">
        <w:rPr>
          <w:rFonts w:ascii="Times New Roman" w:hAnsi="Times New Roman"/>
          <w:color w:val="0F243E" w:themeColor="text2" w:themeShade="80"/>
          <w:sz w:val="26"/>
          <w:szCs w:val="26"/>
        </w:rPr>
        <w:t>s</w:t>
      </w:r>
      <w:r w:rsidR="006479D9" w:rsidRPr="002360E5">
        <w:rPr>
          <w:rFonts w:ascii="Times New Roman" w:hAnsi="Times New Roman"/>
          <w:color w:val="0F243E" w:themeColor="text2" w:themeShade="80"/>
          <w:sz w:val="26"/>
          <w:szCs w:val="26"/>
        </w:rPr>
        <w:t>ommaria</w:t>
      </w:r>
      <w:r w:rsidR="003C54FE" w:rsidRPr="002360E5">
        <w:rPr>
          <w:rFonts w:ascii="Times New Roman" w:hAnsi="Times New Roman"/>
          <w:color w:val="0F243E" w:themeColor="text2" w:themeShade="80"/>
          <w:sz w:val="26"/>
          <w:szCs w:val="26"/>
        </w:rPr>
        <w:t>, che ribadisce la titolarità della funzione</w:t>
      </w:r>
      <w:r w:rsidR="00DA1DD0" w:rsidRPr="002360E5">
        <w:rPr>
          <w:rFonts w:ascii="Times New Roman" w:hAnsi="Times New Roman"/>
          <w:color w:val="0F243E" w:themeColor="text2" w:themeShade="80"/>
          <w:sz w:val="26"/>
          <w:szCs w:val="26"/>
        </w:rPr>
        <w:t xml:space="preserve"> </w:t>
      </w:r>
      <w:r w:rsidR="006520A2" w:rsidRPr="002360E5">
        <w:rPr>
          <w:rFonts w:ascii="Times New Roman" w:hAnsi="Times New Roman"/>
          <w:color w:val="0F243E" w:themeColor="text2" w:themeShade="80"/>
          <w:sz w:val="26"/>
          <w:szCs w:val="26"/>
        </w:rPr>
        <w:t xml:space="preserve">regolatoria </w:t>
      </w:r>
      <w:r w:rsidR="00DA1DD0" w:rsidRPr="002360E5">
        <w:rPr>
          <w:rFonts w:ascii="Times New Roman" w:hAnsi="Times New Roman"/>
          <w:color w:val="0F243E" w:themeColor="text2" w:themeShade="80"/>
          <w:sz w:val="26"/>
          <w:szCs w:val="26"/>
        </w:rPr>
        <w:t>in capo all’ANAC</w:t>
      </w:r>
      <w:r w:rsidR="003C54FE" w:rsidRPr="002360E5">
        <w:rPr>
          <w:rFonts w:ascii="Times New Roman" w:hAnsi="Times New Roman"/>
          <w:color w:val="0F243E" w:themeColor="text2" w:themeShade="80"/>
          <w:sz w:val="26"/>
          <w:szCs w:val="26"/>
        </w:rPr>
        <w:t>, ma non sviluppa</w:t>
      </w:r>
      <w:r w:rsidR="00A47C5F">
        <w:rPr>
          <w:rFonts w:ascii="Times New Roman" w:hAnsi="Times New Roman"/>
          <w:color w:val="0F243E" w:themeColor="text2" w:themeShade="80"/>
          <w:sz w:val="26"/>
          <w:szCs w:val="26"/>
        </w:rPr>
        <w:t xml:space="preserve"> la disciplina</w:t>
      </w:r>
      <w:r w:rsidR="003C54FE" w:rsidRPr="002360E5">
        <w:rPr>
          <w:rFonts w:ascii="Times New Roman" w:hAnsi="Times New Roman"/>
          <w:color w:val="0F243E" w:themeColor="text2" w:themeShade="80"/>
          <w:sz w:val="26"/>
          <w:szCs w:val="26"/>
        </w:rPr>
        <w:t xml:space="preserve"> </w:t>
      </w:r>
      <w:r w:rsidR="00A47C5F">
        <w:rPr>
          <w:rFonts w:ascii="Times New Roman" w:hAnsi="Times New Roman"/>
          <w:color w:val="0F243E" w:themeColor="text2" w:themeShade="80"/>
          <w:sz w:val="26"/>
          <w:szCs w:val="26"/>
        </w:rPr>
        <w:t>de</w:t>
      </w:r>
      <w:r w:rsidR="00E82AF9" w:rsidRPr="002360E5">
        <w:rPr>
          <w:rFonts w:ascii="Times New Roman" w:hAnsi="Times New Roman"/>
          <w:color w:val="0F243E" w:themeColor="text2" w:themeShade="80"/>
          <w:sz w:val="26"/>
          <w:szCs w:val="26"/>
        </w:rPr>
        <w:t>l loro oggetto</w:t>
      </w:r>
      <w:r w:rsidR="00A47C5F">
        <w:rPr>
          <w:rFonts w:ascii="Times New Roman" w:hAnsi="Times New Roman"/>
          <w:color w:val="0F243E" w:themeColor="text2" w:themeShade="80"/>
          <w:sz w:val="26"/>
          <w:szCs w:val="26"/>
        </w:rPr>
        <w:t xml:space="preserve"> e</w:t>
      </w:r>
      <w:r w:rsidR="003C54FE" w:rsidRPr="002360E5">
        <w:rPr>
          <w:rFonts w:ascii="Times New Roman" w:hAnsi="Times New Roman"/>
          <w:color w:val="0F243E" w:themeColor="text2" w:themeShade="80"/>
          <w:sz w:val="26"/>
          <w:szCs w:val="26"/>
        </w:rPr>
        <w:t xml:space="preserve"> </w:t>
      </w:r>
      <w:r w:rsidR="00A47C5F">
        <w:rPr>
          <w:rFonts w:ascii="Times New Roman" w:hAnsi="Times New Roman"/>
          <w:color w:val="0F243E" w:themeColor="text2" w:themeShade="80"/>
          <w:sz w:val="26"/>
          <w:szCs w:val="26"/>
        </w:rPr>
        <w:t>del</w:t>
      </w:r>
      <w:r w:rsidR="003C54FE" w:rsidRPr="002360E5">
        <w:rPr>
          <w:rFonts w:ascii="Times New Roman" w:hAnsi="Times New Roman"/>
          <w:color w:val="0F243E" w:themeColor="text2" w:themeShade="80"/>
          <w:sz w:val="26"/>
          <w:szCs w:val="26"/>
        </w:rPr>
        <w:t>l</w:t>
      </w:r>
      <w:r w:rsidR="00E82AF9" w:rsidRPr="002360E5">
        <w:rPr>
          <w:rFonts w:ascii="Times New Roman" w:hAnsi="Times New Roman"/>
          <w:color w:val="0F243E" w:themeColor="text2" w:themeShade="80"/>
          <w:sz w:val="26"/>
          <w:szCs w:val="26"/>
        </w:rPr>
        <w:t>a loro e</w:t>
      </w:r>
      <w:r w:rsidR="00A47C5F">
        <w:rPr>
          <w:rFonts w:ascii="Times New Roman" w:hAnsi="Times New Roman"/>
          <w:color w:val="0F243E" w:themeColor="text2" w:themeShade="80"/>
          <w:sz w:val="26"/>
          <w:szCs w:val="26"/>
        </w:rPr>
        <w:t>fficacia, limitandosi a incompleti riferimenti a</w:t>
      </w:r>
      <w:r w:rsidR="00E97E0D" w:rsidRPr="002360E5">
        <w:rPr>
          <w:rFonts w:ascii="Times New Roman" w:hAnsi="Times New Roman"/>
          <w:color w:val="0F243E" w:themeColor="text2" w:themeShade="80"/>
          <w:sz w:val="26"/>
          <w:szCs w:val="26"/>
        </w:rPr>
        <w:t>l procedimento di formazione degli atti</w:t>
      </w:r>
    </w:p>
    <w:p w:rsidR="00D46DBD" w:rsidRPr="002360E5" w:rsidRDefault="00DA1DD0" w:rsidP="00596E5E">
      <w:pPr>
        <w:tabs>
          <w:tab w:val="left" w:pos="0"/>
        </w:tabs>
        <w:rPr>
          <w:rFonts w:ascii="Times New Roman" w:hAnsi="Times New Roman"/>
          <w:color w:val="0F243E" w:themeColor="text2" w:themeShade="80"/>
          <w:sz w:val="26"/>
          <w:szCs w:val="26"/>
          <w:lang w:eastAsia="it-IT"/>
        </w:rPr>
      </w:pPr>
      <w:r w:rsidRPr="002360E5">
        <w:rPr>
          <w:rFonts w:ascii="Times New Roman" w:hAnsi="Times New Roman"/>
          <w:color w:val="0F243E" w:themeColor="text2" w:themeShade="80"/>
          <w:sz w:val="26"/>
          <w:szCs w:val="26"/>
          <w:lang w:eastAsia="it-IT"/>
        </w:rPr>
        <w:t>Secondo la citata disposizione</w:t>
      </w:r>
      <w:r w:rsidR="00E82AF9" w:rsidRPr="002360E5">
        <w:rPr>
          <w:rFonts w:ascii="Times New Roman" w:hAnsi="Times New Roman"/>
          <w:color w:val="0F243E" w:themeColor="text2" w:themeShade="80"/>
          <w:sz w:val="26"/>
          <w:szCs w:val="26"/>
          <w:lang w:eastAsia="it-IT"/>
        </w:rPr>
        <w:t xml:space="preserve"> del codice</w:t>
      </w:r>
      <w:r w:rsidR="003D1B43">
        <w:rPr>
          <w:rFonts w:ascii="Times New Roman" w:hAnsi="Times New Roman"/>
          <w:color w:val="0F243E" w:themeColor="text2" w:themeShade="80"/>
          <w:sz w:val="26"/>
          <w:szCs w:val="26"/>
          <w:lang w:eastAsia="it-IT"/>
        </w:rPr>
        <w:t xml:space="preserve"> (art. 213, co. 2)</w:t>
      </w:r>
      <w:r w:rsidRPr="002360E5">
        <w:rPr>
          <w:rFonts w:ascii="Times New Roman" w:hAnsi="Times New Roman"/>
          <w:color w:val="0F243E" w:themeColor="text2" w:themeShade="80"/>
          <w:sz w:val="26"/>
          <w:szCs w:val="26"/>
          <w:lang w:eastAsia="it-IT"/>
        </w:rPr>
        <w:t xml:space="preserve">, </w:t>
      </w:r>
      <w:r w:rsidR="00E82AF9" w:rsidRPr="002360E5">
        <w:rPr>
          <w:rFonts w:ascii="Times New Roman" w:hAnsi="Times New Roman"/>
          <w:color w:val="0F243E" w:themeColor="text2" w:themeShade="80"/>
          <w:sz w:val="26"/>
          <w:szCs w:val="26"/>
          <w:lang w:eastAsia="it-IT"/>
        </w:rPr>
        <w:t xml:space="preserve">infatti, </w:t>
      </w:r>
      <w:r w:rsidR="00D46DBD" w:rsidRPr="002360E5">
        <w:rPr>
          <w:rFonts w:ascii="Times New Roman" w:hAnsi="Times New Roman"/>
          <w:color w:val="0F243E" w:themeColor="text2" w:themeShade="80"/>
          <w:sz w:val="26"/>
          <w:szCs w:val="26"/>
          <w:lang w:eastAsia="it-IT"/>
        </w:rPr>
        <w:t>“</w:t>
      </w:r>
      <w:r w:rsidR="00D46DBD" w:rsidRPr="00F655EF">
        <w:rPr>
          <w:rFonts w:ascii="Times New Roman" w:hAnsi="Times New Roman"/>
          <w:i/>
          <w:color w:val="0F243E" w:themeColor="text2" w:themeShade="80"/>
          <w:sz w:val="26"/>
          <w:szCs w:val="26"/>
          <w:lang w:eastAsia="it-IT"/>
        </w:rPr>
        <w:t>L'ANAC, attraverso linee guida, bandi-tipo, capitolati-tipo, contratti-tipo ed altri strumenti di regolazione flessibile, comunque denominati, garantisce la promozione dell'efficienza, della qualità dell'attività delle stazioni appaltanti, cui fornisce supporto anche facilitando lo scambio di informazioni e la omogeneità dei procedimenti amministrativi e favorisce lo sviluppo delle migliori pratiche.</w:t>
      </w:r>
      <w:r w:rsidR="00D46DBD" w:rsidRPr="002360E5">
        <w:rPr>
          <w:rFonts w:ascii="Times New Roman" w:hAnsi="Times New Roman"/>
          <w:color w:val="0F243E" w:themeColor="text2" w:themeShade="80"/>
          <w:sz w:val="26"/>
          <w:szCs w:val="26"/>
          <w:lang w:eastAsia="it-IT"/>
        </w:rPr>
        <w:t>”</w:t>
      </w:r>
    </w:p>
    <w:p w:rsidR="005454D4" w:rsidRPr="002360E5" w:rsidRDefault="001A7084"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Evidentemente, il </w:t>
      </w:r>
      <w:r w:rsidR="00D46DBD" w:rsidRPr="002360E5">
        <w:rPr>
          <w:rFonts w:ascii="Times New Roman" w:hAnsi="Times New Roman"/>
          <w:color w:val="0F243E" w:themeColor="text2" w:themeShade="80"/>
          <w:sz w:val="26"/>
          <w:szCs w:val="26"/>
        </w:rPr>
        <w:t>codice non compie, in questa disposizione, uno sviluppo formale particolarmente significativo delle norma della delega</w:t>
      </w:r>
      <w:r w:rsidR="008D6AD1" w:rsidRPr="002360E5">
        <w:rPr>
          <w:rFonts w:ascii="Times New Roman" w:hAnsi="Times New Roman"/>
          <w:color w:val="0F243E" w:themeColor="text2" w:themeShade="80"/>
          <w:sz w:val="26"/>
          <w:szCs w:val="26"/>
        </w:rPr>
        <w:t>, che risulta riprodotta quasi pedissequamente</w:t>
      </w:r>
      <w:r w:rsidR="005454D4" w:rsidRPr="002360E5">
        <w:rPr>
          <w:rFonts w:ascii="Times New Roman" w:hAnsi="Times New Roman"/>
          <w:color w:val="0F243E" w:themeColor="text2" w:themeShade="80"/>
          <w:sz w:val="26"/>
          <w:szCs w:val="26"/>
        </w:rPr>
        <w:t>.</w:t>
      </w:r>
    </w:p>
    <w:p w:rsidR="00C0683F"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Sarebbe stata </w:t>
      </w:r>
      <w:r w:rsidR="005454D4" w:rsidRPr="002360E5">
        <w:rPr>
          <w:rFonts w:ascii="Times New Roman" w:hAnsi="Times New Roman"/>
          <w:color w:val="0F243E" w:themeColor="text2" w:themeShade="80"/>
          <w:sz w:val="26"/>
          <w:szCs w:val="26"/>
        </w:rPr>
        <w:t xml:space="preserve">certamente </w:t>
      </w:r>
      <w:r w:rsidRPr="002360E5">
        <w:rPr>
          <w:rFonts w:ascii="Times New Roman" w:hAnsi="Times New Roman"/>
          <w:color w:val="0F243E" w:themeColor="text2" w:themeShade="80"/>
          <w:sz w:val="26"/>
          <w:szCs w:val="26"/>
        </w:rPr>
        <w:t>auspicabile una precisazione più chiara e analitica dei poteri assegnati all’ANAC</w:t>
      </w:r>
      <w:r w:rsidR="008F0AD4" w:rsidRPr="002360E5">
        <w:rPr>
          <w:rFonts w:ascii="Times New Roman" w:hAnsi="Times New Roman"/>
          <w:color w:val="0F243E" w:themeColor="text2" w:themeShade="80"/>
          <w:sz w:val="26"/>
          <w:szCs w:val="26"/>
        </w:rPr>
        <w:t>, solo</w:t>
      </w:r>
      <w:r w:rsidRPr="002360E5">
        <w:rPr>
          <w:rFonts w:ascii="Times New Roman" w:hAnsi="Times New Roman"/>
          <w:color w:val="0F243E" w:themeColor="text2" w:themeShade="80"/>
          <w:sz w:val="26"/>
          <w:szCs w:val="26"/>
        </w:rPr>
        <w:t xml:space="preserve"> abbozzati dalla norma </w:t>
      </w:r>
      <w:r w:rsidR="008F0AD4" w:rsidRPr="002360E5">
        <w:rPr>
          <w:rFonts w:ascii="Times New Roman" w:hAnsi="Times New Roman"/>
          <w:color w:val="0F243E" w:themeColor="text2" w:themeShade="80"/>
          <w:sz w:val="26"/>
          <w:szCs w:val="26"/>
        </w:rPr>
        <w:t xml:space="preserve">di origine </w:t>
      </w:r>
      <w:r w:rsidRPr="002360E5">
        <w:rPr>
          <w:rFonts w:ascii="Times New Roman" w:hAnsi="Times New Roman"/>
          <w:color w:val="0F243E" w:themeColor="text2" w:themeShade="80"/>
          <w:sz w:val="26"/>
          <w:szCs w:val="26"/>
        </w:rPr>
        <w:t>parlamentare. Al contrario, la locuzione utilizzata nel codice conserva l’impostazione generale</w:t>
      </w:r>
      <w:r w:rsidR="001A7084" w:rsidRPr="002360E5">
        <w:rPr>
          <w:rFonts w:ascii="Times New Roman" w:hAnsi="Times New Roman"/>
          <w:color w:val="0F243E" w:themeColor="text2" w:themeShade="80"/>
          <w:sz w:val="26"/>
          <w:szCs w:val="26"/>
        </w:rPr>
        <w:t xml:space="preserve"> e approssimativa della delega</w:t>
      </w:r>
      <w:r w:rsidRPr="002360E5">
        <w:rPr>
          <w:rFonts w:ascii="Times New Roman" w:hAnsi="Times New Roman"/>
          <w:color w:val="0F243E" w:themeColor="text2" w:themeShade="80"/>
          <w:sz w:val="26"/>
          <w:szCs w:val="26"/>
        </w:rPr>
        <w:t xml:space="preserve">, </w:t>
      </w:r>
      <w:r w:rsidR="005454D4" w:rsidRPr="002360E5">
        <w:rPr>
          <w:rFonts w:ascii="Times New Roman" w:hAnsi="Times New Roman"/>
          <w:color w:val="0F243E" w:themeColor="text2" w:themeShade="80"/>
          <w:sz w:val="26"/>
          <w:szCs w:val="26"/>
        </w:rPr>
        <w:t xml:space="preserve">ribadendone </w:t>
      </w:r>
      <w:r w:rsidR="00EE04D3" w:rsidRPr="002360E5">
        <w:rPr>
          <w:rFonts w:ascii="Times New Roman" w:hAnsi="Times New Roman"/>
          <w:color w:val="0F243E" w:themeColor="text2" w:themeShade="80"/>
          <w:sz w:val="26"/>
          <w:szCs w:val="26"/>
        </w:rPr>
        <w:t>gli stessi</w:t>
      </w:r>
      <w:r w:rsidR="008F0AD4" w:rsidRPr="002360E5">
        <w:rPr>
          <w:rFonts w:ascii="Times New Roman" w:hAnsi="Times New Roman"/>
          <w:color w:val="0F243E" w:themeColor="text2" w:themeShade="80"/>
          <w:sz w:val="26"/>
          <w:szCs w:val="26"/>
        </w:rPr>
        <w:t xml:space="preserve"> contorni incerti</w:t>
      </w:r>
      <w:r w:rsidR="005454D4" w:rsidRPr="002360E5">
        <w:rPr>
          <w:rFonts w:ascii="Times New Roman" w:hAnsi="Times New Roman"/>
          <w:color w:val="0F243E" w:themeColor="text2" w:themeShade="80"/>
          <w:sz w:val="26"/>
          <w:szCs w:val="26"/>
        </w:rPr>
        <w:t xml:space="preserve"> e problematici</w:t>
      </w:r>
      <w:r w:rsidR="00C0683F" w:rsidRPr="002360E5">
        <w:rPr>
          <w:rFonts w:ascii="Times New Roman" w:hAnsi="Times New Roman"/>
          <w:color w:val="0F243E" w:themeColor="text2" w:themeShade="80"/>
          <w:sz w:val="26"/>
          <w:szCs w:val="26"/>
        </w:rPr>
        <w:t>.</w:t>
      </w:r>
    </w:p>
    <w:p w:rsidR="00D46DBD" w:rsidRPr="002360E5" w:rsidRDefault="00EE04D3"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Non solo</w:t>
      </w:r>
      <w:r w:rsidR="00C0683F" w:rsidRPr="002360E5">
        <w:rPr>
          <w:rFonts w:ascii="Times New Roman" w:hAnsi="Times New Roman"/>
          <w:color w:val="0F243E" w:themeColor="text2" w:themeShade="80"/>
          <w:sz w:val="26"/>
          <w:szCs w:val="26"/>
        </w:rPr>
        <w:t>,</w:t>
      </w:r>
      <w:r w:rsidR="008F0AD4" w:rsidRPr="002360E5">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 xml:space="preserve">ma </w:t>
      </w:r>
      <w:r w:rsidR="008F0AD4" w:rsidRPr="002360E5">
        <w:rPr>
          <w:rFonts w:ascii="Times New Roman" w:hAnsi="Times New Roman"/>
          <w:color w:val="0F243E" w:themeColor="text2" w:themeShade="80"/>
          <w:sz w:val="26"/>
          <w:szCs w:val="26"/>
        </w:rPr>
        <w:t>l’imprecisione</w:t>
      </w:r>
      <w:r w:rsidR="005454D4" w:rsidRPr="002360E5">
        <w:rPr>
          <w:rFonts w:ascii="Times New Roman" w:hAnsi="Times New Roman"/>
          <w:color w:val="0F243E" w:themeColor="text2" w:themeShade="80"/>
          <w:sz w:val="26"/>
          <w:szCs w:val="26"/>
        </w:rPr>
        <w:t xml:space="preserve"> definitoria</w:t>
      </w:r>
      <w:r w:rsidR="008F0AD4" w:rsidRPr="002360E5">
        <w:rPr>
          <w:rFonts w:ascii="Times New Roman" w:hAnsi="Times New Roman"/>
          <w:color w:val="0F243E" w:themeColor="text2" w:themeShade="80"/>
          <w:sz w:val="26"/>
          <w:szCs w:val="26"/>
        </w:rPr>
        <w:t xml:space="preserve"> è</w:t>
      </w:r>
      <w:r w:rsidR="00D46DBD" w:rsidRPr="002360E5">
        <w:rPr>
          <w:rFonts w:ascii="Times New Roman" w:hAnsi="Times New Roman"/>
          <w:color w:val="0F243E" w:themeColor="text2" w:themeShade="80"/>
          <w:sz w:val="26"/>
          <w:szCs w:val="26"/>
        </w:rPr>
        <w:t xml:space="preserve"> aggravata ulteriormente dalla circostanza che</w:t>
      </w:r>
      <w:r w:rsidR="00590A84" w:rsidRPr="002360E5">
        <w:rPr>
          <w:rFonts w:ascii="Times New Roman" w:hAnsi="Times New Roman"/>
          <w:color w:val="0F243E" w:themeColor="text2" w:themeShade="80"/>
          <w:sz w:val="26"/>
          <w:szCs w:val="26"/>
        </w:rPr>
        <w:t xml:space="preserve"> nell’art. 213</w:t>
      </w:r>
      <w:r w:rsidR="00D46DBD" w:rsidRPr="002360E5">
        <w:rPr>
          <w:rFonts w:ascii="Times New Roman" w:hAnsi="Times New Roman"/>
          <w:color w:val="0F243E" w:themeColor="text2" w:themeShade="80"/>
          <w:sz w:val="26"/>
          <w:szCs w:val="26"/>
        </w:rPr>
        <w:t xml:space="preserve"> si introducono alcune </w:t>
      </w:r>
      <w:r w:rsidR="00D46DBD" w:rsidRPr="002360E5">
        <w:rPr>
          <w:rFonts w:ascii="Times New Roman" w:hAnsi="Times New Roman"/>
          <w:i/>
          <w:color w:val="0F243E" w:themeColor="text2" w:themeShade="80"/>
          <w:sz w:val="26"/>
          <w:szCs w:val="26"/>
        </w:rPr>
        <w:t>varianti</w:t>
      </w:r>
      <w:r w:rsidR="00D46DBD" w:rsidRPr="002360E5">
        <w:rPr>
          <w:rFonts w:ascii="Times New Roman" w:hAnsi="Times New Roman"/>
          <w:color w:val="0F243E" w:themeColor="text2" w:themeShade="80"/>
          <w:sz w:val="26"/>
          <w:szCs w:val="26"/>
        </w:rPr>
        <w:t xml:space="preserve"> lessicali rispetto alla previsione della delega.</w:t>
      </w:r>
    </w:p>
    <w:p w:rsidR="00522F2C"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Intanto, nell’art. 213 scompare il </w:t>
      </w:r>
      <w:r w:rsidR="00590A84" w:rsidRPr="002360E5">
        <w:rPr>
          <w:rFonts w:ascii="Times New Roman" w:hAnsi="Times New Roman"/>
          <w:color w:val="0F243E" w:themeColor="text2" w:themeShade="80"/>
          <w:sz w:val="26"/>
          <w:szCs w:val="26"/>
        </w:rPr>
        <w:t xml:space="preserve">più ampio </w:t>
      </w:r>
      <w:r w:rsidRPr="002360E5">
        <w:rPr>
          <w:rFonts w:ascii="Times New Roman" w:hAnsi="Times New Roman"/>
          <w:color w:val="0F243E" w:themeColor="text2" w:themeShade="80"/>
          <w:sz w:val="26"/>
          <w:szCs w:val="26"/>
        </w:rPr>
        <w:t xml:space="preserve">riferimento ai </w:t>
      </w:r>
      <w:r w:rsidRPr="002360E5">
        <w:rPr>
          <w:rFonts w:ascii="Times New Roman" w:hAnsi="Times New Roman"/>
          <w:i/>
          <w:color w:val="0F243E" w:themeColor="text2" w:themeShade="80"/>
          <w:sz w:val="26"/>
          <w:szCs w:val="26"/>
        </w:rPr>
        <w:t>poteri</w:t>
      </w:r>
      <w:r w:rsidRPr="002360E5">
        <w:rPr>
          <w:rFonts w:ascii="Times New Roman" w:hAnsi="Times New Roman"/>
          <w:color w:val="0F243E" w:themeColor="text2" w:themeShade="80"/>
          <w:sz w:val="26"/>
          <w:szCs w:val="26"/>
        </w:rPr>
        <w:t xml:space="preserve"> e alle </w:t>
      </w:r>
      <w:r w:rsidRPr="002360E5">
        <w:rPr>
          <w:rFonts w:ascii="Times New Roman" w:hAnsi="Times New Roman"/>
          <w:i/>
          <w:color w:val="0F243E" w:themeColor="text2" w:themeShade="80"/>
          <w:sz w:val="26"/>
          <w:szCs w:val="26"/>
        </w:rPr>
        <w:t>funzioni</w:t>
      </w:r>
      <w:r w:rsidRPr="002360E5">
        <w:rPr>
          <w:rFonts w:ascii="Times New Roman" w:hAnsi="Times New Roman"/>
          <w:color w:val="0F243E" w:themeColor="text2" w:themeShade="80"/>
          <w:sz w:val="26"/>
          <w:szCs w:val="26"/>
        </w:rPr>
        <w:t xml:space="preserve"> </w:t>
      </w:r>
      <w:r w:rsidR="009140B0" w:rsidRPr="002360E5">
        <w:rPr>
          <w:rFonts w:ascii="Times New Roman" w:hAnsi="Times New Roman"/>
          <w:color w:val="0F243E" w:themeColor="text2" w:themeShade="80"/>
          <w:sz w:val="26"/>
          <w:szCs w:val="26"/>
        </w:rPr>
        <w:t xml:space="preserve">di </w:t>
      </w:r>
      <w:r w:rsidR="009140B0" w:rsidRPr="002360E5">
        <w:rPr>
          <w:rFonts w:ascii="Times New Roman" w:hAnsi="Times New Roman"/>
          <w:i/>
          <w:color w:val="0F243E" w:themeColor="text2" w:themeShade="80"/>
          <w:sz w:val="26"/>
          <w:szCs w:val="26"/>
        </w:rPr>
        <w:t>indirizzo</w:t>
      </w:r>
      <w:r w:rsidR="009140B0" w:rsidRPr="002360E5">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dell’Autorità.</w:t>
      </w:r>
      <w:r w:rsidR="00E874D4" w:rsidRPr="002360E5">
        <w:rPr>
          <w:rFonts w:ascii="Times New Roman" w:hAnsi="Times New Roman"/>
          <w:color w:val="0F243E" w:themeColor="text2" w:themeShade="80"/>
          <w:sz w:val="26"/>
          <w:szCs w:val="26"/>
        </w:rPr>
        <w:t xml:space="preserve"> </w:t>
      </w:r>
    </w:p>
    <w:p w:rsidR="00D46DBD" w:rsidRPr="002360E5" w:rsidRDefault="00522F2C"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Resta comunque </w:t>
      </w:r>
      <w:r w:rsidR="00270ED7">
        <w:rPr>
          <w:rFonts w:ascii="Times New Roman" w:hAnsi="Times New Roman"/>
          <w:color w:val="0F243E" w:themeColor="text2" w:themeShade="80"/>
          <w:sz w:val="26"/>
          <w:szCs w:val="26"/>
        </w:rPr>
        <w:t xml:space="preserve">meglio chiarita </w:t>
      </w:r>
      <w:r w:rsidR="00C0683F" w:rsidRPr="002360E5">
        <w:rPr>
          <w:rFonts w:ascii="Times New Roman" w:hAnsi="Times New Roman"/>
          <w:color w:val="0F243E" w:themeColor="text2" w:themeShade="80"/>
          <w:sz w:val="26"/>
          <w:szCs w:val="26"/>
        </w:rPr>
        <w:t>l</w:t>
      </w:r>
      <w:r w:rsidR="00E874D4" w:rsidRPr="002360E5">
        <w:rPr>
          <w:rFonts w:ascii="Times New Roman" w:hAnsi="Times New Roman"/>
          <w:color w:val="0F243E" w:themeColor="text2" w:themeShade="80"/>
          <w:sz w:val="26"/>
          <w:szCs w:val="26"/>
        </w:rPr>
        <w:t xml:space="preserve">a </w:t>
      </w:r>
      <w:r w:rsidR="00D46DBD" w:rsidRPr="002360E5">
        <w:rPr>
          <w:rFonts w:ascii="Times New Roman" w:hAnsi="Times New Roman"/>
          <w:color w:val="0F243E" w:themeColor="text2" w:themeShade="80"/>
          <w:sz w:val="26"/>
          <w:szCs w:val="26"/>
        </w:rPr>
        <w:t xml:space="preserve">proiezione finalistica </w:t>
      </w:r>
      <w:r w:rsidR="00E874D4" w:rsidRPr="002360E5">
        <w:rPr>
          <w:rFonts w:ascii="Times New Roman" w:hAnsi="Times New Roman"/>
          <w:color w:val="0F243E" w:themeColor="text2" w:themeShade="80"/>
          <w:sz w:val="26"/>
          <w:szCs w:val="26"/>
        </w:rPr>
        <w:t xml:space="preserve">dei poteri dell’ANAC </w:t>
      </w:r>
      <w:r w:rsidR="00590A84" w:rsidRPr="002360E5">
        <w:rPr>
          <w:rFonts w:ascii="Times New Roman" w:hAnsi="Times New Roman"/>
          <w:color w:val="0F243E" w:themeColor="text2" w:themeShade="80"/>
          <w:sz w:val="26"/>
          <w:szCs w:val="26"/>
        </w:rPr>
        <w:t>verso la promozione dell’efficienza</w:t>
      </w:r>
      <w:r w:rsidRPr="002360E5">
        <w:rPr>
          <w:rFonts w:ascii="Times New Roman" w:hAnsi="Times New Roman"/>
          <w:color w:val="0F243E" w:themeColor="text2" w:themeShade="80"/>
          <w:sz w:val="26"/>
          <w:szCs w:val="26"/>
        </w:rPr>
        <w:t>,</w:t>
      </w:r>
      <w:r w:rsidR="00270ED7">
        <w:rPr>
          <w:rFonts w:ascii="Times New Roman" w:hAnsi="Times New Roman"/>
          <w:color w:val="0F243E" w:themeColor="text2" w:themeShade="80"/>
          <w:sz w:val="26"/>
          <w:szCs w:val="26"/>
        </w:rPr>
        <w:t xml:space="preserve"> superandosi l’imprecisa dizione della legge delega he confondeva questi obiettivi con delle specifiche </w:t>
      </w:r>
      <w:r w:rsidR="00270ED7" w:rsidRPr="00270ED7">
        <w:rPr>
          <w:rFonts w:ascii="Times New Roman" w:hAnsi="Times New Roman"/>
          <w:i/>
          <w:color w:val="0F243E" w:themeColor="text2" w:themeShade="80"/>
          <w:sz w:val="26"/>
          <w:szCs w:val="26"/>
        </w:rPr>
        <w:t>funzioni</w:t>
      </w:r>
      <w:r w:rsidR="00D46DBD" w:rsidRPr="002360E5">
        <w:rPr>
          <w:rFonts w:ascii="Times New Roman" w:hAnsi="Times New Roman"/>
          <w:color w:val="0F243E" w:themeColor="text2" w:themeShade="80"/>
          <w:sz w:val="26"/>
          <w:szCs w:val="26"/>
        </w:rPr>
        <w:t xml:space="preserve">. </w:t>
      </w:r>
    </w:p>
    <w:p w:rsidR="004072AC"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Nella formula codicistica, </w:t>
      </w:r>
      <w:r w:rsidR="008F0AD4" w:rsidRPr="002360E5">
        <w:rPr>
          <w:rFonts w:ascii="Times New Roman" w:hAnsi="Times New Roman"/>
          <w:color w:val="0F243E" w:themeColor="text2" w:themeShade="80"/>
          <w:sz w:val="26"/>
          <w:szCs w:val="26"/>
        </w:rPr>
        <w:t xml:space="preserve">poi, </w:t>
      </w:r>
      <w:r w:rsidR="00590A84" w:rsidRPr="002360E5">
        <w:rPr>
          <w:rFonts w:ascii="Times New Roman" w:hAnsi="Times New Roman"/>
          <w:color w:val="0F243E" w:themeColor="text2" w:themeShade="80"/>
          <w:sz w:val="26"/>
          <w:szCs w:val="26"/>
        </w:rPr>
        <w:t xml:space="preserve">si deve notare un’altra </w:t>
      </w:r>
      <w:r w:rsidR="004072AC" w:rsidRPr="002360E5">
        <w:rPr>
          <w:rFonts w:ascii="Times New Roman" w:hAnsi="Times New Roman"/>
          <w:color w:val="0F243E" w:themeColor="text2" w:themeShade="80"/>
          <w:sz w:val="26"/>
          <w:szCs w:val="26"/>
        </w:rPr>
        <w:t xml:space="preserve">duplice </w:t>
      </w:r>
      <w:r w:rsidR="00590A84" w:rsidRPr="002360E5">
        <w:rPr>
          <w:rFonts w:ascii="Times New Roman" w:hAnsi="Times New Roman"/>
          <w:color w:val="0F243E" w:themeColor="text2" w:themeShade="80"/>
          <w:sz w:val="26"/>
          <w:szCs w:val="26"/>
        </w:rPr>
        <w:t>sfumatura lett</w:t>
      </w:r>
      <w:r w:rsidR="004072AC" w:rsidRPr="002360E5">
        <w:rPr>
          <w:rFonts w:ascii="Times New Roman" w:hAnsi="Times New Roman"/>
          <w:color w:val="0F243E" w:themeColor="text2" w:themeShade="80"/>
          <w:sz w:val="26"/>
          <w:szCs w:val="26"/>
        </w:rPr>
        <w:t>e</w:t>
      </w:r>
      <w:r w:rsidR="00590A84" w:rsidRPr="002360E5">
        <w:rPr>
          <w:rFonts w:ascii="Times New Roman" w:hAnsi="Times New Roman"/>
          <w:color w:val="0F243E" w:themeColor="text2" w:themeShade="80"/>
          <w:sz w:val="26"/>
          <w:szCs w:val="26"/>
        </w:rPr>
        <w:t>rale</w:t>
      </w:r>
      <w:r w:rsidR="004072AC" w:rsidRPr="002360E5">
        <w:rPr>
          <w:rFonts w:ascii="Times New Roman" w:hAnsi="Times New Roman"/>
          <w:color w:val="0F243E" w:themeColor="text2" w:themeShade="80"/>
          <w:sz w:val="26"/>
          <w:szCs w:val="26"/>
        </w:rPr>
        <w:t xml:space="preserve"> che</w:t>
      </w:r>
      <w:r w:rsidR="00C0683F" w:rsidRPr="002360E5">
        <w:rPr>
          <w:rFonts w:ascii="Times New Roman" w:hAnsi="Times New Roman"/>
          <w:color w:val="0F243E" w:themeColor="text2" w:themeShade="80"/>
          <w:sz w:val="26"/>
          <w:szCs w:val="26"/>
        </w:rPr>
        <w:t xml:space="preserve"> dovrebbe richiedere</w:t>
      </w:r>
      <w:r w:rsidR="00D81176" w:rsidRPr="002360E5">
        <w:rPr>
          <w:rFonts w:ascii="Times New Roman" w:hAnsi="Times New Roman"/>
          <w:color w:val="0F243E" w:themeColor="text2" w:themeShade="80"/>
          <w:sz w:val="26"/>
          <w:szCs w:val="26"/>
        </w:rPr>
        <w:t xml:space="preserve"> la massima </w:t>
      </w:r>
      <w:r w:rsidR="00C0683F" w:rsidRPr="002360E5">
        <w:rPr>
          <w:rFonts w:ascii="Times New Roman" w:hAnsi="Times New Roman"/>
          <w:color w:val="0F243E" w:themeColor="text2" w:themeShade="80"/>
          <w:sz w:val="26"/>
          <w:szCs w:val="26"/>
        </w:rPr>
        <w:t>attenzione</w:t>
      </w:r>
      <w:r w:rsidR="00590A84" w:rsidRPr="002360E5">
        <w:rPr>
          <w:rFonts w:ascii="Times New Roman" w:hAnsi="Times New Roman"/>
          <w:color w:val="0F243E" w:themeColor="text2" w:themeShade="80"/>
          <w:sz w:val="26"/>
          <w:szCs w:val="26"/>
        </w:rPr>
        <w:t>:</w:t>
      </w:r>
    </w:p>
    <w:p w:rsidR="004072AC" w:rsidRPr="002360E5" w:rsidRDefault="00D81176"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Non si menziona più </w:t>
      </w:r>
      <w:r w:rsidR="00D46DBD" w:rsidRPr="002360E5">
        <w:rPr>
          <w:rFonts w:ascii="Times New Roman" w:hAnsi="Times New Roman"/>
          <w:color w:val="0F243E" w:themeColor="text2" w:themeShade="80"/>
          <w:sz w:val="26"/>
          <w:szCs w:val="26"/>
        </w:rPr>
        <w:t xml:space="preserve">la </w:t>
      </w:r>
      <w:r w:rsidRPr="002360E5">
        <w:rPr>
          <w:rFonts w:ascii="Times New Roman" w:hAnsi="Times New Roman"/>
          <w:color w:val="0F243E" w:themeColor="text2" w:themeShade="80"/>
          <w:sz w:val="26"/>
          <w:szCs w:val="26"/>
        </w:rPr>
        <w:t>“</w:t>
      </w:r>
      <w:r w:rsidR="00D46DBD" w:rsidRPr="002360E5">
        <w:rPr>
          <w:rFonts w:ascii="Times New Roman" w:hAnsi="Times New Roman"/>
          <w:i/>
          <w:color w:val="0F243E" w:themeColor="text2" w:themeShade="80"/>
          <w:sz w:val="26"/>
          <w:szCs w:val="26"/>
        </w:rPr>
        <w:t>regolamentazione</w:t>
      </w:r>
      <w:r w:rsidRPr="002360E5">
        <w:rPr>
          <w:rFonts w:ascii="Times New Roman" w:hAnsi="Times New Roman"/>
          <w:color w:val="0F243E" w:themeColor="text2" w:themeShade="80"/>
          <w:sz w:val="26"/>
          <w:szCs w:val="26"/>
        </w:rPr>
        <w:t>”</w:t>
      </w:r>
      <w:r w:rsidR="00D46DBD" w:rsidRPr="002360E5">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prevista da</w:t>
      </w:r>
      <w:r w:rsidR="00590A84" w:rsidRPr="002360E5">
        <w:rPr>
          <w:rFonts w:ascii="Times New Roman" w:hAnsi="Times New Roman"/>
          <w:color w:val="0F243E" w:themeColor="text2" w:themeShade="80"/>
          <w:sz w:val="26"/>
          <w:szCs w:val="26"/>
        </w:rPr>
        <w:t>lla delega</w:t>
      </w:r>
      <w:r w:rsidR="008D4356">
        <w:rPr>
          <w:rFonts w:ascii="Times New Roman" w:hAnsi="Times New Roman"/>
          <w:color w:val="0F243E" w:themeColor="text2" w:themeShade="80"/>
          <w:sz w:val="26"/>
          <w:szCs w:val="26"/>
        </w:rPr>
        <w:t>,</w:t>
      </w:r>
      <w:r w:rsidR="00590A84" w:rsidRPr="002360E5">
        <w:rPr>
          <w:rFonts w:ascii="Times New Roman" w:hAnsi="Times New Roman"/>
          <w:color w:val="0F243E" w:themeColor="text2" w:themeShade="80"/>
          <w:sz w:val="26"/>
          <w:szCs w:val="26"/>
        </w:rPr>
        <w:t xml:space="preserve"> </w:t>
      </w:r>
      <w:r w:rsidR="00C411C5" w:rsidRPr="002360E5">
        <w:rPr>
          <w:rFonts w:ascii="Times New Roman" w:hAnsi="Times New Roman"/>
          <w:color w:val="0F243E" w:themeColor="text2" w:themeShade="80"/>
          <w:sz w:val="26"/>
          <w:szCs w:val="26"/>
        </w:rPr>
        <w:t xml:space="preserve">ma si considera la </w:t>
      </w:r>
      <w:r w:rsidR="00D46DBD" w:rsidRPr="002360E5">
        <w:rPr>
          <w:rFonts w:ascii="Times New Roman" w:hAnsi="Times New Roman"/>
          <w:color w:val="0F243E" w:themeColor="text2" w:themeShade="80"/>
          <w:sz w:val="26"/>
          <w:szCs w:val="26"/>
        </w:rPr>
        <w:t>“</w:t>
      </w:r>
      <w:r w:rsidR="00D46DBD" w:rsidRPr="002360E5">
        <w:rPr>
          <w:rFonts w:ascii="Times New Roman" w:hAnsi="Times New Roman"/>
          <w:i/>
          <w:color w:val="0F243E" w:themeColor="text2" w:themeShade="80"/>
          <w:sz w:val="26"/>
          <w:szCs w:val="26"/>
        </w:rPr>
        <w:t>regolazione</w:t>
      </w:r>
      <w:r w:rsidR="00D46DBD" w:rsidRPr="002360E5">
        <w:rPr>
          <w:rFonts w:ascii="Times New Roman" w:hAnsi="Times New Roman"/>
          <w:color w:val="0F243E" w:themeColor="text2" w:themeShade="80"/>
          <w:sz w:val="26"/>
          <w:szCs w:val="26"/>
        </w:rPr>
        <w:t>”</w:t>
      </w:r>
      <w:r w:rsidR="004072AC" w:rsidRPr="002360E5">
        <w:rPr>
          <w:rFonts w:ascii="Times New Roman" w:hAnsi="Times New Roman"/>
          <w:color w:val="0F243E" w:themeColor="text2" w:themeShade="80"/>
          <w:sz w:val="26"/>
          <w:szCs w:val="26"/>
        </w:rPr>
        <w:t>;</w:t>
      </w:r>
    </w:p>
    <w:p w:rsidR="00D46DBD" w:rsidRPr="002360E5" w:rsidRDefault="00C45F76"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Nel </w:t>
      </w:r>
      <w:r w:rsidR="004072AC" w:rsidRPr="002360E5">
        <w:rPr>
          <w:rFonts w:ascii="Times New Roman" w:hAnsi="Times New Roman"/>
          <w:color w:val="0F243E" w:themeColor="text2" w:themeShade="80"/>
          <w:sz w:val="26"/>
          <w:szCs w:val="26"/>
        </w:rPr>
        <w:t>codice</w:t>
      </w:r>
      <w:r w:rsidR="008D4356">
        <w:rPr>
          <w:rFonts w:ascii="Times New Roman" w:hAnsi="Times New Roman"/>
          <w:color w:val="0F243E" w:themeColor="text2" w:themeShade="80"/>
          <w:sz w:val="26"/>
          <w:szCs w:val="26"/>
        </w:rPr>
        <w:t>, poi,</w:t>
      </w:r>
      <w:r w:rsidR="004072AC" w:rsidRPr="002360E5">
        <w:rPr>
          <w:rFonts w:ascii="Times New Roman" w:hAnsi="Times New Roman"/>
          <w:color w:val="0F243E" w:themeColor="text2" w:themeShade="80"/>
          <w:sz w:val="26"/>
          <w:szCs w:val="26"/>
        </w:rPr>
        <w:t xml:space="preserve"> </w:t>
      </w:r>
      <w:r w:rsidR="00D46DBD" w:rsidRPr="002360E5">
        <w:rPr>
          <w:rFonts w:ascii="Times New Roman" w:hAnsi="Times New Roman"/>
          <w:color w:val="0F243E" w:themeColor="text2" w:themeShade="80"/>
          <w:sz w:val="26"/>
          <w:szCs w:val="26"/>
        </w:rPr>
        <w:t>non si ripete più l’inciso riguardante l‘espressa possibilità di attribuire efficacia “</w:t>
      </w:r>
      <w:r w:rsidR="00D46DBD" w:rsidRPr="008D4356">
        <w:rPr>
          <w:rFonts w:ascii="Times New Roman" w:hAnsi="Times New Roman"/>
          <w:i/>
          <w:color w:val="0F243E" w:themeColor="text2" w:themeShade="80"/>
          <w:sz w:val="26"/>
          <w:szCs w:val="26"/>
        </w:rPr>
        <w:t>anche vincolante</w:t>
      </w:r>
      <w:r w:rsidR="00D46DBD" w:rsidRPr="002360E5">
        <w:rPr>
          <w:rFonts w:ascii="Times New Roman" w:hAnsi="Times New Roman"/>
          <w:color w:val="0F243E" w:themeColor="text2" w:themeShade="80"/>
          <w:sz w:val="26"/>
          <w:szCs w:val="26"/>
        </w:rPr>
        <w:t>” agli atti generali di competenza dell’ANAC.</w:t>
      </w:r>
    </w:p>
    <w:p w:rsidR="00D46DBD"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L’aggettivo </w:t>
      </w:r>
      <w:r w:rsidRPr="002360E5">
        <w:rPr>
          <w:rFonts w:ascii="Times New Roman" w:hAnsi="Times New Roman"/>
          <w:i/>
          <w:color w:val="0F243E" w:themeColor="text2" w:themeShade="80"/>
          <w:sz w:val="26"/>
          <w:szCs w:val="26"/>
        </w:rPr>
        <w:t>vincolante</w:t>
      </w:r>
      <w:r w:rsidR="00D4300F" w:rsidRPr="002360E5">
        <w:rPr>
          <w:rFonts w:ascii="Times New Roman" w:hAnsi="Times New Roman"/>
          <w:color w:val="0F243E" w:themeColor="text2" w:themeShade="80"/>
          <w:sz w:val="26"/>
          <w:szCs w:val="26"/>
        </w:rPr>
        <w:t>, riferito agli atti dell’ANAC,</w:t>
      </w:r>
      <w:r w:rsidRPr="002360E5">
        <w:rPr>
          <w:rFonts w:ascii="Times New Roman" w:hAnsi="Times New Roman"/>
          <w:color w:val="0F243E" w:themeColor="text2" w:themeShade="80"/>
          <w:sz w:val="26"/>
          <w:szCs w:val="26"/>
        </w:rPr>
        <w:t xml:space="preserve"> è invece ora contemplato nell’art. 211, </w:t>
      </w:r>
      <w:r w:rsidR="00961A8D" w:rsidRPr="002360E5">
        <w:rPr>
          <w:rFonts w:ascii="Times New Roman" w:hAnsi="Times New Roman"/>
          <w:color w:val="0F243E" w:themeColor="text2" w:themeShade="80"/>
          <w:sz w:val="26"/>
          <w:szCs w:val="26"/>
        </w:rPr>
        <w:t xml:space="preserve">ma </w:t>
      </w:r>
      <w:r w:rsidR="00D4300F" w:rsidRPr="002360E5">
        <w:rPr>
          <w:rFonts w:ascii="Times New Roman" w:hAnsi="Times New Roman"/>
          <w:color w:val="0F243E" w:themeColor="text2" w:themeShade="80"/>
          <w:sz w:val="26"/>
          <w:szCs w:val="26"/>
        </w:rPr>
        <w:t xml:space="preserve">soltanto </w:t>
      </w:r>
      <w:r w:rsidRPr="002360E5">
        <w:rPr>
          <w:rFonts w:ascii="Times New Roman" w:hAnsi="Times New Roman"/>
          <w:color w:val="0F243E" w:themeColor="text2" w:themeShade="80"/>
          <w:sz w:val="26"/>
          <w:szCs w:val="26"/>
        </w:rPr>
        <w:t>con riguardo ai pareri di precontenzioso</w:t>
      </w:r>
      <w:r w:rsidR="00C411C5" w:rsidRPr="002360E5">
        <w:rPr>
          <w:rFonts w:ascii="Times New Roman" w:hAnsi="Times New Roman"/>
          <w:color w:val="0F243E" w:themeColor="text2" w:themeShade="80"/>
          <w:sz w:val="26"/>
          <w:szCs w:val="26"/>
        </w:rPr>
        <w:t>, nel caso</w:t>
      </w:r>
      <w:r w:rsidR="00265BA3" w:rsidRPr="002360E5">
        <w:rPr>
          <w:rFonts w:ascii="Times New Roman" w:hAnsi="Times New Roman"/>
          <w:color w:val="0F243E" w:themeColor="text2" w:themeShade="80"/>
          <w:sz w:val="26"/>
          <w:szCs w:val="26"/>
        </w:rPr>
        <w:t xml:space="preserve"> </w:t>
      </w:r>
      <w:r w:rsidR="00C411C5" w:rsidRPr="002360E5">
        <w:rPr>
          <w:rFonts w:ascii="Times New Roman" w:hAnsi="Times New Roman"/>
          <w:color w:val="0F243E" w:themeColor="text2" w:themeShade="80"/>
          <w:sz w:val="26"/>
          <w:szCs w:val="26"/>
        </w:rPr>
        <w:t xml:space="preserve">in cui </w:t>
      </w:r>
      <w:r w:rsidR="00265BA3" w:rsidRPr="002360E5">
        <w:rPr>
          <w:rFonts w:ascii="Times New Roman" w:hAnsi="Times New Roman"/>
          <w:color w:val="0F243E" w:themeColor="text2" w:themeShade="80"/>
          <w:sz w:val="26"/>
          <w:szCs w:val="26"/>
        </w:rPr>
        <w:t>sia manifestato il preventivo consenso delle parti</w:t>
      </w:r>
      <w:r w:rsidRPr="002360E5">
        <w:rPr>
          <w:rFonts w:ascii="Times New Roman" w:hAnsi="Times New Roman"/>
          <w:color w:val="0F243E" w:themeColor="text2" w:themeShade="80"/>
          <w:sz w:val="26"/>
          <w:szCs w:val="26"/>
        </w:rPr>
        <w:t xml:space="preserve"> (comma 1)</w:t>
      </w:r>
      <w:r w:rsidR="00C45F76">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ed era previsto al comma 2 (</w:t>
      </w:r>
      <w:r w:rsidRPr="002360E5">
        <w:rPr>
          <w:rFonts w:ascii="Times New Roman" w:hAnsi="Times New Roman"/>
          <w:i/>
          <w:color w:val="0F243E" w:themeColor="text2" w:themeShade="80"/>
          <w:sz w:val="26"/>
          <w:szCs w:val="26"/>
        </w:rPr>
        <w:t>raccomandazioni vincolanti</w:t>
      </w:r>
      <w:r w:rsidRPr="002360E5">
        <w:rPr>
          <w:rFonts w:ascii="Times New Roman" w:hAnsi="Times New Roman"/>
          <w:color w:val="0F243E" w:themeColor="text2" w:themeShade="80"/>
          <w:sz w:val="26"/>
          <w:szCs w:val="26"/>
        </w:rPr>
        <w:t>), prima dell’abrogazione</w:t>
      </w:r>
      <w:r w:rsidR="00E80E7C">
        <w:rPr>
          <w:rFonts w:ascii="Times New Roman" w:hAnsi="Times New Roman"/>
          <w:color w:val="0F243E" w:themeColor="text2" w:themeShade="80"/>
          <w:sz w:val="26"/>
          <w:szCs w:val="26"/>
        </w:rPr>
        <w:t xml:space="preserve"> di tale discussa figura,</w:t>
      </w:r>
      <w:r w:rsidRPr="002360E5">
        <w:rPr>
          <w:rFonts w:ascii="Times New Roman" w:hAnsi="Times New Roman"/>
          <w:color w:val="0F243E" w:themeColor="text2" w:themeShade="80"/>
          <w:sz w:val="26"/>
          <w:szCs w:val="26"/>
        </w:rPr>
        <w:t xml:space="preserve"> stabilita dal decreto correttivo.</w:t>
      </w:r>
    </w:p>
    <w:p w:rsidR="00D46DBD" w:rsidRDefault="00265BA3"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Altra importante differenza</w:t>
      </w:r>
      <w:r w:rsidR="00E80E7C">
        <w:rPr>
          <w:rFonts w:ascii="Times New Roman" w:hAnsi="Times New Roman"/>
          <w:color w:val="0F243E" w:themeColor="text2" w:themeShade="80"/>
          <w:sz w:val="26"/>
          <w:szCs w:val="26"/>
        </w:rPr>
        <w:t>, poi,</w:t>
      </w:r>
      <w:r w:rsidRPr="002360E5">
        <w:rPr>
          <w:rFonts w:ascii="Times New Roman" w:hAnsi="Times New Roman"/>
          <w:color w:val="0F243E" w:themeColor="text2" w:themeShade="80"/>
          <w:sz w:val="26"/>
          <w:szCs w:val="26"/>
        </w:rPr>
        <w:t xml:space="preserve"> riguarda la circostanza che </w:t>
      </w:r>
      <w:r w:rsidR="00CA3746" w:rsidRPr="002360E5">
        <w:rPr>
          <w:rFonts w:ascii="Times New Roman" w:hAnsi="Times New Roman"/>
          <w:color w:val="0F243E" w:themeColor="text2" w:themeShade="80"/>
          <w:sz w:val="26"/>
          <w:szCs w:val="26"/>
        </w:rPr>
        <w:t>l</w:t>
      </w:r>
      <w:r w:rsidR="00D46DBD" w:rsidRPr="002360E5">
        <w:rPr>
          <w:rFonts w:ascii="Times New Roman" w:hAnsi="Times New Roman"/>
          <w:color w:val="0F243E" w:themeColor="text2" w:themeShade="80"/>
          <w:sz w:val="26"/>
          <w:szCs w:val="26"/>
        </w:rPr>
        <w:t xml:space="preserve">’elenco </w:t>
      </w:r>
      <w:r w:rsidR="00CA3746" w:rsidRPr="002360E5">
        <w:rPr>
          <w:rFonts w:ascii="Times New Roman" w:hAnsi="Times New Roman"/>
          <w:color w:val="0F243E" w:themeColor="text2" w:themeShade="80"/>
          <w:sz w:val="26"/>
          <w:szCs w:val="26"/>
        </w:rPr>
        <w:t>de</w:t>
      </w:r>
      <w:r w:rsidR="00D46DBD" w:rsidRPr="002360E5">
        <w:rPr>
          <w:rFonts w:ascii="Times New Roman" w:hAnsi="Times New Roman"/>
          <w:color w:val="0F243E" w:themeColor="text2" w:themeShade="80"/>
          <w:sz w:val="26"/>
          <w:szCs w:val="26"/>
        </w:rPr>
        <w:t xml:space="preserve">gli atti di regolazione flessibile </w:t>
      </w:r>
      <w:r w:rsidR="00CA3746" w:rsidRPr="002360E5">
        <w:rPr>
          <w:rFonts w:ascii="Times New Roman" w:hAnsi="Times New Roman"/>
          <w:color w:val="0F243E" w:themeColor="text2" w:themeShade="80"/>
          <w:sz w:val="26"/>
          <w:szCs w:val="26"/>
        </w:rPr>
        <w:t xml:space="preserve">compiuto dalla delega </w:t>
      </w:r>
      <w:r w:rsidR="00D46DBD" w:rsidRPr="002360E5">
        <w:rPr>
          <w:rFonts w:ascii="Times New Roman" w:hAnsi="Times New Roman"/>
          <w:color w:val="0F243E" w:themeColor="text2" w:themeShade="80"/>
          <w:sz w:val="26"/>
          <w:szCs w:val="26"/>
        </w:rPr>
        <w:t>è integrato, nel codice, dal riferimento ai “</w:t>
      </w:r>
      <w:r w:rsidR="00D46DBD" w:rsidRPr="002360E5">
        <w:rPr>
          <w:rFonts w:ascii="Times New Roman" w:hAnsi="Times New Roman"/>
          <w:i/>
          <w:color w:val="0F243E" w:themeColor="text2" w:themeShade="80"/>
          <w:sz w:val="26"/>
          <w:szCs w:val="26"/>
        </w:rPr>
        <w:t>capitolati tipo</w:t>
      </w:r>
      <w:r w:rsidR="00D46DBD" w:rsidRPr="002360E5">
        <w:rPr>
          <w:rFonts w:ascii="Times New Roman" w:hAnsi="Times New Roman"/>
          <w:color w:val="0F243E" w:themeColor="text2" w:themeShade="80"/>
          <w:sz w:val="26"/>
          <w:szCs w:val="26"/>
        </w:rPr>
        <w:t>”.</w:t>
      </w:r>
    </w:p>
    <w:p w:rsidR="008D4356" w:rsidRDefault="008D4356"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Infine, nella dizione codicistica, si enuncia più chiaramente il pri</w:t>
      </w:r>
      <w:r w:rsidR="005C01E5">
        <w:rPr>
          <w:rFonts w:ascii="Times New Roman" w:hAnsi="Times New Roman"/>
          <w:color w:val="0F243E" w:themeColor="text2" w:themeShade="80"/>
          <w:sz w:val="26"/>
          <w:szCs w:val="26"/>
        </w:rPr>
        <w:t>ncipio di atipicità e il carattere non nominato degli atti di regolazione flessibile.</w:t>
      </w:r>
    </w:p>
    <w:p w:rsidR="003C5F81" w:rsidRPr="002360E5" w:rsidRDefault="003C5F81" w:rsidP="003C5F81">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Si potrebbe riflettere anche sulla possibile diversità della formula </w:t>
      </w:r>
      <w:r w:rsidRPr="002360E5">
        <w:rPr>
          <w:rFonts w:ascii="Times New Roman" w:hAnsi="Times New Roman"/>
          <w:i/>
          <w:color w:val="0F243E" w:themeColor="text2" w:themeShade="80"/>
          <w:sz w:val="26"/>
          <w:szCs w:val="26"/>
        </w:rPr>
        <w:t>regolazione</w:t>
      </w:r>
      <w:r w:rsidRPr="002360E5">
        <w:rPr>
          <w:rFonts w:ascii="Times New Roman" w:hAnsi="Times New Roman"/>
          <w:color w:val="0F243E" w:themeColor="text2" w:themeShade="80"/>
          <w:sz w:val="26"/>
          <w:szCs w:val="26"/>
        </w:rPr>
        <w:t>, scelta dal codice e diversa da quella contemplata dalla legge delega</w:t>
      </w:r>
      <w:r w:rsidR="00BE7DB8">
        <w:rPr>
          <w:rFonts w:ascii="Times New Roman" w:hAnsi="Times New Roman"/>
          <w:color w:val="0F243E" w:themeColor="text2" w:themeShade="80"/>
          <w:sz w:val="26"/>
          <w:szCs w:val="26"/>
        </w:rPr>
        <w:t xml:space="preserve"> (</w:t>
      </w:r>
      <w:r w:rsidR="00BE7DB8" w:rsidRPr="00BE7DB8">
        <w:rPr>
          <w:rFonts w:ascii="Times New Roman" w:hAnsi="Times New Roman"/>
          <w:i/>
          <w:color w:val="0F243E" w:themeColor="text2" w:themeShade="80"/>
          <w:sz w:val="26"/>
          <w:szCs w:val="26"/>
        </w:rPr>
        <w:t>regolamentazione</w:t>
      </w:r>
      <w:r w:rsidR="00BE7DB8">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w:t>
      </w:r>
    </w:p>
    <w:p w:rsidR="003C5F81" w:rsidRPr="002360E5" w:rsidRDefault="003C5F81" w:rsidP="003C5F81">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Probabilmente, la formula intende collegarsi più strettamente all’idea della </w:t>
      </w:r>
      <w:r w:rsidRPr="002360E5">
        <w:rPr>
          <w:rFonts w:ascii="Times New Roman" w:hAnsi="Times New Roman"/>
          <w:i/>
          <w:color w:val="0F243E" w:themeColor="text2" w:themeShade="80"/>
          <w:sz w:val="26"/>
          <w:szCs w:val="26"/>
        </w:rPr>
        <w:t>funzione di “regolazione”</w:t>
      </w:r>
      <w:r w:rsidRPr="002360E5">
        <w:rPr>
          <w:rFonts w:ascii="Times New Roman" w:hAnsi="Times New Roman"/>
          <w:color w:val="0F243E" w:themeColor="text2" w:themeShade="80"/>
          <w:sz w:val="26"/>
          <w:szCs w:val="26"/>
        </w:rPr>
        <w:t xml:space="preserve"> attribuita alle Autorità indipendenti. Al tempo stesso, poi, la locuzione potrebbe accentuare il valore </w:t>
      </w:r>
      <w:r w:rsidRPr="002360E5">
        <w:rPr>
          <w:rFonts w:ascii="Times New Roman" w:hAnsi="Times New Roman"/>
          <w:i/>
          <w:color w:val="0F243E" w:themeColor="text2" w:themeShade="80"/>
          <w:sz w:val="26"/>
          <w:szCs w:val="26"/>
        </w:rPr>
        <w:t>meno rigido</w:t>
      </w:r>
      <w:r w:rsidRPr="002360E5">
        <w:rPr>
          <w:rFonts w:ascii="Times New Roman" w:hAnsi="Times New Roman"/>
          <w:color w:val="0F243E" w:themeColor="text2" w:themeShade="80"/>
          <w:sz w:val="26"/>
          <w:szCs w:val="26"/>
        </w:rPr>
        <w:t xml:space="preserve"> delle prescrizioni, rispetto alla tipica produzione normativa attuata attraverso lo strumento tipico del regolamento.</w:t>
      </w:r>
    </w:p>
    <w:p w:rsidR="003C5F81" w:rsidRDefault="003C5F81" w:rsidP="003C5F81">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Si evidenzierebbe, con questa locuzione più “scolorita”, il carattere tecnico e neutrale delle prescrizioni </w:t>
      </w:r>
      <w:r>
        <w:rPr>
          <w:rFonts w:ascii="Times New Roman" w:hAnsi="Times New Roman"/>
          <w:color w:val="0F243E" w:themeColor="text2" w:themeShade="80"/>
          <w:sz w:val="26"/>
          <w:szCs w:val="26"/>
        </w:rPr>
        <w:t>e il loro riferimento ad una fu</w:t>
      </w:r>
      <w:r w:rsidRPr="002360E5">
        <w:rPr>
          <w:rFonts w:ascii="Times New Roman" w:hAnsi="Times New Roman"/>
          <w:color w:val="0F243E" w:themeColor="text2" w:themeShade="80"/>
          <w:sz w:val="26"/>
          <w:szCs w:val="26"/>
        </w:rPr>
        <w:t>n</w:t>
      </w:r>
      <w:r>
        <w:rPr>
          <w:rFonts w:ascii="Times New Roman" w:hAnsi="Times New Roman"/>
          <w:color w:val="0F243E" w:themeColor="text2" w:themeShade="80"/>
          <w:sz w:val="26"/>
          <w:szCs w:val="26"/>
        </w:rPr>
        <w:t>z</w:t>
      </w:r>
      <w:r w:rsidRPr="002360E5">
        <w:rPr>
          <w:rFonts w:ascii="Times New Roman" w:hAnsi="Times New Roman"/>
          <w:color w:val="0F243E" w:themeColor="text2" w:themeShade="80"/>
          <w:sz w:val="26"/>
          <w:szCs w:val="26"/>
        </w:rPr>
        <w:t>ione diversa da quella di produzione delle norme giuridiche.</w:t>
      </w:r>
    </w:p>
    <w:p w:rsidR="003C5F81" w:rsidRPr="003C4020" w:rsidRDefault="003C5F81" w:rsidP="003C5F81">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Se fosse questo il senso della diversa espressione, però, sarebbe palese la violazione della delega, che</w:t>
      </w:r>
      <w:r w:rsidR="00BE7DB8">
        <w:rPr>
          <w:rFonts w:ascii="Times New Roman" w:hAnsi="Times New Roman"/>
          <w:color w:val="0F243E" w:themeColor="text2" w:themeShade="80"/>
          <w:sz w:val="26"/>
          <w:szCs w:val="26"/>
        </w:rPr>
        <w:t>, indiscutibilmente,</w:t>
      </w:r>
      <w:r>
        <w:rPr>
          <w:rFonts w:ascii="Times New Roman" w:hAnsi="Times New Roman"/>
          <w:color w:val="0F243E" w:themeColor="text2" w:themeShade="80"/>
          <w:sz w:val="26"/>
          <w:szCs w:val="26"/>
        </w:rPr>
        <w:t xml:space="preserve"> intendeva attribuire</w:t>
      </w:r>
      <w:r w:rsidR="00BE7DB8">
        <w:rPr>
          <w:rFonts w:ascii="Times New Roman" w:hAnsi="Times New Roman"/>
          <w:color w:val="0F243E" w:themeColor="text2" w:themeShade="80"/>
          <w:sz w:val="26"/>
          <w:szCs w:val="26"/>
        </w:rPr>
        <w:t xml:space="preserve"> all’ANAC</w:t>
      </w:r>
      <w:r>
        <w:rPr>
          <w:rFonts w:ascii="Times New Roman" w:hAnsi="Times New Roman"/>
          <w:color w:val="0F243E" w:themeColor="text2" w:themeShade="80"/>
          <w:sz w:val="26"/>
          <w:szCs w:val="26"/>
        </w:rPr>
        <w:t xml:space="preserve"> un potere di regolamentazione – per quanto flessibile -e non di </w:t>
      </w:r>
      <w:r w:rsidRPr="003C4020">
        <w:rPr>
          <w:rFonts w:ascii="Times New Roman" w:hAnsi="Times New Roman"/>
          <w:i/>
          <w:color w:val="0F243E" w:themeColor="text2" w:themeShade="80"/>
          <w:sz w:val="26"/>
          <w:szCs w:val="26"/>
        </w:rPr>
        <w:t>mera regolazione</w:t>
      </w:r>
      <w:r>
        <w:rPr>
          <w:rFonts w:ascii="Times New Roman" w:hAnsi="Times New Roman"/>
          <w:color w:val="0F243E" w:themeColor="text2" w:themeShade="80"/>
          <w:sz w:val="26"/>
          <w:szCs w:val="26"/>
        </w:rPr>
        <w:t>.</w:t>
      </w:r>
    </w:p>
    <w:p w:rsidR="00D46DBD" w:rsidRPr="002360E5" w:rsidRDefault="00D46DBD" w:rsidP="00596E5E">
      <w:pPr>
        <w:tabs>
          <w:tab w:val="left" w:pos="0"/>
        </w:tabs>
        <w:rPr>
          <w:rFonts w:ascii="Times New Roman" w:hAnsi="Times New Roman"/>
          <w:color w:val="0F243E" w:themeColor="text2" w:themeShade="80"/>
          <w:sz w:val="26"/>
          <w:szCs w:val="26"/>
        </w:rPr>
      </w:pPr>
    </w:p>
    <w:p w:rsidR="00AA600E" w:rsidRPr="002360E5" w:rsidRDefault="007F76F9" w:rsidP="00596E5E">
      <w:pPr>
        <w:pStyle w:val="Paragrafoelenco"/>
        <w:numPr>
          <w:ilvl w:val="0"/>
          <w:numId w:val="1"/>
        </w:numPr>
        <w:tabs>
          <w:tab w:val="left" w:pos="0"/>
        </w:tabs>
        <w:ind w:left="0" w:firstLine="709"/>
        <w:rPr>
          <w:rFonts w:ascii="Times New Roman" w:hAnsi="Times New Roman"/>
          <w:smallCaps/>
          <w:color w:val="0F243E" w:themeColor="text2" w:themeShade="80"/>
          <w:sz w:val="26"/>
          <w:szCs w:val="26"/>
        </w:rPr>
      </w:pPr>
      <w:r w:rsidRPr="002360E5">
        <w:rPr>
          <w:rFonts w:ascii="Times New Roman" w:hAnsi="Times New Roman"/>
          <w:b/>
          <w:smallCaps/>
          <w:color w:val="0F243E" w:themeColor="text2" w:themeShade="80"/>
          <w:sz w:val="26"/>
          <w:szCs w:val="26"/>
        </w:rPr>
        <w:t>L</w:t>
      </w:r>
      <w:r w:rsidR="00D85BD9">
        <w:rPr>
          <w:rFonts w:ascii="Times New Roman" w:hAnsi="Times New Roman"/>
          <w:b/>
          <w:smallCaps/>
          <w:color w:val="0F243E" w:themeColor="text2" w:themeShade="80"/>
          <w:sz w:val="26"/>
          <w:szCs w:val="26"/>
        </w:rPr>
        <w:t>e</w:t>
      </w:r>
      <w:r w:rsidR="00D46DBD" w:rsidRPr="002360E5">
        <w:rPr>
          <w:rFonts w:ascii="Times New Roman" w:hAnsi="Times New Roman"/>
          <w:b/>
          <w:smallCaps/>
          <w:color w:val="0F243E" w:themeColor="text2" w:themeShade="80"/>
          <w:sz w:val="26"/>
          <w:szCs w:val="26"/>
        </w:rPr>
        <w:t xml:space="preserve"> regole generali riguardanti </w:t>
      </w:r>
      <w:r w:rsidRPr="002360E5">
        <w:rPr>
          <w:rFonts w:ascii="Times New Roman" w:hAnsi="Times New Roman"/>
          <w:b/>
          <w:smallCaps/>
          <w:color w:val="0F243E" w:themeColor="text2" w:themeShade="80"/>
          <w:sz w:val="26"/>
          <w:szCs w:val="26"/>
        </w:rPr>
        <w:t xml:space="preserve">il procedimento di </w:t>
      </w:r>
      <w:r w:rsidRPr="002360E5">
        <w:rPr>
          <w:rFonts w:ascii="Times New Roman" w:hAnsi="Times New Roman"/>
          <w:b/>
          <w:i/>
          <w:smallCaps/>
          <w:color w:val="0F243E" w:themeColor="text2" w:themeShade="80"/>
          <w:sz w:val="26"/>
          <w:szCs w:val="26"/>
        </w:rPr>
        <w:t>formazione</w:t>
      </w:r>
      <w:r w:rsidRPr="002360E5">
        <w:rPr>
          <w:rFonts w:ascii="Times New Roman" w:hAnsi="Times New Roman"/>
          <w:b/>
          <w:smallCaps/>
          <w:color w:val="0F243E" w:themeColor="text2" w:themeShade="80"/>
          <w:sz w:val="26"/>
          <w:szCs w:val="26"/>
        </w:rPr>
        <w:t xml:space="preserve"> del</w:t>
      </w:r>
      <w:r w:rsidR="00D46DBD" w:rsidRPr="002360E5">
        <w:rPr>
          <w:rFonts w:ascii="Times New Roman" w:hAnsi="Times New Roman"/>
          <w:b/>
          <w:smallCaps/>
          <w:color w:val="0F243E" w:themeColor="text2" w:themeShade="80"/>
          <w:sz w:val="26"/>
          <w:szCs w:val="26"/>
        </w:rPr>
        <w:t xml:space="preserve">la </w:t>
      </w:r>
      <w:r w:rsidR="00D46DBD" w:rsidRPr="002360E5">
        <w:rPr>
          <w:rFonts w:ascii="Times New Roman" w:hAnsi="Times New Roman"/>
          <w:b/>
          <w:i/>
          <w:smallCaps/>
          <w:color w:val="0F243E" w:themeColor="text2" w:themeShade="80"/>
          <w:sz w:val="26"/>
          <w:szCs w:val="26"/>
        </w:rPr>
        <w:t>regolazione flessibile</w:t>
      </w:r>
      <w:r w:rsidR="00D46DBD" w:rsidRPr="002360E5">
        <w:rPr>
          <w:rFonts w:ascii="Times New Roman" w:hAnsi="Times New Roman"/>
          <w:b/>
          <w:smallCaps/>
          <w:color w:val="0F243E" w:themeColor="text2" w:themeShade="80"/>
          <w:sz w:val="26"/>
          <w:szCs w:val="26"/>
        </w:rPr>
        <w:t>.</w:t>
      </w:r>
      <w:r w:rsidR="00D46DBD" w:rsidRPr="002360E5">
        <w:rPr>
          <w:rFonts w:ascii="Times New Roman" w:hAnsi="Times New Roman"/>
          <w:smallCaps/>
          <w:color w:val="0F243E" w:themeColor="text2" w:themeShade="80"/>
          <w:sz w:val="26"/>
          <w:szCs w:val="26"/>
        </w:rPr>
        <w:t xml:space="preserve"> </w:t>
      </w:r>
      <w:r w:rsidR="00B34A7D" w:rsidRPr="002360E5">
        <w:rPr>
          <w:rFonts w:ascii="Times New Roman" w:hAnsi="Times New Roman"/>
          <w:b/>
          <w:smallCaps/>
          <w:color w:val="0F243E" w:themeColor="text2" w:themeShade="80"/>
          <w:sz w:val="26"/>
          <w:szCs w:val="26"/>
        </w:rPr>
        <w:t>La pubblicazione.</w:t>
      </w:r>
    </w:p>
    <w:p w:rsidR="00AE1765" w:rsidRDefault="008F5CF2"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Anche nel codice, </w:t>
      </w:r>
      <w:r w:rsidR="00D46DBD" w:rsidRPr="002360E5">
        <w:rPr>
          <w:rFonts w:ascii="Times New Roman" w:hAnsi="Times New Roman"/>
          <w:color w:val="0F243E" w:themeColor="text2" w:themeShade="80"/>
          <w:sz w:val="26"/>
          <w:szCs w:val="26"/>
        </w:rPr>
        <w:t xml:space="preserve">quindi, </w:t>
      </w:r>
      <w:r w:rsidRPr="002360E5">
        <w:rPr>
          <w:rFonts w:ascii="Times New Roman" w:hAnsi="Times New Roman"/>
          <w:color w:val="0F243E" w:themeColor="text2" w:themeShade="80"/>
          <w:sz w:val="26"/>
          <w:szCs w:val="26"/>
        </w:rPr>
        <w:t xml:space="preserve">si registra </w:t>
      </w:r>
      <w:r w:rsidR="00D46DBD" w:rsidRPr="002360E5">
        <w:rPr>
          <w:rFonts w:ascii="Times New Roman" w:hAnsi="Times New Roman"/>
          <w:color w:val="0F243E" w:themeColor="text2" w:themeShade="80"/>
          <w:sz w:val="26"/>
          <w:szCs w:val="26"/>
        </w:rPr>
        <w:t xml:space="preserve">una </w:t>
      </w:r>
      <w:r w:rsidRPr="002360E5">
        <w:rPr>
          <w:rFonts w:ascii="Times New Roman" w:hAnsi="Times New Roman"/>
          <w:color w:val="0F243E" w:themeColor="text2" w:themeShade="80"/>
          <w:sz w:val="26"/>
          <w:szCs w:val="26"/>
        </w:rPr>
        <w:t>evidente lacunosità dell</w:t>
      </w:r>
      <w:r w:rsidR="00D46DBD" w:rsidRPr="002360E5">
        <w:rPr>
          <w:rFonts w:ascii="Times New Roman" w:hAnsi="Times New Roman"/>
          <w:color w:val="0F243E" w:themeColor="text2" w:themeShade="80"/>
          <w:sz w:val="26"/>
          <w:szCs w:val="26"/>
        </w:rPr>
        <w:t>a disciplina “sistematica” generale della “</w:t>
      </w:r>
      <w:r w:rsidR="00D46DBD" w:rsidRPr="002360E5">
        <w:rPr>
          <w:rFonts w:ascii="Times New Roman" w:hAnsi="Times New Roman"/>
          <w:i/>
          <w:color w:val="0F243E" w:themeColor="text2" w:themeShade="80"/>
          <w:sz w:val="26"/>
          <w:szCs w:val="26"/>
        </w:rPr>
        <w:t>regolamentazione flessibile</w:t>
      </w:r>
      <w:r w:rsidR="00D46DBD" w:rsidRPr="002360E5">
        <w:rPr>
          <w:rFonts w:ascii="Times New Roman" w:hAnsi="Times New Roman"/>
          <w:color w:val="0F243E" w:themeColor="text2" w:themeShade="80"/>
          <w:sz w:val="26"/>
          <w:szCs w:val="26"/>
        </w:rPr>
        <w:t xml:space="preserve">”. Si potrebbe </w:t>
      </w:r>
      <w:r w:rsidR="003D5CF2">
        <w:rPr>
          <w:rFonts w:ascii="Times New Roman" w:hAnsi="Times New Roman"/>
          <w:color w:val="0F243E" w:themeColor="text2" w:themeShade="80"/>
          <w:sz w:val="26"/>
          <w:szCs w:val="26"/>
        </w:rPr>
        <w:t xml:space="preserve">forse sostenere che ciò dipenda dalla natura stessa della tecnica della regolazione flessibile, la quale, ontologicamente, </w:t>
      </w:r>
      <w:r w:rsidR="0054787C">
        <w:rPr>
          <w:rFonts w:ascii="Times New Roman" w:hAnsi="Times New Roman"/>
          <w:color w:val="0F243E" w:themeColor="text2" w:themeShade="80"/>
          <w:sz w:val="26"/>
          <w:szCs w:val="26"/>
        </w:rPr>
        <w:t>non dovrebbe essere sottoposta a vincoli troppo stretti.</w:t>
      </w:r>
      <w:r w:rsidR="00AD1738">
        <w:rPr>
          <w:rFonts w:ascii="Times New Roman" w:hAnsi="Times New Roman"/>
          <w:color w:val="0F243E" w:themeColor="text2" w:themeShade="80"/>
          <w:sz w:val="26"/>
          <w:szCs w:val="26"/>
        </w:rPr>
        <w:t xml:space="preserve"> Pertanto, il codice avrebbe consapevolmente evitato </w:t>
      </w:r>
      <w:r w:rsidR="009B71F0">
        <w:rPr>
          <w:rFonts w:ascii="Times New Roman" w:hAnsi="Times New Roman"/>
          <w:color w:val="0F243E" w:themeColor="text2" w:themeShade="80"/>
          <w:sz w:val="26"/>
          <w:szCs w:val="26"/>
        </w:rPr>
        <w:t>un dettagliato sviluppo del principio</w:t>
      </w:r>
      <w:r w:rsidR="00AE1765">
        <w:rPr>
          <w:rFonts w:ascii="Times New Roman" w:hAnsi="Times New Roman"/>
          <w:color w:val="0F243E" w:themeColor="text2" w:themeShade="80"/>
          <w:sz w:val="26"/>
          <w:szCs w:val="26"/>
        </w:rPr>
        <w:t xml:space="preserve"> stabilito dall’art. 213, rimettendo all’ANAC la facoltà di esercitare la propria funzione regolatoria.</w:t>
      </w:r>
    </w:p>
    <w:p w:rsidR="00D46DBD" w:rsidRPr="002360E5" w:rsidRDefault="00AE1765"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Si sarebbe </w:t>
      </w:r>
      <w:r w:rsidR="009B71F0">
        <w:rPr>
          <w:rFonts w:ascii="Times New Roman" w:hAnsi="Times New Roman"/>
          <w:color w:val="0F243E" w:themeColor="text2" w:themeShade="80"/>
          <w:sz w:val="26"/>
          <w:szCs w:val="26"/>
        </w:rPr>
        <w:t>in</w:t>
      </w:r>
      <w:r w:rsidR="005B7D24">
        <w:rPr>
          <w:rFonts w:ascii="Times New Roman" w:hAnsi="Times New Roman"/>
          <w:color w:val="0F243E" w:themeColor="text2" w:themeShade="80"/>
          <w:sz w:val="26"/>
          <w:szCs w:val="26"/>
        </w:rPr>
        <w:t xml:space="preserve">trodotta, così, </w:t>
      </w:r>
      <w:r w:rsidR="00D46DBD" w:rsidRPr="002360E5">
        <w:rPr>
          <w:rFonts w:ascii="Times New Roman" w:hAnsi="Times New Roman"/>
          <w:color w:val="0F243E" w:themeColor="text2" w:themeShade="80"/>
          <w:sz w:val="26"/>
          <w:szCs w:val="26"/>
        </w:rPr>
        <w:t>una sorta di “</w:t>
      </w:r>
      <w:r w:rsidR="00D46DBD" w:rsidRPr="002360E5">
        <w:rPr>
          <w:rFonts w:ascii="Times New Roman" w:hAnsi="Times New Roman"/>
          <w:i/>
          <w:color w:val="0F243E" w:themeColor="text2" w:themeShade="80"/>
          <w:sz w:val="26"/>
          <w:szCs w:val="26"/>
        </w:rPr>
        <w:t>flessibilità</w:t>
      </w:r>
      <w:r w:rsidR="00D46DBD" w:rsidRPr="002360E5">
        <w:rPr>
          <w:rFonts w:ascii="Times New Roman" w:hAnsi="Times New Roman"/>
          <w:color w:val="0F243E" w:themeColor="text2" w:themeShade="80"/>
          <w:sz w:val="26"/>
          <w:szCs w:val="26"/>
        </w:rPr>
        <w:t xml:space="preserve">” di secondo grado, correlata </w:t>
      </w:r>
      <w:r w:rsidR="00D84749" w:rsidRPr="002360E5">
        <w:rPr>
          <w:rFonts w:ascii="Times New Roman" w:hAnsi="Times New Roman"/>
          <w:color w:val="0F243E" w:themeColor="text2" w:themeShade="80"/>
          <w:sz w:val="26"/>
          <w:szCs w:val="26"/>
        </w:rPr>
        <w:t xml:space="preserve">proprio </w:t>
      </w:r>
      <w:r w:rsidR="00D46DBD" w:rsidRPr="002360E5">
        <w:rPr>
          <w:rFonts w:ascii="Times New Roman" w:hAnsi="Times New Roman"/>
          <w:color w:val="0F243E" w:themeColor="text2" w:themeShade="80"/>
          <w:sz w:val="26"/>
          <w:szCs w:val="26"/>
        </w:rPr>
        <w:t xml:space="preserve">alla possibilità di adottare </w:t>
      </w:r>
      <w:r w:rsidR="002B2F95">
        <w:rPr>
          <w:rFonts w:ascii="Times New Roman" w:hAnsi="Times New Roman"/>
          <w:color w:val="0F243E" w:themeColor="text2" w:themeShade="80"/>
          <w:sz w:val="26"/>
          <w:szCs w:val="26"/>
        </w:rPr>
        <w:t xml:space="preserve">plurimi </w:t>
      </w:r>
      <w:r w:rsidR="00D46DBD" w:rsidRPr="002360E5">
        <w:rPr>
          <w:rFonts w:ascii="Times New Roman" w:hAnsi="Times New Roman"/>
          <w:color w:val="0F243E" w:themeColor="text2" w:themeShade="80"/>
          <w:sz w:val="26"/>
          <w:szCs w:val="26"/>
        </w:rPr>
        <w:t>strumenti dotati di divers</w:t>
      </w:r>
      <w:r w:rsidR="002B2F95">
        <w:rPr>
          <w:rFonts w:ascii="Times New Roman" w:hAnsi="Times New Roman"/>
          <w:color w:val="0F243E" w:themeColor="text2" w:themeShade="80"/>
          <w:sz w:val="26"/>
          <w:szCs w:val="26"/>
        </w:rPr>
        <w:t>i</w:t>
      </w:r>
      <w:r w:rsidR="00D46DBD" w:rsidRPr="002360E5">
        <w:rPr>
          <w:rFonts w:ascii="Times New Roman" w:hAnsi="Times New Roman"/>
          <w:color w:val="0F243E" w:themeColor="text2" w:themeShade="80"/>
          <w:sz w:val="26"/>
          <w:szCs w:val="26"/>
        </w:rPr>
        <w:t xml:space="preserve"> grad</w:t>
      </w:r>
      <w:r w:rsidR="002B2F95">
        <w:rPr>
          <w:rFonts w:ascii="Times New Roman" w:hAnsi="Times New Roman"/>
          <w:color w:val="0F243E" w:themeColor="text2" w:themeShade="80"/>
          <w:sz w:val="26"/>
          <w:szCs w:val="26"/>
        </w:rPr>
        <w:t>i</w:t>
      </w:r>
      <w:r w:rsidR="00D46DBD" w:rsidRPr="002360E5">
        <w:rPr>
          <w:rFonts w:ascii="Times New Roman" w:hAnsi="Times New Roman"/>
          <w:color w:val="0F243E" w:themeColor="text2" w:themeShade="80"/>
          <w:sz w:val="26"/>
          <w:szCs w:val="26"/>
        </w:rPr>
        <w:t xml:space="preserve"> di duttilità, con riguardo all’ambito di operatività, al procedimento e all’efficacia.</w:t>
      </w:r>
    </w:p>
    <w:p w:rsidR="00D46DBD" w:rsidRPr="002360E5" w:rsidRDefault="00986577"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Ora, è </w:t>
      </w:r>
      <w:r w:rsidRPr="002360E5">
        <w:rPr>
          <w:rFonts w:ascii="Times New Roman" w:hAnsi="Times New Roman"/>
          <w:color w:val="0F243E" w:themeColor="text2" w:themeShade="80"/>
          <w:sz w:val="26"/>
          <w:szCs w:val="26"/>
        </w:rPr>
        <w:t xml:space="preserve">forse </w:t>
      </w:r>
      <w:r>
        <w:rPr>
          <w:rFonts w:ascii="Times New Roman" w:hAnsi="Times New Roman"/>
          <w:color w:val="0F243E" w:themeColor="text2" w:themeShade="80"/>
          <w:sz w:val="26"/>
          <w:szCs w:val="26"/>
        </w:rPr>
        <w:t xml:space="preserve">vero che </w:t>
      </w:r>
      <w:r w:rsidRPr="002360E5">
        <w:rPr>
          <w:rFonts w:ascii="Times New Roman" w:hAnsi="Times New Roman"/>
          <w:color w:val="0F243E" w:themeColor="text2" w:themeShade="80"/>
          <w:sz w:val="26"/>
          <w:szCs w:val="26"/>
        </w:rPr>
        <w:t xml:space="preserve">nella </w:t>
      </w:r>
      <w:r w:rsidR="001926C6" w:rsidRPr="002360E5">
        <w:rPr>
          <w:rFonts w:ascii="Times New Roman" w:hAnsi="Times New Roman"/>
          <w:color w:val="0F243E" w:themeColor="text2" w:themeShade="80"/>
          <w:sz w:val="26"/>
          <w:szCs w:val="26"/>
        </w:rPr>
        <w:t>legge delega</w:t>
      </w:r>
      <w:r w:rsidR="001926C6" w:rsidRPr="002360E5">
        <w:rPr>
          <w:rFonts w:ascii="Times New Roman" w:hAnsi="Times New Roman"/>
          <w:b/>
          <w:color w:val="0F243E" w:themeColor="text2" w:themeShade="80"/>
          <w:sz w:val="26"/>
          <w:szCs w:val="26"/>
        </w:rPr>
        <w:t xml:space="preserve"> </w:t>
      </w:r>
      <w:r w:rsidR="001926C6" w:rsidRPr="002360E5">
        <w:rPr>
          <w:rFonts w:ascii="Times New Roman" w:hAnsi="Times New Roman"/>
          <w:color w:val="0F243E" w:themeColor="text2" w:themeShade="80"/>
          <w:sz w:val="26"/>
          <w:szCs w:val="26"/>
        </w:rPr>
        <w:t>l</w:t>
      </w:r>
      <w:r w:rsidR="00D46DBD" w:rsidRPr="002360E5">
        <w:rPr>
          <w:rFonts w:ascii="Times New Roman" w:hAnsi="Times New Roman"/>
          <w:color w:val="0F243E" w:themeColor="text2" w:themeShade="80"/>
          <w:sz w:val="26"/>
          <w:szCs w:val="26"/>
        </w:rPr>
        <w:t xml:space="preserve">a sinteticità e genericità della previsione generale </w:t>
      </w:r>
      <w:r w:rsidR="00D84749" w:rsidRPr="002360E5">
        <w:rPr>
          <w:rFonts w:ascii="Times New Roman" w:hAnsi="Times New Roman"/>
          <w:color w:val="0F243E" w:themeColor="text2" w:themeShade="80"/>
          <w:sz w:val="26"/>
          <w:szCs w:val="26"/>
        </w:rPr>
        <w:t>sulla natura de</w:t>
      </w:r>
      <w:r>
        <w:rPr>
          <w:rFonts w:ascii="Times New Roman" w:hAnsi="Times New Roman"/>
          <w:color w:val="0F243E" w:themeColor="text2" w:themeShade="80"/>
          <w:sz w:val="26"/>
          <w:szCs w:val="26"/>
        </w:rPr>
        <w:t>i poteri dell’</w:t>
      </w:r>
      <w:r w:rsidR="00D84749" w:rsidRPr="002360E5">
        <w:rPr>
          <w:rFonts w:ascii="Times New Roman" w:hAnsi="Times New Roman"/>
          <w:color w:val="0F243E" w:themeColor="text2" w:themeShade="80"/>
          <w:sz w:val="26"/>
          <w:szCs w:val="26"/>
        </w:rPr>
        <w:t xml:space="preserve">ANAC </w:t>
      </w:r>
      <w:r w:rsidR="00D46DBD" w:rsidRPr="002360E5">
        <w:rPr>
          <w:rFonts w:ascii="Times New Roman" w:hAnsi="Times New Roman"/>
          <w:color w:val="0F243E" w:themeColor="text2" w:themeShade="80"/>
          <w:sz w:val="26"/>
          <w:szCs w:val="26"/>
        </w:rPr>
        <w:t>pot</w:t>
      </w:r>
      <w:r w:rsidR="00CA6EB9">
        <w:rPr>
          <w:rFonts w:ascii="Times New Roman" w:hAnsi="Times New Roman"/>
          <w:color w:val="0F243E" w:themeColor="text2" w:themeShade="80"/>
          <w:sz w:val="26"/>
          <w:szCs w:val="26"/>
        </w:rPr>
        <w:t>r</w:t>
      </w:r>
      <w:r w:rsidR="00D46DBD" w:rsidRPr="002360E5">
        <w:rPr>
          <w:rFonts w:ascii="Times New Roman" w:hAnsi="Times New Roman"/>
          <w:color w:val="0F243E" w:themeColor="text2" w:themeShade="80"/>
          <w:sz w:val="26"/>
          <w:szCs w:val="26"/>
        </w:rPr>
        <w:t>e</w:t>
      </w:r>
      <w:r w:rsidR="00CA6EB9">
        <w:rPr>
          <w:rFonts w:ascii="Times New Roman" w:hAnsi="Times New Roman"/>
          <w:color w:val="0F243E" w:themeColor="text2" w:themeShade="80"/>
          <w:sz w:val="26"/>
          <w:szCs w:val="26"/>
        </w:rPr>
        <w:t>bbe</w:t>
      </w:r>
      <w:r w:rsidR="00D46DBD" w:rsidRPr="002360E5">
        <w:rPr>
          <w:rFonts w:ascii="Times New Roman" w:hAnsi="Times New Roman"/>
          <w:color w:val="0F243E" w:themeColor="text2" w:themeShade="80"/>
          <w:sz w:val="26"/>
          <w:szCs w:val="26"/>
        </w:rPr>
        <w:t xml:space="preserve"> essere giustificata, in qualche </w:t>
      </w:r>
      <w:r w:rsidR="006409AE" w:rsidRPr="002360E5">
        <w:rPr>
          <w:rFonts w:ascii="Times New Roman" w:hAnsi="Times New Roman"/>
          <w:color w:val="0F243E" w:themeColor="text2" w:themeShade="80"/>
          <w:sz w:val="26"/>
          <w:szCs w:val="26"/>
        </w:rPr>
        <w:t xml:space="preserve">limitata </w:t>
      </w:r>
      <w:r w:rsidR="00CA6EB9">
        <w:rPr>
          <w:rFonts w:ascii="Times New Roman" w:hAnsi="Times New Roman"/>
          <w:color w:val="0F243E" w:themeColor="text2" w:themeShade="80"/>
          <w:sz w:val="26"/>
          <w:szCs w:val="26"/>
        </w:rPr>
        <w:t>misura, poiché si tratta</w:t>
      </w:r>
      <w:r w:rsidR="00D351D0">
        <w:rPr>
          <w:rFonts w:ascii="Times New Roman" w:hAnsi="Times New Roman"/>
          <w:color w:val="0F243E" w:themeColor="text2" w:themeShade="80"/>
          <w:sz w:val="26"/>
          <w:szCs w:val="26"/>
        </w:rPr>
        <w:t xml:space="preserve"> di </w:t>
      </w:r>
      <w:r w:rsidR="00D46DBD" w:rsidRPr="002360E5">
        <w:rPr>
          <w:rFonts w:ascii="Times New Roman" w:hAnsi="Times New Roman"/>
          <w:color w:val="0F243E" w:themeColor="text2" w:themeShade="80"/>
          <w:sz w:val="26"/>
          <w:szCs w:val="26"/>
        </w:rPr>
        <w:t xml:space="preserve">fissare solo i </w:t>
      </w:r>
      <w:r w:rsidR="00D46DBD" w:rsidRPr="002360E5">
        <w:rPr>
          <w:rFonts w:ascii="Times New Roman" w:hAnsi="Times New Roman"/>
          <w:i/>
          <w:color w:val="0F243E" w:themeColor="text2" w:themeShade="80"/>
          <w:sz w:val="26"/>
          <w:szCs w:val="26"/>
        </w:rPr>
        <w:t>principi</w:t>
      </w:r>
      <w:r w:rsidR="00D46DBD" w:rsidRPr="002360E5">
        <w:rPr>
          <w:rFonts w:ascii="Times New Roman" w:hAnsi="Times New Roman"/>
          <w:color w:val="0F243E" w:themeColor="text2" w:themeShade="80"/>
          <w:sz w:val="26"/>
          <w:szCs w:val="26"/>
        </w:rPr>
        <w:t xml:space="preserve"> portanti della materia. </w:t>
      </w:r>
      <w:r w:rsidR="00CA6EB9">
        <w:rPr>
          <w:rFonts w:ascii="Times New Roman" w:hAnsi="Times New Roman"/>
          <w:color w:val="0F243E" w:themeColor="text2" w:themeShade="80"/>
          <w:sz w:val="26"/>
          <w:szCs w:val="26"/>
        </w:rPr>
        <w:t xml:space="preserve">Ma, nel codice, occorre </w:t>
      </w:r>
      <w:r w:rsidR="00A43D03">
        <w:rPr>
          <w:rFonts w:ascii="Times New Roman" w:hAnsi="Times New Roman"/>
          <w:color w:val="0F243E" w:themeColor="text2" w:themeShade="80"/>
          <w:sz w:val="26"/>
          <w:szCs w:val="26"/>
        </w:rPr>
        <w:t>la massima chiarezza, considerando l’impatto pratico delle determinazioni dell’Autorità</w:t>
      </w:r>
      <w:r w:rsidR="00D46DBD" w:rsidRPr="002360E5">
        <w:rPr>
          <w:rFonts w:ascii="Times New Roman" w:hAnsi="Times New Roman"/>
          <w:color w:val="0F243E" w:themeColor="text2" w:themeShade="80"/>
          <w:sz w:val="26"/>
          <w:szCs w:val="26"/>
        </w:rPr>
        <w:t>.</w:t>
      </w:r>
    </w:p>
    <w:p w:rsidR="00082006" w:rsidRPr="002360E5" w:rsidRDefault="002104EF"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Solo l’art. 213</w:t>
      </w:r>
      <w:r w:rsidR="006F42F7">
        <w:rPr>
          <w:rFonts w:ascii="Times New Roman" w:hAnsi="Times New Roman"/>
          <w:color w:val="0F243E" w:themeColor="text2" w:themeShade="80"/>
          <w:sz w:val="26"/>
          <w:szCs w:val="26"/>
        </w:rPr>
        <w:t>, comma 2, ultimo periodo,</w:t>
      </w:r>
      <w:r>
        <w:rPr>
          <w:rFonts w:ascii="Times New Roman" w:hAnsi="Times New Roman"/>
          <w:color w:val="0F243E" w:themeColor="text2" w:themeShade="80"/>
          <w:sz w:val="26"/>
          <w:szCs w:val="26"/>
        </w:rPr>
        <w:t xml:space="preserve"> contiene un’</w:t>
      </w:r>
      <w:r w:rsidR="00082006" w:rsidRPr="002360E5">
        <w:rPr>
          <w:rFonts w:ascii="Times New Roman" w:hAnsi="Times New Roman"/>
          <w:color w:val="0F243E" w:themeColor="text2" w:themeShade="80"/>
          <w:sz w:val="26"/>
          <w:szCs w:val="26"/>
        </w:rPr>
        <w:t>importante previsione generale, secondo cui “</w:t>
      </w:r>
      <w:r w:rsidR="00082006" w:rsidRPr="002360E5">
        <w:rPr>
          <w:rFonts w:ascii="Times New Roman" w:hAnsi="Times New Roman"/>
          <w:i/>
          <w:color w:val="0F243E" w:themeColor="text2" w:themeShade="80"/>
          <w:sz w:val="26"/>
          <w:szCs w:val="26"/>
        </w:rPr>
        <w:t>L'ANAC, per l'emanazione delle linee guida, si dota, nei modi previsti dal proprio ordinamento, di forme e metodi di consultazione, di analisi e di verifica dell'impatto della regolazione, di consolidamento delle linee guida in testi unici integrati, organici e omogenei per materia, di adeguata pubblicità, anche sulla Gazzetta Ufficiale, in modo che siano rispettati la qualità della regolazione e il divieto di introduzione o di mantenimento di livelli di regolazione superiori a quelli minimi richiesti dalla legge n. 11 del 2016 e dal presente codice</w:t>
      </w:r>
      <w:r w:rsidR="00082006" w:rsidRPr="002360E5">
        <w:rPr>
          <w:rFonts w:ascii="Times New Roman" w:hAnsi="Times New Roman"/>
          <w:color w:val="0F243E" w:themeColor="text2" w:themeShade="80"/>
          <w:sz w:val="26"/>
          <w:szCs w:val="26"/>
        </w:rPr>
        <w:t>”.</w:t>
      </w:r>
    </w:p>
    <w:p w:rsidR="000E0422" w:rsidRPr="002360E5" w:rsidRDefault="000E0422"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A questa, il correttivo ha aggiunto un’altra indicazione</w:t>
      </w:r>
      <w:r w:rsidR="006F42F7">
        <w:rPr>
          <w:rFonts w:ascii="Times New Roman" w:hAnsi="Times New Roman"/>
          <w:color w:val="0F243E" w:themeColor="text2" w:themeShade="80"/>
          <w:sz w:val="26"/>
          <w:szCs w:val="26"/>
        </w:rPr>
        <w:t xml:space="preserve"> (comma 17-</w:t>
      </w:r>
      <w:r w:rsidR="006F42F7" w:rsidRPr="006F42F7">
        <w:rPr>
          <w:rFonts w:ascii="Times New Roman" w:hAnsi="Times New Roman"/>
          <w:i/>
          <w:color w:val="0F243E" w:themeColor="text2" w:themeShade="80"/>
          <w:sz w:val="26"/>
          <w:szCs w:val="26"/>
        </w:rPr>
        <w:t>bis</w:t>
      </w:r>
      <w:r w:rsidR="006F42F7">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che appare visibilmente ispirata dalla </w:t>
      </w:r>
      <w:r w:rsidR="003122C6" w:rsidRPr="002360E5">
        <w:rPr>
          <w:rFonts w:ascii="Times New Roman" w:hAnsi="Times New Roman"/>
          <w:color w:val="0F243E" w:themeColor="text2" w:themeShade="80"/>
          <w:sz w:val="26"/>
          <w:szCs w:val="26"/>
        </w:rPr>
        <w:t>natura sostanzialmente normativa degli atti di regolazione flessibile: “</w:t>
      </w:r>
      <w:r w:rsidR="003122C6" w:rsidRPr="002360E5">
        <w:rPr>
          <w:rFonts w:ascii="Times New Roman" w:hAnsi="Times New Roman"/>
          <w:i/>
          <w:color w:val="0F243E" w:themeColor="text2" w:themeShade="80"/>
          <w:sz w:val="26"/>
          <w:szCs w:val="26"/>
        </w:rPr>
        <w:t>L'ANAC indica negli strumenti di regolazione flessibile, di cui al comma 2, e negli ulteriori atti previsti dal presente codice, la data in cui gli stessi acquistano efficacia, che di regola coincide con il quindicesimo giorno successivo alla loro pubblicazione nella Gazzetta Ufficiale della Repubblica italiana e che, in casi di particolare urgenza, non può comunque essere anteriore al giorno successivo alla loro pubblicazione nella Gazzetta Ufficiale della Repubblica italiana. Gli atti stessi si applicano alle procedure e ai contratti per i quali i bandi o gli avvisi, con cui si indice la procedura di scelta del contraente, siano pubblicati successivamente alla data di decorrenza di efficacia indicata dall'ANAC ai sensi del primo periodo; in caso di contratti senza pubblicazione di bandi o di avvisi si applicano alle procedure e ai contratti in relazione ai quali, alla data di decorrenza di efficacia, non siano ancora stati inviati gli inviti a presentare le offerte” (art. 213, comma 17-bis)</w:t>
      </w:r>
      <w:r w:rsidR="003122C6" w:rsidRPr="002360E5">
        <w:rPr>
          <w:rFonts w:ascii="Times New Roman" w:hAnsi="Times New Roman"/>
          <w:color w:val="0F243E" w:themeColor="text2" w:themeShade="80"/>
          <w:sz w:val="26"/>
          <w:szCs w:val="26"/>
        </w:rPr>
        <w:t>.</w:t>
      </w:r>
    </w:p>
    <w:p w:rsidR="00952D79" w:rsidRDefault="003122C6"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In questa previsione risulta evidente l’applicazione del principio di irretroattività delle norme giuridiche.</w:t>
      </w:r>
      <w:r w:rsidR="00EF11AB">
        <w:rPr>
          <w:rFonts w:ascii="Times New Roman" w:hAnsi="Times New Roman"/>
          <w:color w:val="0F243E" w:themeColor="text2" w:themeShade="80"/>
          <w:sz w:val="26"/>
          <w:szCs w:val="26"/>
        </w:rPr>
        <w:t xml:space="preserve"> </w:t>
      </w:r>
      <w:r w:rsidR="00952D79" w:rsidRPr="002360E5">
        <w:rPr>
          <w:rFonts w:ascii="Times New Roman" w:hAnsi="Times New Roman"/>
          <w:color w:val="0F243E" w:themeColor="text2" w:themeShade="80"/>
          <w:sz w:val="26"/>
          <w:szCs w:val="26"/>
        </w:rPr>
        <w:t>Da notare che questo principio riguarda indistintamente tutte le ipotesi di regolazione flessibile, compresi i bandi-tipo</w:t>
      </w:r>
      <w:r w:rsidR="002104EF">
        <w:rPr>
          <w:rFonts w:ascii="Times New Roman" w:hAnsi="Times New Roman"/>
          <w:color w:val="0F243E" w:themeColor="text2" w:themeShade="80"/>
          <w:sz w:val="26"/>
          <w:szCs w:val="26"/>
        </w:rPr>
        <w:t>, che assumono efficacia solo parzialmente vincolante e non sono riconducibili al modello del regolamento</w:t>
      </w:r>
      <w:r w:rsidR="00952D79" w:rsidRPr="002360E5">
        <w:rPr>
          <w:rFonts w:ascii="Times New Roman" w:hAnsi="Times New Roman"/>
          <w:color w:val="0F243E" w:themeColor="text2" w:themeShade="80"/>
          <w:sz w:val="26"/>
          <w:szCs w:val="26"/>
        </w:rPr>
        <w:t>.</w:t>
      </w:r>
    </w:p>
    <w:p w:rsidR="002104EF" w:rsidRPr="002360E5" w:rsidRDefault="002104EF" w:rsidP="002104EF">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Anche </w:t>
      </w:r>
      <w:r w:rsidRPr="002360E5">
        <w:rPr>
          <w:rFonts w:ascii="Times New Roman" w:hAnsi="Times New Roman"/>
          <w:color w:val="0F243E" w:themeColor="text2" w:themeShade="80"/>
          <w:sz w:val="26"/>
          <w:szCs w:val="26"/>
        </w:rPr>
        <w:t xml:space="preserve">il comma 17 dello stesso art. 213 prevede una disposizione </w:t>
      </w:r>
      <w:r w:rsidRPr="002360E5">
        <w:rPr>
          <w:rFonts w:ascii="Times New Roman" w:hAnsi="Times New Roman"/>
          <w:b/>
          <w:i/>
          <w:color w:val="0F243E" w:themeColor="text2" w:themeShade="80"/>
          <w:sz w:val="26"/>
          <w:szCs w:val="26"/>
        </w:rPr>
        <w:t>procedimentale</w:t>
      </w:r>
      <w:r w:rsidRPr="002360E5">
        <w:rPr>
          <w:rFonts w:ascii="Times New Roman" w:hAnsi="Times New Roman"/>
          <w:color w:val="0F243E" w:themeColor="text2" w:themeShade="80"/>
          <w:sz w:val="26"/>
          <w:szCs w:val="26"/>
        </w:rPr>
        <w:t xml:space="preserve"> “generale”, ma, a ben vedere, scarsamente significativa. La norma riguarda la fase successiva a quella di perfezionamento dell’atto, conseguente alla stessa integrazione dell’efficacia, introducendo una forma di mera pubblicità notizia: “</w:t>
      </w:r>
      <w:r w:rsidRPr="002360E5">
        <w:rPr>
          <w:rFonts w:ascii="Times New Roman" w:hAnsi="Times New Roman"/>
          <w:i/>
          <w:color w:val="0F243E" w:themeColor="text2" w:themeShade="80"/>
          <w:sz w:val="26"/>
          <w:szCs w:val="26"/>
        </w:rPr>
        <w:t xml:space="preserve">Al fine di garantire la </w:t>
      </w:r>
      <w:r w:rsidRPr="002360E5">
        <w:rPr>
          <w:rFonts w:ascii="Times New Roman" w:hAnsi="Times New Roman"/>
          <w:b/>
          <w:i/>
          <w:color w:val="0F243E" w:themeColor="text2" w:themeShade="80"/>
          <w:sz w:val="26"/>
          <w:szCs w:val="26"/>
        </w:rPr>
        <w:t>consultazione</w:t>
      </w:r>
      <w:r w:rsidRPr="002360E5">
        <w:rPr>
          <w:rFonts w:ascii="Times New Roman" w:hAnsi="Times New Roman"/>
          <w:i/>
          <w:color w:val="0F243E" w:themeColor="text2" w:themeShade="80"/>
          <w:sz w:val="26"/>
          <w:szCs w:val="26"/>
        </w:rPr>
        <w:t xml:space="preserve"> immediata e suddivisa per materia degli strumenti di regolazione flessibile adottati dall'ANAC comunque denominati, l'ANAC </w:t>
      </w:r>
      <w:r w:rsidRPr="002360E5">
        <w:rPr>
          <w:rFonts w:ascii="Times New Roman" w:hAnsi="Times New Roman"/>
          <w:b/>
          <w:i/>
          <w:color w:val="0F243E" w:themeColor="text2" w:themeShade="80"/>
          <w:sz w:val="26"/>
          <w:szCs w:val="26"/>
        </w:rPr>
        <w:t>pubblica i suddetti provvedimenti</w:t>
      </w:r>
      <w:r w:rsidRPr="002360E5">
        <w:rPr>
          <w:rFonts w:ascii="Times New Roman" w:hAnsi="Times New Roman"/>
          <w:i/>
          <w:color w:val="0F243E" w:themeColor="text2" w:themeShade="80"/>
          <w:sz w:val="26"/>
          <w:szCs w:val="26"/>
        </w:rPr>
        <w:t xml:space="preserve"> con modalità tali da rendere immediatamente accessibile alle stazioni appaltanti e agli operatori economici la disciplina applicabile a ciascun procedimento</w:t>
      </w:r>
      <w:r w:rsidRPr="002360E5">
        <w:rPr>
          <w:rFonts w:ascii="Times New Roman" w:hAnsi="Times New Roman"/>
          <w:color w:val="0F243E" w:themeColor="text2" w:themeShade="80"/>
          <w:sz w:val="26"/>
          <w:szCs w:val="26"/>
        </w:rPr>
        <w:t>”.</w:t>
      </w:r>
    </w:p>
    <w:p w:rsidR="002104EF" w:rsidRPr="002360E5" w:rsidRDefault="002104EF" w:rsidP="002104EF">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Si tratta, quindi, di una disposizione “complementare”, che riguarda solo gli strumenti di conoscibilità “empirica” degli atti dell’Autorità, senza toccarne i contenuti sostanziali. Oltre tutto, il generico regime di pubblicità integrativa previsto dalla disposizione non sembra nemmeno qualificabile come condizione di efficacia dell’atto dell’ANAC.</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p>
    <w:p w:rsidR="00D46DBD" w:rsidRPr="002360E5" w:rsidRDefault="00D46DBD" w:rsidP="00596E5E">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sidRPr="002360E5">
        <w:rPr>
          <w:rFonts w:ascii="Times New Roman" w:hAnsi="Times New Roman"/>
          <w:b/>
          <w:smallCaps/>
          <w:color w:val="0F243E" w:themeColor="text2" w:themeShade="80"/>
          <w:sz w:val="26"/>
          <w:szCs w:val="26"/>
        </w:rPr>
        <w:t>L</w:t>
      </w:r>
      <w:r w:rsidR="006E4809" w:rsidRPr="002360E5">
        <w:rPr>
          <w:rFonts w:ascii="Times New Roman" w:hAnsi="Times New Roman"/>
          <w:b/>
          <w:smallCaps/>
          <w:color w:val="0F243E" w:themeColor="text2" w:themeShade="80"/>
          <w:sz w:val="26"/>
          <w:szCs w:val="26"/>
        </w:rPr>
        <w:t>’ipotesi tipica de</w:t>
      </w:r>
      <w:r w:rsidRPr="002360E5">
        <w:rPr>
          <w:rFonts w:ascii="Times New Roman" w:hAnsi="Times New Roman"/>
          <w:b/>
          <w:smallCaps/>
          <w:color w:val="0F243E" w:themeColor="text2" w:themeShade="80"/>
          <w:sz w:val="26"/>
          <w:szCs w:val="26"/>
        </w:rPr>
        <w:t xml:space="preserve">i </w:t>
      </w:r>
      <w:r w:rsidRPr="002360E5">
        <w:rPr>
          <w:rFonts w:ascii="Times New Roman" w:hAnsi="Times New Roman"/>
          <w:b/>
          <w:i/>
          <w:smallCaps/>
          <w:color w:val="0F243E" w:themeColor="text2" w:themeShade="80"/>
          <w:sz w:val="26"/>
          <w:szCs w:val="26"/>
        </w:rPr>
        <w:t>bandi-tipo</w:t>
      </w:r>
      <w:r w:rsidR="007F76F9" w:rsidRPr="002360E5">
        <w:rPr>
          <w:rFonts w:ascii="Times New Roman" w:hAnsi="Times New Roman"/>
          <w:b/>
          <w:smallCaps/>
          <w:color w:val="0F243E" w:themeColor="text2" w:themeShade="80"/>
          <w:sz w:val="26"/>
          <w:szCs w:val="26"/>
        </w:rPr>
        <w:t xml:space="preserve">: </w:t>
      </w:r>
      <w:r w:rsidR="00DA0055" w:rsidRPr="002360E5">
        <w:rPr>
          <w:rFonts w:ascii="Times New Roman" w:hAnsi="Times New Roman"/>
          <w:b/>
          <w:smallCaps/>
          <w:color w:val="0F243E" w:themeColor="text2" w:themeShade="80"/>
          <w:sz w:val="26"/>
          <w:szCs w:val="26"/>
        </w:rPr>
        <w:t xml:space="preserve">la </w:t>
      </w:r>
      <w:r w:rsidR="007F76F9" w:rsidRPr="002360E5">
        <w:rPr>
          <w:rFonts w:ascii="Times New Roman" w:hAnsi="Times New Roman"/>
          <w:b/>
          <w:i/>
          <w:smallCaps/>
          <w:color w:val="0F243E" w:themeColor="text2" w:themeShade="80"/>
          <w:sz w:val="26"/>
          <w:szCs w:val="26"/>
        </w:rPr>
        <w:t>vincolatività condizionata</w:t>
      </w:r>
      <w:r w:rsidR="007F76F9" w:rsidRPr="002360E5">
        <w:rPr>
          <w:rFonts w:ascii="Times New Roman" w:hAnsi="Times New Roman"/>
          <w:b/>
          <w:smallCaps/>
          <w:color w:val="0F243E" w:themeColor="text2" w:themeShade="80"/>
          <w:sz w:val="26"/>
          <w:szCs w:val="26"/>
        </w:rPr>
        <w:t xml:space="preserve"> delle prescrizioni stabilite dall’ANAC.</w:t>
      </w:r>
    </w:p>
    <w:p w:rsidR="00913511" w:rsidRDefault="008F0CFA" w:rsidP="008F0CFA">
      <w:pPr>
        <w:tabs>
          <w:tab w:val="left" w:pos="0"/>
        </w:tabs>
        <w:rPr>
          <w:rFonts w:ascii="Times New Roman" w:hAnsi="Times New Roman"/>
          <w:color w:val="0F243E" w:themeColor="text2" w:themeShade="80"/>
          <w:sz w:val="26"/>
          <w:szCs w:val="26"/>
        </w:rPr>
      </w:pPr>
      <w:r w:rsidRPr="008F0CFA">
        <w:rPr>
          <w:rFonts w:ascii="Times New Roman" w:hAnsi="Times New Roman"/>
          <w:color w:val="0F243E" w:themeColor="text2" w:themeShade="80"/>
          <w:sz w:val="26"/>
          <w:szCs w:val="26"/>
        </w:rPr>
        <w:t>Il codice, quindi, rinuncia a configurare in modo preciso e unitario il concetto di regolazione flessibile.</w:t>
      </w:r>
      <w:r w:rsidR="00913511">
        <w:rPr>
          <w:rFonts w:ascii="Times New Roman" w:hAnsi="Times New Roman"/>
          <w:color w:val="0F243E" w:themeColor="text2" w:themeShade="80"/>
          <w:sz w:val="26"/>
          <w:szCs w:val="26"/>
        </w:rPr>
        <w:t xml:space="preserve"> </w:t>
      </w:r>
      <w:r w:rsidR="00913511" w:rsidRPr="008F0CFA">
        <w:rPr>
          <w:rFonts w:ascii="Times New Roman" w:hAnsi="Times New Roman"/>
          <w:color w:val="0F243E" w:themeColor="text2" w:themeShade="80"/>
          <w:sz w:val="26"/>
          <w:szCs w:val="26"/>
        </w:rPr>
        <w:t>Omette</w:t>
      </w:r>
      <w:r w:rsidR="00913511">
        <w:rPr>
          <w:rFonts w:ascii="Times New Roman" w:hAnsi="Times New Roman"/>
          <w:color w:val="0F243E" w:themeColor="text2" w:themeShade="80"/>
          <w:sz w:val="26"/>
          <w:szCs w:val="26"/>
        </w:rPr>
        <w:t>, poi,</w:t>
      </w:r>
      <w:r w:rsidR="00913511" w:rsidRPr="008F0CFA">
        <w:rPr>
          <w:rFonts w:ascii="Times New Roman" w:hAnsi="Times New Roman"/>
          <w:color w:val="0F243E" w:themeColor="text2" w:themeShade="80"/>
          <w:sz w:val="26"/>
          <w:szCs w:val="26"/>
        </w:rPr>
        <w:t xml:space="preserve"> </w:t>
      </w:r>
      <w:r w:rsidRPr="008F0CFA">
        <w:rPr>
          <w:rFonts w:ascii="Times New Roman" w:hAnsi="Times New Roman"/>
          <w:color w:val="0F243E" w:themeColor="text2" w:themeShade="80"/>
          <w:sz w:val="26"/>
          <w:szCs w:val="26"/>
        </w:rPr>
        <w:t>un’accurata disciplina generale delle linee guida. Tali strumenti sono considerati distintamente in singole disposizioni, anche esse piuttost</w:t>
      </w:r>
      <w:r w:rsidR="00913511">
        <w:rPr>
          <w:rFonts w:ascii="Times New Roman" w:hAnsi="Times New Roman"/>
          <w:color w:val="0F243E" w:themeColor="text2" w:themeShade="80"/>
          <w:sz w:val="26"/>
          <w:szCs w:val="26"/>
        </w:rPr>
        <w:t>o avare di precise indicazioni.</w:t>
      </w:r>
    </w:p>
    <w:p w:rsidR="00105637" w:rsidRDefault="008F0CFA" w:rsidP="008F0CFA">
      <w:pPr>
        <w:tabs>
          <w:tab w:val="left" w:pos="0"/>
        </w:tabs>
        <w:rPr>
          <w:rFonts w:ascii="Times New Roman" w:hAnsi="Times New Roman"/>
          <w:color w:val="0F243E" w:themeColor="text2" w:themeShade="80"/>
          <w:sz w:val="26"/>
          <w:szCs w:val="26"/>
        </w:rPr>
      </w:pPr>
      <w:r w:rsidRPr="008F0CFA">
        <w:rPr>
          <w:rFonts w:ascii="Times New Roman" w:hAnsi="Times New Roman"/>
          <w:color w:val="0F243E" w:themeColor="text2" w:themeShade="80"/>
          <w:sz w:val="26"/>
          <w:szCs w:val="26"/>
        </w:rPr>
        <w:t xml:space="preserve">Al contrario, </w:t>
      </w:r>
      <w:r w:rsidR="00913511">
        <w:rPr>
          <w:rFonts w:ascii="Times New Roman" w:hAnsi="Times New Roman"/>
          <w:color w:val="0F243E" w:themeColor="text2" w:themeShade="80"/>
          <w:sz w:val="26"/>
          <w:szCs w:val="26"/>
        </w:rPr>
        <w:t xml:space="preserve">il codice </w:t>
      </w:r>
      <w:r w:rsidRPr="008F0CFA">
        <w:rPr>
          <w:rFonts w:ascii="Times New Roman" w:hAnsi="Times New Roman"/>
          <w:color w:val="0F243E" w:themeColor="text2" w:themeShade="80"/>
          <w:sz w:val="26"/>
          <w:szCs w:val="26"/>
        </w:rPr>
        <w:t>definisce con sufficiente chiarezza il regime dei bandi tipo.</w:t>
      </w:r>
    </w:p>
    <w:p w:rsidR="00D46DBD" w:rsidRPr="002360E5" w:rsidRDefault="001151DA" w:rsidP="008F0CFA">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Secondo l’art. 71, comma 1,</w:t>
      </w:r>
      <w:r w:rsidRPr="002360E5">
        <w:rPr>
          <w:rFonts w:ascii="Times New Roman" w:hAnsi="Times New Roman"/>
          <w:color w:val="0F243E" w:themeColor="text2" w:themeShade="80"/>
          <w:sz w:val="26"/>
          <w:szCs w:val="26"/>
        </w:rPr>
        <w:t xml:space="preserve"> </w:t>
      </w:r>
      <w:r w:rsidR="00D46DBD" w:rsidRPr="002360E5">
        <w:rPr>
          <w:rFonts w:ascii="Times New Roman" w:hAnsi="Times New Roman"/>
          <w:color w:val="0F243E" w:themeColor="text2" w:themeShade="80"/>
          <w:sz w:val="26"/>
          <w:szCs w:val="26"/>
        </w:rPr>
        <w:t>“</w:t>
      </w:r>
      <w:r w:rsidR="00D46DBD" w:rsidRPr="00B3083B">
        <w:rPr>
          <w:rFonts w:ascii="Times New Roman" w:hAnsi="Times New Roman"/>
          <w:i/>
          <w:color w:val="0F243E" w:themeColor="text2" w:themeShade="80"/>
          <w:sz w:val="26"/>
          <w:szCs w:val="26"/>
        </w:rPr>
        <w:t>1. Fatto salvo quanto previsto dagli articoli 59, comma 5, secondo periodo, e 63, tutte le procedure di scelta del contraente sono indette mediante bandi di gara. Al fine di agevolare l'attività delle stazioni appaltanti omogeneizzandone le condotte, successivamente alla adozione da parte dell'ANAC di bandi tipo, i bandi di gara sono redatti in conformità agli stessi. Essi contengono le informazioni di cui all'allegato XIV, Parte I, lettera C, e sono pubblicati conformemente all'articolo 72. Le stazioni appaltanti nella delibera a contrarre motivano espressamente in ordine alle deroghe al bando-tipo.</w:t>
      </w:r>
      <w:r w:rsidR="00D46DBD" w:rsidRPr="002360E5">
        <w:rPr>
          <w:rFonts w:ascii="Times New Roman" w:hAnsi="Times New Roman"/>
          <w:color w:val="0F243E" w:themeColor="text2" w:themeShade="80"/>
          <w:sz w:val="26"/>
          <w:szCs w:val="26"/>
        </w:rPr>
        <w:t>”</w:t>
      </w:r>
    </w:p>
    <w:p w:rsidR="00DF4F88" w:rsidRDefault="001151DA"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Va premesso </w:t>
      </w:r>
      <w:r w:rsidR="00D46DBD" w:rsidRPr="002360E5">
        <w:rPr>
          <w:rFonts w:ascii="Times New Roman" w:hAnsi="Times New Roman"/>
          <w:color w:val="0F243E" w:themeColor="text2" w:themeShade="80"/>
          <w:sz w:val="26"/>
          <w:szCs w:val="26"/>
        </w:rPr>
        <w:t xml:space="preserve">che </w:t>
      </w:r>
      <w:r>
        <w:rPr>
          <w:rFonts w:ascii="Times New Roman" w:hAnsi="Times New Roman"/>
          <w:color w:val="0F243E" w:themeColor="text2" w:themeShade="80"/>
          <w:sz w:val="26"/>
          <w:szCs w:val="26"/>
        </w:rPr>
        <w:t xml:space="preserve">la </w:t>
      </w:r>
      <w:r w:rsidRPr="002360E5">
        <w:rPr>
          <w:rFonts w:ascii="Times New Roman" w:hAnsi="Times New Roman"/>
          <w:color w:val="0F243E" w:themeColor="text2" w:themeShade="80"/>
          <w:sz w:val="26"/>
          <w:szCs w:val="26"/>
        </w:rPr>
        <w:t xml:space="preserve">figura </w:t>
      </w:r>
      <w:r w:rsidR="00D46DBD" w:rsidRPr="002360E5">
        <w:rPr>
          <w:rFonts w:ascii="Times New Roman" w:hAnsi="Times New Roman"/>
          <w:color w:val="0F243E" w:themeColor="text2" w:themeShade="80"/>
          <w:sz w:val="26"/>
          <w:szCs w:val="26"/>
        </w:rPr>
        <w:t>dei bandi</w:t>
      </w:r>
      <w:r w:rsidR="00F72E93" w:rsidRPr="002360E5">
        <w:rPr>
          <w:rFonts w:ascii="Times New Roman" w:hAnsi="Times New Roman"/>
          <w:color w:val="0F243E" w:themeColor="text2" w:themeShade="80"/>
          <w:sz w:val="26"/>
          <w:szCs w:val="26"/>
        </w:rPr>
        <w:t>-</w:t>
      </w:r>
      <w:r w:rsidR="00D46DBD" w:rsidRPr="002360E5">
        <w:rPr>
          <w:rFonts w:ascii="Times New Roman" w:hAnsi="Times New Roman"/>
          <w:color w:val="0F243E" w:themeColor="text2" w:themeShade="80"/>
          <w:sz w:val="26"/>
          <w:szCs w:val="26"/>
        </w:rPr>
        <w:t xml:space="preserve">tipo non è una nuova nel nostro ordinamento. La differenza sistematica </w:t>
      </w:r>
      <w:r w:rsidR="0020793E" w:rsidRPr="002360E5">
        <w:rPr>
          <w:rFonts w:ascii="Times New Roman" w:hAnsi="Times New Roman"/>
          <w:color w:val="0F243E" w:themeColor="text2" w:themeShade="80"/>
          <w:sz w:val="26"/>
          <w:szCs w:val="26"/>
        </w:rPr>
        <w:t xml:space="preserve">della disciplina codicistica </w:t>
      </w:r>
      <w:r w:rsidR="00D46DBD" w:rsidRPr="002360E5">
        <w:rPr>
          <w:rFonts w:ascii="Times New Roman" w:hAnsi="Times New Roman"/>
          <w:color w:val="0F243E" w:themeColor="text2" w:themeShade="80"/>
          <w:sz w:val="26"/>
          <w:szCs w:val="26"/>
        </w:rPr>
        <w:t>sembra connettersi</w:t>
      </w:r>
      <w:r w:rsidR="0020793E" w:rsidRPr="002360E5">
        <w:rPr>
          <w:rFonts w:ascii="Times New Roman" w:hAnsi="Times New Roman"/>
          <w:color w:val="0F243E" w:themeColor="text2" w:themeShade="80"/>
          <w:sz w:val="26"/>
          <w:szCs w:val="26"/>
        </w:rPr>
        <w:t>, ora,</w:t>
      </w:r>
      <w:r w:rsidR="00D46DBD" w:rsidRPr="002360E5">
        <w:rPr>
          <w:rFonts w:ascii="Times New Roman" w:hAnsi="Times New Roman"/>
          <w:color w:val="0F243E" w:themeColor="text2" w:themeShade="80"/>
          <w:sz w:val="26"/>
          <w:szCs w:val="26"/>
        </w:rPr>
        <w:t xml:space="preserve"> al previsto inquadramento nella </w:t>
      </w:r>
      <w:r w:rsidR="00D46DBD" w:rsidRPr="002360E5">
        <w:rPr>
          <w:rFonts w:ascii="Times New Roman" w:hAnsi="Times New Roman"/>
          <w:i/>
          <w:color w:val="0F243E" w:themeColor="text2" w:themeShade="80"/>
          <w:sz w:val="26"/>
          <w:szCs w:val="26"/>
        </w:rPr>
        <w:t>regolazione flessibile</w:t>
      </w:r>
      <w:r w:rsidR="00D10306" w:rsidRPr="002360E5">
        <w:rPr>
          <w:rFonts w:ascii="Times New Roman" w:hAnsi="Times New Roman"/>
          <w:color w:val="0F243E" w:themeColor="text2" w:themeShade="80"/>
          <w:sz w:val="26"/>
          <w:szCs w:val="26"/>
        </w:rPr>
        <w:t>, assente nel codice del 2006</w:t>
      </w:r>
      <w:r w:rsidR="00D46DBD" w:rsidRPr="002360E5">
        <w:rPr>
          <w:rFonts w:ascii="Times New Roman" w:hAnsi="Times New Roman"/>
          <w:color w:val="0F243E" w:themeColor="text2" w:themeShade="80"/>
          <w:sz w:val="26"/>
          <w:szCs w:val="26"/>
        </w:rPr>
        <w:t>.</w:t>
      </w:r>
    </w:p>
    <w:p w:rsidR="00D46DBD"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Si dovrebbe allora verificare se gli elementi, pur circoscritti, della disciplina espressa dalla disposizione possano considerarsi davvero rilevanti per individuare le caratteristiche peculiari dello strumento e possano contribuire </w:t>
      </w:r>
      <w:r w:rsidR="00DF4F88">
        <w:rPr>
          <w:rFonts w:ascii="Times New Roman" w:hAnsi="Times New Roman"/>
          <w:color w:val="0F243E" w:themeColor="text2" w:themeShade="80"/>
          <w:sz w:val="26"/>
          <w:szCs w:val="26"/>
        </w:rPr>
        <w:t xml:space="preserve">anche </w:t>
      </w:r>
      <w:r w:rsidRPr="002360E5">
        <w:rPr>
          <w:rFonts w:ascii="Times New Roman" w:hAnsi="Times New Roman"/>
          <w:color w:val="0F243E" w:themeColor="text2" w:themeShade="80"/>
          <w:sz w:val="26"/>
          <w:szCs w:val="26"/>
        </w:rPr>
        <w:t>alla definizione della natura giuridica della categoria generale</w:t>
      </w:r>
      <w:r w:rsidR="00DF4F88">
        <w:rPr>
          <w:rFonts w:ascii="Times New Roman" w:hAnsi="Times New Roman"/>
          <w:color w:val="0F243E" w:themeColor="text2" w:themeShade="80"/>
          <w:sz w:val="26"/>
          <w:szCs w:val="26"/>
        </w:rPr>
        <w:t xml:space="preserve"> della regolazione flessibile</w:t>
      </w:r>
      <w:r w:rsidRPr="002360E5">
        <w:rPr>
          <w:rFonts w:ascii="Times New Roman" w:hAnsi="Times New Roman"/>
          <w:color w:val="0F243E" w:themeColor="text2" w:themeShade="80"/>
          <w:sz w:val="26"/>
          <w:szCs w:val="26"/>
        </w:rPr>
        <w:t>.</w:t>
      </w:r>
    </w:p>
    <w:p w:rsidR="00D46DBD"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In questa parte, l’indicazione normativa appare effettivamente densa di significato e rispecchia un modello collaudato, riconducibile allo schema tradizionale della “</w:t>
      </w:r>
      <w:r w:rsidRPr="002360E5">
        <w:rPr>
          <w:rFonts w:ascii="Times New Roman" w:hAnsi="Times New Roman"/>
          <w:i/>
          <w:color w:val="0F243E" w:themeColor="text2" w:themeShade="80"/>
          <w:sz w:val="26"/>
          <w:szCs w:val="26"/>
        </w:rPr>
        <w:t>direttiva</w:t>
      </w:r>
      <w:r w:rsidRPr="002360E5">
        <w:rPr>
          <w:rFonts w:ascii="Times New Roman" w:hAnsi="Times New Roman"/>
          <w:color w:val="0F243E" w:themeColor="text2" w:themeShade="80"/>
          <w:sz w:val="26"/>
          <w:szCs w:val="26"/>
        </w:rPr>
        <w:t xml:space="preserve">” e degli </w:t>
      </w:r>
      <w:r w:rsidRPr="002360E5">
        <w:rPr>
          <w:rFonts w:ascii="Times New Roman" w:hAnsi="Times New Roman"/>
          <w:i/>
          <w:color w:val="0F243E" w:themeColor="text2" w:themeShade="80"/>
          <w:sz w:val="26"/>
          <w:szCs w:val="26"/>
        </w:rPr>
        <w:t>atti di indirizzo</w:t>
      </w:r>
      <w:r w:rsidRPr="002360E5">
        <w:rPr>
          <w:rFonts w:ascii="Times New Roman" w:hAnsi="Times New Roman"/>
          <w:color w:val="0F243E" w:themeColor="text2" w:themeShade="80"/>
          <w:sz w:val="26"/>
          <w:szCs w:val="26"/>
        </w:rPr>
        <w:t>. Il vincolo imposto dall’ANAC</w:t>
      </w:r>
      <w:r w:rsidR="00D10306" w:rsidRPr="002360E5">
        <w:rPr>
          <w:rFonts w:ascii="Times New Roman" w:hAnsi="Times New Roman"/>
          <w:color w:val="0F243E" w:themeColor="text2" w:themeShade="80"/>
          <w:sz w:val="26"/>
          <w:szCs w:val="26"/>
        </w:rPr>
        <w:t>, mediante, il bando-tipo, così come la sua finalità</w:t>
      </w:r>
      <w:r w:rsidR="00377B4F" w:rsidRPr="002360E5">
        <w:rPr>
          <w:rFonts w:ascii="Times New Roman" w:hAnsi="Times New Roman"/>
          <w:color w:val="0F243E" w:themeColor="text2" w:themeShade="80"/>
          <w:sz w:val="26"/>
          <w:szCs w:val="26"/>
        </w:rPr>
        <w:t xml:space="preserve"> di “</w:t>
      </w:r>
      <w:r w:rsidR="00377B4F" w:rsidRPr="002360E5">
        <w:rPr>
          <w:rFonts w:ascii="Times New Roman" w:hAnsi="Times New Roman"/>
          <w:i/>
          <w:color w:val="0F243E" w:themeColor="text2" w:themeShade="80"/>
          <w:sz w:val="26"/>
          <w:szCs w:val="26"/>
        </w:rPr>
        <w:t>agevolare le stazioni appaltanti</w:t>
      </w:r>
      <w:r w:rsidR="00377B4F" w:rsidRPr="002360E5">
        <w:rPr>
          <w:rFonts w:ascii="Times New Roman" w:hAnsi="Times New Roman"/>
          <w:color w:val="0F243E" w:themeColor="text2" w:themeShade="80"/>
          <w:sz w:val="26"/>
          <w:szCs w:val="26"/>
        </w:rPr>
        <w:t xml:space="preserve">” (anziché di imporre </w:t>
      </w:r>
      <w:r w:rsidR="00377B4F" w:rsidRPr="00DA15CC">
        <w:rPr>
          <w:rFonts w:ascii="Times New Roman" w:hAnsi="Times New Roman"/>
          <w:i/>
          <w:color w:val="0F243E" w:themeColor="text2" w:themeShade="80"/>
          <w:sz w:val="26"/>
          <w:szCs w:val="26"/>
        </w:rPr>
        <w:t>autoritativamente</w:t>
      </w:r>
      <w:r w:rsidR="00377B4F" w:rsidRPr="002360E5">
        <w:rPr>
          <w:rFonts w:ascii="Times New Roman" w:hAnsi="Times New Roman"/>
          <w:color w:val="0F243E" w:themeColor="text2" w:themeShade="80"/>
          <w:sz w:val="26"/>
          <w:szCs w:val="26"/>
        </w:rPr>
        <w:t xml:space="preserve"> delle prescrizioni</w:t>
      </w:r>
      <w:r w:rsidR="00105637">
        <w:rPr>
          <w:rFonts w:ascii="Times New Roman" w:hAnsi="Times New Roman"/>
          <w:color w:val="0F243E" w:themeColor="text2" w:themeShade="80"/>
          <w:sz w:val="26"/>
          <w:szCs w:val="26"/>
        </w:rPr>
        <w:t xml:space="preserve"> rigi</w:t>
      </w:r>
      <w:r w:rsidR="00DA15CC">
        <w:rPr>
          <w:rFonts w:ascii="Times New Roman" w:hAnsi="Times New Roman"/>
          <w:color w:val="0F243E" w:themeColor="text2" w:themeShade="80"/>
          <w:sz w:val="26"/>
          <w:szCs w:val="26"/>
        </w:rPr>
        <w:t>de</w:t>
      </w:r>
      <w:r w:rsidR="00377B4F" w:rsidRPr="002360E5">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risulta ben definito, ma non è pieno, perché il destinatario potrebbe sempre discostarsi dalla </w:t>
      </w:r>
      <w:r w:rsidR="00377B4F" w:rsidRPr="002360E5">
        <w:rPr>
          <w:rFonts w:ascii="Times New Roman" w:hAnsi="Times New Roman"/>
          <w:color w:val="0F243E" w:themeColor="text2" w:themeShade="80"/>
          <w:sz w:val="26"/>
          <w:szCs w:val="26"/>
        </w:rPr>
        <w:t>statu</w:t>
      </w:r>
      <w:r w:rsidRPr="002360E5">
        <w:rPr>
          <w:rFonts w:ascii="Times New Roman" w:hAnsi="Times New Roman"/>
          <w:color w:val="0F243E" w:themeColor="text2" w:themeShade="80"/>
          <w:sz w:val="26"/>
          <w:szCs w:val="26"/>
        </w:rPr>
        <w:t>izione, purché motivi adeguatamente la scelta compiuta.</w:t>
      </w:r>
    </w:p>
    <w:p w:rsidR="00D46DBD"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Evidentemente, i problemi posti dal modello della direttiva, in sede di teoria generale e di applicazione concreta nelle diverse esperienze, sono ancora molto complessi. Probabilmente, si dovrebbe riconoscere l’ampiezza e la varietà della categoria, che si accompagna ad un’attuazione ancora più differenziata, perché il soggetto titolare del potere </w:t>
      </w:r>
      <w:r w:rsidR="007A3A10">
        <w:rPr>
          <w:rFonts w:ascii="Times New Roman" w:hAnsi="Times New Roman"/>
          <w:color w:val="0F243E" w:themeColor="text2" w:themeShade="80"/>
          <w:sz w:val="26"/>
          <w:szCs w:val="26"/>
        </w:rPr>
        <w:t xml:space="preserve">di indirizzo </w:t>
      </w:r>
      <w:r w:rsidRPr="002360E5">
        <w:rPr>
          <w:rFonts w:ascii="Times New Roman" w:hAnsi="Times New Roman"/>
          <w:color w:val="0F243E" w:themeColor="text2" w:themeShade="80"/>
          <w:sz w:val="26"/>
          <w:szCs w:val="26"/>
        </w:rPr>
        <w:t>potrebbe, di volta, in volta, optare per prescrizioni più o meno dettagliate.</w:t>
      </w:r>
    </w:p>
    <w:p w:rsidR="00D46DBD"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Ma occorre sottolineare che, </w:t>
      </w:r>
      <w:r w:rsidRPr="007A3A10">
        <w:rPr>
          <w:rFonts w:ascii="Times New Roman" w:hAnsi="Times New Roman"/>
          <w:color w:val="0F243E" w:themeColor="text2" w:themeShade="80"/>
          <w:sz w:val="26"/>
          <w:szCs w:val="26"/>
        </w:rPr>
        <w:t>almeno per i</w:t>
      </w:r>
      <w:r w:rsidRPr="002360E5">
        <w:rPr>
          <w:rFonts w:ascii="Times New Roman" w:hAnsi="Times New Roman"/>
          <w:i/>
          <w:color w:val="0F243E" w:themeColor="text2" w:themeShade="80"/>
          <w:sz w:val="26"/>
          <w:szCs w:val="26"/>
        </w:rPr>
        <w:t xml:space="preserve"> bandi-tipo</w:t>
      </w:r>
      <w:r w:rsidRPr="002360E5">
        <w:rPr>
          <w:rFonts w:ascii="Times New Roman" w:hAnsi="Times New Roman"/>
          <w:color w:val="0F243E" w:themeColor="text2" w:themeShade="80"/>
          <w:sz w:val="26"/>
          <w:szCs w:val="26"/>
        </w:rPr>
        <w:t xml:space="preserve">, la chiara indicazione legislativa determina le </w:t>
      </w:r>
      <w:r w:rsidR="00151DBB" w:rsidRPr="002360E5">
        <w:rPr>
          <w:rFonts w:ascii="Times New Roman" w:hAnsi="Times New Roman"/>
          <w:color w:val="0F243E" w:themeColor="text2" w:themeShade="80"/>
          <w:sz w:val="26"/>
          <w:szCs w:val="26"/>
        </w:rPr>
        <w:t>coordinate</w:t>
      </w:r>
      <w:r w:rsidRPr="002360E5">
        <w:rPr>
          <w:rFonts w:ascii="Times New Roman" w:hAnsi="Times New Roman"/>
          <w:color w:val="0F243E" w:themeColor="text2" w:themeShade="80"/>
          <w:sz w:val="26"/>
          <w:szCs w:val="26"/>
        </w:rPr>
        <w:t xml:space="preserve"> interpretative entro cui d</w:t>
      </w:r>
      <w:r w:rsidR="007A3A10">
        <w:rPr>
          <w:rFonts w:ascii="Times New Roman" w:hAnsi="Times New Roman"/>
          <w:color w:val="0F243E" w:themeColor="text2" w:themeShade="80"/>
          <w:sz w:val="26"/>
          <w:szCs w:val="26"/>
        </w:rPr>
        <w:t>ev</w:t>
      </w:r>
      <w:r w:rsidRPr="002360E5">
        <w:rPr>
          <w:rFonts w:ascii="Times New Roman" w:hAnsi="Times New Roman"/>
          <w:color w:val="0F243E" w:themeColor="text2" w:themeShade="80"/>
          <w:sz w:val="26"/>
          <w:szCs w:val="26"/>
        </w:rPr>
        <w:t>e qualifica</w:t>
      </w:r>
      <w:r w:rsidR="007A3A10">
        <w:rPr>
          <w:rFonts w:ascii="Times New Roman" w:hAnsi="Times New Roman"/>
          <w:color w:val="0F243E" w:themeColor="text2" w:themeShade="80"/>
          <w:sz w:val="26"/>
          <w:szCs w:val="26"/>
        </w:rPr>
        <w:t>rsi</w:t>
      </w:r>
      <w:r w:rsidRPr="002360E5">
        <w:rPr>
          <w:rFonts w:ascii="Times New Roman" w:hAnsi="Times New Roman"/>
          <w:color w:val="0F243E" w:themeColor="text2" w:themeShade="80"/>
          <w:sz w:val="26"/>
          <w:szCs w:val="26"/>
        </w:rPr>
        <w:t xml:space="preserve"> l’atto.</w:t>
      </w:r>
    </w:p>
    <w:p w:rsidR="00097AF4" w:rsidRDefault="00E55D4C"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Come si è ricordato, i</w:t>
      </w:r>
      <w:r w:rsidRPr="002360E5">
        <w:rPr>
          <w:rFonts w:ascii="Times New Roman" w:hAnsi="Times New Roman"/>
          <w:color w:val="0F243E" w:themeColor="text2" w:themeShade="80"/>
          <w:sz w:val="26"/>
          <w:szCs w:val="26"/>
        </w:rPr>
        <w:t xml:space="preserve"> </w:t>
      </w:r>
      <w:r w:rsidR="00635569">
        <w:rPr>
          <w:rFonts w:ascii="Times New Roman" w:hAnsi="Times New Roman"/>
          <w:color w:val="0F243E" w:themeColor="text2" w:themeShade="80"/>
          <w:sz w:val="26"/>
          <w:szCs w:val="26"/>
        </w:rPr>
        <w:t xml:space="preserve">due </w:t>
      </w:r>
      <w:r w:rsidR="00955970" w:rsidRPr="002360E5">
        <w:rPr>
          <w:rFonts w:ascii="Times New Roman" w:hAnsi="Times New Roman"/>
          <w:color w:val="0F243E" w:themeColor="text2" w:themeShade="80"/>
          <w:sz w:val="26"/>
          <w:szCs w:val="26"/>
        </w:rPr>
        <w:t>prim</w:t>
      </w:r>
      <w:r w:rsidR="00635569">
        <w:rPr>
          <w:rFonts w:ascii="Times New Roman" w:hAnsi="Times New Roman"/>
          <w:color w:val="0F243E" w:themeColor="text2" w:themeShade="80"/>
          <w:sz w:val="26"/>
          <w:szCs w:val="26"/>
        </w:rPr>
        <w:t>i bandi tipo varati</w:t>
      </w:r>
      <w:r w:rsidR="00955970" w:rsidRPr="002360E5">
        <w:rPr>
          <w:rFonts w:ascii="Times New Roman" w:hAnsi="Times New Roman"/>
          <w:color w:val="0F243E" w:themeColor="text2" w:themeShade="80"/>
          <w:sz w:val="26"/>
          <w:szCs w:val="26"/>
        </w:rPr>
        <w:t xml:space="preserve"> dall’ANAC riba</w:t>
      </w:r>
      <w:r w:rsidR="00635569">
        <w:rPr>
          <w:rFonts w:ascii="Times New Roman" w:hAnsi="Times New Roman"/>
          <w:color w:val="0F243E" w:themeColor="text2" w:themeShade="80"/>
          <w:sz w:val="26"/>
          <w:szCs w:val="26"/>
        </w:rPr>
        <w:t>discono</w:t>
      </w:r>
      <w:r w:rsidR="00955970" w:rsidRPr="002360E5">
        <w:rPr>
          <w:rFonts w:ascii="Times New Roman" w:hAnsi="Times New Roman"/>
          <w:color w:val="0F243E" w:themeColor="text2" w:themeShade="80"/>
          <w:sz w:val="26"/>
          <w:szCs w:val="26"/>
        </w:rPr>
        <w:t xml:space="preserve"> il carattere vincolante delle prescrizioni, ind</w:t>
      </w:r>
      <w:r w:rsidR="00635569">
        <w:rPr>
          <w:rFonts w:ascii="Times New Roman" w:hAnsi="Times New Roman"/>
          <w:color w:val="0F243E" w:themeColor="text2" w:themeShade="80"/>
          <w:sz w:val="26"/>
          <w:szCs w:val="26"/>
        </w:rPr>
        <w:t>icando le possibilità di deroga.</w:t>
      </w:r>
    </w:p>
    <w:p w:rsidR="005F6ABF" w:rsidRPr="002360E5" w:rsidRDefault="00635569"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In </w:t>
      </w:r>
      <w:r w:rsidR="00955970" w:rsidRPr="002360E5">
        <w:rPr>
          <w:rFonts w:ascii="Times New Roman" w:hAnsi="Times New Roman"/>
          <w:color w:val="0F243E" w:themeColor="text2" w:themeShade="80"/>
          <w:sz w:val="26"/>
          <w:szCs w:val="26"/>
        </w:rPr>
        <w:t xml:space="preserve">alcuni casi </w:t>
      </w:r>
      <w:r w:rsidR="00F264E2" w:rsidRPr="002360E5">
        <w:rPr>
          <w:rFonts w:ascii="Times New Roman" w:hAnsi="Times New Roman"/>
          <w:color w:val="0F243E" w:themeColor="text2" w:themeShade="80"/>
          <w:sz w:val="26"/>
          <w:szCs w:val="26"/>
        </w:rPr>
        <w:t xml:space="preserve">le stazioni appaltanti </w:t>
      </w:r>
      <w:r>
        <w:rPr>
          <w:rFonts w:ascii="Times New Roman" w:hAnsi="Times New Roman"/>
          <w:color w:val="0F243E" w:themeColor="text2" w:themeShade="80"/>
          <w:sz w:val="26"/>
          <w:szCs w:val="26"/>
        </w:rPr>
        <w:t xml:space="preserve">sono </w:t>
      </w:r>
      <w:r w:rsidRPr="002360E5">
        <w:rPr>
          <w:rFonts w:ascii="Times New Roman" w:hAnsi="Times New Roman"/>
          <w:color w:val="0F243E" w:themeColor="text2" w:themeShade="80"/>
          <w:sz w:val="26"/>
          <w:szCs w:val="26"/>
        </w:rPr>
        <w:t>incoraggia</w:t>
      </w:r>
      <w:r>
        <w:rPr>
          <w:rFonts w:ascii="Times New Roman" w:hAnsi="Times New Roman"/>
          <w:color w:val="0F243E" w:themeColor="text2" w:themeShade="80"/>
          <w:sz w:val="26"/>
          <w:szCs w:val="26"/>
        </w:rPr>
        <w:t>te</w:t>
      </w:r>
      <w:r w:rsidRPr="002360E5">
        <w:rPr>
          <w:rFonts w:ascii="Times New Roman" w:hAnsi="Times New Roman"/>
          <w:color w:val="0F243E" w:themeColor="text2" w:themeShade="80"/>
          <w:sz w:val="26"/>
          <w:szCs w:val="26"/>
        </w:rPr>
        <w:t xml:space="preserve"> </w:t>
      </w:r>
      <w:r w:rsidR="00F264E2" w:rsidRPr="002360E5">
        <w:rPr>
          <w:rFonts w:ascii="Times New Roman" w:hAnsi="Times New Roman"/>
          <w:color w:val="0F243E" w:themeColor="text2" w:themeShade="80"/>
          <w:sz w:val="26"/>
          <w:szCs w:val="26"/>
        </w:rPr>
        <w:t>a modificare il disciplinare</w:t>
      </w:r>
      <w:r>
        <w:rPr>
          <w:rFonts w:ascii="Times New Roman" w:hAnsi="Times New Roman"/>
          <w:color w:val="0F243E" w:themeColor="text2" w:themeShade="80"/>
          <w:sz w:val="26"/>
          <w:szCs w:val="26"/>
        </w:rPr>
        <w:t xml:space="preserve"> di gara per adeguarlo alle loro specifiche esigenze</w:t>
      </w:r>
      <w:r w:rsidR="00F264E2" w:rsidRPr="002360E5">
        <w:rPr>
          <w:rFonts w:ascii="Times New Roman" w:hAnsi="Times New Roman"/>
          <w:color w:val="0F243E" w:themeColor="text2" w:themeShade="80"/>
          <w:sz w:val="26"/>
          <w:szCs w:val="26"/>
        </w:rPr>
        <w:t>.</w:t>
      </w:r>
      <w:r w:rsidR="00097AF4">
        <w:rPr>
          <w:rFonts w:ascii="Times New Roman" w:hAnsi="Times New Roman"/>
          <w:color w:val="0F243E" w:themeColor="text2" w:themeShade="80"/>
          <w:sz w:val="26"/>
          <w:szCs w:val="26"/>
        </w:rPr>
        <w:t xml:space="preserve"> In altri passaggi si prospettano le ipotesi in cui la deroga appare giustificata: </w:t>
      </w:r>
      <w:r w:rsidR="00F264E2" w:rsidRPr="002360E5">
        <w:rPr>
          <w:rFonts w:ascii="Times New Roman" w:hAnsi="Times New Roman"/>
          <w:color w:val="0F243E" w:themeColor="text2" w:themeShade="80"/>
          <w:sz w:val="26"/>
          <w:szCs w:val="26"/>
        </w:rPr>
        <w:t>“</w:t>
      </w:r>
      <w:r w:rsidR="005F6ABF" w:rsidRPr="002360E5">
        <w:rPr>
          <w:rFonts w:ascii="Times New Roman" w:hAnsi="Times New Roman"/>
          <w:i/>
          <w:color w:val="0F243E" w:themeColor="text2" w:themeShade="80"/>
          <w:sz w:val="26"/>
          <w:szCs w:val="26"/>
        </w:rPr>
        <w:t>La circostanza che la gara sia telematica costituisce adeguata motivazione di scostamento dalle previsioni del Disciplinare tipo, pertanto, in caso di gara telematica le stazioni appaltanti apporteranno le opportune modifiche al testo del Disciplinare.</w:t>
      </w:r>
      <w:r w:rsidR="00F264E2" w:rsidRPr="002360E5">
        <w:rPr>
          <w:rFonts w:ascii="Times New Roman" w:hAnsi="Times New Roman"/>
          <w:i/>
          <w:color w:val="0F243E" w:themeColor="text2" w:themeShade="80"/>
          <w:sz w:val="26"/>
          <w:szCs w:val="26"/>
        </w:rPr>
        <w:t>”</w:t>
      </w:r>
    </w:p>
    <w:p w:rsidR="003D0249" w:rsidRPr="002360E5" w:rsidRDefault="003E3606"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In altri casi, però, l’astratto riconoscimento della derogabilità si ferma a suggerimenti piuttosto poveri: </w:t>
      </w:r>
      <w:r w:rsidR="003D0249" w:rsidRPr="002360E5">
        <w:rPr>
          <w:rFonts w:ascii="Times New Roman" w:hAnsi="Times New Roman"/>
          <w:color w:val="0F243E" w:themeColor="text2" w:themeShade="80"/>
          <w:sz w:val="26"/>
          <w:szCs w:val="26"/>
        </w:rPr>
        <w:t>“</w:t>
      </w:r>
      <w:r w:rsidR="002257AB" w:rsidRPr="002360E5">
        <w:rPr>
          <w:rFonts w:ascii="Times New Roman" w:hAnsi="Times New Roman"/>
          <w:i/>
          <w:color w:val="0F243E" w:themeColor="text2" w:themeShade="80"/>
          <w:sz w:val="26"/>
          <w:szCs w:val="26"/>
        </w:rPr>
        <w:t>Nel caso in cui la Stazione appaltante voglia prevedere un Bando che prevede l’aggiudicazione con il criterio del prezzo più basso, il Disciplinare può essere opportunamente adattato e utilizzato nella misura in cui sia compatibile</w:t>
      </w:r>
      <w:r w:rsidR="002257AB" w:rsidRPr="002360E5">
        <w:rPr>
          <w:rFonts w:ascii="Times New Roman" w:hAnsi="Times New Roman"/>
          <w:color w:val="0F243E" w:themeColor="text2" w:themeShade="80"/>
          <w:sz w:val="26"/>
          <w:szCs w:val="26"/>
        </w:rPr>
        <w:t>.</w:t>
      </w:r>
      <w:r w:rsidR="003D0249" w:rsidRPr="002360E5">
        <w:rPr>
          <w:rFonts w:ascii="Times New Roman" w:hAnsi="Times New Roman"/>
          <w:color w:val="0F243E" w:themeColor="text2" w:themeShade="80"/>
          <w:sz w:val="26"/>
          <w:szCs w:val="26"/>
        </w:rPr>
        <w:t>”</w:t>
      </w:r>
      <w:r w:rsidR="00C424BD">
        <w:rPr>
          <w:rFonts w:ascii="Times New Roman" w:hAnsi="Times New Roman"/>
          <w:color w:val="0F243E" w:themeColor="text2" w:themeShade="80"/>
          <w:sz w:val="26"/>
          <w:szCs w:val="26"/>
        </w:rPr>
        <w:t xml:space="preserve"> Infatti, in casi del genere, spetterebbe all’ANAC il compito di delineare i contenuti di un bando tipo adattato al criterio di aggiudicazione prescelto dalla stazione appaltante.</w:t>
      </w:r>
    </w:p>
    <w:p w:rsidR="00D46DBD" w:rsidRPr="002360E5" w:rsidRDefault="004069F7"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Nel codice manca</w:t>
      </w:r>
      <w:r w:rsidR="00D46DBD" w:rsidRPr="002360E5">
        <w:rPr>
          <w:rFonts w:ascii="Times New Roman" w:hAnsi="Times New Roman"/>
          <w:color w:val="0F243E" w:themeColor="text2" w:themeShade="80"/>
          <w:sz w:val="26"/>
          <w:szCs w:val="26"/>
        </w:rPr>
        <w:t xml:space="preserve">, invece, una disciplina di dettaglio per i </w:t>
      </w:r>
      <w:r w:rsidR="00D46DBD" w:rsidRPr="002360E5">
        <w:rPr>
          <w:rFonts w:ascii="Times New Roman" w:hAnsi="Times New Roman"/>
          <w:i/>
          <w:color w:val="0F243E" w:themeColor="text2" w:themeShade="80"/>
          <w:sz w:val="26"/>
          <w:szCs w:val="26"/>
        </w:rPr>
        <w:t>capitolati-tipo</w:t>
      </w:r>
      <w:r w:rsidR="00D46DBD" w:rsidRPr="002360E5">
        <w:rPr>
          <w:rFonts w:ascii="Times New Roman" w:hAnsi="Times New Roman"/>
          <w:color w:val="0F243E" w:themeColor="text2" w:themeShade="80"/>
          <w:sz w:val="26"/>
          <w:szCs w:val="26"/>
        </w:rPr>
        <w:t xml:space="preserve"> e per i </w:t>
      </w:r>
      <w:r w:rsidR="00D46DBD" w:rsidRPr="002360E5">
        <w:rPr>
          <w:rFonts w:ascii="Times New Roman" w:hAnsi="Times New Roman"/>
          <w:i/>
          <w:color w:val="0F243E" w:themeColor="text2" w:themeShade="80"/>
          <w:sz w:val="26"/>
          <w:szCs w:val="26"/>
        </w:rPr>
        <w:t>contratti tipo</w:t>
      </w:r>
      <w:r w:rsidR="00D46DBD" w:rsidRPr="002360E5">
        <w:rPr>
          <w:rFonts w:ascii="Times New Roman" w:hAnsi="Times New Roman"/>
          <w:color w:val="0F243E" w:themeColor="text2" w:themeShade="80"/>
          <w:sz w:val="26"/>
          <w:szCs w:val="26"/>
        </w:rPr>
        <w:t>. Da qui il dubbio sulla loro vincolatività, resi, poi, più gravi dalle persistenti incertezze sulla natura e sul contenuto di tali atti.</w:t>
      </w:r>
    </w:p>
    <w:p w:rsidR="00D46DBD"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Una soluzione ragionevole potrebbe essere quella di ritenere che anche essi siano dotati della stessa vincolatività condizionata dei bandi tipo, tenendo conto della circostanza che la storica e oggettiva connessione con i bandi suggerisce di prevedere una disciplina unitaria.</w:t>
      </w:r>
    </w:p>
    <w:p w:rsidR="00CC3FE5"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Vero è che il tradizionale </w:t>
      </w:r>
      <w:r w:rsidRPr="002360E5">
        <w:rPr>
          <w:rFonts w:ascii="Times New Roman" w:hAnsi="Times New Roman"/>
          <w:i/>
          <w:color w:val="0F243E" w:themeColor="text2" w:themeShade="80"/>
          <w:sz w:val="26"/>
          <w:szCs w:val="26"/>
        </w:rPr>
        <w:t>argumentum a contrario</w:t>
      </w:r>
      <w:r w:rsidRPr="002360E5">
        <w:rPr>
          <w:rFonts w:ascii="Times New Roman" w:hAnsi="Times New Roman"/>
          <w:color w:val="0F243E" w:themeColor="text2" w:themeShade="80"/>
          <w:sz w:val="26"/>
          <w:szCs w:val="26"/>
        </w:rPr>
        <w:t xml:space="preserve"> potrebbe indurre a ritenere applicabile una disciplina differenziata, ma proprio l’omogeneità tendenziale della regolazione flessibile stabilita dall’art. 213 dovrebbe suggerire di generalizzare l’espressa disciplina dell’art. 71</w:t>
      </w:r>
      <w:r w:rsidR="00CC3FE5" w:rsidRPr="002360E5">
        <w:rPr>
          <w:rFonts w:ascii="Times New Roman" w:hAnsi="Times New Roman"/>
          <w:color w:val="0F243E" w:themeColor="text2" w:themeShade="80"/>
          <w:sz w:val="26"/>
          <w:szCs w:val="26"/>
        </w:rPr>
        <w:t xml:space="preserve">, incentrata sulla formula della </w:t>
      </w:r>
      <w:r w:rsidR="00CC3FE5" w:rsidRPr="002360E5">
        <w:rPr>
          <w:rFonts w:ascii="Times New Roman" w:hAnsi="Times New Roman"/>
          <w:i/>
          <w:color w:val="0F243E" w:themeColor="text2" w:themeShade="80"/>
          <w:sz w:val="26"/>
          <w:szCs w:val="26"/>
        </w:rPr>
        <w:t>vincolatività condizionata</w:t>
      </w:r>
      <w:r w:rsidRPr="002360E5">
        <w:rPr>
          <w:rFonts w:ascii="Times New Roman" w:hAnsi="Times New Roman"/>
          <w:i/>
          <w:color w:val="0F243E" w:themeColor="text2" w:themeShade="80"/>
          <w:sz w:val="26"/>
          <w:szCs w:val="26"/>
        </w:rPr>
        <w:t>.</w:t>
      </w:r>
    </w:p>
    <w:p w:rsidR="00D46DBD" w:rsidRPr="002360E5" w:rsidRDefault="00D46DBD" w:rsidP="00596E5E">
      <w:pPr>
        <w:tabs>
          <w:tab w:val="left" w:pos="0"/>
        </w:tabs>
        <w:rPr>
          <w:rFonts w:ascii="Times New Roman" w:hAnsi="Times New Roman"/>
          <w:color w:val="0F243E" w:themeColor="text2" w:themeShade="80"/>
          <w:sz w:val="26"/>
          <w:szCs w:val="26"/>
        </w:rPr>
      </w:pPr>
    </w:p>
    <w:p w:rsidR="00801070" w:rsidRPr="00801070" w:rsidRDefault="00831548" w:rsidP="00933900">
      <w:pPr>
        <w:pStyle w:val="Paragrafoelenco"/>
        <w:numPr>
          <w:ilvl w:val="0"/>
          <w:numId w:val="1"/>
        </w:numPr>
        <w:tabs>
          <w:tab w:val="left" w:pos="0"/>
        </w:tabs>
        <w:ind w:left="0" w:firstLine="709"/>
        <w:rPr>
          <w:rFonts w:ascii="Times New Roman" w:hAnsi="Times New Roman"/>
          <w:color w:val="0F243E" w:themeColor="text2" w:themeShade="80"/>
          <w:sz w:val="26"/>
          <w:szCs w:val="26"/>
        </w:rPr>
      </w:pPr>
      <w:r w:rsidRPr="00801070">
        <w:rPr>
          <w:rFonts w:ascii="Times New Roman" w:hAnsi="Times New Roman"/>
          <w:b/>
          <w:smallCaps/>
          <w:color w:val="0F243E" w:themeColor="text2" w:themeShade="80"/>
          <w:sz w:val="26"/>
          <w:szCs w:val="26"/>
        </w:rPr>
        <w:t>L</w:t>
      </w:r>
      <w:r w:rsidR="00D46DBD" w:rsidRPr="00801070">
        <w:rPr>
          <w:rFonts w:ascii="Times New Roman" w:hAnsi="Times New Roman"/>
          <w:b/>
          <w:smallCaps/>
          <w:color w:val="0F243E" w:themeColor="text2" w:themeShade="80"/>
          <w:sz w:val="26"/>
          <w:szCs w:val="26"/>
        </w:rPr>
        <w:t xml:space="preserve">e </w:t>
      </w:r>
      <w:r w:rsidR="00D46DBD" w:rsidRPr="00801070">
        <w:rPr>
          <w:rFonts w:ascii="Times New Roman" w:hAnsi="Times New Roman"/>
          <w:b/>
          <w:i/>
          <w:smallCaps/>
          <w:color w:val="0F243E" w:themeColor="text2" w:themeShade="80"/>
          <w:sz w:val="26"/>
          <w:szCs w:val="26"/>
        </w:rPr>
        <w:t>linee guida</w:t>
      </w:r>
      <w:r w:rsidR="00D46DBD" w:rsidRPr="00801070">
        <w:rPr>
          <w:rFonts w:ascii="Times New Roman" w:hAnsi="Times New Roman"/>
          <w:b/>
          <w:smallCaps/>
          <w:color w:val="0F243E" w:themeColor="text2" w:themeShade="80"/>
          <w:sz w:val="26"/>
          <w:szCs w:val="26"/>
        </w:rPr>
        <w:t xml:space="preserve"> </w:t>
      </w:r>
      <w:r w:rsidR="00925899" w:rsidRPr="00801070">
        <w:rPr>
          <w:rFonts w:ascii="Times New Roman" w:hAnsi="Times New Roman"/>
          <w:b/>
          <w:smallCaps/>
          <w:color w:val="0F243E" w:themeColor="text2" w:themeShade="80"/>
          <w:sz w:val="26"/>
          <w:szCs w:val="26"/>
        </w:rPr>
        <w:t>nel sistema della regolazione flessibile:</w:t>
      </w:r>
      <w:r w:rsidR="00DA0055" w:rsidRPr="00801070">
        <w:rPr>
          <w:rFonts w:ascii="Times New Roman" w:hAnsi="Times New Roman"/>
          <w:b/>
          <w:smallCaps/>
          <w:color w:val="0F243E" w:themeColor="text2" w:themeShade="80"/>
          <w:sz w:val="26"/>
          <w:szCs w:val="26"/>
        </w:rPr>
        <w:t xml:space="preserve"> La riscontrata assenza di un modello unitario.</w:t>
      </w:r>
      <w:r w:rsidR="00925899" w:rsidRPr="00801070">
        <w:rPr>
          <w:rFonts w:ascii="Times New Roman" w:hAnsi="Times New Roman"/>
          <w:b/>
          <w:smallCaps/>
          <w:color w:val="0F243E" w:themeColor="text2" w:themeShade="80"/>
          <w:sz w:val="26"/>
          <w:szCs w:val="26"/>
        </w:rPr>
        <w:t xml:space="preserve"> </w:t>
      </w:r>
      <w:r w:rsidR="00FD35B5" w:rsidRPr="00801070">
        <w:rPr>
          <w:rFonts w:ascii="Times New Roman" w:hAnsi="Times New Roman"/>
          <w:b/>
          <w:smallCaps/>
          <w:color w:val="0F243E" w:themeColor="text2" w:themeShade="80"/>
          <w:sz w:val="26"/>
          <w:szCs w:val="26"/>
        </w:rPr>
        <w:t xml:space="preserve">Le </w:t>
      </w:r>
      <w:r w:rsidR="00925899" w:rsidRPr="00801070">
        <w:rPr>
          <w:rFonts w:ascii="Times New Roman" w:hAnsi="Times New Roman"/>
          <w:b/>
          <w:smallCaps/>
          <w:color w:val="0F243E" w:themeColor="text2" w:themeShade="80"/>
          <w:sz w:val="26"/>
          <w:szCs w:val="26"/>
        </w:rPr>
        <w:t xml:space="preserve">principali ipotesi </w:t>
      </w:r>
      <w:r w:rsidR="00FD35B5" w:rsidRPr="00801070">
        <w:rPr>
          <w:rFonts w:ascii="Times New Roman" w:hAnsi="Times New Roman"/>
          <w:b/>
          <w:smallCaps/>
          <w:color w:val="0F243E" w:themeColor="text2" w:themeShade="80"/>
          <w:sz w:val="26"/>
          <w:szCs w:val="26"/>
        </w:rPr>
        <w:t>di classificazione e di qualificazione giuridica</w:t>
      </w:r>
      <w:r w:rsidR="00A34064" w:rsidRPr="00801070">
        <w:rPr>
          <w:rFonts w:ascii="Times New Roman" w:hAnsi="Times New Roman"/>
          <w:b/>
          <w:smallCaps/>
          <w:color w:val="0F243E" w:themeColor="text2" w:themeShade="80"/>
          <w:sz w:val="26"/>
          <w:szCs w:val="26"/>
        </w:rPr>
        <w:t>.</w:t>
      </w:r>
    </w:p>
    <w:p w:rsidR="00A52B3B" w:rsidRDefault="00A52B3B"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Lo strumento </w:t>
      </w:r>
      <w:r w:rsidRPr="00EE4438">
        <w:rPr>
          <w:rFonts w:ascii="Times New Roman" w:hAnsi="Times New Roman"/>
          <w:color w:val="0F243E" w:themeColor="text2" w:themeShade="80"/>
          <w:sz w:val="26"/>
          <w:szCs w:val="26"/>
        </w:rPr>
        <w:t xml:space="preserve">delle </w:t>
      </w:r>
      <w:r w:rsidRPr="00C61AA7">
        <w:rPr>
          <w:rFonts w:ascii="Times New Roman" w:hAnsi="Times New Roman"/>
          <w:i/>
          <w:color w:val="0F243E" w:themeColor="text2" w:themeShade="80"/>
          <w:sz w:val="26"/>
          <w:szCs w:val="26"/>
        </w:rPr>
        <w:t>linee guida</w:t>
      </w:r>
      <w:r w:rsidR="00EE4438" w:rsidRPr="00EE4438">
        <w:rPr>
          <w:rFonts w:ascii="Times New Roman" w:hAnsi="Times New Roman"/>
          <w:color w:val="0F243E" w:themeColor="text2" w:themeShade="80"/>
          <w:sz w:val="26"/>
          <w:szCs w:val="26"/>
        </w:rPr>
        <w:t>, come da molti osservato,</w:t>
      </w:r>
      <w:r w:rsidRPr="00EE4438">
        <w:rPr>
          <w:rFonts w:ascii="Times New Roman" w:hAnsi="Times New Roman"/>
          <w:color w:val="0F243E" w:themeColor="text2" w:themeShade="80"/>
          <w:sz w:val="26"/>
          <w:szCs w:val="26"/>
        </w:rPr>
        <w:t xml:space="preserve"> è disciplinato</w:t>
      </w:r>
      <w:r>
        <w:rPr>
          <w:rFonts w:ascii="Times New Roman" w:hAnsi="Times New Roman"/>
          <w:color w:val="0F243E" w:themeColor="text2" w:themeShade="80"/>
          <w:sz w:val="26"/>
          <w:szCs w:val="26"/>
        </w:rPr>
        <w:t xml:space="preserve"> dal codice in modo incompleto e disordinato.</w:t>
      </w:r>
    </w:p>
    <w:p w:rsidR="00633E34" w:rsidRDefault="00A52B3B" w:rsidP="00596E5E">
      <w:pPr>
        <w:pStyle w:val="Paragrafoelenco"/>
        <w:tabs>
          <w:tab w:val="left" w:pos="0"/>
        </w:tabs>
        <w:ind w:left="0"/>
        <w:rPr>
          <w:rFonts w:ascii="Times New Roman" w:hAnsi="Times New Roman"/>
          <w:color w:val="0F243E" w:themeColor="text2" w:themeShade="80"/>
          <w:sz w:val="26"/>
          <w:szCs w:val="26"/>
        </w:rPr>
      </w:pPr>
      <w:r w:rsidRPr="00C61AA7">
        <w:rPr>
          <w:rFonts w:ascii="Times New Roman" w:hAnsi="Times New Roman"/>
          <w:i/>
          <w:color w:val="0F243E" w:themeColor="text2" w:themeShade="80"/>
          <w:sz w:val="26"/>
          <w:szCs w:val="26"/>
        </w:rPr>
        <w:t>Incompleto</w:t>
      </w:r>
      <w:r>
        <w:rPr>
          <w:rFonts w:ascii="Times New Roman" w:hAnsi="Times New Roman"/>
          <w:color w:val="0F243E" w:themeColor="text2" w:themeShade="80"/>
          <w:sz w:val="26"/>
          <w:szCs w:val="26"/>
        </w:rPr>
        <w:t xml:space="preserve">, perché, a parte le limitate previsioni sul procedimento di formazione, </w:t>
      </w:r>
      <w:r w:rsidR="00633E34">
        <w:rPr>
          <w:rFonts w:ascii="Times New Roman" w:hAnsi="Times New Roman"/>
          <w:color w:val="0F243E" w:themeColor="text2" w:themeShade="80"/>
          <w:sz w:val="26"/>
          <w:szCs w:val="26"/>
        </w:rPr>
        <w:t>manca la definizione</w:t>
      </w:r>
      <w:r w:rsidR="00FD35B5">
        <w:rPr>
          <w:rFonts w:ascii="Times New Roman" w:hAnsi="Times New Roman"/>
          <w:color w:val="0F243E" w:themeColor="text2" w:themeShade="80"/>
          <w:sz w:val="26"/>
          <w:szCs w:val="26"/>
        </w:rPr>
        <w:t xml:space="preserve"> puntuale</w:t>
      </w:r>
      <w:r w:rsidR="00633E34">
        <w:rPr>
          <w:rFonts w:ascii="Times New Roman" w:hAnsi="Times New Roman"/>
          <w:color w:val="0F243E" w:themeColor="text2" w:themeShade="80"/>
          <w:sz w:val="26"/>
          <w:szCs w:val="26"/>
        </w:rPr>
        <w:t xml:space="preserve"> del loro oggetto</w:t>
      </w:r>
      <w:r w:rsidR="00FD35B5">
        <w:rPr>
          <w:rFonts w:ascii="Times New Roman" w:hAnsi="Times New Roman"/>
          <w:color w:val="0F243E" w:themeColor="text2" w:themeShade="80"/>
          <w:sz w:val="26"/>
          <w:szCs w:val="26"/>
        </w:rPr>
        <w:t xml:space="preserve"> e della loro efficacia</w:t>
      </w:r>
      <w:r w:rsidR="00633E34">
        <w:rPr>
          <w:rFonts w:ascii="Times New Roman" w:hAnsi="Times New Roman"/>
          <w:color w:val="0F243E" w:themeColor="text2" w:themeShade="80"/>
          <w:sz w:val="26"/>
          <w:szCs w:val="26"/>
        </w:rPr>
        <w:t>.</w:t>
      </w:r>
    </w:p>
    <w:p w:rsidR="002E61D9" w:rsidRDefault="00633E34" w:rsidP="00596E5E">
      <w:pPr>
        <w:pStyle w:val="Paragrafoelenco"/>
        <w:tabs>
          <w:tab w:val="left" w:pos="0"/>
        </w:tabs>
        <w:ind w:left="0"/>
        <w:rPr>
          <w:rFonts w:ascii="Times New Roman" w:hAnsi="Times New Roman"/>
          <w:color w:val="0F243E" w:themeColor="text2" w:themeShade="80"/>
          <w:sz w:val="26"/>
          <w:szCs w:val="26"/>
        </w:rPr>
      </w:pPr>
      <w:r w:rsidRPr="00C61AA7">
        <w:rPr>
          <w:rFonts w:ascii="Times New Roman" w:hAnsi="Times New Roman"/>
          <w:i/>
          <w:color w:val="0F243E" w:themeColor="text2" w:themeShade="80"/>
          <w:sz w:val="26"/>
          <w:szCs w:val="26"/>
        </w:rPr>
        <w:t>Disordinato</w:t>
      </w:r>
      <w:r>
        <w:rPr>
          <w:rFonts w:ascii="Times New Roman" w:hAnsi="Times New Roman"/>
          <w:color w:val="0F243E" w:themeColor="text2" w:themeShade="80"/>
          <w:sz w:val="26"/>
          <w:szCs w:val="26"/>
        </w:rPr>
        <w:t xml:space="preserve">, perché, </w:t>
      </w:r>
      <w:r w:rsidR="00612917">
        <w:rPr>
          <w:rFonts w:ascii="Times New Roman" w:hAnsi="Times New Roman"/>
          <w:color w:val="0F243E" w:themeColor="text2" w:themeShade="80"/>
          <w:sz w:val="26"/>
          <w:szCs w:val="26"/>
        </w:rPr>
        <w:t xml:space="preserve">se si esclude </w:t>
      </w:r>
      <w:r>
        <w:rPr>
          <w:rFonts w:ascii="Times New Roman" w:hAnsi="Times New Roman"/>
          <w:color w:val="0F243E" w:themeColor="text2" w:themeShade="80"/>
          <w:sz w:val="26"/>
          <w:szCs w:val="26"/>
        </w:rPr>
        <w:t xml:space="preserve">la menzione generale nell’art. 213, le linee guida sono contemplate da numerose disposizioni sparse nel codice, </w:t>
      </w:r>
      <w:r w:rsidR="002E61D9">
        <w:rPr>
          <w:rFonts w:ascii="Times New Roman" w:hAnsi="Times New Roman"/>
          <w:color w:val="0F243E" w:themeColor="text2" w:themeShade="80"/>
          <w:sz w:val="26"/>
          <w:szCs w:val="26"/>
        </w:rPr>
        <w:t>che utilizzano un lessico privo di omogeneità e chiarezza.</w:t>
      </w:r>
    </w:p>
    <w:p w:rsidR="00D46DBD" w:rsidRPr="002360E5" w:rsidRDefault="002E61D9"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Ed </w:t>
      </w:r>
      <w:r w:rsidRPr="002360E5">
        <w:rPr>
          <w:rFonts w:ascii="Times New Roman" w:hAnsi="Times New Roman"/>
          <w:color w:val="0F243E" w:themeColor="text2" w:themeShade="80"/>
          <w:sz w:val="26"/>
          <w:szCs w:val="26"/>
        </w:rPr>
        <w:t xml:space="preserve">è </w:t>
      </w:r>
      <w:r w:rsidR="00D46DBD" w:rsidRPr="002360E5">
        <w:rPr>
          <w:rFonts w:ascii="Times New Roman" w:hAnsi="Times New Roman"/>
          <w:color w:val="0F243E" w:themeColor="text2" w:themeShade="80"/>
          <w:sz w:val="26"/>
          <w:szCs w:val="26"/>
        </w:rPr>
        <w:t xml:space="preserve">piuttosto singolare, che il legislatore </w:t>
      </w:r>
      <w:r w:rsidR="00397F3D">
        <w:rPr>
          <w:rFonts w:ascii="Times New Roman" w:hAnsi="Times New Roman"/>
          <w:color w:val="0F243E" w:themeColor="text2" w:themeShade="80"/>
          <w:sz w:val="26"/>
          <w:szCs w:val="26"/>
        </w:rPr>
        <w:t>abbia scelto</w:t>
      </w:r>
      <w:r w:rsidR="00D46DBD" w:rsidRPr="002360E5">
        <w:rPr>
          <w:rFonts w:ascii="Times New Roman" w:hAnsi="Times New Roman"/>
          <w:color w:val="0F243E" w:themeColor="text2" w:themeShade="80"/>
          <w:sz w:val="26"/>
          <w:szCs w:val="26"/>
        </w:rPr>
        <w:t xml:space="preserve"> di affidare alle LG un ruolo </w:t>
      </w:r>
      <w:r w:rsidR="00397F3D">
        <w:rPr>
          <w:rFonts w:ascii="Times New Roman" w:hAnsi="Times New Roman"/>
          <w:color w:val="0F243E" w:themeColor="text2" w:themeShade="80"/>
          <w:sz w:val="26"/>
          <w:szCs w:val="26"/>
        </w:rPr>
        <w:t xml:space="preserve">così pervasivo </w:t>
      </w:r>
      <w:r w:rsidR="00D46DBD" w:rsidRPr="002360E5">
        <w:rPr>
          <w:rFonts w:ascii="Times New Roman" w:hAnsi="Times New Roman"/>
          <w:color w:val="0F243E" w:themeColor="text2" w:themeShade="80"/>
          <w:sz w:val="26"/>
          <w:szCs w:val="26"/>
        </w:rPr>
        <w:t>nella attuazione e specificazione del codice e, al tempo stesso</w:t>
      </w:r>
      <w:r w:rsidR="00397F3D">
        <w:rPr>
          <w:rFonts w:ascii="Times New Roman" w:hAnsi="Times New Roman"/>
          <w:color w:val="0F243E" w:themeColor="text2" w:themeShade="80"/>
          <w:sz w:val="26"/>
          <w:szCs w:val="26"/>
        </w:rPr>
        <w:t xml:space="preserve"> abbia</w:t>
      </w:r>
      <w:r w:rsidR="00D46DBD" w:rsidRPr="002360E5">
        <w:rPr>
          <w:rFonts w:ascii="Times New Roman" w:hAnsi="Times New Roman"/>
          <w:color w:val="0F243E" w:themeColor="text2" w:themeShade="80"/>
          <w:sz w:val="26"/>
          <w:szCs w:val="26"/>
        </w:rPr>
        <w:t xml:space="preserve"> ome</w:t>
      </w:r>
      <w:r w:rsidR="00397F3D">
        <w:rPr>
          <w:rFonts w:ascii="Times New Roman" w:hAnsi="Times New Roman"/>
          <w:color w:val="0F243E" w:themeColor="text2" w:themeShade="80"/>
          <w:sz w:val="26"/>
          <w:szCs w:val="26"/>
        </w:rPr>
        <w:t>sso</w:t>
      </w:r>
      <w:r w:rsidR="00D46DBD" w:rsidRPr="002360E5">
        <w:rPr>
          <w:rFonts w:ascii="Times New Roman" w:hAnsi="Times New Roman"/>
          <w:color w:val="0F243E" w:themeColor="text2" w:themeShade="80"/>
          <w:sz w:val="26"/>
          <w:szCs w:val="26"/>
        </w:rPr>
        <w:t xml:space="preserve"> di fornire una disciplina chiara della loro fisionomia e del loro contenuto</w:t>
      </w:r>
      <w:r w:rsidR="002B3A59" w:rsidRPr="002360E5">
        <w:rPr>
          <w:rFonts w:ascii="Times New Roman" w:hAnsi="Times New Roman"/>
          <w:color w:val="0F243E" w:themeColor="text2" w:themeShade="80"/>
          <w:sz w:val="26"/>
          <w:szCs w:val="26"/>
        </w:rPr>
        <w:t>, tanto nella parte generale, quanto nelle disposizioni riguardanti i singoli ambiti di intervento.</w:t>
      </w:r>
    </w:p>
    <w:p w:rsidR="0083078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L’assenza di regole generali ha condotto alla convinzione</w:t>
      </w:r>
      <w:r w:rsidR="00DD0157" w:rsidRPr="002360E5">
        <w:rPr>
          <w:rFonts w:ascii="Times New Roman" w:hAnsi="Times New Roman"/>
          <w:color w:val="0F243E" w:themeColor="text2" w:themeShade="80"/>
          <w:sz w:val="26"/>
          <w:szCs w:val="26"/>
        </w:rPr>
        <w:t>, ormai assodata,</w:t>
      </w:r>
      <w:r w:rsidRPr="002360E5">
        <w:rPr>
          <w:rFonts w:ascii="Times New Roman" w:hAnsi="Times New Roman"/>
          <w:color w:val="0F243E" w:themeColor="text2" w:themeShade="80"/>
          <w:sz w:val="26"/>
          <w:szCs w:val="26"/>
        </w:rPr>
        <w:t xml:space="preserve"> che la formula </w:t>
      </w:r>
      <w:r w:rsidR="004069F7" w:rsidRPr="002360E5">
        <w:rPr>
          <w:rFonts w:ascii="Times New Roman" w:hAnsi="Times New Roman"/>
          <w:color w:val="0F243E" w:themeColor="text2" w:themeShade="80"/>
          <w:sz w:val="26"/>
          <w:szCs w:val="26"/>
        </w:rPr>
        <w:t xml:space="preserve">legislativa </w:t>
      </w:r>
      <w:r w:rsidR="00302781">
        <w:rPr>
          <w:rFonts w:ascii="Times New Roman" w:hAnsi="Times New Roman"/>
          <w:color w:val="0F243E" w:themeColor="text2" w:themeShade="80"/>
          <w:sz w:val="26"/>
          <w:szCs w:val="26"/>
        </w:rPr>
        <w:t>comprende</w:t>
      </w:r>
      <w:r w:rsidRPr="002360E5">
        <w:rPr>
          <w:rFonts w:ascii="Times New Roman" w:hAnsi="Times New Roman"/>
          <w:color w:val="0F243E" w:themeColor="text2" w:themeShade="80"/>
          <w:sz w:val="26"/>
          <w:szCs w:val="26"/>
        </w:rPr>
        <w:t xml:space="preserve"> figure assai diverse, </w:t>
      </w:r>
      <w:r w:rsidR="004069F7" w:rsidRPr="002360E5">
        <w:rPr>
          <w:rFonts w:ascii="Times New Roman" w:hAnsi="Times New Roman"/>
          <w:color w:val="0F243E" w:themeColor="text2" w:themeShade="80"/>
          <w:sz w:val="26"/>
          <w:szCs w:val="26"/>
        </w:rPr>
        <w:t xml:space="preserve">nonostante la comune nomenclatura e il riferimento alla nozione </w:t>
      </w:r>
      <w:r w:rsidR="00A5499F" w:rsidRPr="002360E5">
        <w:rPr>
          <w:rFonts w:ascii="Times New Roman" w:hAnsi="Times New Roman"/>
          <w:color w:val="0F243E" w:themeColor="text2" w:themeShade="80"/>
          <w:sz w:val="26"/>
          <w:szCs w:val="26"/>
        </w:rPr>
        <w:t>unitaria</w:t>
      </w:r>
      <w:r w:rsidR="00830785">
        <w:rPr>
          <w:rFonts w:ascii="Times New Roman" w:hAnsi="Times New Roman"/>
          <w:color w:val="0F243E" w:themeColor="text2" w:themeShade="80"/>
          <w:sz w:val="26"/>
          <w:szCs w:val="26"/>
        </w:rPr>
        <w:t>, più generale,</w:t>
      </w:r>
      <w:r w:rsidR="00A5499F" w:rsidRPr="002360E5">
        <w:rPr>
          <w:rFonts w:ascii="Times New Roman" w:hAnsi="Times New Roman"/>
          <w:color w:val="0F243E" w:themeColor="text2" w:themeShade="80"/>
          <w:sz w:val="26"/>
          <w:szCs w:val="26"/>
        </w:rPr>
        <w:t xml:space="preserve"> </w:t>
      </w:r>
      <w:r w:rsidR="004069F7" w:rsidRPr="002360E5">
        <w:rPr>
          <w:rFonts w:ascii="Times New Roman" w:hAnsi="Times New Roman"/>
          <w:color w:val="0F243E" w:themeColor="text2" w:themeShade="80"/>
          <w:sz w:val="26"/>
          <w:szCs w:val="26"/>
        </w:rPr>
        <w:t xml:space="preserve">di </w:t>
      </w:r>
      <w:r w:rsidR="004069F7" w:rsidRPr="002360E5">
        <w:rPr>
          <w:rFonts w:ascii="Times New Roman" w:hAnsi="Times New Roman"/>
          <w:i/>
          <w:color w:val="0F243E" w:themeColor="text2" w:themeShade="80"/>
          <w:sz w:val="26"/>
          <w:szCs w:val="26"/>
        </w:rPr>
        <w:t>regolazione flessibile</w:t>
      </w:r>
      <w:r w:rsidR="00830785">
        <w:rPr>
          <w:rFonts w:ascii="Times New Roman" w:hAnsi="Times New Roman"/>
          <w:color w:val="0F243E" w:themeColor="text2" w:themeShade="80"/>
          <w:sz w:val="26"/>
          <w:szCs w:val="26"/>
        </w:rPr>
        <w:t>.</w:t>
      </w:r>
    </w:p>
    <w:p w:rsidR="00FA5D02"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Anche alla luce di alcune indicazioni dei commentatori e dei primi pareri consultivi del Consiglio di Stato, s</w:t>
      </w:r>
      <w:r w:rsidR="00830785">
        <w:rPr>
          <w:rFonts w:ascii="Times New Roman" w:hAnsi="Times New Roman"/>
          <w:color w:val="0F243E" w:themeColor="text2" w:themeShade="80"/>
          <w:sz w:val="26"/>
          <w:szCs w:val="26"/>
        </w:rPr>
        <w:t xml:space="preserve">embra plausibile una </w:t>
      </w:r>
      <w:r w:rsidR="00FA5D02" w:rsidRPr="00EE4438">
        <w:rPr>
          <w:rFonts w:ascii="Times New Roman" w:hAnsi="Times New Roman"/>
          <w:i/>
          <w:color w:val="0F243E" w:themeColor="text2" w:themeShade="80"/>
          <w:sz w:val="26"/>
          <w:szCs w:val="26"/>
        </w:rPr>
        <w:t>tripartizione</w:t>
      </w:r>
      <w:r w:rsidR="00FA5D02">
        <w:rPr>
          <w:rFonts w:ascii="Times New Roman" w:hAnsi="Times New Roman"/>
          <w:color w:val="0F243E" w:themeColor="text2" w:themeShade="80"/>
          <w:sz w:val="26"/>
          <w:szCs w:val="26"/>
        </w:rPr>
        <w:t>:</w:t>
      </w:r>
    </w:p>
    <w:p w:rsidR="00FA5D02" w:rsidRPr="00FA5D02" w:rsidRDefault="00FA5D02" w:rsidP="00E53F7D">
      <w:pPr>
        <w:pStyle w:val="Paragrafoelenco"/>
        <w:numPr>
          <w:ilvl w:val="0"/>
          <w:numId w:val="31"/>
        </w:numPr>
        <w:tabs>
          <w:tab w:val="left" w:pos="0"/>
        </w:tabs>
        <w:ind w:left="0" w:firstLine="709"/>
        <w:rPr>
          <w:rFonts w:ascii="Times New Roman" w:hAnsi="Times New Roman"/>
          <w:color w:val="0F243E" w:themeColor="text2" w:themeShade="80"/>
          <w:sz w:val="26"/>
          <w:szCs w:val="26"/>
        </w:rPr>
      </w:pPr>
      <w:r w:rsidRPr="00FA5D02">
        <w:rPr>
          <w:rFonts w:ascii="Times New Roman" w:hAnsi="Times New Roman"/>
          <w:color w:val="0F243E" w:themeColor="text2" w:themeShade="80"/>
          <w:sz w:val="26"/>
          <w:szCs w:val="26"/>
        </w:rPr>
        <w:t>LG approvate con decreto del Ministero delle infrastrutture e dei trasporti;</w:t>
      </w:r>
    </w:p>
    <w:p w:rsidR="00FA5D02" w:rsidRDefault="00FA5D02" w:rsidP="00E53F7D">
      <w:pPr>
        <w:pStyle w:val="Paragrafoelenco"/>
        <w:numPr>
          <w:ilvl w:val="0"/>
          <w:numId w:val="31"/>
        </w:numPr>
        <w:tabs>
          <w:tab w:val="left" w:pos="0"/>
        </w:tabs>
        <w:ind w:left="0" w:firstLine="709"/>
        <w:rPr>
          <w:rFonts w:ascii="Times New Roman" w:hAnsi="Times New Roman"/>
          <w:color w:val="0F243E" w:themeColor="text2" w:themeShade="80"/>
          <w:sz w:val="26"/>
          <w:szCs w:val="26"/>
        </w:rPr>
      </w:pPr>
      <w:r w:rsidRPr="00FA5D02">
        <w:rPr>
          <w:rFonts w:ascii="Times New Roman" w:hAnsi="Times New Roman"/>
          <w:color w:val="0F243E" w:themeColor="text2" w:themeShade="80"/>
          <w:sz w:val="26"/>
          <w:szCs w:val="26"/>
        </w:rPr>
        <w:t>LG dotate di efficacia pienamente “vincolante”</w:t>
      </w:r>
      <w:r>
        <w:rPr>
          <w:rFonts w:ascii="Times New Roman" w:hAnsi="Times New Roman"/>
          <w:color w:val="0F243E" w:themeColor="text2" w:themeShade="80"/>
          <w:sz w:val="26"/>
          <w:szCs w:val="26"/>
        </w:rPr>
        <w:t>;</w:t>
      </w:r>
    </w:p>
    <w:p w:rsidR="007F5930" w:rsidRDefault="00FA5D02" w:rsidP="00E53F7D">
      <w:pPr>
        <w:pStyle w:val="Paragrafoelenco"/>
        <w:numPr>
          <w:ilvl w:val="0"/>
          <w:numId w:val="31"/>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LG non vincolanti</w:t>
      </w:r>
      <w:r w:rsidR="007F5930">
        <w:rPr>
          <w:rFonts w:ascii="Times New Roman" w:hAnsi="Times New Roman"/>
          <w:color w:val="0F243E" w:themeColor="text2" w:themeShade="80"/>
          <w:sz w:val="26"/>
          <w:szCs w:val="26"/>
        </w:rPr>
        <w:t>.</w:t>
      </w:r>
    </w:p>
    <w:p w:rsidR="00C542C1" w:rsidRDefault="007F5930" w:rsidP="007F5930">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A questa tripartizione si aggiungono altre ipotesi, caratterizzate da una rilevante </w:t>
      </w:r>
      <w:r w:rsidR="00C542C1">
        <w:rPr>
          <w:rFonts w:ascii="Times New Roman" w:hAnsi="Times New Roman"/>
          <w:color w:val="0F243E" w:themeColor="text2" w:themeShade="80"/>
          <w:sz w:val="26"/>
          <w:szCs w:val="26"/>
        </w:rPr>
        <w:t>differenza nel procedimento di formazione, ma che si risolvono</w:t>
      </w:r>
      <w:r w:rsidR="00C61AA7">
        <w:rPr>
          <w:rFonts w:ascii="Times New Roman" w:hAnsi="Times New Roman"/>
          <w:color w:val="0F243E" w:themeColor="text2" w:themeShade="80"/>
          <w:sz w:val="26"/>
          <w:szCs w:val="26"/>
        </w:rPr>
        <w:t xml:space="preserve"> anche esse</w:t>
      </w:r>
      <w:r w:rsidR="00C542C1">
        <w:rPr>
          <w:rFonts w:ascii="Times New Roman" w:hAnsi="Times New Roman"/>
          <w:color w:val="0F243E" w:themeColor="text2" w:themeShade="80"/>
          <w:sz w:val="26"/>
          <w:szCs w:val="26"/>
        </w:rPr>
        <w:t>, in sostanza, in LG vincolanti.</w:t>
      </w:r>
    </w:p>
    <w:p w:rsidR="00316AC9" w:rsidRDefault="00C542C1" w:rsidP="007F5930">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Prima di approfondire l’esame dell</w:t>
      </w:r>
      <w:r w:rsidR="00280B25">
        <w:rPr>
          <w:rFonts w:ascii="Times New Roman" w:hAnsi="Times New Roman"/>
          <w:color w:val="0F243E" w:themeColor="text2" w:themeShade="80"/>
          <w:sz w:val="26"/>
          <w:szCs w:val="26"/>
        </w:rPr>
        <w:t xml:space="preserve">e tre indicate categorie, occorre dar conto di altri </w:t>
      </w:r>
      <w:r w:rsidR="00316AC9">
        <w:rPr>
          <w:rFonts w:ascii="Times New Roman" w:hAnsi="Times New Roman"/>
          <w:color w:val="0F243E" w:themeColor="text2" w:themeShade="80"/>
          <w:sz w:val="26"/>
          <w:szCs w:val="26"/>
        </w:rPr>
        <w:t xml:space="preserve">due </w:t>
      </w:r>
      <w:r w:rsidR="00280B25">
        <w:rPr>
          <w:rFonts w:ascii="Times New Roman" w:hAnsi="Times New Roman"/>
          <w:color w:val="0F243E" w:themeColor="text2" w:themeShade="80"/>
          <w:sz w:val="26"/>
          <w:szCs w:val="26"/>
        </w:rPr>
        <w:t xml:space="preserve">importanti criteri di classificazione, che interferiscono con </w:t>
      </w:r>
      <w:r w:rsidR="00316AC9">
        <w:rPr>
          <w:rFonts w:ascii="Times New Roman" w:hAnsi="Times New Roman"/>
          <w:color w:val="0F243E" w:themeColor="text2" w:themeShade="80"/>
          <w:sz w:val="26"/>
          <w:szCs w:val="26"/>
        </w:rPr>
        <w:t>il precedente.</w:t>
      </w:r>
    </w:p>
    <w:p w:rsidR="00316AC9" w:rsidRDefault="00316AC9" w:rsidP="00316AC9">
      <w:pPr>
        <w:pStyle w:val="Paragrafoelenco"/>
        <w:numPr>
          <w:ilvl w:val="0"/>
          <w:numId w:val="32"/>
        </w:num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LG </w:t>
      </w:r>
      <w:r w:rsidRPr="00C61AA7">
        <w:rPr>
          <w:rFonts w:ascii="Times New Roman" w:hAnsi="Times New Roman"/>
          <w:i/>
          <w:color w:val="0F243E" w:themeColor="text2" w:themeShade="80"/>
          <w:sz w:val="26"/>
          <w:szCs w:val="26"/>
        </w:rPr>
        <w:t>tipiche</w:t>
      </w:r>
      <w:r>
        <w:rPr>
          <w:rFonts w:ascii="Times New Roman" w:hAnsi="Times New Roman"/>
          <w:color w:val="0F243E" w:themeColor="text2" w:themeShade="80"/>
          <w:sz w:val="26"/>
          <w:szCs w:val="26"/>
        </w:rPr>
        <w:t xml:space="preserve"> </w:t>
      </w:r>
      <w:r w:rsidR="00C61AA7">
        <w:rPr>
          <w:rFonts w:ascii="Times New Roman" w:hAnsi="Times New Roman"/>
          <w:color w:val="0F243E" w:themeColor="text2" w:themeShade="80"/>
          <w:sz w:val="26"/>
          <w:szCs w:val="26"/>
        </w:rPr>
        <w:t xml:space="preserve">da una parte </w:t>
      </w:r>
      <w:r>
        <w:rPr>
          <w:rFonts w:ascii="Times New Roman" w:hAnsi="Times New Roman"/>
          <w:color w:val="0F243E" w:themeColor="text2" w:themeShade="80"/>
          <w:sz w:val="26"/>
          <w:szCs w:val="26"/>
        </w:rPr>
        <w:t xml:space="preserve">e LG </w:t>
      </w:r>
      <w:r w:rsidRPr="00D70D0C">
        <w:rPr>
          <w:rFonts w:ascii="Times New Roman" w:hAnsi="Times New Roman"/>
          <w:i/>
          <w:color w:val="0F243E" w:themeColor="text2" w:themeShade="80"/>
          <w:sz w:val="26"/>
          <w:szCs w:val="26"/>
        </w:rPr>
        <w:t>innominate</w:t>
      </w:r>
      <w:r w:rsidR="00C61AA7">
        <w:rPr>
          <w:rFonts w:ascii="Times New Roman" w:hAnsi="Times New Roman"/>
          <w:color w:val="0F243E" w:themeColor="text2" w:themeShade="80"/>
          <w:sz w:val="26"/>
          <w:szCs w:val="26"/>
        </w:rPr>
        <w:t xml:space="preserve"> dall’altro</w:t>
      </w:r>
      <w:r>
        <w:rPr>
          <w:rFonts w:ascii="Times New Roman" w:hAnsi="Times New Roman"/>
          <w:color w:val="0F243E" w:themeColor="text2" w:themeShade="80"/>
          <w:sz w:val="26"/>
          <w:szCs w:val="26"/>
        </w:rPr>
        <w:t>;</w:t>
      </w:r>
    </w:p>
    <w:p w:rsidR="00316AC9" w:rsidRDefault="00316AC9" w:rsidP="00316AC9">
      <w:pPr>
        <w:pStyle w:val="Paragrafoelenco"/>
        <w:numPr>
          <w:ilvl w:val="0"/>
          <w:numId w:val="32"/>
        </w:num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LG </w:t>
      </w:r>
      <w:r w:rsidR="00D70D0C">
        <w:rPr>
          <w:rFonts w:ascii="Times New Roman" w:hAnsi="Times New Roman"/>
          <w:color w:val="0F243E" w:themeColor="text2" w:themeShade="80"/>
          <w:sz w:val="26"/>
          <w:szCs w:val="26"/>
        </w:rPr>
        <w:t xml:space="preserve">la cui adozione è </w:t>
      </w:r>
      <w:r w:rsidRPr="00C61AA7">
        <w:rPr>
          <w:rFonts w:ascii="Times New Roman" w:hAnsi="Times New Roman"/>
          <w:i/>
          <w:color w:val="0F243E" w:themeColor="text2" w:themeShade="80"/>
          <w:sz w:val="26"/>
          <w:szCs w:val="26"/>
        </w:rPr>
        <w:t>obbligatori</w:t>
      </w:r>
      <w:r w:rsidR="00D70D0C">
        <w:rPr>
          <w:rFonts w:ascii="Times New Roman" w:hAnsi="Times New Roman"/>
          <w:i/>
          <w:color w:val="0F243E" w:themeColor="text2" w:themeShade="80"/>
          <w:sz w:val="26"/>
          <w:szCs w:val="26"/>
        </w:rPr>
        <w:t xml:space="preserve">a </w:t>
      </w:r>
      <w:r w:rsidR="00D70D0C" w:rsidRPr="00D70D0C">
        <w:rPr>
          <w:rFonts w:ascii="Times New Roman" w:hAnsi="Times New Roman"/>
          <w:color w:val="0F243E" w:themeColor="text2" w:themeShade="80"/>
          <w:sz w:val="26"/>
          <w:szCs w:val="26"/>
        </w:rPr>
        <w:t>per</w:t>
      </w:r>
      <w:r>
        <w:rPr>
          <w:rFonts w:ascii="Times New Roman" w:hAnsi="Times New Roman"/>
          <w:color w:val="0F243E" w:themeColor="text2" w:themeShade="80"/>
          <w:sz w:val="26"/>
          <w:szCs w:val="26"/>
        </w:rPr>
        <w:t xml:space="preserve"> </w:t>
      </w:r>
      <w:r w:rsidR="00D70D0C">
        <w:rPr>
          <w:rFonts w:ascii="Times New Roman" w:hAnsi="Times New Roman"/>
          <w:color w:val="0F243E" w:themeColor="text2" w:themeShade="80"/>
          <w:sz w:val="26"/>
          <w:szCs w:val="26"/>
        </w:rPr>
        <w:t xml:space="preserve">l’ANAC </w:t>
      </w:r>
      <w:r>
        <w:rPr>
          <w:rFonts w:ascii="Times New Roman" w:hAnsi="Times New Roman"/>
          <w:color w:val="0F243E" w:themeColor="text2" w:themeShade="80"/>
          <w:sz w:val="26"/>
          <w:szCs w:val="26"/>
        </w:rPr>
        <w:t xml:space="preserve">e LG </w:t>
      </w:r>
      <w:r w:rsidRPr="00D70D0C">
        <w:rPr>
          <w:rFonts w:ascii="Times New Roman" w:hAnsi="Times New Roman"/>
          <w:i/>
          <w:color w:val="0F243E" w:themeColor="text2" w:themeShade="80"/>
          <w:sz w:val="26"/>
          <w:szCs w:val="26"/>
        </w:rPr>
        <w:t>facoltative</w:t>
      </w:r>
      <w:r>
        <w:rPr>
          <w:rFonts w:ascii="Times New Roman" w:hAnsi="Times New Roman"/>
          <w:color w:val="0F243E" w:themeColor="text2" w:themeShade="80"/>
          <w:sz w:val="26"/>
          <w:szCs w:val="26"/>
        </w:rPr>
        <w:t>.</w:t>
      </w:r>
    </w:p>
    <w:p w:rsidR="004D2477" w:rsidRDefault="00316AC9" w:rsidP="00316AC9">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Secondo l’impostazione dell’art. 213, </w:t>
      </w:r>
      <w:r w:rsidR="004D2477">
        <w:rPr>
          <w:rFonts w:ascii="Times New Roman" w:hAnsi="Times New Roman"/>
          <w:color w:val="0F243E" w:themeColor="text2" w:themeShade="80"/>
          <w:sz w:val="26"/>
          <w:szCs w:val="26"/>
        </w:rPr>
        <w:t>lo strumento del</w:t>
      </w:r>
      <w:r>
        <w:rPr>
          <w:rFonts w:ascii="Times New Roman" w:hAnsi="Times New Roman"/>
          <w:color w:val="0F243E" w:themeColor="text2" w:themeShade="80"/>
          <w:sz w:val="26"/>
          <w:szCs w:val="26"/>
        </w:rPr>
        <w:t xml:space="preserve">le LG </w:t>
      </w:r>
      <w:r w:rsidR="004D2477">
        <w:rPr>
          <w:rFonts w:ascii="Times New Roman" w:hAnsi="Times New Roman"/>
          <w:color w:val="0F243E" w:themeColor="text2" w:themeShade="80"/>
          <w:sz w:val="26"/>
          <w:szCs w:val="26"/>
        </w:rPr>
        <w:t>sembra avere portata generale e, quindi, l’ANAC potrebbe utilizzarlo anche al di fuori dei casi espressamente previsti</w:t>
      </w:r>
      <w:r w:rsidR="00D70D0C">
        <w:rPr>
          <w:rFonts w:ascii="Times New Roman" w:hAnsi="Times New Roman"/>
          <w:color w:val="0F243E" w:themeColor="text2" w:themeShade="80"/>
          <w:sz w:val="26"/>
          <w:szCs w:val="26"/>
        </w:rPr>
        <w:t xml:space="preserve"> (tipici)</w:t>
      </w:r>
      <w:r w:rsidR="004D2477">
        <w:rPr>
          <w:rFonts w:ascii="Times New Roman" w:hAnsi="Times New Roman"/>
          <w:color w:val="0F243E" w:themeColor="text2" w:themeShade="80"/>
          <w:sz w:val="26"/>
          <w:szCs w:val="26"/>
        </w:rPr>
        <w:t>.</w:t>
      </w:r>
    </w:p>
    <w:p w:rsidR="00E61981" w:rsidRDefault="0030478B" w:rsidP="00316AC9">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Inoltre, in alcuni casi, l’adozione delle LG risulta “obbligatoria”</w:t>
      </w:r>
      <w:r w:rsidR="00986C7D">
        <w:rPr>
          <w:rFonts w:ascii="Times New Roman" w:hAnsi="Times New Roman"/>
          <w:color w:val="0F243E" w:themeColor="text2" w:themeShade="80"/>
          <w:sz w:val="26"/>
          <w:szCs w:val="26"/>
        </w:rPr>
        <w:t xml:space="preserve"> per l’ANAC</w:t>
      </w:r>
      <w:r>
        <w:rPr>
          <w:rFonts w:ascii="Times New Roman" w:hAnsi="Times New Roman"/>
          <w:color w:val="0F243E" w:themeColor="text2" w:themeShade="80"/>
          <w:sz w:val="26"/>
          <w:szCs w:val="26"/>
        </w:rPr>
        <w:t xml:space="preserve">, perché riguarda il necessario completamento attuativo di disposizioni legislative. </w:t>
      </w:r>
      <w:r w:rsidR="00986C7D">
        <w:rPr>
          <w:rFonts w:ascii="Times New Roman" w:hAnsi="Times New Roman"/>
          <w:color w:val="0F243E" w:themeColor="text2" w:themeShade="80"/>
          <w:sz w:val="26"/>
          <w:szCs w:val="26"/>
        </w:rPr>
        <w:t xml:space="preserve">Di contro, in </w:t>
      </w:r>
      <w:r>
        <w:rPr>
          <w:rFonts w:ascii="Times New Roman" w:hAnsi="Times New Roman"/>
          <w:color w:val="0F243E" w:themeColor="text2" w:themeShade="80"/>
          <w:sz w:val="26"/>
          <w:szCs w:val="26"/>
        </w:rPr>
        <w:t>altre ipotesi, pur essendo contemplate da apposite disposizioni</w:t>
      </w:r>
      <w:r w:rsidR="00E61981">
        <w:rPr>
          <w:rFonts w:ascii="Times New Roman" w:hAnsi="Times New Roman"/>
          <w:color w:val="0F243E" w:themeColor="text2" w:themeShade="80"/>
          <w:sz w:val="26"/>
          <w:szCs w:val="26"/>
        </w:rPr>
        <w:t xml:space="preserve"> del codice, le LG non se</w:t>
      </w:r>
      <w:r w:rsidR="00986C7D">
        <w:rPr>
          <w:rFonts w:ascii="Times New Roman" w:hAnsi="Times New Roman"/>
          <w:color w:val="0F243E" w:themeColor="text2" w:themeShade="80"/>
          <w:sz w:val="26"/>
          <w:szCs w:val="26"/>
        </w:rPr>
        <w:t>mbran</w:t>
      </w:r>
      <w:r w:rsidR="00E61981">
        <w:rPr>
          <w:rFonts w:ascii="Times New Roman" w:hAnsi="Times New Roman"/>
          <w:color w:val="0F243E" w:themeColor="text2" w:themeShade="80"/>
          <w:sz w:val="26"/>
          <w:szCs w:val="26"/>
        </w:rPr>
        <w:t>o obbligatorie, costituendo mero supporto delle stazioni appaltanti e degli operatori.</w:t>
      </w:r>
    </w:p>
    <w:p w:rsidR="00D166D3" w:rsidRDefault="00D166D3" w:rsidP="00316AC9">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Combinando i diversi criteri classificatori, si dovrebbe ritenere che tutte le LG “atipiche” sono facoltative e totalmente non vincolanti.</w:t>
      </w:r>
    </w:p>
    <w:p w:rsidR="00D166D3" w:rsidRDefault="00D166D3" w:rsidP="00316AC9">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L’affermazione della loro vincolatività violerebbe palesemente il principio di legalità e il divieto di </w:t>
      </w:r>
      <w:r w:rsidRPr="00E53F7D">
        <w:rPr>
          <w:rFonts w:ascii="Times New Roman" w:hAnsi="Times New Roman"/>
          <w:i/>
          <w:color w:val="0F243E" w:themeColor="text2" w:themeShade="80"/>
          <w:sz w:val="26"/>
          <w:szCs w:val="26"/>
        </w:rPr>
        <w:t>gold plating</w:t>
      </w:r>
      <w:r>
        <w:rPr>
          <w:rFonts w:ascii="Times New Roman" w:hAnsi="Times New Roman"/>
          <w:color w:val="0F243E" w:themeColor="text2" w:themeShade="80"/>
          <w:sz w:val="26"/>
          <w:szCs w:val="26"/>
        </w:rPr>
        <w:t>.</w:t>
      </w:r>
    </w:p>
    <w:p w:rsidR="007D44CB" w:rsidRDefault="007D44CB" w:rsidP="00316AC9">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Di contro, tutte le LG vincolanti devono ritenersi tipiche e obbligatorie per l’ANAC.</w:t>
      </w:r>
    </w:p>
    <w:p w:rsidR="005A0325" w:rsidRDefault="004D7569" w:rsidP="00316AC9">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Le LG non vincolanti, secondo l’interpretazione prevalente, possono anche essere tipizzate</w:t>
      </w:r>
      <w:r w:rsidR="005A0325">
        <w:rPr>
          <w:rFonts w:ascii="Times New Roman" w:hAnsi="Times New Roman"/>
          <w:color w:val="0F243E" w:themeColor="text2" w:themeShade="80"/>
          <w:sz w:val="26"/>
          <w:szCs w:val="26"/>
        </w:rPr>
        <w:t>. In tali casi, peraltro, dovrebbe restare ferma la loro obblig</w:t>
      </w:r>
      <w:r w:rsidR="003238E0">
        <w:rPr>
          <w:rFonts w:ascii="Times New Roman" w:hAnsi="Times New Roman"/>
          <w:color w:val="0F243E" w:themeColor="text2" w:themeShade="80"/>
          <w:sz w:val="26"/>
          <w:szCs w:val="26"/>
        </w:rPr>
        <w:t>a</w:t>
      </w:r>
      <w:r w:rsidR="005A0325">
        <w:rPr>
          <w:rFonts w:ascii="Times New Roman" w:hAnsi="Times New Roman"/>
          <w:color w:val="0F243E" w:themeColor="text2" w:themeShade="80"/>
          <w:sz w:val="26"/>
          <w:szCs w:val="26"/>
        </w:rPr>
        <w:t>toria adozione.</w:t>
      </w:r>
    </w:p>
    <w:p w:rsidR="003238E0" w:rsidRDefault="003238E0" w:rsidP="00D00421">
      <w:pPr>
        <w:tabs>
          <w:tab w:val="left" w:pos="0"/>
        </w:tabs>
        <w:rPr>
          <w:rFonts w:ascii="Times New Roman" w:hAnsi="Times New Roman"/>
          <w:color w:val="0F243E" w:themeColor="text2" w:themeShade="80"/>
          <w:sz w:val="26"/>
          <w:szCs w:val="26"/>
        </w:rPr>
      </w:pPr>
    </w:p>
    <w:p w:rsidR="00801070" w:rsidRPr="00801070" w:rsidRDefault="00801070" w:rsidP="00801070">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sidRPr="00801070">
        <w:rPr>
          <w:rFonts w:ascii="Times New Roman" w:hAnsi="Times New Roman"/>
          <w:b/>
          <w:smallCaps/>
          <w:color w:val="0F243E" w:themeColor="text2" w:themeShade="80"/>
          <w:sz w:val="26"/>
          <w:szCs w:val="26"/>
        </w:rPr>
        <w:t>Le LG approvate con d</w:t>
      </w:r>
      <w:r w:rsidR="00612917">
        <w:rPr>
          <w:rFonts w:ascii="Times New Roman" w:hAnsi="Times New Roman"/>
          <w:b/>
          <w:smallCaps/>
          <w:color w:val="0F243E" w:themeColor="text2" w:themeShade="80"/>
          <w:sz w:val="26"/>
          <w:szCs w:val="26"/>
        </w:rPr>
        <w:t>e</w:t>
      </w:r>
      <w:r w:rsidRPr="00801070">
        <w:rPr>
          <w:rFonts w:ascii="Times New Roman" w:hAnsi="Times New Roman"/>
          <w:b/>
          <w:smallCaps/>
          <w:color w:val="0F243E" w:themeColor="text2" w:themeShade="80"/>
          <w:sz w:val="26"/>
          <w:szCs w:val="26"/>
        </w:rPr>
        <w:t>creto ministeriale. La loro natura regolamentare e le criticità aperte. La nozione sostanziale di “linee guida”.</w:t>
      </w:r>
    </w:p>
    <w:p w:rsidR="0061767D" w:rsidRDefault="003238E0" w:rsidP="00D00421">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Ci</w:t>
      </w:r>
      <w:r w:rsidR="000F01BC">
        <w:rPr>
          <w:rFonts w:ascii="Times New Roman" w:hAnsi="Times New Roman"/>
          <w:color w:val="0F243E" w:themeColor="text2" w:themeShade="80"/>
          <w:sz w:val="26"/>
          <w:szCs w:val="26"/>
        </w:rPr>
        <w:t xml:space="preserve">ò, posto, le </w:t>
      </w:r>
      <w:r w:rsidR="00D46DBD" w:rsidRPr="002360E5">
        <w:rPr>
          <w:rFonts w:ascii="Times New Roman" w:hAnsi="Times New Roman"/>
          <w:color w:val="0F243E" w:themeColor="text2" w:themeShade="80"/>
          <w:sz w:val="26"/>
          <w:szCs w:val="26"/>
        </w:rPr>
        <w:t>LG approvate con decreto del Ministero delle infrastrutture e dei trasporti</w:t>
      </w:r>
      <w:r w:rsidR="005D2F2E">
        <w:rPr>
          <w:rFonts w:ascii="Times New Roman" w:hAnsi="Times New Roman"/>
          <w:color w:val="0F243E" w:themeColor="text2" w:themeShade="80"/>
          <w:sz w:val="26"/>
          <w:szCs w:val="26"/>
        </w:rPr>
        <w:t xml:space="preserve"> non hanno determinato particolari problemi di inquadramento giuridico, perché sono state ricondotte alla categoria dei regolamenti governativi</w:t>
      </w:r>
      <w:r w:rsidR="000F01BC">
        <w:rPr>
          <w:rFonts w:ascii="Times New Roman" w:hAnsi="Times New Roman"/>
          <w:color w:val="0F243E" w:themeColor="text2" w:themeShade="80"/>
          <w:sz w:val="26"/>
          <w:szCs w:val="26"/>
        </w:rPr>
        <w:t xml:space="preserve"> “speciali”, in riferimento al loro procedimento di adozione, cui partecipa l’ANAC con un ruolo attivo, sostanzialmente codecisorio</w:t>
      </w:r>
      <w:r w:rsidR="005D2F2E">
        <w:rPr>
          <w:rFonts w:ascii="Times New Roman" w:hAnsi="Times New Roman"/>
          <w:color w:val="0F243E" w:themeColor="text2" w:themeShade="80"/>
          <w:sz w:val="26"/>
          <w:szCs w:val="26"/>
        </w:rPr>
        <w:t>.</w:t>
      </w:r>
    </w:p>
    <w:p w:rsidR="005D2F2E" w:rsidRDefault="00D00421" w:rsidP="00D00421">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Questa soluzione interpretativa </w:t>
      </w:r>
      <w:r w:rsidR="00216C0B">
        <w:rPr>
          <w:rFonts w:ascii="Times New Roman" w:hAnsi="Times New Roman"/>
          <w:color w:val="0F243E" w:themeColor="text2" w:themeShade="80"/>
          <w:sz w:val="26"/>
          <w:szCs w:val="26"/>
        </w:rPr>
        <w:t xml:space="preserve">consente di </w:t>
      </w:r>
      <w:r>
        <w:rPr>
          <w:rFonts w:ascii="Times New Roman" w:hAnsi="Times New Roman"/>
          <w:color w:val="0F243E" w:themeColor="text2" w:themeShade="80"/>
          <w:sz w:val="26"/>
          <w:szCs w:val="26"/>
        </w:rPr>
        <w:t>risolve</w:t>
      </w:r>
      <w:r w:rsidR="00216C0B">
        <w:rPr>
          <w:rFonts w:ascii="Times New Roman" w:hAnsi="Times New Roman"/>
          <w:color w:val="0F243E" w:themeColor="text2" w:themeShade="80"/>
          <w:sz w:val="26"/>
          <w:szCs w:val="26"/>
        </w:rPr>
        <w:t>re</w:t>
      </w:r>
      <w:r>
        <w:rPr>
          <w:rFonts w:ascii="Times New Roman" w:hAnsi="Times New Roman"/>
          <w:color w:val="0F243E" w:themeColor="text2" w:themeShade="80"/>
          <w:sz w:val="26"/>
          <w:szCs w:val="26"/>
        </w:rPr>
        <w:t xml:space="preserve"> molti, ma non tutti </w:t>
      </w:r>
      <w:r w:rsidR="00874301">
        <w:rPr>
          <w:rFonts w:ascii="Times New Roman" w:hAnsi="Times New Roman"/>
          <w:color w:val="0F243E" w:themeColor="text2" w:themeShade="80"/>
          <w:sz w:val="26"/>
          <w:szCs w:val="26"/>
        </w:rPr>
        <w:t>i problemi applicativi.</w:t>
      </w:r>
      <w:r w:rsidR="00216C0B">
        <w:rPr>
          <w:rFonts w:ascii="Times New Roman" w:hAnsi="Times New Roman"/>
          <w:color w:val="0F243E" w:themeColor="text2" w:themeShade="80"/>
          <w:sz w:val="26"/>
          <w:szCs w:val="26"/>
        </w:rPr>
        <w:t xml:space="preserve"> </w:t>
      </w:r>
    </w:p>
    <w:p w:rsidR="00874301" w:rsidRDefault="00874301" w:rsidP="00D00421">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Il primo riguarda l’esatta collocazione nella gerarchia delle fonti, con particolare riguardo a</w:t>
      </w:r>
      <w:r w:rsidR="00216C0B">
        <w:rPr>
          <w:rFonts w:ascii="Times New Roman" w:hAnsi="Times New Roman"/>
          <w:color w:val="0F243E" w:themeColor="text2" w:themeShade="80"/>
          <w:sz w:val="26"/>
          <w:szCs w:val="26"/>
        </w:rPr>
        <w:t>l rapporto con le</w:t>
      </w:r>
      <w:r>
        <w:rPr>
          <w:rFonts w:ascii="Times New Roman" w:hAnsi="Times New Roman"/>
          <w:color w:val="0F243E" w:themeColor="text2" w:themeShade="80"/>
          <w:sz w:val="26"/>
          <w:szCs w:val="26"/>
        </w:rPr>
        <w:t xml:space="preserve"> altre fonti subprimarie. </w:t>
      </w:r>
      <w:r w:rsidR="00FB4294">
        <w:rPr>
          <w:rFonts w:ascii="Times New Roman" w:hAnsi="Times New Roman"/>
          <w:color w:val="0F243E" w:themeColor="text2" w:themeShade="80"/>
          <w:sz w:val="26"/>
          <w:szCs w:val="26"/>
        </w:rPr>
        <w:t xml:space="preserve">La tesi più semplice e convincente è quella secondo cui il </w:t>
      </w:r>
      <w:r w:rsidR="00216C0B">
        <w:rPr>
          <w:rFonts w:ascii="Times New Roman" w:hAnsi="Times New Roman"/>
          <w:color w:val="0F243E" w:themeColor="text2" w:themeShade="80"/>
          <w:sz w:val="26"/>
          <w:szCs w:val="26"/>
        </w:rPr>
        <w:t xml:space="preserve">loro </w:t>
      </w:r>
      <w:r w:rsidR="00FB4294">
        <w:rPr>
          <w:rFonts w:ascii="Times New Roman" w:hAnsi="Times New Roman"/>
          <w:color w:val="0F243E" w:themeColor="text2" w:themeShade="80"/>
          <w:sz w:val="26"/>
          <w:szCs w:val="26"/>
        </w:rPr>
        <w:t xml:space="preserve">rango è pienamente equiparato a quello </w:t>
      </w:r>
      <w:r w:rsidR="00B22F87">
        <w:rPr>
          <w:rFonts w:ascii="Times New Roman" w:hAnsi="Times New Roman"/>
          <w:color w:val="0F243E" w:themeColor="text2" w:themeShade="80"/>
          <w:sz w:val="26"/>
          <w:szCs w:val="26"/>
        </w:rPr>
        <w:t>dei regolamenti ministeriali. Non sono, quindi, né sotto</w:t>
      </w:r>
      <w:r w:rsidR="00216C0B">
        <w:rPr>
          <w:rFonts w:ascii="Times New Roman" w:hAnsi="Times New Roman"/>
          <w:color w:val="0F243E" w:themeColor="text2" w:themeShade="80"/>
          <w:sz w:val="26"/>
          <w:szCs w:val="26"/>
        </w:rPr>
        <w:t>r</w:t>
      </w:r>
      <w:r w:rsidR="00B22F87">
        <w:rPr>
          <w:rFonts w:ascii="Times New Roman" w:hAnsi="Times New Roman"/>
          <w:color w:val="0F243E" w:themeColor="text2" w:themeShade="80"/>
          <w:sz w:val="26"/>
          <w:szCs w:val="26"/>
        </w:rPr>
        <w:t>d</w:t>
      </w:r>
      <w:r w:rsidR="00216C0B">
        <w:rPr>
          <w:rFonts w:ascii="Times New Roman" w:hAnsi="Times New Roman"/>
          <w:color w:val="0F243E" w:themeColor="text2" w:themeShade="80"/>
          <w:sz w:val="26"/>
          <w:szCs w:val="26"/>
        </w:rPr>
        <w:t>i</w:t>
      </w:r>
      <w:r w:rsidR="00B22F87">
        <w:rPr>
          <w:rFonts w:ascii="Times New Roman" w:hAnsi="Times New Roman"/>
          <w:color w:val="0F243E" w:themeColor="text2" w:themeShade="80"/>
          <w:sz w:val="26"/>
          <w:szCs w:val="26"/>
        </w:rPr>
        <w:t>nate (</w:t>
      </w:r>
      <w:r w:rsidR="00216C0B">
        <w:rPr>
          <w:rFonts w:ascii="Times New Roman" w:hAnsi="Times New Roman"/>
          <w:color w:val="0F243E" w:themeColor="text2" w:themeShade="80"/>
          <w:sz w:val="26"/>
          <w:szCs w:val="26"/>
        </w:rPr>
        <w:t xml:space="preserve">quali </w:t>
      </w:r>
      <w:r w:rsidR="00B22F87">
        <w:rPr>
          <w:rFonts w:ascii="Times New Roman" w:hAnsi="Times New Roman"/>
          <w:color w:val="0F243E" w:themeColor="text2" w:themeShade="80"/>
          <w:sz w:val="26"/>
          <w:szCs w:val="26"/>
        </w:rPr>
        <w:t xml:space="preserve">fonti </w:t>
      </w:r>
      <w:r w:rsidR="00B22F87" w:rsidRPr="00216C0B">
        <w:rPr>
          <w:rFonts w:ascii="Times New Roman" w:hAnsi="Times New Roman"/>
          <w:i/>
          <w:color w:val="0F243E" w:themeColor="text2" w:themeShade="80"/>
          <w:sz w:val="26"/>
          <w:szCs w:val="26"/>
        </w:rPr>
        <w:t>terziarie</w:t>
      </w:r>
      <w:r w:rsidR="00B22F87">
        <w:rPr>
          <w:rFonts w:ascii="Times New Roman" w:hAnsi="Times New Roman"/>
          <w:color w:val="0F243E" w:themeColor="text2" w:themeShade="80"/>
          <w:sz w:val="26"/>
          <w:szCs w:val="26"/>
        </w:rPr>
        <w:t>), né sopraordinate ai regolamenti ministeriali, nemmeno applicando il criterio di “competenza” o specialità, nella risoluzione del conflitto apparente tra norme.</w:t>
      </w:r>
    </w:p>
    <w:p w:rsidR="00B22F87" w:rsidRDefault="00B22F87" w:rsidP="00D00421">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Il secondo e il terzo</w:t>
      </w:r>
      <w:r w:rsidR="00BA44A2">
        <w:rPr>
          <w:rFonts w:ascii="Times New Roman" w:hAnsi="Times New Roman"/>
          <w:color w:val="0F243E" w:themeColor="text2" w:themeShade="80"/>
          <w:sz w:val="26"/>
          <w:szCs w:val="26"/>
        </w:rPr>
        <w:t xml:space="preserve"> problema</w:t>
      </w:r>
      <w:r>
        <w:rPr>
          <w:rFonts w:ascii="Times New Roman" w:hAnsi="Times New Roman"/>
          <w:color w:val="0F243E" w:themeColor="text2" w:themeShade="80"/>
          <w:sz w:val="26"/>
          <w:szCs w:val="26"/>
        </w:rPr>
        <w:t xml:space="preserve">, strettamente connessi, riguardano </w:t>
      </w:r>
      <w:r w:rsidR="00937DAC">
        <w:rPr>
          <w:rFonts w:ascii="Times New Roman" w:hAnsi="Times New Roman"/>
          <w:color w:val="0F243E" w:themeColor="text2" w:themeShade="80"/>
          <w:sz w:val="26"/>
          <w:szCs w:val="26"/>
        </w:rPr>
        <w:t>le conseguenze pratiche riguardanti la loro qualificazione</w:t>
      </w:r>
      <w:r w:rsidR="00CE7A6D">
        <w:rPr>
          <w:rFonts w:ascii="Times New Roman" w:hAnsi="Times New Roman"/>
          <w:color w:val="0F243E" w:themeColor="text2" w:themeShade="80"/>
          <w:sz w:val="26"/>
          <w:szCs w:val="26"/>
        </w:rPr>
        <w:t xml:space="preserve"> stabilita dal codice,</w:t>
      </w:r>
      <w:r w:rsidR="00937DAC">
        <w:rPr>
          <w:rFonts w:ascii="Times New Roman" w:hAnsi="Times New Roman"/>
          <w:color w:val="0F243E" w:themeColor="text2" w:themeShade="80"/>
          <w:sz w:val="26"/>
          <w:szCs w:val="26"/>
        </w:rPr>
        <w:t xml:space="preserve"> contenutistica e funzionale, al tempo stesso, </w:t>
      </w:r>
      <w:r w:rsidR="00BA44A2">
        <w:rPr>
          <w:rFonts w:ascii="Times New Roman" w:hAnsi="Times New Roman"/>
          <w:color w:val="0F243E" w:themeColor="text2" w:themeShade="80"/>
          <w:sz w:val="26"/>
          <w:szCs w:val="26"/>
        </w:rPr>
        <w:t xml:space="preserve">quali </w:t>
      </w:r>
      <w:r w:rsidR="00937DAC">
        <w:rPr>
          <w:rFonts w:ascii="Times New Roman" w:hAnsi="Times New Roman"/>
          <w:color w:val="0F243E" w:themeColor="text2" w:themeShade="80"/>
          <w:sz w:val="26"/>
          <w:szCs w:val="26"/>
        </w:rPr>
        <w:t>“</w:t>
      </w:r>
      <w:r w:rsidR="00937DAC" w:rsidRPr="00CE7A6D">
        <w:rPr>
          <w:rFonts w:ascii="Times New Roman" w:hAnsi="Times New Roman"/>
          <w:i/>
          <w:color w:val="0F243E" w:themeColor="text2" w:themeShade="80"/>
          <w:sz w:val="26"/>
          <w:szCs w:val="26"/>
        </w:rPr>
        <w:t>linee guida</w:t>
      </w:r>
      <w:r w:rsidR="00937DAC">
        <w:rPr>
          <w:rFonts w:ascii="Times New Roman" w:hAnsi="Times New Roman"/>
          <w:color w:val="0F243E" w:themeColor="text2" w:themeShade="80"/>
          <w:sz w:val="26"/>
          <w:szCs w:val="26"/>
        </w:rPr>
        <w:t>” e come atti di “</w:t>
      </w:r>
      <w:r w:rsidR="00937DAC" w:rsidRPr="00CE7A6D">
        <w:rPr>
          <w:rFonts w:ascii="Times New Roman" w:hAnsi="Times New Roman"/>
          <w:i/>
          <w:color w:val="0F243E" w:themeColor="text2" w:themeShade="80"/>
          <w:sz w:val="26"/>
          <w:szCs w:val="26"/>
        </w:rPr>
        <w:t>regolazione flessibile</w:t>
      </w:r>
      <w:r w:rsidR="00937DAC">
        <w:rPr>
          <w:rFonts w:ascii="Times New Roman" w:hAnsi="Times New Roman"/>
          <w:color w:val="0F243E" w:themeColor="text2" w:themeShade="80"/>
          <w:sz w:val="26"/>
          <w:szCs w:val="26"/>
        </w:rPr>
        <w:t>”.</w:t>
      </w:r>
    </w:p>
    <w:p w:rsidR="00CE7A6D" w:rsidRDefault="00C4277E" w:rsidP="00D00421">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La questione potrebbe essere liquidata, in verità, svalutando il senso della n</w:t>
      </w:r>
      <w:r w:rsidR="0057514B">
        <w:rPr>
          <w:rFonts w:ascii="Times New Roman" w:hAnsi="Times New Roman"/>
          <w:color w:val="0F243E" w:themeColor="text2" w:themeShade="80"/>
          <w:sz w:val="26"/>
          <w:szCs w:val="26"/>
        </w:rPr>
        <w:t>omenclatura prevista dal codice: l’espressione “linee-guida”</w:t>
      </w:r>
      <w:r>
        <w:rPr>
          <w:rFonts w:ascii="Times New Roman" w:hAnsi="Times New Roman"/>
          <w:color w:val="0F243E" w:themeColor="text2" w:themeShade="80"/>
          <w:sz w:val="26"/>
          <w:szCs w:val="26"/>
        </w:rPr>
        <w:t xml:space="preserve"> </w:t>
      </w:r>
      <w:r w:rsidR="001C3683">
        <w:rPr>
          <w:rFonts w:ascii="Times New Roman" w:hAnsi="Times New Roman"/>
          <w:color w:val="0F243E" w:themeColor="text2" w:themeShade="80"/>
          <w:sz w:val="26"/>
          <w:szCs w:val="26"/>
        </w:rPr>
        <w:t>andrebbe ricondott</w:t>
      </w:r>
      <w:r w:rsidR="0057514B">
        <w:rPr>
          <w:rFonts w:ascii="Times New Roman" w:hAnsi="Times New Roman"/>
          <w:color w:val="0F243E" w:themeColor="text2" w:themeShade="80"/>
          <w:sz w:val="26"/>
          <w:szCs w:val="26"/>
        </w:rPr>
        <w:t>a</w:t>
      </w:r>
      <w:r w:rsidR="001C3683">
        <w:rPr>
          <w:rFonts w:ascii="Times New Roman" w:hAnsi="Times New Roman"/>
          <w:color w:val="0F243E" w:themeColor="text2" w:themeShade="80"/>
          <w:sz w:val="26"/>
          <w:szCs w:val="26"/>
        </w:rPr>
        <w:t xml:space="preserve"> ad un significato meramente descrittivo e finalistico, senza alcuna conseguenza giuridica.</w:t>
      </w:r>
    </w:p>
    <w:p w:rsidR="001C3683" w:rsidRDefault="004C042F" w:rsidP="00D00421">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Ma è ragionevole ritenere che il riferimento ad un preciso contenuto, costituito dalla </w:t>
      </w:r>
      <w:r w:rsidR="006D6496">
        <w:rPr>
          <w:rFonts w:ascii="Times New Roman" w:hAnsi="Times New Roman"/>
          <w:color w:val="0F243E" w:themeColor="text2" w:themeShade="80"/>
          <w:sz w:val="26"/>
          <w:szCs w:val="26"/>
        </w:rPr>
        <w:t>indicazione</w:t>
      </w:r>
      <w:r>
        <w:rPr>
          <w:rFonts w:ascii="Times New Roman" w:hAnsi="Times New Roman"/>
          <w:color w:val="0F243E" w:themeColor="text2" w:themeShade="80"/>
          <w:sz w:val="26"/>
          <w:szCs w:val="26"/>
        </w:rPr>
        <w:t xml:space="preserve"> di “</w:t>
      </w:r>
      <w:r w:rsidRPr="0057514B">
        <w:rPr>
          <w:rFonts w:ascii="Times New Roman" w:hAnsi="Times New Roman"/>
          <w:i/>
          <w:color w:val="0F243E" w:themeColor="text2" w:themeShade="80"/>
          <w:sz w:val="26"/>
          <w:szCs w:val="26"/>
        </w:rPr>
        <w:t>linee guida</w:t>
      </w:r>
      <w:r>
        <w:rPr>
          <w:rFonts w:ascii="Times New Roman" w:hAnsi="Times New Roman"/>
          <w:color w:val="0F243E" w:themeColor="text2" w:themeShade="80"/>
          <w:sz w:val="26"/>
          <w:szCs w:val="26"/>
        </w:rPr>
        <w:t>”</w:t>
      </w:r>
      <w:r w:rsidR="006D6496">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intenda </w:t>
      </w:r>
      <w:r w:rsidR="00B24FAC">
        <w:rPr>
          <w:rFonts w:ascii="Times New Roman" w:hAnsi="Times New Roman"/>
          <w:color w:val="0F243E" w:themeColor="text2" w:themeShade="80"/>
          <w:sz w:val="26"/>
          <w:szCs w:val="26"/>
        </w:rPr>
        <w:t xml:space="preserve">fissare </w:t>
      </w:r>
      <w:r w:rsidR="00B005F8">
        <w:rPr>
          <w:rFonts w:ascii="Times New Roman" w:hAnsi="Times New Roman"/>
          <w:color w:val="0F243E" w:themeColor="text2" w:themeShade="80"/>
          <w:sz w:val="26"/>
          <w:szCs w:val="26"/>
        </w:rPr>
        <w:t xml:space="preserve">anche </w:t>
      </w:r>
      <w:r w:rsidR="00B24FAC">
        <w:rPr>
          <w:rFonts w:ascii="Times New Roman" w:hAnsi="Times New Roman"/>
          <w:color w:val="0F243E" w:themeColor="text2" w:themeShade="80"/>
          <w:sz w:val="26"/>
          <w:szCs w:val="26"/>
        </w:rPr>
        <w:t xml:space="preserve">alcuni vincoli positivi e </w:t>
      </w:r>
      <w:r w:rsidR="00B005F8">
        <w:rPr>
          <w:rFonts w:ascii="Times New Roman" w:hAnsi="Times New Roman"/>
          <w:color w:val="0F243E" w:themeColor="text2" w:themeShade="80"/>
          <w:sz w:val="26"/>
          <w:szCs w:val="26"/>
        </w:rPr>
        <w:t xml:space="preserve">determinati </w:t>
      </w:r>
      <w:r w:rsidR="00B24FAC">
        <w:rPr>
          <w:rFonts w:ascii="Times New Roman" w:hAnsi="Times New Roman"/>
          <w:color w:val="0F243E" w:themeColor="text2" w:themeShade="80"/>
          <w:sz w:val="26"/>
          <w:szCs w:val="26"/>
        </w:rPr>
        <w:t>limiti negativi al potere regolatorio.</w:t>
      </w:r>
      <w:r w:rsidR="00B005F8">
        <w:rPr>
          <w:rFonts w:ascii="Times New Roman" w:hAnsi="Times New Roman"/>
          <w:color w:val="0F243E" w:themeColor="text2" w:themeShade="80"/>
          <w:sz w:val="26"/>
          <w:szCs w:val="26"/>
        </w:rPr>
        <w:t xml:space="preserve"> Altrimenti, il codice avrebbe richiamato la dizione generale dei regolamenti di cui all’art. 17 della legge n. 400/1988, salve le deroghe espressamente contemplate.</w:t>
      </w:r>
    </w:p>
    <w:p w:rsidR="00D74026" w:rsidRPr="002360E5" w:rsidRDefault="00D74026" w:rsidP="00D74026">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Ciò chiarito, </w:t>
      </w:r>
      <w:r w:rsidR="00C13ECE">
        <w:rPr>
          <w:rFonts w:ascii="Times New Roman" w:hAnsi="Times New Roman"/>
          <w:color w:val="0F243E" w:themeColor="text2" w:themeShade="80"/>
          <w:sz w:val="26"/>
          <w:szCs w:val="26"/>
        </w:rPr>
        <w:t xml:space="preserve">allora, si tratta di stabilire se sia possibile attribuire un preciso significato </w:t>
      </w:r>
      <w:r w:rsidR="00BB1B0F">
        <w:rPr>
          <w:rFonts w:ascii="Times New Roman" w:hAnsi="Times New Roman"/>
          <w:color w:val="0F243E" w:themeColor="text2" w:themeShade="80"/>
          <w:sz w:val="26"/>
          <w:szCs w:val="26"/>
        </w:rPr>
        <w:t xml:space="preserve">alla nozione di </w:t>
      </w:r>
      <w:r w:rsidRPr="002360E5">
        <w:rPr>
          <w:rFonts w:ascii="Times New Roman" w:hAnsi="Times New Roman"/>
          <w:color w:val="0F243E" w:themeColor="text2" w:themeShade="80"/>
          <w:sz w:val="26"/>
          <w:szCs w:val="26"/>
        </w:rPr>
        <w:t>“</w:t>
      </w:r>
      <w:r w:rsidRPr="002360E5">
        <w:rPr>
          <w:rFonts w:ascii="Times New Roman" w:hAnsi="Times New Roman"/>
          <w:i/>
          <w:color w:val="0F243E" w:themeColor="text2" w:themeShade="80"/>
          <w:sz w:val="26"/>
          <w:szCs w:val="26"/>
        </w:rPr>
        <w:t>linee guida</w:t>
      </w:r>
      <w:r w:rsidRPr="002360E5">
        <w:rPr>
          <w:rFonts w:ascii="Times New Roman" w:hAnsi="Times New Roman"/>
          <w:color w:val="0F243E" w:themeColor="text2" w:themeShade="80"/>
          <w:sz w:val="26"/>
          <w:szCs w:val="26"/>
        </w:rPr>
        <w:t>”, già da tempo presente, ma con molteplici valori semantici e senza ambizioni sistematiche, nella nostra legislazione.</w:t>
      </w:r>
    </w:p>
    <w:p w:rsidR="0068088F" w:rsidRPr="003B4BE6" w:rsidRDefault="00D74026" w:rsidP="006D6496">
      <w:pPr>
        <w:pStyle w:val="Paragrafoelenco"/>
        <w:tabs>
          <w:tab w:val="left" w:pos="0"/>
        </w:tabs>
        <w:ind w:left="0"/>
        <w:rPr>
          <w:rFonts w:ascii="Times New Roman" w:hAnsi="Times New Roman"/>
          <w:i/>
          <w:color w:val="0F243E"/>
          <w:sz w:val="26"/>
          <w:szCs w:val="26"/>
        </w:rPr>
      </w:pPr>
      <w:r w:rsidRPr="002360E5">
        <w:rPr>
          <w:rFonts w:ascii="Times New Roman" w:hAnsi="Times New Roman"/>
          <w:color w:val="0F243E" w:themeColor="text2" w:themeShade="80"/>
          <w:sz w:val="26"/>
          <w:szCs w:val="26"/>
        </w:rPr>
        <w:t xml:space="preserve">Si è ipotizzato, infatti, che il concetto di LG </w:t>
      </w:r>
      <w:r>
        <w:rPr>
          <w:rFonts w:ascii="Times New Roman" w:hAnsi="Times New Roman"/>
          <w:color w:val="0F243E" w:themeColor="text2" w:themeShade="80"/>
          <w:sz w:val="26"/>
          <w:szCs w:val="26"/>
        </w:rPr>
        <w:t xml:space="preserve">indicherebbe un particolare contenuto o una particolare modalità espressiva del precetto </w:t>
      </w:r>
      <w:r w:rsidR="00BB1B0F">
        <w:rPr>
          <w:rFonts w:ascii="Times New Roman" w:hAnsi="Times New Roman"/>
          <w:color w:val="0F243E" w:themeColor="text2" w:themeShade="80"/>
          <w:sz w:val="26"/>
          <w:szCs w:val="26"/>
        </w:rPr>
        <w:t>giuridico, ch</w:t>
      </w:r>
      <w:r>
        <w:rPr>
          <w:rFonts w:ascii="Times New Roman" w:hAnsi="Times New Roman"/>
          <w:color w:val="0F243E" w:themeColor="text2" w:themeShade="80"/>
          <w:sz w:val="26"/>
          <w:szCs w:val="26"/>
        </w:rPr>
        <w:t xml:space="preserve">e </w:t>
      </w:r>
      <w:r w:rsidRPr="002360E5">
        <w:rPr>
          <w:rFonts w:ascii="Times New Roman" w:hAnsi="Times New Roman"/>
          <w:color w:val="0F243E" w:themeColor="text2" w:themeShade="80"/>
          <w:sz w:val="26"/>
          <w:szCs w:val="26"/>
        </w:rPr>
        <w:t xml:space="preserve">potrebbe essere compatibile con qualsiasi </w:t>
      </w:r>
      <w:r w:rsidRPr="002360E5">
        <w:rPr>
          <w:rFonts w:ascii="Times New Roman" w:hAnsi="Times New Roman"/>
          <w:i/>
          <w:color w:val="0F243E" w:themeColor="text2" w:themeShade="80"/>
          <w:sz w:val="26"/>
          <w:szCs w:val="26"/>
        </w:rPr>
        <w:t>livello formale</w:t>
      </w:r>
      <w:r w:rsidRPr="002360E5">
        <w:rPr>
          <w:rFonts w:ascii="Times New Roman" w:hAnsi="Times New Roman"/>
          <w:color w:val="0F243E" w:themeColor="text2" w:themeShade="80"/>
          <w:sz w:val="26"/>
          <w:szCs w:val="26"/>
        </w:rPr>
        <w:t xml:space="preserve"> della fonte</w:t>
      </w:r>
      <w:r w:rsidR="00BB1B0F">
        <w:rPr>
          <w:rFonts w:ascii="Times New Roman" w:hAnsi="Times New Roman"/>
          <w:color w:val="0F243E" w:themeColor="text2" w:themeShade="80"/>
          <w:sz w:val="26"/>
          <w:szCs w:val="26"/>
        </w:rPr>
        <w:t xml:space="preserve"> in cui lo strumento è collocato</w:t>
      </w:r>
      <w:r w:rsidR="0068088F">
        <w:rPr>
          <w:rFonts w:ascii="Times New Roman" w:hAnsi="Times New Roman"/>
          <w:color w:val="0F243E" w:themeColor="text2" w:themeShade="80"/>
          <w:sz w:val="26"/>
          <w:szCs w:val="26"/>
        </w:rPr>
        <w:t>.</w:t>
      </w:r>
      <w:r w:rsidR="006D6496">
        <w:rPr>
          <w:rFonts w:ascii="Times New Roman" w:hAnsi="Times New Roman"/>
          <w:color w:val="0F243E" w:themeColor="text2" w:themeShade="80"/>
          <w:sz w:val="26"/>
          <w:szCs w:val="26"/>
        </w:rPr>
        <w:t xml:space="preserve"> Anche </w:t>
      </w:r>
      <w:r w:rsidR="0068088F">
        <w:rPr>
          <w:rFonts w:ascii="Times New Roman" w:hAnsi="Times New Roman"/>
          <w:color w:val="0F243E" w:themeColor="text2" w:themeShade="80"/>
          <w:sz w:val="26"/>
          <w:szCs w:val="26"/>
        </w:rPr>
        <w:t xml:space="preserve">nello stesso codice n. 50/2016, </w:t>
      </w:r>
      <w:r w:rsidR="006D6496">
        <w:rPr>
          <w:rFonts w:ascii="Times New Roman" w:hAnsi="Times New Roman"/>
          <w:color w:val="0F243E" w:themeColor="text2" w:themeShade="80"/>
          <w:sz w:val="26"/>
          <w:szCs w:val="26"/>
        </w:rPr>
        <w:t xml:space="preserve">del resto, </w:t>
      </w:r>
      <w:r w:rsidR="0068088F">
        <w:rPr>
          <w:rFonts w:ascii="Times New Roman" w:hAnsi="Times New Roman"/>
          <w:color w:val="0F243E" w:themeColor="text2" w:themeShade="80"/>
          <w:sz w:val="26"/>
          <w:szCs w:val="26"/>
        </w:rPr>
        <w:t>le LG sono considerate come un “contenuto” particolare, sganciato dal livello della fonte e dal soggetto che le adotta.</w:t>
      </w:r>
      <w:r w:rsidR="006D6496">
        <w:rPr>
          <w:rFonts w:ascii="Times New Roman" w:hAnsi="Times New Roman"/>
          <w:color w:val="0F243E" w:themeColor="text2" w:themeShade="80"/>
          <w:sz w:val="26"/>
          <w:szCs w:val="26"/>
        </w:rPr>
        <w:t xml:space="preserve"> </w:t>
      </w:r>
      <w:r w:rsidR="0068088F" w:rsidRPr="003B4BE6">
        <w:rPr>
          <w:rFonts w:ascii="Times New Roman" w:hAnsi="Times New Roman"/>
          <w:color w:val="0F243E"/>
          <w:sz w:val="26"/>
          <w:szCs w:val="26"/>
        </w:rPr>
        <w:t>Basterebbe osservare la previsione di cui all’art. 25, comma 13, del codice, riguardante l</w:t>
      </w:r>
      <w:r w:rsidR="006D6496">
        <w:rPr>
          <w:rFonts w:ascii="Times New Roman" w:hAnsi="Times New Roman"/>
          <w:color w:val="0F243E"/>
          <w:sz w:val="26"/>
          <w:szCs w:val="26"/>
        </w:rPr>
        <w:t>’ipotesi</w:t>
      </w:r>
      <w:r w:rsidR="0068088F" w:rsidRPr="003B4BE6">
        <w:rPr>
          <w:rFonts w:ascii="Times New Roman" w:hAnsi="Times New Roman"/>
          <w:color w:val="0F243E"/>
          <w:sz w:val="26"/>
          <w:szCs w:val="26"/>
        </w:rPr>
        <w:t xml:space="preserve"> di linee guida governative. “</w:t>
      </w:r>
      <w:r w:rsidR="0068088F" w:rsidRPr="003B4BE6">
        <w:rPr>
          <w:rFonts w:ascii="Times New Roman" w:eastAsia="Times New Roman" w:hAnsi="Times New Roman"/>
          <w:i/>
          <w:color w:val="0F243E"/>
          <w:sz w:val="26"/>
          <w:szCs w:val="26"/>
          <w:lang w:eastAsia="it-IT"/>
        </w:rPr>
        <w:t>Con decreto del Presidente del Consiglio dei Ministri, su proposta del Ministro dei beni e delle attività culturali e del turismo, di concerto con il Ministro delle infrastrutture e dei trasporti, entro il 31 dicembre 2017, sono adottate linee guida finalizzate ad assicurare speditezza, efficienza ed efficacia alla procedura di cui al presente articolo. Con il medesimo decreto sono individuati procedimenti semplificati, con termini certi, che garantiscano la tutela del patrimonio archeologico tenendo conto dell'interesse pubblico sotteso alla realizzazione dell'opera.”</w:t>
      </w:r>
    </w:p>
    <w:p w:rsidR="0068088F" w:rsidRPr="003B4BE6" w:rsidRDefault="0068088F" w:rsidP="0068088F">
      <w:pPr>
        <w:tabs>
          <w:tab w:val="left" w:pos="0"/>
        </w:tabs>
        <w:contextualSpacing/>
        <w:rPr>
          <w:rFonts w:ascii="Times New Roman" w:hAnsi="Times New Roman"/>
          <w:color w:val="0F243E"/>
          <w:sz w:val="26"/>
          <w:szCs w:val="26"/>
        </w:rPr>
      </w:pPr>
      <w:r w:rsidRPr="003B4BE6">
        <w:rPr>
          <w:rFonts w:ascii="Times New Roman" w:hAnsi="Times New Roman"/>
          <w:color w:val="0F243E"/>
          <w:sz w:val="26"/>
          <w:szCs w:val="26"/>
        </w:rPr>
        <w:t xml:space="preserve">La disposizione riguarda una procedura in cui appaiono prevalenti gli interessi pubblici intestati alle amministrazioni statali e, pertanto, potrebbe apparire giustificata l’arretramento della funzione regolatoria dell’ANAC. Non si spiega, però, la totale assenza di coinvolgimento dell’Autorità. Piuttosto, va sottolineato che il potere di intervento statale non è qualificato come regolamentare e si menziona la </w:t>
      </w:r>
      <w:r w:rsidRPr="003B4BE6">
        <w:rPr>
          <w:rFonts w:ascii="Times New Roman" w:hAnsi="Times New Roman"/>
          <w:i/>
          <w:color w:val="0F243E"/>
          <w:sz w:val="26"/>
          <w:szCs w:val="26"/>
        </w:rPr>
        <w:t>tecnica</w:t>
      </w:r>
      <w:r w:rsidRPr="003B4BE6">
        <w:rPr>
          <w:rFonts w:ascii="Times New Roman" w:hAnsi="Times New Roman"/>
          <w:color w:val="0F243E"/>
          <w:sz w:val="26"/>
          <w:szCs w:val="26"/>
        </w:rPr>
        <w:t xml:space="preserve"> delle linee guida.</w:t>
      </w:r>
    </w:p>
    <w:p w:rsidR="004B6CC9" w:rsidRDefault="00D74026" w:rsidP="00D74026">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 caratteristica distintiva</w:t>
      </w:r>
      <w:r w:rsidR="00A30E58">
        <w:rPr>
          <w:rFonts w:ascii="Times New Roman" w:hAnsi="Times New Roman"/>
          <w:color w:val="0F243E" w:themeColor="text2" w:themeShade="80"/>
          <w:sz w:val="26"/>
          <w:szCs w:val="26"/>
        </w:rPr>
        <w:t xml:space="preserve"> delle LG</w:t>
      </w:r>
      <w:r w:rsidRPr="002360E5">
        <w:rPr>
          <w:rFonts w:ascii="Times New Roman" w:hAnsi="Times New Roman"/>
          <w:color w:val="0F243E" w:themeColor="text2" w:themeShade="80"/>
          <w:sz w:val="26"/>
          <w:szCs w:val="26"/>
        </w:rPr>
        <w:t xml:space="preserve"> riguarderebbe</w:t>
      </w:r>
      <w:r w:rsidR="008C3E78">
        <w:rPr>
          <w:rFonts w:ascii="Times New Roman" w:hAnsi="Times New Roman"/>
          <w:color w:val="0F243E" w:themeColor="text2" w:themeShade="80"/>
          <w:sz w:val="26"/>
          <w:szCs w:val="26"/>
        </w:rPr>
        <w:t>, infatti,</w:t>
      </w:r>
      <w:r w:rsidRPr="002360E5">
        <w:rPr>
          <w:rFonts w:ascii="Times New Roman" w:hAnsi="Times New Roman"/>
          <w:color w:val="0F243E" w:themeColor="text2" w:themeShade="80"/>
          <w:sz w:val="26"/>
          <w:szCs w:val="26"/>
        </w:rPr>
        <w:t xml:space="preserve"> il contenuto </w:t>
      </w:r>
      <w:r w:rsidR="008C3E78">
        <w:rPr>
          <w:rFonts w:ascii="Times New Roman" w:hAnsi="Times New Roman"/>
          <w:color w:val="0F243E" w:themeColor="text2" w:themeShade="80"/>
          <w:sz w:val="26"/>
          <w:szCs w:val="26"/>
        </w:rPr>
        <w:t xml:space="preserve">e la fisionomia </w:t>
      </w:r>
      <w:r w:rsidRPr="002360E5">
        <w:rPr>
          <w:rFonts w:ascii="Times New Roman" w:hAnsi="Times New Roman"/>
          <w:color w:val="0F243E" w:themeColor="text2" w:themeShade="80"/>
          <w:sz w:val="26"/>
          <w:szCs w:val="26"/>
        </w:rPr>
        <w:t>dell’atto</w:t>
      </w:r>
      <w:r w:rsidR="008C3E78">
        <w:rPr>
          <w:rFonts w:ascii="Times New Roman" w:hAnsi="Times New Roman"/>
          <w:color w:val="0F243E" w:themeColor="text2" w:themeShade="80"/>
          <w:sz w:val="26"/>
          <w:szCs w:val="26"/>
        </w:rPr>
        <w:t xml:space="preserve">, nettamente distinti dal precetto nella sua comune forma di comando seguito dalla minaccia di una sanzione, o, se si </w:t>
      </w:r>
      <w:r w:rsidR="006D6496">
        <w:rPr>
          <w:rFonts w:ascii="Times New Roman" w:hAnsi="Times New Roman"/>
          <w:color w:val="0F243E" w:themeColor="text2" w:themeShade="80"/>
          <w:sz w:val="26"/>
          <w:szCs w:val="26"/>
        </w:rPr>
        <w:t xml:space="preserve">preferisce </w:t>
      </w:r>
      <w:r w:rsidR="008C3E78">
        <w:rPr>
          <w:rFonts w:ascii="Times New Roman" w:hAnsi="Times New Roman"/>
          <w:color w:val="0F243E" w:themeColor="text2" w:themeShade="80"/>
          <w:sz w:val="26"/>
          <w:szCs w:val="26"/>
        </w:rPr>
        <w:t>l’impostazione kelseniana</w:t>
      </w:r>
      <w:r w:rsidR="004B6CC9">
        <w:rPr>
          <w:rFonts w:ascii="Times New Roman" w:hAnsi="Times New Roman"/>
          <w:color w:val="0F243E" w:themeColor="text2" w:themeShade="80"/>
          <w:sz w:val="26"/>
          <w:szCs w:val="26"/>
        </w:rPr>
        <w:t>, come giudi</w:t>
      </w:r>
      <w:r w:rsidR="008C3E78">
        <w:rPr>
          <w:rFonts w:ascii="Times New Roman" w:hAnsi="Times New Roman"/>
          <w:color w:val="0F243E" w:themeColor="text2" w:themeShade="80"/>
          <w:sz w:val="26"/>
          <w:szCs w:val="26"/>
        </w:rPr>
        <w:t>z</w:t>
      </w:r>
      <w:r w:rsidR="004B6CC9">
        <w:rPr>
          <w:rFonts w:ascii="Times New Roman" w:hAnsi="Times New Roman"/>
          <w:color w:val="0F243E" w:themeColor="text2" w:themeShade="80"/>
          <w:sz w:val="26"/>
          <w:szCs w:val="26"/>
        </w:rPr>
        <w:t>i</w:t>
      </w:r>
      <w:r w:rsidR="008C3E78">
        <w:rPr>
          <w:rFonts w:ascii="Times New Roman" w:hAnsi="Times New Roman"/>
          <w:color w:val="0F243E" w:themeColor="text2" w:themeShade="80"/>
          <w:sz w:val="26"/>
          <w:szCs w:val="26"/>
        </w:rPr>
        <w:t xml:space="preserve">o ipotetico strutturato </w:t>
      </w:r>
      <w:r w:rsidR="004B6CC9">
        <w:rPr>
          <w:rFonts w:ascii="Times New Roman" w:hAnsi="Times New Roman"/>
          <w:color w:val="0F243E" w:themeColor="text2" w:themeShade="80"/>
          <w:sz w:val="26"/>
          <w:szCs w:val="26"/>
        </w:rPr>
        <w:t>nella descrizione di una fattispecie seguita da un effetto (</w:t>
      </w:r>
      <w:r w:rsidR="004B6CC9" w:rsidRPr="004B6CC9">
        <w:rPr>
          <w:rFonts w:ascii="Times New Roman" w:hAnsi="Times New Roman"/>
          <w:i/>
          <w:color w:val="0F243E" w:themeColor="text2" w:themeShade="80"/>
          <w:sz w:val="26"/>
          <w:szCs w:val="26"/>
        </w:rPr>
        <w:t>se A, allora B</w:t>
      </w:r>
      <w:r w:rsidR="004B6CC9">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w:t>
      </w:r>
    </w:p>
    <w:p w:rsidR="005871F5" w:rsidRDefault="004B6CC9" w:rsidP="00D74026">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Questo modo di ragionare potrebbe portare molto lontano, perché coinvolge sofistica</w:t>
      </w:r>
      <w:r w:rsidR="005871F5">
        <w:rPr>
          <w:rFonts w:ascii="Times New Roman" w:hAnsi="Times New Roman"/>
          <w:color w:val="0F243E" w:themeColor="text2" w:themeShade="80"/>
          <w:sz w:val="26"/>
          <w:szCs w:val="26"/>
        </w:rPr>
        <w:t>ti argomenti di teoria generale sulla struttura della norma giuridica.</w:t>
      </w:r>
    </w:p>
    <w:p w:rsidR="0051042F" w:rsidRDefault="005871F5" w:rsidP="00D74026">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Ma il tema conserva interesse pratico rilevantiss</w:t>
      </w:r>
      <w:r w:rsidR="0083040C">
        <w:rPr>
          <w:rFonts w:ascii="Times New Roman" w:hAnsi="Times New Roman"/>
          <w:color w:val="0F243E" w:themeColor="text2" w:themeShade="80"/>
          <w:sz w:val="26"/>
          <w:szCs w:val="26"/>
        </w:rPr>
        <w:t xml:space="preserve">imo perché, sul terreno concreto, </w:t>
      </w:r>
      <w:r w:rsidR="0051042F">
        <w:rPr>
          <w:rFonts w:ascii="Times New Roman" w:hAnsi="Times New Roman"/>
          <w:color w:val="0F243E" w:themeColor="text2" w:themeShade="80"/>
          <w:sz w:val="26"/>
          <w:szCs w:val="26"/>
        </w:rPr>
        <w:t>incide sulla tecnica di redazione delle linee guida.</w:t>
      </w:r>
    </w:p>
    <w:p w:rsidR="006D7F81" w:rsidRDefault="0051042F" w:rsidP="00D74026">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A tale riguardo, peraltro, in termini molto schematici, sembrano contrapporsi due idee simmetriche</w:t>
      </w:r>
      <w:r w:rsidR="006D7F81">
        <w:rPr>
          <w:rFonts w:ascii="Times New Roman" w:hAnsi="Times New Roman"/>
          <w:color w:val="0F243E" w:themeColor="text2" w:themeShade="80"/>
          <w:sz w:val="26"/>
          <w:szCs w:val="26"/>
        </w:rPr>
        <w:t>, che valorizzano, rispettivamente, la parola “</w:t>
      </w:r>
      <w:r w:rsidR="006D7F81" w:rsidRPr="006D6496">
        <w:rPr>
          <w:rFonts w:ascii="Times New Roman" w:hAnsi="Times New Roman"/>
          <w:i/>
          <w:color w:val="0F243E" w:themeColor="text2" w:themeShade="80"/>
          <w:sz w:val="26"/>
          <w:szCs w:val="26"/>
        </w:rPr>
        <w:t>linee</w:t>
      </w:r>
      <w:r w:rsidR="006D7F81">
        <w:rPr>
          <w:rFonts w:ascii="Times New Roman" w:hAnsi="Times New Roman"/>
          <w:color w:val="0F243E" w:themeColor="text2" w:themeShade="80"/>
          <w:sz w:val="26"/>
          <w:szCs w:val="26"/>
        </w:rPr>
        <w:t>” e il vocabolo “</w:t>
      </w:r>
      <w:r w:rsidR="006D7F81" w:rsidRPr="006D6496">
        <w:rPr>
          <w:rFonts w:ascii="Times New Roman" w:hAnsi="Times New Roman"/>
          <w:i/>
          <w:color w:val="0F243E" w:themeColor="text2" w:themeShade="80"/>
          <w:sz w:val="26"/>
          <w:szCs w:val="26"/>
        </w:rPr>
        <w:t>guida</w:t>
      </w:r>
      <w:r w:rsidR="006D7F81">
        <w:rPr>
          <w:rFonts w:ascii="Times New Roman" w:hAnsi="Times New Roman"/>
          <w:color w:val="0F243E" w:themeColor="text2" w:themeShade="80"/>
          <w:sz w:val="26"/>
          <w:szCs w:val="26"/>
        </w:rPr>
        <w:t>” della locuzione.</w:t>
      </w:r>
    </w:p>
    <w:p w:rsidR="00D74026" w:rsidRPr="002360E5" w:rsidRDefault="006D7F81" w:rsidP="00D74026">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Dal primo punto di vista si dice che la prescrizione dovrebbe circoscriversi alla indicazione generali delle </w:t>
      </w:r>
      <w:r w:rsidRPr="006D6496">
        <w:rPr>
          <w:rFonts w:ascii="Times New Roman" w:hAnsi="Times New Roman"/>
          <w:i/>
          <w:color w:val="0F243E" w:themeColor="text2" w:themeShade="80"/>
          <w:sz w:val="26"/>
          <w:szCs w:val="26"/>
        </w:rPr>
        <w:t>linee</w:t>
      </w:r>
      <w:r>
        <w:rPr>
          <w:rFonts w:ascii="Times New Roman" w:hAnsi="Times New Roman"/>
          <w:color w:val="0F243E" w:themeColor="text2" w:themeShade="80"/>
          <w:sz w:val="26"/>
          <w:szCs w:val="26"/>
        </w:rPr>
        <w:t xml:space="preserve">, dei </w:t>
      </w:r>
      <w:r w:rsidRPr="006D6496">
        <w:rPr>
          <w:rFonts w:ascii="Times New Roman" w:hAnsi="Times New Roman"/>
          <w:i/>
          <w:color w:val="0F243E" w:themeColor="text2" w:themeShade="80"/>
          <w:sz w:val="26"/>
          <w:szCs w:val="26"/>
        </w:rPr>
        <w:t>cont</w:t>
      </w:r>
      <w:r w:rsidR="00713703" w:rsidRPr="006D6496">
        <w:rPr>
          <w:rFonts w:ascii="Times New Roman" w:hAnsi="Times New Roman"/>
          <w:i/>
          <w:color w:val="0F243E" w:themeColor="text2" w:themeShade="80"/>
          <w:sz w:val="26"/>
          <w:szCs w:val="26"/>
        </w:rPr>
        <w:t>o</w:t>
      </w:r>
      <w:r w:rsidRPr="006D6496">
        <w:rPr>
          <w:rFonts w:ascii="Times New Roman" w:hAnsi="Times New Roman"/>
          <w:i/>
          <w:color w:val="0F243E" w:themeColor="text2" w:themeShade="80"/>
          <w:sz w:val="26"/>
          <w:szCs w:val="26"/>
        </w:rPr>
        <w:t>rni</w:t>
      </w:r>
      <w:r w:rsidR="006D6496">
        <w:rPr>
          <w:rFonts w:ascii="Times New Roman" w:hAnsi="Times New Roman"/>
          <w:i/>
          <w:color w:val="0F243E" w:themeColor="text2" w:themeShade="80"/>
          <w:sz w:val="26"/>
          <w:szCs w:val="26"/>
        </w:rPr>
        <w:t xml:space="preserve"> esterni</w:t>
      </w:r>
      <w:r w:rsidR="00713703">
        <w:rPr>
          <w:rFonts w:ascii="Times New Roman" w:hAnsi="Times New Roman"/>
          <w:color w:val="0F243E" w:themeColor="text2" w:themeShade="80"/>
          <w:sz w:val="26"/>
          <w:szCs w:val="26"/>
        </w:rPr>
        <w:t xml:space="preserve"> dei precetti, i quali dovrebbero restare meramente abbozzati</w:t>
      </w:r>
      <w:r w:rsidR="006D6496">
        <w:rPr>
          <w:rFonts w:ascii="Times New Roman" w:hAnsi="Times New Roman"/>
          <w:color w:val="0F243E" w:themeColor="text2" w:themeShade="80"/>
          <w:sz w:val="26"/>
          <w:szCs w:val="26"/>
        </w:rPr>
        <w:t xml:space="preserve"> e non “</w:t>
      </w:r>
      <w:r w:rsidR="006D6496" w:rsidRPr="006D6496">
        <w:rPr>
          <w:rFonts w:ascii="Times New Roman" w:hAnsi="Times New Roman"/>
          <w:i/>
          <w:color w:val="0F243E" w:themeColor="text2" w:themeShade="80"/>
          <w:sz w:val="26"/>
          <w:szCs w:val="26"/>
        </w:rPr>
        <w:t>colorati</w:t>
      </w:r>
      <w:r w:rsidR="006D6496">
        <w:rPr>
          <w:rFonts w:ascii="Times New Roman" w:hAnsi="Times New Roman"/>
          <w:color w:val="0F243E" w:themeColor="text2" w:themeShade="80"/>
          <w:sz w:val="26"/>
          <w:szCs w:val="26"/>
        </w:rPr>
        <w:t>”</w:t>
      </w:r>
      <w:r w:rsidR="00713703">
        <w:rPr>
          <w:rFonts w:ascii="Times New Roman" w:hAnsi="Times New Roman"/>
          <w:color w:val="0F243E" w:themeColor="text2" w:themeShade="80"/>
          <w:sz w:val="26"/>
          <w:szCs w:val="26"/>
        </w:rPr>
        <w:t xml:space="preserve">. Ricorrendo ad una immagine, si potrebbe dire che, in quest’ottica, le linee guida dovrebbero configurarsi come precetti ad una </w:t>
      </w:r>
      <w:r w:rsidR="00025F4A">
        <w:rPr>
          <w:rFonts w:ascii="Times New Roman" w:hAnsi="Times New Roman"/>
          <w:color w:val="0F243E" w:themeColor="text2" w:themeShade="80"/>
          <w:sz w:val="26"/>
          <w:szCs w:val="26"/>
        </w:rPr>
        <w:t xml:space="preserve">sola dimensione lineare, mentre la norma, in via ordinaria, sarebbe “colorata” al suo interno, assumendo carattere </w:t>
      </w:r>
      <w:r w:rsidR="00D74026" w:rsidRPr="002360E5">
        <w:rPr>
          <w:rFonts w:ascii="Times New Roman" w:hAnsi="Times New Roman"/>
          <w:color w:val="0F243E" w:themeColor="text2" w:themeShade="80"/>
          <w:sz w:val="26"/>
          <w:szCs w:val="26"/>
        </w:rPr>
        <w:t>per così dire “</w:t>
      </w:r>
      <w:r w:rsidR="00D74026" w:rsidRPr="002360E5">
        <w:rPr>
          <w:rFonts w:ascii="Times New Roman" w:hAnsi="Times New Roman"/>
          <w:i/>
          <w:color w:val="0F243E" w:themeColor="text2" w:themeShade="80"/>
          <w:sz w:val="26"/>
          <w:szCs w:val="26"/>
        </w:rPr>
        <w:t>bidimensionale</w:t>
      </w:r>
      <w:r w:rsidR="00D74026" w:rsidRPr="002360E5">
        <w:rPr>
          <w:rFonts w:ascii="Times New Roman" w:hAnsi="Times New Roman"/>
          <w:color w:val="0F243E" w:themeColor="text2" w:themeShade="80"/>
          <w:sz w:val="26"/>
          <w:szCs w:val="26"/>
        </w:rPr>
        <w:t>”</w:t>
      </w:r>
      <w:r w:rsidR="00D27011">
        <w:rPr>
          <w:rFonts w:ascii="Times New Roman" w:hAnsi="Times New Roman"/>
          <w:color w:val="0F243E" w:themeColor="text2" w:themeShade="80"/>
          <w:sz w:val="26"/>
          <w:szCs w:val="26"/>
        </w:rPr>
        <w:t>.</w:t>
      </w:r>
    </w:p>
    <w:p w:rsidR="001019ED" w:rsidRDefault="00D74026" w:rsidP="00D74026">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Altri, </w:t>
      </w:r>
      <w:r w:rsidR="001019ED">
        <w:rPr>
          <w:rFonts w:ascii="Times New Roman" w:hAnsi="Times New Roman"/>
          <w:color w:val="0F243E" w:themeColor="text2" w:themeShade="80"/>
          <w:sz w:val="26"/>
          <w:szCs w:val="26"/>
        </w:rPr>
        <w:t xml:space="preserve">invece, </w:t>
      </w:r>
      <w:r w:rsidR="006D6496">
        <w:rPr>
          <w:rFonts w:ascii="Times New Roman" w:hAnsi="Times New Roman"/>
          <w:color w:val="0F243E" w:themeColor="text2" w:themeShade="80"/>
          <w:sz w:val="26"/>
          <w:szCs w:val="26"/>
        </w:rPr>
        <w:t xml:space="preserve">all’opposto, </w:t>
      </w:r>
      <w:r w:rsidRPr="002360E5">
        <w:rPr>
          <w:rFonts w:ascii="Times New Roman" w:hAnsi="Times New Roman"/>
          <w:color w:val="0F243E" w:themeColor="text2" w:themeShade="80"/>
          <w:sz w:val="26"/>
          <w:szCs w:val="26"/>
        </w:rPr>
        <w:t>valorizzando il concetto di “</w:t>
      </w:r>
      <w:r w:rsidRPr="001019ED">
        <w:rPr>
          <w:rFonts w:ascii="Times New Roman" w:hAnsi="Times New Roman"/>
          <w:i/>
          <w:color w:val="0F243E" w:themeColor="text2" w:themeShade="80"/>
          <w:sz w:val="26"/>
          <w:szCs w:val="26"/>
        </w:rPr>
        <w:t>guida</w:t>
      </w:r>
      <w:r w:rsidRPr="002360E5">
        <w:rPr>
          <w:rFonts w:ascii="Times New Roman" w:hAnsi="Times New Roman"/>
          <w:color w:val="0F243E" w:themeColor="text2" w:themeShade="80"/>
          <w:sz w:val="26"/>
          <w:szCs w:val="26"/>
        </w:rPr>
        <w:t xml:space="preserve">”, evidenzia che tali atti intendono descrivere </w:t>
      </w:r>
      <w:r w:rsidRPr="006D6496">
        <w:rPr>
          <w:rFonts w:ascii="Times New Roman" w:hAnsi="Times New Roman"/>
          <w:i/>
          <w:color w:val="0F243E" w:themeColor="text2" w:themeShade="80"/>
          <w:sz w:val="26"/>
          <w:szCs w:val="26"/>
        </w:rPr>
        <w:t>analiticamente</w:t>
      </w:r>
      <w:r>
        <w:rPr>
          <w:rFonts w:ascii="Times New Roman" w:hAnsi="Times New Roman"/>
          <w:color w:val="0F243E" w:themeColor="text2" w:themeShade="80"/>
          <w:sz w:val="26"/>
          <w:szCs w:val="26"/>
        </w:rPr>
        <w:t xml:space="preserve"> il </w:t>
      </w:r>
      <w:r w:rsidRPr="002360E5">
        <w:rPr>
          <w:rFonts w:ascii="Times New Roman" w:hAnsi="Times New Roman"/>
          <w:color w:val="0F243E" w:themeColor="text2" w:themeShade="80"/>
          <w:sz w:val="26"/>
          <w:szCs w:val="26"/>
        </w:rPr>
        <w:t>percorso procedimentale</w:t>
      </w:r>
      <w:r>
        <w:rPr>
          <w:rFonts w:ascii="Times New Roman" w:hAnsi="Times New Roman"/>
          <w:color w:val="0F243E" w:themeColor="text2" w:themeShade="80"/>
          <w:sz w:val="26"/>
          <w:szCs w:val="26"/>
        </w:rPr>
        <w:t xml:space="preserve"> necessario per raggiungere un obiettivo dato</w:t>
      </w:r>
      <w:r w:rsidRPr="002360E5">
        <w:rPr>
          <w:rFonts w:ascii="Times New Roman" w:hAnsi="Times New Roman"/>
          <w:color w:val="0F243E" w:themeColor="text2" w:themeShade="80"/>
          <w:sz w:val="26"/>
          <w:szCs w:val="26"/>
        </w:rPr>
        <w:t xml:space="preserve">: pertanto, lungi dal fissare principi sintetici, </w:t>
      </w:r>
      <w:r w:rsidR="001019ED">
        <w:rPr>
          <w:rFonts w:ascii="Times New Roman" w:hAnsi="Times New Roman"/>
          <w:color w:val="0F243E" w:themeColor="text2" w:themeShade="80"/>
          <w:sz w:val="26"/>
          <w:szCs w:val="26"/>
        </w:rPr>
        <w:t xml:space="preserve">le linee guida </w:t>
      </w:r>
      <w:r w:rsidRPr="002360E5">
        <w:rPr>
          <w:rFonts w:ascii="Times New Roman" w:hAnsi="Times New Roman"/>
          <w:color w:val="0F243E" w:themeColor="text2" w:themeShade="80"/>
          <w:sz w:val="26"/>
          <w:szCs w:val="26"/>
        </w:rPr>
        <w:t>potreb</w:t>
      </w:r>
      <w:r w:rsidR="001019ED">
        <w:rPr>
          <w:rFonts w:ascii="Times New Roman" w:hAnsi="Times New Roman"/>
          <w:color w:val="0F243E" w:themeColor="text2" w:themeShade="80"/>
          <w:sz w:val="26"/>
          <w:szCs w:val="26"/>
        </w:rPr>
        <w:t xml:space="preserve">bero risultare molto dettagliate e </w:t>
      </w:r>
      <w:r w:rsidR="006D6496">
        <w:rPr>
          <w:rFonts w:ascii="Times New Roman" w:hAnsi="Times New Roman"/>
          <w:color w:val="0F243E" w:themeColor="text2" w:themeShade="80"/>
          <w:sz w:val="26"/>
          <w:szCs w:val="26"/>
        </w:rPr>
        <w:t>particolareggiate,, atteggiandosi come fedele “navigatore” dell’operatore economico o della stazione appaltante  che segue un determinato percorso</w:t>
      </w:r>
      <w:r w:rsidR="001019ED">
        <w:rPr>
          <w:rFonts w:ascii="Times New Roman" w:hAnsi="Times New Roman"/>
          <w:color w:val="0F243E" w:themeColor="text2" w:themeShade="80"/>
          <w:sz w:val="26"/>
          <w:szCs w:val="26"/>
        </w:rPr>
        <w:t>.</w:t>
      </w:r>
    </w:p>
    <w:p w:rsidR="00A4557C" w:rsidRDefault="001019ED" w:rsidP="00D74026">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Nell’uno e nell’altro caso, però, si dice che le LG possano, o debbano</w:t>
      </w:r>
      <w:r w:rsidR="00D23F77">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assumere </w:t>
      </w:r>
      <w:r w:rsidR="00D23F77">
        <w:rPr>
          <w:rFonts w:ascii="Times New Roman" w:hAnsi="Times New Roman"/>
          <w:color w:val="0F243E" w:themeColor="text2" w:themeShade="80"/>
          <w:sz w:val="26"/>
          <w:szCs w:val="26"/>
        </w:rPr>
        <w:t>una forma discorsiva</w:t>
      </w:r>
      <w:r w:rsidR="00D74026" w:rsidRPr="002360E5">
        <w:rPr>
          <w:rFonts w:ascii="Times New Roman" w:hAnsi="Times New Roman"/>
          <w:color w:val="0F243E" w:themeColor="text2" w:themeShade="80"/>
          <w:sz w:val="26"/>
          <w:szCs w:val="26"/>
        </w:rPr>
        <w:t xml:space="preserve">, </w:t>
      </w:r>
      <w:r w:rsidR="00D23F77">
        <w:rPr>
          <w:rFonts w:ascii="Times New Roman" w:hAnsi="Times New Roman"/>
          <w:color w:val="0F243E" w:themeColor="text2" w:themeShade="80"/>
          <w:sz w:val="26"/>
          <w:szCs w:val="26"/>
        </w:rPr>
        <w:t xml:space="preserve">o, comunque, </w:t>
      </w:r>
      <w:r w:rsidR="006D6496">
        <w:rPr>
          <w:rFonts w:ascii="Times New Roman" w:hAnsi="Times New Roman"/>
          <w:color w:val="0F243E" w:themeColor="text2" w:themeShade="80"/>
          <w:sz w:val="26"/>
          <w:szCs w:val="26"/>
        </w:rPr>
        <w:t xml:space="preserve">sul piano lessicale, </w:t>
      </w:r>
      <w:r w:rsidR="00D23F77">
        <w:rPr>
          <w:rFonts w:ascii="Times New Roman" w:hAnsi="Times New Roman"/>
          <w:color w:val="0F243E" w:themeColor="text2" w:themeShade="80"/>
          <w:sz w:val="26"/>
          <w:szCs w:val="26"/>
        </w:rPr>
        <w:t>strutturarsi senza rispettare i criteri redazionali stabiliti per gli atti normativi.</w:t>
      </w:r>
      <w:r w:rsidR="006D6496">
        <w:rPr>
          <w:rFonts w:ascii="Times New Roman" w:hAnsi="Times New Roman"/>
          <w:color w:val="0F243E" w:themeColor="text2" w:themeShade="80"/>
          <w:sz w:val="26"/>
          <w:szCs w:val="26"/>
        </w:rPr>
        <w:t xml:space="preserve"> È implicita, in questa affermazione, l’idea che la forma discorsiva dovrebbe risultare migliore di quella precettiva. Ma, evidentemente, la qualità di un precetto non deriva solo dall’opzione tecnica prescelta: esistono norme “tradizionali” di pregevole fattura e atti di regolazione flessibile di livello molto scadente.</w:t>
      </w:r>
    </w:p>
    <w:p w:rsidR="003B4BE6" w:rsidRDefault="00DC55E7" w:rsidP="00D00421">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Occorre considerare, allora, la possibile doppia anima delle linee guida.</w:t>
      </w:r>
    </w:p>
    <w:p w:rsidR="00DC55E7" w:rsidRDefault="00DC55E7" w:rsidP="00E53F7D">
      <w:pPr>
        <w:pStyle w:val="Paragrafoelenco"/>
        <w:numPr>
          <w:ilvl w:val="0"/>
          <w:numId w:val="33"/>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In </w:t>
      </w:r>
      <w:r w:rsidR="002D3BB1">
        <w:rPr>
          <w:rFonts w:ascii="Times New Roman" w:hAnsi="Times New Roman"/>
          <w:color w:val="0F243E" w:themeColor="text2" w:themeShade="80"/>
          <w:sz w:val="26"/>
          <w:szCs w:val="26"/>
        </w:rPr>
        <w:t xml:space="preserve">via di principio, si dovrebbe trattare di prescrizioni dirette a svolgere, senza errori, un percorso complesso, per giungere ad un risultato indicato dalla fonte legislativa. </w:t>
      </w:r>
      <w:r w:rsidR="00C147C2">
        <w:rPr>
          <w:rFonts w:ascii="Times New Roman" w:hAnsi="Times New Roman"/>
          <w:color w:val="0F243E" w:themeColor="text2" w:themeShade="80"/>
          <w:sz w:val="26"/>
          <w:szCs w:val="26"/>
        </w:rPr>
        <w:t xml:space="preserve">La norma primaria non può e non deve scendere ad un livello di dettaglio eccessivo, in </w:t>
      </w:r>
      <w:r w:rsidR="00F02CC5">
        <w:rPr>
          <w:rFonts w:ascii="Times New Roman" w:hAnsi="Times New Roman"/>
          <w:color w:val="0F243E" w:themeColor="text2" w:themeShade="80"/>
          <w:sz w:val="26"/>
          <w:szCs w:val="26"/>
        </w:rPr>
        <w:t>particolare</w:t>
      </w:r>
      <w:r w:rsidR="00C147C2">
        <w:rPr>
          <w:rFonts w:ascii="Times New Roman" w:hAnsi="Times New Roman"/>
          <w:color w:val="0F243E" w:themeColor="text2" w:themeShade="80"/>
          <w:sz w:val="26"/>
          <w:szCs w:val="26"/>
        </w:rPr>
        <w:t xml:space="preserve"> quando si tratta di indicare aspetti tecnici ed operativi</w:t>
      </w:r>
      <w:r w:rsidR="00F02CC5">
        <w:rPr>
          <w:rFonts w:ascii="Times New Roman" w:hAnsi="Times New Roman"/>
          <w:color w:val="0F243E" w:themeColor="text2" w:themeShade="80"/>
          <w:sz w:val="26"/>
          <w:szCs w:val="26"/>
        </w:rPr>
        <w:t xml:space="preserve">. In questa prospettiva, </w:t>
      </w:r>
      <w:r w:rsidR="00394D67">
        <w:rPr>
          <w:rFonts w:ascii="Times New Roman" w:hAnsi="Times New Roman"/>
          <w:color w:val="0F243E" w:themeColor="text2" w:themeShade="80"/>
          <w:sz w:val="26"/>
          <w:szCs w:val="26"/>
        </w:rPr>
        <w:t>quindi</w:t>
      </w:r>
      <w:r w:rsidR="00F02CC5">
        <w:rPr>
          <w:rFonts w:ascii="Times New Roman" w:hAnsi="Times New Roman"/>
          <w:color w:val="0F243E" w:themeColor="text2" w:themeShade="80"/>
          <w:sz w:val="26"/>
          <w:szCs w:val="26"/>
        </w:rPr>
        <w:t>, le LG possono essere minuziose e molto complesse</w:t>
      </w:r>
      <w:r w:rsidR="00394D67">
        <w:rPr>
          <w:rFonts w:ascii="Times New Roman" w:hAnsi="Times New Roman"/>
          <w:color w:val="0F243E" w:themeColor="text2" w:themeShade="80"/>
          <w:sz w:val="26"/>
          <w:szCs w:val="26"/>
        </w:rPr>
        <w:t>,</w:t>
      </w:r>
      <w:r w:rsidR="00F02CC5">
        <w:rPr>
          <w:rFonts w:ascii="Times New Roman" w:hAnsi="Times New Roman"/>
          <w:color w:val="0F243E" w:themeColor="text2" w:themeShade="80"/>
          <w:sz w:val="26"/>
          <w:szCs w:val="26"/>
        </w:rPr>
        <w:t xml:space="preserve"> anche dal punto di vista quantitativo. Ma il loro scopo è proprio quello </w:t>
      </w:r>
      <w:r w:rsidR="006A2BD8">
        <w:rPr>
          <w:rFonts w:ascii="Times New Roman" w:hAnsi="Times New Roman"/>
          <w:color w:val="0F243E" w:themeColor="text2" w:themeShade="80"/>
          <w:sz w:val="26"/>
          <w:szCs w:val="26"/>
        </w:rPr>
        <w:t>di descrivere i passaggi operativi, ove occorra “spiegando” le norme primarie o le loro finalità. In questi casi, le LG, isolatamente considerate</w:t>
      </w:r>
      <w:r w:rsidR="00394D67">
        <w:rPr>
          <w:rFonts w:ascii="Times New Roman" w:hAnsi="Times New Roman"/>
          <w:color w:val="0F243E" w:themeColor="text2" w:themeShade="80"/>
          <w:sz w:val="26"/>
          <w:szCs w:val="26"/>
        </w:rPr>
        <w:t>,</w:t>
      </w:r>
      <w:r w:rsidR="006A2BD8">
        <w:rPr>
          <w:rFonts w:ascii="Times New Roman" w:hAnsi="Times New Roman"/>
          <w:color w:val="0F243E" w:themeColor="text2" w:themeShade="80"/>
          <w:sz w:val="26"/>
          <w:szCs w:val="26"/>
        </w:rPr>
        <w:t xml:space="preserve"> non sono affatto “flessibili”. Ma la duttilità della regolamentazione va apprezzata nel suo complesso, con particolare riguardo alla formulazione della normativa primaria, che</w:t>
      </w:r>
      <w:r w:rsidR="00C806C2">
        <w:rPr>
          <w:rFonts w:ascii="Times New Roman" w:hAnsi="Times New Roman"/>
          <w:color w:val="0F243E" w:themeColor="text2" w:themeShade="80"/>
          <w:sz w:val="26"/>
          <w:szCs w:val="26"/>
        </w:rPr>
        <w:t xml:space="preserve"> si limita a indicare </w:t>
      </w:r>
      <w:r w:rsidR="00CF38D1">
        <w:rPr>
          <w:rFonts w:ascii="Times New Roman" w:hAnsi="Times New Roman"/>
          <w:color w:val="0F243E" w:themeColor="text2" w:themeShade="80"/>
          <w:sz w:val="26"/>
          <w:szCs w:val="26"/>
        </w:rPr>
        <w:t>scopi generali, lasciando alla n</w:t>
      </w:r>
      <w:r w:rsidR="00C806C2">
        <w:rPr>
          <w:rFonts w:ascii="Times New Roman" w:hAnsi="Times New Roman"/>
          <w:color w:val="0F243E" w:themeColor="text2" w:themeShade="80"/>
          <w:sz w:val="26"/>
          <w:szCs w:val="26"/>
        </w:rPr>
        <w:t>ormativa secondaria il compito di attuare tali prescrizioni.</w:t>
      </w:r>
    </w:p>
    <w:p w:rsidR="00C806C2" w:rsidRPr="00DC55E7" w:rsidRDefault="00C806C2" w:rsidP="00E53F7D">
      <w:pPr>
        <w:pStyle w:val="Paragrafoelenco"/>
        <w:numPr>
          <w:ilvl w:val="0"/>
          <w:numId w:val="33"/>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Al contrario, invece, le LG possono limitarsi a dettare non prescrizioni di dettaglio, ma indicazioni molto generiche. Questo può avvenire nelle ipotesi in cui la normativa primaria </w:t>
      </w:r>
      <w:r w:rsidR="00F96B60">
        <w:rPr>
          <w:rFonts w:ascii="Times New Roman" w:hAnsi="Times New Roman"/>
          <w:color w:val="0F243E" w:themeColor="text2" w:themeShade="80"/>
          <w:sz w:val="26"/>
          <w:szCs w:val="26"/>
        </w:rPr>
        <w:t>lascia ampi margini di discrezionalità alle singole stazioni appaltanti e il ruolo della normazione secondaria è solo quello di fornire strumenti per attuare correttamente il potere di scelta. Analogamente, le LG a carattere “generico” potrebbero trovare qualche spazio nelle ipotesi di interventi “atipici” compiuti dall’</w:t>
      </w:r>
      <w:r w:rsidR="00AB1F96">
        <w:rPr>
          <w:rFonts w:ascii="Times New Roman" w:hAnsi="Times New Roman"/>
          <w:color w:val="0F243E" w:themeColor="text2" w:themeShade="80"/>
          <w:sz w:val="26"/>
          <w:szCs w:val="26"/>
        </w:rPr>
        <w:t>ANAC, destinati alla realizzazione delle “finalità generali</w:t>
      </w:r>
      <w:r w:rsidR="00394D67">
        <w:rPr>
          <w:rFonts w:ascii="Times New Roman" w:hAnsi="Times New Roman"/>
          <w:color w:val="0F243E" w:themeColor="text2" w:themeShade="80"/>
          <w:sz w:val="26"/>
          <w:szCs w:val="26"/>
        </w:rPr>
        <w:t>”</w:t>
      </w:r>
      <w:r w:rsidR="00AB1F96">
        <w:rPr>
          <w:rFonts w:ascii="Times New Roman" w:hAnsi="Times New Roman"/>
          <w:color w:val="0F243E" w:themeColor="text2" w:themeShade="80"/>
          <w:sz w:val="26"/>
          <w:szCs w:val="26"/>
        </w:rPr>
        <w:t xml:space="preserve"> descritte dall’art. 213. In tali eventualità, l’intervento dell’ANAC non potrebbe e</w:t>
      </w:r>
      <w:r w:rsidR="0087189D">
        <w:rPr>
          <w:rFonts w:ascii="Times New Roman" w:hAnsi="Times New Roman"/>
          <w:color w:val="0F243E" w:themeColor="text2" w:themeShade="80"/>
          <w:sz w:val="26"/>
          <w:szCs w:val="26"/>
        </w:rPr>
        <w:t>ssere strutturato attraverso l’adozione di prescrizioni puntuali.</w:t>
      </w:r>
    </w:p>
    <w:p w:rsidR="002A136B" w:rsidRDefault="00DF1F7F" w:rsidP="00D00421">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 entrambi i casi, per ragioni diametralmente opposte, le LG assumono una connotazione espressiva diversa da quella dei precetti “tradizionali”</w:t>
      </w:r>
      <w:r w:rsidR="00710C74">
        <w:rPr>
          <w:rFonts w:ascii="Times New Roman" w:hAnsi="Times New Roman"/>
          <w:color w:val="0F243E" w:themeColor="text2" w:themeShade="80"/>
          <w:sz w:val="26"/>
          <w:szCs w:val="26"/>
        </w:rPr>
        <w:t>.</w:t>
      </w:r>
    </w:p>
    <w:p w:rsidR="00C86635" w:rsidRDefault="00C86635" w:rsidP="00D00421">
      <w:pPr>
        <w:tabs>
          <w:tab w:val="left" w:pos="0"/>
        </w:tabs>
        <w:rPr>
          <w:rFonts w:ascii="Times New Roman" w:hAnsi="Times New Roman"/>
          <w:b/>
          <w:smallCaps/>
          <w:color w:val="0F243E" w:themeColor="text2" w:themeShade="80"/>
          <w:sz w:val="26"/>
          <w:szCs w:val="26"/>
        </w:rPr>
      </w:pPr>
    </w:p>
    <w:p w:rsidR="00CF38D1" w:rsidRPr="005944C4" w:rsidRDefault="00C86635" w:rsidP="00933900">
      <w:pPr>
        <w:pStyle w:val="Paragrafoelenco"/>
        <w:numPr>
          <w:ilvl w:val="0"/>
          <w:numId w:val="1"/>
        </w:numPr>
        <w:tabs>
          <w:tab w:val="left" w:pos="0"/>
        </w:tabs>
        <w:ind w:left="0" w:firstLine="709"/>
        <w:rPr>
          <w:rFonts w:ascii="Times New Roman" w:hAnsi="Times New Roman"/>
          <w:smallCaps/>
          <w:color w:val="0F243E" w:themeColor="text2" w:themeShade="80"/>
          <w:sz w:val="26"/>
          <w:szCs w:val="26"/>
        </w:rPr>
      </w:pPr>
      <w:r w:rsidRPr="005944C4">
        <w:rPr>
          <w:rFonts w:ascii="Times New Roman" w:hAnsi="Times New Roman"/>
          <w:b/>
          <w:smallCaps/>
          <w:color w:val="0F243E" w:themeColor="text2" w:themeShade="80"/>
          <w:sz w:val="26"/>
          <w:szCs w:val="26"/>
        </w:rPr>
        <w:t xml:space="preserve">La tecnica linguistica di espressione delle </w:t>
      </w:r>
      <w:r w:rsidR="005944C4" w:rsidRPr="005944C4">
        <w:rPr>
          <w:rFonts w:ascii="Times New Roman" w:hAnsi="Times New Roman"/>
          <w:b/>
          <w:smallCaps/>
          <w:color w:val="0F243E" w:themeColor="text2" w:themeShade="80"/>
          <w:sz w:val="26"/>
          <w:szCs w:val="26"/>
        </w:rPr>
        <w:t xml:space="preserve">linee guida: la </w:t>
      </w:r>
      <w:r w:rsidR="00CF38D1" w:rsidRPr="005944C4">
        <w:rPr>
          <w:rFonts w:ascii="Times New Roman" w:hAnsi="Times New Roman"/>
          <w:b/>
          <w:smallCaps/>
          <w:color w:val="0F243E" w:themeColor="text2" w:themeShade="80"/>
          <w:sz w:val="26"/>
          <w:szCs w:val="26"/>
        </w:rPr>
        <w:t xml:space="preserve">Flessibilità e </w:t>
      </w:r>
      <w:r w:rsidR="005944C4">
        <w:rPr>
          <w:rFonts w:ascii="Times New Roman" w:hAnsi="Times New Roman"/>
          <w:b/>
          <w:smallCaps/>
          <w:color w:val="0F243E" w:themeColor="text2" w:themeShade="80"/>
          <w:sz w:val="26"/>
          <w:szCs w:val="26"/>
        </w:rPr>
        <w:t xml:space="preserve">il </w:t>
      </w:r>
      <w:r w:rsidR="00CF38D1" w:rsidRPr="005944C4">
        <w:rPr>
          <w:rFonts w:ascii="Times New Roman" w:hAnsi="Times New Roman"/>
          <w:b/>
          <w:smallCaps/>
          <w:color w:val="0F243E" w:themeColor="text2" w:themeShade="80"/>
          <w:sz w:val="26"/>
          <w:szCs w:val="26"/>
        </w:rPr>
        <w:t>carattere “aperto” della prescrizione</w:t>
      </w:r>
      <w:r w:rsidR="005944C4">
        <w:rPr>
          <w:rFonts w:ascii="Times New Roman" w:hAnsi="Times New Roman"/>
          <w:b/>
          <w:smallCaps/>
          <w:color w:val="0F243E" w:themeColor="text2" w:themeShade="80"/>
          <w:sz w:val="26"/>
          <w:szCs w:val="26"/>
        </w:rPr>
        <w:t>.</w:t>
      </w:r>
      <w:r w:rsidR="00CF38D1" w:rsidRPr="005944C4">
        <w:rPr>
          <w:rFonts w:ascii="Times New Roman" w:hAnsi="Times New Roman"/>
          <w:b/>
          <w:smallCaps/>
          <w:color w:val="0F243E" w:themeColor="text2" w:themeShade="80"/>
          <w:sz w:val="26"/>
          <w:szCs w:val="26"/>
        </w:rPr>
        <w:t xml:space="preserve"> La struttura “discorsiva” della statuizione: la sua persuasività e </w:t>
      </w:r>
      <w:r w:rsidR="00DC3BAE">
        <w:rPr>
          <w:rFonts w:ascii="Times New Roman" w:hAnsi="Times New Roman"/>
          <w:b/>
          <w:smallCaps/>
          <w:color w:val="0F243E" w:themeColor="text2" w:themeShade="80"/>
          <w:sz w:val="26"/>
          <w:szCs w:val="26"/>
        </w:rPr>
        <w:t>la maggiore chiarezza analitica.</w:t>
      </w:r>
    </w:p>
    <w:p w:rsidR="00CF38D1" w:rsidRPr="002360E5" w:rsidRDefault="00CF38D1" w:rsidP="00CF38D1">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 </w:t>
      </w:r>
      <w:r w:rsidRPr="002360E5">
        <w:rPr>
          <w:rFonts w:ascii="Times New Roman" w:hAnsi="Times New Roman"/>
          <w:i/>
          <w:color w:val="0F243E" w:themeColor="text2" w:themeShade="80"/>
          <w:sz w:val="26"/>
          <w:szCs w:val="26"/>
        </w:rPr>
        <w:t>flessibilità</w:t>
      </w:r>
      <w:r w:rsidRPr="002360E5">
        <w:rPr>
          <w:rFonts w:ascii="Times New Roman" w:hAnsi="Times New Roman"/>
          <w:color w:val="0F243E" w:themeColor="text2" w:themeShade="80"/>
          <w:sz w:val="26"/>
          <w:szCs w:val="26"/>
        </w:rPr>
        <w:t xml:space="preserve"> della regolamentazione potrebbe volere indicare anche altri profili attinenti ai limiti entro cui il potere dell’ANAC può esplicarsi, con particolare riferimento alla </w:t>
      </w:r>
      <w:r w:rsidRPr="002360E5">
        <w:rPr>
          <w:rFonts w:ascii="Times New Roman" w:hAnsi="Times New Roman"/>
          <w:i/>
          <w:color w:val="0F243E" w:themeColor="text2" w:themeShade="80"/>
          <w:sz w:val="26"/>
          <w:szCs w:val="26"/>
        </w:rPr>
        <w:t>struttura</w:t>
      </w:r>
      <w:r w:rsidRPr="002360E5">
        <w:rPr>
          <w:rFonts w:ascii="Times New Roman" w:hAnsi="Times New Roman"/>
          <w:color w:val="0F243E" w:themeColor="text2" w:themeShade="80"/>
          <w:sz w:val="26"/>
          <w:szCs w:val="26"/>
        </w:rPr>
        <w:t xml:space="preserve"> e alla formulazione dell’atto e ai suoi specifici contenuti obbligatori.</w:t>
      </w:r>
    </w:p>
    <w:p w:rsidR="00CF38D1" w:rsidRPr="002360E5" w:rsidRDefault="00CF38D1" w:rsidP="00CF38D1">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Potrebbe evidenziare, infatti, la necessità di dettare prescrizioni (solo) “</w:t>
      </w:r>
      <w:r w:rsidRPr="002360E5">
        <w:rPr>
          <w:rFonts w:ascii="Times New Roman" w:hAnsi="Times New Roman"/>
          <w:i/>
          <w:color w:val="0F243E" w:themeColor="text2" w:themeShade="80"/>
          <w:sz w:val="26"/>
          <w:szCs w:val="26"/>
        </w:rPr>
        <w:t>per obiettivi</w:t>
      </w:r>
      <w:r w:rsidRPr="002360E5">
        <w:rPr>
          <w:rFonts w:ascii="Times New Roman" w:hAnsi="Times New Roman"/>
          <w:color w:val="0F243E" w:themeColor="text2" w:themeShade="80"/>
          <w:sz w:val="26"/>
          <w:szCs w:val="26"/>
        </w:rPr>
        <w:t>”, o “</w:t>
      </w:r>
      <w:r w:rsidRPr="002360E5">
        <w:rPr>
          <w:rFonts w:ascii="Times New Roman" w:hAnsi="Times New Roman"/>
          <w:i/>
          <w:color w:val="0F243E" w:themeColor="text2" w:themeShade="80"/>
          <w:sz w:val="26"/>
          <w:szCs w:val="26"/>
        </w:rPr>
        <w:t>per risultati</w:t>
      </w:r>
      <w:r w:rsidRPr="002360E5">
        <w:rPr>
          <w:rFonts w:ascii="Times New Roman" w:hAnsi="Times New Roman"/>
          <w:color w:val="0F243E" w:themeColor="text2" w:themeShade="80"/>
          <w:sz w:val="26"/>
          <w:szCs w:val="26"/>
        </w:rPr>
        <w:t>”, allo scopo di preservare i margini di autonomia e responsabilità delle singole stazioni appaltanti. All’ANAC dovrebbe essere precluso di intervenire in modo perentorio, con l’imposizione di regole “puntuali”. Anche in questo caso, i caratteri della prescrizione sarebbero modellati sulle direttive e sugli atti di indirizzo, benché non risulti ancora attenuata la riconosciuta natura regolamentare delle LG.</w:t>
      </w:r>
    </w:p>
    <w:p w:rsidR="00710C74" w:rsidRDefault="00710C74" w:rsidP="00D00421">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Ciò porta alla conclusione che le LG approvate con decreto ministeriale conservano comunque una loro peculiarità.</w:t>
      </w:r>
      <w:r w:rsidR="00A30E58">
        <w:rPr>
          <w:rFonts w:ascii="Times New Roman" w:hAnsi="Times New Roman"/>
          <w:color w:val="0F243E" w:themeColor="text2" w:themeShade="80"/>
          <w:sz w:val="26"/>
          <w:szCs w:val="26"/>
        </w:rPr>
        <w:t xml:space="preserve"> E spiega, perché, nella prassi applicativa, l’ANAC a</w:t>
      </w:r>
      <w:r w:rsidR="00AA6EF6">
        <w:rPr>
          <w:rFonts w:ascii="Times New Roman" w:hAnsi="Times New Roman"/>
          <w:color w:val="0F243E" w:themeColor="text2" w:themeShade="80"/>
          <w:sz w:val="26"/>
          <w:szCs w:val="26"/>
        </w:rPr>
        <w:t>bbia sempre seguito un</w:t>
      </w:r>
      <w:r w:rsidR="00A30E58">
        <w:rPr>
          <w:rFonts w:ascii="Times New Roman" w:hAnsi="Times New Roman"/>
          <w:color w:val="0F243E" w:themeColor="text2" w:themeShade="80"/>
          <w:sz w:val="26"/>
          <w:szCs w:val="26"/>
        </w:rPr>
        <w:t>a tecnica di re</w:t>
      </w:r>
      <w:r w:rsidR="00AA6EF6">
        <w:rPr>
          <w:rFonts w:ascii="Times New Roman" w:hAnsi="Times New Roman"/>
          <w:color w:val="0F243E" w:themeColor="text2" w:themeShade="80"/>
          <w:sz w:val="26"/>
          <w:szCs w:val="26"/>
        </w:rPr>
        <w:t xml:space="preserve">dazione distante da quella tradizionale, </w:t>
      </w:r>
      <w:r w:rsidR="002C1E6B">
        <w:rPr>
          <w:rFonts w:ascii="Times New Roman" w:hAnsi="Times New Roman"/>
          <w:color w:val="0F243E" w:themeColor="text2" w:themeShade="80"/>
          <w:sz w:val="26"/>
          <w:szCs w:val="26"/>
        </w:rPr>
        <w:t>manifestata anche attraverso il ricorso a moderni accorgimenti espressivi quali “box”, neretti e corsivi in funzione espressiva, ecc.</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Si è molto discusso sulla struttura espressiva assunta concretamente dalle linee guida, che sembra allontanarsi dalla fisionoma tradizionale delle disposizioni normative, incentrate sulla fissazione di un precetto e la previsione di una “sanzione”, o, più in generale, di un effetto giuridico.</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Le linee guida sono formulate secondo una tecnica espressiva variabile, caratterizzata quasi sempre da una struttura discorsiva, talvolta molto analitica, che non rispecchia i criteri di redazione degli atti normativi seguiti dal Governo e dal Parlamento, più volte codificati.</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Vi è spesso una sovrapposizione tra la delibera che contiene le LG propriamente detta, la relazione illustrativa, l’AIR. Nel proprio sito, poi, l’ANAC pubblica, accanto alle LG il parere del Consiglio di Stato, il testo preliminare posto in consultazione, le osservazioni e i suggerimenti formulati dagli interessati.</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Occorrerebbe approfondire l’analisi di questa modalità di redazione degli atti generali, la sua funzione e utilità.</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Da una parte l’ANAC ha inteso agevolare la comprensione dalla normativa di livello primario, svolgendo un compito non molto dissimile da quello delle circolari interpretative. È un’attività molto apprezzata dalle stazioni appaltanti, specie da quelle meno attrezzate.</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Resta il rischio di intrecci e contraddizioni con gli interventi ermeneutici di altri soggetti: ogni amministrazione con una struttura articolata potrebbe avere l’esigenza di dettare istruzioni interpretative ai propri organi, senza sentirsi vincolata alle opinioni espresse dall’ANAC.</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In ogni caso, poi, l’ultima parola sulla uniforme e corretta interpretazione delle norme legislative compete al giudice amministrativo. E non è un caso che, molto spesso, l’ANAC recepisce e sviluppa proprio le pronunce nomofilattiche che affrontano questioni di massima.</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Il passaggio attraverso il parere facoltativo del Consiglio di Stato dovrebbe valorizzare la parte interpretativa delle LG, fermo restando che la sede del contenzioso giurisdizionale risulterà decisiva per consolidare il diritto vivente.</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L’impostazione “discorsiva” delle LG, peraltro, non guarda solo al “passato” delle disposizioni legislative, ma intende spiegare anche le finalità perseguite dall’ANAC e le ragioni delle scelte compiute.</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Si registra, in questo senso, il duplice tentativo di “</w:t>
      </w:r>
      <w:r w:rsidRPr="002360E5">
        <w:rPr>
          <w:rFonts w:ascii="Times New Roman" w:hAnsi="Times New Roman"/>
          <w:i/>
          <w:color w:val="0F243E" w:themeColor="text2" w:themeShade="80"/>
          <w:sz w:val="26"/>
          <w:szCs w:val="26"/>
        </w:rPr>
        <w:t>persuadere</w:t>
      </w:r>
      <w:r w:rsidRPr="002360E5">
        <w:rPr>
          <w:rFonts w:ascii="Times New Roman" w:hAnsi="Times New Roman"/>
          <w:color w:val="0F243E" w:themeColor="text2" w:themeShade="80"/>
          <w:sz w:val="26"/>
          <w:szCs w:val="26"/>
        </w:rPr>
        <w:t>” i destinatari in ordine alla utilità della prescrizione e, in ogni caso, di agevolare l’applicazione della disposizione, anche attraverso la descrizione della sua finalità.</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Qualche volta, però, la fisionomia della LG strutturata secondo la mera definizione di scopi od obiettivi manifesta una persistente incertezza in ordine alle condotte richieste alle stazioni appaltanti e agli operatori.</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Il carattere discorsivo della LG, poi, dovrebbe essere considerato un valore aggiunto, perché consentirebbe di esprimere la massima chiarezza e semplicità del precetto.</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Su quest’ultimo aspetto, però, il dibattito resta aperto e si connette al tema tradizionale della tecnica di formazione delle regole giuridiche, e del livello, analitico o sintetico, della loro formulazione.</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Il grado di precisione di un enunciato normativo è condizionato da molteplici fattori, collegati, fra l’altro, alla effettiva coerenza del linguaggio complessivo del legislatore. Non è un caso, del resto, che l’ordinamento europeo presti moltissima attenzione alla tecnica normativa basata sulle “definizioni”, a volte anche con alcuni eccessi.</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Il legislatore nazionale è molto più altalenante e solo raramente segue lo stesso stile. Quando adotta la tecnica delle definizioni, troppo spesso dimentica la coerenza, omettendo definizioni che sembrerebbero centrali, oppure non utilizzando quelle previste. Lo stesso codice manifesta carenze molto gravi: si pensi al concetto di “evidenza pubblica”, spesso considerato, ma mai descritto.</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Le LG ANAC dovrebbero, in primo luogo, incoraggiare la precisione e coerenza del linguaggio.</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Dovrebbe poi essere meglio spiegata la scelta tra prescrizioni “</w:t>
      </w:r>
      <w:r w:rsidRPr="002360E5">
        <w:rPr>
          <w:rFonts w:ascii="Times New Roman" w:hAnsi="Times New Roman"/>
          <w:i/>
          <w:color w:val="0F243E" w:themeColor="text2" w:themeShade="80"/>
          <w:sz w:val="26"/>
          <w:szCs w:val="26"/>
        </w:rPr>
        <w:t>sintetiche</w:t>
      </w:r>
      <w:r w:rsidRPr="002360E5">
        <w:rPr>
          <w:rFonts w:ascii="Times New Roman" w:hAnsi="Times New Roman"/>
          <w:color w:val="0F243E" w:themeColor="text2" w:themeShade="80"/>
          <w:sz w:val="26"/>
          <w:szCs w:val="26"/>
        </w:rPr>
        <w:t>”, ma chiare, e LG più “annacquate”.</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Come efficacemente sottolineato dalla dottrina, le LG, in ultima analisi possono anche presentarsi come “</w:t>
      </w:r>
      <w:r w:rsidRPr="002360E5">
        <w:rPr>
          <w:rFonts w:ascii="Times New Roman" w:hAnsi="Times New Roman"/>
          <w:i/>
          <w:color w:val="0F243E" w:themeColor="text2" w:themeShade="80"/>
          <w:sz w:val="26"/>
          <w:szCs w:val="26"/>
        </w:rPr>
        <w:t>comandi vestiti da consigli</w:t>
      </w:r>
      <w:r w:rsidRPr="002360E5">
        <w:rPr>
          <w:rFonts w:ascii="Times New Roman" w:hAnsi="Times New Roman"/>
          <w:color w:val="0F243E" w:themeColor="text2" w:themeShade="80"/>
          <w:sz w:val="26"/>
          <w:szCs w:val="26"/>
        </w:rPr>
        <w:t xml:space="preserve">”. Determinano vincoli ed obblighi, ancorché siano presentate come </w:t>
      </w:r>
      <w:r w:rsidRPr="002360E5">
        <w:rPr>
          <w:rFonts w:ascii="Times New Roman" w:hAnsi="Times New Roman"/>
          <w:i/>
          <w:color w:val="0F243E" w:themeColor="text2" w:themeShade="80"/>
          <w:sz w:val="26"/>
          <w:szCs w:val="26"/>
        </w:rPr>
        <w:t>logici</w:t>
      </w:r>
      <w:r w:rsidRPr="002360E5">
        <w:rPr>
          <w:rFonts w:ascii="Times New Roman" w:hAnsi="Times New Roman"/>
          <w:color w:val="0F243E" w:themeColor="text2" w:themeShade="80"/>
          <w:sz w:val="26"/>
          <w:szCs w:val="26"/>
        </w:rPr>
        <w:t xml:space="preserve"> corollari di norme legislative e di obiettivi condivisi.</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Sono possibili altre considerazioni.</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Da tempo si è notata la tendenza del legislatore di esplicitare le finalità delle disposizioni con enunciati espressamente riferiti agli obiettivi perseguiti. Le obiezioni di fondo a questa tecnica di redazione dei testi legislativi sono fin troppo note.</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Ma si è anche replicato che l’esplicitazione della </w:t>
      </w:r>
      <w:r w:rsidRPr="002360E5">
        <w:rPr>
          <w:rFonts w:ascii="Times New Roman" w:hAnsi="Times New Roman"/>
          <w:i/>
          <w:color w:val="0F243E" w:themeColor="text2" w:themeShade="80"/>
          <w:sz w:val="26"/>
          <w:szCs w:val="26"/>
        </w:rPr>
        <w:t>ratio legis</w:t>
      </w:r>
      <w:r w:rsidRPr="002360E5">
        <w:rPr>
          <w:rFonts w:ascii="Times New Roman" w:hAnsi="Times New Roman"/>
          <w:color w:val="0F243E" w:themeColor="text2" w:themeShade="80"/>
          <w:sz w:val="26"/>
          <w:szCs w:val="26"/>
        </w:rPr>
        <w:t xml:space="preserve"> costituisce pur sempre un criterio interpretativo utile, che non va trascurato in sede applicativa.</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Né merita censura aprioristica la funzione “politica”, se non etica o </w:t>
      </w:r>
      <w:r w:rsidRPr="002360E5">
        <w:rPr>
          <w:rFonts w:ascii="Times New Roman" w:hAnsi="Times New Roman"/>
          <w:i/>
          <w:color w:val="0F243E" w:themeColor="text2" w:themeShade="80"/>
          <w:sz w:val="26"/>
          <w:szCs w:val="26"/>
        </w:rPr>
        <w:t>pedagogica</w:t>
      </w:r>
      <w:r w:rsidRPr="002360E5">
        <w:rPr>
          <w:rFonts w:ascii="Times New Roman" w:hAnsi="Times New Roman"/>
          <w:color w:val="0F243E" w:themeColor="text2" w:themeShade="80"/>
          <w:sz w:val="26"/>
          <w:szCs w:val="26"/>
        </w:rPr>
        <w:t>, della asserzione generale di principi, purché pertinenti alla disciplina e sufficientemente precisi.</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Questa modalità di redazione delle prescrizioni richiede comunque attenzione e accuratezza, altrimenti rischia di diventare vuota e inutile.</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Un altro aspetto riguarda la questione dei destinatari delle disposizioni e il correlato tema della chiarezza e precisione degli enunciati normativi.</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 materia dei contratti pubblici continua ad essere caratterizzata da un’eccessiva complicazione delle regole e della loro formulazione. Ma si è anche evidenziato che i destinatari delle norme sono, in linea di massima, soggetti qualificati professionalmente.</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Pertanto, il tecnicismo delle norme e la scarsa qualità della loro fattura non determinerebbero troppi inconvenienti.</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Ma va replicato che, ormai, l’ambito delle stazioni appaltanti resta ancora molto ampio e anche il mercato degli operatori economici vede affacciarsi piccole e micro imprese, dalle quali non può esigersi una preparazione tecnico giuridica troppo specialistica.</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In ogni caso, poi, l’esigenza di una disciplina pulita e lineare deve essere sempre soddisfatta.</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Secondo tale prospettiva, allora, può essere apprezzato ogni tentativo svolto dall’ANAC diretto a decifrare e riformulare le prescrizioni legislative, individuando il coordinamento sistematico tra norme diverse.</w:t>
      </w:r>
    </w:p>
    <w:p w:rsidR="004113CA" w:rsidRPr="002360E5" w:rsidRDefault="004113CA" w:rsidP="004113CA">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Il dinamismo temporale delle LG, poi, dovrebbe riguardare l’adeguamento delle prescrizioni analitiche al mutamen</w:t>
      </w:r>
      <w:r w:rsidR="009F4E0C">
        <w:rPr>
          <w:rFonts w:ascii="Times New Roman" w:hAnsi="Times New Roman"/>
          <w:color w:val="0F243E" w:themeColor="text2" w:themeShade="80"/>
          <w:sz w:val="26"/>
          <w:szCs w:val="26"/>
        </w:rPr>
        <w:t>to delle circostanze, come emer</w:t>
      </w:r>
      <w:r w:rsidRPr="002360E5">
        <w:rPr>
          <w:rFonts w:ascii="Times New Roman" w:hAnsi="Times New Roman"/>
          <w:color w:val="0F243E" w:themeColor="text2" w:themeShade="80"/>
          <w:sz w:val="26"/>
          <w:szCs w:val="26"/>
        </w:rPr>
        <w:t>se nell’esperienza pratica.</w:t>
      </w:r>
    </w:p>
    <w:p w:rsidR="004113CA" w:rsidRDefault="004113CA" w:rsidP="00D00421">
      <w:pPr>
        <w:tabs>
          <w:tab w:val="left" w:pos="0"/>
        </w:tabs>
        <w:rPr>
          <w:rFonts w:ascii="Times New Roman" w:hAnsi="Times New Roman"/>
          <w:color w:val="0F243E" w:themeColor="text2" w:themeShade="80"/>
          <w:sz w:val="26"/>
          <w:szCs w:val="26"/>
        </w:rPr>
      </w:pPr>
    </w:p>
    <w:p w:rsidR="002A136B" w:rsidRPr="005534AD" w:rsidRDefault="005534AD" w:rsidP="0068059B">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sidRPr="002360E5">
        <w:rPr>
          <w:rFonts w:ascii="Times New Roman" w:hAnsi="Times New Roman"/>
          <w:b/>
          <w:smallCaps/>
          <w:color w:val="0F243E" w:themeColor="text2" w:themeShade="80"/>
          <w:sz w:val="26"/>
          <w:szCs w:val="26"/>
        </w:rPr>
        <w:t>L</w:t>
      </w:r>
      <w:r>
        <w:rPr>
          <w:rFonts w:ascii="Times New Roman" w:hAnsi="Times New Roman"/>
          <w:b/>
          <w:smallCaps/>
          <w:color w:val="0F243E" w:themeColor="text2" w:themeShade="80"/>
          <w:sz w:val="26"/>
          <w:szCs w:val="26"/>
        </w:rPr>
        <w:t xml:space="preserve">a natura regolamentare delle linee guida </w:t>
      </w:r>
      <w:r w:rsidRPr="005534AD">
        <w:rPr>
          <w:rFonts w:ascii="Times New Roman" w:hAnsi="Times New Roman"/>
          <w:b/>
          <w:smallCaps/>
          <w:color w:val="0F243E" w:themeColor="text2" w:themeShade="80"/>
          <w:sz w:val="26"/>
          <w:szCs w:val="26"/>
        </w:rPr>
        <w:t>vincolanti. L’efficacia delle linee guida non vincolanti</w:t>
      </w:r>
      <w:r w:rsidR="0068059B">
        <w:rPr>
          <w:rFonts w:ascii="Times New Roman" w:hAnsi="Times New Roman"/>
          <w:b/>
          <w:smallCaps/>
          <w:color w:val="0F243E" w:themeColor="text2" w:themeShade="80"/>
          <w:sz w:val="26"/>
          <w:szCs w:val="26"/>
        </w:rPr>
        <w:t>.</w:t>
      </w:r>
    </w:p>
    <w:p w:rsidR="00B73AAE" w:rsidRDefault="006B6D7F" w:rsidP="00BA6532">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Secondo la dottrina, </w:t>
      </w:r>
      <w:r w:rsidR="00B73AAE">
        <w:rPr>
          <w:rFonts w:ascii="Times New Roman" w:hAnsi="Times New Roman"/>
          <w:color w:val="0F243E" w:themeColor="text2" w:themeShade="80"/>
          <w:sz w:val="26"/>
          <w:szCs w:val="26"/>
        </w:rPr>
        <w:t xml:space="preserve">soltanto alcune </w:t>
      </w:r>
      <w:r>
        <w:rPr>
          <w:rFonts w:ascii="Times New Roman" w:hAnsi="Times New Roman"/>
          <w:color w:val="0F243E" w:themeColor="text2" w:themeShade="80"/>
          <w:sz w:val="26"/>
          <w:szCs w:val="26"/>
        </w:rPr>
        <w:t xml:space="preserve">delle LG </w:t>
      </w:r>
      <w:r w:rsidR="00B73AAE">
        <w:rPr>
          <w:rFonts w:ascii="Times New Roman" w:hAnsi="Times New Roman"/>
          <w:color w:val="0F243E" w:themeColor="text2" w:themeShade="80"/>
          <w:sz w:val="26"/>
          <w:szCs w:val="26"/>
        </w:rPr>
        <w:t xml:space="preserve">sono </w:t>
      </w:r>
      <w:r w:rsidR="00D46DBD" w:rsidRPr="00BA6532">
        <w:rPr>
          <w:rFonts w:ascii="Times New Roman" w:hAnsi="Times New Roman"/>
          <w:i/>
          <w:color w:val="0F243E" w:themeColor="text2" w:themeShade="80"/>
          <w:sz w:val="26"/>
          <w:szCs w:val="26"/>
        </w:rPr>
        <w:t>certamente</w:t>
      </w:r>
      <w:r w:rsidR="00D46DBD" w:rsidRPr="00BA6532">
        <w:rPr>
          <w:rFonts w:ascii="Times New Roman" w:hAnsi="Times New Roman"/>
          <w:color w:val="0F243E" w:themeColor="text2" w:themeShade="80"/>
          <w:sz w:val="26"/>
          <w:szCs w:val="26"/>
        </w:rPr>
        <w:t xml:space="preserve"> dotate di efficacia pienamente “vincolante”</w:t>
      </w:r>
      <w:r w:rsidR="00B73AAE">
        <w:rPr>
          <w:rFonts w:ascii="Times New Roman" w:hAnsi="Times New Roman"/>
          <w:color w:val="0F243E" w:themeColor="text2" w:themeShade="80"/>
          <w:sz w:val="26"/>
          <w:szCs w:val="26"/>
        </w:rPr>
        <w:t>.</w:t>
      </w:r>
    </w:p>
    <w:p w:rsidR="0061767D" w:rsidRPr="00BA6532" w:rsidRDefault="008E0A86" w:rsidP="00BA6532">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 nessuna ipotesi i</w:t>
      </w:r>
      <w:r w:rsidR="00B73AAE">
        <w:rPr>
          <w:rFonts w:ascii="Times New Roman" w:hAnsi="Times New Roman"/>
          <w:color w:val="0F243E" w:themeColor="text2" w:themeShade="80"/>
          <w:sz w:val="26"/>
          <w:szCs w:val="26"/>
        </w:rPr>
        <w:t>l codice</w:t>
      </w:r>
      <w:r>
        <w:rPr>
          <w:rFonts w:ascii="Times New Roman" w:hAnsi="Times New Roman"/>
          <w:color w:val="0F243E" w:themeColor="text2" w:themeShade="80"/>
          <w:sz w:val="26"/>
          <w:szCs w:val="26"/>
        </w:rPr>
        <w:t xml:space="preserve"> indica espressamente la natura vincolante delle LG.</w:t>
      </w:r>
      <w:r w:rsidR="00B73AAE">
        <w:rPr>
          <w:rFonts w:ascii="Times New Roman" w:hAnsi="Times New Roman"/>
          <w:color w:val="0F243E" w:themeColor="text2" w:themeShade="80"/>
          <w:sz w:val="26"/>
          <w:szCs w:val="26"/>
        </w:rPr>
        <w:t xml:space="preserve"> </w:t>
      </w:r>
      <w:r>
        <w:rPr>
          <w:rFonts w:ascii="Times New Roman" w:hAnsi="Times New Roman"/>
          <w:color w:val="0F243E" w:themeColor="text2" w:themeShade="80"/>
          <w:sz w:val="26"/>
          <w:szCs w:val="26"/>
        </w:rPr>
        <w:t>Pertanto, tale qualificazione deriva</w:t>
      </w:r>
      <w:r w:rsidR="00D46DBD" w:rsidRPr="00BA6532">
        <w:rPr>
          <w:rFonts w:ascii="Times New Roman" w:hAnsi="Times New Roman"/>
          <w:color w:val="0F243E" w:themeColor="text2" w:themeShade="80"/>
          <w:sz w:val="26"/>
          <w:szCs w:val="26"/>
        </w:rPr>
        <w:t xml:space="preserve"> da indicazioni implicite – ma </w:t>
      </w:r>
      <w:r w:rsidR="000133F9">
        <w:rPr>
          <w:rFonts w:ascii="Times New Roman" w:hAnsi="Times New Roman"/>
          <w:color w:val="0F243E" w:themeColor="text2" w:themeShade="80"/>
          <w:sz w:val="26"/>
          <w:szCs w:val="26"/>
        </w:rPr>
        <w:t xml:space="preserve">ritenute </w:t>
      </w:r>
      <w:r w:rsidR="00D46DBD" w:rsidRPr="00BA6532">
        <w:rPr>
          <w:rFonts w:ascii="Times New Roman" w:hAnsi="Times New Roman"/>
          <w:color w:val="0F243E" w:themeColor="text2" w:themeShade="80"/>
          <w:sz w:val="26"/>
          <w:szCs w:val="26"/>
        </w:rPr>
        <w:t xml:space="preserve">univoche - </w:t>
      </w:r>
      <w:r w:rsidR="006C45B6" w:rsidRPr="00BA6532">
        <w:rPr>
          <w:rFonts w:ascii="Times New Roman" w:hAnsi="Times New Roman"/>
          <w:color w:val="0F243E" w:themeColor="text2" w:themeShade="80"/>
          <w:sz w:val="26"/>
          <w:szCs w:val="26"/>
        </w:rPr>
        <w:t>d</w:t>
      </w:r>
      <w:r w:rsidR="00D46DBD" w:rsidRPr="00BA6532">
        <w:rPr>
          <w:rFonts w:ascii="Times New Roman" w:hAnsi="Times New Roman"/>
          <w:color w:val="0F243E" w:themeColor="text2" w:themeShade="80"/>
          <w:sz w:val="26"/>
          <w:szCs w:val="26"/>
        </w:rPr>
        <w:t>ella disciplina</w:t>
      </w:r>
      <w:r w:rsidR="000133F9">
        <w:rPr>
          <w:rFonts w:ascii="Times New Roman" w:hAnsi="Times New Roman"/>
          <w:color w:val="0F243E" w:themeColor="text2" w:themeShade="80"/>
          <w:sz w:val="26"/>
          <w:szCs w:val="26"/>
        </w:rPr>
        <w:t xml:space="preserve"> positiva. </w:t>
      </w:r>
      <w:r w:rsidR="000133F9" w:rsidRPr="00BA6532">
        <w:rPr>
          <w:rFonts w:ascii="Times New Roman" w:hAnsi="Times New Roman"/>
          <w:color w:val="0F243E" w:themeColor="text2" w:themeShade="80"/>
          <w:sz w:val="26"/>
          <w:szCs w:val="26"/>
        </w:rPr>
        <w:t xml:space="preserve">In </w:t>
      </w:r>
      <w:r w:rsidR="004C2B5C" w:rsidRPr="00BA6532">
        <w:rPr>
          <w:rFonts w:ascii="Times New Roman" w:hAnsi="Times New Roman"/>
          <w:color w:val="0F243E" w:themeColor="text2" w:themeShade="80"/>
          <w:sz w:val="26"/>
          <w:szCs w:val="26"/>
        </w:rPr>
        <w:t xml:space="preserve">questo ambito si </w:t>
      </w:r>
      <w:r w:rsidR="000133F9">
        <w:rPr>
          <w:rFonts w:ascii="Times New Roman" w:hAnsi="Times New Roman"/>
          <w:color w:val="0F243E" w:themeColor="text2" w:themeShade="80"/>
          <w:sz w:val="26"/>
          <w:szCs w:val="26"/>
        </w:rPr>
        <w:t>d</w:t>
      </w:r>
      <w:r w:rsidR="006E3166">
        <w:rPr>
          <w:rFonts w:ascii="Times New Roman" w:hAnsi="Times New Roman"/>
          <w:color w:val="0F243E" w:themeColor="text2" w:themeShade="80"/>
          <w:sz w:val="26"/>
          <w:szCs w:val="26"/>
        </w:rPr>
        <w:t>ov</w:t>
      </w:r>
      <w:r w:rsidR="004C2B5C" w:rsidRPr="00BA6532">
        <w:rPr>
          <w:rFonts w:ascii="Times New Roman" w:hAnsi="Times New Roman"/>
          <w:color w:val="0F243E" w:themeColor="text2" w:themeShade="80"/>
          <w:sz w:val="26"/>
          <w:szCs w:val="26"/>
        </w:rPr>
        <w:t>rebbero collocare</w:t>
      </w:r>
      <w:r w:rsidR="006E3166">
        <w:rPr>
          <w:rFonts w:ascii="Times New Roman" w:hAnsi="Times New Roman"/>
          <w:color w:val="0F243E" w:themeColor="text2" w:themeShade="80"/>
          <w:sz w:val="26"/>
          <w:szCs w:val="26"/>
        </w:rPr>
        <w:t xml:space="preserve">, secondo la </w:t>
      </w:r>
      <w:r w:rsidR="006E3166" w:rsidRPr="006E3166">
        <w:rPr>
          <w:rFonts w:ascii="Times New Roman" w:hAnsi="Times New Roman"/>
          <w:i/>
          <w:color w:val="0F243E" w:themeColor="text2" w:themeShade="80"/>
          <w:sz w:val="26"/>
          <w:szCs w:val="26"/>
        </w:rPr>
        <w:t>communis opinio</w:t>
      </w:r>
      <w:r w:rsidR="004C2B5C" w:rsidRPr="00BA6532">
        <w:rPr>
          <w:rFonts w:ascii="Times New Roman" w:eastAsia="Times New Roman" w:hAnsi="Times New Roman"/>
          <w:color w:val="0F243E" w:themeColor="text2" w:themeShade="80"/>
          <w:sz w:val="26"/>
          <w:szCs w:val="26"/>
          <w:lang w:eastAsia="it-IT"/>
        </w:rPr>
        <w:t>: l'art. 31, comma 5, a proposito del responsabile del procedimento; l'art. 38, comma 6 ss., a proposito dei sistemi di qualificazione delle imprese; l'art. 78, a proposito dei criteri e requisiti per essere nominati componenti delle commissioni aggiudicatrici.</w:t>
      </w:r>
    </w:p>
    <w:p w:rsidR="0061767D" w:rsidRPr="002360E5" w:rsidRDefault="00FB18A1" w:rsidP="00596E5E">
      <w:pPr>
        <w:pStyle w:val="Paragrafoelenco"/>
        <w:tabs>
          <w:tab w:val="left" w:pos="0"/>
        </w:tabs>
        <w:ind w:left="0"/>
        <w:rPr>
          <w:rFonts w:ascii="Times New Roman" w:hAnsi="Times New Roman"/>
          <w:i/>
          <w:color w:val="0F243E" w:themeColor="text2" w:themeShade="80"/>
          <w:sz w:val="26"/>
          <w:szCs w:val="26"/>
        </w:rPr>
      </w:pPr>
      <w:r w:rsidRPr="002360E5">
        <w:rPr>
          <w:rFonts w:ascii="Times New Roman" w:hAnsi="Times New Roman"/>
          <w:color w:val="0F243E" w:themeColor="text2" w:themeShade="80"/>
          <w:sz w:val="26"/>
          <w:szCs w:val="26"/>
        </w:rPr>
        <w:t>Nell’ipotesi di cui all’art. 31, comma 5, il carattere vincolan</w:t>
      </w:r>
      <w:r w:rsidR="00CC6F58" w:rsidRPr="002360E5">
        <w:rPr>
          <w:rFonts w:ascii="Times New Roman" w:hAnsi="Times New Roman"/>
          <w:color w:val="0F243E" w:themeColor="text2" w:themeShade="80"/>
          <w:sz w:val="26"/>
          <w:szCs w:val="26"/>
        </w:rPr>
        <w:t>t</w:t>
      </w:r>
      <w:r w:rsidRPr="002360E5">
        <w:rPr>
          <w:rFonts w:ascii="Times New Roman" w:hAnsi="Times New Roman"/>
          <w:color w:val="0F243E" w:themeColor="text2" w:themeShade="80"/>
          <w:sz w:val="26"/>
          <w:szCs w:val="26"/>
        </w:rPr>
        <w:t>e</w:t>
      </w:r>
      <w:r w:rsidR="00301017">
        <w:rPr>
          <w:rFonts w:ascii="Times New Roman" w:hAnsi="Times New Roman"/>
          <w:color w:val="0F243E" w:themeColor="text2" w:themeShade="80"/>
          <w:sz w:val="26"/>
          <w:szCs w:val="26"/>
        </w:rPr>
        <w:t xml:space="preserve"> (oltre che obbligatorio per l’ANAC</w:t>
      </w:r>
      <w:r w:rsidRPr="002360E5">
        <w:rPr>
          <w:rFonts w:ascii="Times New Roman" w:hAnsi="Times New Roman"/>
          <w:color w:val="0F243E" w:themeColor="text2" w:themeShade="80"/>
          <w:sz w:val="26"/>
          <w:szCs w:val="26"/>
        </w:rPr>
        <w:t xml:space="preserve"> potrebbe derivare</w:t>
      </w:r>
      <w:r w:rsidR="006E3166">
        <w:rPr>
          <w:rFonts w:ascii="Times New Roman" w:hAnsi="Times New Roman"/>
          <w:color w:val="0F243E" w:themeColor="text2" w:themeShade="80"/>
          <w:sz w:val="26"/>
          <w:szCs w:val="26"/>
        </w:rPr>
        <w:t>, oltretutto,</w:t>
      </w:r>
      <w:r w:rsidRPr="002360E5">
        <w:rPr>
          <w:rFonts w:ascii="Times New Roman" w:hAnsi="Times New Roman"/>
          <w:color w:val="0F243E" w:themeColor="text2" w:themeShade="80"/>
          <w:sz w:val="26"/>
          <w:szCs w:val="26"/>
        </w:rPr>
        <w:t xml:space="preserve"> dalla previsione</w:t>
      </w:r>
      <w:r w:rsidR="00CC6F58" w:rsidRPr="002360E5">
        <w:rPr>
          <w:rFonts w:ascii="Times New Roman" w:hAnsi="Times New Roman"/>
          <w:color w:val="0F243E" w:themeColor="text2" w:themeShade="80"/>
          <w:sz w:val="26"/>
          <w:szCs w:val="26"/>
        </w:rPr>
        <w:t xml:space="preserve"> di un </w:t>
      </w:r>
      <w:r w:rsidR="00CC6F58" w:rsidRPr="002360E5">
        <w:rPr>
          <w:rFonts w:ascii="Times New Roman" w:hAnsi="Times New Roman"/>
          <w:i/>
          <w:color w:val="0F243E" w:themeColor="text2" w:themeShade="80"/>
          <w:sz w:val="26"/>
          <w:szCs w:val="26"/>
        </w:rPr>
        <w:t>termine</w:t>
      </w:r>
      <w:r w:rsidR="00301017">
        <w:rPr>
          <w:rFonts w:ascii="Times New Roman" w:hAnsi="Times New Roman"/>
          <w:color w:val="0F243E" w:themeColor="text2" w:themeShade="80"/>
          <w:sz w:val="26"/>
          <w:szCs w:val="26"/>
        </w:rPr>
        <w:t>, ancorché non perentorio, per la loro adozione</w:t>
      </w:r>
      <w:r w:rsidRPr="002360E5">
        <w:rPr>
          <w:rFonts w:ascii="Times New Roman" w:hAnsi="Times New Roman"/>
          <w:color w:val="0F243E" w:themeColor="text2" w:themeShade="80"/>
          <w:sz w:val="26"/>
          <w:szCs w:val="26"/>
        </w:rPr>
        <w:t xml:space="preserve">. </w:t>
      </w:r>
      <w:r w:rsidRPr="002360E5">
        <w:rPr>
          <w:rFonts w:ascii="Times New Roman" w:hAnsi="Times New Roman"/>
          <w:i/>
          <w:color w:val="0F243E" w:themeColor="text2" w:themeShade="80"/>
          <w:sz w:val="26"/>
          <w:szCs w:val="26"/>
        </w:rPr>
        <w:t>L'ANAC con proprie linee guida, da adottare entro novanta giorni dall'entrata in vigore del presente codice, definisce una disciplina di maggiore dettaglio sui compiti specifici del RUP, sui presupposti e sulle modalità di nomina, nonché sugli ulteriori requisiti di professionalità rispetto a quanto disposto dal presente codice, in relazione alla complessità dei lavori. Con le medesime linee guida sono determinati, altresì, l'importo massimo e la tipologia dei lavori, servizi e forniture per i quali il RUP può coincidere con il progettista, con il direttore dei lavori o con il direttore dell'esecuzione. Fino all'adozione di detto atto si applica l'articolo 216, comma 8.</w:t>
      </w:r>
    </w:p>
    <w:p w:rsidR="00CC6F58" w:rsidRPr="002360E5" w:rsidRDefault="00CC6F58"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Potrebbe essere valorizzata anche la circostanza che, in assenza delle LG, </w:t>
      </w:r>
      <w:r w:rsidR="00730332">
        <w:rPr>
          <w:rFonts w:ascii="Times New Roman" w:hAnsi="Times New Roman"/>
          <w:color w:val="0F243E" w:themeColor="text2" w:themeShade="80"/>
          <w:sz w:val="26"/>
          <w:szCs w:val="26"/>
        </w:rPr>
        <w:t xml:space="preserve">in questa materia </w:t>
      </w:r>
      <w:r w:rsidRPr="002360E5">
        <w:rPr>
          <w:rFonts w:ascii="Times New Roman" w:hAnsi="Times New Roman"/>
          <w:color w:val="0F243E" w:themeColor="text2" w:themeShade="80"/>
          <w:sz w:val="26"/>
          <w:szCs w:val="26"/>
        </w:rPr>
        <w:t xml:space="preserve">ha operato, transitoriamente, la disciplina di cui all’art. 216, comma 8. Ma tale argomento non risulta decisivo, poiché analoga previsione suppletiva riguarda le LG in materia di appalti sotto soglia, </w:t>
      </w:r>
      <w:r w:rsidR="00730332">
        <w:rPr>
          <w:rFonts w:ascii="Times New Roman" w:hAnsi="Times New Roman"/>
          <w:color w:val="0F243E" w:themeColor="text2" w:themeShade="80"/>
          <w:sz w:val="26"/>
          <w:szCs w:val="26"/>
        </w:rPr>
        <w:t>le quali</w:t>
      </w:r>
      <w:r w:rsidRPr="002360E5">
        <w:rPr>
          <w:rFonts w:ascii="Times New Roman" w:hAnsi="Times New Roman"/>
          <w:color w:val="0F243E" w:themeColor="text2" w:themeShade="80"/>
          <w:sz w:val="26"/>
          <w:szCs w:val="26"/>
        </w:rPr>
        <w:t xml:space="preserve">, invece, sono considerate non vincolanti dalla prevalente dottrina e dal Consiglio </w:t>
      </w:r>
      <w:r w:rsidR="00730332">
        <w:rPr>
          <w:rFonts w:ascii="Times New Roman" w:hAnsi="Times New Roman"/>
          <w:color w:val="0F243E" w:themeColor="text2" w:themeShade="80"/>
          <w:sz w:val="26"/>
          <w:szCs w:val="26"/>
        </w:rPr>
        <w:t xml:space="preserve">di Stato </w:t>
      </w:r>
      <w:r w:rsidRPr="002360E5">
        <w:rPr>
          <w:rFonts w:ascii="Times New Roman" w:hAnsi="Times New Roman"/>
          <w:color w:val="0F243E" w:themeColor="text2" w:themeShade="80"/>
          <w:sz w:val="26"/>
          <w:szCs w:val="26"/>
        </w:rPr>
        <w:t>in sede consultiva.</w:t>
      </w:r>
    </w:p>
    <w:p w:rsidR="006B4DDF" w:rsidRDefault="006B4DDF" w:rsidP="006B4DDF">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L’ultima ipotesi</w:t>
      </w:r>
      <w:r w:rsidR="0068059B">
        <w:rPr>
          <w:rFonts w:ascii="Times New Roman" w:hAnsi="Times New Roman"/>
          <w:color w:val="0F243E" w:themeColor="text2" w:themeShade="80"/>
          <w:sz w:val="26"/>
          <w:szCs w:val="26"/>
        </w:rPr>
        <w:t xml:space="preserve"> classificatoria</w:t>
      </w:r>
      <w:r>
        <w:rPr>
          <w:rFonts w:ascii="Times New Roman" w:hAnsi="Times New Roman"/>
          <w:color w:val="0F243E" w:themeColor="text2" w:themeShade="80"/>
          <w:sz w:val="26"/>
          <w:szCs w:val="26"/>
        </w:rPr>
        <w:t xml:space="preserve"> riguarda, secondo la dottrina, le </w:t>
      </w:r>
      <w:r w:rsidR="00D46DBD" w:rsidRPr="00730332">
        <w:rPr>
          <w:rFonts w:ascii="Times New Roman" w:hAnsi="Times New Roman"/>
          <w:color w:val="0F243E" w:themeColor="text2" w:themeShade="80"/>
          <w:sz w:val="26"/>
          <w:szCs w:val="26"/>
        </w:rPr>
        <w:t>LG “</w:t>
      </w:r>
      <w:r w:rsidR="00D46DBD" w:rsidRPr="00730332">
        <w:rPr>
          <w:rFonts w:ascii="Times New Roman" w:hAnsi="Times New Roman"/>
          <w:i/>
          <w:color w:val="0F243E" w:themeColor="text2" w:themeShade="80"/>
          <w:sz w:val="26"/>
          <w:szCs w:val="26"/>
        </w:rPr>
        <w:t>non vincolanti</w:t>
      </w:r>
      <w:r w:rsidR="00D46DBD" w:rsidRPr="00730332">
        <w:rPr>
          <w:rFonts w:ascii="Times New Roman" w:hAnsi="Times New Roman"/>
          <w:color w:val="0F243E" w:themeColor="text2" w:themeShade="80"/>
          <w:sz w:val="26"/>
          <w:szCs w:val="26"/>
        </w:rPr>
        <w:t>”</w:t>
      </w:r>
      <w:r w:rsidR="006C45B6" w:rsidRPr="00730332">
        <w:rPr>
          <w:rFonts w:ascii="Times New Roman" w:hAnsi="Times New Roman"/>
          <w:color w:val="0F243E" w:themeColor="text2" w:themeShade="80"/>
          <w:sz w:val="26"/>
          <w:szCs w:val="26"/>
        </w:rPr>
        <w:t>, anche</w:t>
      </w:r>
      <w:r>
        <w:rPr>
          <w:rFonts w:ascii="Times New Roman" w:hAnsi="Times New Roman"/>
          <w:color w:val="0F243E" w:themeColor="text2" w:themeShade="80"/>
          <w:sz w:val="26"/>
          <w:szCs w:val="26"/>
        </w:rPr>
        <w:t xml:space="preserve"> esse individuate</w:t>
      </w:r>
      <w:r w:rsidR="006C45B6" w:rsidRPr="00730332">
        <w:rPr>
          <w:rFonts w:ascii="Times New Roman" w:hAnsi="Times New Roman"/>
          <w:color w:val="0F243E" w:themeColor="text2" w:themeShade="80"/>
          <w:sz w:val="26"/>
          <w:szCs w:val="26"/>
        </w:rPr>
        <w:t xml:space="preserve"> in funzione delle indicazioni espresse o implicite della f</w:t>
      </w:r>
      <w:r w:rsidR="00606EE5" w:rsidRPr="00730332">
        <w:rPr>
          <w:rFonts w:ascii="Times New Roman" w:hAnsi="Times New Roman"/>
          <w:color w:val="0F243E" w:themeColor="text2" w:themeShade="80"/>
          <w:sz w:val="26"/>
          <w:szCs w:val="26"/>
        </w:rPr>
        <w:t>o</w:t>
      </w:r>
      <w:r w:rsidR="006C45B6" w:rsidRPr="00730332">
        <w:rPr>
          <w:rFonts w:ascii="Times New Roman" w:hAnsi="Times New Roman"/>
          <w:color w:val="0F243E" w:themeColor="text2" w:themeShade="80"/>
          <w:sz w:val="26"/>
          <w:szCs w:val="26"/>
        </w:rPr>
        <w:t>nte legislativa che le prevede</w:t>
      </w:r>
      <w:r w:rsidR="0070102E" w:rsidRPr="00730332">
        <w:rPr>
          <w:rFonts w:ascii="Times New Roman" w:hAnsi="Times New Roman"/>
          <w:color w:val="0F243E" w:themeColor="text2" w:themeShade="80"/>
          <w:sz w:val="26"/>
          <w:szCs w:val="26"/>
        </w:rPr>
        <w:t>.</w:t>
      </w:r>
    </w:p>
    <w:p w:rsidR="00606EE5" w:rsidRDefault="00606EE5" w:rsidP="006B4DDF">
      <w:pPr>
        <w:tabs>
          <w:tab w:val="left" w:pos="0"/>
        </w:tabs>
        <w:rPr>
          <w:rFonts w:ascii="Times New Roman" w:eastAsia="Times New Roman" w:hAnsi="Times New Roman"/>
          <w:color w:val="0F243E" w:themeColor="text2" w:themeShade="80"/>
          <w:sz w:val="26"/>
          <w:szCs w:val="26"/>
          <w:lang w:eastAsia="it-IT"/>
        </w:rPr>
      </w:pPr>
      <w:r w:rsidRPr="00730332">
        <w:rPr>
          <w:rFonts w:ascii="Times New Roman" w:eastAsia="Times New Roman" w:hAnsi="Times New Roman"/>
          <w:color w:val="0F243E" w:themeColor="text2" w:themeShade="80"/>
          <w:sz w:val="26"/>
          <w:szCs w:val="26"/>
          <w:lang w:eastAsia="it-IT"/>
        </w:rPr>
        <w:t>Tra ques</w:t>
      </w:r>
      <w:r w:rsidR="000D4ECC">
        <w:rPr>
          <w:rFonts w:ascii="Times New Roman" w:eastAsia="Times New Roman" w:hAnsi="Times New Roman"/>
          <w:color w:val="0F243E" w:themeColor="text2" w:themeShade="80"/>
          <w:sz w:val="26"/>
          <w:szCs w:val="26"/>
          <w:lang w:eastAsia="it-IT"/>
        </w:rPr>
        <w:t xml:space="preserve">te ipotesi si possono indicare </w:t>
      </w:r>
      <w:r w:rsidRPr="00730332">
        <w:rPr>
          <w:rFonts w:ascii="Times New Roman" w:eastAsia="Times New Roman" w:hAnsi="Times New Roman"/>
          <w:color w:val="0F243E" w:themeColor="text2" w:themeShade="80"/>
          <w:sz w:val="26"/>
          <w:szCs w:val="26"/>
          <w:lang w:eastAsia="it-IT"/>
        </w:rPr>
        <w:t>l'art. 80, comma 13, a proposito del modo in cui accertare le carenze nell'esecuzione dei precedenti contratti</w:t>
      </w:r>
      <w:r w:rsidR="00F46E35">
        <w:rPr>
          <w:rFonts w:ascii="Times New Roman" w:eastAsia="Times New Roman" w:hAnsi="Times New Roman"/>
          <w:color w:val="0F243E" w:themeColor="text2" w:themeShade="80"/>
          <w:sz w:val="26"/>
          <w:szCs w:val="26"/>
          <w:lang w:eastAsia="it-IT"/>
        </w:rPr>
        <w:t>,</w:t>
      </w:r>
      <w:r w:rsidRPr="00730332">
        <w:rPr>
          <w:rFonts w:ascii="Times New Roman" w:eastAsia="Times New Roman" w:hAnsi="Times New Roman"/>
          <w:color w:val="0F243E" w:themeColor="text2" w:themeShade="80"/>
          <w:sz w:val="26"/>
          <w:szCs w:val="26"/>
          <w:lang w:eastAsia="it-IT"/>
        </w:rPr>
        <w:t xml:space="preserve"> ai fini dell'esclusione dal procedimento, col fine di “garantire omogeneità di prassi”.</w:t>
      </w:r>
    </w:p>
    <w:p w:rsidR="0068059B" w:rsidRDefault="0068059B" w:rsidP="006B4DDF">
      <w:pPr>
        <w:tabs>
          <w:tab w:val="left" w:pos="0"/>
        </w:tabs>
        <w:rPr>
          <w:rFonts w:ascii="Times New Roman" w:eastAsia="Times New Roman" w:hAnsi="Times New Roman"/>
          <w:color w:val="0F243E" w:themeColor="text2" w:themeShade="80"/>
          <w:sz w:val="26"/>
          <w:szCs w:val="26"/>
          <w:lang w:eastAsia="it-IT"/>
        </w:rPr>
      </w:pPr>
    </w:p>
    <w:p w:rsidR="0068059B" w:rsidRPr="002360E5" w:rsidRDefault="0068059B" w:rsidP="0068059B">
      <w:pPr>
        <w:pStyle w:val="Paragrafoelenco"/>
        <w:numPr>
          <w:ilvl w:val="0"/>
          <w:numId w:val="1"/>
        </w:numPr>
        <w:tabs>
          <w:tab w:val="left" w:pos="0"/>
        </w:tabs>
        <w:rPr>
          <w:rFonts w:ascii="Times New Roman" w:hAnsi="Times New Roman"/>
          <w:b/>
          <w:smallCaps/>
          <w:color w:val="0F243E" w:themeColor="text2" w:themeShade="80"/>
          <w:sz w:val="26"/>
          <w:szCs w:val="26"/>
        </w:rPr>
      </w:pPr>
      <w:r w:rsidRPr="002360E5">
        <w:rPr>
          <w:rFonts w:ascii="Times New Roman" w:hAnsi="Times New Roman"/>
          <w:b/>
          <w:smallCaps/>
          <w:color w:val="0F243E" w:themeColor="text2" w:themeShade="80"/>
          <w:sz w:val="26"/>
          <w:szCs w:val="26"/>
        </w:rPr>
        <w:t>L</w:t>
      </w:r>
      <w:r>
        <w:rPr>
          <w:rFonts w:ascii="Times New Roman" w:hAnsi="Times New Roman"/>
          <w:b/>
          <w:smallCaps/>
          <w:color w:val="0F243E" w:themeColor="text2" w:themeShade="80"/>
          <w:sz w:val="26"/>
          <w:szCs w:val="26"/>
        </w:rPr>
        <w:t>a natura giuridica delle linee guida in materia di affidamenti sottosoglia.</w:t>
      </w:r>
    </w:p>
    <w:p w:rsidR="00CE5BC9" w:rsidRPr="002360E5" w:rsidRDefault="000D4ECC" w:rsidP="00596E5E">
      <w:pPr>
        <w:pStyle w:val="Paragrafoelenco"/>
        <w:tabs>
          <w:tab w:val="left" w:pos="0"/>
        </w:tabs>
        <w:ind w:left="0"/>
        <w:rPr>
          <w:rFonts w:ascii="Times New Roman" w:hAnsi="Times New Roman"/>
          <w:i/>
          <w:color w:val="0F243E" w:themeColor="text2" w:themeShade="80"/>
          <w:sz w:val="26"/>
          <w:szCs w:val="26"/>
        </w:rPr>
      </w:pPr>
      <w:r>
        <w:rPr>
          <w:rFonts w:ascii="Times New Roman" w:hAnsi="Times New Roman"/>
          <w:color w:val="0F243E" w:themeColor="text2" w:themeShade="80"/>
          <w:sz w:val="26"/>
          <w:szCs w:val="26"/>
        </w:rPr>
        <w:t>A</w:t>
      </w:r>
      <w:r w:rsidR="00EA3BFA">
        <w:rPr>
          <w:rFonts w:ascii="Times New Roman" w:hAnsi="Times New Roman"/>
          <w:color w:val="0F243E" w:themeColor="text2" w:themeShade="80"/>
          <w:sz w:val="26"/>
          <w:szCs w:val="26"/>
        </w:rPr>
        <w:t>lle ipotesi “certe” di LG non vincolanti</w:t>
      </w:r>
      <w:r>
        <w:rPr>
          <w:rFonts w:ascii="Times New Roman" w:hAnsi="Times New Roman"/>
          <w:color w:val="0F243E" w:themeColor="text2" w:themeShade="80"/>
          <w:sz w:val="26"/>
          <w:szCs w:val="26"/>
        </w:rPr>
        <w:t xml:space="preserve"> si aggiunge anche</w:t>
      </w:r>
      <w:r w:rsidR="00F46E35">
        <w:rPr>
          <w:rFonts w:ascii="Times New Roman" w:hAnsi="Times New Roman"/>
          <w:color w:val="0F243E" w:themeColor="text2" w:themeShade="80"/>
          <w:sz w:val="26"/>
          <w:szCs w:val="26"/>
        </w:rPr>
        <w:t>, secondo unanime opinione,</w:t>
      </w:r>
      <w:r>
        <w:rPr>
          <w:rFonts w:ascii="Times New Roman" w:hAnsi="Times New Roman"/>
          <w:color w:val="0F243E" w:themeColor="text2" w:themeShade="80"/>
          <w:sz w:val="26"/>
          <w:szCs w:val="26"/>
        </w:rPr>
        <w:t xml:space="preserve"> l’ipotesi dell</w:t>
      </w:r>
      <w:r w:rsidRPr="00730332">
        <w:rPr>
          <w:rFonts w:ascii="Times New Roman" w:eastAsia="Times New Roman" w:hAnsi="Times New Roman"/>
          <w:color w:val="0F243E" w:themeColor="text2" w:themeShade="80"/>
          <w:sz w:val="26"/>
          <w:szCs w:val="26"/>
          <w:lang w:eastAsia="it-IT"/>
        </w:rPr>
        <w:t>'art. 36, comma 7, a proposito del “</w:t>
      </w:r>
      <w:r w:rsidRPr="00730332">
        <w:rPr>
          <w:rFonts w:ascii="Times New Roman" w:eastAsia="Times New Roman" w:hAnsi="Times New Roman"/>
          <w:i/>
          <w:iCs/>
          <w:color w:val="0F243E" w:themeColor="text2" w:themeShade="80"/>
          <w:sz w:val="26"/>
          <w:szCs w:val="26"/>
          <w:lang w:eastAsia="it-IT"/>
        </w:rPr>
        <w:t>supporto</w:t>
      </w:r>
      <w:r w:rsidRPr="00730332">
        <w:rPr>
          <w:rFonts w:ascii="Times New Roman" w:eastAsia="Times New Roman" w:hAnsi="Times New Roman"/>
          <w:color w:val="0F243E" w:themeColor="text2" w:themeShade="80"/>
          <w:sz w:val="26"/>
          <w:szCs w:val="26"/>
          <w:lang w:eastAsia="it-IT"/>
        </w:rPr>
        <w:t>” da dare alle stazioni appaltanti in merito alla scelta dei contraenti dei contratti sottosoglia</w:t>
      </w:r>
      <w:r>
        <w:rPr>
          <w:rFonts w:ascii="Times New Roman" w:eastAsia="Times New Roman" w:hAnsi="Times New Roman"/>
          <w:color w:val="0F243E" w:themeColor="text2" w:themeShade="80"/>
          <w:sz w:val="26"/>
          <w:szCs w:val="26"/>
          <w:lang w:eastAsia="it-IT"/>
        </w:rPr>
        <w:t>.</w:t>
      </w:r>
      <w:r w:rsidRPr="00730332">
        <w:rPr>
          <w:rFonts w:ascii="Times New Roman" w:eastAsia="Times New Roman" w:hAnsi="Times New Roman"/>
          <w:color w:val="0F243E" w:themeColor="text2" w:themeShade="80"/>
          <w:sz w:val="26"/>
          <w:szCs w:val="26"/>
          <w:lang w:eastAsia="it-IT"/>
        </w:rPr>
        <w:t xml:space="preserve"> </w:t>
      </w:r>
      <w:r w:rsidR="00CE5BC9" w:rsidRPr="002360E5">
        <w:rPr>
          <w:rFonts w:ascii="Times New Roman" w:hAnsi="Times New Roman"/>
          <w:color w:val="0F243E" w:themeColor="text2" w:themeShade="80"/>
          <w:sz w:val="26"/>
          <w:szCs w:val="26"/>
        </w:rPr>
        <w:t>In parti</w:t>
      </w:r>
      <w:bookmarkStart w:id="2" w:name="_GoBack"/>
      <w:bookmarkEnd w:id="2"/>
      <w:r w:rsidR="00CE5BC9" w:rsidRPr="002360E5">
        <w:rPr>
          <w:rFonts w:ascii="Times New Roman" w:hAnsi="Times New Roman"/>
          <w:color w:val="0F243E" w:themeColor="text2" w:themeShade="80"/>
          <w:sz w:val="26"/>
          <w:szCs w:val="26"/>
        </w:rPr>
        <w:t>colare, secondo la disciplina dell’art. 36, comma 7, “</w:t>
      </w:r>
      <w:r w:rsidR="00CE5BC9" w:rsidRPr="002360E5">
        <w:rPr>
          <w:rFonts w:ascii="Times New Roman" w:hAnsi="Times New Roman"/>
          <w:i/>
          <w:color w:val="0F243E" w:themeColor="text2" w:themeShade="80"/>
          <w:sz w:val="26"/>
          <w:szCs w:val="26"/>
        </w:rPr>
        <w:t>L'ANAC con proprie linee guida, da adottare entro novanta giorni dalla data di entrata in vigore del presente codice, stabilisce le modalità di dettaglio per supportare le stazioni appaltanti e migliorare la qualità delle procedure di cui al presente articolo, delle indagini di mercato,</w:t>
      </w:r>
      <w:r w:rsidR="00645A71" w:rsidRPr="002360E5">
        <w:rPr>
          <w:rFonts w:ascii="Times New Roman" w:hAnsi="Times New Roman"/>
          <w:i/>
          <w:color w:val="0F243E" w:themeColor="text2" w:themeShade="80"/>
          <w:sz w:val="26"/>
          <w:szCs w:val="26"/>
        </w:rPr>
        <w:t xml:space="preserve"> </w:t>
      </w:r>
      <w:r w:rsidR="00CE5BC9" w:rsidRPr="002360E5">
        <w:rPr>
          <w:rFonts w:ascii="Times New Roman" w:hAnsi="Times New Roman"/>
          <w:i/>
          <w:color w:val="0F243E" w:themeColor="text2" w:themeShade="80"/>
          <w:sz w:val="26"/>
          <w:szCs w:val="26"/>
        </w:rPr>
        <w:t>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 Fino all'adozione di dette linee guida, si applica l'articolo 216, comma 9</w:t>
      </w:r>
      <w:r w:rsidR="00645A71" w:rsidRPr="002360E5">
        <w:rPr>
          <w:rFonts w:ascii="Times New Roman" w:hAnsi="Times New Roman"/>
          <w:i/>
          <w:color w:val="0F243E" w:themeColor="text2" w:themeShade="80"/>
          <w:sz w:val="26"/>
          <w:szCs w:val="26"/>
        </w:rPr>
        <w:t>.”</w:t>
      </w:r>
    </w:p>
    <w:p w:rsidR="00645A71" w:rsidRPr="002360E5" w:rsidRDefault="00645A71"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Il carattere non vincolante di tali LG è </w:t>
      </w:r>
      <w:r w:rsidR="00480780">
        <w:rPr>
          <w:rFonts w:ascii="Times New Roman" w:hAnsi="Times New Roman"/>
          <w:color w:val="0F243E" w:themeColor="text2" w:themeShade="80"/>
          <w:sz w:val="26"/>
          <w:szCs w:val="26"/>
        </w:rPr>
        <w:t>ritenuto</w:t>
      </w:r>
      <w:r w:rsidRPr="002360E5">
        <w:rPr>
          <w:rFonts w:ascii="Times New Roman" w:hAnsi="Times New Roman"/>
          <w:color w:val="0F243E" w:themeColor="text2" w:themeShade="80"/>
          <w:sz w:val="26"/>
          <w:szCs w:val="26"/>
        </w:rPr>
        <w:t xml:space="preserve"> </w:t>
      </w:r>
      <w:r w:rsidR="00480780">
        <w:rPr>
          <w:rFonts w:ascii="Times New Roman" w:hAnsi="Times New Roman"/>
          <w:color w:val="0F243E" w:themeColor="text2" w:themeShade="80"/>
          <w:sz w:val="26"/>
          <w:szCs w:val="26"/>
        </w:rPr>
        <w:t>dal</w:t>
      </w:r>
      <w:r w:rsidRPr="002360E5">
        <w:rPr>
          <w:rFonts w:ascii="Times New Roman" w:hAnsi="Times New Roman"/>
          <w:color w:val="0F243E" w:themeColor="text2" w:themeShade="80"/>
          <w:sz w:val="26"/>
          <w:szCs w:val="26"/>
        </w:rPr>
        <w:t>la stessa ANAC</w:t>
      </w:r>
      <w:r w:rsidR="009D1F99" w:rsidRPr="002360E5">
        <w:rPr>
          <w:rFonts w:ascii="Times New Roman" w:hAnsi="Times New Roman"/>
          <w:color w:val="0F243E" w:themeColor="text2" w:themeShade="80"/>
          <w:sz w:val="26"/>
          <w:szCs w:val="26"/>
        </w:rPr>
        <w:t>, che</w:t>
      </w:r>
      <w:r w:rsidR="00FD1AC5">
        <w:rPr>
          <w:rFonts w:ascii="Times New Roman" w:hAnsi="Times New Roman"/>
          <w:color w:val="0F243E" w:themeColor="text2" w:themeShade="80"/>
          <w:sz w:val="26"/>
          <w:szCs w:val="26"/>
        </w:rPr>
        <w:t>, in concreto,</w:t>
      </w:r>
      <w:r w:rsidR="009D1F99" w:rsidRPr="002360E5">
        <w:rPr>
          <w:rFonts w:ascii="Times New Roman" w:hAnsi="Times New Roman"/>
          <w:color w:val="0F243E" w:themeColor="text2" w:themeShade="80"/>
          <w:sz w:val="26"/>
          <w:szCs w:val="26"/>
        </w:rPr>
        <w:t xml:space="preserve"> le ha emanate con contenuti decisamente “esortativi” e fin troppo prudenti</w:t>
      </w:r>
      <w:r w:rsidRPr="002360E5">
        <w:rPr>
          <w:rFonts w:ascii="Times New Roman" w:hAnsi="Times New Roman"/>
          <w:color w:val="0F243E" w:themeColor="text2" w:themeShade="80"/>
          <w:sz w:val="26"/>
          <w:szCs w:val="26"/>
        </w:rPr>
        <w:t>.</w:t>
      </w:r>
    </w:p>
    <w:p w:rsidR="009D1F99" w:rsidRPr="002360E5" w:rsidRDefault="009D1F99"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A ben vedere, </w:t>
      </w:r>
      <w:r w:rsidR="00480780">
        <w:rPr>
          <w:rFonts w:ascii="Times New Roman" w:hAnsi="Times New Roman"/>
          <w:color w:val="0F243E" w:themeColor="text2" w:themeShade="80"/>
          <w:sz w:val="26"/>
          <w:szCs w:val="26"/>
        </w:rPr>
        <w:t xml:space="preserve">però, </w:t>
      </w:r>
      <w:r w:rsidRPr="002360E5">
        <w:rPr>
          <w:rFonts w:ascii="Times New Roman" w:hAnsi="Times New Roman"/>
          <w:color w:val="0F243E" w:themeColor="text2" w:themeShade="80"/>
          <w:sz w:val="26"/>
          <w:szCs w:val="26"/>
        </w:rPr>
        <w:t xml:space="preserve">questa </w:t>
      </w:r>
      <w:r w:rsidR="007E15AF" w:rsidRPr="002360E5">
        <w:rPr>
          <w:rFonts w:ascii="Times New Roman" w:hAnsi="Times New Roman"/>
          <w:color w:val="0F243E" w:themeColor="text2" w:themeShade="80"/>
          <w:sz w:val="26"/>
          <w:szCs w:val="26"/>
        </w:rPr>
        <w:t>soluzione inter</w:t>
      </w:r>
      <w:r w:rsidRPr="002360E5">
        <w:rPr>
          <w:rFonts w:ascii="Times New Roman" w:hAnsi="Times New Roman"/>
          <w:color w:val="0F243E" w:themeColor="text2" w:themeShade="80"/>
          <w:sz w:val="26"/>
          <w:szCs w:val="26"/>
        </w:rPr>
        <w:t>pretativa</w:t>
      </w:r>
      <w:r w:rsidR="007E15AF" w:rsidRPr="002360E5">
        <w:rPr>
          <w:rFonts w:ascii="Times New Roman" w:hAnsi="Times New Roman"/>
          <w:color w:val="0F243E" w:themeColor="text2" w:themeShade="80"/>
          <w:sz w:val="26"/>
          <w:szCs w:val="26"/>
        </w:rPr>
        <w:t xml:space="preserve"> non pare così scontata. Il </w:t>
      </w:r>
      <w:r w:rsidR="00795E3C">
        <w:rPr>
          <w:rFonts w:ascii="Times New Roman" w:hAnsi="Times New Roman"/>
          <w:color w:val="0F243E" w:themeColor="text2" w:themeShade="80"/>
          <w:sz w:val="26"/>
          <w:szCs w:val="26"/>
        </w:rPr>
        <w:t xml:space="preserve">solo </w:t>
      </w:r>
      <w:r w:rsidR="007E15AF" w:rsidRPr="002360E5">
        <w:rPr>
          <w:rFonts w:ascii="Times New Roman" w:hAnsi="Times New Roman"/>
          <w:color w:val="0F243E" w:themeColor="text2" w:themeShade="80"/>
          <w:sz w:val="26"/>
          <w:szCs w:val="26"/>
        </w:rPr>
        <w:t xml:space="preserve">riferimento </w:t>
      </w:r>
      <w:r w:rsidR="00795E3C">
        <w:rPr>
          <w:rFonts w:ascii="Times New Roman" w:hAnsi="Times New Roman"/>
          <w:color w:val="0F243E" w:themeColor="text2" w:themeShade="80"/>
          <w:sz w:val="26"/>
          <w:szCs w:val="26"/>
        </w:rPr>
        <w:t xml:space="preserve">legislativo </w:t>
      </w:r>
      <w:r w:rsidR="007E15AF" w:rsidRPr="002360E5">
        <w:rPr>
          <w:rFonts w:ascii="Times New Roman" w:hAnsi="Times New Roman"/>
          <w:color w:val="0F243E" w:themeColor="text2" w:themeShade="80"/>
          <w:sz w:val="26"/>
          <w:szCs w:val="26"/>
        </w:rPr>
        <w:t>alla</w:t>
      </w:r>
      <w:r w:rsidR="00795E3C">
        <w:rPr>
          <w:rFonts w:ascii="Times New Roman" w:hAnsi="Times New Roman"/>
          <w:color w:val="0F243E" w:themeColor="text2" w:themeShade="80"/>
          <w:sz w:val="26"/>
          <w:szCs w:val="26"/>
        </w:rPr>
        <w:t xml:space="preserve"> descritta</w:t>
      </w:r>
      <w:r w:rsidR="007E15AF" w:rsidRPr="002360E5">
        <w:rPr>
          <w:rFonts w:ascii="Times New Roman" w:hAnsi="Times New Roman"/>
          <w:color w:val="0F243E" w:themeColor="text2" w:themeShade="80"/>
          <w:sz w:val="26"/>
          <w:szCs w:val="26"/>
        </w:rPr>
        <w:t xml:space="preserve"> finalità di “</w:t>
      </w:r>
      <w:r w:rsidR="007E15AF" w:rsidRPr="00BC0944">
        <w:rPr>
          <w:rFonts w:ascii="Times New Roman" w:hAnsi="Times New Roman"/>
          <w:i/>
          <w:color w:val="0F243E" w:themeColor="text2" w:themeShade="80"/>
          <w:sz w:val="26"/>
          <w:szCs w:val="26"/>
        </w:rPr>
        <w:t>supportare le stazioni appaltanti</w:t>
      </w:r>
      <w:r w:rsidR="007E15AF" w:rsidRPr="002360E5">
        <w:rPr>
          <w:rFonts w:ascii="Times New Roman" w:hAnsi="Times New Roman"/>
          <w:color w:val="0F243E" w:themeColor="text2" w:themeShade="80"/>
          <w:sz w:val="26"/>
          <w:szCs w:val="26"/>
        </w:rPr>
        <w:t xml:space="preserve">” non è decisivo, considerando il suo </w:t>
      </w:r>
      <w:r w:rsidR="00BC0944">
        <w:rPr>
          <w:rFonts w:ascii="Times New Roman" w:hAnsi="Times New Roman"/>
          <w:color w:val="0F243E" w:themeColor="text2" w:themeShade="80"/>
          <w:sz w:val="26"/>
          <w:szCs w:val="26"/>
        </w:rPr>
        <w:t xml:space="preserve">palese </w:t>
      </w:r>
      <w:r w:rsidR="007E15AF" w:rsidRPr="00795E3C">
        <w:rPr>
          <w:rFonts w:ascii="Times New Roman" w:hAnsi="Times New Roman"/>
          <w:i/>
          <w:color w:val="0F243E" w:themeColor="text2" w:themeShade="80"/>
          <w:sz w:val="26"/>
          <w:szCs w:val="26"/>
        </w:rPr>
        <w:t>atecnicismo</w:t>
      </w:r>
      <w:r w:rsidR="00795E3C">
        <w:rPr>
          <w:rFonts w:ascii="Times New Roman" w:hAnsi="Times New Roman"/>
          <w:color w:val="0F243E" w:themeColor="text2" w:themeShade="80"/>
          <w:sz w:val="26"/>
          <w:szCs w:val="26"/>
        </w:rPr>
        <w:t xml:space="preserve"> e la scarsa rilevanza che dovrebbe avere l’indicazione dell’obiettivo atteso da un intervento regolamentare</w:t>
      </w:r>
      <w:r w:rsidR="007E15AF" w:rsidRPr="002360E5">
        <w:rPr>
          <w:rFonts w:ascii="Times New Roman" w:hAnsi="Times New Roman"/>
          <w:color w:val="0F243E" w:themeColor="text2" w:themeShade="80"/>
          <w:sz w:val="26"/>
          <w:szCs w:val="26"/>
        </w:rPr>
        <w:t>. D’altro canto, sembra comune a tutte le LG una finalità di</w:t>
      </w:r>
      <w:r w:rsidR="00D202AE">
        <w:rPr>
          <w:rFonts w:ascii="Times New Roman" w:hAnsi="Times New Roman"/>
          <w:color w:val="0F243E" w:themeColor="text2" w:themeShade="80"/>
          <w:sz w:val="26"/>
          <w:szCs w:val="26"/>
        </w:rPr>
        <w:t xml:space="preserve"> generale ausilio delle attività delle stazioni appalante</w:t>
      </w:r>
      <w:r w:rsidR="007E15AF" w:rsidRPr="002360E5">
        <w:rPr>
          <w:rFonts w:ascii="Times New Roman" w:hAnsi="Times New Roman"/>
          <w:color w:val="0F243E" w:themeColor="text2" w:themeShade="80"/>
          <w:sz w:val="26"/>
          <w:szCs w:val="26"/>
        </w:rPr>
        <w:t xml:space="preserve">. </w:t>
      </w:r>
    </w:p>
    <w:p w:rsidR="007E15AF" w:rsidRPr="002360E5" w:rsidRDefault="007E15AF"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Semmai, l’e</w:t>
      </w:r>
      <w:r w:rsidR="006243DD" w:rsidRPr="002360E5">
        <w:rPr>
          <w:rFonts w:ascii="Times New Roman" w:hAnsi="Times New Roman"/>
          <w:color w:val="0F243E" w:themeColor="text2" w:themeShade="80"/>
          <w:sz w:val="26"/>
          <w:szCs w:val="26"/>
        </w:rPr>
        <w:t>s</w:t>
      </w:r>
      <w:r w:rsidRPr="002360E5">
        <w:rPr>
          <w:rFonts w:ascii="Times New Roman" w:hAnsi="Times New Roman"/>
          <w:color w:val="0F243E" w:themeColor="text2" w:themeShade="80"/>
          <w:sz w:val="26"/>
          <w:szCs w:val="26"/>
        </w:rPr>
        <w:t>pressione “</w:t>
      </w:r>
      <w:r w:rsidRPr="002360E5">
        <w:rPr>
          <w:rFonts w:ascii="Times New Roman" w:hAnsi="Times New Roman"/>
          <w:i/>
          <w:color w:val="0F243E" w:themeColor="text2" w:themeShade="80"/>
          <w:sz w:val="26"/>
          <w:szCs w:val="26"/>
        </w:rPr>
        <w:t>modalità di dettaglio</w:t>
      </w:r>
      <w:r w:rsidRPr="002360E5">
        <w:rPr>
          <w:rFonts w:ascii="Times New Roman" w:hAnsi="Times New Roman"/>
          <w:color w:val="0F243E" w:themeColor="text2" w:themeShade="80"/>
          <w:sz w:val="26"/>
          <w:szCs w:val="26"/>
        </w:rPr>
        <w:t>” potrebbe</w:t>
      </w:r>
      <w:r w:rsidR="00D202AE">
        <w:rPr>
          <w:rFonts w:ascii="Times New Roman" w:hAnsi="Times New Roman"/>
          <w:color w:val="0F243E" w:themeColor="text2" w:themeShade="80"/>
          <w:sz w:val="26"/>
          <w:szCs w:val="26"/>
        </w:rPr>
        <w:t xml:space="preserve"> far pensare all’adozione di</w:t>
      </w:r>
      <w:r w:rsidR="006243DD" w:rsidRPr="002360E5">
        <w:rPr>
          <w:rFonts w:ascii="Times New Roman" w:hAnsi="Times New Roman"/>
          <w:color w:val="0F243E" w:themeColor="text2" w:themeShade="80"/>
          <w:sz w:val="26"/>
          <w:szCs w:val="26"/>
        </w:rPr>
        <w:t xml:space="preserve"> una disciplina di carattere attuativo</w:t>
      </w:r>
      <w:r w:rsidR="00BC0944">
        <w:rPr>
          <w:rFonts w:ascii="Times New Roman" w:hAnsi="Times New Roman"/>
          <w:color w:val="0F243E" w:themeColor="text2" w:themeShade="80"/>
          <w:sz w:val="26"/>
          <w:szCs w:val="26"/>
        </w:rPr>
        <w:t xml:space="preserve"> delle disposizioni di rango legislativo</w:t>
      </w:r>
      <w:r w:rsidR="006243DD" w:rsidRPr="002360E5">
        <w:rPr>
          <w:rFonts w:ascii="Times New Roman" w:hAnsi="Times New Roman"/>
          <w:color w:val="0F243E" w:themeColor="text2" w:themeShade="80"/>
          <w:sz w:val="26"/>
          <w:szCs w:val="26"/>
        </w:rPr>
        <w:t>.</w:t>
      </w:r>
    </w:p>
    <w:p w:rsidR="006243DD" w:rsidRPr="002360E5" w:rsidRDefault="006243D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A stretto rigore</w:t>
      </w:r>
      <w:r w:rsidR="001456BC" w:rsidRPr="002360E5">
        <w:rPr>
          <w:rFonts w:ascii="Times New Roman" w:hAnsi="Times New Roman"/>
          <w:color w:val="0F243E" w:themeColor="text2" w:themeShade="80"/>
          <w:sz w:val="26"/>
          <w:szCs w:val="26"/>
        </w:rPr>
        <w:t xml:space="preserve">, poi, la norma primaria distingue </w:t>
      </w:r>
      <w:r w:rsidR="00942885">
        <w:rPr>
          <w:rFonts w:ascii="Times New Roman" w:hAnsi="Times New Roman"/>
          <w:color w:val="0F243E" w:themeColor="text2" w:themeShade="80"/>
          <w:sz w:val="26"/>
          <w:szCs w:val="26"/>
        </w:rPr>
        <w:t xml:space="preserve">molteplici </w:t>
      </w:r>
      <w:r w:rsidR="001456BC" w:rsidRPr="002360E5">
        <w:rPr>
          <w:rFonts w:ascii="Times New Roman" w:hAnsi="Times New Roman"/>
          <w:color w:val="0F243E" w:themeColor="text2" w:themeShade="80"/>
          <w:sz w:val="26"/>
          <w:szCs w:val="26"/>
        </w:rPr>
        <w:t>contenuti diversi delle</w:t>
      </w:r>
      <w:r w:rsidR="00BC0944">
        <w:rPr>
          <w:rFonts w:ascii="Times New Roman" w:hAnsi="Times New Roman"/>
          <w:color w:val="0F243E" w:themeColor="text2" w:themeShade="80"/>
          <w:sz w:val="26"/>
          <w:szCs w:val="26"/>
        </w:rPr>
        <w:t xml:space="preserve"> emanande</w:t>
      </w:r>
      <w:r w:rsidR="001456BC" w:rsidRPr="002360E5">
        <w:rPr>
          <w:rFonts w:ascii="Times New Roman" w:hAnsi="Times New Roman"/>
          <w:color w:val="0F243E" w:themeColor="text2" w:themeShade="80"/>
          <w:sz w:val="26"/>
          <w:szCs w:val="26"/>
        </w:rPr>
        <w:t xml:space="preserve"> LG:</w:t>
      </w:r>
    </w:p>
    <w:p w:rsidR="001456BC" w:rsidRPr="002360E5" w:rsidRDefault="005D6566"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una </w:t>
      </w:r>
      <w:r w:rsidR="001456BC" w:rsidRPr="002360E5">
        <w:rPr>
          <w:rFonts w:ascii="Times New Roman" w:hAnsi="Times New Roman"/>
          <w:color w:val="0F243E" w:themeColor="text2" w:themeShade="80"/>
          <w:sz w:val="26"/>
          <w:szCs w:val="26"/>
        </w:rPr>
        <w:t xml:space="preserve">generica funzione di </w:t>
      </w:r>
      <w:r w:rsidR="001456BC" w:rsidRPr="00624B5A">
        <w:rPr>
          <w:rFonts w:ascii="Times New Roman" w:hAnsi="Times New Roman"/>
          <w:i/>
          <w:color w:val="0F243E" w:themeColor="text2" w:themeShade="80"/>
          <w:sz w:val="26"/>
          <w:szCs w:val="26"/>
        </w:rPr>
        <w:t>supporto</w:t>
      </w:r>
      <w:r w:rsidR="001456BC" w:rsidRPr="002360E5">
        <w:rPr>
          <w:rFonts w:ascii="Times New Roman" w:hAnsi="Times New Roman"/>
          <w:color w:val="0F243E" w:themeColor="text2" w:themeShade="80"/>
          <w:sz w:val="26"/>
          <w:szCs w:val="26"/>
        </w:rPr>
        <w:t xml:space="preserve"> alle stazioni appaltanti;</w:t>
      </w:r>
    </w:p>
    <w:p w:rsidR="005D6566" w:rsidRPr="002360E5" w:rsidRDefault="00581452"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 formazione e </w:t>
      </w:r>
      <w:r w:rsidR="00942885">
        <w:rPr>
          <w:rFonts w:ascii="Times New Roman" w:hAnsi="Times New Roman"/>
          <w:color w:val="0F243E" w:themeColor="text2" w:themeShade="80"/>
          <w:sz w:val="26"/>
          <w:szCs w:val="26"/>
        </w:rPr>
        <w:t xml:space="preserve">la </w:t>
      </w:r>
      <w:r w:rsidRPr="002360E5">
        <w:rPr>
          <w:rFonts w:ascii="Times New Roman" w:hAnsi="Times New Roman"/>
          <w:color w:val="0F243E" w:themeColor="text2" w:themeShade="80"/>
          <w:sz w:val="26"/>
          <w:szCs w:val="26"/>
        </w:rPr>
        <w:t>gestione degli elenchi degli operatori economici</w:t>
      </w:r>
      <w:r w:rsidR="005D6566" w:rsidRPr="002360E5">
        <w:rPr>
          <w:rFonts w:ascii="Times New Roman" w:hAnsi="Times New Roman"/>
          <w:color w:val="0F243E" w:themeColor="text2" w:themeShade="80"/>
          <w:sz w:val="26"/>
          <w:szCs w:val="26"/>
        </w:rPr>
        <w:t>;</w:t>
      </w:r>
    </w:p>
    <w:p w:rsidR="00942885" w:rsidRDefault="005D6566"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le </w:t>
      </w:r>
      <w:r w:rsidR="00581452" w:rsidRPr="002360E5">
        <w:rPr>
          <w:rFonts w:ascii="Times New Roman" w:hAnsi="Times New Roman"/>
          <w:color w:val="0F243E" w:themeColor="text2" w:themeShade="80"/>
          <w:sz w:val="26"/>
          <w:szCs w:val="26"/>
        </w:rPr>
        <w:t>specifiche modalità di rotazione degli inviti e degli affidamenti</w:t>
      </w:r>
      <w:r w:rsidRPr="002360E5">
        <w:rPr>
          <w:rFonts w:ascii="Times New Roman" w:hAnsi="Times New Roman"/>
          <w:color w:val="0F243E" w:themeColor="text2" w:themeShade="80"/>
          <w:sz w:val="26"/>
          <w:szCs w:val="26"/>
        </w:rPr>
        <w:t>;</w:t>
      </w:r>
    </w:p>
    <w:p w:rsidR="00942885" w:rsidRDefault="00942885"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le </w:t>
      </w:r>
      <w:r w:rsidRPr="002360E5">
        <w:rPr>
          <w:rFonts w:ascii="Times New Roman" w:hAnsi="Times New Roman"/>
          <w:color w:val="0F243E" w:themeColor="text2" w:themeShade="80"/>
          <w:sz w:val="26"/>
          <w:szCs w:val="26"/>
        </w:rPr>
        <w:t>modalità</w:t>
      </w:r>
      <w:r w:rsidR="005D6566" w:rsidRPr="002360E5">
        <w:rPr>
          <w:rFonts w:ascii="Times New Roman" w:hAnsi="Times New Roman"/>
          <w:color w:val="0F243E" w:themeColor="text2" w:themeShade="80"/>
          <w:sz w:val="26"/>
          <w:szCs w:val="26"/>
        </w:rPr>
        <w:t xml:space="preserve"> </w:t>
      </w:r>
      <w:r w:rsidR="00581452" w:rsidRPr="002360E5">
        <w:rPr>
          <w:rFonts w:ascii="Times New Roman" w:hAnsi="Times New Roman"/>
          <w:color w:val="0F243E" w:themeColor="text2" w:themeShade="80"/>
          <w:sz w:val="26"/>
          <w:szCs w:val="26"/>
        </w:rPr>
        <w:t>di attuazione delle verifiche sull'affidatario scelto senza svolgimento di procedura negoziata</w:t>
      </w:r>
      <w:r>
        <w:rPr>
          <w:rFonts w:ascii="Times New Roman" w:hAnsi="Times New Roman"/>
          <w:color w:val="0F243E" w:themeColor="text2" w:themeShade="80"/>
          <w:sz w:val="26"/>
          <w:szCs w:val="26"/>
        </w:rPr>
        <w:t>;</w:t>
      </w:r>
    </w:p>
    <w:p w:rsidR="001456BC" w:rsidRPr="002360E5" w:rsidRDefault="00942885" w:rsidP="00596E5E">
      <w:pPr>
        <w:pStyle w:val="Paragrafoelenco"/>
        <w:numPr>
          <w:ilvl w:val="0"/>
          <w:numId w:val="15"/>
        </w:numPr>
        <w:tabs>
          <w:tab w:val="left" w:pos="0"/>
        </w:tabs>
        <w:ind w:left="0" w:firstLine="709"/>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le </w:t>
      </w:r>
      <w:r w:rsidRPr="002360E5">
        <w:rPr>
          <w:rFonts w:ascii="Times New Roman" w:hAnsi="Times New Roman"/>
          <w:color w:val="0F243E" w:themeColor="text2" w:themeShade="80"/>
          <w:sz w:val="26"/>
          <w:szCs w:val="26"/>
        </w:rPr>
        <w:t xml:space="preserve">modalità </w:t>
      </w:r>
      <w:r w:rsidR="00581452" w:rsidRPr="002360E5">
        <w:rPr>
          <w:rFonts w:ascii="Times New Roman" w:hAnsi="Times New Roman"/>
          <w:color w:val="0F243E" w:themeColor="text2" w:themeShade="80"/>
          <w:sz w:val="26"/>
          <w:szCs w:val="26"/>
        </w:rPr>
        <w:t>di effettuazione degli inviti quando la stazione appaltante intenda avvalersi della facoltà di esclusione delle offerte anomale.</w:t>
      </w:r>
    </w:p>
    <w:p w:rsidR="00811A49" w:rsidRPr="002360E5" w:rsidRDefault="005D6566"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Solo il primo contenuto</w:t>
      </w:r>
      <w:r w:rsidR="00624B5A">
        <w:rPr>
          <w:rFonts w:ascii="Times New Roman" w:hAnsi="Times New Roman"/>
          <w:color w:val="0F243E" w:themeColor="text2" w:themeShade="80"/>
          <w:sz w:val="26"/>
          <w:szCs w:val="26"/>
        </w:rPr>
        <w:t>, per la sua genericità,</w:t>
      </w:r>
      <w:r w:rsidRPr="002360E5">
        <w:rPr>
          <w:rFonts w:ascii="Times New Roman" w:hAnsi="Times New Roman"/>
          <w:color w:val="0F243E" w:themeColor="text2" w:themeShade="80"/>
          <w:sz w:val="26"/>
          <w:szCs w:val="26"/>
        </w:rPr>
        <w:t xml:space="preserve"> </w:t>
      </w:r>
      <w:r w:rsidR="00811A49" w:rsidRPr="002360E5">
        <w:rPr>
          <w:rFonts w:ascii="Times New Roman" w:hAnsi="Times New Roman"/>
          <w:color w:val="0F243E" w:themeColor="text2" w:themeShade="80"/>
          <w:sz w:val="26"/>
          <w:szCs w:val="26"/>
        </w:rPr>
        <w:t xml:space="preserve">potrebbe </w:t>
      </w:r>
      <w:r w:rsidRPr="002360E5">
        <w:rPr>
          <w:rFonts w:ascii="Times New Roman" w:hAnsi="Times New Roman"/>
          <w:color w:val="0F243E" w:themeColor="text2" w:themeShade="80"/>
          <w:sz w:val="26"/>
          <w:szCs w:val="26"/>
        </w:rPr>
        <w:t>appar</w:t>
      </w:r>
      <w:r w:rsidR="00811A49" w:rsidRPr="002360E5">
        <w:rPr>
          <w:rFonts w:ascii="Times New Roman" w:hAnsi="Times New Roman"/>
          <w:color w:val="0F243E" w:themeColor="text2" w:themeShade="80"/>
          <w:sz w:val="26"/>
          <w:szCs w:val="26"/>
        </w:rPr>
        <w:t>ir</w:t>
      </w:r>
      <w:r w:rsidRPr="002360E5">
        <w:rPr>
          <w:rFonts w:ascii="Times New Roman" w:hAnsi="Times New Roman"/>
          <w:color w:val="0F243E" w:themeColor="text2" w:themeShade="80"/>
          <w:sz w:val="26"/>
          <w:szCs w:val="26"/>
        </w:rPr>
        <w:t xml:space="preserve">e </w:t>
      </w:r>
      <w:r w:rsidR="00811A49" w:rsidRPr="002360E5">
        <w:rPr>
          <w:rFonts w:ascii="Times New Roman" w:hAnsi="Times New Roman"/>
          <w:color w:val="0F243E" w:themeColor="text2" w:themeShade="80"/>
          <w:sz w:val="26"/>
          <w:szCs w:val="26"/>
        </w:rPr>
        <w:t xml:space="preserve">di carattere non vincolante, mentre </w:t>
      </w:r>
      <w:r w:rsidR="00624B5A">
        <w:rPr>
          <w:rFonts w:ascii="Times New Roman" w:hAnsi="Times New Roman"/>
          <w:color w:val="0F243E" w:themeColor="text2" w:themeShade="80"/>
          <w:sz w:val="26"/>
          <w:szCs w:val="26"/>
        </w:rPr>
        <w:t xml:space="preserve">tutti gli </w:t>
      </w:r>
      <w:r w:rsidR="00811A49" w:rsidRPr="002360E5">
        <w:rPr>
          <w:rFonts w:ascii="Times New Roman" w:hAnsi="Times New Roman"/>
          <w:color w:val="0F243E" w:themeColor="text2" w:themeShade="80"/>
          <w:sz w:val="26"/>
          <w:szCs w:val="26"/>
        </w:rPr>
        <w:t>altr</w:t>
      </w:r>
      <w:r w:rsidR="00624B5A">
        <w:rPr>
          <w:rFonts w:ascii="Times New Roman" w:hAnsi="Times New Roman"/>
          <w:color w:val="0F243E" w:themeColor="text2" w:themeShade="80"/>
          <w:sz w:val="26"/>
          <w:szCs w:val="26"/>
        </w:rPr>
        <w:t>i</w:t>
      </w:r>
      <w:r w:rsidR="00811A49" w:rsidRPr="002360E5">
        <w:rPr>
          <w:rFonts w:ascii="Times New Roman" w:hAnsi="Times New Roman"/>
          <w:color w:val="0F243E" w:themeColor="text2" w:themeShade="80"/>
          <w:sz w:val="26"/>
          <w:szCs w:val="26"/>
        </w:rPr>
        <w:t xml:space="preserve"> sembrano assumere connotati materialmente regolamentari.</w:t>
      </w:r>
    </w:p>
    <w:p w:rsidR="00811A49" w:rsidRDefault="00811A49"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In ogni caso, l’asserita natura non normativa e non vincolante non riesce a spiegare la previsione del periodo finale</w:t>
      </w:r>
      <w:r w:rsidR="00BC0944">
        <w:rPr>
          <w:rFonts w:ascii="Times New Roman" w:hAnsi="Times New Roman"/>
          <w:color w:val="0F243E" w:themeColor="text2" w:themeShade="80"/>
          <w:sz w:val="26"/>
          <w:szCs w:val="26"/>
        </w:rPr>
        <w:t>,</w:t>
      </w:r>
      <w:r w:rsidRPr="002360E5">
        <w:rPr>
          <w:rFonts w:ascii="Times New Roman" w:hAnsi="Times New Roman"/>
          <w:color w:val="0F243E" w:themeColor="text2" w:themeShade="80"/>
          <w:sz w:val="26"/>
          <w:szCs w:val="26"/>
        </w:rPr>
        <w:t xml:space="preserve"> che fa riferimento all’applicazione della disciplina transitoria</w:t>
      </w:r>
      <w:r w:rsidR="00BC5A2F">
        <w:rPr>
          <w:rFonts w:ascii="Times New Roman" w:hAnsi="Times New Roman"/>
          <w:color w:val="0F243E" w:themeColor="text2" w:themeShade="80"/>
          <w:sz w:val="26"/>
          <w:szCs w:val="26"/>
        </w:rPr>
        <w:t xml:space="preserve"> legislativa</w:t>
      </w:r>
      <w:r w:rsidRPr="002360E5">
        <w:rPr>
          <w:rFonts w:ascii="Times New Roman" w:hAnsi="Times New Roman"/>
          <w:color w:val="0F243E" w:themeColor="text2" w:themeShade="80"/>
          <w:sz w:val="26"/>
          <w:szCs w:val="26"/>
        </w:rPr>
        <w:t>, fino all’entrata in vigore delle LG.</w:t>
      </w:r>
    </w:p>
    <w:p w:rsidR="00BC5A2F" w:rsidRPr="002360E5" w:rsidRDefault="00BC5A2F"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 tale cornice, le LG in parola, determinando un vero e proprio effetto delegificante</w:t>
      </w:r>
      <w:r w:rsidR="00934EEB">
        <w:rPr>
          <w:rFonts w:ascii="Times New Roman" w:hAnsi="Times New Roman"/>
          <w:color w:val="0F243E" w:themeColor="text2" w:themeShade="80"/>
          <w:sz w:val="26"/>
          <w:szCs w:val="26"/>
        </w:rPr>
        <w:t>, devono avere inevitabilmente natura normativa.</w:t>
      </w:r>
    </w:p>
    <w:p w:rsidR="0032727A" w:rsidRDefault="00624B5A"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Non senza contraddizione, poi, la stessa ANAC invita </w:t>
      </w:r>
      <w:r w:rsidR="00EE799A">
        <w:rPr>
          <w:rFonts w:ascii="Times New Roman" w:hAnsi="Times New Roman"/>
          <w:color w:val="0F243E" w:themeColor="text2" w:themeShade="80"/>
          <w:sz w:val="26"/>
          <w:szCs w:val="26"/>
        </w:rPr>
        <w:t>le stazioni appaltanti ad adottare appositi regolamenti attuativi</w:t>
      </w:r>
      <w:r w:rsidR="00E603C1">
        <w:rPr>
          <w:rFonts w:ascii="Times New Roman" w:hAnsi="Times New Roman"/>
          <w:color w:val="0F243E" w:themeColor="text2" w:themeShade="80"/>
          <w:sz w:val="26"/>
          <w:szCs w:val="26"/>
        </w:rPr>
        <w:t>, riconoscendo l’esigenza di una disciplina di chiusura delle previsioni contenute nell’art. 36.</w:t>
      </w:r>
    </w:p>
    <w:p w:rsidR="0060410C" w:rsidRDefault="0060410C" w:rsidP="00596E5E">
      <w:pPr>
        <w:pStyle w:val="Paragrafoelenco"/>
        <w:tabs>
          <w:tab w:val="left" w:pos="0"/>
        </w:tabs>
        <w:ind w:left="0"/>
        <w:rPr>
          <w:rFonts w:ascii="Times New Roman" w:hAnsi="Times New Roman"/>
          <w:color w:val="0F243E" w:themeColor="text2" w:themeShade="80"/>
          <w:sz w:val="26"/>
          <w:szCs w:val="26"/>
        </w:rPr>
      </w:pPr>
    </w:p>
    <w:p w:rsidR="00B26347" w:rsidRPr="002360E5" w:rsidRDefault="00B26347" w:rsidP="00B26347">
      <w:pPr>
        <w:numPr>
          <w:ilvl w:val="0"/>
          <w:numId w:val="1"/>
        </w:numPr>
        <w:tabs>
          <w:tab w:val="left" w:pos="0"/>
        </w:tabs>
        <w:ind w:left="0" w:firstLine="709"/>
        <w:rPr>
          <w:rFonts w:ascii="Times New Roman" w:hAnsi="Times New Roman"/>
          <w:b/>
          <w:smallCaps/>
          <w:color w:val="0F243E" w:themeColor="text2" w:themeShade="80"/>
          <w:sz w:val="26"/>
          <w:szCs w:val="26"/>
        </w:rPr>
      </w:pPr>
      <w:r>
        <w:rPr>
          <w:rFonts w:ascii="Times New Roman" w:hAnsi="Times New Roman"/>
          <w:b/>
          <w:smallCaps/>
          <w:color w:val="0F243E" w:themeColor="text2" w:themeShade="80"/>
          <w:sz w:val="26"/>
          <w:szCs w:val="26"/>
        </w:rPr>
        <w:t>Il ruolo effettivo della nozione di regolazione flessibile nel sistema delle fonti.</w:t>
      </w:r>
    </w:p>
    <w:p w:rsidR="00830E10" w:rsidRDefault="00830E10" w:rsidP="003471A0">
      <w:pPr>
        <w:pStyle w:val="Paragrafoelenco"/>
        <w:tabs>
          <w:tab w:val="left" w:pos="0"/>
        </w:tabs>
        <w:ind w:left="0"/>
        <w:rPr>
          <w:rFonts w:ascii="Times New Roman" w:hAnsi="Times New Roman"/>
          <w:color w:val="0F243E" w:themeColor="text2" w:themeShade="80"/>
          <w:sz w:val="26"/>
          <w:szCs w:val="26"/>
        </w:rPr>
      </w:pPr>
      <w:r w:rsidRPr="00830E10">
        <w:rPr>
          <w:rFonts w:ascii="Times New Roman" w:hAnsi="Times New Roman"/>
          <w:color w:val="0F243E" w:themeColor="text2" w:themeShade="80"/>
          <w:sz w:val="26"/>
          <w:szCs w:val="26"/>
        </w:rPr>
        <w:t>Ci si deve chiedere, allora, a questo punto se, nel complessivo sistema del codice, la nozione unitaria di “</w:t>
      </w:r>
      <w:r w:rsidRPr="00832155">
        <w:rPr>
          <w:rFonts w:ascii="Times New Roman" w:hAnsi="Times New Roman"/>
          <w:i/>
          <w:color w:val="0F243E" w:themeColor="text2" w:themeShade="80"/>
          <w:sz w:val="26"/>
          <w:szCs w:val="26"/>
        </w:rPr>
        <w:t>regolazione flessibile</w:t>
      </w:r>
      <w:r w:rsidRPr="00830E10">
        <w:rPr>
          <w:rFonts w:ascii="Times New Roman" w:hAnsi="Times New Roman"/>
          <w:color w:val="0F243E" w:themeColor="text2" w:themeShade="80"/>
          <w:sz w:val="26"/>
          <w:szCs w:val="26"/>
        </w:rPr>
        <w:t>” abbia un concreto rilievo.</w:t>
      </w:r>
    </w:p>
    <w:p w:rsidR="00D46DBD" w:rsidRPr="002360E5" w:rsidRDefault="00BF1DFC" w:rsidP="003471A0">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 </w:t>
      </w:r>
      <w:r w:rsidR="00D46DBD" w:rsidRPr="002360E5">
        <w:rPr>
          <w:rFonts w:ascii="Times New Roman" w:hAnsi="Times New Roman"/>
          <w:color w:val="0F243E" w:themeColor="text2" w:themeShade="80"/>
          <w:sz w:val="26"/>
          <w:szCs w:val="26"/>
        </w:rPr>
        <w:t>nota della “</w:t>
      </w:r>
      <w:r w:rsidR="00D46DBD" w:rsidRPr="002360E5">
        <w:rPr>
          <w:rFonts w:ascii="Times New Roman" w:hAnsi="Times New Roman"/>
          <w:b/>
          <w:i/>
          <w:color w:val="0F243E" w:themeColor="text2" w:themeShade="80"/>
          <w:sz w:val="26"/>
          <w:szCs w:val="26"/>
        </w:rPr>
        <w:t>flessibilità</w:t>
      </w:r>
      <w:r w:rsidR="00D46DBD" w:rsidRPr="002360E5">
        <w:rPr>
          <w:rFonts w:ascii="Times New Roman" w:hAnsi="Times New Roman"/>
          <w:color w:val="0F243E" w:themeColor="text2" w:themeShade="80"/>
          <w:sz w:val="26"/>
          <w:szCs w:val="26"/>
        </w:rPr>
        <w:t xml:space="preserve">” </w:t>
      </w:r>
      <w:r>
        <w:rPr>
          <w:rFonts w:ascii="Times New Roman" w:hAnsi="Times New Roman"/>
          <w:color w:val="0F243E" w:themeColor="text2" w:themeShade="80"/>
          <w:sz w:val="26"/>
          <w:szCs w:val="26"/>
        </w:rPr>
        <w:t xml:space="preserve">sembra voler </w:t>
      </w:r>
      <w:r w:rsidR="00D46DBD" w:rsidRPr="002360E5">
        <w:rPr>
          <w:rFonts w:ascii="Times New Roman" w:hAnsi="Times New Roman"/>
          <w:color w:val="0F243E" w:themeColor="text2" w:themeShade="80"/>
          <w:sz w:val="26"/>
          <w:szCs w:val="26"/>
        </w:rPr>
        <w:t>introdu</w:t>
      </w:r>
      <w:r>
        <w:rPr>
          <w:rFonts w:ascii="Times New Roman" w:hAnsi="Times New Roman"/>
          <w:color w:val="0F243E" w:themeColor="text2" w:themeShade="80"/>
          <w:sz w:val="26"/>
          <w:szCs w:val="26"/>
        </w:rPr>
        <w:t>rre</w:t>
      </w:r>
      <w:r w:rsidR="00D46DBD" w:rsidRPr="002360E5">
        <w:rPr>
          <w:rFonts w:ascii="Times New Roman" w:hAnsi="Times New Roman"/>
          <w:color w:val="0F243E" w:themeColor="text2" w:themeShade="80"/>
          <w:sz w:val="26"/>
          <w:szCs w:val="26"/>
        </w:rPr>
        <w:t xml:space="preserve"> una contraddittoria </w:t>
      </w:r>
      <w:r w:rsidR="00D46DBD" w:rsidRPr="002360E5">
        <w:rPr>
          <w:rFonts w:ascii="Times New Roman" w:hAnsi="Times New Roman"/>
          <w:i/>
          <w:color w:val="0F243E" w:themeColor="text2" w:themeShade="80"/>
          <w:sz w:val="26"/>
          <w:szCs w:val="26"/>
        </w:rPr>
        <w:t>attenuazione</w:t>
      </w:r>
      <w:r w:rsidR="00D46DBD" w:rsidRPr="002360E5">
        <w:rPr>
          <w:rFonts w:ascii="Times New Roman" w:hAnsi="Times New Roman"/>
          <w:color w:val="0F243E" w:themeColor="text2" w:themeShade="80"/>
          <w:sz w:val="26"/>
          <w:szCs w:val="26"/>
        </w:rPr>
        <w:t xml:space="preserve"> della </w:t>
      </w:r>
      <w:r w:rsidR="00D46DBD" w:rsidRPr="002360E5">
        <w:rPr>
          <w:rFonts w:ascii="Times New Roman" w:hAnsi="Times New Roman"/>
          <w:b/>
          <w:color w:val="0F243E" w:themeColor="text2" w:themeShade="80"/>
          <w:sz w:val="26"/>
          <w:szCs w:val="26"/>
        </w:rPr>
        <w:t>imperatività</w:t>
      </w:r>
      <w:r w:rsidR="00D46DBD" w:rsidRPr="002360E5">
        <w:rPr>
          <w:rFonts w:ascii="Times New Roman" w:hAnsi="Times New Roman"/>
          <w:color w:val="0F243E" w:themeColor="text2" w:themeShade="80"/>
          <w:sz w:val="26"/>
          <w:szCs w:val="26"/>
        </w:rPr>
        <w:t xml:space="preserve"> propria del regolamento, addirittura inconciliabile con la stessa </w:t>
      </w:r>
      <w:r w:rsidR="00D46DBD" w:rsidRPr="002360E5">
        <w:rPr>
          <w:rFonts w:ascii="Times New Roman" w:hAnsi="Times New Roman"/>
          <w:i/>
          <w:color w:val="0F243E" w:themeColor="text2" w:themeShade="80"/>
          <w:sz w:val="26"/>
          <w:szCs w:val="26"/>
        </w:rPr>
        <w:t>natura normativa</w:t>
      </w:r>
      <w:r w:rsidR="00D46DBD" w:rsidRPr="002360E5">
        <w:rPr>
          <w:rFonts w:ascii="Times New Roman" w:hAnsi="Times New Roman"/>
          <w:color w:val="0F243E" w:themeColor="text2" w:themeShade="80"/>
          <w:sz w:val="26"/>
          <w:szCs w:val="26"/>
        </w:rPr>
        <w:t xml:space="preserve"> dell’atto e alla nota caratteristica della sua </w:t>
      </w:r>
      <w:r w:rsidR="00D46DBD" w:rsidRPr="002360E5">
        <w:rPr>
          <w:rFonts w:ascii="Times New Roman" w:hAnsi="Times New Roman"/>
          <w:i/>
          <w:color w:val="0F243E" w:themeColor="text2" w:themeShade="80"/>
          <w:sz w:val="26"/>
          <w:szCs w:val="26"/>
        </w:rPr>
        <w:t>stabilità</w:t>
      </w:r>
      <w:r w:rsidR="00D46DBD" w:rsidRPr="002360E5">
        <w:rPr>
          <w:rFonts w:ascii="Times New Roman" w:hAnsi="Times New Roman"/>
          <w:color w:val="0F243E" w:themeColor="text2" w:themeShade="80"/>
          <w:sz w:val="26"/>
          <w:szCs w:val="26"/>
        </w:rPr>
        <w:t>.</w:t>
      </w:r>
      <w:r w:rsidR="00190575" w:rsidRPr="002360E5">
        <w:rPr>
          <w:rFonts w:ascii="Times New Roman" w:hAnsi="Times New Roman"/>
          <w:color w:val="0F243E" w:themeColor="text2" w:themeShade="80"/>
          <w:sz w:val="26"/>
          <w:szCs w:val="26"/>
        </w:rPr>
        <w:t xml:space="preserve"> </w:t>
      </w:r>
      <w:r w:rsidR="003471A0">
        <w:rPr>
          <w:rFonts w:ascii="Times New Roman" w:hAnsi="Times New Roman"/>
          <w:color w:val="0F243E" w:themeColor="text2" w:themeShade="80"/>
          <w:sz w:val="26"/>
          <w:szCs w:val="26"/>
        </w:rPr>
        <w:t>La “duttilità”, al contrario, appare pienamente compatibile con la fisionomi</w:t>
      </w:r>
      <w:r w:rsidR="00190575" w:rsidRPr="002360E5">
        <w:rPr>
          <w:rFonts w:ascii="Times New Roman" w:hAnsi="Times New Roman"/>
          <w:color w:val="0F243E" w:themeColor="text2" w:themeShade="80"/>
          <w:sz w:val="26"/>
          <w:szCs w:val="26"/>
        </w:rPr>
        <w:t>a giuridica degli atti generali</w:t>
      </w:r>
      <w:r w:rsidR="003471A0">
        <w:rPr>
          <w:rFonts w:ascii="Times New Roman" w:hAnsi="Times New Roman"/>
          <w:color w:val="0F243E" w:themeColor="text2" w:themeShade="80"/>
          <w:sz w:val="26"/>
          <w:szCs w:val="26"/>
        </w:rPr>
        <w:t xml:space="preserve"> non normativi</w:t>
      </w:r>
      <w:r w:rsidR="00190575" w:rsidRPr="002360E5">
        <w:rPr>
          <w:rFonts w:ascii="Times New Roman" w:hAnsi="Times New Roman"/>
          <w:color w:val="0F243E" w:themeColor="text2" w:themeShade="80"/>
          <w:sz w:val="26"/>
          <w:szCs w:val="26"/>
        </w:rPr>
        <w:t>.</w:t>
      </w:r>
    </w:p>
    <w:p w:rsidR="009B0E05" w:rsidRDefault="00AB7BA8"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L</w:t>
      </w:r>
      <w:r w:rsidR="00D46DBD" w:rsidRPr="002360E5">
        <w:rPr>
          <w:rFonts w:ascii="Times New Roman" w:hAnsi="Times New Roman"/>
          <w:color w:val="0F243E" w:themeColor="text2" w:themeShade="80"/>
          <w:sz w:val="26"/>
          <w:szCs w:val="26"/>
        </w:rPr>
        <w:t>’aggettivo “</w:t>
      </w:r>
      <w:r w:rsidR="00D46DBD" w:rsidRPr="002360E5">
        <w:rPr>
          <w:rFonts w:ascii="Times New Roman" w:hAnsi="Times New Roman"/>
          <w:b/>
          <w:i/>
          <w:color w:val="0F243E" w:themeColor="text2" w:themeShade="80"/>
          <w:sz w:val="26"/>
          <w:szCs w:val="26"/>
        </w:rPr>
        <w:t>flessibile</w:t>
      </w:r>
      <w:r w:rsidR="00D46DBD" w:rsidRPr="002360E5">
        <w:rPr>
          <w:rFonts w:ascii="Times New Roman" w:hAnsi="Times New Roman"/>
          <w:color w:val="0F243E" w:themeColor="text2" w:themeShade="80"/>
          <w:sz w:val="26"/>
          <w:szCs w:val="26"/>
        </w:rPr>
        <w:t>”</w:t>
      </w:r>
      <w:r>
        <w:rPr>
          <w:rFonts w:ascii="Times New Roman" w:hAnsi="Times New Roman"/>
          <w:color w:val="0F243E" w:themeColor="text2" w:themeShade="80"/>
          <w:sz w:val="26"/>
          <w:szCs w:val="26"/>
        </w:rPr>
        <w:t xml:space="preserve"> è usato in molti significati, per descrivere distinti aspetti </w:t>
      </w:r>
      <w:r w:rsidR="009B0E05">
        <w:rPr>
          <w:rFonts w:ascii="Times New Roman" w:hAnsi="Times New Roman"/>
          <w:color w:val="0F243E" w:themeColor="text2" w:themeShade="80"/>
          <w:sz w:val="26"/>
          <w:szCs w:val="26"/>
        </w:rPr>
        <w:t>della norma giuridica.</w:t>
      </w:r>
    </w:p>
    <w:p w:rsidR="00D46DBD" w:rsidRPr="002360E5" w:rsidRDefault="009B0E05" w:rsidP="00722C20">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In alcuni casi si intende sottolineare la sua “facile”</w:t>
      </w:r>
      <w:r w:rsidR="00D46DBD" w:rsidRPr="002360E5">
        <w:rPr>
          <w:rFonts w:ascii="Times New Roman" w:hAnsi="Times New Roman"/>
          <w:color w:val="0F243E" w:themeColor="text2" w:themeShade="80"/>
          <w:sz w:val="26"/>
          <w:szCs w:val="26"/>
        </w:rPr>
        <w:t xml:space="preserve"> </w:t>
      </w:r>
      <w:r w:rsidR="00D46DBD" w:rsidRPr="002360E5">
        <w:rPr>
          <w:rFonts w:ascii="Times New Roman" w:hAnsi="Times New Roman"/>
          <w:b/>
          <w:i/>
          <w:color w:val="0F243E" w:themeColor="text2" w:themeShade="80"/>
          <w:sz w:val="26"/>
          <w:szCs w:val="26"/>
        </w:rPr>
        <w:t>modificabilità</w:t>
      </w:r>
      <w:r w:rsidR="00722C20">
        <w:rPr>
          <w:rFonts w:ascii="Times New Roman" w:hAnsi="Times New Roman"/>
          <w:color w:val="0F243E" w:themeColor="text2" w:themeShade="80"/>
          <w:sz w:val="26"/>
          <w:szCs w:val="26"/>
        </w:rPr>
        <w:t xml:space="preserve">: si pensi all’espressione </w:t>
      </w:r>
      <w:r w:rsidR="00D46DBD" w:rsidRPr="002360E5">
        <w:rPr>
          <w:rFonts w:ascii="Times New Roman" w:hAnsi="Times New Roman"/>
          <w:color w:val="0F243E" w:themeColor="text2" w:themeShade="80"/>
          <w:sz w:val="26"/>
          <w:szCs w:val="26"/>
        </w:rPr>
        <w:t>“</w:t>
      </w:r>
      <w:r w:rsidR="00D46DBD" w:rsidRPr="002360E5">
        <w:rPr>
          <w:rFonts w:ascii="Times New Roman" w:hAnsi="Times New Roman"/>
          <w:i/>
          <w:color w:val="0F243E" w:themeColor="text2" w:themeShade="80"/>
          <w:sz w:val="26"/>
          <w:szCs w:val="26"/>
        </w:rPr>
        <w:t>Costituzione flessibile</w:t>
      </w:r>
      <w:r w:rsidR="00D46DBD" w:rsidRPr="002360E5">
        <w:rPr>
          <w:rFonts w:ascii="Times New Roman" w:hAnsi="Times New Roman"/>
          <w:color w:val="0F243E" w:themeColor="text2" w:themeShade="80"/>
          <w:sz w:val="26"/>
          <w:szCs w:val="26"/>
        </w:rPr>
        <w:t>”</w:t>
      </w:r>
      <w:r w:rsidR="00722C20">
        <w:rPr>
          <w:rFonts w:ascii="Times New Roman" w:hAnsi="Times New Roman"/>
          <w:color w:val="0F243E" w:themeColor="text2" w:themeShade="80"/>
          <w:sz w:val="26"/>
          <w:szCs w:val="26"/>
        </w:rPr>
        <w:t xml:space="preserve">, utilizzata per </w:t>
      </w:r>
      <w:r w:rsidR="00D46DBD" w:rsidRPr="002360E5">
        <w:rPr>
          <w:rFonts w:ascii="Times New Roman" w:hAnsi="Times New Roman"/>
          <w:color w:val="0F243E" w:themeColor="text2" w:themeShade="80"/>
          <w:sz w:val="26"/>
          <w:szCs w:val="26"/>
        </w:rPr>
        <w:t>evidenziare la “</w:t>
      </w:r>
      <w:r w:rsidR="00D46DBD" w:rsidRPr="002360E5">
        <w:rPr>
          <w:rFonts w:ascii="Times New Roman" w:hAnsi="Times New Roman"/>
          <w:i/>
          <w:color w:val="0F243E" w:themeColor="text2" w:themeShade="80"/>
          <w:sz w:val="26"/>
          <w:szCs w:val="26"/>
        </w:rPr>
        <w:t>debole</w:t>
      </w:r>
      <w:r w:rsidR="00D46DBD" w:rsidRPr="002360E5">
        <w:rPr>
          <w:rFonts w:ascii="Times New Roman" w:hAnsi="Times New Roman"/>
          <w:color w:val="0F243E" w:themeColor="text2" w:themeShade="80"/>
          <w:sz w:val="26"/>
          <w:szCs w:val="26"/>
        </w:rPr>
        <w:t>” capa</w:t>
      </w:r>
      <w:r w:rsidR="00722C20">
        <w:rPr>
          <w:rFonts w:ascii="Times New Roman" w:hAnsi="Times New Roman"/>
          <w:color w:val="0F243E" w:themeColor="text2" w:themeShade="80"/>
          <w:sz w:val="26"/>
          <w:szCs w:val="26"/>
        </w:rPr>
        <w:t>cità di resistenza passiva dello Statuto albertino</w:t>
      </w:r>
      <w:r w:rsidR="00D46DBD" w:rsidRPr="002360E5">
        <w:rPr>
          <w:rFonts w:ascii="Times New Roman" w:hAnsi="Times New Roman"/>
          <w:color w:val="0F243E" w:themeColor="text2" w:themeShade="80"/>
          <w:sz w:val="26"/>
          <w:szCs w:val="26"/>
        </w:rPr>
        <w:t xml:space="preserve"> fonte, modificabile da qualsiasi legge posteriore, ancorché l</w:t>
      </w:r>
      <w:r w:rsidR="00BC4985" w:rsidRPr="002360E5">
        <w:rPr>
          <w:rFonts w:ascii="Times New Roman" w:hAnsi="Times New Roman"/>
          <w:color w:val="0F243E" w:themeColor="text2" w:themeShade="80"/>
          <w:sz w:val="26"/>
          <w:szCs w:val="26"/>
        </w:rPr>
        <w:t>a</w:t>
      </w:r>
      <w:r w:rsidR="00D46DBD" w:rsidRPr="002360E5">
        <w:rPr>
          <w:rFonts w:ascii="Times New Roman" w:hAnsi="Times New Roman"/>
          <w:color w:val="0F243E" w:themeColor="text2" w:themeShade="80"/>
          <w:sz w:val="26"/>
          <w:szCs w:val="26"/>
        </w:rPr>
        <w:t xml:space="preserve"> sua posizione sostanziale di cardine dell’ordinamento avrebbe potuto suggerire una forza di resistenza passiva molto più marcata.</w:t>
      </w:r>
    </w:p>
    <w:p w:rsidR="00D46DBD" w:rsidRPr="002360E5" w:rsidRDefault="00C804D5"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Da notare che</w:t>
      </w:r>
      <w:r w:rsidR="00D46DBD" w:rsidRPr="002360E5">
        <w:rPr>
          <w:rFonts w:ascii="Times New Roman" w:hAnsi="Times New Roman"/>
          <w:color w:val="0F243E" w:themeColor="text2" w:themeShade="80"/>
          <w:sz w:val="26"/>
          <w:szCs w:val="26"/>
        </w:rPr>
        <w:t xml:space="preserve"> la </w:t>
      </w:r>
      <w:r w:rsidR="00D46DBD" w:rsidRPr="00C804D5">
        <w:rPr>
          <w:rFonts w:ascii="Times New Roman" w:hAnsi="Times New Roman"/>
          <w:i/>
          <w:color w:val="0F243E" w:themeColor="text2" w:themeShade="80"/>
          <w:sz w:val="26"/>
          <w:szCs w:val="26"/>
        </w:rPr>
        <w:t>flessibilità</w:t>
      </w:r>
      <w:r w:rsidR="00D46DBD" w:rsidRPr="002360E5">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 xml:space="preserve">considerata </w:t>
      </w:r>
      <w:r w:rsidR="00D46DBD" w:rsidRPr="002360E5">
        <w:rPr>
          <w:rFonts w:ascii="Times New Roman" w:hAnsi="Times New Roman"/>
          <w:color w:val="0F243E" w:themeColor="text2" w:themeShade="80"/>
          <w:sz w:val="26"/>
          <w:szCs w:val="26"/>
        </w:rPr>
        <w:t>è, in questo</w:t>
      </w:r>
      <w:r>
        <w:rPr>
          <w:rFonts w:ascii="Times New Roman" w:hAnsi="Times New Roman"/>
          <w:color w:val="0F243E" w:themeColor="text2" w:themeShade="80"/>
          <w:sz w:val="26"/>
          <w:szCs w:val="26"/>
        </w:rPr>
        <w:t xml:space="preserve"> contesto</w:t>
      </w:r>
      <w:r w:rsidR="00D46DBD" w:rsidRPr="002360E5">
        <w:rPr>
          <w:rFonts w:ascii="Times New Roman" w:hAnsi="Times New Roman"/>
          <w:color w:val="0F243E" w:themeColor="text2" w:themeShade="80"/>
          <w:sz w:val="26"/>
          <w:szCs w:val="26"/>
        </w:rPr>
        <w:t xml:space="preserve">, </w:t>
      </w:r>
      <w:r w:rsidR="00D7122C">
        <w:rPr>
          <w:rFonts w:ascii="Times New Roman" w:hAnsi="Times New Roman"/>
          <w:color w:val="0F243E" w:themeColor="text2" w:themeShade="80"/>
          <w:sz w:val="26"/>
          <w:szCs w:val="26"/>
        </w:rPr>
        <w:t xml:space="preserve">del tutto </w:t>
      </w:r>
      <w:r w:rsidR="00D46DBD" w:rsidRPr="002360E5">
        <w:rPr>
          <w:rFonts w:ascii="Times New Roman" w:hAnsi="Times New Roman"/>
          <w:color w:val="0F243E" w:themeColor="text2" w:themeShade="80"/>
          <w:sz w:val="26"/>
          <w:szCs w:val="26"/>
        </w:rPr>
        <w:t>“</w:t>
      </w:r>
      <w:r w:rsidR="00D46DBD" w:rsidRPr="002360E5">
        <w:rPr>
          <w:rFonts w:ascii="Times New Roman" w:hAnsi="Times New Roman"/>
          <w:i/>
          <w:color w:val="0F243E" w:themeColor="text2" w:themeShade="80"/>
          <w:sz w:val="26"/>
          <w:szCs w:val="26"/>
        </w:rPr>
        <w:t>negativa</w:t>
      </w:r>
      <w:r w:rsidR="00D46DBD" w:rsidRPr="002360E5">
        <w:rPr>
          <w:rFonts w:ascii="Times New Roman" w:hAnsi="Times New Roman"/>
          <w:color w:val="0F243E" w:themeColor="text2" w:themeShade="80"/>
          <w:sz w:val="26"/>
          <w:szCs w:val="26"/>
        </w:rPr>
        <w:t xml:space="preserve">”, sul piano dei valori in gioco, e logicamente inadatta alla necessaria </w:t>
      </w:r>
      <w:r w:rsidR="00D46DBD" w:rsidRPr="002360E5">
        <w:rPr>
          <w:rFonts w:ascii="Times New Roman" w:hAnsi="Times New Roman"/>
          <w:i/>
          <w:color w:val="0F243E" w:themeColor="text2" w:themeShade="80"/>
          <w:sz w:val="26"/>
          <w:szCs w:val="26"/>
        </w:rPr>
        <w:t>stabilità</w:t>
      </w:r>
      <w:r w:rsidR="00D46DBD" w:rsidRPr="002360E5">
        <w:rPr>
          <w:rFonts w:ascii="Times New Roman" w:hAnsi="Times New Roman"/>
          <w:color w:val="0F243E" w:themeColor="text2" w:themeShade="80"/>
          <w:sz w:val="26"/>
          <w:szCs w:val="26"/>
        </w:rPr>
        <w:t xml:space="preserve"> della norma costituzionale, che dovrebbe condurre, semmai, alla accentuazione della sua rigidità.</w:t>
      </w:r>
    </w:p>
    <w:p w:rsidR="00D46DBD" w:rsidRPr="0096153F" w:rsidRDefault="00D46DBD" w:rsidP="006D69DB">
      <w:pPr>
        <w:tabs>
          <w:tab w:val="left" w:pos="0"/>
        </w:tabs>
        <w:rPr>
          <w:rFonts w:ascii="Times New Roman" w:hAnsi="Times New Roman"/>
          <w:color w:val="0F243E" w:themeColor="text2" w:themeShade="80"/>
          <w:sz w:val="26"/>
          <w:szCs w:val="26"/>
        </w:rPr>
      </w:pPr>
      <w:r w:rsidRPr="0096153F">
        <w:rPr>
          <w:rFonts w:ascii="Times New Roman" w:hAnsi="Times New Roman"/>
          <w:color w:val="0F243E" w:themeColor="text2" w:themeShade="80"/>
          <w:sz w:val="26"/>
          <w:szCs w:val="26"/>
        </w:rPr>
        <w:t>Non si può dimenticare, del resto, che le tendenze più recenti del legislatore nazionale (così come di quello euro</w:t>
      </w:r>
      <w:r w:rsidR="00CD28F8">
        <w:rPr>
          <w:rFonts w:ascii="Times New Roman" w:hAnsi="Times New Roman"/>
          <w:color w:val="0F243E" w:themeColor="text2" w:themeShade="80"/>
          <w:sz w:val="26"/>
          <w:szCs w:val="26"/>
        </w:rPr>
        <w:t>peo) sembra</w:t>
      </w:r>
      <w:r w:rsidRPr="0096153F">
        <w:rPr>
          <w:rFonts w:ascii="Times New Roman" w:hAnsi="Times New Roman"/>
          <w:color w:val="0F243E" w:themeColor="text2" w:themeShade="80"/>
          <w:sz w:val="26"/>
          <w:szCs w:val="26"/>
        </w:rPr>
        <w:t xml:space="preserve">no orientate, in prevalenza, a fissare la “stabilità” della normativa primaria. Questa è la finalità della discussa clausola di </w:t>
      </w:r>
      <w:r w:rsidRPr="00CD28F8">
        <w:rPr>
          <w:rFonts w:ascii="Times New Roman" w:hAnsi="Times New Roman"/>
          <w:i/>
          <w:color w:val="0F243E" w:themeColor="text2" w:themeShade="80"/>
          <w:sz w:val="26"/>
          <w:szCs w:val="26"/>
        </w:rPr>
        <w:t>inderogabilità</w:t>
      </w:r>
      <w:r w:rsidR="00CD28F8">
        <w:rPr>
          <w:rFonts w:ascii="Times New Roman" w:hAnsi="Times New Roman"/>
          <w:color w:val="0F243E" w:themeColor="text2" w:themeShade="80"/>
          <w:sz w:val="26"/>
          <w:szCs w:val="26"/>
        </w:rPr>
        <w:t>, se non con disposizione</w:t>
      </w:r>
      <w:r w:rsidRPr="00CD28F8">
        <w:rPr>
          <w:rFonts w:ascii="Times New Roman" w:hAnsi="Times New Roman"/>
          <w:color w:val="0F243E" w:themeColor="text2" w:themeShade="80"/>
          <w:sz w:val="26"/>
          <w:szCs w:val="26"/>
        </w:rPr>
        <w:t xml:space="preserve"> </w:t>
      </w:r>
      <w:r w:rsidRPr="0096153F">
        <w:rPr>
          <w:rFonts w:ascii="Times New Roman" w:hAnsi="Times New Roman"/>
          <w:color w:val="0F243E" w:themeColor="text2" w:themeShade="80"/>
          <w:sz w:val="26"/>
          <w:szCs w:val="26"/>
        </w:rPr>
        <w:t>espressa</w:t>
      </w:r>
      <w:r w:rsidR="00CD28F8">
        <w:rPr>
          <w:rFonts w:ascii="Times New Roman" w:hAnsi="Times New Roman"/>
          <w:color w:val="0F243E" w:themeColor="text2" w:themeShade="80"/>
          <w:sz w:val="26"/>
          <w:szCs w:val="26"/>
        </w:rPr>
        <w:t>, delle norme legislative contenute in determinati provvedimenti legislativi</w:t>
      </w:r>
      <w:r w:rsidR="00FF1F51">
        <w:rPr>
          <w:rFonts w:ascii="Times New Roman" w:hAnsi="Times New Roman"/>
          <w:color w:val="0F243E" w:themeColor="text2" w:themeShade="80"/>
          <w:sz w:val="26"/>
          <w:szCs w:val="26"/>
        </w:rPr>
        <w:t xml:space="preserve">: secondo l’art. </w:t>
      </w:r>
      <w:r w:rsidR="00AD0873">
        <w:rPr>
          <w:rFonts w:ascii="Times New Roman" w:hAnsi="Times New Roman"/>
          <w:color w:val="0F243E" w:themeColor="text2" w:themeShade="80"/>
          <w:sz w:val="26"/>
          <w:szCs w:val="26"/>
        </w:rPr>
        <w:t xml:space="preserve">218, comma 1, del codice n. 50/2016, che riprende l’art. </w:t>
      </w:r>
      <w:r w:rsidR="00FF1F51">
        <w:rPr>
          <w:rFonts w:ascii="Times New Roman" w:hAnsi="Times New Roman"/>
          <w:color w:val="0F243E" w:themeColor="text2" w:themeShade="80"/>
          <w:sz w:val="26"/>
          <w:szCs w:val="26"/>
        </w:rPr>
        <w:t>255, comma 1, dell’abrogato codice n. 163/2006, “</w:t>
      </w:r>
      <w:r w:rsidR="006D69DB" w:rsidRPr="00E73BB8">
        <w:rPr>
          <w:rFonts w:ascii="Times New Roman" w:hAnsi="Times New Roman"/>
          <w:i/>
          <w:color w:val="0F243E" w:themeColor="text2" w:themeShade="80"/>
          <w:sz w:val="26"/>
          <w:szCs w:val="26"/>
        </w:rPr>
        <w:t>1. Ogni intervento normativo incidente sul codice, o sulle materie dallo stesso disciplinate, va attuato mediante esplicita modifica, integrazione, deroga o sospensione delle specifiche disposizioni in esso contenute</w:t>
      </w:r>
      <w:r w:rsidR="006D69DB" w:rsidRPr="006D69DB">
        <w:rPr>
          <w:rFonts w:ascii="Times New Roman" w:hAnsi="Times New Roman"/>
          <w:color w:val="0F243E" w:themeColor="text2" w:themeShade="80"/>
          <w:sz w:val="26"/>
          <w:szCs w:val="26"/>
        </w:rPr>
        <w:t>.</w:t>
      </w:r>
      <w:r w:rsidR="00E73BB8">
        <w:rPr>
          <w:rFonts w:ascii="Times New Roman" w:hAnsi="Times New Roman"/>
          <w:color w:val="0F243E" w:themeColor="text2" w:themeShade="80"/>
          <w:sz w:val="26"/>
          <w:szCs w:val="26"/>
        </w:rPr>
        <w:t>”</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Gli operatori economici, i cittadini, le stazioni appaltanti</w:t>
      </w:r>
      <w:r w:rsidR="00E73BB8">
        <w:rPr>
          <w:rFonts w:ascii="Times New Roman" w:hAnsi="Times New Roman"/>
          <w:color w:val="0F243E" w:themeColor="text2" w:themeShade="80"/>
          <w:sz w:val="26"/>
          <w:szCs w:val="26"/>
        </w:rPr>
        <w:t>, infatti,</w:t>
      </w:r>
      <w:r w:rsidRPr="002360E5">
        <w:rPr>
          <w:rFonts w:ascii="Times New Roman" w:hAnsi="Times New Roman"/>
          <w:color w:val="0F243E" w:themeColor="text2" w:themeShade="80"/>
          <w:sz w:val="26"/>
          <w:szCs w:val="26"/>
        </w:rPr>
        <w:t xml:space="preserve"> di solito auspicano norme rigide, dall’applicazione prevedibile, piuttosto che disposizioni mutevoli, soggette a variabili a</w:t>
      </w:r>
      <w:r w:rsidR="00841EAE" w:rsidRPr="002360E5">
        <w:rPr>
          <w:rFonts w:ascii="Times New Roman" w:hAnsi="Times New Roman"/>
          <w:color w:val="0F243E" w:themeColor="text2" w:themeShade="80"/>
          <w:sz w:val="26"/>
          <w:szCs w:val="26"/>
        </w:rPr>
        <w:t>t</w:t>
      </w:r>
      <w:r w:rsidRPr="002360E5">
        <w:rPr>
          <w:rFonts w:ascii="Times New Roman" w:hAnsi="Times New Roman"/>
          <w:color w:val="0F243E" w:themeColor="text2" w:themeShade="80"/>
          <w:sz w:val="26"/>
          <w:szCs w:val="26"/>
        </w:rPr>
        <w:t>tuazioni.</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p>
    <w:p w:rsidR="002757CD" w:rsidRPr="002360E5" w:rsidRDefault="00D46DBD" w:rsidP="003C7B9E">
      <w:pPr>
        <w:pStyle w:val="Paragrafoelenco"/>
        <w:numPr>
          <w:ilvl w:val="0"/>
          <w:numId w:val="1"/>
        </w:numPr>
        <w:tabs>
          <w:tab w:val="left" w:pos="0"/>
        </w:tabs>
        <w:ind w:left="0" w:firstLine="709"/>
        <w:rPr>
          <w:rFonts w:ascii="Times New Roman" w:hAnsi="Times New Roman"/>
          <w:color w:val="0F243E" w:themeColor="text2" w:themeShade="80"/>
          <w:sz w:val="26"/>
          <w:szCs w:val="26"/>
        </w:rPr>
      </w:pPr>
      <w:r w:rsidRPr="002360E5">
        <w:rPr>
          <w:rFonts w:ascii="Times New Roman" w:hAnsi="Times New Roman"/>
          <w:b/>
          <w:smallCaps/>
          <w:color w:val="0F243E" w:themeColor="text2" w:themeShade="80"/>
          <w:sz w:val="26"/>
          <w:szCs w:val="26"/>
        </w:rPr>
        <w:t>La flessibilità</w:t>
      </w:r>
      <w:r w:rsidR="002757CD" w:rsidRPr="002360E5">
        <w:rPr>
          <w:rFonts w:ascii="Times New Roman" w:hAnsi="Times New Roman"/>
          <w:b/>
          <w:smallCaps/>
          <w:color w:val="0F243E" w:themeColor="text2" w:themeShade="80"/>
          <w:sz w:val="26"/>
          <w:szCs w:val="26"/>
        </w:rPr>
        <w:t xml:space="preserve"> delle regol</w:t>
      </w:r>
      <w:r w:rsidR="003C7B9E">
        <w:rPr>
          <w:rFonts w:ascii="Times New Roman" w:hAnsi="Times New Roman"/>
          <w:b/>
          <w:smallCaps/>
          <w:color w:val="0F243E" w:themeColor="text2" w:themeShade="80"/>
          <w:sz w:val="26"/>
          <w:szCs w:val="26"/>
        </w:rPr>
        <w:t xml:space="preserve">azione </w:t>
      </w:r>
      <w:r w:rsidR="00155A59" w:rsidRPr="002360E5">
        <w:rPr>
          <w:rFonts w:ascii="Times New Roman" w:hAnsi="Times New Roman"/>
          <w:b/>
          <w:smallCaps/>
          <w:color w:val="0F243E" w:themeColor="text2" w:themeShade="80"/>
          <w:sz w:val="26"/>
          <w:szCs w:val="26"/>
        </w:rPr>
        <w:t xml:space="preserve">in senso </w:t>
      </w:r>
      <w:r w:rsidRPr="002360E5">
        <w:rPr>
          <w:rFonts w:ascii="Times New Roman" w:hAnsi="Times New Roman"/>
          <w:b/>
          <w:smallCaps/>
          <w:color w:val="0F243E" w:themeColor="text2" w:themeShade="80"/>
          <w:sz w:val="26"/>
          <w:szCs w:val="26"/>
        </w:rPr>
        <w:t>“</w:t>
      </w:r>
      <w:r w:rsidRPr="002360E5">
        <w:rPr>
          <w:rFonts w:ascii="Times New Roman" w:hAnsi="Times New Roman"/>
          <w:b/>
          <w:i/>
          <w:smallCaps/>
          <w:color w:val="0F243E" w:themeColor="text2" w:themeShade="80"/>
          <w:sz w:val="26"/>
          <w:szCs w:val="26"/>
        </w:rPr>
        <w:t>diacronic</w:t>
      </w:r>
      <w:r w:rsidR="00155A59" w:rsidRPr="002360E5">
        <w:rPr>
          <w:rFonts w:ascii="Times New Roman" w:hAnsi="Times New Roman"/>
          <w:b/>
          <w:i/>
          <w:smallCaps/>
          <w:color w:val="0F243E" w:themeColor="text2" w:themeShade="80"/>
          <w:sz w:val="26"/>
          <w:szCs w:val="26"/>
        </w:rPr>
        <w:t>o</w:t>
      </w:r>
      <w:r w:rsidRPr="002360E5">
        <w:rPr>
          <w:rFonts w:ascii="Times New Roman" w:hAnsi="Times New Roman"/>
          <w:b/>
          <w:smallCaps/>
          <w:color w:val="0F243E" w:themeColor="text2" w:themeShade="80"/>
          <w:sz w:val="26"/>
          <w:szCs w:val="26"/>
        </w:rPr>
        <w:t>”</w:t>
      </w:r>
      <w:r w:rsidR="003C7B9E">
        <w:rPr>
          <w:rFonts w:ascii="Times New Roman" w:hAnsi="Times New Roman"/>
          <w:b/>
          <w:smallCaps/>
          <w:color w:val="0F243E" w:themeColor="text2" w:themeShade="80"/>
          <w:sz w:val="26"/>
          <w:szCs w:val="26"/>
        </w:rPr>
        <w:t xml:space="preserve"> </w:t>
      </w:r>
      <w:r w:rsidRPr="002360E5">
        <w:rPr>
          <w:rFonts w:ascii="Times New Roman" w:hAnsi="Times New Roman"/>
          <w:b/>
          <w:smallCaps/>
          <w:color w:val="0F243E" w:themeColor="text2" w:themeShade="80"/>
          <w:sz w:val="26"/>
          <w:szCs w:val="26"/>
        </w:rPr>
        <w:t>e l’adattabilità sincronica</w:t>
      </w:r>
      <w:r w:rsidR="002757CD" w:rsidRPr="002360E5">
        <w:rPr>
          <w:rFonts w:ascii="Times New Roman" w:hAnsi="Times New Roman"/>
          <w:b/>
          <w:smallCaps/>
          <w:color w:val="0F243E" w:themeColor="text2" w:themeShade="80"/>
          <w:sz w:val="26"/>
          <w:szCs w:val="26"/>
        </w:rPr>
        <w:t xml:space="preserve"> alle mutevoli circostanze</w:t>
      </w:r>
      <w:r w:rsidRPr="002360E5">
        <w:rPr>
          <w:rFonts w:ascii="Times New Roman" w:hAnsi="Times New Roman"/>
          <w:color w:val="0F243E" w:themeColor="text2" w:themeShade="80"/>
          <w:sz w:val="26"/>
          <w:szCs w:val="26"/>
        </w:rPr>
        <w:t>.</w:t>
      </w:r>
    </w:p>
    <w:p w:rsidR="00D46DBD" w:rsidRPr="002360E5" w:rsidRDefault="0071487C"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Tuttavia, </w:t>
      </w:r>
      <w:r w:rsidR="00D46DBD" w:rsidRPr="002360E5">
        <w:rPr>
          <w:rFonts w:ascii="Times New Roman" w:hAnsi="Times New Roman"/>
          <w:color w:val="0F243E" w:themeColor="text2" w:themeShade="80"/>
          <w:sz w:val="26"/>
          <w:szCs w:val="26"/>
        </w:rPr>
        <w:t xml:space="preserve">proprio la nota della </w:t>
      </w:r>
      <w:r w:rsidR="00155A59" w:rsidRPr="002360E5">
        <w:rPr>
          <w:rFonts w:ascii="Times New Roman" w:hAnsi="Times New Roman"/>
          <w:color w:val="0F243E" w:themeColor="text2" w:themeShade="80"/>
          <w:sz w:val="26"/>
          <w:szCs w:val="26"/>
        </w:rPr>
        <w:t xml:space="preserve">rapida e periodica </w:t>
      </w:r>
      <w:r w:rsidR="00D46DBD" w:rsidRPr="002360E5">
        <w:rPr>
          <w:rFonts w:ascii="Times New Roman" w:hAnsi="Times New Roman"/>
          <w:color w:val="0F243E" w:themeColor="text2" w:themeShade="80"/>
          <w:sz w:val="26"/>
          <w:szCs w:val="26"/>
        </w:rPr>
        <w:t>“</w:t>
      </w:r>
      <w:r w:rsidR="00D46DBD" w:rsidRPr="002360E5">
        <w:rPr>
          <w:rFonts w:ascii="Times New Roman" w:hAnsi="Times New Roman"/>
          <w:i/>
          <w:color w:val="0F243E" w:themeColor="text2" w:themeShade="80"/>
          <w:sz w:val="26"/>
          <w:szCs w:val="26"/>
        </w:rPr>
        <w:t>modificabilità</w:t>
      </w:r>
      <w:r w:rsidR="00D46DBD" w:rsidRPr="002360E5">
        <w:rPr>
          <w:rFonts w:ascii="Times New Roman" w:hAnsi="Times New Roman"/>
          <w:color w:val="0F243E" w:themeColor="text2" w:themeShade="80"/>
          <w:sz w:val="26"/>
          <w:szCs w:val="26"/>
        </w:rPr>
        <w:t xml:space="preserve">” </w:t>
      </w:r>
      <w:r w:rsidR="00E62788">
        <w:rPr>
          <w:rFonts w:ascii="Times New Roman" w:hAnsi="Times New Roman"/>
          <w:color w:val="0F243E" w:themeColor="text2" w:themeShade="80"/>
          <w:sz w:val="26"/>
          <w:szCs w:val="26"/>
        </w:rPr>
        <w:t>risulta</w:t>
      </w:r>
      <w:r w:rsidR="00D46DBD" w:rsidRPr="002360E5">
        <w:rPr>
          <w:rFonts w:ascii="Times New Roman" w:hAnsi="Times New Roman"/>
          <w:color w:val="0F243E" w:themeColor="text2" w:themeShade="80"/>
          <w:sz w:val="26"/>
          <w:szCs w:val="26"/>
        </w:rPr>
        <w:t xml:space="preserve"> idonea a contrassegnare senz’altro la flessibilità della regolazione posta dell’ANAC. Sul piano del giudizio di valore, in questo caso, la </w:t>
      </w:r>
      <w:r w:rsidR="00155A59" w:rsidRPr="002360E5">
        <w:rPr>
          <w:rFonts w:ascii="Times New Roman" w:hAnsi="Times New Roman"/>
          <w:color w:val="0F243E" w:themeColor="text2" w:themeShade="80"/>
          <w:sz w:val="26"/>
          <w:szCs w:val="26"/>
        </w:rPr>
        <w:t>elasti</w:t>
      </w:r>
      <w:r w:rsidR="008C0A22" w:rsidRPr="002360E5">
        <w:rPr>
          <w:rFonts w:ascii="Times New Roman" w:hAnsi="Times New Roman"/>
          <w:color w:val="0F243E" w:themeColor="text2" w:themeShade="80"/>
          <w:sz w:val="26"/>
          <w:szCs w:val="26"/>
        </w:rPr>
        <w:t>c</w:t>
      </w:r>
      <w:r w:rsidR="00D46DBD" w:rsidRPr="002360E5">
        <w:rPr>
          <w:rFonts w:ascii="Times New Roman" w:hAnsi="Times New Roman"/>
          <w:color w:val="0F243E" w:themeColor="text2" w:themeShade="80"/>
          <w:sz w:val="26"/>
          <w:szCs w:val="26"/>
        </w:rPr>
        <w:t xml:space="preserve">ità è </w:t>
      </w:r>
      <w:r w:rsidR="00E62788">
        <w:rPr>
          <w:rFonts w:ascii="Times New Roman" w:hAnsi="Times New Roman"/>
          <w:color w:val="0F243E" w:themeColor="text2" w:themeShade="80"/>
          <w:sz w:val="26"/>
          <w:szCs w:val="26"/>
        </w:rPr>
        <w:t>present</w:t>
      </w:r>
      <w:r w:rsidR="00D46DBD" w:rsidRPr="002360E5">
        <w:rPr>
          <w:rFonts w:ascii="Times New Roman" w:hAnsi="Times New Roman"/>
          <w:color w:val="0F243E" w:themeColor="text2" w:themeShade="80"/>
          <w:sz w:val="26"/>
          <w:szCs w:val="26"/>
        </w:rPr>
        <w:t xml:space="preserve">ata </w:t>
      </w:r>
      <w:r w:rsidR="00E62788">
        <w:rPr>
          <w:rFonts w:ascii="Times New Roman" w:hAnsi="Times New Roman"/>
          <w:color w:val="0F243E" w:themeColor="text2" w:themeShade="80"/>
          <w:sz w:val="26"/>
          <w:szCs w:val="26"/>
        </w:rPr>
        <w:t xml:space="preserve">dal legislatore </w:t>
      </w:r>
      <w:r w:rsidR="00D46DBD" w:rsidRPr="002360E5">
        <w:rPr>
          <w:rFonts w:ascii="Times New Roman" w:hAnsi="Times New Roman"/>
          <w:color w:val="0F243E" w:themeColor="text2" w:themeShade="80"/>
          <w:sz w:val="26"/>
          <w:szCs w:val="26"/>
        </w:rPr>
        <w:t xml:space="preserve">proprio come un elemento di qualità e di </w:t>
      </w:r>
      <w:r w:rsidR="00D46DBD" w:rsidRPr="002360E5">
        <w:rPr>
          <w:rFonts w:ascii="Times New Roman" w:hAnsi="Times New Roman"/>
          <w:i/>
          <w:color w:val="0F243E" w:themeColor="text2" w:themeShade="80"/>
          <w:sz w:val="26"/>
          <w:szCs w:val="26"/>
        </w:rPr>
        <w:t>forza</w:t>
      </w:r>
      <w:r w:rsidR="00D46DBD" w:rsidRPr="002360E5">
        <w:rPr>
          <w:rFonts w:ascii="Times New Roman" w:hAnsi="Times New Roman"/>
          <w:color w:val="0F243E" w:themeColor="text2" w:themeShade="80"/>
          <w:sz w:val="26"/>
          <w:szCs w:val="26"/>
        </w:rPr>
        <w:t xml:space="preserve"> della disciplina, perché essa dovrebbe indicare la capacità</w:t>
      </w:r>
      <w:r w:rsidR="001161E8" w:rsidRPr="002360E5">
        <w:rPr>
          <w:rFonts w:ascii="Times New Roman" w:hAnsi="Times New Roman"/>
          <w:color w:val="0F243E" w:themeColor="text2" w:themeShade="80"/>
          <w:sz w:val="26"/>
          <w:szCs w:val="26"/>
        </w:rPr>
        <w:t xml:space="preserve"> (o addirittura la necessità)</w:t>
      </w:r>
      <w:r w:rsidR="00D46DBD" w:rsidRPr="002360E5">
        <w:rPr>
          <w:rFonts w:ascii="Times New Roman" w:hAnsi="Times New Roman"/>
          <w:color w:val="0F243E" w:themeColor="text2" w:themeShade="80"/>
          <w:sz w:val="26"/>
          <w:szCs w:val="26"/>
        </w:rPr>
        <w:t xml:space="preserve"> di adattamento</w:t>
      </w:r>
      <w:r w:rsidR="00E62788">
        <w:rPr>
          <w:rFonts w:ascii="Times New Roman" w:hAnsi="Times New Roman"/>
          <w:color w:val="0F243E" w:themeColor="text2" w:themeShade="80"/>
          <w:sz w:val="26"/>
          <w:szCs w:val="26"/>
        </w:rPr>
        <w:t xml:space="preserve"> continuo</w:t>
      </w:r>
      <w:r w:rsidR="00D46DBD" w:rsidRPr="002360E5">
        <w:rPr>
          <w:rFonts w:ascii="Times New Roman" w:hAnsi="Times New Roman"/>
          <w:color w:val="0F243E" w:themeColor="text2" w:themeShade="80"/>
          <w:sz w:val="26"/>
          <w:szCs w:val="26"/>
        </w:rPr>
        <w:t xml:space="preserve"> alla dinamica dei mutamenti di fatto</w:t>
      </w:r>
      <w:r w:rsidR="00CB21FB" w:rsidRPr="002360E5">
        <w:rPr>
          <w:rFonts w:ascii="Times New Roman" w:hAnsi="Times New Roman"/>
          <w:color w:val="0F243E" w:themeColor="text2" w:themeShade="80"/>
          <w:sz w:val="26"/>
          <w:szCs w:val="26"/>
        </w:rPr>
        <w:t xml:space="preserve"> o di contesto</w:t>
      </w:r>
      <w:r w:rsidR="00D46DBD" w:rsidRPr="002360E5">
        <w:rPr>
          <w:rFonts w:ascii="Times New Roman" w:hAnsi="Times New Roman"/>
          <w:color w:val="0F243E" w:themeColor="text2" w:themeShade="80"/>
          <w:sz w:val="26"/>
          <w:szCs w:val="26"/>
        </w:rPr>
        <w:t xml:space="preserve"> in cui si colloca la disciplina di settore</w:t>
      </w:r>
      <w:r w:rsidR="008C0A22" w:rsidRPr="002360E5">
        <w:rPr>
          <w:rFonts w:ascii="Times New Roman" w:hAnsi="Times New Roman"/>
          <w:color w:val="0F243E" w:themeColor="text2" w:themeShade="80"/>
          <w:sz w:val="26"/>
          <w:szCs w:val="26"/>
        </w:rPr>
        <w:t>, rimediando anche ad eventuali errori o lacune della disciplina preesistente.</w:t>
      </w:r>
    </w:p>
    <w:p w:rsidR="006F4B7E" w:rsidRDefault="006F4B7E"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Ora, è oggettivamente difficile comprendere quale sia l’effettiva utilità di questo tipo di “flessibilità”, per varie ragioni.</w:t>
      </w:r>
    </w:p>
    <w:p w:rsidR="00ED7578" w:rsidRDefault="006F4B7E"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1) La prospettata “velocità” dell’ANAC e dei procedimenti di regolazione flessibile non si è finora manifestata. Le LG sono varate con ritmi piuttosto pacati</w:t>
      </w:r>
      <w:r w:rsidR="00ED7578">
        <w:rPr>
          <w:rFonts w:ascii="Times New Roman" w:hAnsi="Times New Roman"/>
          <w:color w:val="0F243E" w:themeColor="text2" w:themeShade="80"/>
          <w:sz w:val="26"/>
          <w:szCs w:val="26"/>
        </w:rPr>
        <w:t>, non necessariamente più serrati di quelli propri dei regolamenti governativi o delle norme legislative.</w:t>
      </w:r>
    </w:p>
    <w:p w:rsidR="00D46DBD" w:rsidRPr="002360E5" w:rsidRDefault="00ED7578"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2)</w:t>
      </w:r>
      <w:r w:rsidR="00D46DBD" w:rsidRPr="002360E5">
        <w:rPr>
          <w:rFonts w:ascii="Times New Roman" w:hAnsi="Times New Roman"/>
          <w:color w:val="0F243E" w:themeColor="text2" w:themeShade="80"/>
          <w:sz w:val="26"/>
          <w:szCs w:val="26"/>
        </w:rPr>
        <w:t xml:space="preserve"> </w:t>
      </w:r>
      <w:r w:rsidRPr="002360E5">
        <w:rPr>
          <w:rFonts w:ascii="Times New Roman" w:hAnsi="Times New Roman"/>
          <w:color w:val="0F243E" w:themeColor="text2" w:themeShade="80"/>
          <w:sz w:val="26"/>
          <w:szCs w:val="26"/>
        </w:rPr>
        <w:t xml:space="preserve">Può </w:t>
      </w:r>
      <w:r w:rsidR="00D46DBD" w:rsidRPr="002360E5">
        <w:rPr>
          <w:rFonts w:ascii="Times New Roman" w:hAnsi="Times New Roman"/>
          <w:color w:val="0F243E" w:themeColor="text2" w:themeShade="80"/>
          <w:sz w:val="26"/>
          <w:szCs w:val="26"/>
        </w:rPr>
        <w:t xml:space="preserve">apparire incoerente la scelta della </w:t>
      </w:r>
      <w:r w:rsidR="00D46DBD" w:rsidRPr="002360E5">
        <w:rPr>
          <w:rFonts w:ascii="Times New Roman" w:hAnsi="Times New Roman"/>
          <w:i/>
          <w:color w:val="0F243E" w:themeColor="text2" w:themeShade="80"/>
          <w:sz w:val="26"/>
          <w:szCs w:val="26"/>
        </w:rPr>
        <w:t>codificazione</w:t>
      </w:r>
      <w:r w:rsidR="00D46DBD" w:rsidRPr="002360E5">
        <w:rPr>
          <w:rFonts w:ascii="Times New Roman" w:hAnsi="Times New Roman"/>
          <w:color w:val="0F243E" w:themeColor="text2" w:themeShade="80"/>
          <w:sz w:val="26"/>
          <w:szCs w:val="26"/>
        </w:rPr>
        <w:t>, accompagnata, però, dalla programmatica dispersione delle regole attuative in tanti atti</w:t>
      </w:r>
      <w:r w:rsidR="004766B4" w:rsidRPr="002360E5">
        <w:rPr>
          <w:rFonts w:ascii="Times New Roman" w:hAnsi="Times New Roman"/>
          <w:color w:val="0F243E" w:themeColor="text2" w:themeShade="80"/>
          <w:sz w:val="26"/>
          <w:szCs w:val="26"/>
        </w:rPr>
        <w:t>,</w:t>
      </w:r>
      <w:r w:rsidR="00D46DBD" w:rsidRPr="002360E5">
        <w:rPr>
          <w:rFonts w:ascii="Times New Roman" w:hAnsi="Times New Roman"/>
          <w:color w:val="0F243E" w:themeColor="text2" w:themeShade="80"/>
          <w:sz w:val="26"/>
          <w:szCs w:val="26"/>
        </w:rPr>
        <w:t xml:space="preserve"> diversi per contenuto e per efficacia</w:t>
      </w:r>
      <w:r w:rsidR="004766B4" w:rsidRPr="002360E5">
        <w:rPr>
          <w:rFonts w:ascii="Times New Roman" w:hAnsi="Times New Roman"/>
          <w:color w:val="0F243E" w:themeColor="text2" w:themeShade="80"/>
          <w:sz w:val="26"/>
          <w:szCs w:val="26"/>
        </w:rPr>
        <w:t>, destinati, per giunta, a una fisiologica modificabilità</w:t>
      </w:r>
      <w:r w:rsidR="00D46DBD" w:rsidRPr="002360E5">
        <w:rPr>
          <w:rFonts w:ascii="Times New Roman" w:hAnsi="Times New Roman"/>
          <w:color w:val="0F243E" w:themeColor="text2" w:themeShade="80"/>
          <w:sz w:val="26"/>
          <w:szCs w:val="26"/>
        </w:rPr>
        <w:t>.</w:t>
      </w:r>
    </w:p>
    <w:p w:rsidR="00D46DBD" w:rsidRPr="002360E5" w:rsidRDefault="00114736" w:rsidP="00596E5E">
      <w:pPr>
        <w:tabs>
          <w:tab w:val="left" w:pos="0"/>
        </w:tabs>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3) </w:t>
      </w:r>
      <w:r w:rsidR="00D46DBD" w:rsidRPr="002360E5">
        <w:rPr>
          <w:rFonts w:ascii="Times New Roman" w:hAnsi="Times New Roman"/>
          <w:color w:val="0F243E" w:themeColor="text2" w:themeShade="80"/>
          <w:sz w:val="26"/>
          <w:szCs w:val="26"/>
        </w:rPr>
        <w:t>Non si può trascurare, poi, che proprio in questo contesto si accentua una delle criticità poste in evidenza dalla dottrina: il potere normativo sembra intestato ad un soggetto privo di “</w:t>
      </w:r>
      <w:r w:rsidR="00D46DBD" w:rsidRPr="002360E5">
        <w:rPr>
          <w:rFonts w:ascii="Times New Roman" w:hAnsi="Times New Roman"/>
          <w:i/>
          <w:color w:val="0F243E" w:themeColor="text2" w:themeShade="80"/>
          <w:sz w:val="26"/>
          <w:szCs w:val="26"/>
        </w:rPr>
        <w:t>rappresentatività democratica</w:t>
      </w:r>
      <w:r w:rsidR="00D46DBD" w:rsidRPr="002360E5">
        <w:rPr>
          <w:rFonts w:ascii="Times New Roman" w:hAnsi="Times New Roman"/>
          <w:color w:val="0F243E" w:themeColor="text2" w:themeShade="80"/>
          <w:sz w:val="26"/>
          <w:szCs w:val="26"/>
        </w:rPr>
        <w:t>” (</w:t>
      </w:r>
      <w:r w:rsidR="00D46DBD" w:rsidRPr="002360E5">
        <w:rPr>
          <w:rFonts w:ascii="Times New Roman" w:hAnsi="Times New Roman"/>
          <w:smallCaps/>
          <w:color w:val="0F243E" w:themeColor="text2" w:themeShade="80"/>
          <w:sz w:val="26"/>
          <w:szCs w:val="26"/>
        </w:rPr>
        <w:t>Deodato</w:t>
      </w:r>
      <w:r w:rsidR="00D46DBD" w:rsidRPr="002360E5">
        <w:rPr>
          <w:rFonts w:ascii="Times New Roman" w:hAnsi="Times New Roman"/>
          <w:color w:val="0F243E" w:themeColor="text2" w:themeShade="80"/>
          <w:sz w:val="26"/>
          <w:szCs w:val="26"/>
        </w:rPr>
        <w:t>).</w:t>
      </w:r>
    </w:p>
    <w:p w:rsidR="00D46DBD" w:rsidRPr="002360E5" w:rsidRDefault="00114736"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4) </w:t>
      </w:r>
      <w:r w:rsidR="00D46DBD" w:rsidRPr="002360E5">
        <w:rPr>
          <w:rFonts w:ascii="Times New Roman" w:hAnsi="Times New Roman"/>
          <w:color w:val="0F243E" w:themeColor="text2" w:themeShade="80"/>
          <w:sz w:val="26"/>
          <w:szCs w:val="26"/>
        </w:rPr>
        <w:t xml:space="preserve">Il dato della </w:t>
      </w:r>
      <w:r w:rsidR="00D46DBD" w:rsidRPr="002360E5">
        <w:rPr>
          <w:rFonts w:ascii="Times New Roman" w:hAnsi="Times New Roman"/>
          <w:b/>
          <w:color w:val="0F243E" w:themeColor="text2" w:themeShade="80"/>
          <w:sz w:val="26"/>
          <w:szCs w:val="26"/>
        </w:rPr>
        <w:t>modificabilità</w:t>
      </w:r>
      <w:r w:rsidR="00D46DBD" w:rsidRPr="002360E5">
        <w:rPr>
          <w:rFonts w:ascii="Times New Roman" w:hAnsi="Times New Roman"/>
          <w:color w:val="0F243E" w:themeColor="text2" w:themeShade="80"/>
          <w:sz w:val="26"/>
          <w:szCs w:val="26"/>
        </w:rPr>
        <w:t xml:space="preserve"> nel tempo</w:t>
      </w:r>
      <w:r>
        <w:rPr>
          <w:rFonts w:ascii="Times New Roman" w:hAnsi="Times New Roman"/>
          <w:color w:val="0F243E" w:themeColor="text2" w:themeShade="80"/>
          <w:sz w:val="26"/>
          <w:szCs w:val="26"/>
        </w:rPr>
        <w:t xml:space="preserve"> del precetto</w:t>
      </w:r>
      <w:r w:rsidR="00D46DBD" w:rsidRPr="002360E5">
        <w:rPr>
          <w:rFonts w:ascii="Times New Roman" w:hAnsi="Times New Roman"/>
          <w:color w:val="0F243E" w:themeColor="text2" w:themeShade="80"/>
          <w:sz w:val="26"/>
          <w:szCs w:val="26"/>
        </w:rPr>
        <w:t>, però, non sembra offrire particolari elementi di interesse</w:t>
      </w:r>
      <w:r w:rsidR="004766B4" w:rsidRPr="002360E5">
        <w:rPr>
          <w:rFonts w:ascii="Times New Roman" w:hAnsi="Times New Roman"/>
          <w:color w:val="0F243E" w:themeColor="text2" w:themeShade="80"/>
          <w:sz w:val="26"/>
          <w:szCs w:val="26"/>
        </w:rPr>
        <w:t xml:space="preserve"> per definire il carattere davvero innovativo della nota della flessibilità</w:t>
      </w:r>
      <w:r w:rsidR="00D46DBD" w:rsidRPr="002360E5">
        <w:rPr>
          <w:rFonts w:ascii="Times New Roman" w:hAnsi="Times New Roman"/>
          <w:color w:val="0F243E" w:themeColor="text2" w:themeShade="80"/>
          <w:sz w:val="26"/>
          <w:szCs w:val="26"/>
        </w:rPr>
        <w:t>: l’attribuzione di un potere di intervento “continuo” è ovvio principio organizzativo nella distribuzione delle competenze, anche normative. A meno che non si voglia sottolineare, peraltro, la particolare “</w:t>
      </w:r>
      <w:r w:rsidR="00D46DBD" w:rsidRPr="002360E5">
        <w:rPr>
          <w:rFonts w:ascii="Times New Roman" w:hAnsi="Times New Roman"/>
          <w:i/>
          <w:color w:val="0F243E" w:themeColor="text2" w:themeShade="80"/>
          <w:sz w:val="26"/>
          <w:szCs w:val="26"/>
        </w:rPr>
        <w:t>agilità</w:t>
      </w:r>
      <w:r w:rsidR="00D46DBD" w:rsidRPr="002360E5">
        <w:rPr>
          <w:rFonts w:ascii="Times New Roman" w:hAnsi="Times New Roman"/>
          <w:color w:val="0F243E" w:themeColor="text2" w:themeShade="80"/>
          <w:sz w:val="26"/>
          <w:szCs w:val="26"/>
        </w:rPr>
        <w:t xml:space="preserve">” del procedimento di formazione degli atti generali dell’ANAC, insieme ad un </w:t>
      </w:r>
      <w:r w:rsidR="00B9290A" w:rsidRPr="002360E5">
        <w:rPr>
          <w:rFonts w:ascii="Times New Roman" w:hAnsi="Times New Roman"/>
          <w:color w:val="0F243E" w:themeColor="text2" w:themeShade="80"/>
          <w:sz w:val="26"/>
          <w:szCs w:val="26"/>
        </w:rPr>
        <w:t xml:space="preserve">vero e proprio </w:t>
      </w:r>
      <w:r w:rsidR="00D46DBD" w:rsidRPr="002360E5">
        <w:rPr>
          <w:rFonts w:ascii="Times New Roman" w:hAnsi="Times New Roman"/>
          <w:i/>
          <w:color w:val="0F243E" w:themeColor="text2" w:themeShade="80"/>
          <w:sz w:val="26"/>
          <w:szCs w:val="26"/>
        </w:rPr>
        <w:t>dovere</w:t>
      </w:r>
      <w:r w:rsidR="00D46DBD" w:rsidRPr="002360E5">
        <w:rPr>
          <w:rFonts w:ascii="Times New Roman" w:hAnsi="Times New Roman"/>
          <w:color w:val="0F243E" w:themeColor="text2" w:themeShade="80"/>
          <w:sz w:val="26"/>
          <w:szCs w:val="26"/>
        </w:rPr>
        <w:t xml:space="preserve"> di aggiornamento costante della disciplina.</w:t>
      </w:r>
    </w:p>
    <w:p w:rsidR="001161E8" w:rsidRPr="002360E5" w:rsidRDefault="001161E8"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Non a caso, in dottrina si è descritta questa </w:t>
      </w:r>
      <w:r w:rsidR="00A20317">
        <w:rPr>
          <w:rFonts w:ascii="Times New Roman" w:hAnsi="Times New Roman"/>
          <w:color w:val="0F243E" w:themeColor="text2" w:themeShade="80"/>
          <w:sz w:val="26"/>
          <w:szCs w:val="26"/>
        </w:rPr>
        <w:t xml:space="preserve">ipotizzata </w:t>
      </w:r>
      <w:r w:rsidRPr="002360E5">
        <w:rPr>
          <w:rFonts w:ascii="Times New Roman" w:hAnsi="Times New Roman"/>
          <w:color w:val="0F243E" w:themeColor="text2" w:themeShade="80"/>
          <w:sz w:val="26"/>
          <w:szCs w:val="26"/>
        </w:rPr>
        <w:t xml:space="preserve">caratteristica come </w:t>
      </w:r>
      <w:r w:rsidRPr="002360E5">
        <w:rPr>
          <w:rFonts w:ascii="Times New Roman" w:hAnsi="Times New Roman"/>
          <w:i/>
          <w:color w:val="0F243E" w:themeColor="text2" w:themeShade="80"/>
          <w:sz w:val="26"/>
          <w:szCs w:val="26"/>
        </w:rPr>
        <w:t>fast law</w:t>
      </w:r>
      <w:r w:rsidRPr="002360E5">
        <w:rPr>
          <w:rFonts w:ascii="Times New Roman" w:hAnsi="Times New Roman"/>
          <w:color w:val="0F243E" w:themeColor="text2" w:themeShade="80"/>
          <w:sz w:val="26"/>
          <w:szCs w:val="26"/>
        </w:rPr>
        <w:t xml:space="preserve">, anziché come </w:t>
      </w:r>
      <w:r w:rsidRPr="002360E5">
        <w:rPr>
          <w:rFonts w:ascii="Times New Roman" w:hAnsi="Times New Roman"/>
          <w:i/>
          <w:color w:val="0F243E" w:themeColor="text2" w:themeShade="80"/>
          <w:sz w:val="26"/>
          <w:szCs w:val="26"/>
        </w:rPr>
        <w:t>soft law</w:t>
      </w:r>
      <w:r w:rsidRPr="002360E5">
        <w:rPr>
          <w:rFonts w:ascii="Times New Roman" w:hAnsi="Times New Roman"/>
          <w:color w:val="0F243E" w:themeColor="text2" w:themeShade="80"/>
          <w:sz w:val="26"/>
          <w:szCs w:val="26"/>
        </w:rPr>
        <w:t>.</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p>
    <w:p w:rsidR="00D46DBD" w:rsidRPr="002360E5" w:rsidRDefault="00DB038C" w:rsidP="00E72671">
      <w:pPr>
        <w:pStyle w:val="Paragrafoelenco"/>
        <w:numPr>
          <w:ilvl w:val="0"/>
          <w:numId w:val="1"/>
        </w:numPr>
        <w:tabs>
          <w:tab w:val="left" w:pos="0"/>
        </w:tabs>
        <w:ind w:left="0" w:firstLine="709"/>
        <w:rPr>
          <w:rFonts w:ascii="Times New Roman" w:hAnsi="Times New Roman"/>
          <w:b/>
          <w:smallCaps/>
          <w:color w:val="0F243E" w:themeColor="text2" w:themeShade="80"/>
          <w:sz w:val="26"/>
          <w:szCs w:val="26"/>
        </w:rPr>
      </w:pPr>
      <w:r w:rsidRPr="002360E5">
        <w:rPr>
          <w:rFonts w:ascii="Times New Roman" w:hAnsi="Times New Roman"/>
          <w:b/>
          <w:smallCaps/>
          <w:color w:val="0F243E" w:themeColor="text2" w:themeShade="80"/>
          <w:sz w:val="26"/>
          <w:szCs w:val="26"/>
        </w:rPr>
        <w:t xml:space="preserve">La flessibilità </w:t>
      </w:r>
      <w:r w:rsidR="00A41A98" w:rsidRPr="002360E5">
        <w:rPr>
          <w:rFonts w:ascii="Times New Roman" w:hAnsi="Times New Roman"/>
          <w:b/>
          <w:smallCaps/>
          <w:color w:val="0F243E" w:themeColor="text2" w:themeShade="80"/>
          <w:sz w:val="26"/>
          <w:szCs w:val="26"/>
        </w:rPr>
        <w:t xml:space="preserve">dei poteri dell’ANAC </w:t>
      </w:r>
      <w:r w:rsidR="00D46DBD" w:rsidRPr="002360E5">
        <w:rPr>
          <w:rFonts w:ascii="Times New Roman" w:hAnsi="Times New Roman"/>
          <w:b/>
          <w:smallCaps/>
          <w:color w:val="0F243E" w:themeColor="text2" w:themeShade="80"/>
          <w:sz w:val="26"/>
          <w:szCs w:val="26"/>
        </w:rPr>
        <w:t xml:space="preserve">e </w:t>
      </w:r>
      <w:r w:rsidRPr="002360E5">
        <w:rPr>
          <w:rFonts w:ascii="Times New Roman" w:hAnsi="Times New Roman"/>
          <w:b/>
          <w:smallCaps/>
          <w:color w:val="0F243E" w:themeColor="text2" w:themeShade="80"/>
          <w:sz w:val="26"/>
          <w:szCs w:val="26"/>
        </w:rPr>
        <w:t xml:space="preserve">il </w:t>
      </w:r>
      <w:r w:rsidR="002F3EC2" w:rsidRPr="002360E5">
        <w:rPr>
          <w:rFonts w:ascii="Times New Roman" w:hAnsi="Times New Roman"/>
          <w:b/>
          <w:smallCaps/>
          <w:color w:val="0F243E" w:themeColor="text2" w:themeShade="80"/>
          <w:sz w:val="26"/>
          <w:szCs w:val="26"/>
        </w:rPr>
        <w:t>rispetto dell’</w:t>
      </w:r>
      <w:r w:rsidR="00D46DBD" w:rsidRPr="002360E5">
        <w:rPr>
          <w:rFonts w:ascii="Times New Roman" w:hAnsi="Times New Roman"/>
          <w:b/>
          <w:smallCaps/>
          <w:color w:val="0F243E" w:themeColor="text2" w:themeShade="80"/>
          <w:sz w:val="26"/>
          <w:szCs w:val="26"/>
        </w:rPr>
        <w:t xml:space="preserve">autonomia </w:t>
      </w:r>
      <w:r w:rsidR="00A41A98" w:rsidRPr="002360E5">
        <w:rPr>
          <w:rFonts w:ascii="Times New Roman" w:hAnsi="Times New Roman"/>
          <w:b/>
          <w:smallCaps/>
          <w:color w:val="0F243E" w:themeColor="text2" w:themeShade="80"/>
          <w:sz w:val="26"/>
          <w:szCs w:val="26"/>
        </w:rPr>
        <w:t xml:space="preserve">normativa </w:t>
      </w:r>
      <w:r w:rsidR="00D46DBD" w:rsidRPr="002360E5">
        <w:rPr>
          <w:rFonts w:ascii="Times New Roman" w:hAnsi="Times New Roman"/>
          <w:b/>
          <w:smallCaps/>
          <w:color w:val="0F243E" w:themeColor="text2" w:themeShade="80"/>
          <w:sz w:val="26"/>
          <w:szCs w:val="26"/>
        </w:rPr>
        <w:t>delle regioni, delle amministrazioni e delle stazioni appal</w:t>
      </w:r>
      <w:r w:rsidR="00A41A98" w:rsidRPr="002360E5">
        <w:rPr>
          <w:rFonts w:ascii="Times New Roman" w:hAnsi="Times New Roman"/>
          <w:b/>
          <w:smallCaps/>
          <w:color w:val="0F243E" w:themeColor="text2" w:themeShade="80"/>
          <w:sz w:val="26"/>
          <w:szCs w:val="26"/>
        </w:rPr>
        <w:t>tanti</w:t>
      </w:r>
      <w:r w:rsidR="00D46DBD" w:rsidRPr="002360E5">
        <w:rPr>
          <w:rFonts w:ascii="Times New Roman" w:hAnsi="Times New Roman"/>
          <w:b/>
          <w:smallCaps/>
          <w:color w:val="0F243E" w:themeColor="text2" w:themeShade="80"/>
          <w:sz w:val="26"/>
          <w:szCs w:val="26"/>
        </w:rPr>
        <w:t>.</w:t>
      </w:r>
      <w:r w:rsidR="002F3EC2" w:rsidRPr="002360E5">
        <w:rPr>
          <w:rFonts w:ascii="Times New Roman" w:hAnsi="Times New Roman"/>
          <w:b/>
          <w:smallCaps/>
          <w:color w:val="0F243E" w:themeColor="text2" w:themeShade="80"/>
          <w:sz w:val="26"/>
          <w:szCs w:val="26"/>
        </w:rPr>
        <w:t xml:space="preserve"> I limiti costituzionali dell’art. 117.</w:t>
      </w:r>
      <w:r w:rsidR="00442A4D">
        <w:rPr>
          <w:rFonts w:ascii="Times New Roman" w:hAnsi="Times New Roman"/>
          <w:b/>
          <w:smallCaps/>
          <w:color w:val="0F243E" w:themeColor="text2" w:themeShade="80"/>
          <w:sz w:val="26"/>
          <w:szCs w:val="26"/>
        </w:rPr>
        <w:t xml:space="preserve"> </w:t>
      </w:r>
      <w:r w:rsidR="00442A4D" w:rsidRPr="002360E5">
        <w:rPr>
          <w:rFonts w:ascii="Times New Roman" w:hAnsi="Times New Roman"/>
          <w:b/>
          <w:smallCaps/>
          <w:color w:val="0F243E" w:themeColor="text2" w:themeShade="80"/>
          <w:sz w:val="26"/>
          <w:szCs w:val="26"/>
        </w:rPr>
        <w:t>il r</w:t>
      </w:r>
      <w:r w:rsidR="00442A4D">
        <w:rPr>
          <w:rFonts w:ascii="Times New Roman" w:hAnsi="Times New Roman"/>
          <w:b/>
          <w:smallCaps/>
          <w:color w:val="0F243E" w:themeColor="text2" w:themeShade="80"/>
          <w:sz w:val="26"/>
          <w:szCs w:val="26"/>
        </w:rPr>
        <w:t xml:space="preserve">apporto </w:t>
      </w:r>
      <w:r w:rsidR="00442A4D" w:rsidRPr="002360E5">
        <w:rPr>
          <w:rFonts w:ascii="Times New Roman" w:hAnsi="Times New Roman"/>
          <w:b/>
          <w:smallCaps/>
          <w:color w:val="0F243E" w:themeColor="text2" w:themeShade="80"/>
          <w:sz w:val="26"/>
          <w:szCs w:val="26"/>
        </w:rPr>
        <w:t xml:space="preserve">dell’ANAC </w:t>
      </w:r>
      <w:r w:rsidR="00442A4D">
        <w:rPr>
          <w:rFonts w:ascii="Times New Roman" w:hAnsi="Times New Roman"/>
          <w:b/>
          <w:smallCaps/>
          <w:color w:val="0F243E" w:themeColor="text2" w:themeShade="80"/>
          <w:sz w:val="26"/>
          <w:szCs w:val="26"/>
        </w:rPr>
        <w:t>con i</w:t>
      </w:r>
      <w:r w:rsidR="00442A4D" w:rsidRPr="002360E5">
        <w:rPr>
          <w:rFonts w:ascii="Times New Roman" w:hAnsi="Times New Roman"/>
          <w:b/>
          <w:smallCaps/>
          <w:color w:val="0F243E" w:themeColor="text2" w:themeShade="80"/>
          <w:sz w:val="26"/>
          <w:szCs w:val="26"/>
        </w:rPr>
        <w:t>l Governo.</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Una ulteriore possibile finalità perseguita dalla “flessibilità” delle LG e degli altri atti generali dell’ANAC viene ravvisata nel rapporto tra ordinamento statale e autonomia normativa delle Regioni, degli enti locali e delle altre stazioni appaltanti. Questa sarebbe, del resto, una delle ragioni dell’abbandono del regolamento generale attuativo, che poteva apparire invasivo delle competenze regionali.</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In particolare, si ipotizza che solo una normativa “leggera” potrebbe limitare il rischio di invasione nella sfera riservata a tali soggetti.</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Ma l’argomento non convince, perché i limiti </w:t>
      </w:r>
      <w:r w:rsidR="004A3926" w:rsidRPr="002360E5">
        <w:rPr>
          <w:rFonts w:ascii="Times New Roman" w:hAnsi="Times New Roman"/>
          <w:color w:val="0F243E" w:themeColor="text2" w:themeShade="80"/>
          <w:sz w:val="26"/>
          <w:szCs w:val="26"/>
        </w:rPr>
        <w:t xml:space="preserve">del potere normativo statale, fissati </w:t>
      </w:r>
      <w:r w:rsidRPr="002360E5">
        <w:rPr>
          <w:rFonts w:ascii="Times New Roman" w:hAnsi="Times New Roman"/>
          <w:color w:val="0F243E" w:themeColor="text2" w:themeShade="80"/>
          <w:sz w:val="26"/>
          <w:szCs w:val="26"/>
        </w:rPr>
        <w:t>d</w:t>
      </w:r>
      <w:r w:rsidR="004A3926" w:rsidRPr="002360E5">
        <w:rPr>
          <w:rFonts w:ascii="Times New Roman" w:hAnsi="Times New Roman"/>
          <w:color w:val="0F243E" w:themeColor="text2" w:themeShade="80"/>
          <w:sz w:val="26"/>
          <w:szCs w:val="26"/>
        </w:rPr>
        <w:t>a</w:t>
      </w:r>
      <w:r w:rsidRPr="002360E5">
        <w:rPr>
          <w:rFonts w:ascii="Times New Roman" w:hAnsi="Times New Roman"/>
          <w:color w:val="0F243E" w:themeColor="text2" w:themeShade="80"/>
          <w:sz w:val="26"/>
          <w:szCs w:val="26"/>
        </w:rPr>
        <w:t>ll’art. 117 della Costituzione (come tratteggiati dalla Corte cost.) sembrano prescindere dalla fisionomia della norma.</w:t>
      </w:r>
    </w:p>
    <w:p w:rsidR="00A96DD7"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Un filone critico molto serio, come si è detto, dubita</w:t>
      </w:r>
      <w:r w:rsidR="004A3926" w:rsidRPr="002360E5">
        <w:rPr>
          <w:rFonts w:ascii="Times New Roman" w:hAnsi="Times New Roman"/>
          <w:color w:val="0F243E" w:themeColor="text2" w:themeShade="80"/>
          <w:sz w:val="26"/>
          <w:szCs w:val="26"/>
        </w:rPr>
        <w:t>, in radice,</w:t>
      </w:r>
      <w:r w:rsidRPr="002360E5">
        <w:rPr>
          <w:rFonts w:ascii="Times New Roman" w:hAnsi="Times New Roman"/>
          <w:color w:val="0F243E" w:themeColor="text2" w:themeShade="80"/>
          <w:sz w:val="26"/>
          <w:szCs w:val="26"/>
        </w:rPr>
        <w:t xml:space="preserve"> della stessa legittimità del potere di intervento generale dell’ANAC, alla luce della </w:t>
      </w:r>
      <w:r w:rsidR="00A96DD7" w:rsidRPr="002360E5">
        <w:rPr>
          <w:rFonts w:ascii="Times New Roman" w:hAnsi="Times New Roman"/>
          <w:color w:val="0F243E" w:themeColor="text2" w:themeShade="80"/>
          <w:sz w:val="26"/>
          <w:szCs w:val="26"/>
        </w:rPr>
        <w:t xml:space="preserve">asserita </w:t>
      </w:r>
      <w:r w:rsidRPr="002360E5">
        <w:rPr>
          <w:rFonts w:ascii="Times New Roman" w:hAnsi="Times New Roman"/>
          <w:color w:val="0F243E" w:themeColor="text2" w:themeShade="80"/>
          <w:sz w:val="26"/>
          <w:szCs w:val="26"/>
        </w:rPr>
        <w:t>carenza di legittimazione democratica dell’Autorità e della riscontrata “eccentricità” rispetto al sistema delle fonti secondarie, basato sul disegno della legge n. 400/1988 (centralità del Governo e garanzie procedimentali).</w:t>
      </w:r>
    </w:p>
    <w:p w:rsidR="00A96DD7" w:rsidRPr="002360E5" w:rsidRDefault="00A96DD7"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In senso opposto, muovendo dalla prospettata mancanza di autonomia e indipendenza dell’ANAC, in virtù del suo rapporto di connessione con il Governo, si sostiene </w:t>
      </w:r>
      <w:r w:rsidR="00FF59E8" w:rsidRPr="002360E5">
        <w:rPr>
          <w:rFonts w:ascii="Times New Roman" w:hAnsi="Times New Roman"/>
          <w:color w:val="0F243E" w:themeColor="text2" w:themeShade="80"/>
          <w:sz w:val="26"/>
          <w:szCs w:val="26"/>
        </w:rPr>
        <w:t>che il potere normativo dell’ANAC risulterebbe caratterizzato da un sostanziale aggiramento delle garanzie procedimentali che disciplinano la formazione degli atti normativi del Governo.</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 “</w:t>
      </w:r>
      <w:r w:rsidRPr="002360E5">
        <w:rPr>
          <w:rFonts w:ascii="Times New Roman" w:hAnsi="Times New Roman"/>
          <w:b/>
          <w:color w:val="0F243E" w:themeColor="text2" w:themeShade="80"/>
          <w:sz w:val="26"/>
          <w:szCs w:val="26"/>
        </w:rPr>
        <w:t>flessibilità</w:t>
      </w:r>
      <w:r w:rsidRPr="002360E5">
        <w:rPr>
          <w:rFonts w:ascii="Times New Roman" w:hAnsi="Times New Roman"/>
          <w:color w:val="0F243E" w:themeColor="text2" w:themeShade="80"/>
          <w:sz w:val="26"/>
          <w:szCs w:val="26"/>
        </w:rPr>
        <w:t>” eliminerebbe, o, quanto meno, attenuerebbe, quindi, questo rischio, riducendo parecchio l’incisività delle LG.</w:t>
      </w:r>
    </w:p>
    <w:p w:rsidR="00D46DBD" w:rsidRPr="002360E5"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 xml:space="preserve">La radicale critica al ruolo dell’ANAC assume però connotazioni più politiche che giuridiche, alla luce del </w:t>
      </w:r>
      <w:r w:rsidRPr="002360E5">
        <w:rPr>
          <w:rFonts w:ascii="Times New Roman" w:hAnsi="Times New Roman"/>
          <w:i/>
          <w:color w:val="0F243E" w:themeColor="text2" w:themeShade="80"/>
          <w:sz w:val="26"/>
          <w:szCs w:val="26"/>
        </w:rPr>
        <w:t xml:space="preserve">carattere aperto </w:t>
      </w:r>
      <w:r w:rsidRPr="002360E5">
        <w:rPr>
          <w:rFonts w:ascii="Times New Roman" w:hAnsi="Times New Roman"/>
          <w:color w:val="0F243E" w:themeColor="text2" w:themeShade="80"/>
          <w:sz w:val="26"/>
          <w:szCs w:val="26"/>
        </w:rPr>
        <w:t>delle fonti secondarie, nel rispetto del principio di legalità.</w:t>
      </w:r>
    </w:p>
    <w:p w:rsidR="00D46DBD" w:rsidRDefault="00D46DBD" w:rsidP="00596E5E">
      <w:pPr>
        <w:tabs>
          <w:tab w:val="left" w:pos="0"/>
        </w:tabs>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D’altro canto, il riscontrato limite, se appurato, sarebbe comunque travalicato anche in presenza di prescrizioni “</w:t>
      </w:r>
      <w:r w:rsidRPr="002360E5">
        <w:rPr>
          <w:rFonts w:ascii="Times New Roman" w:hAnsi="Times New Roman"/>
          <w:i/>
          <w:color w:val="0F243E" w:themeColor="text2" w:themeShade="80"/>
          <w:sz w:val="26"/>
          <w:szCs w:val="26"/>
        </w:rPr>
        <w:t>morbide</w:t>
      </w:r>
      <w:r w:rsidRPr="002360E5">
        <w:rPr>
          <w:rFonts w:ascii="Times New Roman" w:hAnsi="Times New Roman"/>
          <w:color w:val="0F243E" w:themeColor="text2" w:themeShade="80"/>
          <w:sz w:val="26"/>
          <w:szCs w:val="26"/>
        </w:rPr>
        <w:t>”.</w:t>
      </w:r>
    </w:p>
    <w:p w:rsidR="00D46DBD" w:rsidRPr="002360E5" w:rsidRDefault="00D46DBD" w:rsidP="00596E5E">
      <w:pPr>
        <w:pStyle w:val="Paragrafoelenco"/>
        <w:tabs>
          <w:tab w:val="left" w:pos="0"/>
        </w:tabs>
        <w:ind w:left="0"/>
        <w:rPr>
          <w:rFonts w:ascii="Times New Roman" w:hAnsi="Times New Roman"/>
          <w:color w:val="0F243E" w:themeColor="text2" w:themeShade="80"/>
          <w:sz w:val="26"/>
          <w:szCs w:val="26"/>
        </w:rPr>
      </w:pPr>
    </w:p>
    <w:p w:rsidR="00E161C5" w:rsidRPr="002360E5" w:rsidRDefault="00E161C5" w:rsidP="00D9216F">
      <w:pPr>
        <w:pStyle w:val="Paragrafoelenco"/>
        <w:numPr>
          <w:ilvl w:val="0"/>
          <w:numId w:val="1"/>
        </w:numPr>
        <w:tabs>
          <w:tab w:val="left" w:pos="0"/>
        </w:tabs>
        <w:ind w:left="0" w:firstLine="709"/>
        <w:rPr>
          <w:rFonts w:ascii="Times New Roman" w:hAnsi="Times New Roman"/>
          <w:smallCaps/>
          <w:color w:val="0F243E" w:themeColor="text2" w:themeShade="80"/>
          <w:sz w:val="26"/>
          <w:szCs w:val="26"/>
        </w:rPr>
      </w:pPr>
      <w:r w:rsidRPr="002360E5">
        <w:rPr>
          <w:rFonts w:ascii="Times New Roman" w:hAnsi="Times New Roman"/>
          <w:b/>
          <w:smallCaps/>
          <w:color w:val="0F243E" w:themeColor="text2" w:themeShade="80"/>
          <w:sz w:val="26"/>
          <w:szCs w:val="26"/>
        </w:rPr>
        <w:t xml:space="preserve">Flessibilità e intensità del sindacato giurisdizionale. Il problema specifico delle linee guida non vincolanti. </w:t>
      </w:r>
    </w:p>
    <w:p w:rsidR="00E161C5" w:rsidRPr="002360E5" w:rsidRDefault="003F4ECB"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 dottrina più attenta (</w:t>
      </w:r>
      <w:r w:rsidRPr="002360E5">
        <w:rPr>
          <w:rFonts w:ascii="Times New Roman" w:hAnsi="Times New Roman"/>
          <w:smallCaps/>
          <w:color w:val="0F243E" w:themeColor="text2" w:themeShade="80"/>
          <w:sz w:val="26"/>
          <w:szCs w:val="26"/>
        </w:rPr>
        <w:t>Cintioli</w:t>
      </w:r>
      <w:r w:rsidRPr="002360E5">
        <w:rPr>
          <w:rFonts w:ascii="Times New Roman" w:hAnsi="Times New Roman"/>
          <w:color w:val="0F243E" w:themeColor="text2" w:themeShade="80"/>
          <w:sz w:val="26"/>
          <w:szCs w:val="26"/>
        </w:rPr>
        <w:t>) ha evidenziato il rischio che la dichiarata natura “flessibile” della regolazione ANAC potrebbe indurre a limitare il sindacato del giudice amministrativo su tali atto, nonostante la perentoria affermazione, contenuta, nell’art. 213, della loro impugnabilità.</w:t>
      </w:r>
    </w:p>
    <w:p w:rsidR="003F4ECB" w:rsidRPr="002360E5" w:rsidRDefault="003F4ECB"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Il punto richiede approfondimento, benché, allo stato, l’esperienza del contenzioso non fornisce elementi di valutazione.</w:t>
      </w:r>
    </w:p>
    <w:p w:rsidR="003F4ECB" w:rsidRPr="002360E5" w:rsidRDefault="00CA625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Si possono indicare le due questioni centrali.</w:t>
      </w:r>
    </w:p>
    <w:p w:rsidR="00CA625D" w:rsidRPr="002360E5" w:rsidRDefault="00CA625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 prima riguarda l’intensità del sindacato giurisdizionale, che potrebbe ritenersi intrinsecamente limitato in relazione alla sfera riservata alle Autorità indipendenti.</w:t>
      </w:r>
    </w:p>
    <w:p w:rsidR="00E82613" w:rsidRPr="002360E5" w:rsidRDefault="00CA625D"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La seconda riguarda il delicato tema della lesività</w:t>
      </w:r>
      <w:r w:rsidR="00EC702D">
        <w:rPr>
          <w:rFonts w:ascii="Times New Roman" w:hAnsi="Times New Roman"/>
          <w:color w:val="0F243E" w:themeColor="text2" w:themeShade="80"/>
          <w:sz w:val="26"/>
          <w:szCs w:val="26"/>
        </w:rPr>
        <w:t xml:space="preserve"> (immediata)</w:t>
      </w:r>
      <w:r w:rsidRPr="002360E5">
        <w:rPr>
          <w:rFonts w:ascii="Times New Roman" w:hAnsi="Times New Roman"/>
          <w:color w:val="0F243E" w:themeColor="text2" w:themeShade="80"/>
          <w:sz w:val="26"/>
          <w:szCs w:val="26"/>
        </w:rPr>
        <w:t xml:space="preserve"> di atti che appaiono concepiti come indicazioni richiedenti applicazioni concrete da p</w:t>
      </w:r>
      <w:r w:rsidR="007E0180" w:rsidRPr="002360E5">
        <w:rPr>
          <w:rFonts w:ascii="Times New Roman" w:hAnsi="Times New Roman"/>
          <w:color w:val="0F243E" w:themeColor="text2" w:themeShade="80"/>
          <w:sz w:val="26"/>
          <w:szCs w:val="26"/>
        </w:rPr>
        <w:t xml:space="preserve">arte delle stazioni appaltanti. Si potrebbe affermare, infatti, che le LG, massimamente quelle </w:t>
      </w:r>
      <w:r w:rsidR="00CE5858" w:rsidRPr="002360E5">
        <w:rPr>
          <w:rFonts w:ascii="Times New Roman" w:hAnsi="Times New Roman"/>
          <w:color w:val="0F243E" w:themeColor="text2" w:themeShade="80"/>
          <w:sz w:val="26"/>
          <w:szCs w:val="26"/>
        </w:rPr>
        <w:t xml:space="preserve">totalmente </w:t>
      </w:r>
      <w:r w:rsidR="007E0180" w:rsidRPr="002360E5">
        <w:rPr>
          <w:rFonts w:ascii="Times New Roman" w:hAnsi="Times New Roman"/>
          <w:color w:val="0F243E" w:themeColor="text2" w:themeShade="80"/>
          <w:sz w:val="26"/>
          <w:szCs w:val="26"/>
        </w:rPr>
        <w:t xml:space="preserve">non vincolanti, si devono tradurre in </w:t>
      </w:r>
      <w:r w:rsidR="00CE5858" w:rsidRPr="002360E5">
        <w:rPr>
          <w:rFonts w:ascii="Times New Roman" w:hAnsi="Times New Roman"/>
          <w:color w:val="0F243E" w:themeColor="text2" w:themeShade="80"/>
          <w:sz w:val="26"/>
          <w:szCs w:val="26"/>
        </w:rPr>
        <w:t xml:space="preserve">provvedimenti concreti successivi, </w:t>
      </w:r>
      <w:r w:rsidR="00E82613" w:rsidRPr="002360E5">
        <w:rPr>
          <w:rFonts w:ascii="Times New Roman" w:hAnsi="Times New Roman"/>
          <w:color w:val="0F243E" w:themeColor="text2" w:themeShade="80"/>
          <w:sz w:val="26"/>
          <w:szCs w:val="26"/>
        </w:rPr>
        <w:t>eventualmente conformi alla LG, ma sulla base di un’autonoma scelta della stazione appaltante.</w:t>
      </w:r>
    </w:p>
    <w:p w:rsidR="00E82613" w:rsidRPr="002360E5" w:rsidRDefault="00E82613"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Quindi, non solo sarebbe impossibile ipotizzare l’immediata lesività della LG, ma non vi sarebbe nemmeno l’onere di impugnare la LG “presupposta”, perché questa rappresenterebbe mero antecedente temporale, ma non logico necessario, della determinazione concreta.</w:t>
      </w:r>
    </w:p>
    <w:p w:rsidR="00F95566" w:rsidRPr="002360E5" w:rsidRDefault="00F95566" w:rsidP="00596E5E">
      <w:pPr>
        <w:pStyle w:val="Paragrafoelenco"/>
        <w:tabs>
          <w:tab w:val="left" w:pos="0"/>
        </w:tabs>
        <w:ind w:left="0"/>
        <w:rPr>
          <w:rFonts w:ascii="Times New Roman" w:hAnsi="Times New Roman"/>
          <w:color w:val="0F243E" w:themeColor="text2" w:themeShade="80"/>
          <w:sz w:val="26"/>
          <w:szCs w:val="26"/>
        </w:rPr>
      </w:pPr>
      <w:r w:rsidRPr="002360E5">
        <w:rPr>
          <w:rFonts w:ascii="Times New Roman" w:hAnsi="Times New Roman"/>
          <w:color w:val="0F243E" w:themeColor="text2" w:themeShade="80"/>
          <w:sz w:val="26"/>
          <w:szCs w:val="26"/>
        </w:rPr>
        <w:t>Per verificare l’esattezza di questi assunti occorrerà distinguere tra le diverse situazioni verificabili nella prassi, tenendo conto dei risultati interpretativi cui è pervenuta la giurisprudenza in relazione allo spinoso tema della impugnabilità delle circolari.</w:t>
      </w:r>
    </w:p>
    <w:p w:rsidR="00A5368A" w:rsidRPr="002360E5" w:rsidRDefault="00A5368A" w:rsidP="00596E5E">
      <w:pPr>
        <w:pStyle w:val="Paragrafoelenco"/>
        <w:tabs>
          <w:tab w:val="left" w:pos="0"/>
        </w:tabs>
        <w:ind w:left="0"/>
        <w:rPr>
          <w:rFonts w:ascii="Times New Roman" w:hAnsi="Times New Roman"/>
          <w:smallCaps/>
          <w:color w:val="0F243E" w:themeColor="text2" w:themeShade="80"/>
          <w:sz w:val="26"/>
          <w:szCs w:val="26"/>
        </w:rPr>
      </w:pPr>
    </w:p>
    <w:p w:rsidR="00A5368A" w:rsidRPr="002360E5" w:rsidRDefault="00EA6C91" w:rsidP="003659EB">
      <w:pPr>
        <w:pStyle w:val="Paragrafoelenco"/>
        <w:numPr>
          <w:ilvl w:val="0"/>
          <w:numId w:val="1"/>
        </w:numPr>
        <w:tabs>
          <w:tab w:val="left" w:pos="0"/>
        </w:tabs>
        <w:ind w:left="0" w:firstLine="709"/>
        <w:rPr>
          <w:rFonts w:ascii="Times New Roman" w:hAnsi="Times New Roman"/>
          <w:smallCaps/>
          <w:color w:val="0F243E" w:themeColor="text2" w:themeShade="80"/>
          <w:sz w:val="26"/>
          <w:szCs w:val="26"/>
        </w:rPr>
      </w:pPr>
      <w:r w:rsidRPr="002360E5">
        <w:rPr>
          <w:rFonts w:ascii="Times New Roman" w:hAnsi="Times New Roman"/>
          <w:b/>
          <w:smallCaps/>
          <w:color w:val="0F243E" w:themeColor="text2" w:themeShade="80"/>
          <w:sz w:val="26"/>
          <w:szCs w:val="26"/>
        </w:rPr>
        <w:t xml:space="preserve">Un </w:t>
      </w:r>
      <w:r w:rsidR="00907167" w:rsidRPr="002360E5">
        <w:rPr>
          <w:rFonts w:ascii="Times New Roman" w:hAnsi="Times New Roman"/>
          <w:b/>
          <w:smallCaps/>
          <w:color w:val="0F243E" w:themeColor="text2" w:themeShade="80"/>
          <w:sz w:val="26"/>
          <w:szCs w:val="26"/>
        </w:rPr>
        <w:t xml:space="preserve">possibile </w:t>
      </w:r>
      <w:r w:rsidRPr="002360E5">
        <w:rPr>
          <w:rFonts w:ascii="Times New Roman" w:hAnsi="Times New Roman"/>
          <w:b/>
          <w:smallCaps/>
          <w:color w:val="0F243E" w:themeColor="text2" w:themeShade="80"/>
          <w:sz w:val="26"/>
          <w:szCs w:val="26"/>
        </w:rPr>
        <w:t>ripensamento della</w:t>
      </w:r>
      <w:r w:rsidR="00B53200">
        <w:rPr>
          <w:rFonts w:ascii="Times New Roman" w:hAnsi="Times New Roman"/>
          <w:b/>
          <w:smallCaps/>
          <w:color w:val="0F243E" w:themeColor="text2" w:themeShade="80"/>
          <w:sz w:val="26"/>
          <w:szCs w:val="26"/>
        </w:rPr>
        <w:t xml:space="preserve"> espansione della</w:t>
      </w:r>
      <w:r w:rsidR="0005473C">
        <w:rPr>
          <w:rFonts w:ascii="Times New Roman" w:hAnsi="Times New Roman"/>
          <w:b/>
          <w:smallCaps/>
          <w:color w:val="0F243E" w:themeColor="text2" w:themeShade="80"/>
          <w:sz w:val="26"/>
          <w:szCs w:val="26"/>
        </w:rPr>
        <w:t xml:space="preserve">  </w:t>
      </w:r>
      <w:r w:rsidRPr="002360E5">
        <w:rPr>
          <w:rFonts w:ascii="Times New Roman" w:hAnsi="Times New Roman"/>
          <w:b/>
          <w:smallCaps/>
          <w:color w:val="0F243E" w:themeColor="text2" w:themeShade="80"/>
          <w:sz w:val="26"/>
          <w:szCs w:val="26"/>
        </w:rPr>
        <w:t xml:space="preserve"> regolamentazione flessibile: il ritorno alla tecnica normativa tradizionale?</w:t>
      </w:r>
    </w:p>
    <w:p w:rsidR="008D0D59" w:rsidRPr="002360E5" w:rsidRDefault="00847AC2" w:rsidP="00596E5E">
      <w:pPr>
        <w:pStyle w:val="Corpo"/>
        <w:widowControl w:val="0"/>
        <w:pBdr>
          <w:top w:val="none" w:sz="0" w:space="0" w:color="auto"/>
          <w:left w:val="none" w:sz="0" w:space="0" w:color="auto"/>
          <w:bottom w:val="none" w:sz="0" w:space="0" w:color="auto"/>
          <w:right w:val="none" w:sz="0" w:space="0" w:color="auto"/>
          <w:bar w:val="none" w:sz="0" w:color="auto"/>
        </w:pBdr>
        <w:tabs>
          <w:tab w:val="left" w:pos="0"/>
        </w:tabs>
        <w:suppressAutoHyphens/>
        <w:spacing w:after="0" w:line="360" w:lineRule="auto"/>
        <w:ind w:firstLine="709"/>
        <w:jc w:val="both"/>
        <w:rPr>
          <w:rFonts w:ascii="Times New Roman" w:hAnsi="Times New Roman" w:cs="Times New Roman"/>
          <w:bCs/>
          <w:color w:val="0F243E" w:themeColor="text2" w:themeShade="80"/>
          <w:kern w:val="3"/>
          <w:sz w:val="26"/>
          <w:szCs w:val="26"/>
          <w:lang w:eastAsia="x-none"/>
        </w:rPr>
      </w:pPr>
      <w:r w:rsidRPr="002360E5">
        <w:rPr>
          <w:rFonts w:ascii="Times New Roman" w:hAnsi="Times New Roman" w:cs="Times New Roman"/>
          <w:bCs/>
          <w:color w:val="0F243E" w:themeColor="text2" w:themeShade="80"/>
          <w:kern w:val="3"/>
          <w:sz w:val="26"/>
          <w:szCs w:val="26"/>
          <w:lang w:eastAsia="x-none"/>
        </w:rPr>
        <w:t>Alcuni commentatori ritengono che</w:t>
      </w:r>
      <w:r w:rsidR="00E57A00">
        <w:rPr>
          <w:rFonts w:ascii="Times New Roman" w:hAnsi="Times New Roman" w:cs="Times New Roman"/>
          <w:bCs/>
          <w:color w:val="0F243E" w:themeColor="text2" w:themeShade="80"/>
          <w:kern w:val="3"/>
          <w:sz w:val="26"/>
          <w:szCs w:val="26"/>
          <w:lang w:eastAsia="x-none"/>
        </w:rPr>
        <w:t>, ora,</w:t>
      </w:r>
      <w:r w:rsidR="009A7721">
        <w:rPr>
          <w:rFonts w:ascii="Times New Roman" w:hAnsi="Times New Roman" w:cs="Times New Roman"/>
          <w:bCs/>
          <w:color w:val="0F243E" w:themeColor="text2" w:themeShade="80"/>
          <w:kern w:val="3"/>
          <w:sz w:val="26"/>
          <w:szCs w:val="26"/>
          <w:lang w:eastAsia="x-none"/>
        </w:rPr>
        <w:t xml:space="preserve"> dopo</w:t>
      </w:r>
      <w:r w:rsidR="00E57A00">
        <w:rPr>
          <w:rFonts w:ascii="Times New Roman" w:hAnsi="Times New Roman" w:cs="Times New Roman"/>
          <w:bCs/>
          <w:color w:val="0F243E" w:themeColor="text2" w:themeShade="80"/>
          <w:kern w:val="3"/>
          <w:sz w:val="26"/>
          <w:szCs w:val="26"/>
          <w:lang w:eastAsia="x-none"/>
        </w:rPr>
        <w:t xml:space="preserve"> i primi mesi di esperienza (deludente) della </w:t>
      </w:r>
      <w:r w:rsidR="009A7721">
        <w:rPr>
          <w:rFonts w:ascii="Times New Roman" w:hAnsi="Times New Roman" w:cs="Times New Roman"/>
          <w:bCs/>
          <w:color w:val="0F243E" w:themeColor="text2" w:themeShade="80"/>
          <w:kern w:val="3"/>
          <w:sz w:val="26"/>
          <w:szCs w:val="26"/>
          <w:lang w:eastAsia="x-none"/>
        </w:rPr>
        <w:t>regolazione flessibile</w:t>
      </w:r>
      <w:r w:rsidRPr="002360E5">
        <w:rPr>
          <w:rFonts w:ascii="Times New Roman" w:hAnsi="Times New Roman" w:cs="Times New Roman"/>
          <w:bCs/>
          <w:color w:val="0F243E" w:themeColor="text2" w:themeShade="80"/>
          <w:kern w:val="3"/>
          <w:sz w:val="26"/>
          <w:szCs w:val="26"/>
          <w:lang w:eastAsia="x-none"/>
        </w:rPr>
        <w:t xml:space="preserve"> si stia realizzando “</w:t>
      </w:r>
      <w:r w:rsidR="008D0D59" w:rsidRPr="002360E5">
        <w:rPr>
          <w:rFonts w:ascii="Times New Roman" w:hAnsi="Times New Roman" w:cs="Times New Roman"/>
          <w:bCs/>
          <w:i/>
          <w:color w:val="0F243E" w:themeColor="text2" w:themeShade="80"/>
          <w:kern w:val="3"/>
          <w:sz w:val="26"/>
          <w:szCs w:val="26"/>
          <w:lang w:eastAsia="x-none"/>
        </w:rPr>
        <w:t>una significativa “marcia indietro” sui poteri regolamentari dell’ANAC in ambiti che attengono a una platea indifferenziata dei destinatari</w:t>
      </w:r>
      <w:r w:rsidRPr="002360E5">
        <w:rPr>
          <w:rFonts w:ascii="Times New Roman" w:hAnsi="Times New Roman" w:cs="Times New Roman"/>
          <w:bCs/>
          <w:color w:val="0F243E" w:themeColor="text2" w:themeShade="80"/>
          <w:kern w:val="3"/>
          <w:sz w:val="26"/>
          <w:szCs w:val="26"/>
          <w:lang w:eastAsia="x-none"/>
        </w:rPr>
        <w:t>”</w:t>
      </w:r>
      <w:r w:rsidR="008D0D59" w:rsidRPr="002360E5">
        <w:rPr>
          <w:rFonts w:ascii="Times New Roman" w:hAnsi="Times New Roman" w:cs="Times New Roman"/>
          <w:bCs/>
          <w:color w:val="0F243E" w:themeColor="text2" w:themeShade="80"/>
          <w:kern w:val="3"/>
          <w:sz w:val="26"/>
          <w:szCs w:val="26"/>
          <w:lang w:eastAsia="x-none"/>
        </w:rPr>
        <w:t>.</w:t>
      </w:r>
    </w:p>
    <w:p w:rsidR="008D0D59" w:rsidRPr="002360E5" w:rsidRDefault="00DB65B9" w:rsidP="00596E5E">
      <w:pPr>
        <w:widowControl w:val="0"/>
        <w:tabs>
          <w:tab w:val="left" w:pos="0"/>
        </w:tabs>
        <w:suppressAutoHyphens/>
        <w:rPr>
          <w:rFonts w:ascii="Times New Roman" w:eastAsia="Arial Unicode MS" w:hAnsi="Times New Roman"/>
          <w:bCs/>
          <w:color w:val="0F243E" w:themeColor="text2" w:themeShade="80"/>
          <w:kern w:val="3"/>
          <w:sz w:val="26"/>
          <w:szCs w:val="26"/>
          <w:u w:color="000000"/>
          <w:lang w:eastAsia="x-none"/>
        </w:rPr>
      </w:pPr>
      <w:r w:rsidRPr="002360E5">
        <w:rPr>
          <w:rFonts w:ascii="Times New Roman" w:eastAsia="Arial Unicode MS" w:hAnsi="Times New Roman"/>
          <w:bCs/>
          <w:color w:val="0F243E" w:themeColor="text2" w:themeShade="80"/>
          <w:kern w:val="3"/>
          <w:sz w:val="26"/>
          <w:szCs w:val="26"/>
          <w:u w:color="000000"/>
          <w:lang w:eastAsia="x-none"/>
        </w:rPr>
        <w:t>Si indica, in tal senso, l</w:t>
      </w:r>
      <w:r w:rsidR="002E7A67">
        <w:rPr>
          <w:rFonts w:ascii="Times New Roman" w:eastAsia="Arial Unicode MS" w:hAnsi="Times New Roman"/>
          <w:bCs/>
          <w:color w:val="0F243E" w:themeColor="text2" w:themeShade="80"/>
          <w:kern w:val="3"/>
          <w:sz w:val="26"/>
          <w:szCs w:val="26"/>
          <w:u w:color="000000"/>
          <w:lang w:eastAsia="x-none"/>
        </w:rPr>
        <w:t>’emblematic</w:t>
      </w:r>
      <w:r w:rsidRPr="002360E5">
        <w:rPr>
          <w:rFonts w:ascii="Times New Roman" w:eastAsia="Arial Unicode MS" w:hAnsi="Times New Roman"/>
          <w:bCs/>
          <w:color w:val="0F243E" w:themeColor="text2" w:themeShade="80"/>
          <w:kern w:val="3"/>
          <w:sz w:val="26"/>
          <w:szCs w:val="26"/>
          <w:u w:color="000000"/>
          <w:lang w:eastAsia="x-none"/>
        </w:rPr>
        <w:t>a vicenda de</w:t>
      </w:r>
      <w:r w:rsidR="008D0D59" w:rsidRPr="002360E5">
        <w:rPr>
          <w:rFonts w:ascii="Times New Roman" w:eastAsia="Arial Unicode MS" w:hAnsi="Times New Roman"/>
          <w:bCs/>
          <w:color w:val="0F243E" w:themeColor="text2" w:themeShade="80"/>
          <w:kern w:val="3"/>
          <w:sz w:val="26"/>
          <w:szCs w:val="26"/>
          <w:u w:color="000000"/>
          <w:lang w:eastAsia="x-none"/>
        </w:rPr>
        <w:t xml:space="preserve">lla </w:t>
      </w:r>
      <w:r w:rsidR="009A7721">
        <w:rPr>
          <w:rFonts w:ascii="Times New Roman" w:eastAsia="Arial Unicode MS" w:hAnsi="Times New Roman"/>
          <w:bCs/>
          <w:color w:val="0F243E" w:themeColor="text2" w:themeShade="80"/>
          <w:kern w:val="3"/>
          <w:sz w:val="26"/>
          <w:szCs w:val="26"/>
          <w:u w:color="000000"/>
          <w:lang w:eastAsia="x-none"/>
        </w:rPr>
        <w:t xml:space="preserve">disciplina della </w:t>
      </w:r>
      <w:r w:rsidR="008D0D59" w:rsidRPr="002360E5">
        <w:rPr>
          <w:rFonts w:ascii="Times New Roman" w:eastAsia="Arial Unicode MS" w:hAnsi="Times New Roman"/>
          <w:bCs/>
          <w:color w:val="0F243E" w:themeColor="text2" w:themeShade="80"/>
          <w:kern w:val="3"/>
          <w:sz w:val="26"/>
          <w:szCs w:val="26"/>
          <w:u w:color="000000"/>
          <w:lang w:eastAsia="x-none"/>
        </w:rPr>
        <w:t>qualificazione degli operatori economici</w:t>
      </w:r>
      <w:r w:rsidR="003659EB">
        <w:rPr>
          <w:rFonts w:ascii="Times New Roman" w:eastAsia="Arial Unicode MS" w:hAnsi="Times New Roman"/>
          <w:bCs/>
          <w:color w:val="0F243E" w:themeColor="text2" w:themeShade="80"/>
          <w:kern w:val="3"/>
          <w:sz w:val="26"/>
          <w:szCs w:val="26"/>
          <w:u w:color="000000"/>
          <w:lang w:eastAsia="x-none"/>
        </w:rPr>
        <w:t>, originariamente affidata a linee guida e ora ricondotta a fonti regolamentari</w:t>
      </w:r>
      <w:r w:rsidR="00832531">
        <w:rPr>
          <w:rFonts w:ascii="Times New Roman" w:eastAsia="Arial Unicode MS" w:hAnsi="Times New Roman"/>
          <w:bCs/>
          <w:color w:val="0F243E" w:themeColor="text2" w:themeShade="80"/>
          <w:kern w:val="3"/>
          <w:sz w:val="26"/>
          <w:szCs w:val="26"/>
          <w:u w:color="000000"/>
          <w:lang w:eastAsia="x-none"/>
        </w:rPr>
        <w:t xml:space="preserve"> </w:t>
      </w:r>
      <w:r w:rsidR="003659EB">
        <w:rPr>
          <w:rFonts w:ascii="Times New Roman" w:eastAsia="Arial Unicode MS" w:hAnsi="Times New Roman"/>
          <w:bCs/>
          <w:color w:val="0F243E" w:themeColor="text2" w:themeShade="80"/>
          <w:kern w:val="3"/>
          <w:sz w:val="26"/>
          <w:szCs w:val="26"/>
          <w:u w:color="000000"/>
          <w:lang w:eastAsia="x-none"/>
        </w:rPr>
        <w:t>governative</w:t>
      </w:r>
      <w:r w:rsidR="008D0D59" w:rsidRPr="002360E5">
        <w:rPr>
          <w:rFonts w:ascii="Times New Roman" w:eastAsia="Arial Unicode MS" w:hAnsi="Times New Roman"/>
          <w:bCs/>
          <w:color w:val="0F243E" w:themeColor="text2" w:themeShade="80"/>
          <w:kern w:val="3"/>
          <w:sz w:val="26"/>
          <w:szCs w:val="26"/>
          <w:u w:color="000000"/>
          <w:lang w:eastAsia="x-none"/>
        </w:rPr>
        <w:t>.</w:t>
      </w:r>
    </w:p>
    <w:p w:rsidR="008D0D59" w:rsidRPr="002360E5" w:rsidRDefault="008D0D59" w:rsidP="00596E5E">
      <w:pPr>
        <w:pBdr>
          <w:top w:val="nil"/>
          <w:left w:val="nil"/>
          <w:bottom w:val="nil"/>
          <w:right w:val="nil"/>
          <w:between w:val="nil"/>
          <w:bar w:val="nil"/>
        </w:pBdr>
        <w:tabs>
          <w:tab w:val="left" w:pos="0"/>
        </w:tabs>
        <w:rPr>
          <w:rFonts w:ascii="Times New Roman" w:eastAsia="Cambria" w:hAnsi="Times New Roman"/>
          <w:bCs/>
          <w:color w:val="0F243E" w:themeColor="text2" w:themeShade="80"/>
          <w:sz w:val="26"/>
          <w:szCs w:val="26"/>
          <w:u w:color="000000"/>
          <w:bdr w:val="nil"/>
          <w:lang w:eastAsia="it-IT"/>
        </w:rPr>
      </w:pPr>
      <w:r w:rsidRPr="002360E5">
        <w:rPr>
          <w:rFonts w:ascii="Times New Roman" w:eastAsia="Cambria" w:hAnsi="Times New Roman"/>
          <w:bCs/>
          <w:color w:val="0F243E" w:themeColor="text2" w:themeShade="80"/>
          <w:sz w:val="26"/>
          <w:szCs w:val="26"/>
          <w:u w:color="000000"/>
          <w:bdr w:val="nil"/>
          <w:lang w:eastAsia="it-IT"/>
        </w:rPr>
        <w:t>Sia il parere del Consiglio di Stato sullo schema di codice che quello sullo schema di correttivo avevano osservato in relazione alle linee guida sulla qualificazione degli operatori economici (artt. 83 e 84) che si tratta di materia intrinsecamente normativa, da affidare alle linee guida ministeriali</w:t>
      </w:r>
      <w:r w:rsidR="003659EB">
        <w:rPr>
          <w:rFonts w:ascii="Times New Roman" w:eastAsia="Cambria" w:hAnsi="Times New Roman"/>
          <w:bCs/>
          <w:color w:val="0F243E" w:themeColor="text2" w:themeShade="80"/>
          <w:sz w:val="26"/>
          <w:szCs w:val="26"/>
          <w:u w:color="000000"/>
          <w:bdr w:val="nil"/>
          <w:lang w:eastAsia="it-IT"/>
        </w:rPr>
        <w:t>, tradotte in un atto avente la forma e l’efficacia di un regolamento ex art. 17 della legge n. 400/1988</w:t>
      </w:r>
      <w:r w:rsidRPr="002360E5">
        <w:rPr>
          <w:rFonts w:ascii="Times New Roman" w:eastAsia="Cambria" w:hAnsi="Times New Roman"/>
          <w:bCs/>
          <w:color w:val="0F243E" w:themeColor="text2" w:themeShade="80"/>
          <w:sz w:val="26"/>
          <w:szCs w:val="26"/>
          <w:u w:color="000000"/>
          <w:bdr w:val="nil"/>
          <w:vertAlign w:val="superscript"/>
          <w:lang w:eastAsia="it-IT"/>
        </w:rPr>
        <w:footnoteReference w:id="13"/>
      </w:r>
      <w:r w:rsidRPr="002360E5">
        <w:rPr>
          <w:rFonts w:ascii="Times New Roman" w:eastAsia="Cambria" w:hAnsi="Times New Roman"/>
          <w:bCs/>
          <w:color w:val="0F243E" w:themeColor="text2" w:themeShade="80"/>
          <w:sz w:val="26"/>
          <w:szCs w:val="26"/>
          <w:u w:color="000000"/>
          <w:bdr w:val="nil"/>
          <w:lang w:eastAsia="it-IT"/>
        </w:rPr>
        <w:t>.</w:t>
      </w:r>
    </w:p>
    <w:p w:rsidR="008D0D59" w:rsidRPr="002360E5" w:rsidRDefault="00D0164D" w:rsidP="00596E5E">
      <w:pPr>
        <w:widowControl w:val="0"/>
        <w:tabs>
          <w:tab w:val="left" w:pos="0"/>
        </w:tabs>
        <w:suppressAutoHyphens/>
        <w:rPr>
          <w:rFonts w:ascii="Times New Roman" w:eastAsia="Arial Unicode MS" w:hAnsi="Times New Roman"/>
          <w:bCs/>
          <w:color w:val="0F243E" w:themeColor="text2" w:themeShade="80"/>
          <w:kern w:val="3"/>
          <w:sz w:val="26"/>
          <w:szCs w:val="26"/>
          <w:u w:color="000000"/>
          <w:lang w:eastAsia="x-none"/>
        </w:rPr>
      </w:pPr>
      <w:r>
        <w:rPr>
          <w:rFonts w:ascii="Times New Roman" w:eastAsia="Arial Unicode MS" w:hAnsi="Times New Roman"/>
          <w:bCs/>
          <w:color w:val="0F243E" w:themeColor="text2" w:themeShade="80"/>
          <w:kern w:val="3"/>
          <w:sz w:val="26"/>
          <w:szCs w:val="26"/>
          <w:u w:color="000000"/>
          <w:lang w:eastAsia="x-none"/>
        </w:rPr>
        <w:t xml:space="preserve">Nella sua versione originaria, </w:t>
      </w:r>
      <w:r w:rsidRPr="002360E5">
        <w:rPr>
          <w:rFonts w:ascii="Times New Roman" w:eastAsia="Arial Unicode MS" w:hAnsi="Times New Roman"/>
          <w:bCs/>
          <w:color w:val="0F243E" w:themeColor="text2" w:themeShade="80"/>
          <w:kern w:val="3"/>
          <w:sz w:val="26"/>
          <w:szCs w:val="26"/>
          <w:u w:color="000000"/>
          <w:lang w:eastAsia="x-none"/>
        </w:rPr>
        <w:t xml:space="preserve">il </w:t>
      </w:r>
      <w:r w:rsidR="008D0D59" w:rsidRPr="002360E5">
        <w:rPr>
          <w:rFonts w:ascii="Times New Roman" w:eastAsia="Arial Unicode MS" w:hAnsi="Times New Roman"/>
          <w:bCs/>
          <w:color w:val="0F243E" w:themeColor="text2" w:themeShade="80"/>
          <w:kern w:val="3"/>
          <w:sz w:val="26"/>
          <w:szCs w:val="26"/>
          <w:u w:color="000000"/>
          <w:lang w:eastAsia="x-none"/>
        </w:rPr>
        <w:t>codice aveva previsto</w:t>
      </w:r>
      <w:r>
        <w:rPr>
          <w:rFonts w:ascii="Times New Roman" w:eastAsia="Arial Unicode MS" w:hAnsi="Times New Roman"/>
          <w:bCs/>
          <w:color w:val="0F243E" w:themeColor="text2" w:themeShade="80"/>
          <w:kern w:val="3"/>
          <w:sz w:val="26"/>
          <w:szCs w:val="26"/>
          <w:u w:color="000000"/>
          <w:lang w:eastAsia="x-none"/>
        </w:rPr>
        <w:t>, al riguardo,</w:t>
      </w:r>
      <w:r w:rsidR="008D0D59" w:rsidRPr="002360E5">
        <w:rPr>
          <w:rFonts w:ascii="Times New Roman" w:eastAsia="Arial Unicode MS" w:hAnsi="Times New Roman"/>
          <w:bCs/>
          <w:color w:val="0F243E" w:themeColor="text2" w:themeShade="80"/>
          <w:kern w:val="3"/>
          <w:sz w:val="26"/>
          <w:szCs w:val="26"/>
          <w:u w:color="000000"/>
          <w:lang w:eastAsia="x-none"/>
        </w:rPr>
        <w:t xml:space="preserve"> un tipo </w:t>
      </w:r>
      <w:r w:rsidR="008D0D59" w:rsidRPr="002360E5">
        <w:rPr>
          <w:rFonts w:ascii="Times New Roman" w:eastAsia="Arial Unicode MS" w:hAnsi="Times New Roman"/>
          <w:bCs/>
          <w:i/>
          <w:color w:val="0F243E" w:themeColor="text2" w:themeShade="80"/>
          <w:kern w:val="3"/>
          <w:sz w:val="26"/>
          <w:szCs w:val="26"/>
          <w:u w:color="000000"/>
          <w:lang w:eastAsia="x-none"/>
        </w:rPr>
        <w:t>sui generis</w:t>
      </w:r>
      <w:r w:rsidR="008D0D59" w:rsidRPr="002360E5">
        <w:rPr>
          <w:rFonts w:ascii="Times New Roman" w:eastAsia="Arial Unicode MS" w:hAnsi="Times New Roman"/>
          <w:bCs/>
          <w:color w:val="0F243E" w:themeColor="text2" w:themeShade="80"/>
          <w:kern w:val="3"/>
          <w:sz w:val="26"/>
          <w:szCs w:val="26"/>
          <w:u w:color="000000"/>
          <w:lang w:eastAsia="x-none"/>
        </w:rPr>
        <w:t xml:space="preserve"> di LG, </w:t>
      </w:r>
      <w:r w:rsidR="00DB65B9" w:rsidRPr="002360E5">
        <w:rPr>
          <w:rFonts w:ascii="Times New Roman" w:eastAsia="Arial Unicode MS" w:hAnsi="Times New Roman"/>
          <w:bCs/>
          <w:color w:val="0F243E" w:themeColor="text2" w:themeShade="80"/>
          <w:kern w:val="3"/>
          <w:sz w:val="26"/>
          <w:szCs w:val="26"/>
          <w:u w:color="000000"/>
          <w:lang w:eastAsia="x-none"/>
        </w:rPr>
        <w:t xml:space="preserve">qualificato, da taluno come </w:t>
      </w:r>
      <w:r w:rsidR="008D0D59" w:rsidRPr="002360E5">
        <w:rPr>
          <w:rFonts w:ascii="Times New Roman" w:eastAsia="Arial Unicode MS" w:hAnsi="Times New Roman"/>
          <w:bCs/>
          <w:color w:val="0F243E" w:themeColor="text2" w:themeShade="80"/>
          <w:kern w:val="3"/>
          <w:sz w:val="26"/>
          <w:szCs w:val="26"/>
          <w:u w:color="000000"/>
          <w:lang w:eastAsia="x-none"/>
        </w:rPr>
        <w:t xml:space="preserve">un </w:t>
      </w:r>
      <w:r w:rsidR="008D0D59" w:rsidRPr="002360E5">
        <w:rPr>
          <w:rFonts w:ascii="Times New Roman" w:eastAsia="Arial Unicode MS" w:hAnsi="Times New Roman"/>
          <w:bCs/>
          <w:i/>
          <w:color w:val="0F243E" w:themeColor="text2" w:themeShade="80"/>
          <w:kern w:val="3"/>
          <w:sz w:val="26"/>
          <w:szCs w:val="26"/>
          <w:u w:color="000000"/>
          <w:lang w:eastAsia="x-none"/>
        </w:rPr>
        <w:t>quartum genus</w:t>
      </w:r>
      <w:r w:rsidR="008D0D59" w:rsidRPr="002360E5">
        <w:rPr>
          <w:rFonts w:ascii="Times New Roman" w:eastAsia="Arial Unicode MS" w:hAnsi="Times New Roman"/>
          <w:bCs/>
          <w:color w:val="0F243E" w:themeColor="text2" w:themeShade="80"/>
          <w:kern w:val="3"/>
          <w:sz w:val="26"/>
          <w:szCs w:val="26"/>
          <w:u w:color="000000"/>
          <w:lang w:eastAsia="x-none"/>
        </w:rPr>
        <w:t xml:space="preserve"> rispetto ai tre ipotizzati dalla delega, </w:t>
      </w:r>
      <w:r w:rsidR="00DB65B9" w:rsidRPr="002360E5">
        <w:rPr>
          <w:rFonts w:ascii="Times New Roman" w:eastAsia="Arial Unicode MS" w:hAnsi="Times New Roman"/>
          <w:bCs/>
          <w:color w:val="0F243E" w:themeColor="text2" w:themeShade="80"/>
          <w:kern w:val="3"/>
          <w:sz w:val="26"/>
          <w:szCs w:val="26"/>
          <w:u w:color="000000"/>
          <w:lang w:eastAsia="x-none"/>
        </w:rPr>
        <w:t>prevede</w:t>
      </w:r>
      <w:r w:rsidR="008D0D59" w:rsidRPr="002360E5">
        <w:rPr>
          <w:rFonts w:ascii="Times New Roman" w:eastAsia="Arial Unicode MS" w:hAnsi="Times New Roman"/>
          <w:bCs/>
          <w:color w:val="0F243E" w:themeColor="text2" w:themeShade="80"/>
          <w:kern w:val="3"/>
          <w:sz w:val="26"/>
          <w:szCs w:val="26"/>
          <w:u w:color="000000"/>
          <w:lang w:eastAsia="x-none"/>
        </w:rPr>
        <w:t>ndo LG dell’ANAC sulla qualificazione, previo parere delle competenti commissioni parlamentari.</w:t>
      </w:r>
    </w:p>
    <w:p w:rsidR="008D0D59" w:rsidRPr="002360E5" w:rsidRDefault="00D0164D" w:rsidP="00596E5E">
      <w:pPr>
        <w:pBdr>
          <w:top w:val="nil"/>
          <w:left w:val="nil"/>
          <w:bottom w:val="nil"/>
          <w:right w:val="nil"/>
          <w:between w:val="nil"/>
          <w:bar w:val="nil"/>
        </w:pBdr>
        <w:tabs>
          <w:tab w:val="left" w:pos="0"/>
        </w:tabs>
        <w:rPr>
          <w:rFonts w:ascii="Times New Roman" w:eastAsia="Cambria" w:hAnsi="Times New Roman"/>
          <w:color w:val="0F243E" w:themeColor="text2" w:themeShade="80"/>
          <w:sz w:val="26"/>
          <w:szCs w:val="26"/>
          <w:u w:color="000000"/>
          <w:bdr w:val="nil"/>
          <w:lang w:eastAsia="it-IT"/>
        </w:rPr>
      </w:pPr>
      <w:r>
        <w:rPr>
          <w:rFonts w:ascii="Times New Roman" w:eastAsia="Cambria" w:hAnsi="Times New Roman"/>
          <w:bCs/>
          <w:color w:val="0F243E" w:themeColor="text2" w:themeShade="80"/>
          <w:sz w:val="26"/>
          <w:szCs w:val="26"/>
          <w:u w:color="000000"/>
          <w:bdr w:val="nil"/>
          <w:lang w:eastAsia="it-IT"/>
        </w:rPr>
        <w:t xml:space="preserve">Ma </w:t>
      </w:r>
      <w:r w:rsidR="008D0D59" w:rsidRPr="002360E5">
        <w:rPr>
          <w:rFonts w:ascii="Times New Roman" w:eastAsia="Cambria" w:hAnsi="Times New Roman"/>
          <w:bCs/>
          <w:color w:val="0F243E" w:themeColor="text2" w:themeShade="80"/>
          <w:sz w:val="26"/>
          <w:szCs w:val="26"/>
          <w:u w:color="000000"/>
          <w:bdr w:val="nil"/>
          <w:lang w:eastAsia="it-IT"/>
        </w:rPr>
        <w:t>era dubbia la costituzionalità</w:t>
      </w:r>
      <w:r>
        <w:rPr>
          <w:rFonts w:ascii="Times New Roman" w:eastAsia="Cambria" w:hAnsi="Times New Roman"/>
          <w:bCs/>
          <w:color w:val="0F243E" w:themeColor="text2" w:themeShade="80"/>
          <w:sz w:val="26"/>
          <w:szCs w:val="26"/>
          <w:u w:color="000000"/>
          <w:bdr w:val="nil"/>
          <w:lang w:eastAsia="it-IT"/>
        </w:rPr>
        <w:t xml:space="preserve"> di questa previsione</w:t>
      </w:r>
      <w:r w:rsidR="008D0D59" w:rsidRPr="002360E5">
        <w:rPr>
          <w:rFonts w:ascii="Times New Roman" w:eastAsia="Cambria" w:hAnsi="Times New Roman"/>
          <w:bCs/>
          <w:color w:val="0F243E" w:themeColor="text2" w:themeShade="80"/>
          <w:sz w:val="26"/>
          <w:szCs w:val="26"/>
          <w:u w:color="000000"/>
          <w:bdr w:val="nil"/>
          <w:lang w:eastAsia="it-IT"/>
        </w:rPr>
        <w:t>: sia per eccesso di delega</w:t>
      </w:r>
      <w:r w:rsidR="00C31C58" w:rsidRPr="002360E5">
        <w:rPr>
          <w:rFonts w:ascii="Times New Roman" w:eastAsia="Cambria" w:hAnsi="Times New Roman"/>
          <w:bCs/>
          <w:color w:val="0F243E" w:themeColor="text2" w:themeShade="80"/>
          <w:sz w:val="26"/>
          <w:szCs w:val="26"/>
          <w:u w:color="000000"/>
          <w:bdr w:val="nil"/>
          <w:lang w:eastAsia="it-IT"/>
        </w:rPr>
        <w:t>,</w:t>
      </w:r>
      <w:r w:rsidR="008D0D59" w:rsidRPr="002360E5">
        <w:rPr>
          <w:rFonts w:ascii="Times New Roman" w:eastAsia="Cambria" w:hAnsi="Times New Roman"/>
          <w:bCs/>
          <w:color w:val="0F243E" w:themeColor="text2" w:themeShade="80"/>
          <w:sz w:val="26"/>
          <w:szCs w:val="26"/>
          <w:u w:color="000000"/>
          <w:bdr w:val="nil"/>
          <w:lang w:eastAsia="it-IT"/>
        </w:rPr>
        <w:t xml:space="preserve"> sia perché si creava un “</w:t>
      </w:r>
      <w:r w:rsidR="008D0D59" w:rsidRPr="002360E5">
        <w:rPr>
          <w:rFonts w:ascii="Times New Roman" w:eastAsia="Cambria" w:hAnsi="Times New Roman"/>
          <w:bCs/>
          <w:i/>
          <w:color w:val="0F243E" w:themeColor="text2" w:themeShade="80"/>
          <w:sz w:val="26"/>
          <w:szCs w:val="26"/>
          <w:u w:color="000000"/>
          <w:bdr w:val="nil"/>
          <w:lang w:eastAsia="it-IT"/>
        </w:rPr>
        <w:t>atto anomalo</w:t>
      </w:r>
      <w:r w:rsidR="008D0D59" w:rsidRPr="002360E5">
        <w:rPr>
          <w:rFonts w:ascii="Times New Roman" w:eastAsia="Cambria" w:hAnsi="Times New Roman"/>
          <w:bCs/>
          <w:color w:val="0F243E" w:themeColor="text2" w:themeShade="80"/>
          <w:sz w:val="26"/>
          <w:szCs w:val="26"/>
          <w:u w:color="000000"/>
          <w:bdr w:val="nil"/>
          <w:lang w:eastAsia="it-IT"/>
        </w:rPr>
        <w:t xml:space="preserve">” in cui un organo costituzionale quale il Parlamento rende parere ad un organo tecnico che, per quanto indipendente, non ha rango costituzionale. Questo, con le ulteriori implicazioni nel caso in cui l’ANAC si scostasse dal parere (obbligatorio ma mai vincolante) delle Commissioni parlamentari, senza </w:t>
      </w:r>
      <w:r w:rsidR="00C31C58" w:rsidRPr="002360E5">
        <w:rPr>
          <w:rFonts w:ascii="Times New Roman" w:eastAsia="Cambria" w:hAnsi="Times New Roman"/>
          <w:bCs/>
          <w:color w:val="0F243E" w:themeColor="text2" w:themeShade="80"/>
          <w:sz w:val="26"/>
          <w:szCs w:val="26"/>
          <w:u w:color="000000"/>
          <w:bdr w:val="nil"/>
          <w:lang w:eastAsia="it-IT"/>
        </w:rPr>
        <w:t xml:space="preserve">incorrere in </w:t>
      </w:r>
      <w:r w:rsidR="008D0D59" w:rsidRPr="002360E5">
        <w:rPr>
          <w:rFonts w:ascii="Times New Roman" w:eastAsia="Cambria" w:hAnsi="Times New Roman"/>
          <w:bCs/>
          <w:color w:val="0F243E" w:themeColor="text2" w:themeShade="80"/>
          <w:sz w:val="26"/>
          <w:szCs w:val="26"/>
          <w:u w:color="000000"/>
          <w:bdr w:val="nil"/>
          <w:lang w:eastAsia="it-IT"/>
        </w:rPr>
        <w:t>alcuna responsabilità politica</w:t>
      </w:r>
      <w:r w:rsidR="008D0D59" w:rsidRPr="002360E5">
        <w:rPr>
          <w:rFonts w:ascii="Times New Roman" w:eastAsia="Cambria" w:hAnsi="Times New Roman"/>
          <w:color w:val="0F243E" w:themeColor="text2" w:themeShade="80"/>
          <w:sz w:val="26"/>
          <w:szCs w:val="26"/>
          <w:u w:color="000000"/>
          <w:bdr w:val="nil"/>
          <w:lang w:eastAsia="it-IT"/>
        </w:rPr>
        <w:t xml:space="preserve"> </w:t>
      </w:r>
      <w:r w:rsidR="00C31C58" w:rsidRPr="002360E5">
        <w:rPr>
          <w:rFonts w:ascii="Times New Roman" w:eastAsia="Cambria" w:hAnsi="Times New Roman"/>
          <w:color w:val="0F243E" w:themeColor="text2" w:themeShade="80"/>
          <w:sz w:val="26"/>
          <w:szCs w:val="26"/>
          <w:u w:color="000000"/>
          <w:bdr w:val="nil"/>
          <w:lang w:eastAsia="it-IT"/>
        </w:rPr>
        <w:t xml:space="preserve">diversamente da quanto avviene quando </w:t>
      </w:r>
      <w:r w:rsidR="008D0D59" w:rsidRPr="002360E5">
        <w:rPr>
          <w:rFonts w:ascii="Times New Roman" w:eastAsia="Cambria" w:hAnsi="Times New Roman"/>
          <w:color w:val="0F243E" w:themeColor="text2" w:themeShade="80"/>
          <w:sz w:val="26"/>
          <w:szCs w:val="26"/>
          <w:u w:color="000000"/>
          <w:bdr w:val="nil"/>
          <w:lang w:eastAsia="it-IT"/>
        </w:rPr>
        <w:t xml:space="preserve">è il </w:t>
      </w:r>
      <w:r w:rsidR="00C31C58" w:rsidRPr="002360E5">
        <w:rPr>
          <w:rFonts w:ascii="Times New Roman" w:eastAsia="Cambria" w:hAnsi="Times New Roman"/>
          <w:color w:val="0F243E" w:themeColor="text2" w:themeShade="80"/>
          <w:sz w:val="26"/>
          <w:szCs w:val="26"/>
          <w:u w:color="000000"/>
          <w:bdr w:val="nil"/>
          <w:lang w:eastAsia="it-IT"/>
        </w:rPr>
        <w:t xml:space="preserve">Governo a disattendere l’avviso </w:t>
      </w:r>
      <w:r w:rsidR="008D0D59" w:rsidRPr="002360E5">
        <w:rPr>
          <w:rFonts w:ascii="Times New Roman" w:eastAsia="Cambria" w:hAnsi="Times New Roman"/>
          <w:color w:val="0F243E" w:themeColor="text2" w:themeShade="80"/>
          <w:sz w:val="26"/>
          <w:szCs w:val="26"/>
          <w:u w:color="000000"/>
          <w:bdr w:val="nil"/>
          <w:lang w:eastAsia="it-IT"/>
        </w:rPr>
        <w:t>del Parlamento nei confronti del Governo</w:t>
      </w:r>
      <w:r w:rsidR="008D0D59" w:rsidRPr="002360E5">
        <w:rPr>
          <w:rFonts w:ascii="Times New Roman" w:eastAsia="Cambria" w:hAnsi="Times New Roman"/>
          <w:color w:val="0F243E" w:themeColor="text2" w:themeShade="80"/>
          <w:sz w:val="26"/>
          <w:szCs w:val="26"/>
          <w:u w:color="000000"/>
          <w:bdr w:val="nil"/>
          <w:vertAlign w:val="superscript"/>
          <w:lang w:eastAsia="it-IT"/>
        </w:rPr>
        <w:footnoteReference w:id="14"/>
      </w:r>
      <w:r w:rsidR="008D0D59" w:rsidRPr="002360E5">
        <w:rPr>
          <w:rFonts w:ascii="Times New Roman" w:eastAsia="Cambria" w:hAnsi="Times New Roman"/>
          <w:color w:val="0F243E" w:themeColor="text2" w:themeShade="80"/>
          <w:sz w:val="26"/>
          <w:szCs w:val="26"/>
          <w:u w:color="000000"/>
          <w:bdr w:val="nil"/>
          <w:lang w:eastAsia="it-IT"/>
        </w:rPr>
        <w:t>.</w:t>
      </w:r>
    </w:p>
    <w:p w:rsidR="008D0D59" w:rsidRPr="002360E5" w:rsidRDefault="008D0D59" w:rsidP="00596E5E">
      <w:pPr>
        <w:pBdr>
          <w:top w:val="nil"/>
          <w:left w:val="nil"/>
          <w:bottom w:val="nil"/>
          <w:right w:val="nil"/>
          <w:between w:val="nil"/>
          <w:bar w:val="nil"/>
        </w:pBdr>
        <w:tabs>
          <w:tab w:val="left" w:pos="0"/>
        </w:tabs>
        <w:rPr>
          <w:rFonts w:ascii="Times New Roman" w:eastAsia="Cambria" w:hAnsi="Times New Roman"/>
          <w:color w:val="0F243E" w:themeColor="text2" w:themeShade="80"/>
          <w:sz w:val="26"/>
          <w:szCs w:val="26"/>
          <w:u w:color="000000"/>
          <w:bdr w:val="nil"/>
          <w:lang w:eastAsia="it-IT"/>
        </w:rPr>
      </w:pPr>
      <w:r w:rsidRPr="002360E5">
        <w:rPr>
          <w:rFonts w:ascii="Times New Roman" w:eastAsia="Cambria" w:hAnsi="Times New Roman"/>
          <w:color w:val="0F243E" w:themeColor="text2" w:themeShade="80"/>
          <w:sz w:val="26"/>
          <w:szCs w:val="26"/>
          <w:u w:color="000000"/>
          <w:bdr w:val="nil"/>
          <w:lang w:eastAsia="it-IT"/>
        </w:rPr>
        <w:t>L’aver previsto il parere delle Camere nel procedimento di formazione delle LG ANAC sulla qualificazione degli operatori economici metteva una seria ipoteca di illegittimità costituzionale per eccesso di delega, su un pezzo importante della riforma.</w:t>
      </w:r>
    </w:p>
    <w:p w:rsidR="001F2059" w:rsidRDefault="008139A1"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Ora, al di là delle questioni riguardanti questo specifico aspetto, </w:t>
      </w:r>
      <w:r w:rsidR="00100824">
        <w:rPr>
          <w:rFonts w:ascii="Times New Roman" w:hAnsi="Times New Roman"/>
          <w:color w:val="0F243E" w:themeColor="text2" w:themeShade="80"/>
          <w:sz w:val="26"/>
          <w:szCs w:val="26"/>
        </w:rPr>
        <w:t xml:space="preserve">resta confermata l’idea di fondo, secondo cui l’architettura complessiva delle linee guida </w:t>
      </w:r>
      <w:r w:rsidR="004D66C6">
        <w:rPr>
          <w:rFonts w:ascii="Times New Roman" w:hAnsi="Times New Roman"/>
          <w:color w:val="0F243E" w:themeColor="text2" w:themeShade="80"/>
          <w:sz w:val="26"/>
          <w:szCs w:val="26"/>
        </w:rPr>
        <w:t xml:space="preserve">e </w:t>
      </w:r>
      <w:r w:rsidR="001F2059">
        <w:rPr>
          <w:rFonts w:ascii="Times New Roman" w:hAnsi="Times New Roman"/>
          <w:color w:val="0F243E" w:themeColor="text2" w:themeShade="80"/>
          <w:sz w:val="26"/>
          <w:szCs w:val="26"/>
        </w:rPr>
        <w:t>d</w:t>
      </w:r>
      <w:r w:rsidR="004D66C6">
        <w:rPr>
          <w:rFonts w:ascii="Times New Roman" w:hAnsi="Times New Roman"/>
          <w:color w:val="0F243E" w:themeColor="text2" w:themeShade="80"/>
          <w:sz w:val="26"/>
          <w:szCs w:val="26"/>
        </w:rPr>
        <w:t xml:space="preserve">ella regolazione flessibile dell’ANAC </w:t>
      </w:r>
      <w:r w:rsidR="00100824">
        <w:rPr>
          <w:rFonts w:ascii="Times New Roman" w:hAnsi="Times New Roman"/>
          <w:color w:val="0F243E" w:themeColor="text2" w:themeShade="80"/>
          <w:sz w:val="26"/>
          <w:szCs w:val="26"/>
        </w:rPr>
        <w:t>non stia determinando risul</w:t>
      </w:r>
      <w:r w:rsidR="00AE189B">
        <w:rPr>
          <w:rFonts w:ascii="Times New Roman" w:hAnsi="Times New Roman"/>
          <w:color w:val="0F243E" w:themeColor="text2" w:themeShade="80"/>
          <w:sz w:val="26"/>
          <w:szCs w:val="26"/>
        </w:rPr>
        <w:t>tati particolarmente importanti e non pare destinata a significativi sviluppi nel campo dei settori speciali.</w:t>
      </w:r>
    </w:p>
    <w:p w:rsidR="008139A1" w:rsidRPr="002360E5" w:rsidRDefault="001F2059" w:rsidP="00596E5E">
      <w:pPr>
        <w:pStyle w:val="Paragrafoelenco"/>
        <w:tabs>
          <w:tab w:val="left" w:pos="0"/>
        </w:tabs>
        <w:ind w:left="0"/>
        <w:rPr>
          <w:rFonts w:ascii="Times New Roman" w:hAnsi="Times New Roman"/>
          <w:color w:val="0F243E" w:themeColor="text2" w:themeShade="80"/>
          <w:sz w:val="26"/>
          <w:szCs w:val="26"/>
        </w:rPr>
      </w:pPr>
      <w:r>
        <w:rPr>
          <w:rFonts w:ascii="Times New Roman" w:hAnsi="Times New Roman"/>
          <w:color w:val="0F243E" w:themeColor="text2" w:themeShade="80"/>
          <w:sz w:val="26"/>
          <w:szCs w:val="26"/>
        </w:rPr>
        <w:t xml:space="preserve">Vero è che molti dei timori paventati dai primi commentatori si sono rilevati privi di fondamento. Ma lo stravolgimento del sistema delle fonti, non </w:t>
      </w:r>
      <w:r w:rsidR="000B0EE7">
        <w:rPr>
          <w:rFonts w:ascii="Times New Roman" w:hAnsi="Times New Roman"/>
          <w:color w:val="0F243E" w:themeColor="text2" w:themeShade="80"/>
          <w:sz w:val="26"/>
          <w:szCs w:val="26"/>
        </w:rPr>
        <w:t>pare aver determinato particolari benefici.</w:t>
      </w:r>
    </w:p>
    <w:p w:rsidR="00D46DBD" w:rsidRDefault="00AE189B" w:rsidP="00596E5E">
      <w:pPr>
        <w:pStyle w:val="NormaleWeb"/>
        <w:tabs>
          <w:tab w:val="left" w:pos="0"/>
        </w:tabs>
        <w:rPr>
          <w:color w:val="0F243E" w:themeColor="text2" w:themeShade="80"/>
          <w:sz w:val="26"/>
          <w:szCs w:val="26"/>
        </w:rPr>
      </w:pPr>
      <w:r>
        <w:rPr>
          <w:color w:val="0F243E" w:themeColor="text2" w:themeShade="80"/>
          <w:sz w:val="26"/>
          <w:szCs w:val="26"/>
        </w:rPr>
        <w:t xml:space="preserve">Proprio i </w:t>
      </w:r>
      <w:r w:rsidR="00204D6C">
        <w:rPr>
          <w:color w:val="0F243E" w:themeColor="text2" w:themeShade="80"/>
          <w:sz w:val="26"/>
          <w:szCs w:val="26"/>
        </w:rPr>
        <w:t>dati riguardanti i settori speciali risultano in questo senso molto interessanti, perché dimostrano la sostanziale irrilevanza del complesso procedimento diretto alla attuazion</w:t>
      </w:r>
      <w:r w:rsidR="00287521">
        <w:rPr>
          <w:color w:val="0F243E" w:themeColor="text2" w:themeShade="80"/>
          <w:sz w:val="26"/>
          <w:szCs w:val="26"/>
        </w:rPr>
        <w:t>e della regolazione flessibile e la sostanziale autosufficienza delle regole legislative generali e delle norme organizzative poste autonomamente da ciascuna stazione appaltante.</w:t>
      </w:r>
    </w:p>
    <w:p w:rsidR="00352ECA" w:rsidRDefault="00352ECA" w:rsidP="00596E5E">
      <w:pPr>
        <w:pStyle w:val="NormaleWeb"/>
        <w:tabs>
          <w:tab w:val="left" w:pos="0"/>
        </w:tabs>
        <w:rPr>
          <w:color w:val="0F243E" w:themeColor="text2" w:themeShade="80"/>
          <w:sz w:val="26"/>
          <w:szCs w:val="26"/>
        </w:rPr>
      </w:pPr>
    </w:p>
    <w:p w:rsidR="00352ECA" w:rsidRDefault="00352ECA" w:rsidP="00596E5E">
      <w:pPr>
        <w:pStyle w:val="NormaleWeb"/>
        <w:tabs>
          <w:tab w:val="left" w:pos="0"/>
        </w:tabs>
        <w:rPr>
          <w:color w:val="0F243E" w:themeColor="text2" w:themeShade="80"/>
          <w:sz w:val="26"/>
          <w:szCs w:val="26"/>
        </w:rPr>
      </w:pPr>
    </w:p>
    <w:p w:rsidR="005368B7" w:rsidRDefault="005368B7" w:rsidP="00596E5E">
      <w:pPr>
        <w:pStyle w:val="NormaleWeb"/>
        <w:tabs>
          <w:tab w:val="left" w:pos="0"/>
        </w:tabs>
        <w:rPr>
          <w:color w:val="0F243E" w:themeColor="text2" w:themeShade="80"/>
          <w:sz w:val="26"/>
          <w:szCs w:val="26"/>
        </w:rPr>
      </w:pPr>
    </w:p>
    <w:p w:rsidR="005368B7" w:rsidRPr="005368B7" w:rsidRDefault="005368B7" w:rsidP="005368B7">
      <w:pPr>
        <w:pStyle w:val="NormaleWeb"/>
        <w:tabs>
          <w:tab w:val="left" w:pos="0"/>
        </w:tabs>
        <w:jc w:val="right"/>
        <w:rPr>
          <w:b/>
          <w:color w:val="0F243E" w:themeColor="text2" w:themeShade="80"/>
          <w:sz w:val="32"/>
          <w:szCs w:val="32"/>
        </w:rPr>
      </w:pPr>
      <w:r w:rsidRPr="005368B7">
        <w:rPr>
          <w:b/>
          <w:color w:val="0F243E" w:themeColor="text2" w:themeShade="80"/>
          <w:sz w:val="32"/>
          <w:szCs w:val="32"/>
        </w:rPr>
        <w:t>Marco Lipari</w:t>
      </w:r>
    </w:p>
    <w:p w:rsidR="005368B7" w:rsidRDefault="005368B7" w:rsidP="005368B7">
      <w:pPr>
        <w:pStyle w:val="Paragrafoelenco"/>
        <w:tabs>
          <w:tab w:val="left" w:pos="0"/>
        </w:tabs>
        <w:ind w:left="0"/>
        <w:jc w:val="right"/>
        <w:rPr>
          <w:rFonts w:ascii="Times New Roman" w:hAnsi="Times New Roman"/>
          <w:color w:val="0F243E" w:themeColor="text2" w:themeShade="80"/>
          <w:sz w:val="24"/>
        </w:rPr>
      </w:pPr>
      <w:r w:rsidRPr="00BC7B5D">
        <w:rPr>
          <w:rFonts w:ascii="Times New Roman" w:hAnsi="Times New Roman"/>
          <w:color w:val="0F243E" w:themeColor="text2" w:themeShade="80"/>
          <w:sz w:val="24"/>
        </w:rPr>
        <w:t>Presidente di Sezione del Consiglio di Stato</w:t>
      </w:r>
    </w:p>
    <w:p w:rsidR="005368B7" w:rsidRDefault="00AF20BD" w:rsidP="005368B7">
      <w:pPr>
        <w:pStyle w:val="Paragrafoelenco"/>
        <w:tabs>
          <w:tab w:val="left" w:pos="0"/>
        </w:tabs>
        <w:ind w:left="0"/>
        <w:jc w:val="right"/>
        <w:rPr>
          <w:rFonts w:ascii="Times New Roman" w:hAnsi="Times New Roman"/>
          <w:color w:val="0F243E" w:themeColor="text2" w:themeShade="80"/>
          <w:sz w:val="24"/>
        </w:rPr>
      </w:pPr>
      <w:r>
        <w:rPr>
          <w:rFonts w:ascii="Times New Roman" w:hAnsi="Times New Roman"/>
          <w:color w:val="0F243E" w:themeColor="text2" w:themeShade="80"/>
          <w:sz w:val="24"/>
        </w:rPr>
        <w:t xml:space="preserve"> </w:t>
      </w:r>
    </w:p>
    <w:p w:rsidR="005368B7" w:rsidRPr="00BC7B5D" w:rsidRDefault="005368B7" w:rsidP="005368B7">
      <w:pPr>
        <w:pStyle w:val="Paragrafoelenco"/>
        <w:tabs>
          <w:tab w:val="left" w:pos="0"/>
        </w:tabs>
        <w:ind w:left="0"/>
        <w:jc w:val="right"/>
        <w:rPr>
          <w:rFonts w:ascii="Times New Roman" w:hAnsi="Times New Roman"/>
          <w:color w:val="0F243E" w:themeColor="text2" w:themeShade="80"/>
          <w:sz w:val="24"/>
        </w:rPr>
      </w:pPr>
      <w:r>
        <w:rPr>
          <w:rFonts w:ascii="Times New Roman" w:hAnsi="Times New Roman"/>
          <w:color w:val="0F243E" w:themeColor="text2" w:themeShade="80"/>
          <w:sz w:val="24"/>
        </w:rPr>
        <w:t>Pubblicato l’11 aprile 2018</w:t>
      </w:r>
    </w:p>
    <w:p w:rsidR="005368B7" w:rsidRPr="002360E5" w:rsidRDefault="005368B7" w:rsidP="00596E5E">
      <w:pPr>
        <w:pStyle w:val="NormaleWeb"/>
        <w:tabs>
          <w:tab w:val="left" w:pos="0"/>
        </w:tabs>
        <w:rPr>
          <w:color w:val="0F243E" w:themeColor="text2" w:themeShade="80"/>
          <w:sz w:val="26"/>
          <w:szCs w:val="26"/>
        </w:rPr>
      </w:pPr>
    </w:p>
    <w:sectPr w:rsidR="005368B7" w:rsidRPr="002360E5" w:rsidSect="00E6420C">
      <w:headerReference w:type="defaul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0BD" w:rsidRDefault="00AF20BD" w:rsidP="00924730">
      <w:pPr>
        <w:spacing w:line="240" w:lineRule="auto"/>
      </w:pPr>
      <w:r>
        <w:separator/>
      </w:r>
    </w:p>
  </w:endnote>
  <w:endnote w:type="continuationSeparator" w:id="0">
    <w:p w:rsidR="00AF20BD" w:rsidRDefault="00AF20BD" w:rsidP="00924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0BD" w:rsidRDefault="00AF20BD" w:rsidP="00924730">
      <w:pPr>
        <w:spacing w:line="240" w:lineRule="auto"/>
      </w:pPr>
      <w:r>
        <w:separator/>
      </w:r>
    </w:p>
  </w:footnote>
  <w:footnote w:type="continuationSeparator" w:id="0">
    <w:p w:rsidR="00AF20BD" w:rsidRDefault="00AF20BD" w:rsidP="00924730">
      <w:pPr>
        <w:spacing w:line="240" w:lineRule="auto"/>
      </w:pPr>
      <w:r>
        <w:continuationSeparator/>
      </w:r>
    </w:p>
  </w:footnote>
  <w:footnote w:id="1">
    <w:p w:rsidR="00AF20BD" w:rsidRPr="00C60E33" w:rsidRDefault="00AF20BD" w:rsidP="0040743A">
      <w:pPr>
        <w:pStyle w:val="Testonotaapidipagina"/>
        <w:spacing w:line="240" w:lineRule="auto"/>
        <w:rPr>
          <w:sz w:val="24"/>
        </w:rPr>
      </w:pPr>
      <w:r w:rsidRPr="00C60E33">
        <w:rPr>
          <w:rStyle w:val="Rimandonotaapidipagina"/>
          <w:sz w:val="24"/>
        </w:rPr>
        <w:footnoteRef/>
      </w:r>
      <w:r w:rsidRPr="00C60E33">
        <w:rPr>
          <w:sz w:val="24"/>
        </w:rPr>
        <w:t xml:space="preserve"> La letteratura sul ruolo dell’ANAC e sui poteri di regolazione ad essa attribuiti, prima e dopo l’entrata in vigore del codice, è già vastissima:</w:t>
      </w:r>
    </w:p>
    <w:p w:rsidR="00AF20BD" w:rsidRPr="00C60E33" w:rsidRDefault="00AF20BD" w:rsidP="0040743A">
      <w:pPr>
        <w:spacing w:line="240" w:lineRule="auto"/>
        <w:rPr>
          <w:sz w:val="24"/>
          <w:szCs w:val="20"/>
        </w:rPr>
      </w:pPr>
      <w:r w:rsidRPr="00C60E33">
        <w:rPr>
          <w:rFonts w:eastAsia="Times New Roman"/>
          <w:sz w:val="24"/>
          <w:szCs w:val="20"/>
          <w:lang w:eastAsia="it-IT"/>
        </w:rPr>
        <w:t>M. B</w:t>
      </w:r>
      <w:r w:rsidRPr="00C60E33">
        <w:rPr>
          <w:rFonts w:eastAsia="Times New Roman"/>
          <w:sz w:val="24"/>
          <w:szCs w:val="16"/>
          <w:lang w:eastAsia="it-IT"/>
        </w:rPr>
        <w:t>ALLORIANI</w:t>
      </w:r>
      <w:r w:rsidRPr="00C60E33">
        <w:rPr>
          <w:rFonts w:eastAsia="Times New Roman"/>
          <w:sz w:val="24"/>
          <w:szCs w:val="20"/>
          <w:lang w:eastAsia="it-IT"/>
        </w:rPr>
        <w:t xml:space="preserve">, </w:t>
      </w:r>
      <w:r w:rsidRPr="00C60E33">
        <w:rPr>
          <w:rFonts w:eastAsia="Times New Roman"/>
          <w:i/>
          <w:sz w:val="24"/>
          <w:szCs w:val="20"/>
          <w:lang w:eastAsia="it-IT"/>
        </w:rPr>
        <w:t xml:space="preserve">Il nuovo ruolo dell’ANAC, </w:t>
      </w:r>
      <w:r w:rsidRPr="00C60E33">
        <w:rPr>
          <w:rFonts w:eastAsia="Times New Roman"/>
          <w:sz w:val="24"/>
          <w:szCs w:val="20"/>
          <w:lang w:eastAsia="it-IT"/>
        </w:rPr>
        <w:t>Italia Oggi, 2016; R. C</w:t>
      </w:r>
      <w:r w:rsidRPr="00C60E33">
        <w:rPr>
          <w:rFonts w:eastAsia="Times New Roman"/>
          <w:sz w:val="24"/>
          <w:szCs w:val="16"/>
          <w:lang w:eastAsia="it-IT"/>
        </w:rPr>
        <w:t>ANTONE</w:t>
      </w:r>
      <w:r w:rsidRPr="00C60E33">
        <w:rPr>
          <w:rFonts w:eastAsia="Times New Roman"/>
          <w:sz w:val="24"/>
          <w:szCs w:val="20"/>
          <w:lang w:eastAsia="it-IT"/>
        </w:rPr>
        <w:t xml:space="preserve"> – F. M</w:t>
      </w:r>
      <w:r w:rsidRPr="00C60E33">
        <w:rPr>
          <w:rFonts w:eastAsia="Times New Roman"/>
          <w:sz w:val="24"/>
          <w:szCs w:val="16"/>
          <w:lang w:eastAsia="it-IT"/>
        </w:rPr>
        <w:t>ERLONI</w:t>
      </w:r>
      <w:r w:rsidRPr="00C60E33">
        <w:rPr>
          <w:rFonts w:eastAsia="Times New Roman"/>
          <w:sz w:val="24"/>
          <w:szCs w:val="20"/>
          <w:lang w:eastAsia="it-IT"/>
        </w:rPr>
        <w:t xml:space="preserve">, </w:t>
      </w:r>
      <w:r w:rsidRPr="00C60E33">
        <w:rPr>
          <w:rFonts w:eastAsia="Times New Roman"/>
          <w:i/>
          <w:sz w:val="24"/>
          <w:szCs w:val="20"/>
          <w:lang w:eastAsia="it-IT"/>
        </w:rPr>
        <w:t xml:space="preserve">La nuova Autorità nazionale anticorruzione, </w:t>
      </w:r>
      <w:r w:rsidRPr="00C60E33">
        <w:rPr>
          <w:rFonts w:eastAsia="Times New Roman"/>
          <w:sz w:val="24"/>
          <w:szCs w:val="20"/>
          <w:lang w:eastAsia="it-IT"/>
        </w:rPr>
        <w:t>Torino, 2015; M.P. C</w:t>
      </w:r>
      <w:r w:rsidRPr="00C60E33">
        <w:rPr>
          <w:rFonts w:eastAsia="Times New Roman"/>
          <w:sz w:val="24"/>
          <w:szCs w:val="16"/>
          <w:lang w:eastAsia="it-IT"/>
        </w:rPr>
        <w:t>HITI</w:t>
      </w:r>
      <w:r w:rsidRPr="00C60E33">
        <w:rPr>
          <w:rFonts w:eastAsia="Times New Roman"/>
          <w:sz w:val="24"/>
          <w:szCs w:val="20"/>
          <w:lang w:eastAsia="it-IT"/>
        </w:rPr>
        <w:t xml:space="preserve">, </w:t>
      </w:r>
      <w:r w:rsidRPr="00C60E33">
        <w:rPr>
          <w:rFonts w:eastAsia="Times New Roman"/>
          <w:i/>
          <w:sz w:val="24"/>
          <w:szCs w:val="20"/>
          <w:lang w:eastAsia="it-IT"/>
        </w:rPr>
        <w:t xml:space="preserve">Il nuovo Codice dei contratti, </w:t>
      </w:r>
      <w:r w:rsidRPr="00C60E33">
        <w:rPr>
          <w:rFonts w:eastAsia="Times New Roman"/>
          <w:sz w:val="24"/>
          <w:szCs w:val="20"/>
          <w:lang w:eastAsia="it-IT"/>
        </w:rPr>
        <w:t>M.P. C</w:t>
      </w:r>
      <w:r w:rsidRPr="00C60E33">
        <w:rPr>
          <w:rFonts w:eastAsia="Times New Roman"/>
          <w:sz w:val="24"/>
          <w:szCs w:val="16"/>
          <w:lang w:eastAsia="it-IT"/>
        </w:rPr>
        <w:t xml:space="preserve">HITI </w:t>
      </w:r>
      <w:r w:rsidRPr="00C60E33">
        <w:rPr>
          <w:rFonts w:eastAsia="Times New Roman"/>
          <w:sz w:val="24"/>
          <w:szCs w:val="20"/>
          <w:lang w:eastAsia="it-IT"/>
        </w:rPr>
        <w:t>- G. G</w:t>
      </w:r>
      <w:r w:rsidRPr="00C60E33">
        <w:rPr>
          <w:rFonts w:eastAsia="Times New Roman"/>
          <w:sz w:val="24"/>
          <w:szCs w:val="16"/>
          <w:lang w:eastAsia="it-IT"/>
        </w:rPr>
        <w:t>RECO</w:t>
      </w:r>
      <w:r w:rsidRPr="00C60E33">
        <w:rPr>
          <w:rFonts w:eastAsia="Times New Roman"/>
          <w:sz w:val="24"/>
          <w:szCs w:val="20"/>
          <w:lang w:eastAsia="it-IT"/>
        </w:rPr>
        <w:t xml:space="preserve">, </w:t>
      </w:r>
      <w:r w:rsidRPr="00C60E33">
        <w:rPr>
          <w:rFonts w:eastAsia="Times New Roman"/>
          <w:i/>
          <w:sz w:val="24"/>
          <w:szCs w:val="20"/>
          <w:lang w:eastAsia="it-IT"/>
        </w:rPr>
        <w:t xml:space="preserve">Trattato di diritto amministrativo europeo, </w:t>
      </w:r>
      <w:r w:rsidRPr="00C60E33">
        <w:rPr>
          <w:rFonts w:eastAsia="Times New Roman"/>
          <w:sz w:val="24"/>
          <w:szCs w:val="20"/>
          <w:lang w:eastAsia="it-IT"/>
        </w:rPr>
        <w:t>Roma, 2017; F. C</w:t>
      </w:r>
      <w:r w:rsidRPr="00C60E33">
        <w:rPr>
          <w:rFonts w:eastAsia="Times New Roman"/>
          <w:sz w:val="24"/>
          <w:szCs w:val="16"/>
          <w:lang w:eastAsia="it-IT"/>
        </w:rPr>
        <w:t>INTIOLI</w:t>
      </w:r>
      <w:r w:rsidRPr="00C60E33">
        <w:rPr>
          <w:rFonts w:eastAsia="Times New Roman"/>
          <w:sz w:val="24"/>
          <w:szCs w:val="20"/>
          <w:lang w:eastAsia="it-IT"/>
        </w:rPr>
        <w:t xml:space="preserve">, </w:t>
      </w:r>
      <w:r w:rsidRPr="00C60E33">
        <w:rPr>
          <w:rFonts w:eastAsia="Times New Roman"/>
          <w:i/>
          <w:sz w:val="24"/>
          <w:szCs w:val="20"/>
          <w:lang w:eastAsia="it-IT"/>
        </w:rPr>
        <w:t xml:space="preserve">Potere regolamentare e sindacato giurisdizionale, </w:t>
      </w:r>
      <w:r w:rsidRPr="00C60E33">
        <w:rPr>
          <w:rFonts w:eastAsia="Times New Roman"/>
          <w:sz w:val="24"/>
          <w:szCs w:val="20"/>
          <w:lang w:eastAsia="it-IT"/>
        </w:rPr>
        <w:t>Torino, 2007; F. C</w:t>
      </w:r>
      <w:r w:rsidRPr="00C60E33">
        <w:rPr>
          <w:rFonts w:eastAsia="Times New Roman"/>
          <w:sz w:val="24"/>
          <w:szCs w:val="16"/>
          <w:lang w:eastAsia="it-IT"/>
        </w:rPr>
        <w:t>INTIOLI</w:t>
      </w:r>
      <w:r w:rsidRPr="00C60E33">
        <w:rPr>
          <w:rFonts w:eastAsia="Times New Roman"/>
          <w:sz w:val="24"/>
          <w:szCs w:val="20"/>
          <w:lang w:eastAsia="it-IT"/>
        </w:rPr>
        <w:t xml:space="preserve">, </w:t>
      </w:r>
      <w:r w:rsidRPr="00C60E33">
        <w:rPr>
          <w:rFonts w:eastAsia="Times New Roman"/>
          <w:i/>
          <w:sz w:val="24"/>
          <w:szCs w:val="20"/>
          <w:lang w:eastAsia="it-IT"/>
        </w:rPr>
        <w:t xml:space="preserve">Il sindacato del giudice amministrativo sulle linee guida di ANAC, </w:t>
      </w:r>
      <w:r w:rsidRPr="00C60E33">
        <w:rPr>
          <w:rFonts w:eastAsia="Times New Roman"/>
          <w:sz w:val="24"/>
          <w:szCs w:val="20"/>
          <w:lang w:eastAsia="it-IT"/>
        </w:rPr>
        <w:t>Atti del Convegno</w:t>
      </w:r>
      <w:r w:rsidRPr="00C60E33">
        <w:rPr>
          <w:rFonts w:eastAsia="Times New Roman"/>
          <w:i/>
          <w:sz w:val="24"/>
          <w:szCs w:val="20"/>
          <w:lang w:eastAsia="it-IT"/>
        </w:rPr>
        <w:t xml:space="preserve"> L’amministrazione pubblica nella prospettiva del cambiamento: il codice dei contratti e la riforma “Madia”,</w:t>
      </w:r>
      <w:r w:rsidRPr="00C60E33">
        <w:rPr>
          <w:rFonts w:eastAsia="Times New Roman"/>
          <w:sz w:val="24"/>
          <w:szCs w:val="20"/>
          <w:lang w:eastAsia="it-IT"/>
        </w:rPr>
        <w:t xml:space="preserve"> Lecce, 28-29 ottobre 2016,</w:t>
      </w:r>
      <w:r w:rsidRPr="00C60E33">
        <w:rPr>
          <w:rFonts w:eastAsia="Times New Roman"/>
          <w:i/>
          <w:sz w:val="24"/>
          <w:szCs w:val="20"/>
          <w:lang w:eastAsia="it-IT"/>
        </w:rPr>
        <w:t xml:space="preserve"> </w:t>
      </w:r>
      <w:r w:rsidRPr="00C60E33">
        <w:rPr>
          <w:rFonts w:eastAsia="Times New Roman"/>
          <w:sz w:val="24"/>
          <w:szCs w:val="20"/>
          <w:lang w:eastAsia="it-IT"/>
        </w:rPr>
        <w:t>in www.italiappalti.it; C. C</w:t>
      </w:r>
      <w:r w:rsidRPr="00C60E33">
        <w:rPr>
          <w:rFonts w:eastAsia="Times New Roman"/>
          <w:sz w:val="24"/>
          <w:szCs w:val="16"/>
          <w:lang w:eastAsia="it-IT"/>
        </w:rPr>
        <w:t>ONTESSA</w:t>
      </w:r>
      <w:r w:rsidRPr="00C60E33">
        <w:rPr>
          <w:rFonts w:eastAsia="Times New Roman"/>
          <w:sz w:val="24"/>
          <w:szCs w:val="20"/>
          <w:lang w:eastAsia="it-IT"/>
        </w:rPr>
        <w:t xml:space="preserve">, </w:t>
      </w:r>
      <w:r w:rsidRPr="00C60E33">
        <w:rPr>
          <w:rFonts w:eastAsia="Times New Roman"/>
          <w:i/>
          <w:sz w:val="24"/>
          <w:szCs w:val="20"/>
          <w:lang w:eastAsia="it-IT"/>
        </w:rPr>
        <w:t xml:space="preserve">Dalla legge delega al nuovo “Codice”. Opportunità e profili di criticità, </w:t>
      </w:r>
      <w:r w:rsidRPr="00C60E33">
        <w:rPr>
          <w:rFonts w:eastAsia="Times New Roman"/>
          <w:sz w:val="24"/>
          <w:szCs w:val="20"/>
          <w:lang w:eastAsia="it-IT"/>
        </w:rPr>
        <w:t xml:space="preserve">in </w:t>
      </w:r>
      <w:hyperlink r:id="rId1" w:history="1">
        <w:r w:rsidRPr="00C60E33">
          <w:rPr>
            <w:color w:val="000000"/>
            <w:sz w:val="24"/>
            <w:szCs w:val="20"/>
            <w:lang w:eastAsia="it-IT"/>
          </w:rPr>
          <w:t>www.giustizia-amministrativa.it</w:t>
        </w:r>
      </w:hyperlink>
      <w:r w:rsidRPr="00C60E33">
        <w:rPr>
          <w:rFonts w:eastAsia="Times New Roman"/>
          <w:color w:val="000000"/>
          <w:sz w:val="24"/>
          <w:szCs w:val="20"/>
          <w:lang w:eastAsia="it-IT"/>
        </w:rPr>
        <w:t>; E. D’A</w:t>
      </w:r>
      <w:r w:rsidRPr="00C60E33">
        <w:rPr>
          <w:rFonts w:eastAsia="Times New Roman"/>
          <w:color w:val="000000"/>
          <w:sz w:val="24"/>
          <w:szCs w:val="16"/>
          <w:lang w:eastAsia="it-IT"/>
        </w:rPr>
        <w:t>LTERIO</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 xml:space="preserve">Regolare, vigilare, punire, giudicare: l’ANAC nella nuova disciplina dei contratti pubblici, </w:t>
      </w:r>
      <w:r w:rsidRPr="00C60E33">
        <w:rPr>
          <w:rFonts w:eastAsia="Times New Roman"/>
          <w:color w:val="000000"/>
          <w:sz w:val="24"/>
          <w:szCs w:val="20"/>
          <w:lang w:eastAsia="it-IT"/>
        </w:rPr>
        <w:t>in Giorn. dir. amm., n.4/2016, 499 ss.</w:t>
      </w:r>
      <w:r w:rsidRPr="00C60E33">
        <w:rPr>
          <w:rFonts w:eastAsia="Times New Roman"/>
          <w:i/>
          <w:color w:val="000000"/>
          <w:sz w:val="24"/>
          <w:szCs w:val="20"/>
          <w:lang w:eastAsia="it-IT"/>
        </w:rPr>
        <w:t xml:space="preserve">; </w:t>
      </w:r>
      <w:r w:rsidRPr="00C60E33">
        <w:rPr>
          <w:rFonts w:eastAsia="Times New Roman"/>
          <w:color w:val="000000"/>
          <w:sz w:val="24"/>
          <w:szCs w:val="20"/>
          <w:lang w:eastAsia="it-IT"/>
        </w:rPr>
        <w:t>R. D</w:t>
      </w:r>
      <w:r w:rsidRPr="00C60E33">
        <w:rPr>
          <w:rFonts w:eastAsia="Times New Roman"/>
          <w:color w:val="000000"/>
          <w:sz w:val="24"/>
          <w:szCs w:val="16"/>
          <w:lang w:eastAsia="it-IT"/>
        </w:rPr>
        <w:t>E</w:t>
      </w:r>
      <w:r w:rsidRPr="00C60E33">
        <w:rPr>
          <w:rFonts w:eastAsia="Times New Roman"/>
          <w:color w:val="000000"/>
          <w:sz w:val="24"/>
          <w:szCs w:val="20"/>
          <w:lang w:eastAsia="it-IT"/>
        </w:rPr>
        <w:t xml:space="preserve"> N</w:t>
      </w:r>
      <w:r w:rsidRPr="00C60E33">
        <w:rPr>
          <w:rFonts w:eastAsia="Times New Roman"/>
          <w:color w:val="000000"/>
          <w:sz w:val="24"/>
          <w:szCs w:val="16"/>
          <w:lang w:eastAsia="it-IT"/>
        </w:rPr>
        <w:t>ICTOLIS</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 xml:space="preserve">I poteri dell’ANAC dopo il correttivo, </w:t>
      </w:r>
      <w:r w:rsidRPr="00C60E33">
        <w:rPr>
          <w:rFonts w:eastAsia="Times New Roman"/>
          <w:color w:val="000000"/>
          <w:sz w:val="24"/>
          <w:szCs w:val="20"/>
          <w:lang w:eastAsia="it-IT"/>
        </w:rPr>
        <w:t>in www.giustizia-amministrativa.it; R. D</w:t>
      </w:r>
      <w:r w:rsidRPr="00C60E33">
        <w:rPr>
          <w:rFonts w:eastAsia="Times New Roman"/>
          <w:color w:val="000000"/>
          <w:sz w:val="24"/>
          <w:szCs w:val="16"/>
          <w:lang w:eastAsia="it-IT"/>
        </w:rPr>
        <w:t>E</w:t>
      </w:r>
      <w:r w:rsidRPr="00C60E33">
        <w:rPr>
          <w:rFonts w:eastAsia="Times New Roman"/>
          <w:color w:val="000000"/>
          <w:sz w:val="24"/>
          <w:szCs w:val="20"/>
          <w:lang w:eastAsia="it-IT"/>
        </w:rPr>
        <w:t xml:space="preserve"> N</w:t>
      </w:r>
      <w:r w:rsidRPr="00C60E33">
        <w:rPr>
          <w:rFonts w:eastAsia="Times New Roman"/>
          <w:color w:val="000000"/>
          <w:sz w:val="24"/>
          <w:szCs w:val="16"/>
          <w:lang w:eastAsia="it-IT"/>
        </w:rPr>
        <w:t>ICTOLIS</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 xml:space="preserve">Lo stato dell’arte dei provvedimenti attuativi del codice, </w:t>
      </w:r>
      <w:r w:rsidRPr="00C60E33">
        <w:rPr>
          <w:rFonts w:eastAsia="Times New Roman"/>
          <w:color w:val="000000"/>
          <w:sz w:val="24"/>
          <w:szCs w:val="20"/>
          <w:lang w:eastAsia="it-IT"/>
        </w:rPr>
        <w:t xml:space="preserve">in </w:t>
      </w:r>
      <w:hyperlink r:id="rId2" w:history="1">
        <w:r w:rsidRPr="00C60E33">
          <w:rPr>
            <w:color w:val="000000"/>
            <w:sz w:val="24"/>
            <w:szCs w:val="20"/>
            <w:lang w:eastAsia="it-IT"/>
          </w:rPr>
          <w:t>www.giustizia-amministrativa.it</w:t>
        </w:r>
      </w:hyperlink>
      <w:r w:rsidRPr="00C60E33">
        <w:rPr>
          <w:rFonts w:eastAsia="Times New Roman"/>
          <w:color w:val="000000"/>
          <w:sz w:val="24"/>
          <w:szCs w:val="20"/>
          <w:lang w:eastAsia="it-IT"/>
        </w:rPr>
        <w:t>; R. R. D</w:t>
      </w:r>
      <w:r w:rsidRPr="00C60E33">
        <w:rPr>
          <w:rFonts w:eastAsia="Times New Roman"/>
          <w:color w:val="000000"/>
          <w:sz w:val="24"/>
          <w:szCs w:val="16"/>
          <w:lang w:eastAsia="it-IT"/>
        </w:rPr>
        <w:t>E</w:t>
      </w:r>
      <w:r w:rsidRPr="00C60E33">
        <w:rPr>
          <w:rFonts w:eastAsia="Times New Roman"/>
          <w:color w:val="000000"/>
          <w:sz w:val="24"/>
          <w:szCs w:val="20"/>
          <w:lang w:eastAsia="it-IT"/>
        </w:rPr>
        <w:t xml:space="preserve"> N</w:t>
      </w:r>
      <w:r w:rsidRPr="00C60E33">
        <w:rPr>
          <w:rFonts w:eastAsia="Times New Roman"/>
          <w:color w:val="000000"/>
          <w:sz w:val="24"/>
          <w:szCs w:val="16"/>
          <w:lang w:eastAsia="it-IT"/>
        </w:rPr>
        <w:t>ICTOLIS</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 xml:space="preserve">Il codice dei contratti pubblici, la semplificazione che verrà, </w:t>
      </w:r>
      <w:r w:rsidRPr="00C60E33">
        <w:rPr>
          <w:rFonts w:eastAsia="Times New Roman"/>
          <w:color w:val="000000"/>
          <w:sz w:val="24"/>
          <w:szCs w:val="20"/>
          <w:lang w:eastAsia="it-IT"/>
        </w:rPr>
        <w:t xml:space="preserve">in </w:t>
      </w:r>
      <w:hyperlink r:id="rId3" w:history="1">
        <w:r w:rsidRPr="00C60E33">
          <w:rPr>
            <w:color w:val="000000"/>
            <w:sz w:val="24"/>
            <w:szCs w:val="20"/>
            <w:lang w:eastAsia="it-IT"/>
          </w:rPr>
          <w:t>www.giustizia-amministrativa.it</w:t>
        </w:r>
      </w:hyperlink>
      <w:r w:rsidRPr="00C60E33">
        <w:rPr>
          <w:rFonts w:eastAsia="Times New Roman"/>
          <w:color w:val="000000"/>
          <w:sz w:val="24"/>
          <w:szCs w:val="20"/>
          <w:lang w:eastAsia="it-IT"/>
        </w:rPr>
        <w:t>; R. D</w:t>
      </w:r>
      <w:r w:rsidRPr="00C60E33">
        <w:rPr>
          <w:rFonts w:eastAsia="Times New Roman"/>
          <w:color w:val="000000"/>
          <w:sz w:val="24"/>
          <w:szCs w:val="16"/>
          <w:lang w:eastAsia="it-IT"/>
        </w:rPr>
        <w:t>E</w:t>
      </w:r>
      <w:r w:rsidRPr="00C60E33">
        <w:rPr>
          <w:rFonts w:eastAsia="Times New Roman"/>
          <w:color w:val="000000"/>
          <w:sz w:val="24"/>
          <w:szCs w:val="20"/>
          <w:lang w:eastAsia="it-IT"/>
        </w:rPr>
        <w:t xml:space="preserve"> N</w:t>
      </w:r>
      <w:r w:rsidRPr="00C60E33">
        <w:rPr>
          <w:rFonts w:eastAsia="Times New Roman"/>
          <w:color w:val="000000"/>
          <w:sz w:val="24"/>
          <w:szCs w:val="16"/>
          <w:lang w:eastAsia="it-IT"/>
        </w:rPr>
        <w:t>ICTOLIS</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 xml:space="preserve">Dalla legge delega al nuovo “Codice”: opportunità e profili di criticità, </w:t>
      </w:r>
      <w:r w:rsidRPr="00C60E33">
        <w:rPr>
          <w:rFonts w:eastAsia="Times New Roman"/>
          <w:color w:val="000000"/>
          <w:sz w:val="24"/>
          <w:szCs w:val="20"/>
          <w:lang w:eastAsia="it-IT"/>
        </w:rPr>
        <w:t xml:space="preserve">in </w:t>
      </w:r>
      <w:hyperlink r:id="rId4" w:history="1">
        <w:r w:rsidRPr="00C60E33">
          <w:rPr>
            <w:color w:val="000000"/>
            <w:sz w:val="24"/>
            <w:szCs w:val="20"/>
            <w:lang w:eastAsia="it-IT"/>
          </w:rPr>
          <w:t>www.giustizia-amministrativa.it</w:t>
        </w:r>
      </w:hyperlink>
      <w:r w:rsidRPr="00C60E33">
        <w:rPr>
          <w:rFonts w:eastAsia="Times New Roman"/>
          <w:color w:val="000000"/>
          <w:sz w:val="24"/>
          <w:szCs w:val="20"/>
          <w:lang w:eastAsia="it-IT"/>
        </w:rPr>
        <w:t>;;</w:t>
      </w:r>
      <w:r w:rsidRPr="00C60E33">
        <w:rPr>
          <w:rFonts w:eastAsia="Times New Roman"/>
          <w:i/>
          <w:color w:val="000000"/>
          <w:sz w:val="24"/>
          <w:szCs w:val="20"/>
          <w:lang w:eastAsia="it-IT"/>
        </w:rPr>
        <w:t xml:space="preserve"> </w:t>
      </w:r>
      <w:r w:rsidRPr="00C60E33">
        <w:rPr>
          <w:rFonts w:eastAsia="Times New Roman"/>
          <w:color w:val="000000"/>
          <w:sz w:val="24"/>
          <w:szCs w:val="20"/>
          <w:lang w:eastAsia="it-IT"/>
        </w:rPr>
        <w:t>C. D</w:t>
      </w:r>
      <w:r w:rsidRPr="00C60E33">
        <w:rPr>
          <w:rFonts w:eastAsia="Times New Roman"/>
          <w:color w:val="000000"/>
          <w:sz w:val="24"/>
          <w:szCs w:val="16"/>
          <w:lang w:eastAsia="it-IT"/>
        </w:rPr>
        <w:t>EODATO</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 xml:space="preserve">Le linee guida dell’ANAC: una nuova fonte del diritto?, </w:t>
      </w:r>
      <w:r w:rsidRPr="00C60E33">
        <w:rPr>
          <w:rFonts w:eastAsia="Times New Roman"/>
          <w:color w:val="000000"/>
          <w:sz w:val="24"/>
          <w:szCs w:val="20"/>
          <w:lang w:eastAsia="it-IT"/>
        </w:rPr>
        <w:t xml:space="preserve">in </w:t>
      </w:r>
      <w:hyperlink r:id="rId5" w:history="1">
        <w:r w:rsidRPr="00C60E33">
          <w:rPr>
            <w:color w:val="000000"/>
            <w:sz w:val="24"/>
            <w:szCs w:val="20"/>
            <w:lang w:eastAsia="it-IT"/>
          </w:rPr>
          <w:t>www.giustizia-amministrativa.it</w:t>
        </w:r>
      </w:hyperlink>
      <w:r w:rsidRPr="00C60E33">
        <w:rPr>
          <w:rFonts w:eastAsia="Times New Roman"/>
          <w:color w:val="000000"/>
          <w:sz w:val="24"/>
          <w:szCs w:val="20"/>
          <w:lang w:eastAsia="it-IT"/>
        </w:rPr>
        <w:t>; C. D</w:t>
      </w:r>
      <w:r w:rsidRPr="00C60E33">
        <w:rPr>
          <w:rFonts w:eastAsia="Times New Roman"/>
          <w:color w:val="000000"/>
          <w:sz w:val="24"/>
          <w:szCs w:val="16"/>
          <w:lang w:eastAsia="it-IT"/>
        </w:rPr>
        <w:t>EODATO</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 xml:space="preserve">Nuove riflessioni sull'intensità del sindacato del giudice amministrativo, </w:t>
      </w:r>
      <w:r w:rsidRPr="00C60E33">
        <w:rPr>
          <w:rFonts w:eastAsia="Times New Roman"/>
          <w:color w:val="000000"/>
          <w:sz w:val="24"/>
          <w:szCs w:val="20"/>
          <w:lang w:eastAsia="it-IT"/>
        </w:rPr>
        <w:t>in Federalismi, 2/2017, 2 ss.; G. D</w:t>
      </w:r>
      <w:r w:rsidRPr="00C60E33">
        <w:rPr>
          <w:rFonts w:eastAsia="Times New Roman"/>
          <w:color w:val="000000"/>
          <w:sz w:val="24"/>
          <w:szCs w:val="16"/>
          <w:lang w:eastAsia="it-IT"/>
        </w:rPr>
        <w:t>I</w:t>
      </w:r>
      <w:r w:rsidRPr="00C60E33">
        <w:rPr>
          <w:rFonts w:eastAsia="Times New Roman"/>
          <w:color w:val="000000"/>
          <w:sz w:val="24"/>
          <w:szCs w:val="20"/>
          <w:lang w:eastAsia="it-IT"/>
        </w:rPr>
        <w:t xml:space="preserve"> C</w:t>
      </w:r>
      <w:r w:rsidRPr="00C60E33">
        <w:rPr>
          <w:rFonts w:eastAsia="Times New Roman"/>
          <w:color w:val="000000"/>
          <w:sz w:val="24"/>
          <w:szCs w:val="16"/>
          <w:lang w:eastAsia="it-IT"/>
        </w:rPr>
        <w:t>OSIMO</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 xml:space="preserve">I regolamenti nel sistema delle fonti, </w:t>
      </w:r>
      <w:r w:rsidRPr="00C60E33">
        <w:rPr>
          <w:rFonts w:eastAsia="Times New Roman"/>
          <w:color w:val="000000"/>
          <w:sz w:val="24"/>
          <w:szCs w:val="20"/>
          <w:lang w:eastAsia="it-IT"/>
        </w:rPr>
        <w:t>Milano, 2005; R. G</w:t>
      </w:r>
      <w:r w:rsidRPr="00C60E33">
        <w:rPr>
          <w:rFonts w:eastAsia="Times New Roman"/>
          <w:color w:val="000000"/>
          <w:sz w:val="24"/>
          <w:szCs w:val="16"/>
          <w:lang w:eastAsia="it-IT"/>
        </w:rPr>
        <w:t>RECO</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 xml:space="preserve">IL ruolo dell’ANAC nel nuovo sistema degli appalti pubblici, </w:t>
      </w:r>
      <w:r w:rsidRPr="00C60E33">
        <w:rPr>
          <w:rFonts w:eastAsia="Times New Roman"/>
          <w:color w:val="000000"/>
          <w:sz w:val="24"/>
          <w:szCs w:val="20"/>
          <w:lang w:eastAsia="it-IT"/>
        </w:rPr>
        <w:t>in www.giustizia-amministrativa.it.</w:t>
      </w:r>
      <w:r w:rsidRPr="00C60E33">
        <w:rPr>
          <w:rFonts w:eastAsia="Times New Roman"/>
          <w:i/>
          <w:color w:val="000000"/>
          <w:sz w:val="24"/>
          <w:szCs w:val="20"/>
          <w:lang w:eastAsia="it-IT"/>
        </w:rPr>
        <w:t>;</w:t>
      </w:r>
      <w:r w:rsidRPr="00C60E33">
        <w:rPr>
          <w:rFonts w:eastAsia="Times New Roman"/>
          <w:color w:val="000000"/>
          <w:sz w:val="24"/>
          <w:szCs w:val="20"/>
          <w:lang w:eastAsia="it-IT"/>
        </w:rPr>
        <w:t xml:space="preserve"> V. I</w:t>
      </w:r>
      <w:r w:rsidRPr="00C60E33">
        <w:rPr>
          <w:rFonts w:eastAsia="Times New Roman"/>
          <w:color w:val="000000"/>
          <w:sz w:val="24"/>
          <w:szCs w:val="16"/>
          <w:lang w:eastAsia="it-IT"/>
        </w:rPr>
        <w:t>TALIA</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Le linee guida e le leggi,</w:t>
      </w:r>
      <w:r w:rsidRPr="00C60E33">
        <w:rPr>
          <w:rFonts w:eastAsia="Times New Roman"/>
          <w:color w:val="000000"/>
          <w:sz w:val="24"/>
          <w:szCs w:val="20"/>
          <w:lang w:eastAsia="it-IT"/>
        </w:rPr>
        <w:t xml:space="preserve"> Milano, 2016;</w:t>
      </w:r>
      <w:r w:rsidRPr="00C60E33">
        <w:rPr>
          <w:rFonts w:eastAsia="Times New Roman"/>
          <w:i/>
          <w:color w:val="000000"/>
          <w:sz w:val="24"/>
          <w:szCs w:val="20"/>
          <w:lang w:eastAsia="it-IT"/>
        </w:rPr>
        <w:t xml:space="preserve"> </w:t>
      </w:r>
      <w:r w:rsidRPr="00C60E33">
        <w:rPr>
          <w:rFonts w:eastAsia="Times New Roman"/>
          <w:color w:val="000000"/>
          <w:sz w:val="24"/>
          <w:szCs w:val="20"/>
          <w:lang w:eastAsia="it-IT"/>
        </w:rPr>
        <w:t>M. L</w:t>
      </w:r>
      <w:r w:rsidRPr="00C60E33">
        <w:rPr>
          <w:rFonts w:eastAsia="Times New Roman"/>
          <w:color w:val="000000"/>
          <w:sz w:val="24"/>
          <w:szCs w:val="16"/>
          <w:lang w:eastAsia="it-IT"/>
        </w:rPr>
        <w:t>IPARI</w:t>
      </w:r>
      <w:r w:rsidRPr="00C60E33">
        <w:rPr>
          <w:rFonts w:eastAsia="Times New Roman"/>
          <w:i/>
          <w:color w:val="000000"/>
          <w:sz w:val="24"/>
          <w:szCs w:val="20"/>
          <w:lang w:eastAsia="it-IT"/>
        </w:rPr>
        <w:t>, La soppressione delle raccomandazioni vincolanti e la legittimazione processuale speciale dell’ANAC,</w:t>
      </w:r>
      <w:r w:rsidRPr="00C60E33">
        <w:rPr>
          <w:rFonts w:eastAsia="Times New Roman"/>
          <w:color w:val="000000"/>
          <w:sz w:val="24"/>
          <w:szCs w:val="20"/>
          <w:lang w:eastAsia="it-IT"/>
        </w:rPr>
        <w:t xml:space="preserve"> in</w:t>
      </w:r>
      <w:r w:rsidRPr="00C60E33">
        <w:rPr>
          <w:rFonts w:eastAsia="Times New Roman"/>
          <w:i/>
          <w:color w:val="000000"/>
          <w:sz w:val="24"/>
          <w:szCs w:val="20"/>
          <w:lang w:eastAsia="it-IT"/>
        </w:rPr>
        <w:t xml:space="preserve"> </w:t>
      </w:r>
      <w:hyperlink r:id="rId6" w:history="1">
        <w:r w:rsidRPr="00C60E33">
          <w:rPr>
            <w:rFonts w:eastAsia="Times New Roman"/>
            <w:color w:val="000000"/>
            <w:sz w:val="24"/>
            <w:szCs w:val="20"/>
            <w:lang w:eastAsia="it-IT"/>
          </w:rPr>
          <w:t>www.giustizia-amministrativa.it</w:t>
        </w:r>
      </w:hyperlink>
      <w:r w:rsidRPr="00C60E33">
        <w:rPr>
          <w:rFonts w:eastAsia="Times New Roman"/>
          <w:color w:val="000000"/>
          <w:sz w:val="24"/>
          <w:szCs w:val="20"/>
          <w:lang w:eastAsia="it-IT"/>
        </w:rPr>
        <w:t>; M. M</w:t>
      </w:r>
      <w:r w:rsidRPr="00C60E33">
        <w:rPr>
          <w:rFonts w:eastAsia="Times New Roman"/>
          <w:color w:val="000000"/>
          <w:sz w:val="24"/>
          <w:szCs w:val="16"/>
          <w:lang w:eastAsia="it-IT"/>
        </w:rPr>
        <w:t>AZZAMUTO</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L’atipicità delle fonti nel diritto amministrativo,</w:t>
      </w:r>
      <w:r w:rsidRPr="00C60E33">
        <w:rPr>
          <w:rFonts w:eastAsia="Times New Roman"/>
          <w:color w:val="000000"/>
          <w:sz w:val="24"/>
          <w:szCs w:val="20"/>
          <w:lang w:eastAsia="it-IT"/>
        </w:rPr>
        <w:t xml:space="preserve"> Convegno AIPDA Padova 9-10 ottobre 2015, in Dir. amm., 684 ss.; N. L</w:t>
      </w:r>
      <w:r w:rsidRPr="00C60E33">
        <w:rPr>
          <w:rFonts w:eastAsia="Times New Roman"/>
          <w:color w:val="000000"/>
          <w:sz w:val="24"/>
          <w:szCs w:val="16"/>
          <w:lang w:eastAsia="it-IT"/>
        </w:rPr>
        <w:t>ONGOBARDI</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 xml:space="preserve">L’Autorità Nazionale Anticorruzione e la nuova normativa sui contratti pubblici, </w:t>
      </w:r>
      <w:r w:rsidRPr="00C60E33">
        <w:rPr>
          <w:rFonts w:eastAsia="Times New Roman"/>
          <w:color w:val="000000"/>
          <w:sz w:val="24"/>
          <w:szCs w:val="20"/>
          <w:lang w:eastAsia="it-IT"/>
        </w:rPr>
        <w:t xml:space="preserve">in </w:t>
      </w:r>
      <w:hyperlink r:id="rId7" w:history="1">
        <w:r w:rsidRPr="00C60E33">
          <w:rPr>
            <w:color w:val="000000"/>
            <w:sz w:val="24"/>
            <w:szCs w:val="20"/>
            <w:lang w:eastAsia="it-IT"/>
          </w:rPr>
          <w:t>www.giustamm.it</w:t>
        </w:r>
      </w:hyperlink>
      <w:r w:rsidRPr="00C60E33">
        <w:rPr>
          <w:rFonts w:eastAsia="Times New Roman"/>
          <w:color w:val="000000"/>
          <w:sz w:val="24"/>
          <w:szCs w:val="20"/>
          <w:lang w:eastAsia="it-IT"/>
        </w:rPr>
        <w:t>;</w:t>
      </w:r>
      <w:r w:rsidRPr="00C60E33">
        <w:rPr>
          <w:rFonts w:eastAsia="Times New Roman"/>
          <w:i/>
          <w:color w:val="000000"/>
          <w:sz w:val="24"/>
          <w:szCs w:val="20"/>
          <w:lang w:eastAsia="it-IT"/>
        </w:rPr>
        <w:t xml:space="preserve"> </w:t>
      </w:r>
      <w:r w:rsidRPr="00C60E33">
        <w:rPr>
          <w:rFonts w:eastAsia="Times New Roman"/>
          <w:color w:val="000000"/>
          <w:sz w:val="24"/>
          <w:szCs w:val="20"/>
          <w:lang w:eastAsia="it-IT"/>
        </w:rPr>
        <w:t>G. M</w:t>
      </w:r>
      <w:r w:rsidRPr="00C60E33">
        <w:rPr>
          <w:rFonts w:eastAsia="Times New Roman"/>
          <w:color w:val="000000"/>
          <w:sz w:val="24"/>
          <w:szCs w:val="16"/>
          <w:lang w:eastAsia="it-IT"/>
        </w:rPr>
        <w:t>ORBIDELLI</w:t>
      </w:r>
      <w:r w:rsidRPr="00C60E33">
        <w:rPr>
          <w:rFonts w:eastAsia="Times New Roman"/>
          <w:color w:val="000000"/>
          <w:sz w:val="24"/>
          <w:szCs w:val="20"/>
          <w:lang w:eastAsia="it-IT"/>
        </w:rPr>
        <w:t xml:space="preserve">, </w:t>
      </w:r>
      <w:r w:rsidRPr="00C60E33">
        <w:rPr>
          <w:rFonts w:eastAsia="Times New Roman"/>
          <w:i/>
          <w:color w:val="000000"/>
          <w:sz w:val="24"/>
          <w:szCs w:val="20"/>
          <w:lang w:eastAsia="it-IT"/>
        </w:rPr>
        <w:t>P</w:t>
      </w:r>
      <w:r w:rsidRPr="00C60E33">
        <w:rPr>
          <w:rFonts w:eastAsia="Times New Roman"/>
          <w:i/>
          <w:sz w:val="24"/>
          <w:szCs w:val="20"/>
          <w:lang w:eastAsia="it-IT"/>
        </w:rPr>
        <w:t>oteri impliciti</w:t>
      </w:r>
      <w:r w:rsidRPr="00C60E33">
        <w:rPr>
          <w:sz w:val="24"/>
          <w:szCs w:val="20"/>
        </w:rPr>
        <w:t xml:space="preserve"> </w:t>
      </w:r>
      <w:r w:rsidRPr="00C60E33">
        <w:rPr>
          <w:rFonts w:eastAsia="Times New Roman"/>
          <w:i/>
          <w:sz w:val="24"/>
          <w:szCs w:val="20"/>
          <w:lang w:eastAsia="it-IT"/>
        </w:rPr>
        <w:t xml:space="preserve">delle autorità amministrative indipendenti e principi di legalità e buon andamento, </w:t>
      </w:r>
      <w:r w:rsidRPr="00C60E33">
        <w:rPr>
          <w:rFonts w:eastAsia="Times New Roman"/>
          <w:sz w:val="24"/>
          <w:szCs w:val="20"/>
          <w:lang w:eastAsia="it-IT"/>
        </w:rPr>
        <w:t>in www.giustizia-amministrativa.it;</w:t>
      </w:r>
      <w:r w:rsidRPr="00C60E33">
        <w:rPr>
          <w:rFonts w:eastAsia="Times New Roman"/>
          <w:i/>
          <w:sz w:val="24"/>
          <w:szCs w:val="20"/>
          <w:lang w:eastAsia="it-IT"/>
        </w:rPr>
        <w:t xml:space="preserve"> </w:t>
      </w:r>
      <w:r w:rsidRPr="00C60E33">
        <w:rPr>
          <w:rFonts w:eastAsia="Times New Roman"/>
          <w:sz w:val="24"/>
          <w:szCs w:val="20"/>
          <w:lang w:eastAsia="it-IT"/>
        </w:rPr>
        <w:t>G. M</w:t>
      </w:r>
      <w:r w:rsidRPr="00C60E33">
        <w:rPr>
          <w:rFonts w:eastAsia="Times New Roman"/>
          <w:sz w:val="24"/>
          <w:szCs w:val="16"/>
          <w:lang w:eastAsia="it-IT"/>
        </w:rPr>
        <w:t>ORBIDELLI</w:t>
      </w:r>
      <w:r w:rsidRPr="00C60E33">
        <w:rPr>
          <w:rFonts w:eastAsia="Times New Roman"/>
          <w:sz w:val="24"/>
          <w:szCs w:val="20"/>
          <w:lang w:eastAsia="it-IT"/>
        </w:rPr>
        <w:t xml:space="preserve">, </w:t>
      </w:r>
      <w:r w:rsidRPr="00C60E33">
        <w:rPr>
          <w:rFonts w:eastAsia="Times New Roman"/>
          <w:i/>
          <w:sz w:val="24"/>
          <w:szCs w:val="20"/>
          <w:lang w:eastAsia="it-IT"/>
        </w:rPr>
        <w:t xml:space="preserve">Linee guida dell’ANAC: comandi o consigli?, </w:t>
      </w:r>
      <w:r w:rsidRPr="00C60E33">
        <w:rPr>
          <w:rFonts w:eastAsia="Times New Roman"/>
          <w:sz w:val="24"/>
          <w:szCs w:val="20"/>
          <w:lang w:eastAsia="it-IT"/>
        </w:rPr>
        <w:t>intervento al 62° convegno di studi amministrativi di Varenna, 22-24 settembre 2016; I. N</w:t>
      </w:r>
      <w:r w:rsidRPr="00C60E33">
        <w:rPr>
          <w:rFonts w:eastAsia="Times New Roman"/>
          <w:sz w:val="24"/>
          <w:szCs w:val="16"/>
          <w:lang w:eastAsia="it-IT"/>
        </w:rPr>
        <w:t>ICOTRA</w:t>
      </w:r>
      <w:r w:rsidRPr="00C60E33">
        <w:rPr>
          <w:rFonts w:eastAsia="Times New Roman"/>
          <w:sz w:val="24"/>
          <w:szCs w:val="20"/>
          <w:lang w:eastAsia="it-IT"/>
        </w:rPr>
        <w:t xml:space="preserve"> (a cura di), </w:t>
      </w:r>
      <w:r w:rsidRPr="00C60E33">
        <w:rPr>
          <w:rFonts w:eastAsia="Times New Roman"/>
          <w:i/>
          <w:sz w:val="24"/>
          <w:szCs w:val="20"/>
          <w:lang w:eastAsia="it-IT"/>
        </w:rPr>
        <w:t xml:space="preserve">L’autorità nazionale anticorruzione. Tra prevenzione e attività regolatoria, </w:t>
      </w:r>
      <w:r w:rsidRPr="00C60E33">
        <w:rPr>
          <w:rFonts w:eastAsia="Times New Roman"/>
          <w:sz w:val="24"/>
          <w:szCs w:val="20"/>
          <w:lang w:eastAsia="it-IT"/>
        </w:rPr>
        <w:t>Torino, 2016V. V</w:t>
      </w:r>
      <w:r w:rsidRPr="00C60E33">
        <w:rPr>
          <w:rFonts w:eastAsia="Times New Roman"/>
          <w:sz w:val="24"/>
          <w:szCs w:val="16"/>
          <w:lang w:eastAsia="it-IT"/>
        </w:rPr>
        <w:t>ALAGUZZA</w:t>
      </w:r>
      <w:r w:rsidRPr="00C60E33">
        <w:rPr>
          <w:rFonts w:eastAsia="Times New Roman"/>
          <w:sz w:val="24"/>
          <w:szCs w:val="20"/>
          <w:lang w:eastAsia="it-IT"/>
        </w:rPr>
        <w:t xml:space="preserve">, </w:t>
      </w:r>
      <w:r w:rsidRPr="00C60E33">
        <w:rPr>
          <w:rFonts w:eastAsia="Times New Roman"/>
          <w:i/>
          <w:sz w:val="24"/>
          <w:szCs w:val="20"/>
          <w:lang w:eastAsia="it-IT"/>
        </w:rPr>
        <w:t>La regolazione strategica dell’Autorità nazionale anticorruzione,</w:t>
      </w:r>
      <w:r w:rsidRPr="00C60E33">
        <w:rPr>
          <w:sz w:val="24"/>
        </w:rPr>
        <w:t xml:space="preserve"> </w:t>
      </w:r>
      <w:r w:rsidRPr="00C60E33">
        <w:rPr>
          <w:rFonts w:eastAsia="Times New Roman"/>
          <w:sz w:val="24"/>
          <w:szCs w:val="20"/>
          <w:lang w:eastAsia="it-IT"/>
        </w:rPr>
        <w:t>in Rivista della regolazione dei mercati, 1/2016, 9 ss.</w:t>
      </w:r>
    </w:p>
    <w:p w:rsidR="00AF20BD" w:rsidRPr="00C60E33" w:rsidRDefault="00AF20BD" w:rsidP="0040743A">
      <w:pPr>
        <w:pStyle w:val="Testonotaapidipagina"/>
        <w:spacing w:line="240" w:lineRule="auto"/>
        <w:rPr>
          <w:sz w:val="24"/>
        </w:rPr>
      </w:pPr>
    </w:p>
  </w:footnote>
  <w:footnote w:id="2">
    <w:p w:rsidR="00AF20BD" w:rsidRPr="00C60E33" w:rsidRDefault="00AF20BD" w:rsidP="0040743A">
      <w:pPr>
        <w:pStyle w:val="Testonotaapidipagina"/>
        <w:spacing w:line="240" w:lineRule="auto"/>
        <w:rPr>
          <w:sz w:val="24"/>
        </w:rPr>
      </w:pPr>
      <w:r w:rsidRPr="00C60E33">
        <w:rPr>
          <w:rStyle w:val="Rimandonotaapidipagina"/>
          <w:sz w:val="24"/>
        </w:rPr>
        <w:footnoteRef/>
      </w:r>
      <w:r w:rsidRPr="00C60E33">
        <w:rPr>
          <w:sz w:val="24"/>
        </w:rPr>
        <w:t xml:space="preserve"> “</w:t>
      </w:r>
      <w:r w:rsidRPr="00C60E33">
        <w:rPr>
          <w:rFonts w:eastAsia="Times New Roman"/>
          <w:sz w:val="24"/>
          <w:szCs w:val="24"/>
          <w:lang w:eastAsia="it-IT"/>
        </w:rPr>
        <w:t>hh) «settori speciali» i settori dei contratti pubblici relativi a gas, energia termica, elettricità, acqua, trasporti, servizi postali, sfruttamento di area geografica, come disciplinati dalla parte II del presente codice;”.</w:t>
      </w:r>
    </w:p>
  </w:footnote>
  <w:footnote w:id="3">
    <w:p w:rsidR="00AF20BD" w:rsidRPr="00C60E33" w:rsidRDefault="00AF20BD" w:rsidP="0040743A">
      <w:pPr>
        <w:pStyle w:val="Testonotaapidipagina"/>
        <w:spacing w:line="240" w:lineRule="auto"/>
        <w:rPr>
          <w:sz w:val="24"/>
        </w:rPr>
      </w:pPr>
    </w:p>
  </w:footnote>
  <w:footnote w:id="4">
    <w:p w:rsidR="00AF20BD" w:rsidRPr="00C60E33" w:rsidRDefault="00AF20BD" w:rsidP="0040743A">
      <w:pPr>
        <w:spacing w:line="240" w:lineRule="auto"/>
        <w:rPr>
          <w:rFonts w:eastAsia="Times New Roman"/>
          <w:i/>
          <w:sz w:val="24"/>
          <w:szCs w:val="24"/>
          <w:lang w:eastAsia="it-IT"/>
        </w:rPr>
      </w:pPr>
      <w:r w:rsidRPr="00C60E33">
        <w:rPr>
          <w:rStyle w:val="Rimandonotaapidipagina"/>
          <w:sz w:val="24"/>
        </w:rPr>
        <w:footnoteRef/>
      </w:r>
      <w:r w:rsidRPr="00C60E33">
        <w:rPr>
          <w:sz w:val="24"/>
        </w:rPr>
        <w:t xml:space="preserve"> “</w:t>
      </w:r>
      <w:r w:rsidRPr="00C60E33">
        <w:rPr>
          <w:rFonts w:eastAsia="Times New Roman"/>
          <w:i/>
          <w:sz w:val="24"/>
          <w:szCs w:val="24"/>
          <w:lang w:eastAsia="it-IT"/>
        </w:rPr>
        <w:t>3. Nell'ambito dei poteri ad essa attribuiti, l'Autorità:</w:t>
      </w:r>
    </w:p>
    <w:p w:rsidR="00AF20BD" w:rsidRPr="00C60E33" w:rsidRDefault="00AF20BD" w:rsidP="0040743A">
      <w:pPr>
        <w:spacing w:line="240" w:lineRule="auto"/>
        <w:rPr>
          <w:rFonts w:eastAsia="Times New Roman"/>
          <w:sz w:val="24"/>
          <w:szCs w:val="24"/>
          <w:lang w:eastAsia="it-IT"/>
        </w:rPr>
      </w:pPr>
      <w:r w:rsidRPr="00C60E33">
        <w:rPr>
          <w:rFonts w:eastAsia="Times New Roman"/>
          <w:i/>
          <w:sz w:val="24"/>
          <w:szCs w:val="24"/>
          <w:lang w:eastAsia="it-IT"/>
        </w:rPr>
        <w:t>a) vigila sui contratti pubblici, anche di interesse regionale, di lavori, servizi e forniture nei settori ordinari e nei settori speciali e sui contratti secretati o che esigono particolari misure di sicurezza ai sensi dell'</w:t>
      </w:r>
      <w:hyperlink r:id="rId8" w:anchor="id=10LX0000776418ART13,__m=document" w:history="1">
        <w:r w:rsidRPr="00C60E33">
          <w:rPr>
            <w:rFonts w:eastAsia="Times New Roman"/>
            <w:i/>
            <w:iCs/>
            <w:color w:val="0000FF"/>
            <w:sz w:val="24"/>
            <w:szCs w:val="24"/>
            <w:u w:val="single"/>
            <w:lang w:eastAsia="it-IT"/>
          </w:rPr>
          <w:t>articolo 1</w:t>
        </w:r>
      </w:hyperlink>
      <w:r w:rsidRPr="00C60E33">
        <w:rPr>
          <w:rFonts w:eastAsia="Times New Roman"/>
          <w:i/>
          <w:sz w:val="24"/>
          <w:szCs w:val="24"/>
          <w:lang w:eastAsia="it-IT"/>
        </w:rPr>
        <w:t xml:space="preserve">, comma 2, lettera f-bis), della </w:t>
      </w:r>
      <w:hyperlink r:id="rId9" w:anchor="id=10LX0000776418ART0,__m=document" w:history="1">
        <w:r w:rsidRPr="00C60E33">
          <w:rPr>
            <w:rFonts w:eastAsia="Times New Roman"/>
            <w:i/>
            <w:iCs/>
            <w:color w:val="0000FF"/>
            <w:sz w:val="24"/>
            <w:szCs w:val="24"/>
            <w:u w:val="single"/>
            <w:lang w:eastAsia="it-IT"/>
          </w:rPr>
          <w:t>legge 6 novembre 2012, n. 190</w:t>
        </w:r>
      </w:hyperlink>
      <w:r w:rsidRPr="00C60E33">
        <w:rPr>
          <w:rFonts w:eastAsia="Times New Roman"/>
          <w:i/>
          <w:sz w:val="24"/>
          <w:szCs w:val="24"/>
          <w:lang w:eastAsia="it-IT"/>
        </w:rPr>
        <w:t>, nonché sui contratti esclusi dall'ambito di applicazione del codice</w:t>
      </w:r>
      <w:r w:rsidRPr="00C60E33">
        <w:rPr>
          <w:rFonts w:eastAsia="Times New Roman"/>
          <w:sz w:val="24"/>
          <w:szCs w:val="24"/>
          <w:lang w:eastAsia="it-IT"/>
        </w:rPr>
        <w:t>;”</w:t>
      </w:r>
    </w:p>
    <w:p w:rsidR="00AF20BD" w:rsidRPr="00C60E33" w:rsidRDefault="00AF20BD" w:rsidP="0040743A">
      <w:pPr>
        <w:spacing w:line="240" w:lineRule="auto"/>
        <w:rPr>
          <w:rFonts w:eastAsia="Times New Roman"/>
          <w:sz w:val="24"/>
          <w:szCs w:val="24"/>
          <w:lang w:eastAsia="it-IT"/>
        </w:rPr>
      </w:pPr>
    </w:p>
    <w:p w:rsidR="00AF20BD" w:rsidRPr="00C60E33" w:rsidRDefault="00AF20BD" w:rsidP="0040743A">
      <w:pPr>
        <w:spacing w:line="240" w:lineRule="auto"/>
        <w:rPr>
          <w:rFonts w:eastAsia="Times New Roman"/>
          <w:sz w:val="24"/>
          <w:szCs w:val="24"/>
          <w:lang w:eastAsia="it-IT"/>
        </w:rPr>
      </w:pPr>
      <w:r w:rsidRPr="00C60E33">
        <w:rPr>
          <w:sz w:val="24"/>
        </w:rPr>
        <w:t>Anche la nuova lettera h-bis), riferendosi genericamente ai “</w:t>
      </w:r>
      <w:r w:rsidRPr="00C60E33">
        <w:rPr>
          <w:i/>
          <w:sz w:val="24"/>
        </w:rPr>
        <w:t>contratti pubblici</w:t>
      </w:r>
      <w:r w:rsidRPr="00C60E33">
        <w:rPr>
          <w:sz w:val="24"/>
        </w:rPr>
        <w:t>”,</w:t>
      </w:r>
      <w:r w:rsidRPr="00C60E33">
        <w:rPr>
          <w:rFonts w:eastAsia="Times New Roman"/>
          <w:sz w:val="24"/>
          <w:szCs w:val="24"/>
          <w:lang w:eastAsia="it-IT"/>
        </w:rPr>
        <w:t xml:space="preserve">) prevede un potere di regolazione di amplissima estensione: ma la formula è piuttosto imprecisa e non si comprende se essa riguardi tutti i contratti nei settori speciali (che a rigore non sono sempre </w:t>
      </w:r>
      <w:r w:rsidRPr="00C60E33">
        <w:rPr>
          <w:rFonts w:eastAsia="Times New Roman"/>
          <w:i/>
          <w:sz w:val="24"/>
          <w:szCs w:val="24"/>
          <w:lang w:eastAsia="it-IT"/>
        </w:rPr>
        <w:t>pubblici</w:t>
      </w:r>
      <w:r w:rsidRPr="00C60E33">
        <w:rPr>
          <w:rFonts w:eastAsia="Times New Roman"/>
          <w:sz w:val="24"/>
          <w:szCs w:val="24"/>
          <w:lang w:eastAsia="it-IT"/>
        </w:rPr>
        <w:t>, e se possa estendersi anche ad ambiti merceologici diversi dai lavori, servizi e forniture. “</w:t>
      </w:r>
      <w:r w:rsidRPr="00C60E33">
        <w:rPr>
          <w:rFonts w:eastAsia="Times New Roman"/>
          <w:i/>
          <w:sz w:val="24"/>
          <w:szCs w:val="24"/>
          <w:lang w:eastAsia="it-IT"/>
        </w:rPr>
        <w:t>h-bis) al fine di favorire l'economicità dei contratti pubblici e la trasparenza delle condizioni di acquisto, provvede con apposite linee guida, fatte salve le normative di settore, all'elaborazione dei costi standard dei lavori e dei prezzi di riferimento di beni e servizi, avvalendosi a tal fine, sulla base di apposite convenzioni, del supporto dell'ISTAT e degli altri enti del Sistema statistico nazionale, alle condizioni di maggiore efficienza, tra quelli di maggiore impatto in termini di costo a carico della pubblica amministrazione, avvalendosi eventualmente anche delle informazioni contenute nelle banche dati esistenti presso altre Amministrazioni pubbliche e altri soggetti operanti nel settore dei contratti pubblici</w:t>
      </w:r>
      <w:r w:rsidRPr="00C60E33">
        <w:rPr>
          <w:rFonts w:eastAsia="Times New Roman"/>
          <w:sz w:val="24"/>
          <w:szCs w:val="24"/>
          <w:lang w:eastAsia="it-IT"/>
        </w:rPr>
        <w:t>.”</w:t>
      </w:r>
    </w:p>
    <w:p w:rsidR="00AF20BD" w:rsidRPr="00C60E33" w:rsidRDefault="00AF20BD" w:rsidP="0040743A">
      <w:pPr>
        <w:pStyle w:val="Testonotaapidipagina"/>
        <w:spacing w:line="240" w:lineRule="auto"/>
        <w:rPr>
          <w:sz w:val="24"/>
        </w:rPr>
      </w:pPr>
    </w:p>
  </w:footnote>
  <w:footnote w:id="5">
    <w:p w:rsidR="00AF20BD" w:rsidRDefault="00AF20BD" w:rsidP="002653E3">
      <w:pPr>
        <w:pStyle w:val="Testonotaapidipagina"/>
      </w:pPr>
      <w:r>
        <w:rPr>
          <w:rStyle w:val="Rimandonotaapidipagina"/>
        </w:rPr>
        <w:footnoteRef/>
      </w:r>
      <w:r>
        <w:t xml:space="preserve"> Secondo l’impostazione seguita da Adunanza Plenaria 1 agosto 2011, n. 16, nell’ambito dei contratti “esclusi” dalla applicazione della disciplina ad evidenza pubblica, si opera, quindi, una precisa distinzione fra:</w:t>
      </w:r>
    </w:p>
    <w:p w:rsidR="00AF20BD" w:rsidRDefault="00AF20BD" w:rsidP="002653E3">
      <w:pPr>
        <w:pStyle w:val="Testonotaapidipagina"/>
      </w:pPr>
      <w:r>
        <w:t>– appalti “esenti”, aventi ad oggetto attività che “rientrano nei settori di intervento delle direttive, ma che ne vengono esclusi per ragioni latu sensu di politica comunitaria”, con riferimento ai quali l’ente aggiudicatore è tenuto al rispetto dei principi del Trattato CE in materia di concorrenza (economicità, efficacia, imparzialità, parità di trattamento, trasparenza, proporzionalità);</w:t>
      </w:r>
    </w:p>
    <w:p w:rsidR="00AF20BD" w:rsidRDefault="00AF20BD" w:rsidP="002653E3">
      <w:pPr>
        <w:pStyle w:val="Testonotaapidipagina"/>
      </w:pPr>
      <w:r>
        <w:t>– appalti “estranei” (categoria elaborata proprio dalla pronuncia della Plenaria) aventi ad oggetto attività “del tutto al di fuori dei settori di intervento delle direttive o dello stesso ordinamento comunitario” (da eseguirsi al di fuori del territorio dell’Unione ovvero aggiudicati da enti aggiudicatori dei settori speciali per fini diversi dall’esercizio delle attività nei settori speciali ex art 217 D.L.vo 163/2006), che, qualora, affidati da imprese pubbliche non soggiacciono alla disciplina dei settori ordinari ma al solo rispetto dei principi civilistici.</w:t>
      </w:r>
    </w:p>
  </w:footnote>
  <w:footnote w:id="6">
    <w:p w:rsidR="00AF20BD" w:rsidRPr="00C60E33" w:rsidRDefault="00AF20BD" w:rsidP="0040743A">
      <w:pPr>
        <w:pStyle w:val="Testonotaapidipagina"/>
        <w:spacing w:line="240" w:lineRule="auto"/>
        <w:rPr>
          <w:sz w:val="24"/>
        </w:rPr>
      </w:pPr>
      <w:r w:rsidRPr="00C60E33">
        <w:rPr>
          <w:rStyle w:val="Rimandonotaapidipagina"/>
          <w:sz w:val="24"/>
        </w:rPr>
        <w:footnoteRef/>
      </w:r>
      <w:r w:rsidRPr="00C60E33">
        <w:rPr>
          <w:sz w:val="24"/>
        </w:rPr>
        <w:t xml:space="preserve"> Anche al di fuori dei settori speciali, tuttavia, si pone il problema dei regolamenti adottati dalle singole stazioni appaltanti per disciplinare la propria attività contrattuale.</w:t>
      </w:r>
    </w:p>
    <w:p w:rsidR="00AF20BD" w:rsidRPr="00C60E33" w:rsidRDefault="00AF20BD" w:rsidP="0040743A">
      <w:pPr>
        <w:pStyle w:val="Testonotaapidipagina"/>
        <w:spacing w:line="240" w:lineRule="auto"/>
        <w:rPr>
          <w:sz w:val="24"/>
        </w:rPr>
      </w:pPr>
      <w:r w:rsidRPr="00C60E33">
        <w:rPr>
          <w:sz w:val="24"/>
        </w:rPr>
        <w:t>Il codice dei contratti pubblici non prende posizione al riguardo, né vietandoli, né contemplandoli positivamente.</w:t>
      </w:r>
    </w:p>
    <w:p w:rsidR="00AF20BD" w:rsidRPr="00C60E33" w:rsidRDefault="00AF20BD" w:rsidP="0040743A">
      <w:pPr>
        <w:pStyle w:val="Testonotaapidipagina"/>
        <w:spacing w:line="240" w:lineRule="auto"/>
        <w:rPr>
          <w:sz w:val="24"/>
        </w:rPr>
      </w:pPr>
      <w:r w:rsidRPr="00C60E33">
        <w:rPr>
          <w:sz w:val="24"/>
        </w:rPr>
        <w:t>L’ANAC nelle LG in materia di affidamenti sottosoglia ha incoraggiato le stazioni appaltanti a prevedere una disciplina regolamentare, allo scopo di predeterminare i criteri di svolgimento dell’attività.</w:t>
      </w:r>
    </w:p>
    <w:p w:rsidR="00AF20BD" w:rsidRPr="00C60E33" w:rsidRDefault="00AF20BD" w:rsidP="0040743A">
      <w:pPr>
        <w:pStyle w:val="Testonotaapidipagina"/>
        <w:spacing w:line="240" w:lineRule="auto"/>
        <w:rPr>
          <w:sz w:val="24"/>
        </w:rPr>
      </w:pPr>
      <w:r w:rsidRPr="00C60E33">
        <w:rPr>
          <w:sz w:val="24"/>
        </w:rPr>
        <w:t>Evidentemente, un potere regolamentare potrà svolgersi solo nel rispetto del principio di legalità e, quindi, solo se previsto da una fonte legislativa.</w:t>
      </w:r>
    </w:p>
    <w:p w:rsidR="00AF20BD" w:rsidRPr="00C60E33" w:rsidRDefault="00AF20BD" w:rsidP="0040743A">
      <w:pPr>
        <w:pStyle w:val="Testonotaapidipagina"/>
        <w:spacing w:line="240" w:lineRule="auto"/>
        <w:rPr>
          <w:sz w:val="24"/>
        </w:rPr>
      </w:pPr>
      <w:r w:rsidRPr="00C60E33">
        <w:rPr>
          <w:sz w:val="24"/>
        </w:rPr>
        <w:t xml:space="preserve">In tali casi, però, si apre un ulteriore interrogativo, riguardante il rapporto di gerarchia rispetto alle LG vincolanti. </w:t>
      </w:r>
    </w:p>
  </w:footnote>
  <w:footnote w:id="7">
    <w:p w:rsidR="00AF20BD" w:rsidRPr="00C60E33" w:rsidRDefault="00AF20BD" w:rsidP="0040743A">
      <w:pPr>
        <w:spacing w:line="240" w:lineRule="auto"/>
        <w:rPr>
          <w:rFonts w:eastAsia="Times New Roman"/>
          <w:sz w:val="24"/>
          <w:szCs w:val="24"/>
          <w:lang w:eastAsia="it-IT"/>
        </w:rPr>
      </w:pPr>
      <w:r w:rsidRPr="00C60E33">
        <w:rPr>
          <w:rStyle w:val="Rimandonotaapidipagina"/>
          <w:sz w:val="24"/>
        </w:rPr>
        <w:footnoteRef/>
      </w:r>
      <w:r w:rsidRPr="00C60E33">
        <w:rPr>
          <w:sz w:val="24"/>
        </w:rPr>
        <w:t xml:space="preserve"> Altre questioni propone l’art. 54, comma </w:t>
      </w:r>
      <w:r w:rsidRPr="00C60E33">
        <w:rPr>
          <w:rFonts w:eastAsia="Times New Roman"/>
          <w:sz w:val="24"/>
          <w:szCs w:val="24"/>
          <w:lang w:eastAsia="it-IT"/>
        </w:rPr>
        <w:t>6, in materia di accordi quadro: “</w:t>
      </w:r>
      <w:r w:rsidRPr="00C60E33">
        <w:rPr>
          <w:rFonts w:eastAsia="Times New Roman"/>
          <w:i/>
          <w:sz w:val="24"/>
          <w:szCs w:val="24"/>
          <w:lang w:eastAsia="it-IT"/>
        </w:rPr>
        <w:t>Nei settori speciali, gli appalti basati su un accordo quadro sono aggiudicati in base a regole e criteri oggettivi che possono prevedere la riapertura del confronto competitivo tra gli operatori economici parti dell'accordo quadro concluso. Tali regole e criteri sono indicati nei documenti di gara per l'accordo quadro e garantiscono parità di trattamento tra gli operatori economici parti dell'accordo. Ove sia prevista la riapertura del confronto competitivo, l'ente aggiudicatore fissa un termine sufficiente per consentire di presentare offerte relative a ciascun appalto specifico e aggiudicano ciascun appalto all'offerente che ha presentato la migliore offerta in base ai criteri di aggiudicazione stabiliti nel capitolato d'oneri dell'accordo quadro. L'ente aggiudicatore non può ricorrere agli accordi quadro in modo da eludere l'applicazione del presente decreto o in modo da ostacolare, limitare o distorcere la concorrenza.</w:t>
      </w:r>
      <w:r w:rsidRPr="00C60E33">
        <w:rPr>
          <w:rFonts w:eastAsia="Times New Roman"/>
          <w:sz w:val="24"/>
          <w:szCs w:val="24"/>
          <w:lang w:eastAsia="it-IT"/>
        </w:rPr>
        <w:t>”</w:t>
      </w:r>
    </w:p>
    <w:p w:rsidR="00AF20BD" w:rsidRPr="00C60E33" w:rsidRDefault="00AF20BD" w:rsidP="0040743A">
      <w:pPr>
        <w:spacing w:line="240" w:lineRule="auto"/>
        <w:rPr>
          <w:rFonts w:eastAsia="Times New Roman"/>
          <w:sz w:val="24"/>
          <w:szCs w:val="24"/>
          <w:lang w:eastAsia="it-IT"/>
        </w:rPr>
      </w:pPr>
      <w:r w:rsidRPr="00C60E33">
        <w:rPr>
          <w:rFonts w:eastAsia="Times New Roman"/>
          <w:sz w:val="24"/>
          <w:szCs w:val="24"/>
          <w:lang w:eastAsia="it-IT"/>
        </w:rPr>
        <w:t>La disciplina della procedura è fissata dalla stazione appaltante con maggiori margini di flessibilità, ma attraverso gli atti di gara e non con disposizioni “regolamentari”.</w:t>
      </w:r>
    </w:p>
    <w:p w:rsidR="00AF20BD" w:rsidRPr="00C60E33" w:rsidRDefault="00AF20BD" w:rsidP="0040743A">
      <w:pPr>
        <w:pStyle w:val="Testonotaapidipagina"/>
        <w:spacing w:line="240" w:lineRule="auto"/>
        <w:rPr>
          <w:sz w:val="24"/>
        </w:rPr>
      </w:pPr>
    </w:p>
  </w:footnote>
  <w:footnote w:id="8">
    <w:p w:rsidR="00AF20BD" w:rsidRPr="00C60E33" w:rsidRDefault="00AF20BD" w:rsidP="0040743A">
      <w:pPr>
        <w:pStyle w:val="Testonotaapidipagina"/>
        <w:spacing w:line="240" w:lineRule="auto"/>
        <w:rPr>
          <w:rFonts w:eastAsia="Times New Roman"/>
          <w:sz w:val="24"/>
          <w:szCs w:val="24"/>
          <w:lang w:eastAsia="it-IT"/>
        </w:rPr>
      </w:pPr>
      <w:r w:rsidRPr="00C60E33">
        <w:rPr>
          <w:rStyle w:val="Rimandonotaapidipagina"/>
          <w:sz w:val="24"/>
        </w:rPr>
        <w:footnoteRef/>
      </w:r>
      <w:r w:rsidRPr="00C60E33">
        <w:rPr>
          <w:sz w:val="24"/>
        </w:rPr>
        <w:t xml:space="preserve"> </w:t>
      </w:r>
      <w:r w:rsidRPr="00C60E33">
        <w:rPr>
          <w:rFonts w:eastAsia="Times New Roman"/>
          <w:sz w:val="24"/>
          <w:szCs w:val="24"/>
          <w:lang w:eastAsia="it-IT"/>
        </w:rPr>
        <w:t>Sul rapporto tra flessibilità procedimentale e rischio di possibili abusi, cfr. P.L. Portaluri, Tutela della concorrenza e flessibilità delle relazioni contrattuali nella procedura negoziata previo bando di gara, in Foro amm. TAR, 2007, 403 e ss.</w:t>
      </w:r>
    </w:p>
    <w:p w:rsidR="00AF20BD" w:rsidRPr="00C60E33" w:rsidRDefault="00AF20BD" w:rsidP="0040743A">
      <w:pPr>
        <w:pStyle w:val="Testonotaapidipagina"/>
        <w:spacing w:line="240" w:lineRule="auto"/>
        <w:rPr>
          <w:sz w:val="24"/>
        </w:rPr>
      </w:pPr>
    </w:p>
  </w:footnote>
  <w:footnote w:id="9">
    <w:p w:rsidR="00AF20BD" w:rsidRPr="00C60E33" w:rsidRDefault="00AF20BD" w:rsidP="0040743A">
      <w:pPr>
        <w:pStyle w:val="Testonotaapidipagina"/>
        <w:spacing w:line="240" w:lineRule="auto"/>
        <w:rPr>
          <w:sz w:val="24"/>
        </w:rPr>
      </w:pPr>
      <w:r w:rsidRPr="00C60E33">
        <w:rPr>
          <w:rStyle w:val="Rimandonotaapidipagina"/>
          <w:sz w:val="24"/>
        </w:rPr>
        <w:footnoteRef/>
      </w:r>
      <w:r w:rsidRPr="00C60E33">
        <w:rPr>
          <w:sz w:val="24"/>
        </w:rPr>
        <w:t xml:space="preserve"> Secondo il Considerando n. (92), la flessibilità condiziona l’estensione ai settori speciali della direttiva 2014/24/UE per quanto riguarda i requisiti relativi alla capacità economica e finanziaria e alle prove documentali.</w:t>
      </w:r>
    </w:p>
    <w:p w:rsidR="00AF20BD" w:rsidRPr="00C60E33" w:rsidRDefault="00AF20BD" w:rsidP="0040743A">
      <w:pPr>
        <w:pStyle w:val="Testonotaapidipagina"/>
        <w:spacing w:line="240" w:lineRule="auto"/>
        <w:rPr>
          <w:sz w:val="24"/>
        </w:rPr>
      </w:pPr>
      <w:r w:rsidRPr="00C60E33">
        <w:rPr>
          <w:sz w:val="24"/>
        </w:rPr>
        <w:t>“</w:t>
      </w:r>
      <w:r w:rsidRPr="00C60E33">
        <w:rPr>
          <w:i/>
          <w:sz w:val="24"/>
        </w:rPr>
        <w:t>Sempreché sia compatibile con la necessità di assicurare la realizzazione dell’obiettivo di pratiche commerciali leali pur permettendo la massima flessibilità, è opportuno prevedere l’applicazione della direttiva 2014/24/UE per quanto riguarda i requisiti relativi alla capacità economica e finanziaria e alle prove documentali. Agli enti aggiudicatori dovrebbe essere pertanto consentito di applicare i criteri di selezione di cui a tale direttiva e, qualora essi lo facciano, dovrebbero avere l’obbligo di applicare determinate altre disposizioni che riguardano, in particolare, il massimale relativo ai requisiti sul fatturato minimo nonché in materia di utilizzo del documento di gara unico europeo.</w:t>
      </w:r>
      <w:r w:rsidRPr="00C60E33">
        <w:rPr>
          <w:sz w:val="24"/>
        </w:rPr>
        <w:t>”</w:t>
      </w:r>
    </w:p>
    <w:p w:rsidR="00AF20BD" w:rsidRPr="00C60E33" w:rsidRDefault="00AF20BD" w:rsidP="0040743A">
      <w:pPr>
        <w:pStyle w:val="Testonotaapidipagina"/>
        <w:spacing w:line="240" w:lineRule="auto"/>
        <w:rPr>
          <w:sz w:val="24"/>
        </w:rPr>
      </w:pPr>
    </w:p>
  </w:footnote>
  <w:footnote w:id="10">
    <w:p w:rsidR="00AF20BD" w:rsidRPr="00C60E33" w:rsidRDefault="00AF20BD" w:rsidP="0040743A">
      <w:pPr>
        <w:pStyle w:val="Testonotaapidipagina"/>
        <w:spacing w:line="240" w:lineRule="auto"/>
        <w:rPr>
          <w:sz w:val="24"/>
        </w:rPr>
      </w:pPr>
      <w:r w:rsidRPr="00C60E33">
        <w:rPr>
          <w:rStyle w:val="Rimandonotaapidipagina"/>
          <w:sz w:val="24"/>
        </w:rPr>
        <w:footnoteRef/>
      </w:r>
      <w:r w:rsidRPr="00C60E33">
        <w:rPr>
          <w:sz w:val="24"/>
        </w:rPr>
        <w:t xml:space="preserve"> Nello stesso senso si pone il Considerando n. 109 della direttiva 24/2014/UE.</w:t>
      </w:r>
    </w:p>
  </w:footnote>
  <w:footnote w:id="11">
    <w:p w:rsidR="00AF20BD" w:rsidRPr="00C60E33" w:rsidRDefault="00AF20BD" w:rsidP="0040743A">
      <w:pPr>
        <w:pStyle w:val="Testonotaapidipagina"/>
        <w:spacing w:line="240" w:lineRule="auto"/>
        <w:rPr>
          <w:sz w:val="24"/>
        </w:rPr>
      </w:pPr>
      <w:r w:rsidRPr="00C60E33">
        <w:rPr>
          <w:rStyle w:val="Rimandonotaapidipagina"/>
          <w:sz w:val="24"/>
        </w:rPr>
        <w:footnoteRef/>
      </w:r>
      <w:r w:rsidRPr="00C60E33">
        <w:rPr>
          <w:sz w:val="24"/>
        </w:rPr>
        <w:t xml:space="preserve"> Nello stesso senso si pone il Considerando n. 120  della direttiva 24/2014/UE.</w:t>
      </w:r>
    </w:p>
  </w:footnote>
  <w:footnote w:id="12">
    <w:p w:rsidR="00AF20BD" w:rsidRPr="002360E5" w:rsidRDefault="00AF20BD" w:rsidP="00872535">
      <w:pPr>
        <w:pStyle w:val="Paragrafoelenco"/>
        <w:tabs>
          <w:tab w:val="left" w:pos="0"/>
        </w:tabs>
        <w:ind w:left="0"/>
        <w:rPr>
          <w:rFonts w:ascii="Times New Roman" w:hAnsi="Times New Roman"/>
          <w:color w:val="0F243E" w:themeColor="text2" w:themeShade="80"/>
          <w:sz w:val="26"/>
          <w:szCs w:val="26"/>
        </w:rPr>
      </w:pPr>
      <w:r>
        <w:rPr>
          <w:rStyle w:val="Rimandonotaapidipagina"/>
        </w:rPr>
        <w:footnoteRef/>
      </w:r>
      <w:r>
        <w:t xml:space="preserve"> </w:t>
      </w:r>
      <w:r w:rsidRPr="002360E5">
        <w:rPr>
          <w:rFonts w:ascii="Times New Roman" w:hAnsi="Times New Roman"/>
          <w:color w:val="0F243E" w:themeColor="text2" w:themeShade="80"/>
          <w:sz w:val="26"/>
          <w:szCs w:val="26"/>
        </w:rPr>
        <w:t>Parte della dottrina (</w:t>
      </w:r>
      <w:r w:rsidRPr="002360E5">
        <w:rPr>
          <w:rFonts w:ascii="Times New Roman" w:hAnsi="Times New Roman"/>
          <w:smallCaps/>
          <w:color w:val="0F243E" w:themeColor="text2" w:themeShade="80"/>
          <w:sz w:val="26"/>
          <w:szCs w:val="26"/>
        </w:rPr>
        <w:t>Cintioli</w:t>
      </w:r>
      <w:r w:rsidRPr="002360E5">
        <w:rPr>
          <w:rFonts w:ascii="Times New Roman" w:hAnsi="Times New Roman"/>
          <w:color w:val="0F243E" w:themeColor="text2" w:themeShade="80"/>
          <w:sz w:val="26"/>
          <w:szCs w:val="26"/>
        </w:rPr>
        <w:t>, op. cit., nota 38, evidenzia come “</w:t>
      </w:r>
      <w:r w:rsidRPr="002360E5">
        <w:rPr>
          <w:rFonts w:ascii="Times New Roman" w:eastAsia="Times New Roman" w:hAnsi="Times New Roman"/>
          <w:i/>
          <w:color w:val="0F243E" w:themeColor="text2" w:themeShade="80"/>
          <w:sz w:val="26"/>
          <w:szCs w:val="26"/>
          <w:lang w:eastAsia="it-IT"/>
        </w:rPr>
        <w:t>la principale sfida per ANAC sarà quella di bilanciare soprattutto il fine “anticorruzione” con questi altri obiettivi, sfuggendo alla tentazione di risolvere i problemi con l'equazione “più gare e più oneri procedimentali uguale a migliore legalità e minore corruzione” e cercando di evitare di addossare alle stazioni appaltanti sempre maggiori oneri formali e procedimentali e il rischio di connesse responsabilità</w:t>
      </w:r>
      <w:r w:rsidRPr="002360E5">
        <w:rPr>
          <w:rFonts w:ascii="Times New Roman" w:eastAsia="Times New Roman" w:hAnsi="Times New Roman"/>
          <w:color w:val="0F243E" w:themeColor="text2" w:themeShade="80"/>
          <w:sz w:val="26"/>
          <w:szCs w:val="26"/>
          <w:lang w:eastAsia="it-IT"/>
        </w:rPr>
        <w:t>”.</w:t>
      </w:r>
    </w:p>
    <w:p w:rsidR="00AF20BD" w:rsidRDefault="00AF20BD">
      <w:pPr>
        <w:pStyle w:val="Testonotaapidipagina"/>
      </w:pPr>
    </w:p>
  </w:footnote>
  <w:footnote w:id="13">
    <w:p w:rsidR="00AF20BD" w:rsidRPr="00C60E33" w:rsidRDefault="00AF20BD" w:rsidP="0040743A">
      <w:pPr>
        <w:pStyle w:val="Testonotadichiusura"/>
        <w:spacing w:line="240" w:lineRule="auto"/>
        <w:rPr>
          <w:i/>
          <w:sz w:val="24"/>
          <w:szCs w:val="22"/>
        </w:rPr>
      </w:pPr>
      <w:r w:rsidRPr="00C60E33">
        <w:rPr>
          <w:rStyle w:val="Rimandonotaapidipagina"/>
          <w:sz w:val="24"/>
          <w:szCs w:val="22"/>
        </w:rPr>
        <w:footnoteRef/>
      </w:r>
      <w:r w:rsidRPr="00C60E33">
        <w:rPr>
          <w:sz w:val="24"/>
          <w:szCs w:val="22"/>
        </w:rPr>
        <w:t xml:space="preserve"> Si legge nel parere sub art. 83: “</w:t>
      </w:r>
      <w:r w:rsidRPr="00C60E33">
        <w:rPr>
          <w:i/>
          <w:sz w:val="24"/>
          <w:szCs w:val="22"/>
        </w:rPr>
        <w:t>Il comma 2 affida all’ANAC la disciplina (caratterizzata da generalità e astrattezza) di rilevanti aspetti sostanziali in tema di selezione dei candidati, caratteri del sistema di qualificazione, casi e modalità di avvalimento e requisiti e capacità che devono essere posseduti dal concorrente, integrando una parte rilevante della materia disciplinata e incidendo altresì su specifici status soggettivi. Si tratta di materia intrinsecamente normativa, che completa il dettato delle disposizioni di rango primario e che andrebbe più propriamente affidata alla sede regolamentare, con le relative implicazioni anche in termini di garanzie procedimentali.</w:t>
      </w:r>
    </w:p>
    <w:p w:rsidR="00AF20BD" w:rsidRPr="00C60E33" w:rsidRDefault="00AF20BD" w:rsidP="0040743A">
      <w:pPr>
        <w:pStyle w:val="Testonotadichiusura"/>
        <w:spacing w:line="240" w:lineRule="auto"/>
        <w:rPr>
          <w:i/>
          <w:sz w:val="24"/>
          <w:szCs w:val="22"/>
        </w:rPr>
      </w:pPr>
      <w:r w:rsidRPr="00C60E33">
        <w:rPr>
          <w:i/>
          <w:sz w:val="24"/>
          <w:szCs w:val="22"/>
        </w:rPr>
        <w:t>Alla luce di quanto osservato nella parte generale (sub II.g), si demanda al Governo di valutare se riconfermare il riparto di attribuzioni del presente articolo, ovvero modificarlo affidando una parte di tale materia ai decreti ministeriali adottati su proposta dell’ANAC, lasciando comunque all’ANAC il sistema di premialità e penalità del comma 10, nonché la disciplina delle SOA di cui al successivo art. 84, secondo quanto già previsto dall’abrogando d.lgs. n. 163/2006.</w:t>
      </w:r>
    </w:p>
    <w:p w:rsidR="00AF20BD" w:rsidRPr="00C60E33" w:rsidRDefault="00AF20BD" w:rsidP="0040743A">
      <w:pPr>
        <w:pStyle w:val="Testonotadichiusura"/>
        <w:spacing w:line="240" w:lineRule="auto"/>
        <w:rPr>
          <w:i/>
          <w:sz w:val="24"/>
          <w:szCs w:val="22"/>
        </w:rPr>
      </w:pPr>
      <w:r w:rsidRPr="00C60E33">
        <w:rPr>
          <w:i/>
          <w:sz w:val="24"/>
          <w:szCs w:val="22"/>
        </w:rPr>
        <w:t>In tale seconda ipotesi, le competenze attribuite all’ANAC in tema di qualificazione avrebbero comunque piena esplicazione attraverso il potere di proposta, che costituisce tipico atto che predetermina il conte</w:t>
      </w:r>
      <w:r>
        <w:rPr>
          <w:i/>
          <w:sz w:val="24"/>
          <w:szCs w:val="22"/>
        </w:rPr>
        <w:t>nuto del provvedimento finale.”</w:t>
      </w:r>
    </w:p>
  </w:footnote>
  <w:footnote w:id="14">
    <w:p w:rsidR="00AF20BD" w:rsidRPr="00C60E33" w:rsidRDefault="00AF20BD" w:rsidP="0040743A">
      <w:pPr>
        <w:pStyle w:val="Testonotaapidipagina"/>
        <w:spacing w:line="240" w:lineRule="auto"/>
        <w:rPr>
          <w:sz w:val="24"/>
          <w:szCs w:val="22"/>
        </w:rPr>
      </w:pPr>
      <w:r w:rsidRPr="00C60E33">
        <w:rPr>
          <w:rStyle w:val="Rimandonotaapidipagina"/>
          <w:sz w:val="24"/>
          <w:szCs w:val="22"/>
        </w:rPr>
        <w:footnoteRef/>
      </w:r>
      <w:r w:rsidRPr="00C60E33">
        <w:rPr>
          <w:sz w:val="24"/>
          <w:szCs w:val="22"/>
        </w:rPr>
        <w:t xml:space="preserve"> Per tale riflessione v. anche C. DEODATO, </w:t>
      </w:r>
      <w:r w:rsidRPr="00C60E33">
        <w:rPr>
          <w:i/>
          <w:sz w:val="24"/>
          <w:szCs w:val="22"/>
        </w:rPr>
        <w:t>Le linee guida dell’ANAC: una nuova fonte del diritto</w:t>
      </w:r>
      <w:r w:rsidRPr="00C60E33">
        <w:rPr>
          <w:sz w:val="24"/>
          <w:szCs w:val="22"/>
        </w:rPr>
        <w:t xml:space="preserve">, in </w:t>
      </w:r>
      <w:r w:rsidRPr="00C60E33">
        <w:rPr>
          <w:i/>
          <w:sz w:val="24"/>
          <w:szCs w:val="22"/>
        </w:rPr>
        <w:t xml:space="preserve">www.giustizia-amministrativa.it, </w:t>
      </w:r>
      <w:r w:rsidRPr="00C60E33">
        <w:rPr>
          <w:sz w:val="24"/>
          <w:szCs w:val="22"/>
        </w:rPr>
        <w:t>29.4.2016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0BD" w:rsidRDefault="00AF20BD">
    <w:pPr>
      <w:pStyle w:val="Intestazione"/>
      <w:jc w:val="center"/>
    </w:pPr>
    <w:r>
      <w:fldChar w:fldCharType="begin"/>
    </w:r>
    <w:r>
      <w:instrText>PAGE   \* MERGEFORMAT</w:instrText>
    </w:r>
    <w:r>
      <w:fldChar w:fldCharType="separate"/>
    </w:r>
    <w:r w:rsidR="00F40DD0">
      <w:rPr>
        <w:noProof/>
      </w:rPr>
      <w:t>50</w:t>
    </w:r>
    <w:r>
      <w:fldChar w:fldCharType="end"/>
    </w:r>
  </w:p>
  <w:p w:rsidR="00AF20BD" w:rsidRDefault="00AF20B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704"/>
    <w:multiLevelType w:val="hybridMultilevel"/>
    <w:tmpl w:val="979A5DB2"/>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1" w15:restartNumberingAfterBreak="0">
    <w:nsid w:val="06326440"/>
    <w:multiLevelType w:val="hybridMultilevel"/>
    <w:tmpl w:val="EC0E8BDE"/>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2" w15:restartNumberingAfterBreak="0">
    <w:nsid w:val="0BE50BA0"/>
    <w:multiLevelType w:val="hybridMultilevel"/>
    <w:tmpl w:val="E250AC62"/>
    <w:lvl w:ilvl="0" w:tplc="2A428F82">
      <w:start w:val="1"/>
      <w:numFmt w:val="upperLetter"/>
      <w:lvlText w:val="%1)"/>
      <w:lvlJc w:val="left"/>
      <w:pPr>
        <w:ind w:left="1213" w:hanging="504"/>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0C8875DA"/>
    <w:multiLevelType w:val="hybridMultilevel"/>
    <w:tmpl w:val="A2681E66"/>
    <w:lvl w:ilvl="0" w:tplc="999C7F5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13F55CF5"/>
    <w:multiLevelType w:val="hybridMultilevel"/>
    <w:tmpl w:val="B49652F0"/>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5" w15:restartNumberingAfterBreak="0">
    <w:nsid w:val="181C2508"/>
    <w:multiLevelType w:val="hybridMultilevel"/>
    <w:tmpl w:val="95DA3574"/>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6" w15:restartNumberingAfterBreak="0">
    <w:nsid w:val="19477742"/>
    <w:multiLevelType w:val="hybridMultilevel"/>
    <w:tmpl w:val="AFC24BB6"/>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7" w15:restartNumberingAfterBreak="0">
    <w:nsid w:val="1AF37F77"/>
    <w:multiLevelType w:val="hybridMultilevel"/>
    <w:tmpl w:val="6B621464"/>
    <w:lvl w:ilvl="0" w:tplc="04188810">
      <w:numFmt w:val="bullet"/>
      <w:lvlText w:val="-"/>
      <w:lvlJc w:val="left"/>
      <w:pPr>
        <w:ind w:left="1069" w:hanging="360"/>
      </w:pPr>
      <w:rPr>
        <w:rFonts w:ascii="Times New Roman" w:eastAsia="Times New Roman" w:hAnsi="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1B7D3564"/>
    <w:multiLevelType w:val="hybridMultilevel"/>
    <w:tmpl w:val="10A4C6E8"/>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9" w15:restartNumberingAfterBreak="0">
    <w:nsid w:val="257E0DA5"/>
    <w:multiLevelType w:val="hybridMultilevel"/>
    <w:tmpl w:val="54A0E08A"/>
    <w:lvl w:ilvl="0" w:tplc="0410000F">
      <w:start w:val="1"/>
      <w:numFmt w:val="decimal"/>
      <w:lvlText w:val="%1."/>
      <w:lvlJc w:val="left"/>
      <w:pPr>
        <w:ind w:left="1353" w:hanging="360"/>
      </w:pPr>
    </w:lvl>
    <w:lvl w:ilvl="1" w:tplc="04100019">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10" w15:restartNumberingAfterBreak="0">
    <w:nsid w:val="25B558C5"/>
    <w:multiLevelType w:val="hybridMultilevel"/>
    <w:tmpl w:val="B3347176"/>
    <w:lvl w:ilvl="0" w:tplc="F2DA4D80">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2FB8742A"/>
    <w:multiLevelType w:val="hybridMultilevel"/>
    <w:tmpl w:val="AB5445DE"/>
    <w:lvl w:ilvl="0" w:tplc="00DEA5FE">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3200660C"/>
    <w:multiLevelType w:val="hybridMultilevel"/>
    <w:tmpl w:val="7752E35E"/>
    <w:lvl w:ilvl="0" w:tplc="0410000F">
      <w:start w:val="1"/>
      <w:numFmt w:val="decimal"/>
      <w:lvlText w:val="%1."/>
      <w:lvlJc w:val="left"/>
      <w:pPr>
        <w:ind w:left="1070" w:hanging="360"/>
      </w:pPr>
    </w:lvl>
    <w:lvl w:ilvl="1" w:tplc="04100019">
      <w:start w:val="1"/>
      <w:numFmt w:val="lowerLetter"/>
      <w:lvlText w:val="%2."/>
      <w:lvlJc w:val="left"/>
      <w:pPr>
        <w:ind w:left="306" w:hanging="360"/>
      </w:pPr>
      <w:rPr>
        <w:rFonts w:cs="Times New Roman"/>
      </w:rPr>
    </w:lvl>
    <w:lvl w:ilvl="2" w:tplc="0410001B" w:tentative="1">
      <w:start w:val="1"/>
      <w:numFmt w:val="lowerRoman"/>
      <w:lvlText w:val="%3."/>
      <w:lvlJc w:val="right"/>
      <w:pPr>
        <w:ind w:left="1026" w:hanging="180"/>
      </w:pPr>
      <w:rPr>
        <w:rFonts w:cs="Times New Roman"/>
      </w:rPr>
    </w:lvl>
    <w:lvl w:ilvl="3" w:tplc="0410000F" w:tentative="1">
      <w:start w:val="1"/>
      <w:numFmt w:val="decimal"/>
      <w:lvlText w:val="%4."/>
      <w:lvlJc w:val="left"/>
      <w:pPr>
        <w:ind w:left="1746" w:hanging="360"/>
      </w:pPr>
      <w:rPr>
        <w:rFonts w:cs="Times New Roman"/>
      </w:rPr>
    </w:lvl>
    <w:lvl w:ilvl="4" w:tplc="04100019" w:tentative="1">
      <w:start w:val="1"/>
      <w:numFmt w:val="lowerLetter"/>
      <w:lvlText w:val="%5."/>
      <w:lvlJc w:val="left"/>
      <w:pPr>
        <w:ind w:left="2466" w:hanging="360"/>
      </w:pPr>
      <w:rPr>
        <w:rFonts w:cs="Times New Roman"/>
      </w:rPr>
    </w:lvl>
    <w:lvl w:ilvl="5" w:tplc="0410001B" w:tentative="1">
      <w:start w:val="1"/>
      <w:numFmt w:val="lowerRoman"/>
      <w:lvlText w:val="%6."/>
      <w:lvlJc w:val="right"/>
      <w:pPr>
        <w:ind w:left="3186" w:hanging="180"/>
      </w:pPr>
      <w:rPr>
        <w:rFonts w:cs="Times New Roman"/>
      </w:rPr>
    </w:lvl>
    <w:lvl w:ilvl="6" w:tplc="0410000F" w:tentative="1">
      <w:start w:val="1"/>
      <w:numFmt w:val="decimal"/>
      <w:lvlText w:val="%7."/>
      <w:lvlJc w:val="left"/>
      <w:pPr>
        <w:ind w:left="3906" w:hanging="360"/>
      </w:pPr>
      <w:rPr>
        <w:rFonts w:cs="Times New Roman"/>
      </w:rPr>
    </w:lvl>
    <w:lvl w:ilvl="7" w:tplc="04100019" w:tentative="1">
      <w:start w:val="1"/>
      <w:numFmt w:val="lowerLetter"/>
      <w:lvlText w:val="%8."/>
      <w:lvlJc w:val="left"/>
      <w:pPr>
        <w:ind w:left="4626" w:hanging="360"/>
      </w:pPr>
      <w:rPr>
        <w:rFonts w:cs="Times New Roman"/>
      </w:rPr>
    </w:lvl>
    <w:lvl w:ilvl="8" w:tplc="0410001B" w:tentative="1">
      <w:start w:val="1"/>
      <w:numFmt w:val="lowerRoman"/>
      <w:lvlText w:val="%9."/>
      <w:lvlJc w:val="right"/>
      <w:pPr>
        <w:ind w:left="5346" w:hanging="180"/>
      </w:pPr>
      <w:rPr>
        <w:rFonts w:cs="Times New Roman"/>
      </w:rPr>
    </w:lvl>
  </w:abstractNum>
  <w:abstractNum w:abstractNumId="13" w15:restartNumberingAfterBreak="0">
    <w:nsid w:val="33D47FDB"/>
    <w:multiLevelType w:val="hybridMultilevel"/>
    <w:tmpl w:val="8C8AFFB4"/>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14" w15:restartNumberingAfterBreak="0">
    <w:nsid w:val="35745AB4"/>
    <w:multiLevelType w:val="hybridMultilevel"/>
    <w:tmpl w:val="A3463740"/>
    <w:lvl w:ilvl="0" w:tplc="2F4A830A">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15:restartNumberingAfterBreak="0">
    <w:nsid w:val="380B2F2A"/>
    <w:multiLevelType w:val="hybridMultilevel"/>
    <w:tmpl w:val="33F239DC"/>
    <w:lvl w:ilvl="0" w:tplc="0410000F">
      <w:start w:val="1"/>
      <w:numFmt w:val="decimal"/>
      <w:lvlText w:val="%1."/>
      <w:lvlJc w:val="left"/>
      <w:pPr>
        <w:ind w:left="1353" w:hanging="360"/>
      </w:pPr>
    </w:lvl>
    <w:lvl w:ilvl="1" w:tplc="04100019">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16" w15:restartNumberingAfterBreak="0">
    <w:nsid w:val="3B4C0393"/>
    <w:multiLevelType w:val="hybridMultilevel"/>
    <w:tmpl w:val="8542DA56"/>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17" w15:restartNumberingAfterBreak="0">
    <w:nsid w:val="3CDB7072"/>
    <w:multiLevelType w:val="hybridMultilevel"/>
    <w:tmpl w:val="5B44CA40"/>
    <w:lvl w:ilvl="0" w:tplc="0410000F">
      <w:start w:val="1"/>
      <w:numFmt w:val="decimal"/>
      <w:lvlText w:val="%1."/>
      <w:lvlJc w:val="left"/>
      <w:pPr>
        <w:ind w:left="1070" w:hanging="360"/>
      </w:pPr>
    </w:lvl>
    <w:lvl w:ilvl="1" w:tplc="04100019">
      <w:start w:val="1"/>
      <w:numFmt w:val="lowerLetter"/>
      <w:lvlText w:val="%2."/>
      <w:lvlJc w:val="left"/>
      <w:pPr>
        <w:ind w:left="306" w:hanging="360"/>
      </w:pPr>
      <w:rPr>
        <w:rFonts w:cs="Times New Roman"/>
      </w:rPr>
    </w:lvl>
    <w:lvl w:ilvl="2" w:tplc="0410001B" w:tentative="1">
      <w:start w:val="1"/>
      <w:numFmt w:val="lowerRoman"/>
      <w:lvlText w:val="%3."/>
      <w:lvlJc w:val="right"/>
      <w:pPr>
        <w:ind w:left="1026" w:hanging="180"/>
      </w:pPr>
      <w:rPr>
        <w:rFonts w:cs="Times New Roman"/>
      </w:rPr>
    </w:lvl>
    <w:lvl w:ilvl="3" w:tplc="0410000F" w:tentative="1">
      <w:start w:val="1"/>
      <w:numFmt w:val="decimal"/>
      <w:lvlText w:val="%4."/>
      <w:lvlJc w:val="left"/>
      <w:pPr>
        <w:ind w:left="1746" w:hanging="360"/>
      </w:pPr>
      <w:rPr>
        <w:rFonts w:cs="Times New Roman"/>
      </w:rPr>
    </w:lvl>
    <w:lvl w:ilvl="4" w:tplc="04100019" w:tentative="1">
      <w:start w:val="1"/>
      <w:numFmt w:val="lowerLetter"/>
      <w:lvlText w:val="%5."/>
      <w:lvlJc w:val="left"/>
      <w:pPr>
        <w:ind w:left="2466" w:hanging="360"/>
      </w:pPr>
      <w:rPr>
        <w:rFonts w:cs="Times New Roman"/>
      </w:rPr>
    </w:lvl>
    <w:lvl w:ilvl="5" w:tplc="0410001B" w:tentative="1">
      <w:start w:val="1"/>
      <w:numFmt w:val="lowerRoman"/>
      <w:lvlText w:val="%6."/>
      <w:lvlJc w:val="right"/>
      <w:pPr>
        <w:ind w:left="3186" w:hanging="180"/>
      </w:pPr>
      <w:rPr>
        <w:rFonts w:cs="Times New Roman"/>
      </w:rPr>
    </w:lvl>
    <w:lvl w:ilvl="6" w:tplc="0410000F" w:tentative="1">
      <w:start w:val="1"/>
      <w:numFmt w:val="decimal"/>
      <w:lvlText w:val="%7."/>
      <w:lvlJc w:val="left"/>
      <w:pPr>
        <w:ind w:left="3906" w:hanging="360"/>
      </w:pPr>
      <w:rPr>
        <w:rFonts w:cs="Times New Roman"/>
      </w:rPr>
    </w:lvl>
    <w:lvl w:ilvl="7" w:tplc="04100019" w:tentative="1">
      <w:start w:val="1"/>
      <w:numFmt w:val="lowerLetter"/>
      <w:lvlText w:val="%8."/>
      <w:lvlJc w:val="left"/>
      <w:pPr>
        <w:ind w:left="4626" w:hanging="360"/>
      </w:pPr>
      <w:rPr>
        <w:rFonts w:cs="Times New Roman"/>
      </w:rPr>
    </w:lvl>
    <w:lvl w:ilvl="8" w:tplc="0410001B" w:tentative="1">
      <w:start w:val="1"/>
      <w:numFmt w:val="lowerRoman"/>
      <w:lvlText w:val="%9."/>
      <w:lvlJc w:val="right"/>
      <w:pPr>
        <w:ind w:left="5346" w:hanging="180"/>
      </w:pPr>
      <w:rPr>
        <w:rFonts w:cs="Times New Roman"/>
      </w:rPr>
    </w:lvl>
  </w:abstractNum>
  <w:abstractNum w:abstractNumId="18" w15:restartNumberingAfterBreak="0">
    <w:nsid w:val="3EDA71C3"/>
    <w:multiLevelType w:val="hybridMultilevel"/>
    <w:tmpl w:val="E4FAD316"/>
    <w:lvl w:ilvl="0" w:tplc="7DF813F4">
      <w:start w:val="2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F35C0"/>
    <w:multiLevelType w:val="hybridMultilevel"/>
    <w:tmpl w:val="170A2B60"/>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20" w15:restartNumberingAfterBreak="0">
    <w:nsid w:val="498D67B9"/>
    <w:multiLevelType w:val="hybridMultilevel"/>
    <w:tmpl w:val="3F34FAF6"/>
    <w:lvl w:ilvl="0" w:tplc="97FE608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1" w15:restartNumberingAfterBreak="0">
    <w:nsid w:val="49EE725B"/>
    <w:multiLevelType w:val="hybridMultilevel"/>
    <w:tmpl w:val="DAD4A17C"/>
    <w:lvl w:ilvl="0" w:tplc="8ABE16AA">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4A8334F9"/>
    <w:multiLevelType w:val="hybridMultilevel"/>
    <w:tmpl w:val="8ED28A72"/>
    <w:lvl w:ilvl="0" w:tplc="F61C5878">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4D447E49"/>
    <w:multiLevelType w:val="hybridMultilevel"/>
    <w:tmpl w:val="E8B27C8E"/>
    <w:lvl w:ilvl="0" w:tplc="E9C85F2E">
      <w:start w:val="1"/>
      <w:numFmt w:val="lowerLetter"/>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24" w15:restartNumberingAfterBreak="0">
    <w:nsid w:val="50C028B3"/>
    <w:multiLevelType w:val="hybridMultilevel"/>
    <w:tmpl w:val="7B144426"/>
    <w:lvl w:ilvl="0" w:tplc="854648D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527112C2"/>
    <w:multiLevelType w:val="hybridMultilevel"/>
    <w:tmpl w:val="7804A834"/>
    <w:lvl w:ilvl="0" w:tplc="6428E29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5B201E7E"/>
    <w:multiLevelType w:val="hybridMultilevel"/>
    <w:tmpl w:val="E71E028C"/>
    <w:lvl w:ilvl="0" w:tplc="919473A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5EEA71A8"/>
    <w:multiLevelType w:val="hybridMultilevel"/>
    <w:tmpl w:val="134ED362"/>
    <w:lvl w:ilvl="0" w:tplc="E8E66632">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8" w15:restartNumberingAfterBreak="0">
    <w:nsid w:val="5F436ACB"/>
    <w:multiLevelType w:val="hybridMultilevel"/>
    <w:tmpl w:val="BB2637C2"/>
    <w:lvl w:ilvl="0" w:tplc="38EADC02">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603778B6"/>
    <w:multiLevelType w:val="hybridMultilevel"/>
    <w:tmpl w:val="4D24D8CC"/>
    <w:lvl w:ilvl="0" w:tplc="1FD80A8A">
      <w:start w:val="1"/>
      <w:numFmt w:val="upperLetter"/>
      <w:lvlText w:val="%1)"/>
      <w:lvlJc w:val="left"/>
      <w:pPr>
        <w:ind w:left="1213" w:hanging="50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B9063C"/>
    <w:multiLevelType w:val="hybridMultilevel"/>
    <w:tmpl w:val="A0B4B0C4"/>
    <w:lvl w:ilvl="0" w:tplc="FA36A620">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1" w15:restartNumberingAfterBreak="0">
    <w:nsid w:val="6E713229"/>
    <w:multiLevelType w:val="hybridMultilevel"/>
    <w:tmpl w:val="BBECCA20"/>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32" w15:restartNumberingAfterBreak="0">
    <w:nsid w:val="6E9812A5"/>
    <w:multiLevelType w:val="hybridMultilevel"/>
    <w:tmpl w:val="0B040FA6"/>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33" w15:restartNumberingAfterBreak="0">
    <w:nsid w:val="77181323"/>
    <w:multiLevelType w:val="hybridMultilevel"/>
    <w:tmpl w:val="B114FE4C"/>
    <w:lvl w:ilvl="0" w:tplc="253267B2">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4" w15:restartNumberingAfterBreak="0">
    <w:nsid w:val="7DD5214C"/>
    <w:multiLevelType w:val="hybridMultilevel"/>
    <w:tmpl w:val="3B300560"/>
    <w:lvl w:ilvl="0" w:tplc="0410000F">
      <w:start w:val="1"/>
      <w:numFmt w:val="decimal"/>
      <w:lvlText w:val="%1."/>
      <w:lvlJc w:val="left"/>
      <w:pPr>
        <w:ind w:left="1070" w:hanging="360"/>
      </w:pPr>
    </w:lvl>
    <w:lvl w:ilvl="1" w:tplc="04100019">
      <w:start w:val="1"/>
      <w:numFmt w:val="lowerLetter"/>
      <w:lvlText w:val="%2."/>
      <w:lvlJc w:val="left"/>
      <w:pPr>
        <w:ind w:left="306" w:hanging="360"/>
      </w:pPr>
      <w:rPr>
        <w:rFonts w:cs="Times New Roman"/>
      </w:rPr>
    </w:lvl>
    <w:lvl w:ilvl="2" w:tplc="0410001B" w:tentative="1">
      <w:start w:val="1"/>
      <w:numFmt w:val="lowerRoman"/>
      <w:lvlText w:val="%3."/>
      <w:lvlJc w:val="right"/>
      <w:pPr>
        <w:ind w:left="1026" w:hanging="180"/>
      </w:pPr>
      <w:rPr>
        <w:rFonts w:cs="Times New Roman"/>
      </w:rPr>
    </w:lvl>
    <w:lvl w:ilvl="3" w:tplc="0410000F" w:tentative="1">
      <w:start w:val="1"/>
      <w:numFmt w:val="decimal"/>
      <w:lvlText w:val="%4."/>
      <w:lvlJc w:val="left"/>
      <w:pPr>
        <w:ind w:left="1746" w:hanging="360"/>
      </w:pPr>
      <w:rPr>
        <w:rFonts w:cs="Times New Roman"/>
      </w:rPr>
    </w:lvl>
    <w:lvl w:ilvl="4" w:tplc="04100019" w:tentative="1">
      <w:start w:val="1"/>
      <w:numFmt w:val="lowerLetter"/>
      <w:lvlText w:val="%5."/>
      <w:lvlJc w:val="left"/>
      <w:pPr>
        <w:ind w:left="2466" w:hanging="360"/>
      </w:pPr>
      <w:rPr>
        <w:rFonts w:cs="Times New Roman"/>
      </w:rPr>
    </w:lvl>
    <w:lvl w:ilvl="5" w:tplc="0410001B" w:tentative="1">
      <w:start w:val="1"/>
      <w:numFmt w:val="lowerRoman"/>
      <w:lvlText w:val="%6."/>
      <w:lvlJc w:val="right"/>
      <w:pPr>
        <w:ind w:left="3186" w:hanging="180"/>
      </w:pPr>
      <w:rPr>
        <w:rFonts w:cs="Times New Roman"/>
      </w:rPr>
    </w:lvl>
    <w:lvl w:ilvl="6" w:tplc="0410000F" w:tentative="1">
      <w:start w:val="1"/>
      <w:numFmt w:val="decimal"/>
      <w:lvlText w:val="%7."/>
      <w:lvlJc w:val="left"/>
      <w:pPr>
        <w:ind w:left="3906" w:hanging="360"/>
      </w:pPr>
      <w:rPr>
        <w:rFonts w:cs="Times New Roman"/>
      </w:rPr>
    </w:lvl>
    <w:lvl w:ilvl="7" w:tplc="04100019" w:tentative="1">
      <w:start w:val="1"/>
      <w:numFmt w:val="lowerLetter"/>
      <w:lvlText w:val="%8."/>
      <w:lvlJc w:val="left"/>
      <w:pPr>
        <w:ind w:left="4626" w:hanging="360"/>
      </w:pPr>
      <w:rPr>
        <w:rFonts w:cs="Times New Roman"/>
      </w:rPr>
    </w:lvl>
    <w:lvl w:ilvl="8" w:tplc="0410001B" w:tentative="1">
      <w:start w:val="1"/>
      <w:numFmt w:val="lowerRoman"/>
      <w:lvlText w:val="%9."/>
      <w:lvlJc w:val="right"/>
      <w:pPr>
        <w:ind w:left="5346" w:hanging="180"/>
      </w:pPr>
      <w:rPr>
        <w:rFonts w:cs="Times New Roman"/>
      </w:rPr>
    </w:lvl>
  </w:abstractNum>
  <w:num w:numId="1">
    <w:abstractNumId w:val="34"/>
  </w:num>
  <w:num w:numId="2">
    <w:abstractNumId w:val="8"/>
  </w:num>
  <w:num w:numId="3">
    <w:abstractNumId w:val="32"/>
  </w:num>
  <w:num w:numId="4">
    <w:abstractNumId w:val="1"/>
  </w:num>
  <w:num w:numId="5">
    <w:abstractNumId w:val="16"/>
  </w:num>
  <w:num w:numId="6">
    <w:abstractNumId w:val="13"/>
  </w:num>
  <w:num w:numId="7">
    <w:abstractNumId w:val="0"/>
  </w:num>
  <w:num w:numId="8">
    <w:abstractNumId w:val="4"/>
  </w:num>
  <w:num w:numId="9">
    <w:abstractNumId w:val="31"/>
  </w:num>
  <w:num w:numId="10">
    <w:abstractNumId w:val="19"/>
  </w:num>
  <w:num w:numId="11">
    <w:abstractNumId w:val="5"/>
  </w:num>
  <w:num w:numId="12">
    <w:abstractNumId w:val="6"/>
  </w:num>
  <w:num w:numId="13">
    <w:abstractNumId w:val="23"/>
  </w:num>
  <w:num w:numId="14">
    <w:abstractNumId w:val="18"/>
  </w:num>
  <w:num w:numId="15">
    <w:abstractNumId w:val="7"/>
  </w:num>
  <w:num w:numId="16">
    <w:abstractNumId w:val="9"/>
  </w:num>
  <w:num w:numId="17">
    <w:abstractNumId w:val="15"/>
  </w:num>
  <w:num w:numId="18">
    <w:abstractNumId w:val="2"/>
  </w:num>
  <w:num w:numId="19">
    <w:abstractNumId w:val="28"/>
  </w:num>
  <w:num w:numId="20">
    <w:abstractNumId w:val="25"/>
  </w:num>
  <w:num w:numId="21">
    <w:abstractNumId w:val="11"/>
  </w:num>
  <w:num w:numId="22">
    <w:abstractNumId w:val="2"/>
    <w:lvlOverride w:ilvl="0">
      <w:lvl w:ilvl="0" w:tplc="2A428F82">
        <w:start w:val="1"/>
        <w:numFmt w:val="upperLetter"/>
        <w:lvlText w:val="%1)"/>
        <w:lvlJc w:val="left"/>
        <w:pPr>
          <w:ind w:left="1213" w:hanging="504"/>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23">
    <w:abstractNumId w:val="29"/>
  </w:num>
  <w:num w:numId="24">
    <w:abstractNumId w:val="24"/>
  </w:num>
  <w:num w:numId="25">
    <w:abstractNumId w:val="30"/>
  </w:num>
  <w:num w:numId="26">
    <w:abstractNumId w:val="20"/>
  </w:num>
  <w:num w:numId="27">
    <w:abstractNumId w:val="3"/>
  </w:num>
  <w:num w:numId="28">
    <w:abstractNumId w:val="22"/>
  </w:num>
  <w:num w:numId="29">
    <w:abstractNumId w:val="33"/>
  </w:num>
  <w:num w:numId="30">
    <w:abstractNumId w:val="21"/>
  </w:num>
  <w:num w:numId="31">
    <w:abstractNumId w:val="26"/>
  </w:num>
  <w:num w:numId="32">
    <w:abstractNumId w:val="27"/>
  </w:num>
  <w:num w:numId="33">
    <w:abstractNumId w:val="14"/>
  </w:num>
  <w:num w:numId="34">
    <w:abstractNumId w:val="10"/>
  </w:num>
  <w:num w:numId="35">
    <w:abstractNumId w:val="1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28"/>
    <w:rsid w:val="0000037B"/>
    <w:rsid w:val="00002B53"/>
    <w:rsid w:val="00002F28"/>
    <w:rsid w:val="00003CEB"/>
    <w:rsid w:val="0000469C"/>
    <w:rsid w:val="00005572"/>
    <w:rsid w:val="00013318"/>
    <w:rsid w:val="000133F9"/>
    <w:rsid w:val="00013519"/>
    <w:rsid w:val="00013B0D"/>
    <w:rsid w:val="00013E4D"/>
    <w:rsid w:val="00015C75"/>
    <w:rsid w:val="00016E62"/>
    <w:rsid w:val="0002181C"/>
    <w:rsid w:val="00021D9C"/>
    <w:rsid w:val="00022A99"/>
    <w:rsid w:val="00025767"/>
    <w:rsid w:val="00025F4A"/>
    <w:rsid w:val="00026E99"/>
    <w:rsid w:val="00030983"/>
    <w:rsid w:val="00033F2F"/>
    <w:rsid w:val="0004058A"/>
    <w:rsid w:val="00040C20"/>
    <w:rsid w:val="00040E1E"/>
    <w:rsid w:val="0004161A"/>
    <w:rsid w:val="00041ED9"/>
    <w:rsid w:val="000447B8"/>
    <w:rsid w:val="00045480"/>
    <w:rsid w:val="00047EE6"/>
    <w:rsid w:val="000512B7"/>
    <w:rsid w:val="000542FD"/>
    <w:rsid w:val="0005473C"/>
    <w:rsid w:val="000563A0"/>
    <w:rsid w:val="000566D4"/>
    <w:rsid w:val="000568C2"/>
    <w:rsid w:val="000568F6"/>
    <w:rsid w:val="000569F1"/>
    <w:rsid w:val="00056A44"/>
    <w:rsid w:val="00056BFD"/>
    <w:rsid w:val="00060E7C"/>
    <w:rsid w:val="0006232A"/>
    <w:rsid w:val="00062C26"/>
    <w:rsid w:val="00067512"/>
    <w:rsid w:val="00071881"/>
    <w:rsid w:val="00074671"/>
    <w:rsid w:val="00075487"/>
    <w:rsid w:val="000764F9"/>
    <w:rsid w:val="00077B3E"/>
    <w:rsid w:val="00082006"/>
    <w:rsid w:val="00082A55"/>
    <w:rsid w:val="00083223"/>
    <w:rsid w:val="00084545"/>
    <w:rsid w:val="00084A3B"/>
    <w:rsid w:val="0008600B"/>
    <w:rsid w:val="00087B85"/>
    <w:rsid w:val="00091712"/>
    <w:rsid w:val="00091847"/>
    <w:rsid w:val="00092234"/>
    <w:rsid w:val="0009370B"/>
    <w:rsid w:val="0009437A"/>
    <w:rsid w:val="00094508"/>
    <w:rsid w:val="00097AF4"/>
    <w:rsid w:val="00097B3E"/>
    <w:rsid w:val="000A1172"/>
    <w:rsid w:val="000A1AF3"/>
    <w:rsid w:val="000B0EE7"/>
    <w:rsid w:val="000B1330"/>
    <w:rsid w:val="000B253C"/>
    <w:rsid w:val="000B28EA"/>
    <w:rsid w:val="000B35DD"/>
    <w:rsid w:val="000B3F18"/>
    <w:rsid w:val="000B66A7"/>
    <w:rsid w:val="000B719F"/>
    <w:rsid w:val="000C2DA7"/>
    <w:rsid w:val="000C2F21"/>
    <w:rsid w:val="000C3027"/>
    <w:rsid w:val="000C58DB"/>
    <w:rsid w:val="000C5C63"/>
    <w:rsid w:val="000C626A"/>
    <w:rsid w:val="000C745C"/>
    <w:rsid w:val="000C7533"/>
    <w:rsid w:val="000C7EAC"/>
    <w:rsid w:val="000D0243"/>
    <w:rsid w:val="000D1245"/>
    <w:rsid w:val="000D142C"/>
    <w:rsid w:val="000D2FB7"/>
    <w:rsid w:val="000D3751"/>
    <w:rsid w:val="000D378D"/>
    <w:rsid w:val="000D39C7"/>
    <w:rsid w:val="000D40D7"/>
    <w:rsid w:val="000D4ECC"/>
    <w:rsid w:val="000D6F60"/>
    <w:rsid w:val="000E0422"/>
    <w:rsid w:val="000E0F53"/>
    <w:rsid w:val="000E2526"/>
    <w:rsid w:val="000E3002"/>
    <w:rsid w:val="000E3408"/>
    <w:rsid w:val="000E3DEB"/>
    <w:rsid w:val="000E409E"/>
    <w:rsid w:val="000E4357"/>
    <w:rsid w:val="000E4A70"/>
    <w:rsid w:val="000E598E"/>
    <w:rsid w:val="000E5C70"/>
    <w:rsid w:val="000E7443"/>
    <w:rsid w:val="000F01BC"/>
    <w:rsid w:val="000F0420"/>
    <w:rsid w:val="000F2696"/>
    <w:rsid w:val="000F6916"/>
    <w:rsid w:val="00100824"/>
    <w:rsid w:val="00101525"/>
    <w:rsid w:val="001019ED"/>
    <w:rsid w:val="00101DE1"/>
    <w:rsid w:val="0010235B"/>
    <w:rsid w:val="00103AF2"/>
    <w:rsid w:val="00105637"/>
    <w:rsid w:val="0010580F"/>
    <w:rsid w:val="001063DC"/>
    <w:rsid w:val="00106554"/>
    <w:rsid w:val="00110595"/>
    <w:rsid w:val="001124B9"/>
    <w:rsid w:val="00114736"/>
    <w:rsid w:val="001151DA"/>
    <w:rsid w:val="001161E8"/>
    <w:rsid w:val="0011678E"/>
    <w:rsid w:val="00122D46"/>
    <w:rsid w:val="00125EAB"/>
    <w:rsid w:val="0012739E"/>
    <w:rsid w:val="00127904"/>
    <w:rsid w:val="00127E72"/>
    <w:rsid w:val="00130EFD"/>
    <w:rsid w:val="001319AA"/>
    <w:rsid w:val="00132507"/>
    <w:rsid w:val="00136494"/>
    <w:rsid w:val="00140827"/>
    <w:rsid w:val="00140D60"/>
    <w:rsid w:val="0014338E"/>
    <w:rsid w:val="001437FD"/>
    <w:rsid w:val="00144502"/>
    <w:rsid w:val="001447FA"/>
    <w:rsid w:val="001456BC"/>
    <w:rsid w:val="001464AA"/>
    <w:rsid w:val="00146CAB"/>
    <w:rsid w:val="00151DBB"/>
    <w:rsid w:val="00154652"/>
    <w:rsid w:val="00155A59"/>
    <w:rsid w:val="00155B8F"/>
    <w:rsid w:val="001561CD"/>
    <w:rsid w:val="00156454"/>
    <w:rsid w:val="00157675"/>
    <w:rsid w:val="001616EE"/>
    <w:rsid w:val="00164BB7"/>
    <w:rsid w:val="0016702E"/>
    <w:rsid w:val="00167077"/>
    <w:rsid w:val="00172009"/>
    <w:rsid w:val="00172553"/>
    <w:rsid w:val="00173BBE"/>
    <w:rsid w:val="00175FA3"/>
    <w:rsid w:val="00176A6A"/>
    <w:rsid w:val="0017724D"/>
    <w:rsid w:val="00181229"/>
    <w:rsid w:val="0018127F"/>
    <w:rsid w:val="00181CCB"/>
    <w:rsid w:val="00182CE6"/>
    <w:rsid w:val="00184B04"/>
    <w:rsid w:val="0018580C"/>
    <w:rsid w:val="0018592D"/>
    <w:rsid w:val="001859B8"/>
    <w:rsid w:val="00187FF8"/>
    <w:rsid w:val="00190575"/>
    <w:rsid w:val="00190E08"/>
    <w:rsid w:val="0019259A"/>
    <w:rsid w:val="001926C6"/>
    <w:rsid w:val="001964BE"/>
    <w:rsid w:val="001970F3"/>
    <w:rsid w:val="00197139"/>
    <w:rsid w:val="00197E36"/>
    <w:rsid w:val="001A1781"/>
    <w:rsid w:val="001A6970"/>
    <w:rsid w:val="001A7084"/>
    <w:rsid w:val="001A7251"/>
    <w:rsid w:val="001A76CF"/>
    <w:rsid w:val="001B1F57"/>
    <w:rsid w:val="001B2148"/>
    <w:rsid w:val="001B7605"/>
    <w:rsid w:val="001C0C61"/>
    <w:rsid w:val="001C3683"/>
    <w:rsid w:val="001C57F7"/>
    <w:rsid w:val="001C6CC9"/>
    <w:rsid w:val="001D197F"/>
    <w:rsid w:val="001D23A7"/>
    <w:rsid w:val="001D3CD2"/>
    <w:rsid w:val="001D581F"/>
    <w:rsid w:val="001E046D"/>
    <w:rsid w:val="001E1A37"/>
    <w:rsid w:val="001E4026"/>
    <w:rsid w:val="001E4448"/>
    <w:rsid w:val="001E496F"/>
    <w:rsid w:val="001E6136"/>
    <w:rsid w:val="001F060A"/>
    <w:rsid w:val="001F0B53"/>
    <w:rsid w:val="001F0DC7"/>
    <w:rsid w:val="001F0ED7"/>
    <w:rsid w:val="001F135E"/>
    <w:rsid w:val="001F165C"/>
    <w:rsid w:val="001F1EBF"/>
    <w:rsid w:val="001F2059"/>
    <w:rsid w:val="001F5264"/>
    <w:rsid w:val="001F5653"/>
    <w:rsid w:val="001F6E55"/>
    <w:rsid w:val="001F7949"/>
    <w:rsid w:val="001F7B36"/>
    <w:rsid w:val="001F7B4A"/>
    <w:rsid w:val="0020043F"/>
    <w:rsid w:val="00201305"/>
    <w:rsid w:val="00201847"/>
    <w:rsid w:val="00202231"/>
    <w:rsid w:val="00203B01"/>
    <w:rsid w:val="00204029"/>
    <w:rsid w:val="00204BD7"/>
    <w:rsid w:val="00204D6C"/>
    <w:rsid w:val="00206D1D"/>
    <w:rsid w:val="0020793E"/>
    <w:rsid w:val="00207CF2"/>
    <w:rsid w:val="002104EF"/>
    <w:rsid w:val="00210F52"/>
    <w:rsid w:val="002110F9"/>
    <w:rsid w:val="0021373D"/>
    <w:rsid w:val="0021384A"/>
    <w:rsid w:val="002142A5"/>
    <w:rsid w:val="0021538E"/>
    <w:rsid w:val="00216C0B"/>
    <w:rsid w:val="00217546"/>
    <w:rsid w:val="00223699"/>
    <w:rsid w:val="002246F3"/>
    <w:rsid w:val="002246F8"/>
    <w:rsid w:val="002247D9"/>
    <w:rsid w:val="002257AB"/>
    <w:rsid w:val="00225943"/>
    <w:rsid w:val="002321A9"/>
    <w:rsid w:val="00232B4D"/>
    <w:rsid w:val="0023330E"/>
    <w:rsid w:val="0023459E"/>
    <w:rsid w:val="00234FD0"/>
    <w:rsid w:val="0023528F"/>
    <w:rsid w:val="002360E5"/>
    <w:rsid w:val="002373CB"/>
    <w:rsid w:val="00240CC4"/>
    <w:rsid w:val="002447BA"/>
    <w:rsid w:val="0024642A"/>
    <w:rsid w:val="00247040"/>
    <w:rsid w:val="00251393"/>
    <w:rsid w:val="002516CD"/>
    <w:rsid w:val="00254842"/>
    <w:rsid w:val="002576B5"/>
    <w:rsid w:val="00261728"/>
    <w:rsid w:val="00261CA7"/>
    <w:rsid w:val="002631F0"/>
    <w:rsid w:val="002653E3"/>
    <w:rsid w:val="002657BF"/>
    <w:rsid w:val="00265BA3"/>
    <w:rsid w:val="002671E2"/>
    <w:rsid w:val="0027043C"/>
    <w:rsid w:val="00270ED7"/>
    <w:rsid w:val="0027160A"/>
    <w:rsid w:val="0027402F"/>
    <w:rsid w:val="002757CD"/>
    <w:rsid w:val="00280B25"/>
    <w:rsid w:val="00281258"/>
    <w:rsid w:val="00281460"/>
    <w:rsid w:val="002816D4"/>
    <w:rsid w:val="00282D7E"/>
    <w:rsid w:val="0028343A"/>
    <w:rsid w:val="00285430"/>
    <w:rsid w:val="00287521"/>
    <w:rsid w:val="00290809"/>
    <w:rsid w:val="002911C2"/>
    <w:rsid w:val="00293597"/>
    <w:rsid w:val="00293C7F"/>
    <w:rsid w:val="00294895"/>
    <w:rsid w:val="00295DF4"/>
    <w:rsid w:val="00295FD3"/>
    <w:rsid w:val="00297227"/>
    <w:rsid w:val="0029778D"/>
    <w:rsid w:val="00297BDE"/>
    <w:rsid w:val="00297E0B"/>
    <w:rsid w:val="002A0761"/>
    <w:rsid w:val="002A136B"/>
    <w:rsid w:val="002A169B"/>
    <w:rsid w:val="002A2425"/>
    <w:rsid w:val="002A5A23"/>
    <w:rsid w:val="002A6784"/>
    <w:rsid w:val="002B272E"/>
    <w:rsid w:val="002B2F95"/>
    <w:rsid w:val="002B36DD"/>
    <w:rsid w:val="002B3A59"/>
    <w:rsid w:val="002B568E"/>
    <w:rsid w:val="002B5875"/>
    <w:rsid w:val="002C01B0"/>
    <w:rsid w:val="002C1E6B"/>
    <w:rsid w:val="002C2E98"/>
    <w:rsid w:val="002C33FF"/>
    <w:rsid w:val="002C3689"/>
    <w:rsid w:val="002C43B4"/>
    <w:rsid w:val="002D1488"/>
    <w:rsid w:val="002D174D"/>
    <w:rsid w:val="002D3BB1"/>
    <w:rsid w:val="002D42E9"/>
    <w:rsid w:val="002D63B6"/>
    <w:rsid w:val="002D6C26"/>
    <w:rsid w:val="002E0C88"/>
    <w:rsid w:val="002E1905"/>
    <w:rsid w:val="002E1AFA"/>
    <w:rsid w:val="002E41DD"/>
    <w:rsid w:val="002E4661"/>
    <w:rsid w:val="002E61D9"/>
    <w:rsid w:val="002E7A67"/>
    <w:rsid w:val="002F08F5"/>
    <w:rsid w:val="002F1300"/>
    <w:rsid w:val="002F19D8"/>
    <w:rsid w:val="002F2806"/>
    <w:rsid w:val="002F2BC9"/>
    <w:rsid w:val="002F2E1F"/>
    <w:rsid w:val="002F3A54"/>
    <w:rsid w:val="002F3EC2"/>
    <w:rsid w:val="002F4045"/>
    <w:rsid w:val="002F4F26"/>
    <w:rsid w:val="002F5C29"/>
    <w:rsid w:val="002F624A"/>
    <w:rsid w:val="002F6C42"/>
    <w:rsid w:val="002F6F37"/>
    <w:rsid w:val="002F7AB3"/>
    <w:rsid w:val="002F7EB6"/>
    <w:rsid w:val="00300CE6"/>
    <w:rsid w:val="00301017"/>
    <w:rsid w:val="00301D5E"/>
    <w:rsid w:val="0030267A"/>
    <w:rsid w:val="003026A5"/>
    <w:rsid w:val="00302781"/>
    <w:rsid w:val="003029A2"/>
    <w:rsid w:val="00304148"/>
    <w:rsid w:val="0030478B"/>
    <w:rsid w:val="003054B8"/>
    <w:rsid w:val="00306247"/>
    <w:rsid w:val="00306D12"/>
    <w:rsid w:val="00307CCE"/>
    <w:rsid w:val="0031107A"/>
    <w:rsid w:val="003112FF"/>
    <w:rsid w:val="003117F2"/>
    <w:rsid w:val="003122C6"/>
    <w:rsid w:val="00316AC9"/>
    <w:rsid w:val="00316C53"/>
    <w:rsid w:val="003173B8"/>
    <w:rsid w:val="00317C02"/>
    <w:rsid w:val="003201E3"/>
    <w:rsid w:val="003205B6"/>
    <w:rsid w:val="00321476"/>
    <w:rsid w:val="00321D07"/>
    <w:rsid w:val="0032367B"/>
    <w:rsid w:val="003238E0"/>
    <w:rsid w:val="00323CCE"/>
    <w:rsid w:val="003256DF"/>
    <w:rsid w:val="00326F55"/>
    <w:rsid w:val="0032727A"/>
    <w:rsid w:val="0033085A"/>
    <w:rsid w:val="00330B6D"/>
    <w:rsid w:val="00331E27"/>
    <w:rsid w:val="003348C0"/>
    <w:rsid w:val="00334B78"/>
    <w:rsid w:val="003360BB"/>
    <w:rsid w:val="003374E3"/>
    <w:rsid w:val="00337575"/>
    <w:rsid w:val="00340702"/>
    <w:rsid w:val="0034102A"/>
    <w:rsid w:val="00341075"/>
    <w:rsid w:val="00341085"/>
    <w:rsid w:val="0034355F"/>
    <w:rsid w:val="00343C25"/>
    <w:rsid w:val="003458E6"/>
    <w:rsid w:val="00347087"/>
    <w:rsid w:val="003471A0"/>
    <w:rsid w:val="00350A87"/>
    <w:rsid w:val="00351009"/>
    <w:rsid w:val="003511A0"/>
    <w:rsid w:val="00352ECA"/>
    <w:rsid w:val="003547CB"/>
    <w:rsid w:val="0035675B"/>
    <w:rsid w:val="003600F9"/>
    <w:rsid w:val="0036072C"/>
    <w:rsid w:val="003609F3"/>
    <w:rsid w:val="003610AA"/>
    <w:rsid w:val="00362505"/>
    <w:rsid w:val="003628E2"/>
    <w:rsid w:val="003630EB"/>
    <w:rsid w:val="003659EB"/>
    <w:rsid w:val="0036605E"/>
    <w:rsid w:val="00370E5B"/>
    <w:rsid w:val="00375EFA"/>
    <w:rsid w:val="00377B4F"/>
    <w:rsid w:val="00380736"/>
    <w:rsid w:val="00380E5B"/>
    <w:rsid w:val="00381DB5"/>
    <w:rsid w:val="00382EC4"/>
    <w:rsid w:val="00383821"/>
    <w:rsid w:val="00383E4A"/>
    <w:rsid w:val="00386D1F"/>
    <w:rsid w:val="00386DA4"/>
    <w:rsid w:val="00387556"/>
    <w:rsid w:val="00390376"/>
    <w:rsid w:val="00390580"/>
    <w:rsid w:val="00390773"/>
    <w:rsid w:val="00391FA0"/>
    <w:rsid w:val="00394215"/>
    <w:rsid w:val="0039433B"/>
    <w:rsid w:val="00394D67"/>
    <w:rsid w:val="0039648E"/>
    <w:rsid w:val="00396626"/>
    <w:rsid w:val="00396F79"/>
    <w:rsid w:val="00397F3D"/>
    <w:rsid w:val="003A026D"/>
    <w:rsid w:val="003A29CF"/>
    <w:rsid w:val="003A2BCD"/>
    <w:rsid w:val="003A3A13"/>
    <w:rsid w:val="003A6EB2"/>
    <w:rsid w:val="003B1245"/>
    <w:rsid w:val="003B1FE7"/>
    <w:rsid w:val="003B3F57"/>
    <w:rsid w:val="003B49F7"/>
    <w:rsid w:val="003B4BE6"/>
    <w:rsid w:val="003B50A2"/>
    <w:rsid w:val="003B6D30"/>
    <w:rsid w:val="003C0CE1"/>
    <w:rsid w:val="003C1CBD"/>
    <w:rsid w:val="003C2396"/>
    <w:rsid w:val="003C297B"/>
    <w:rsid w:val="003C35FF"/>
    <w:rsid w:val="003C3FA4"/>
    <w:rsid w:val="003C4020"/>
    <w:rsid w:val="003C51C2"/>
    <w:rsid w:val="003C54FE"/>
    <w:rsid w:val="003C5F81"/>
    <w:rsid w:val="003C7B9E"/>
    <w:rsid w:val="003D0249"/>
    <w:rsid w:val="003D1B43"/>
    <w:rsid w:val="003D2401"/>
    <w:rsid w:val="003D594F"/>
    <w:rsid w:val="003D5CF2"/>
    <w:rsid w:val="003E0109"/>
    <w:rsid w:val="003E0CCF"/>
    <w:rsid w:val="003E244E"/>
    <w:rsid w:val="003E3606"/>
    <w:rsid w:val="003E3650"/>
    <w:rsid w:val="003E453A"/>
    <w:rsid w:val="003F0277"/>
    <w:rsid w:val="003F14B8"/>
    <w:rsid w:val="003F270D"/>
    <w:rsid w:val="003F2F86"/>
    <w:rsid w:val="003F3935"/>
    <w:rsid w:val="003F42CC"/>
    <w:rsid w:val="003F4ECB"/>
    <w:rsid w:val="003F54CC"/>
    <w:rsid w:val="003F56C9"/>
    <w:rsid w:val="003F6103"/>
    <w:rsid w:val="003F7DE9"/>
    <w:rsid w:val="00400E48"/>
    <w:rsid w:val="004023FF"/>
    <w:rsid w:val="00402E2A"/>
    <w:rsid w:val="00404729"/>
    <w:rsid w:val="004050FA"/>
    <w:rsid w:val="0040577D"/>
    <w:rsid w:val="004069F7"/>
    <w:rsid w:val="004072AC"/>
    <w:rsid w:val="0040743A"/>
    <w:rsid w:val="0040798E"/>
    <w:rsid w:val="004113CA"/>
    <w:rsid w:val="00411415"/>
    <w:rsid w:val="0041299B"/>
    <w:rsid w:val="00413E62"/>
    <w:rsid w:val="00414309"/>
    <w:rsid w:val="00415BF9"/>
    <w:rsid w:val="004167DB"/>
    <w:rsid w:val="00416BAA"/>
    <w:rsid w:val="004201CB"/>
    <w:rsid w:val="0042033E"/>
    <w:rsid w:val="00421031"/>
    <w:rsid w:val="00423179"/>
    <w:rsid w:val="004236B4"/>
    <w:rsid w:val="00423BC4"/>
    <w:rsid w:val="0042712F"/>
    <w:rsid w:val="0043100D"/>
    <w:rsid w:val="0043177C"/>
    <w:rsid w:val="0043486A"/>
    <w:rsid w:val="00436625"/>
    <w:rsid w:val="0044008F"/>
    <w:rsid w:val="00440CB3"/>
    <w:rsid w:val="00441669"/>
    <w:rsid w:val="00441BC5"/>
    <w:rsid w:val="00442A4D"/>
    <w:rsid w:val="00444226"/>
    <w:rsid w:val="00445D62"/>
    <w:rsid w:val="00451EDB"/>
    <w:rsid w:val="004554D6"/>
    <w:rsid w:val="00457BC1"/>
    <w:rsid w:val="00460451"/>
    <w:rsid w:val="0046374B"/>
    <w:rsid w:val="00464979"/>
    <w:rsid w:val="00464B6A"/>
    <w:rsid w:val="00466CD9"/>
    <w:rsid w:val="00470341"/>
    <w:rsid w:val="0047161F"/>
    <w:rsid w:val="004743AE"/>
    <w:rsid w:val="00474EE5"/>
    <w:rsid w:val="004766B4"/>
    <w:rsid w:val="004777BF"/>
    <w:rsid w:val="00480780"/>
    <w:rsid w:val="00480CD4"/>
    <w:rsid w:val="00480E76"/>
    <w:rsid w:val="00480F9A"/>
    <w:rsid w:val="00480FDF"/>
    <w:rsid w:val="004859B7"/>
    <w:rsid w:val="004864DB"/>
    <w:rsid w:val="004901D8"/>
    <w:rsid w:val="00490CAE"/>
    <w:rsid w:val="00491A51"/>
    <w:rsid w:val="00494621"/>
    <w:rsid w:val="004A1C3B"/>
    <w:rsid w:val="004A2228"/>
    <w:rsid w:val="004A2575"/>
    <w:rsid w:val="004A2D24"/>
    <w:rsid w:val="004A3322"/>
    <w:rsid w:val="004A3926"/>
    <w:rsid w:val="004A42E4"/>
    <w:rsid w:val="004A5473"/>
    <w:rsid w:val="004B0CC4"/>
    <w:rsid w:val="004B22E9"/>
    <w:rsid w:val="004B36C1"/>
    <w:rsid w:val="004B5197"/>
    <w:rsid w:val="004B52DC"/>
    <w:rsid w:val="004B67EC"/>
    <w:rsid w:val="004B6CC9"/>
    <w:rsid w:val="004B7C66"/>
    <w:rsid w:val="004C00AD"/>
    <w:rsid w:val="004C042F"/>
    <w:rsid w:val="004C20D0"/>
    <w:rsid w:val="004C25D8"/>
    <w:rsid w:val="004C2ACC"/>
    <w:rsid w:val="004C2B5C"/>
    <w:rsid w:val="004C3CEF"/>
    <w:rsid w:val="004C4632"/>
    <w:rsid w:val="004C5BDA"/>
    <w:rsid w:val="004C74E1"/>
    <w:rsid w:val="004C78E9"/>
    <w:rsid w:val="004D18BF"/>
    <w:rsid w:val="004D2477"/>
    <w:rsid w:val="004D2ACB"/>
    <w:rsid w:val="004D34B6"/>
    <w:rsid w:val="004D5D97"/>
    <w:rsid w:val="004D5F73"/>
    <w:rsid w:val="004D6063"/>
    <w:rsid w:val="004D66C6"/>
    <w:rsid w:val="004D7569"/>
    <w:rsid w:val="004D764B"/>
    <w:rsid w:val="004E17E4"/>
    <w:rsid w:val="004E42F2"/>
    <w:rsid w:val="004F418A"/>
    <w:rsid w:val="004F4325"/>
    <w:rsid w:val="004F463F"/>
    <w:rsid w:val="004F51FA"/>
    <w:rsid w:val="00503284"/>
    <w:rsid w:val="0050343A"/>
    <w:rsid w:val="00504527"/>
    <w:rsid w:val="00507A28"/>
    <w:rsid w:val="00507ED0"/>
    <w:rsid w:val="0051042F"/>
    <w:rsid w:val="005106E7"/>
    <w:rsid w:val="00511B83"/>
    <w:rsid w:val="00513622"/>
    <w:rsid w:val="0051391C"/>
    <w:rsid w:val="005152E6"/>
    <w:rsid w:val="00516482"/>
    <w:rsid w:val="00521A3B"/>
    <w:rsid w:val="00522F2C"/>
    <w:rsid w:val="0052552F"/>
    <w:rsid w:val="0052665E"/>
    <w:rsid w:val="005269E3"/>
    <w:rsid w:val="00526F78"/>
    <w:rsid w:val="0052710E"/>
    <w:rsid w:val="0052740B"/>
    <w:rsid w:val="00527CC9"/>
    <w:rsid w:val="005300B0"/>
    <w:rsid w:val="005300B5"/>
    <w:rsid w:val="00534FDE"/>
    <w:rsid w:val="005353D4"/>
    <w:rsid w:val="00535D12"/>
    <w:rsid w:val="005368B7"/>
    <w:rsid w:val="00537B86"/>
    <w:rsid w:val="005412C1"/>
    <w:rsid w:val="00543B84"/>
    <w:rsid w:val="005454D4"/>
    <w:rsid w:val="0054787C"/>
    <w:rsid w:val="00547FC8"/>
    <w:rsid w:val="00550147"/>
    <w:rsid w:val="005518B6"/>
    <w:rsid w:val="0055196F"/>
    <w:rsid w:val="005529CB"/>
    <w:rsid w:val="005534AD"/>
    <w:rsid w:val="00553C6D"/>
    <w:rsid w:val="00556310"/>
    <w:rsid w:val="005563D8"/>
    <w:rsid w:val="00557920"/>
    <w:rsid w:val="00562C1E"/>
    <w:rsid w:val="00563074"/>
    <w:rsid w:val="00564D9D"/>
    <w:rsid w:val="0056505B"/>
    <w:rsid w:val="00565183"/>
    <w:rsid w:val="0056538B"/>
    <w:rsid w:val="00565CF6"/>
    <w:rsid w:val="00566C96"/>
    <w:rsid w:val="0056717F"/>
    <w:rsid w:val="00567694"/>
    <w:rsid w:val="00567C9F"/>
    <w:rsid w:val="00567CAE"/>
    <w:rsid w:val="00572B33"/>
    <w:rsid w:val="00572E4F"/>
    <w:rsid w:val="005735AD"/>
    <w:rsid w:val="0057514B"/>
    <w:rsid w:val="00576E54"/>
    <w:rsid w:val="00577202"/>
    <w:rsid w:val="00577958"/>
    <w:rsid w:val="00577A2C"/>
    <w:rsid w:val="00581452"/>
    <w:rsid w:val="005816BB"/>
    <w:rsid w:val="00581BF8"/>
    <w:rsid w:val="00581F67"/>
    <w:rsid w:val="005861A4"/>
    <w:rsid w:val="005871F5"/>
    <w:rsid w:val="0058736F"/>
    <w:rsid w:val="00587F87"/>
    <w:rsid w:val="005907BF"/>
    <w:rsid w:val="00590A84"/>
    <w:rsid w:val="00591CBE"/>
    <w:rsid w:val="005932D5"/>
    <w:rsid w:val="00593C56"/>
    <w:rsid w:val="005944C4"/>
    <w:rsid w:val="00595E13"/>
    <w:rsid w:val="00595E45"/>
    <w:rsid w:val="00596E5E"/>
    <w:rsid w:val="005A0325"/>
    <w:rsid w:val="005A076E"/>
    <w:rsid w:val="005A0936"/>
    <w:rsid w:val="005A3D2F"/>
    <w:rsid w:val="005A3D4D"/>
    <w:rsid w:val="005A56F9"/>
    <w:rsid w:val="005A7289"/>
    <w:rsid w:val="005A7D3C"/>
    <w:rsid w:val="005B0A57"/>
    <w:rsid w:val="005B3A9A"/>
    <w:rsid w:val="005B4CBC"/>
    <w:rsid w:val="005B7D24"/>
    <w:rsid w:val="005C01E5"/>
    <w:rsid w:val="005C0A84"/>
    <w:rsid w:val="005C1848"/>
    <w:rsid w:val="005C3781"/>
    <w:rsid w:val="005C475D"/>
    <w:rsid w:val="005C55CF"/>
    <w:rsid w:val="005D125B"/>
    <w:rsid w:val="005D1E54"/>
    <w:rsid w:val="005D2F2E"/>
    <w:rsid w:val="005D6566"/>
    <w:rsid w:val="005D7299"/>
    <w:rsid w:val="005E0D40"/>
    <w:rsid w:val="005E12F2"/>
    <w:rsid w:val="005E471A"/>
    <w:rsid w:val="005E4F62"/>
    <w:rsid w:val="005E5BBD"/>
    <w:rsid w:val="005E6782"/>
    <w:rsid w:val="005E6786"/>
    <w:rsid w:val="005E6CDE"/>
    <w:rsid w:val="005E7DFE"/>
    <w:rsid w:val="005F2D8E"/>
    <w:rsid w:val="005F378C"/>
    <w:rsid w:val="005F4365"/>
    <w:rsid w:val="005F4699"/>
    <w:rsid w:val="005F5C90"/>
    <w:rsid w:val="005F679D"/>
    <w:rsid w:val="005F6A17"/>
    <w:rsid w:val="005F6ABF"/>
    <w:rsid w:val="005F6DB8"/>
    <w:rsid w:val="005F7BAE"/>
    <w:rsid w:val="005F7CC6"/>
    <w:rsid w:val="00600876"/>
    <w:rsid w:val="0060410C"/>
    <w:rsid w:val="00606C15"/>
    <w:rsid w:val="00606EE5"/>
    <w:rsid w:val="00607B92"/>
    <w:rsid w:val="00612917"/>
    <w:rsid w:val="006134B8"/>
    <w:rsid w:val="00613902"/>
    <w:rsid w:val="00614107"/>
    <w:rsid w:val="0061767D"/>
    <w:rsid w:val="006243DD"/>
    <w:rsid w:val="00624B5A"/>
    <w:rsid w:val="00625F78"/>
    <w:rsid w:val="006278C3"/>
    <w:rsid w:val="00631C8B"/>
    <w:rsid w:val="006322A3"/>
    <w:rsid w:val="00632736"/>
    <w:rsid w:val="00633A15"/>
    <w:rsid w:val="00633E34"/>
    <w:rsid w:val="006340D2"/>
    <w:rsid w:val="0063412A"/>
    <w:rsid w:val="00635569"/>
    <w:rsid w:val="00635963"/>
    <w:rsid w:val="00636EFA"/>
    <w:rsid w:val="00637A34"/>
    <w:rsid w:val="00637A9D"/>
    <w:rsid w:val="00637B1E"/>
    <w:rsid w:val="006409AE"/>
    <w:rsid w:val="00640D32"/>
    <w:rsid w:val="006411EF"/>
    <w:rsid w:val="00641217"/>
    <w:rsid w:val="0064198D"/>
    <w:rsid w:val="00642452"/>
    <w:rsid w:val="0064302D"/>
    <w:rsid w:val="00645A71"/>
    <w:rsid w:val="00646897"/>
    <w:rsid w:val="006479D9"/>
    <w:rsid w:val="00647C74"/>
    <w:rsid w:val="00647E93"/>
    <w:rsid w:val="006520A2"/>
    <w:rsid w:val="0065244D"/>
    <w:rsid w:val="00657F94"/>
    <w:rsid w:val="006637AD"/>
    <w:rsid w:val="00664ABA"/>
    <w:rsid w:val="006675E5"/>
    <w:rsid w:val="00671A84"/>
    <w:rsid w:val="00672C8B"/>
    <w:rsid w:val="00673830"/>
    <w:rsid w:val="00673F2B"/>
    <w:rsid w:val="0067574B"/>
    <w:rsid w:val="00676253"/>
    <w:rsid w:val="006779B4"/>
    <w:rsid w:val="00677BC4"/>
    <w:rsid w:val="0068059B"/>
    <w:rsid w:val="006805E6"/>
    <w:rsid w:val="0068088F"/>
    <w:rsid w:val="00681631"/>
    <w:rsid w:val="00681A91"/>
    <w:rsid w:val="00681B8B"/>
    <w:rsid w:val="00684BE3"/>
    <w:rsid w:val="00684C14"/>
    <w:rsid w:val="00685EA4"/>
    <w:rsid w:val="006914EA"/>
    <w:rsid w:val="00692904"/>
    <w:rsid w:val="006935EE"/>
    <w:rsid w:val="006A04E8"/>
    <w:rsid w:val="006A1CB7"/>
    <w:rsid w:val="006A2BD8"/>
    <w:rsid w:val="006A50DF"/>
    <w:rsid w:val="006A7121"/>
    <w:rsid w:val="006B00B2"/>
    <w:rsid w:val="006B1630"/>
    <w:rsid w:val="006B1A51"/>
    <w:rsid w:val="006B2F47"/>
    <w:rsid w:val="006B3F0F"/>
    <w:rsid w:val="006B44D8"/>
    <w:rsid w:val="006B47E5"/>
    <w:rsid w:val="006B4DDF"/>
    <w:rsid w:val="006B6B26"/>
    <w:rsid w:val="006B6D7F"/>
    <w:rsid w:val="006B7E28"/>
    <w:rsid w:val="006C14BF"/>
    <w:rsid w:val="006C191A"/>
    <w:rsid w:val="006C1A20"/>
    <w:rsid w:val="006C3400"/>
    <w:rsid w:val="006C436A"/>
    <w:rsid w:val="006C45B6"/>
    <w:rsid w:val="006C7C1A"/>
    <w:rsid w:val="006D3BB0"/>
    <w:rsid w:val="006D41AB"/>
    <w:rsid w:val="006D4DEB"/>
    <w:rsid w:val="006D60EA"/>
    <w:rsid w:val="006D6496"/>
    <w:rsid w:val="006D69DB"/>
    <w:rsid w:val="006D7C25"/>
    <w:rsid w:val="006D7F81"/>
    <w:rsid w:val="006E0CF1"/>
    <w:rsid w:val="006E2DC5"/>
    <w:rsid w:val="006E2DDC"/>
    <w:rsid w:val="006E3166"/>
    <w:rsid w:val="006E325A"/>
    <w:rsid w:val="006E4809"/>
    <w:rsid w:val="006E66E0"/>
    <w:rsid w:val="006E71C0"/>
    <w:rsid w:val="006F1812"/>
    <w:rsid w:val="006F1F6F"/>
    <w:rsid w:val="006F3052"/>
    <w:rsid w:val="006F42F7"/>
    <w:rsid w:val="006F4B7E"/>
    <w:rsid w:val="006F5474"/>
    <w:rsid w:val="006F5CA5"/>
    <w:rsid w:val="006F6220"/>
    <w:rsid w:val="006F6820"/>
    <w:rsid w:val="006F6CBE"/>
    <w:rsid w:val="006F7387"/>
    <w:rsid w:val="0070102E"/>
    <w:rsid w:val="00701EF8"/>
    <w:rsid w:val="0070416B"/>
    <w:rsid w:val="007062DC"/>
    <w:rsid w:val="00707D4B"/>
    <w:rsid w:val="007101CE"/>
    <w:rsid w:val="00710C74"/>
    <w:rsid w:val="0071304B"/>
    <w:rsid w:val="00713703"/>
    <w:rsid w:val="007144B5"/>
    <w:rsid w:val="0071487C"/>
    <w:rsid w:val="007156BC"/>
    <w:rsid w:val="00715FF0"/>
    <w:rsid w:val="00716E1C"/>
    <w:rsid w:val="00716EC0"/>
    <w:rsid w:val="00717C00"/>
    <w:rsid w:val="007214B0"/>
    <w:rsid w:val="0072232D"/>
    <w:rsid w:val="00722C20"/>
    <w:rsid w:val="00722D43"/>
    <w:rsid w:val="00722D66"/>
    <w:rsid w:val="00722EC6"/>
    <w:rsid w:val="007262B7"/>
    <w:rsid w:val="00726914"/>
    <w:rsid w:val="00730332"/>
    <w:rsid w:val="007312A6"/>
    <w:rsid w:val="007312B4"/>
    <w:rsid w:val="0073284D"/>
    <w:rsid w:val="00733BCB"/>
    <w:rsid w:val="00735248"/>
    <w:rsid w:val="00736F0C"/>
    <w:rsid w:val="0073757D"/>
    <w:rsid w:val="00741399"/>
    <w:rsid w:val="007415C2"/>
    <w:rsid w:val="007417C4"/>
    <w:rsid w:val="007432F5"/>
    <w:rsid w:val="0074332F"/>
    <w:rsid w:val="00743891"/>
    <w:rsid w:val="0074416F"/>
    <w:rsid w:val="007448E3"/>
    <w:rsid w:val="00745BD2"/>
    <w:rsid w:val="00750DB0"/>
    <w:rsid w:val="00751AC3"/>
    <w:rsid w:val="007542CF"/>
    <w:rsid w:val="00755D31"/>
    <w:rsid w:val="00756262"/>
    <w:rsid w:val="007575DA"/>
    <w:rsid w:val="00757AE4"/>
    <w:rsid w:val="00757C14"/>
    <w:rsid w:val="007620E5"/>
    <w:rsid w:val="00762D12"/>
    <w:rsid w:val="00762F1E"/>
    <w:rsid w:val="00764688"/>
    <w:rsid w:val="00766451"/>
    <w:rsid w:val="0076737B"/>
    <w:rsid w:val="00767CFE"/>
    <w:rsid w:val="007712D8"/>
    <w:rsid w:val="0077131B"/>
    <w:rsid w:val="00771B4D"/>
    <w:rsid w:val="00771CDE"/>
    <w:rsid w:val="007760DE"/>
    <w:rsid w:val="007777F5"/>
    <w:rsid w:val="00777DEB"/>
    <w:rsid w:val="0078120A"/>
    <w:rsid w:val="00781243"/>
    <w:rsid w:val="007815B1"/>
    <w:rsid w:val="00781DC2"/>
    <w:rsid w:val="00782755"/>
    <w:rsid w:val="007874BC"/>
    <w:rsid w:val="00787961"/>
    <w:rsid w:val="00791E9D"/>
    <w:rsid w:val="007923CA"/>
    <w:rsid w:val="00792647"/>
    <w:rsid w:val="0079403F"/>
    <w:rsid w:val="007957A7"/>
    <w:rsid w:val="00795E3C"/>
    <w:rsid w:val="00797A65"/>
    <w:rsid w:val="007A0537"/>
    <w:rsid w:val="007A0AC3"/>
    <w:rsid w:val="007A17B2"/>
    <w:rsid w:val="007A1902"/>
    <w:rsid w:val="007A2149"/>
    <w:rsid w:val="007A3A10"/>
    <w:rsid w:val="007A526A"/>
    <w:rsid w:val="007A6DEB"/>
    <w:rsid w:val="007B239A"/>
    <w:rsid w:val="007B257C"/>
    <w:rsid w:val="007B2C1A"/>
    <w:rsid w:val="007B2EDA"/>
    <w:rsid w:val="007B4DC5"/>
    <w:rsid w:val="007C4158"/>
    <w:rsid w:val="007C64F5"/>
    <w:rsid w:val="007C736B"/>
    <w:rsid w:val="007D080A"/>
    <w:rsid w:val="007D306B"/>
    <w:rsid w:val="007D42AC"/>
    <w:rsid w:val="007D44CB"/>
    <w:rsid w:val="007E0180"/>
    <w:rsid w:val="007E0575"/>
    <w:rsid w:val="007E15AF"/>
    <w:rsid w:val="007E1718"/>
    <w:rsid w:val="007E49D6"/>
    <w:rsid w:val="007F1AC1"/>
    <w:rsid w:val="007F22B9"/>
    <w:rsid w:val="007F2F30"/>
    <w:rsid w:val="007F4D47"/>
    <w:rsid w:val="007F5930"/>
    <w:rsid w:val="007F6D12"/>
    <w:rsid w:val="007F74B5"/>
    <w:rsid w:val="007F76F9"/>
    <w:rsid w:val="00801070"/>
    <w:rsid w:val="00803056"/>
    <w:rsid w:val="00804260"/>
    <w:rsid w:val="00806CEF"/>
    <w:rsid w:val="00810EB4"/>
    <w:rsid w:val="00811762"/>
    <w:rsid w:val="00811A49"/>
    <w:rsid w:val="00811FF5"/>
    <w:rsid w:val="008121E4"/>
    <w:rsid w:val="00813357"/>
    <w:rsid w:val="008139A1"/>
    <w:rsid w:val="00813E66"/>
    <w:rsid w:val="00813EF5"/>
    <w:rsid w:val="00820BCA"/>
    <w:rsid w:val="00826806"/>
    <w:rsid w:val="0082681B"/>
    <w:rsid w:val="00826EC4"/>
    <w:rsid w:val="00827122"/>
    <w:rsid w:val="0083040C"/>
    <w:rsid w:val="00830419"/>
    <w:rsid w:val="00830785"/>
    <w:rsid w:val="00830D7A"/>
    <w:rsid w:val="00830E10"/>
    <w:rsid w:val="00831548"/>
    <w:rsid w:val="00831612"/>
    <w:rsid w:val="00832155"/>
    <w:rsid w:val="0083246F"/>
    <w:rsid w:val="00832531"/>
    <w:rsid w:val="00832AAF"/>
    <w:rsid w:val="008342DD"/>
    <w:rsid w:val="008360B6"/>
    <w:rsid w:val="00836323"/>
    <w:rsid w:val="00841EAE"/>
    <w:rsid w:val="008426D2"/>
    <w:rsid w:val="008438BE"/>
    <w:rsid w:val="008460D2"/>
    <w:rsid w:val="008464A5"/>
    <w:rsid w:val="0084693F"/>
    <w:rsid w:val="00847441"/>
    <w:rsid w:val="00847AC2"/>
    <w:rsid w:val="00847FAE"/>
    <w:rsid w:val="00854081"/>
    <w:rsid w:val="00854C6F"/>
    <w:rsid w:val="0085562C"/>
    <w:rsid w:val="008608B9"/>
    <w:rsid w:val="00860B45"/>
    <w:rsid w:val="008619B2"/>
    <w:rsid w:val="00862700"/>
    <w:rsid w:val="00862EA8"/>
    <w:rsid w:val="00863868"/>
    <w:rsid w:val="00864261"/>
    <w:rsid w:val="00866737"/>
    <w:rsid w:val="00866AFF"/>
    <w:rsid w:val="0086774E"/>
    <w:rsid w:val="00867F76"/>
    <w:rsid w:val="0087189D"/>
    <w:rsid w:val="00872535"/>
    <w:rsid w:val="0087321D"/>
    <w:rsid w:val="00873EC6"/>
    <w:rsid w:val="00874301"/>
    <w:rsid w:val="00875EEA"/>
    <w:rsid w:val="008772C2"/>
    <w:rsid w:val="0088194F"/>
    <w:rsid w:val="008831D5"/>
    <w:rsid w:val="00883270"/>
    <w:rsid w:val="008841CC"/>
    <w:rsid w:val="00884F33"/>
    <w:rsid w:val="00885231"/>
    <w:rsid w:val="00885C41"/>
    <w:rsid w:val="008869A6"/>
    <w:rsid w:val="00887A4D"/>
    <w:rsid w:val="008901CF"/>
    <w:rsid w:val="008907AA"/>
    <w:rsid w:val="00890A75"/>
    <w:rsid w:val="00892248"/>
    <w:rsid w:val="008923C6"/>
    <w:rsid w:val="00893E03"/>
    <w:rsid w:val="008A0B92"/>
    <w:rsid w:val="008A16F0"/>
    <w:rsid w:val="008A1D94"/>
    <w:rsid w:val="008A2CCB"/>
    <w:rsid w:val="008A5421"/>
    <w:rsid w:val="008A5FF3"/>
    <w:rsid w:val="008A6118"/>
    <w:rsid w:val="008A68AF"/>
    <w:rsid w:val="008B3595"/>
    <w:rsid w:val="008B4992"/>
    <w:rsid w:val="008B6A2F"/>
    <w:rsid w:val="008C0A22"/>
    <w:rsid w:val="008C2D74"/>
    <w:rsid w:val="008C3E78"/>
    <w:rsid w:val="008C483D"/>
    <w:rsid w:val="008C5CF7"/>
    <w:rsid w:val="008C6D7B"/>
    <w:rsid w:val="008C6DF3"/>
    <w:rsid w:val="008C783C"/>
    <w:rsid w:val="008D012F"/>
    <w:rsid w:val="008D0D59"/>
    <w:rsid w:val="008D0DD1"/>
    <w:rsid w:val="008D117E"/>
    <w:rsid w:val="008D174E"/>
    <w:rsid w:val="008D1858"/>
    <w:rsid w:val="008D231D"/>
    <w:rsid w:val="008D2430"/>
    <w:rsid w:val="008D3443"/>
    <w:rsid w:val="008D3A18"/>
    <w:rsid w:val="008D4356"/>
    <w:rsid w:val="008D6AD1"/>
    <w:rsid w:val="008D7486"/>
    <w:rsid w:val="008D764A"/>
    <w:rsid w:val="008E005D"/>
    <w:rsid w:val="008E0A86"/>
    <w:rsid w:val="008E16D5"/>
    <w:rsid w:val="008E3A93"/>
    <w:rsid w:val="008E4FB0"/>
    <w:rsid w:val="008E6018"/>
    <w:rsid w:val="008E64D5"/>
    <w:rsid w:val="008F0AD4"/>
    <w:rsid w:val="008F0CFA"/>
    <w:rsid w:val="008F1127"/>
    <w:rsid w:val="008F4A26"/>
    <w:rsid w:val="008F53DE"/>
    <w:rsid w:val="008F58B4"/>
    <w:rsid w:val="008F5CF2"/>
    <w:rsid w:val="008F6683"/>
    <w:rsid w:val="0090155F"/>
    <w:rsid w:val="009041A5"/>
    <w:rsid w:val="00905491"/>
    <w:rsid w:val="0090701D"/>
    <w:rsid w:val="00907167"/>
    <w:rsid w:val="00911B01"/>
    <w:rsid w:val="00912C7B"/>
    <w:rsid w:val="00913511"/>
    <w:rsid w:val="00913BA2"/>
    <w:rsid w:val="009140B0"/>
    <w:rsid w:val="009164EF"/>
    <w:rsid w:val="00917286"/>
    <w:rsid w:val="00917E93"/>
    <w:rsid w:val="00921B7D"/>
    <w:rsid w:val="00922309"/>
    <w:rsid w:val="00922DAF"/>
    <w:rsid w:val="009230FE"/>
    <w:rsid w:val="0092392E"/>
    <w:rsid w:val="00923AD3"/>
    <w:rsid w:val="0092442A"/>
    <w:rsid w:val="00924730"/>
    <w:rsid w:val="00924D4F"/>
    <w:rsid w:val="00925899"/>
    <w:rsid w:val="009321A8"/>
    <w:rsid w:val="0093279A"/>
    <w:rsid w:val="009328EE"/>
    <w:rsid w:val="00932953"/>
    <w:rsid w:val="00933900"/>
    <w:rsid w:val="00934EEB"/>
    <w:rsid w:val="00935F1B"/>
    <w:rsid w:val="0093663C"/>
    <w:rsid w:val="00937403"/>
    <w:rsid w:val="00937DAC"/>
    <w:rsid w:val="00942885"/>
    <w:rsid w:val="009446CF"/>
    <w:rsid w:val="009449EF"/>
    <w:rsid w:val="0095258B"/>
    <w:rsid w:val="00952D79"/>
    <w:rsid w:val="00953FBD"/>
    <w:rsid w:val="00955970"/>
    <w:rsid w:val="00956C7A"/>
    <w:rsid w:val="009578EA"/>
    <w:rsid w:val="00957D2B"/>
    <w:rsid w:val="0096153F"/>
    <w:rsid w:val="00961A8D"/>
    <w:rsid w:val="00963798"/>
    <w:rsid w:val="009647BC"/>
    <w:rsid w:val="00966B8F"/>
    <w:rsid w:val="00967CE5"/>
    <w:rsid w:val="00972147"/>
    <w:rsid w:val="009740DE"/>
    <w:rsid w:val="0097424D"/>
    <w:rsid w:val="00974878"/>
    <w:rsid w:val="00975079"/>
    <w:rsid w:val="00975DD2"/>
    <w:rsid w:val="0098121C"/>
    <w:rsid w:val="009817D8"/>
    <w:rsid w:val="009824ED"/>
    <w:rsid w:val="00983EF7"/>
    <w:rsid w:val="00983FE6"/>
    <w:rsid w:val="0098465F"/>
    <w:rsid w:val="0098555B"/>
    <w:rsid w:val="00985A42"/>
    <w:rsid w:val="00986577"/>
    <w:rsid w:val="00986C7D"/>
    <w:rsid w:val="00986F99"/>
    <w:rsid w:val="0099173A"/>
    <w:rsid w:val="00992DA4"/>
    <w:rsid w:val="00993068"/>
    <w:rsid w:val="009A0CA5"/>
    <w:rsid w:val="009A3DA9"/>
    <w:rsid w:val="009A3FF2"/>
    <w:rsid w:val="009A4432"/>
    <w:rsid w:val="009A4CD6"/>
    <w:rsid w:val="009A6237"/>
    <w:rsid w:val="009A628B"/>
    <w:rsid w:val="009A7721"/>
    <w:rsid w:val="009B0E05"/>
    <w:rsid w:val="009B1438"/>
    <w:rsid w:val="009B2301"/>
    <w:rsid w:val="009B2429"/>
    <w:rsid w:val="009B2EFA"/>
    <w:rsid w:val="009B5913"/>
    <w:rsid w:val="009B613C"/>
    <w:rsid w:val="009B71F0"/>
    <w:rsid w:val="009C04BF"/>
    <w:rsid w:val="009C08F5"/>
    <w:rsid w:val="009C09D3"/>
    <w:rsid w:val="009D1F99"/>
    <w:rsid w:val="009D2D40"/>
    <w:rsid w:val="009D38FF"/>
    <w:rsid w:val="009D3E8A"/>
    <w:rsid w:val="009D5627"/>
    <w:rsid w:val="009D779C"/>
    <w:rsid w:val="009E1E20"/>
    <w:rsid w:val="009E2A90"/>
    <w:rsid w:val="009E3C24"/>
    <w:rsid w:val="009E3F33"/>
    <w:rsid w:val="009E47A1"/>
    <w:rsid w:val="009F0B87"/>
    <w:rsid w:val="009F1785"/>
    <w:rsid w:val="009F2753"/>
    <w:rsid w:val="009F2A10"/>
    <w:rsid w:val="009F3B21"/>
    <w:rsid w:val="009F3F14"/>
    <w:rsid w:val="009F4797"/>
    <w:rsid w:val="009F4930"/>
    <w:rsid w:val="009F4E0C"/>
    <w:rsid w:val="009F5BD8"/>
    <w:rsid w:val="009F6831"/>
    <w:rsid w:val="009F7E5D"/>
    <w:rsid w:val="00A03E03"/>
    <w:rsid w:val="00A054FA"/>
    <w:rsid w:val="00A056D4"/>
    <w:rsid w:val="00A05A1E"/>
    <w:rsid w:val="00A05C82"/>
    <w:rsid w:val="00A06349"/>
    <w:rsid w:val="00A13640"/>
    <w:rsid w:val="00A148F5"/>
    <w:rsid w:val="00A16B41"/>
    <w:rsid w:val="00A17CCE"/>
    <w:rsid w:val="00A20317"/>
    <w:rsid w:val="00A206B4"/>
    <w:rsid w:val="00A30E58"/>
    <w:rsid w:val="00A34064"/>
    <w:rsid w:val="00A36B9C"/>
    <w:rsid w:val="00A37CBC"/>
    <w:rsid w:val="00A4014E"/>
    <w:rsid w:val="00A41104"/>
    <w:rsid w:val="00A41A98"/>
    <w:rsid w:val="00A42612"/>
    <w:rsid w:val="00A43464"/>
    <w:rsid w:val="00A43D03"/>
    <w:rsid w:val="00A443B8"/>
    <w:rsid w:val="00A44DF4"/>
    <w:rsid w:val="00A4557C"/>
    <w:rsid w:val="00A46ECC"/>
    <w:rsid w:val="00A46EEC"/>
    <w:rsid w:val="00A4707C"/>
    <w:rsid w:val="00A47C5F"/>
    <w:rsid w:val="00A50C62"/>
    <w:rsid w:val="00A52B3B"/>
    <w:rsid w:val="00A5368A"/>
    <w:rsid w:val="00A54331"/>
    <w:rsid w:val="00A54975"/>
    <w:rsid w:val="00A5499F"/>
    <w:rsid w:val="00A56153"/>
    <w:rsid w:val="00A56C62"/>
    <w:rsid w:val="00A56F13"/>
    <w:rsid w:val="00A60DD6"/>
    <w:rsid w:val="00A60E96"/>
    <w:rsid w:val="00A6179D"/>
    <w:rsid w:val="00A62A0E"/>
    <w:rsid w:val="00A634F5"/>
    <w:rsid w:val="00A63AE5"/>
    <w:rsid w:val="00A657B2"/>
    <w:rsid w:val="00A67B3B"/>
    <w:rsid w:val="00A71157"/>
    <w:rsid w:val="00A719A9"/>
    <w:rsid w:val="00A721C9"/>
    <w:rsid w:val="00A7262F"/>
    <w:rsid w:val="00A72B36"/>
    <w:rsid w:val="00A72EA4"/>
    <w:rsid w:val="00A750E8"/>
    <w:rsid w:val="00A75EC6"/>
    <w:rsid w:val="00A77F6F"/>
    <w:rsid w:val="00A81FFC"/>
    <w:rsid w:val="00A83006"/>
    <w:rsid w:val="00A830A4"/>
    <w:rsid w:val="00A84206"/>
    <w:rsid w:val="00A8466E"/>
    <w:rsid w:val="00A85B87"/>
    <w:rsid w:val="00A87BDD"/>
    <w:rsid w:val="00A9089F"/>
    <w:rsid w:val="00A90D85"/>
    <w:rsid w:val="00A90EAB"/>
    <w:rsid w:val="00A92DBB"/>
    <w:rsid w:val="00A93069"/>
    <w:rsid w:val="00A93773"/>
    <w:rsid w:val="00A94196"/>
    <w:rsid w:val="00A9465A"/>
    <w:rsid w:val="00A95515"/>
    <w:rsid w:val="00A95B6C"/>
    <w:rsid w:val="00A966C8"/>
    <w:rsid w:val="00A96DD7"/>
    <w:rsid w:val="00AA2CB3"/>
    <w:rsid w:val="00AA2D97"/>
    <w:rsid w:val="00AA2F27"/>
    <w:rsid w:val="00AA4AD1"/>
    <w:rsid w:val="00AA600E"/>
    <w:rsid w:val="00AA6274"/>
    <w:rsid w:val="00AA6EF6"/>
    <w:rsid w:val="00AA7792"/>
    <w:rsid w:val="00AB147D"/>
    <w:rsid w:val="00AB1CA1"/>
    <w:rsid w:val="00AB1F96"/>
    <w:rsid w:val="00AB228A"/>
    <w:rsid w:val="00AB32EB"/>
    <w:rsid w:val="00AB4D29"/>
    <w:rsid w:val="00AB7BA8"/>
    <w:rsid w:val="00AC05D1"/>
    <w:rsid w:val="00AC1E1E"/>
    <w:rsid w:val="00AC21C2"/>
    <w:rsid w:val="00AC4540"/>
    <w:rsid w:val="00AC463F"/>
    <w:rsid w:val="00AD0873"/>
    <w:rsid w:val="00AD1571"/>
    <w:rsid w:val="00AD1738"/>
    <w:rsid w:val="00AD2791"/>
    <w:rsid w:val="00AD3385"/>
    <w:rsid w:val="00AD45F9"/>
    <w:rsid w:val="00AD4812"/>
    <w:rsid w:val="00AD66D6"/>
    <w:rsid w:val="00AE0255"/>
    <w:rsid w:val="00AE1765"/>
    <w:rsid w:val="00AE189B"/>
    <w:rsid w:val="00AE1F23"/>
    <w:rsid w:val="00AE20F0"/>
    <w:rsid w:val="00AE3181"/>
    <w:rsid w:val="00AE37D7"/>
    <w:rsid w:val="00AE414A"/>
    <w:rsid w:val="00AE5F69"/>
    <w:rsid w:val="00AE6CF8"/>
    <w:rsid w:val="00AE7C59"/>
    <w:rsid w:val="00AF20BD"/>
    <w:rsid w:val="00AF2C47"/>
    <w:rsid w:val="00AF35CF"/>
    <w:rsid w:val="00AF3D65"/>
    <w:rsid w:val="00AF4631"/>
    <w:rsid w:val="00AF49F4"/>
    <w:rsid w:val="00AF5853"/>
    <w:rsid w:val="00AF5E57"/>
    <w:rsid w:val="00AF64C6"/>
    <w:rsid w:val="00AF7536"/>
    <w:rsid w:val="00B005F8"/>
    <w:rsid w:val="00B00C06"/>
    <w:rsid w:val="00B01D97"/>
    <w:rsid w:val="00B03759"/>
    <w:rsid w:val="00B047E9"/>
    <w:rsid w:val="00B05227"/>
    <w:rsid w:val="00B06AAF"/>
    <w:rsid w:val="00B072C7"/>
    <w:rsid w:val="00B10111"/>
    <w:rsid w:val="00B11B17"/>
    <w:rsid w:val="00B13C5A"/>
    <w:rsid w:val="00B14BC2"/>
    <w:rsid w:val="00B150C2"/>
    <w:rsid w:val="00B16944"/>
    <w:rsid w:val="00B22F87"/>
    <w:rsid w:val="00B230A4"/>
    <w:rsid w:val="00B2434F"/>
    <w:rsid w:val="00B24D4B"/>
    <w:rsid w:val="00B24FAC"/>
    <w:rsid w:val="00B258AC"/>
    <w:rsid w:val="00B25ACC"/>
    <w:rsid w:val="00B26347"/>
    <w:rsid w:val="00B26D3A"/>
    <w:rsid w:val="00B3083B"/>
    <w:rsid w:val="00B30FFE"/>
    <w:rsid w:val="00B31122"/>
    <w:rsid w:val="00B321CC"/>
    <w:rsid w:val="00B3425D"/>
    <w:rsid w:val="00B34A7D"/>
    <w:rsid w:val="00B35550"/>
    <w:rsid w:val="00B360E5"/>
    <w:rsid w:val="00B409B5"/>
    <w:rsid w:val="00B40E62"/>
    <w:rsid w:val="00B427D0"/>
    <w:rsid w:val="00B43696"/>
    <w:rsid w:val="00B4407F"/>
    <w:rsid w:val="00B47BAA"/>
    <w:rsid w:val="00B53200"/>
    <w:rsid w:val="00B534B8"/>
    <w:rsid w:val="00B5485A"/>
    <w:rsid w:val="00B570D9"/>
    <w:rsid w:val="00B622FE"/>
    <w:rsid w:val="00B62683"/>
    <w:rsid w:val="00B71945"/>
    <w:rsid w:val="00B73AAE"/>
    <w:rsid w:val="00B73F85"/>
    <w:rsid w:val="00B740A4"/>
    <w:rsid w:val="00B753C8"/>
    <w:rsid w:val="00B76415"/>
    <w:rsid w:val="00B77CFA"/>
    <w:rsid w:val="00B809CD"/>
    <w:rsid w:val="00B8227F"/>
    <w:rsid w:val="00B82C59"/>
    <w:rsid w:val="00B83CCD"/>
    <w:rsid w:val="00B854C5"/>
    <w:rsid w:val="00B8627F"/>
    <w:rsid w:val="00B86DC4"/>
    <w:rsid w:val="00B872BD"/>
    <w:rsid w:val="00B909A5"/>
    <w:rsid w:val="00B91F34"/>
    <w:rsid w:val="00B9290A"/>
    <w:rsid w:val="00B94A0A"/>
    <w:rsid w:val="00B95ED2"/>
    <w:rsid w:val="00B97768"/>
    <w:rsid w:val="00BA0067"/>
    <w:rsid w:val="00BA1050"/>
    <w:rsid w:val="00BA44A2"/>
    <w:rsid w:val="00BA4D2B"/>
    <w:rsid w:val="00BA5189"/>
    <w:rsid w:val="00BA59AC"/>
    <w:rsid w:val="00BA6532"/>
    <w:rsid w:val="00BA66AE"/>
    <w:rsid w:val="00BB0012"/>
    <w:rsid w:val="00BB0D94"/>
    <w:rsid w:val="00BB1B0F"/>
    <w:rsid w:val="00BB1B6F"/>
    <w:rsid w:val="00BB267B"/>
    <w:rsid w:val="00BB2789"/>
    <w:rsid w:val="00BB68F2"/>
    <w:rsid w:val="00BB71C6"/>
    <w:rsid w:val="00BC0056"/>
    <w:rsid w:val="00BC0944"/>
    <w:rsid w:val="00BC0ADD"/>
    <w:rsid w:val="00BC151F"/>
    <w:rsid w:val="00BC3D2E"/>
    <w:rsid w:val="00BC4985"/>
    <w:rsid w:val="00BC4A61"/>
    <w:rsid w:val="00BC5982"/>
    <w:rsid w:val="00BC5A2F"/>
    <w:rsid w:val="00BC7B5D"/>
    <w:rsid w:val="00BD2376"/>
    <w:rsid w:val="00BD3660"/>
    <w:rsid w:val="00BD38C7"/>
    <w:rsid w:val="00BD3A21"/>
    <w:rsid w:val="00BD3E05"/>
    <w:rsid w:val="00BD476C"/>
    <w:rsid w:val="00BD4FD1"/>
    <w:rsid w:val="00BD595E"/>
    <w:rsid w:val="00BD7CDF"/>
    <w:rsid w:val="00BE06B2"/>
    <w:rsid w:val="00BE2396"/>
    <w:rsid w:val="00BE2F12"/>
    <w:rsid w:val="00BE3C71"/>
    <w:rsid w:val="00BE3D4E"/>
    <w:rsid w:val="00BE452D"/>
    <w:rsid w:val="00BE4A5B"/>
    <w:rsid w:val="00BE7910"/>
    <w:rsid w:val="00BE7DB8"/>
    <w:rsid w:val="00BE7F31"/>
    <w:rsid w:val="00BF1432"/>
    <w:rsid w:val="00BF1B00"/>
    <w:rsid w:val="00BF1DFC"/>
    <w:rsid w:val="00BF3413"/>
    <w:rsid w:val="00BF4BFC"/>
    <w:rsid w:val="00BF4EC1"/>
    <w:rsid w:val="00BF4F83"/>
    <w:rsid w:val="00BF500B"/>
    <w:rsid w:val="00BF5D7F"/>
    <w:rsid w:val="00BF6782"/>
    <w:rsid w:val="00BF6B25"/>
    <w:rsid w:val="00BF6E71"/>
    <w:rsid w:val="00BF742F"/>
    <w:rsid w:val="00BF7430"/>
    <w:rsid w:val="00C00668"/>
    <w:rsid w:val="00C00C3E"/>
    <w:rsid w:val="00C02027"/>
    <w:rsid w:val="00C03740"/>
    <w:rsid w:val="00C04A92"/>
    <w:rsid w:val="00C0683F"/>
    <w:rsid w:val="00C0735E"/>
    <w:rsid w:val="00C07513"/>
    <w:rsid w:val="00C11E05"/>
    <w:rsid w:val="00C12DD2"/>
    <w:rsid w:val="00C131D2"/>
    <w:rsid w:val="00C13ECE"/>
    <w:rsid w:val="00C147C2"/>
    <w:rsid w:val="00C163C2"/>
    <w:rsid w:val="00C16DBA"/>
    <w:rsid w:val="00C179B1"/>
    <w:rsid w:val="00C17AFB"/>
    <w:rsid w:val="00C21E76"/>
    <w:rsid w:val="00C22492"/>
    <w:rsid w:val="00C2659A"/>
    <w:rsid w:val="00C30658"/>
    <w:rsid w:val="00C30F9A"/>
    <w:rsid w:val="00C31C58"/>
    <w:rsid w:val="00C31E99"/>
    <w:rsid w:val="00C33FF6"/>
    <w:rsid w:val="00C34325"/>
    <w:rsid w:val="00C34ADF"/>
    <w:rsid w:val="00C37178"/>
    <w:rsid w:val="00C374F4"/>
    <w:rsid w:val="00C40E91"/>
    <w:rsid w:val="00C411C5"/>
    <w:rsid w:val="00C413C3"/>
    <w:rsid w:val="00C424BD"/>
    <w:rsid w:val="00C4277E"/>
    <w:rsid w:val="00C43852"/>
    <w:rsid w:val="00C438E8"/>
    <w:rsid w:val="00C43A26"/>
    <w:rsid w:val="00C45F76"/>
    <w:rsid w:val="00C47BD1"/>
    <w:rsid w:val="00C5133F"/>
    <w:rsid w:val="00C535A8"/>
    <w:rsid w:val="00C542C1"/>
    <w:rsid w:val="00C6015F"/>
    <w:rsid w:val="00C60BE4"/>
    <w:rsid w:val="00C60C0A"/>
    <w:rsid w:val="00C60E33"/>
    <w:rsid w:val="00C6172D"/>
    <w:rsid w:val="00C61797"/>
    <w:rsid w:val="00C61AA7"/>
    <w:rsid w:val="00C61EC5"/>
    <w:rsid w:val="00C61F7D"/>
    <w:rsid w:val="00C64AA3"/>
    <w:rsid w:val="00C653C0"/>
    <w:rsid w:val="00C6705C"/>
    <w:rsid w:val="00C670A6"/>
    <w:rsid w:val="00C67D2C"/>
    <w:rsid w:val="00C71043"/>
    <w:rsid w:val="00C744BF"/>
    <w:rsid w:val="00C76E48"/>
    <w:rsid w:val="00C77ADD"/>
    <w:rsid w:val="00C804D5"/>
    <w:rsid w:val="00C806C2"/>
    <w:rsid w:val="00C819BA"/>
    <w:rsid w:val="00C86635"/>
    <w:rsid w:val="00C90F36"/>
    <w:rsid w:val="00C91BD3"/>
    <w:rsid w:val="00C9655C"/>
    <w:rsid w:val="00C97585"/>
    <w:rsid w:val="00C976B4"/>
    <w:rsid w:val="00C9793A"/>
    <w:rsid w:val="00CA08FF"/>
    <w:rsid w:val="00CA2C7D"/>
    <w:rsid w:val="00CA3255"/>
    <w:rsid w:val="00CA3746"/>
    <w:rsid w:val="00CA4350"/>
    <w:rsid w:val="00CA521B"/>
    <w:rsid w:val="00CA5D58"/>
    <w:rsid w:val="00CA625D"/>
    <w:rsid w:val="00CA6EB9"/>
    <w:rsid w:val="00CA6F35"/>
    <w:rsid w:val="00CA731A"/>
    <w:rsid w:val="00CB1933"/>
    <w:rsid w:val="00CB21FB"/>
    <w:rsid w:val="00CC0955"/>
    <w:rsid w:val="00CC2247"/>
    <w:rsid w:val="00CC22A3"/>
    <w:rsid w:val="00CC3FE5"/>
    <w:rsid w:val="00CC54EB"/>
    <w:rsid w:val="00CC5A47"/>
    <w:rsid w:val="00CC6E58"/>
    <w:rsid w:val="00CC6F58"/>
    <w:rsid w:val="00CD2137"/>
    <w:rsid w:val="00CD28F8"/>
    <w:rsid w:val="00CD2981"/>
    <w:rsid w:val="00CD3B42"/>
    <w:rsid w:val="00CD4AF3"/>
    <w:rsid w:val="00CD5A0E"/>
    <w:rsid w:val="00CD6712"/>
    <w:rsid w:val="00CD674F"/>
    <w:rsid w:val="00CD676B"/>
    <w:rsid w:val="00CD7066"/>
    <w:rsid w:val="00CE1F7B"/>
    <w:rsid w:val="00CE3513"/>
    <w:rsid w:val="00CE5858"/>
    <w:rsid w:val="00CE5BC9"/>
    <w:rsid w:val="00CE78C2"/>
    <w:rsid w:val="00CE7A6D"/>
    <w:rsid w:val="00CF144B"/>
    <w:rsid w:val="00CF22CB"/>
    <w:rsid w:val="00CF275C"/>
    <w:rsid w:val="00CF38D1"/>
    <w:rsid w:val="00CF3ADA"/>
    <w:rsid w:val="00CF446A"/>
    <w:rsid w:val="00CF61B0"/>
    <w:rsid w:val="00CF7A13"/>
    <w:rsid w:val="00CF7B71"/>
    <w:rsid w:val="00CF7DC9"/>
    <w:rsid w:val="00CF7F4E"/>
    <w:rsid w:val="00D00421"/>
    <w:rsid w:val="00D0164D"/>
    <w:rsid w:val="00D02618"/>
    <w:rsid w:val="00D066E5"/>
    <w:rsid w:val="00D07851"/>
    <w:rsid w:val="00D10306"/>
    <w:rsid w:val="00D10982"/>
    <w:rsid w:val="00D11592"/>
    <w:rsid w:val="00D12EB8"/>
    <w:rsid w:val="00D13CAA"/>
    <w:rsid w:val="00D15324"/>
    <w:rsid w:val="00D15EFE"/>
    <w:rsid w:val="00D166D3"/>
    <w:rsid w:val="00D17CDF"/>
    <w:rsid w:val="00D202AE"/>
    <w:rsid w:val="00D21ABF"/>
    <w:rsid w:val="00D22A6C"/>
    <w:rsid w:val="00D22FDA"/>
    <w:rsid w:val="00D23F77"/>
    <w:rsid w:val="00D24725"/>
    <w:rsid w:val="00D24DF1"/>
    <w:rsid w:val="00D24F38"/>
    <w:rsid w:val="00D25911"/>
    <w:rsid w:val="00D269B5"/>
    <w:rsid w:val="00D26CA0"/>
    <w:rsid w:val="00D27011"/>
    <w:rsid w:val="00D2792B"/>
    <w:rsid w:val="00D30C70"/>
    <w:rsid w:val="00D30CF1"/>
    <w:rsid w:val="00D3340F"/>
    <w:rsid w:val="00D33ABC"/>
    <w:rsid w:val="00D351D0"/>
    <w:rsid w:val="00D375FB"/>
    <w:rsid w:val="00D37CF3"/>
    <w:rsid w:val="00D41BFC"/>
    <w:rsid w:val="00D4300F"/>
    <w:rsid w:val="00D43530"/>
    <w:rsid w:val="00D44E1D"/>
    <w:rsid w:val="00D4607E"/>
    <w:rsid w:val="00D46DBD"/>
    <w:rsid w:val="00D51A53"/>
    <w:rsid w:val="00D52FA4"/>
    <w:rsid w:val="00D5367E"/>
    <w:rsid w:val="00D54057"/>
    <w:rsid w:val="00D550DC"/>
    <w:rsid w:val="00D56B65"/>
    <w:rsid w:val="00D60C9B"/>
    <w:rsid w:val="00D61281"/>
    <w:rsid w:val="00D614AC"/>
    <w:rsid w:val="00D6195F"/>
    <w:rsid w:val="00D62B34"/>
    <w:rsid w:val="00D62BA0"/>
    <w:rsid w:val="00D632C9"/>
    <w:rsid w:val="00D645E5"/>
    <w:rsid w:val="00D64DA5"/>
    <w:rsid w:val="00D660DA"/>
    <w:rsid w:val="00D66CE8"/>
    <w:rsid w:val="00D676A6"/>
    <w:rsid w:val="00D70D0C"/>
    <w:rsid w:val="00D7122C"/>
    <w:rsid w:val="00D71C97"/>
    <w:rsid w:val="00D7252B"/>
    <w:rsid w:val="00D72C78"/>
    <w:rsid w:val="00D73449"/>
    <w:rsid w:val="00D74026"/>
    <w:rsid w:val="00D7405F"/>
    <w:rsid w:val="00D74F58"/>
    <w:rsid w:val="00D7586D"/>
    <w:rsid w:val="00D75FB4"/>
    <w:rsid w:val="00D8085F"/>
    <w:rsid w:val="00D81176"/>
    <w:rsid w:val="00D81BF6"/>
    <w:rsid w:val="00D8256D"/>
    <w:rsid w:val="00D82571"/>
    <w:rsid w:val="00D84749"/>
    <w:rsid w:val="00D84B7F"/>
    <w:rsid w:val="00D85403"/>
    <w:rsid w:val="00D85BD9"/>
    <w:rsid w:val="00D86B96"/>
    <w:rsid w:val="00D9216F"/>
    <w:rsid w:val="00D92343"/>
    <w:rsid w:val="00D959A8"/>
    <w:rsid w:val="00D97442"/>
    <w:rsid w:val="00DA0055"/>
    <w:rsid w:val="00DA15CC"/>
    <w:rsid w:val="00DA1D77"/>
    <w:rsid w:val="00DA1DD0"/>
    <w:rsid w:val="00DA20D1"/>
    <w:rsid w:val="00DA2889"/>
    <w:rsid w:val="00DA2AD1"/>
    <w:rsid w:val="00DA3E3D"/>
    <w:rsid w:val="00DA4267"/>
    <w:rsid w:val="00DA4921"/>
    <w:rsid w:val="00DB00CF"/>
    <w:rsid w:val="00DB038C"/>
    <w:rsid w:val="00DB0B39"/>
    <w:rsid w:val="00DB28DE"/>
    <w:rsid w:val="00DB5A5E"/>
    <w:rsid w:val="00DB5E13"/>
    <w:rsid w:val="00DB610A"/>
    <w:rsid w:val="00DB65B9"/>
    <w:rsid w:val="00DB693F"/>
    <w:rsid w:val="00DB79F2"/>
    <w:rsid w:val="00DB7EA9"/>
    <w:rsid w:val="00DC283F"/>
    <w:rsid w:val="00DC3BAE"/>
    <w:rsid w:val="00DC55E7"/>
    <w:rsid w:val="00DC5D92"/>
    <w:rsid w:val="00DD0157"/>
    <w:rsid w:val="00DD0C4A"/>
    <w:rsid w:val="00DD27D9"/>
    <w:rsid w:val="00DD327C"/>
    <w:rsid w:val="00DD410A"/>
    <w:rsid w:val="00DE2B22"/>
    <w:rsid w:val="00DE4943"/>
    <w:rsid w:val="00DE6F4A"/>
    <w:rsid w:val="00DF0692"/>
    <w:rsid w:val="00DF1F7F"/>
    <w:rsid w:val="00DF3637"/>
    <w:rsid w:val="00DF3759"/>
    <w:rsid w:val="00DF4F88"/>
    <w:rsid w:val="00DF55A8"/>
    <w:rsid w:val="00DF65C7"/>
    <w:rsid w:val="00DF6E5E"/>
    <w:rsid w:val="00DF708E"/>
    <w:rsid w:val="00E0277C"/>
    <w:rsid w:val="00E04812"/>
    <w:rsid w:val="00E06AE6"/>
    <w:rsid w:val="00E122C7"/>
    <w:rsid w:val="00E131D8"/>
    <w:rsid w:val="00E15190"/>
    <w:rsid w:val="00E15C8E"/>
    <w:rsid w:val="00E161C5"/>
    <w:rsid w:val="00E20326"/>
    <w:rsid w:val="00E22A9B"/>
    <w:rsid w:val="00E23211"/>
    <w:rsid w:val="00E2487D"/>
    <w:rsid w:val="00E253BB"/>
    <w:rsid w:val="00E25DB8"/>
    <w:rsid w:val="00E32038"/>
    <w:rsid w:val="00E320B9"/>
    <w:rsid w:val="00E33EB3"/>
    <w:rsid w:val="00E344FD"/>
    <w:rsid w:val="00E34D3E"/>
    <w:rsid w:val="00E35603"/>
    <w:rsid w:val="00E36196"/>
    <w:rsid w:val="00E361EB"/>
    <w:rsid w:val="00E412BE"/>
    <w:rsid w:val="00E415B5"/>
    <w:rsid w:val="00E41C83"/>
    <w:rsid w:val="00E43610"/>
    <w:rsid w:val="00E43961"/>
    <w:rsid w:val="00E4432C"/>
    <w:rsid w:val="00E44C5F"/>
    <w:rsid w:val="00E45972"/>
    <w:rsid w:val="00E504B8"/>
    <w:rsid w:val="00E516FB"/>
    <w:rsid w:val="00E51BF1"/>
    <w:rsid w:val="00E53F7D"/>
    <w:rsid w:val="00E557F4"/>
    <w:rsid w:val="00E55BC7"/>
    <w:rsid w:val="00E55D4C"/>
    <w:rsid w:val="00E55FD5"/>
    <w:rsid w:val="00E56439"/>
    <w:rsid w:val="00E56CCB"/>
    <w:rsid w:val="00E57A00"/>
    <w:rsid w:val="00E603C1"/>
    <w:rsid w:val="00E61981"/>
    <w:rsid w:val="00E61DD7"/>
    <w:rsid w:val="00E62788"/>
    <w:rsid w:val="00E62DD2"/>
    <w:rsid w:val="00E6394C"/>
    <w:rsid w:val="00E6420C"/>
    <w:rsid w:val="00E64EA0"/>
    <w:rsid w:val="00E651D4"/>
    <w:rsid w:val="00E657CF"/>
    <w:rsid w:val="00E65ED1"/>
    <w:rsid w:val="00E6630C"/>
    <w:rsid w:val="00E67230"/>
    <w:rsid w:val="00E71F8F"/>
    <w:rsid w:val="00E725E7"/>
    <w:rsid w:val="00E72671"/>
    <w:rsid w:val="00E73831"/>
    <w:rsid w:val="00E73BB8"/>
    <w:rsid w:val="00E75D66"/>
    <w:rsid w:val="00E75F5F"/>
    <w:rsid w:val="00E76417"/>
    <w:rsid w:val="00E7773E"/>
    <w:rsid w:val="00E77E9A"/>
    <w:rsid w:val="00E80E7C"/>
    <w:rsid w:val="00E82613"/>
    <w:rsid w:val="00E82AF9"/>
    <w:rsid w:val="00E82B99"/>
    <w:rsid w:val="00E86608"/>
    <w:rsid w:val="00E874D4"/>
    <w:rsid w:val="00E90BAD"/>
    <w:rsid w:val="00E928C0"/>
    <w:rsid w:val="00E93764"/>
    <w:rsid w:val="00E9379E"/>
    <w:rsid w:val="00E948F5"/>
    <w:rsid w:val="00E9492F"/>
    <w:rsid w:val="00E96E67"/>
    <w:rsid w:val="00E97996"/>
    <w:rsid w:val="00E97E0D"/>
    <w:rsid w:val="00EA0A26"/>
    <w:rsid w:val="00EA2D30"/>
    <w:rsid w:val="00EA3BFA"/>
    <w:rsid w:val="00EA3E66"/>
    <w:rsid w:val="00EA4723"/>
    <w:rsid w:val="00EA518F"/>
    <w:rsid w:val="00EA67AA"/>
    <w:rsid w:val="00EA6C91"/>
    <w:rsid w:val="00EA6E40"/>
    <w:rsid w:val="00EB286F"/>
    <w:rsid w:val="00EB5461"/>
    <w:rsid w:val="00EB75FF"/>
    <w:rsid w:val="00EB771C"/>
    <w:rsid w:val="00EC2E53"/>
    <w:rsid w:val="00EC3F2C"/>
    <w:rsid w:val="00EC43A5"/>
    <w:rsid w:val="00EC4514"/>
    <w:rsid w:val="00EC702D"/>
    <w:rsid w:val="00ED0729"/>
    <w:rsid w:val="00ED10EF"/>
    <w:rsid w:val="00ED11FA"/>
    <w:rsid w:val="00ED1C8F"/>
    <w:rsid w:val="00ED3124"/>
    <w:rsid w:val="00ED6A42"/>
    <w:rsid w:val="00ED6FF1"/>
    <w:rsid w:val="00ED7578"/>
    <w:rsid w:val="00EE04D3"/>
    <w:rsid w:val="00EE215A"/>
    <w:rsid w:val="00EE2C9D"/>
    <w:rsid w:val="00EE4438"/>
    <w:rsid w:val="00EE4F40"/>
    <w:rsid w:val="00EE4F94"/>
    <w:rsid w:val="00EE5611"/>
    <w:rsid w:val="00EE5A6B"/>
    <w:rsid w:val="00EE799A"/>
    <w:rsid w:val="00EE7A09"/>
    <w:rsid w:val="00EF11AB"/>
    <w:rsid w:val="00EF4AE0"/>
    <w:rsid w:val="00EF50C6"/>
    <w:rsid w:val="00EF54E8"/>
    <w:rsid w:val="00EF5F59"/>
    <w:rsid w:val="00EF7587"/>
    <w:rsid w:val="00EF7A9A"/>
    <w:rsid w:val="00F00B2A"/>
    <w:rsid w:val="00F013F9"/>
    <w:rsid w:val="00F02B2E"/>
    <w:rsid w:val="00F02B97"/>
    <w:rsid w:val="00F02CC5"/>
    <w:rsid w:val="00F04CE1"/>
    <w:rsid w:val="00F057F6"/>
    <w:rsid w:val="00F07422"/>
    <w:rsid w:val="00F12092"/>
    <w:rsid w:val="00F13846"/>
    <w:rsid w:val="00F15354"/>
    <w:rsid w:val="00F21EAF"/>
    <w:rsid w:val="00F22965"/>
    <w:rsid w:val="00F2492A"/>
    <w:rsid w:val="00F256C0"/>
    <w:rsid w:val="00F264E2"/>
    <w:rsid w:val="00F26834"/>
    <w:rsid w:val="00F27CBC"/>
    <w:rsid w:val="00F31A44"/>
    <w:rsid w:val="00F3206B"/>
    <w:rsid w:val="00F32607"/>
    <w:rsid w:val="00F3596D"/>
    <w:rsid w:val="00F362B3"/>
    <w:rsid w:val="00F40A0A"/>
    <w:rsid w:val="00F40DD0"/>
    <w:rsid w:val="00F41066"/>
    <w:rsid w:val="00F415F5"/>
    <w:rsid w:val="00F41B78"/>
    <w:rsid w:val="00F421DE"/>
    <w:rsid w:val="00F4221D"/>
    <w:rsid w:val="00F452DD"/>
    <w:rsid w:val="00F45B7B"/>
    <w:rsid w:val="00F46E35"/>
    <w:rsid w:val="00F50403"/>
    <w:rsid w:val="00F50DB0"/>
    <w:rsid w:val="00F52FD2"/>
    <w:rsid w:val="00F53EF6"/>
    <w:rsid w:val="00F55454"/>
    <w:rsid w:val="00F61145"/>
    <w:rsid w:val="00F630F0"/>
    <w:rsid w:val="00F639A3"/>
    <w:rsid w:val="00F63F79"/>
    <w:rsid w:val="00F64E8D"/>
    <w:rsid w:val="00F653BA"/>
    <w:rsid w:val="00F655EF"/>
    <w:rsid w:val="00F65AD4"/>
    <w:rsid w:val="00F71787"/>
    <w:rsid w:val="00F72E93"/>
    <w:rsid w:val="00F73939"/>
    <w:rsid w:val="00F7504F"/>
    <w:rsid w:val="00F809E9"/>
    <w:rsid w:val="00F81976"/>
    <w:rsid w:val="00F82996"/>
    <w:rsid w:val="00F82CA6"/>
    <w:rsid w:val="00F91199"/>
    <w:rsid w:val="00F914FC"/>
    <w:rsid w:val="00F931CF"/>
    <w:rsid w:val="00F95566"/>
    <w:rsid w:val="00F96B60"/>
    <w:rsid w:val="00F9795C"/>
    <w:rsid w:val="00F97972"/>
    <w:rsid w:val="00FA077A"/>
    <w:rsid w:val="00FA0C6C"/>
    <w:rsid w:val="00FA0D87"/>
    <w:rsid w:val="00FA204E"/>
    <w:rsid w:val="00FA228A"/>
    <w:rsid w:val="00FA2A93"/>
    <w:rsid w:val="00FA2DA2"/>
    <w:rsid w:val="00FA3206"/>
    <w:rsid w:val="00FA4516"/>
    <w:rsid w:val="00FA58BF"/>
    <w:rsid w:val="00FA5D02"/>
    <w:rsid w:val="00FA749C"/>
    <w:rsid w:val="00FA7FBC"/>
    <w:rsid w:val="00FB096C"/>
    <w:rsid w:val="00FB15ED"/>
    <w:rsid w:val="00FB18A1"/>
    <w:rsid w:val="00FB1DF7"/>
    <w:rsid w:val="00FB2436"/>
    <w:rsid w:val="00FB3036"/>
    <w:rsid w:val="00FB4294"/>
    <w:rsid w:val="00FB50F5"/>
    <w:rsid w:val="00FB692A"/>
    <w:rsid w:val="00FC08D0"/>
    <w:rsid w:val="00FC0A9D"/>
    <w:rsid w:val="00FC136E"/>
    <w:rsid w:val="00FC1DD3"/>
    <w:rsid w:val="00FC23BD"/>
    <w:rsid w:val="00FC24A0"/>
    <w:rsid w:val="00FC2B36"/>
    <w:rsid w:val="00FC3018"/>
    <w:rsid w:val="00FC39DD"/>
    <w:rsid w:val="00FC4E6F"/>
    <w:rsid w:val="00FD1AC5"/>
    <w:rsid w:val="00FD2D6F"/>
    <w:rsid w:val="00FD35B5"/>
    <w:rsid w:val="00FD58EE"/>
    <w:rsid w:val="00FE140F"/>
    <w:rsid w:val="00FE3BDE"/>
    <w:rsid w:val="00FE54E9"/>
    <w:rsid w:val="00FF1719"/>
    <w:rsid w:val="00FF1F51"/>
    <w:rsid w:val="00FF2DFE"/>
    <w:rsid w:val="00FF5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F5D62E-5683-41EC-BC61-A800E41C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6420C"/>
    <w:pPr>
      <w:spacing w:line="360" w:lineRule="auto"/>
      <w:ind w:firstLine="709"/>
      <w:jc w:val="both"/>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F97972"/>
    <w:pPr>
      <w:spacing w:line="240" w:lineRule="auto"/>
      <w:ind w:firstLine="0"/>
      <w:jc w:val="left"/>
    </w:pPr>
    <w:rPr>
      <w:rFonts w:ascii="Tahoma" w:hAnsi="Tahoma" w:cs="Tahoma"/>
      <w:sz w:val="16"/>
      <w:szCs w:val="16"/>
      <w:lang w:eastAsia="it-IT"/>
    </w:rPr>
  </w:style>
  <w:style w:type="character" w:customStyle="1" w:styleId="TestofumettoCarattere">
    <w:name w:val="Testo fumetto Carattere"/>
    <w:link w:val="Testofumetto"/>
    <w:uiPriority w:val="99"/>
    <w:semiHidden/>
    <w:locked/>
    <w:rsid w:val="008D1858"/>
    <w:rPr>
      <w:rFonts w:ascii="Times New Roman" w:hAnsi="Times New Roman" w:cs="Times New Roman"/>
      <w:sz w:val="2"/>
      <w:lang w:eastAsia="en-US"/>
    </w:rPr>
  </w:style>
  <w:style w:type="paragraph" w:styleId="Paragrafoelenco">
    <w:name w:val="List Paragraph"/>
    <w:basedOn w:val="Normale"/>
    <w:uiPriority w:val="99"/>
    <w:qFormat/>
    <w:rsid w:val="004A2228"/>
    <w:pPr>
      <w:ind w:left="720"/>
      <w:contextualSpacing/>
    </w:pPr>
  </w:style>
  <w:style w:type="paragraph" w:styleId="Intestazione">
    <w:name w:val="header"/>
    <w:basedOn w:val="Normale"/>
    <w:link w:val="IntestazioneCarattere"/>
    <w:uiPriority w:val="99"/>
    <w:rsid w:val="00924730"/>
    <w:pPr>
      <w:tabs>
        <w:tab w:val="center" w:pos="4819"/>
        <w:tab w:val="right" w:pos="9638"/>
      </w:tabs>
      <w:spacing w:line="240" w:lineRule="auto"/>
    </w:pPr>
  </w:style>
  <w:style w:type="character" w:customStyle="1" w:styleId="IntestazioneCarattere">
    <w:name w:val="Intestazione Carattere"/>
    <w:link w:val="Intestazione"/>
    <w:uiPriority w:val="99"/>
    <w:locked/>
    <w:rsid w:val="00924730"/>
    <w:rPr>
      <w:rFonts w:cs="Times New Roman"/>
    </w:rPr>
  </w:style>
  <w:style w:type="paragraph" w:styleId="Pidipagina">
    <w:name w:val="footer"/>
    <w:basedOn w:val="Normale"/>
    <w:link w:val="PidipaginaCarattere"/>
    <w:uiPriority w:val="99"/>
    <w:rsid w:val="00924730"/>
    <w:pPr>
      <w:tabs>
        <w:tab w:val="center" w:pos="4819"/>
        <w:tab w:val="right" w:pos="9638"/>
      </w:tabs>
      <w:spacing w:line="240" w:lineRule="auto"/>
    </w:pPr>
  </w:style>
  <w:style w:type="character" w:customStyle="1" w:styleId="PidipaginaCarattere">
    <w:name w:val="Piè di pagina Carattere"/>
    <w:link w:val="Pidipagina"/>
    <w:uiPriority w:val="99"/>
    <w:locked/>
    <w:rsid w:val="00924730"/>
    <w:rPr>
      <w:rFonts w:cs="Times New Roman"/>
    </w:rPr>
  </w:style>
  <w:style w:type="paragraph" w:styleId="Revisione">
    <w:name w:val="Revision"/>
    <w:hidden/>
    <w:uiPriority w:val="99"/>
    <w:semiHidden/>
    <w:rsid w:val="00C31E99"/>
    <w:rPr>
      <w:sz w:val="22"/>
      <w:szCs w:val="22"/>
      <w:lang w:eastAsia="en-US"/>
    </w:rPr>
  </w:style>
  <w:style w:type="paragraph" w:styleId="Testonotaapidipagina">
    <w:name w:val="footnote text"/>
    <w:aliases w:val="Testo nota a piè di pagina Carattere Carattere Carattere Carattere Carattere,Testo nota a piè di pagina Carattere Carattere Carattere Carattere Carattere Carattere Carattere Carattere Carattere Carattere Carattere Carattere"/>
    <w:basedOn w:val="Normale"/>
    <w:link w:val="TestonotaapidipaginaCarattere"/>
    <w:semiHidden/>
    <w:unhideWhenUsed/>
    <w:rsid w:val="00B11B17"/>
    <w:rPr>
      <w:sz w:val="20"/>
      <w:szCs w:val="20"/>
    </w:rPr>
  </w:style>
  <w:style w:type="character" w:customStyle="1" w:styleId="TestonotaapidipaginaCarattere">
    <w:name w:val="Testo nota a piè di pagina Carattere"/>
    <w:aliases w:val="Testo nota a piè di pagina Carattere Carattere Carattere Carattere Carattere Carattere"/>
    <w:link w:val="Testonotaapidipagina"/>
    <w:semiHidden/>
    <w:rsid w:val="00B11B17"/>
    <w:rPr>
      <w:sz w:val="20"/>
      <w:szCs w:val="20"/>
      <w:lang w:eastAsia="en-US"/>
    </w:rPr>
  </w:style>
  <w:style w:type="character" w:styleId="Rimandonotaapidipagina">
    <w:name w:val="footnote reference"/>
    <w:aliases w:val="ftref,Footnote symbol,Footnote reference number,note TESI"/>
    <w:semiHidden/>
    <w:rsid w:val="00B11B17"/>
    <w:rPr>
      <w:vertAlign w:val="superscript"/>
    </w:rPr>
  </w:style>
  <w:style w:type="paragraph" w:styleId="Testonotadichiusura">
    <w:name w:val="endnote text"/>
    <w:basedOn w:val="Normale"/>
    <w:link w:val="TestonotadichiusuraCarattere"/>
    <w:uiPriority w:val="99"/>
    <w:semiHidden/>
    <w:unhideWhenUsed/>
    <w:rsid w:val="00A13640"/>
    <w:rPr>
      <w:sz w:val="20"/>
      <w:szCs w:val="20"/>
    </w:rPr>
  </w:style>
  <w:style w:type="character" w:customStyle="1" w:styleId="TestonotadichiusuraCarattere">
    <w:name w:val="Testo nota di chiusura Carattere"/>
    <w:link w:val="Testonotadichiusura"/>
    <w:uiPriority w:val="99"/>
    <w:semiHidden/>
    <w:rsid w:val="00A13640"/>
    <w:rPr>
      <w:sz w:val="20"/>
      <w:szCs w:val="20"/>
      <w:lang w:eastAsia="en-US"/>
    </w:rPr>
  </w:style>
  <w:style w:type="paragraph" w:customStyle="1" w:styleId="Corpo">
    <w:name w:val="Corpo"/>
    <w:uiPriority w:val="99"/>
    <w:rsid w:val="00190E08"/>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6" w:lineRule="auto"/>
    </w:pPr>
    <w:rPr>
      <w:rFonts w:eastAsia="Arial Unicode MS" w:cs="Calibri"/>
      <w:color w:val="000000"/>
      <w:sz w:val="22"/>
      <w:szCs w:val="22"/>
      <w:u w:color="000000"/>
    </w:rPr>
  </w:style>
  <w:style w:type="character" w:customStyle="1" w:styleId="corsivo">
    <w:name w:val="corsivo"/>
    <w:rsid w:val="00681B8B"/>
    <w:rPr>
      <w:i/>
      <w:iCs/>
    </w:rPr>
  </w:style>
  <w:style w:type="character" w:customStyle="1" w:styleId="blackunder">
    <w:name w:val="blackunder"/>
    <w:rsid w:val="00681B8B"/>
  </w:style>
  <w:style w:type="paragraph" w:styleId="NormaleWeb">
    <w:name w:val="Normal (Web)"/>
    <w:basedOn w:val="Normale"/>
    <w:uiPriority w:val="99"/>
    <w:unhideWhenUsed/>
    <w:rsid w:val="004C2B5C"/>
    <w:rPr>
      <w:rFonts w:ascii="Times New Roman" w:hAnsi="Times New Roman"/>
      <w:sz w:val="24"/>
      <w:szCs w:val="24"/>
    </w:rPr>
  </w:style>
  <w:style w:type="character" w:styleId="Collegamentoipertestuale">
    <w:name w:val="Hyperlink"/>
    <w:uiPriority w:val="99"/>
    <w:unhideWhenUsed/>
    <w:rsid w:val="00F013F9"/>
    <w:rPr>
      <w:color w:val="0000FF"/>
      <w:u w:val="single"/>
    </w:rPr>
  </w:style>
  <w:style w:type="character" w:styleId="Rimandocommento">
    <w:name w:val="annotation reference"/>
    <w:basedOn w:val="Carpredefinitoparagrafo"/>
    <w:uiPriority w:val="99"/>
    <w:semiHidden/>
    <w:unhideWhenUsed/>
    <w:rsid w:val="00FA3206"/>
    <w:rPr>
      <w:sz w:val="16"/>
      <w:szCs w:val="16"/>
    </w:rPr>
  </w:style>
  <w:style w:type="paragraph" w:styleId="Testocommento">
    <w:name w:val="annotation text"/>
    <w:basedOn w:val="Normale"/>
    <w:link w:val="TestocommentoCarattere"/>
    <w:uiPriority w:val="99"/>
    <w:semiHidden/>
    <w:unhideWhenUsed/>
    <w:rsid w:val="00FA320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A3206"/>
    <w:rPr>
      <w:lang w:eastAsia="en-US"/>
    </w:rPr>
  </w:style>
  <w:style w:type="paragraph" w:styleId="Soggettocommento">
    <w:name w:val="annotation subject"/>
    <w:basedOn w:val="Testocommento"/>
    <w:next w:val="Testocommento"/>
    <w:link w:val="SoggettocommentoCarattere"/>
    <w:uiPriority w:val="99"/>
    <w:semiHidden/>
    <w:unhideWhenUsed/>
    <w:rsid w:val="00FA3206"/>
    <w:rPr>
      <w:b/>
      <w:bCs/>
    </w:rPr>
  </w:style>
  <w:style w:type="character" w:customStyle="1" w:styleId="SoggettocommentoCarattere">
    <w:name w:val="Soggetto commento Carattere"/>
    <w:basedOn w:val="TestocommentoCarattere"/>
    <w:link w:val="Soggettocommento"/>
    <w:uiPriority w:val="99"/>
    <w:semiHidden/>
    <w:rsid w:val="00FA320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332887">
      <w:bodyDiv w:val="1"/>
      <w:marLeft w:val="0"/>
      <w:marRight w:val="0"/>
      <w:marTop w:val="0"/>
      <w:marBottom w:val="0"/>
      <w:divBdr>
        <w:top w:val="none" w:sz="0" w:space="0" w:color="auto"/>
        <w:left w:val="none" w:sz="0" w:space="0" w:color="auto"/>
        <w:bottom w:val="none" w:sz="0" w:space="0" w:color="auto"/>
        <w:right w:val="none" w:sz="0" w:space="0" w:color="auto"/>
      </w:divBdr>
      <w:divsChild>
        <w:div w:id="304043391">
          <w:marLeft w:val="0"/>
          <w:marRight w:val="0"/>
          <w:marTop w:val="0"/>
          <w:marBottom w:val="0"/>
          <w:divBdr>
            <w:top w:val="none" w:sz="0" w:space="0" w:color="auto"/>
            <w:left w:val="none" w:sz="0" w:space="0" w:color="auto"/>
            <w:bottom w:val="none" w:sz="0" w:space="0" w:color="auto"/>
            <w:right w:val="none" w:sz="0" w:space="0" w:color="auto"/>
          </w:divBdr>
          <w:divsChild>
            <w:div w:id="1168712140">
              <w:marLeft w:val="0"/>
              <w:marRight w:val="0"/>
              <w:marTop w:val="0"/>
              <w:marBottom w:val="0"/>
              <w:divBdr>
                <w:top w:val="none" w:sz="0" w:space="0" w:color="auto"/>
                <w:left w:val="none" w:sz="0" w:space="0" w:color="auto"/>
                <w:bottom w:val="none" w:sz="0" w:space="0" w:color="auto"/>
                <w:right w:val="none" w:sz="0" w:space="0" w:color="auto"/>
              </w:divBdr>
              <w:divsChild>
                <w:div w:id="752119507">
                  <w:marLeft w:val="0"/>
                  <w:marRight w:val="0"/>
                  <w:marTop w:val="0"/>
                  <w:marBottom w:val="0"/>
                  <w:divBdr>
                    <w:top w:val="none" w:sz="0" w:space="0" w:color="auto"/>
                    <w:left w:val="none" w:sz="0" w:space="0" w:color="auto"/>
                    <w:bottom w:val="none" w:sz="0" w:space="0" w:color="auto"/>
                    <w:right w:val="none" w:sz="0" w:space="0" w:color="auto"/>
                  </w:divBdr>
                  <w:divsChild>
                    <w:div w:id="1778597720">
                      <w:marLeft w:val="0"/>
                      <w:marRight w:val="0"/>
                      <w:marTop w:val="0"/>
                      <w:marBottom w:val="0"/>
                      <w:divBdr>
                        <w:top w:val="none" w:sz="0" w:space="0" w:color="auto"/>
                        <w:left w:val="none" w:sz="0" w:space="0" w:color="auto"/>
                        <w:bottom w:val="none" w:sz="0" w:space="0" w:color="auto"/>
                        <w:right w:val="none" w:sz="0" w:space="0" w:color="auto"/>
                      </w:divBdr>
                      <w:divsChild>
                        <w:div w:id="526333928">
                          <w:marLeft w:val="0"/>
                          <w:marRight w:val="0"/>
                          <w:marTop w:val="0"/>
                          <w:marBottom w:val="0"/>
                          <w:divBdr>
                            <w:top w:val="none" w:sz="0" w:space="0" w:color="auto"/>
                            <w:left w:val="none" w:sz="0" w:space="0" w:color="auto"/>
                            <w:bottom w:val="none" w:sz="0" w:space="0" w:color="auto"/>
                            <w:right w:val="none" w:sz="0" w:space="0" w:color="auto"/>
                          </w:divBdr>
                          <w:divsChild>
                            <w:div w:id="1511141820">
                              <w:marLeft w:val="0"/>
                              <w:marRight w:val="0"/>
                              <w:marTop w:val="0"/>
                              <w:marBottom w:val="0"/>
                              <w:divBdr>
                                <w:top w:val="none" w:sz="0" w:space="0" w:color="auto"/>
                                <w:left w:val="none" w:sz="0" w:space="0" w:color="auto"/>
                                <w:bottom w:val="none" w:sz="0" w:space="0" w:color="auto"/>
                                <w:right w:val="none" w:sz="0" w:space="0" w:color="auto"/>
                              </w:divBdr>
                              <w:divsChild>
                                <w:div w:id="1109861287">
                                  <w:marLeft w:val="0"/>
                                  <w:marRight w:val="0"/>
                                  <w:marTop w:val="0"/>
                                  <w:marBottom w:val="0"/>
                                  <w:divBdr>
                                    <w:top w:val="none" w:sz="0" w:space="0" w:color="auto"/>
                                    <w:left w:val="none" w:sz="0" w:space="0" w:color="auto"/>
                                    <w:bottom w:val="none" w:sz="0" w:space="0" w:color="auto"/>
                                    <w:right w:val="none" w:sz="0" w:space="0" w:color="auto"/>
                                  </w:divBdr>
                                  <w:divsChild>
                                    <w:div w:id="771969982">
                                      <w:marLeft w:val="0"/>
                                      <w:marRight w:val="0"/>
                                      <w:marTop w:val="0"/>
                                      <w:marBottom w:val="0"/>
                                      <w:divBdr>
                                        <w:top w:val="none" w:sz="0" w:space="0" w:color="auto"/>
                                        <w:left w:val="none" w:sz="0" w:space="0" w:color="auto"/>
                                        <w:bottom w:val="none" w:sz="0" w:space="0" w:color="auto"/>
                                        <w:right w:val="none" w:sz="0" w:space="0" w:color="auto"/>
                                      </w:divBdr>
                                      <w:divsChild>
                                        <w:div w:id="373698261">
                                          <w:marLeft w:val="0"/>
                                          <w:marRight w:val="0"/>
                                          <w:marTop w:val="0"/>
                                          <w:marBottom w:val="0"/>
                                          <w:divBdr>
                                            <w:top w:val="none" w:sz="0" w:space="0" w:color="auto"/>
                                            <w:left w:val="none" w:sz="0" w:space="0" w:color="auto"/>
                                            <w:bottom w:val="none" w:sz="0" w:space="0" w:color="auto"/>
                                            <w:right w:val="none" w:sz="0" w:space="0" w:color="auto"/>
                                          </w:divBdr>
                                          <w:divsChild>
                                            <w:div w:id="1594783599">
                                              <w:marLeft w:val="0"/>
                                              <w:marRight w:val="0"/>
                                              <w:marTop w:val="0"/>
                                              <w:marBottom w:val="0"/>
                                              <w:divBdr>
                                                <w:top w:val="none" w:sz="0" w:space="0" w:color="auto"/>
                                                <w:left w:val="none" w:sz="0" w:space="0" w:color="auto"/>
                                                <w:bottom w:val="none" w:sz="0" w:space="0" w:color="auto"/>
                                                <w:right w:val="none" w:sz="0" w:space="0" w:color="auto"/>
                                              </w:divBdr>
                                              <w:divsChild>
                                                <w:div w:id="325597284">
                                                  <w:marLeft w:val="0"/>
                                                  <w:marRight w:val="0"/>
                                                  <w:marTop w:val="0"/>
                                                  <w:marBottom w:val="0"/>
                                                  <w:divBdr>
                                                    <w:top w:val="none" w:sz="0" w:space="0" w:color="auto"/>
                                                    <w:left w:val="none" w:sz="0" w:space="0" w:color="auto"/>
                                                    <w:bottom w:val="none" w:sz="0" w:space="0" w:color="auto"/>
                                                    <w:right w:val="none" w:sz="0" w:space="0" w:color="auto"/>
                                                  </w:divBdr>
                                                  <w:divsChild>
                                                    <w:div w:id="1732923161">
                                                      <w:marLeft w:val="0"/>
                                                      <w:marRight w:val="0"/>
                                                      <w:marTop w:val="0"/>
                                                      <w:marBottom w:val="0"/>
                                                      <w:divBdr>
                                                        <w:top w:val="none" w:sz="0" w:space="0" w:color="auto"/>
                                                        <w:left w:val="none" w:sz="0" w:space="0" w:color="auto"/>
                                                        <w:bottom w:val="none" w:sz="0" w:space="0" w:color="auto"/>
                                                        <w:right w:val="none" w:sz="0" w:space="0" w:color="auto"/>
                                                      </w:divBdr>
                                                      <w:divsChild>
                                                        <w:div w:id="1347487667">
                                                          <w:marLeft w:val="0"/>
                                                          <w:marRight w:val="0"/>
                                                          <w:marTop w:val="0"/>
                                                          <w:marBottom w:val="0"/>
                                                          <w:divBdr>
                                                            <w:top w:val="none" w:sz="0" w:space="0" w:color="auto"/>
                                                            <w:left w:val="none" w:sz="0" w:space="0" w:color="auto"/>
                                                            <w:bottom w:val="none" w:sz="0" w:space="0" w:color="auto"/>
                                                            <w:right w:val="none" w:sz="0" w:space="0" w:color="auto"/>
                                                          </w:divBdr>
                                                          <w:divsChild>
                                                            <w:div w:id="1884058464">
                                                              <w:marLeft w:val="0"/>
                                                              <w:marRight w:val="0"/>
                                                              <w:marTop w:val="0"/>
                                                              <w:marBottom w:val="0"/>
                                                              <w:divBdr>
                                                                <w:top w:val="none" w:sz="0" w:space="0" w:color="auto"/>
                                                                <w:left w:val="none" w:sz="0" w:space="0" w:color="auto"/>
                                                                <w:bottom w:val="none" w:sz="0" w:space="0" w:color="auto"/>
                                                                <w:right w:val="none" w:sz="0" w:space="0" w:color="auto"/>
                                                              </w:divBdr>
                                                              <w:divsChild>
                                                                <w:div w:id="716899221">
                                                                  <w:marLeft w:val="0"/>
                                                                  <w:marRight w:val="0"/>
                                                                  <w:marTop w:val="0"/>
                                                                  <w:marBottom w:val="0"/>
                                                                  <w:divBdr>
                                                                    <w:top w:val="none" w:sz="0" w:space="0" w:color="auto"/>
                                                                    <w:left w:val="none" w:sz="0" w:space="0" w:color="auto"/>
                                                                    <w:bottom w:val="none" w:sz="0" w:space="0" w:color="auto"/>
                                                                    <w:right w:val="none" w:sz="0" w:space="0" w:color="auto"/>
                                                                  </w:divBdr>
                                                                  <w:divsChild>
                                                                    <w:div w:id="2031372784">
                                                                      <w:marLeft w:val="0"/>
                                                                      <w:marRight w:val="0"/>
                                                                      <w:marTop w:val="0"/>
                                                                      <w:marBottom w:val="0"/>
                                                                      <w:divBdr>
                                                                        <w:top w:val="none" w:sz="0" w:space="0" w:color="auto"/>
                                                                        <w:left w:val="none" w:sz="0" w:space="0" w:color="auto"/>
                                                                        <w:bottom w:val="none" w:sz="0" w:space="0" w:color="auto"/>
                                                                        <w:right w:val="none" w:sz="0" w:space="0" w:color="auto"/>
                                                                      </w:divBdr>
                                                                      <w:divsChild>
                                                                        <w:div w:id="1419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095994">
      <w:bodyDiv w:val="1"/>
      <w:marLeft w:val="0"/>
      <w:marRight w:val="0"/>
      <w:marTop w:val="0"/>
      <w:marBottom w:val="0"/>
      <w:divBdr>
        <w:top w:val="none" w:sz="0" w:space="0" w:color="auto"/>
        <w:left w:val="none" w:sz="0" w:space="0" w:color="auto"/>
        <w:bottom w:val="none" w:sz="0" w:space="0" w:color="auto"/>
        <w:right w:val="none" w:sz="0" w:space="0" w:color="auto"/>
      </w:divBdr>
      <w:divsChild>
        <w:div w:id="346181458">
          <w:marLeft w:val="0"/>
          <w:marRight w:val="0"/>
          <w:marTop w:val="0"/>
          <w:marBottom w:val="0"/>
          <w:divBdr>
            <w:top w:val="none" w:sz="0" w:space="0" w:color="auto"/>
            <w:left w:val="none" w:sz="0" w:space="0" w:color="auto"/>
            <w:bottom w:val="none" w:sz="0" w:space="0" w:color="auto"/>
            <w:right w:val="none" w:sz="0" w:space="0" w:color="auto"/>
          </w:divBdr>
          <w:divsChild>
            <w:div w:id="1824852286">
              <w:marLeft w:val="0"/>
              <w:marRight w:val="0"/>
              <w:marTop w:val="0"/>
              <w:marBottom w:val="0"/>
              <w:divBdr>
                <w:top w:val="none" w:sz="0" w:space="0" w:color="auto"/>
                <w:left w:val="none" w:sz="0" w:space="0" w:color="auto"/>
                <w:bottom w:val="none" w:sz="0" w:space="0" w:color="auto"/>
                <w:right w:val="none" w:sz="0" w:space="0" w:color="auto"/>
              </w:divBdr>
              <w:divsChild>
                <w:div w:id="417168469">
                  <w:marLeft w:val="0"/>
                  <w:marRight w:val="0"/>
                  <w:marTop w:val="0"/>
                  <w:marBottom w:val="0"/>
                  <w:divBdr>
                    <w:top w:val="none" w:sz="0" w:space="0" w:color="auto"/>
                    <w:left w:val="none" w:sz="0" w:space="0" w:color="auto"/>
                    <w:bottom w:val="none" w:sz="0" w:space="0" w:color="auto"/>
                    <w:right w:val="none" w:sz="0" w:space="0" w:color="auto"/>
                  </w:divBdr>
                  <w:divsChild>
                    <w:div w:id="1673799240">
                      <w:marLeft w:val="1"/>
                      <w:marRight w:val="1"/>
                      <w:marTop w:val="0"/>
                      <w:marBottom w:val="0"/>
                      <w:divBdr>
                        <w:top w:val="none" w:sz="0" w:space="0" w:color="auto"/>
                        <w:left w:val="none" w:sz="0" w:space="0" w:color="auto"/>
                        <w:bottom w:val="none" w:sz="0" w:space="0" w:color="auto"/>
                        <w:right w:val="none" w:sz="0" w:space="0" w:color="auto"/>
                      </w:divBdr>
                      <w:divsChild>
                        <w:div w:id="539049127">
                          <w:marLeft w:val="0"/>
                          <w:marRight w:val="0"/>
                          <w:marTop w:val="0"/>
                          <w:marBottom w:val="0"/>
                          <w:divBdr>
                            <w:top w:val="none" w:sz="0" w:space="0" w:color="auto"/>
                            <w:left w:val="none" w:sz="0" w:space="0" w:color="auto"/>
                            <w:bottom w:val="none" w:sz="0" w:space="0" w:color="auto"/>
                            <w:right w:val="none" w:sz="0" w:space="0" w:color="auto"/>
                          </w:divBdr>
                          <w:divsChild>
                            <w:div w:id="713382218">
                              <w:marLeft w:val="0"/>
                              <w:marRight w:val="0"/>
                              <w:marTop w:val="0"/>
                              <w:marBottom w:val="360"/>
                              <w:divBdr>
                                <w:top w:val="none" w:sz="0" w:space="0" w:color="auto"/>
                                <w:left w:val="none" w:sz="0" w:space="0" w:color="auto"/>
                                <w:bottom w:val="none" w:sz="0" w:space="0" w:color="auto"/>
                                <w:right w:val="none" w:sz="0" w:space="0" w:color="auto"/>
                              </w:divBdr>
                              <w:divsChild>
                                <w:div w:id="1835611598">
                                  <w:marLeft w:val="0"/>
                                  <w:marRight w:val="0"/>
                                  <w:marTop w:val="0"/>
                                  <w:marBottom w:val="0"/>
                                  <w:divBdr>
                                    <w:top w:val="none" w:sz="0" w:space="0" w:color="auto"/>
                                    <w:left w:val="none" w:sz="0" w:space="0" w:color="auto"/>
                                    <w:bottom w:val="none" w:sz="0" w:space="0" w:color="auto"/>
                                    <w:right w:val="none" w:sz="0" w:space="0" w:color="auto"/>
                                  </w:divBdr>
                                  <w:divsChild>
                                    <w:div w:id="572282402">
                                      <w:marLeft w:val="0"/>
                                      <w:marRight w:val="0"/>
                                      <w:marTop w:val="0"/>
                                      <w:marBottom w:val="0"/>
                                      <w:divBdr>
                                        <w:top w:val="none" w:sz="0" w:space="0" w:color="auto"/>
                                        <w:left w:val="none" w:sz="0" w:space="0" w:color="auto"/>
                                        <w:bottom w:val="none" w:sz="0" w:space="0" w:color="auto"/>
                                        <w:right w:val="none" w:sz="0" w:space="0" w:color="auto"/>
                                      </w:divBdr>
                                      <w:divsChild>
                                        <w:div w:id="1048530113">
                                          <w:marLeft w:val="0"/>
                                          <w:marRight w:val="0"/>
                                          <w:marTop w:val="0"/>
                                          <w:marBottom w:val="0"/>
                                          <w:divBdr>
                                            <w:top w:val="none" w:sz="0" w:space="0" w:color="auto"/>
                                            <w:left w:val="none" w:sz="0" w:space="0" w:color="auto"/>
                                            <w:bottom w:val="none" w:sz="0" w:space="0" w:color="auto"/>
                                            <w:right w:val="none" w:sz="0" w:space="0" w:color="auto"/>
                                          </w:divBdr>
                                          <w:divsChild>
                                            <w:div w:id="218328223">
                                              <w:marLeft w:val="0"/>
                                              <w:marRight w:val="0"/>
                                              <w:marTop w:val="0"/>
                                              <w:marBottom w:val="0"/>
                                              <w:divBdr>
                                                <w:top w:val="none" w:sz="0" w:space="0" w:color="auto"/>
                                                <w:left w:val="none" w:sz="0" w:space="0" w:color="auto"/>
                                                <w:bottom w:val="none" w:sz="0" w:space="0" w:color="auto"/>
                                                <w:right w:val="none" w:sz="0" w:space="0" w:color="auto"/>
                                              </w:divBdr>
                                              <w:divsChild>
                                                <w:div w:id="18383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931660">
      <w:bodyDiv w:val="1"/>
      <w:marLeft w:val="0"/>
      <w:marRight w:val="0"/>
      <w:marTop w:val="0"/>
      <w:marBottom w:val="0"/>
      <w:divBdr>
        <w:top w:val="none" w:sz="0" w:space="0" w:color="auto"/>
        <w:left w:val="none" w:sz="0" w:space="0" w:color="auto"/>
        <w:bottom w:val="none" w:sz="0" w:space="0" w:color="auto"/>
        <w:right w:val="none" w:sz="0" w:space="0" w:color="auto"/>
      </w:divBdr>
      <w:divsChild>
        <w:div w:id="1469784882">
          <w:marLeft w:val="0"/>
          <w:marRight w:val="0"/>
          <w:marTop w:val="0"/>
          <w:marBottom w:val="0"/>
          <w:divBdr>
            <w:top w:val="none" w:sz="0" w:space="0" w:color="auto"/>
            <w:left w:val="none" w:sz="0" w:space="0" w:color="auto"/>
            <w:bottom w:val="none" w:sz="0" w:space="0" w:color="auto"/>
            <w:right w:val="none" w:sz="0" w:space="0" w:color="auto"/>
          </w:divBdr>
          <w:divsChild>
            <w:div w:id="1329747422">
              <w:marLeft w:val="0"/>
              <w:marRight w:val="0"/>
              <w:marTop w:val="0"/>
              <w:marBottom w:val="0"/>
              <w:divBdr>
                <w:top w:val="none" w:sz="0" w:space="0" w:color="auto"/>
                <w:left w:val="none" w:sz="0" w:space="0" w:color="auto"/>
                <w:bottom w:val="none" w:sz="0" w:space="0" w:color="auto"/>
                <w:right w:val="none" w:sz="0" w:space="0" w:color="auto"/>
              </w:divBdr>
              <w:divsChild>
                <w:div w:id="1612320144">
                  <w:marLeft w:val="0"/>
                  <w:marRight w:val="0"/>
                  <w:marTop w:val="0"/>
                  <w:marBottom w:val="0"/>
                  <w:divBdr>
                    <w:top w:val="none" w:sz="0" w:space="0" w:color="auto"/>
                    <w:left w:val="none" w:sz="0" w:space="0" w:color="auto"/>
                    <w:bottom w:val="none" w:sz="0" w:space="0" w:color="auto"/>
                    <w:right w:val="none" w:sz="0" w:space="0" w:color="auto"/>
                  </w:divBdr>
                  <w:divsChild>
                    <w:div w:id="4795654">
                      <w:marLeft w:val="0"/>
                      <w:marRight w:val="0"/>
                      <w:marTop w:val="0"/>
                      <w:marBottom w:val="0"/>
                      <w:divBdr>
                        <w:top w:val="none" w:sz="0" w:space="0" w:color="auto"/>
                        <w:left w:val="none" w:sz="0" w:space="0" w:color="auto"/>
                        <w:bottom w:val="none" w:sz="0" w:space="0" w:color="auto"/>
                        <w:right w:val="none" w:sz="0" w:space="0" w:color="auto"/>
                      </w:divBdr>
                      <w:divsChild>
                        <w:div w:id="1013803038">
                          <w:marLeft w:val="0"/>
                          <w:marRight w:val="0"/>
                          <w:marTop w:val="0"/>
                          <w:marBottom w:val="0"/>
                          <w:divBdr>
                            <w:top w:val="none" w:sz="0" w:space="0" w:color="auto"/>
                            <w:left w:val="none" w:sz="0" w:space="0" w:color="auto"/>
                            <w:bottom w:val="none" w:sz="0" w:space="0" w:color="auto"/>
                            <w:right w:val="none" w:sz="0" w:space="0" w:color="auto"/>
                          </w:divBdr>
                          <w:divsChild>
                            <w:div w:id="1564025313">
                              <w:marLeft w:val="0"/>
                              <w:marRight w:val="0"/>
                              <w:marTop w:val="0"/>
                              <w:marBottom w:val="0"/>
                              <w:divBdr>
                                <w:top w:val="none" w:sz="0" w:space="0" w:color="auto"/>
                                <w:left w:val="none" w:sz="0" w:space="0" w:color="auto"/>
                                <w:bottom w:val="none" w:sz="0" w:space="0" w:color="auto"/>
                                <w:right w:val="none" w:sz="0" w:space="0" w:color="auto"/>
                              </w:divBdr>
                              <w:divsChild>
                                <w:div w:id="1584296473">
                                  <w:marLeft w:val="0"/>
                                  <w:marRight w:val="0"/>
                                  <w:marTop w:val="0"/>
                                  <w:marBottom w:val="0"/>
                                  <w:divBdr>
                                    <w:top w:val="none" w:sz="0" w:space="0" w:color="auto"/>
                                    <w:left w:val="none" w:sz="0" w:space="0" w:color="auto"/>
                                    <w:bottom w:val="none" w:sz="0" w:space="0" w:color="auto"/>
                                    <w:right w:val="none" w:sz="0" w:space="0" w:color="auto"/>
                                  </w:divBdr>
                                  <w:divsChild>
                                    <w:div w:id="1797988383">
                                      <w:marLeft w:val="0"/>
                                      <w:marRight w:val="0"/>
                                      <w:marTop w:val="0"/>
                                      <w:marBottom w:val="0"/>
                                      <w:divBdr>
                                        <w:top w:val="none" w:sz="0" w:space="0" w:color="auto"/>
                                        <w:left w:val="none" w:sz="0" w:space="0" w:color="auto"/>
                                        <w:bottom w:val="none" w:sz="0" w:space="0" w:color="auto"/>
                                        <w:right w:val="none" w:sz="0" w:space="0" w:color="auto"/>
                                      </w:divBdr>
                                      <w:divsChild>
                                        <w:div w:id="883369245">
                                          <w:marLeft w:val="0"/>
                                          <w:marRight w:val="0"/>
                                          <w:marTop w:val="0"/>
                                          <w:marBottom w:val="0"/>
                                          <w:divBdr>
                                            <w:top w:val="none" w:sz="0" w:space="0" w:color="auto"/>
                                            <w:left w:val="none" w:sz="0" w:space="0" w:color="auto"/>
                                            <w:bottom w:val="none" w:sz="0" w:space="0" w:color="auto"/>
                                            <w:right w:val="none" w:sz="0" w:space="0" w:color="auto"/>
                                          </w:divBdr>
                                          <w:divsChild>
                                            <w:div w:id="623074031">
                                              <w:marLeft w:val="0"/>
                                              <w:marRight w:val="0"/>
                                              <w:marTop w:val="0"/>
                                              <w:marBottom w:val="0"/>
                                              <w:divBdr>
                                                <w:top w:val="none" w:sz="0" w:space="0" w:color="auto"/>
                                                <w:left w:val="none" w:sz="0" w:space="0" w:color="auto"/>
                                                <w:bottom w:val="none" w:sz="0" w:space="0" w:color="auto"/>
                                                <w:right w:val="none" w:sz="0" w:space="0" w:color="auto"/>
                                              </w:divBdr>
                                              <w:divsChild>
                                                <w:div w:id="143937616">
                                                  <w:marLeft w:val="0"/>
                                                  <w:marRight w:val="0"/>
                                                  <w:marTop w:val="0"/>
                                                  <w:marBottom w:val="0"/>
                                                  <w:divBdr>
                                                    <w:top w:val="none" w:sz="0" w:space="0" w:color="auto"/>
                                                    <w:left w:val="none" w:sz="0" w:space="0" w:color="auto"/>
                                                    <w:bottom w:val="none" w:sz="0" w:space="0" w:color="auto"/>
                                                    <w:right w:val="none" w:sz="0" w:space="0" w:color="auto"/>
                                                  </w:divBdr>
                                                  <w:divsChild>
                                                    <w:div w:id="294918079">
                                                      <w:marLeft w:val="0"/>
                                                      <w:marRight w:val="0"/>
                                                      <w:marTop w:val="0"/>
                                                      <w:marBottom w:val="0"/>
                                                      <w:divBdr>
                                                        <w:top w:val="none" w:sz="0" w:space="0" w:color="auto"/>
                                                        <w:left w:val="none" w:sz="0" w:space="0" w:color="auto"/>
                                                        <w:bottom w:val="none" w:sz="0" w:space="0" w:color="auto"/>
                                                        <w:right w:val="none" w:sz="0" w:space="0" w:color="auto"/>
                                                      </w:divBdr>
                                                      <w:divsChild>
                                                        <w:div w:id="704717607">
                                                          <w:marLeft w:val="0"/>
                                                          <w:marRight w:val="0"/>
                                                          <w:marTop w:val="0"/>
                                                          <w:marBottom w:val="0"/>
                                                          <w:divBdr>
                                                            <w:top w:val="none" w:sz="0" w:space="0" w:color="auto"/>
                                                            <w:left w:val="none" w:sz="0" w:space="0" w:color="auto"/>
                                                            <w:bottom w:val="none" w:sz="0" w:space="0" w:color="auto"/>
                                                            <w:right w:val="none" w:sz="0" w:space="0" w:color="auto"/>
                                                          </w:divBdr>
                                                          <w:divsChild>
                                                            <w:div w:id="1399867014">
                                                              <w:marLeft w:val="0"/>
                                                              <w:marRight w:val="0"/>
                                                              <w:marTop w:val="0"/>
                                                              <w:marBottom w:val="0"/>
                                                              <w:divBdr>
                                                                <w:top w:val="none" w:sz="0" w:space="0" w:color="auto"/>
                                                                <w:left w:val="none" w:sz="0" w:space="0" w:color="auto"/>
                                                                <w:bottom w:val="none" w:sz="0" w:space="0" w:color="auto"/>
                                                                <w:right w:val="none" w:sz="0" w:space="0" w:color="auto"/>
                                                              </w:divBdr>
                                                              <w:divsChild>
                                                                <w:div w:id="1808811562">
                                                                  <w:marLeft w:val="0"/>
                                                                  <w:marRight w:val="0"/>
                                                                  <w:marTop w:val="0"/>
                                                                  <w:marBottom w:val="0"/>
                                                                  <w:divBdr>
                                                                    <w:top w:val="none" w:sz="0" w:space="0" w:color="auto"/>
                                                                    <w:left w:val="none" w:sz="0" w:space="0" w:color="auto"/>
                                                                    <w:bottom w:val="none" w:sz="0" w:space="0" w:color="auto"/>
                                                                    <w:right w:val="none" w:sz="0" w:space="0" w:color="auto"/>
                                                                  </w:divBdr>
                                                                  <w:divsChild>
                                                                    <w:div w:id="777527705">
                                                                      <w:marLeft w:val="0"/>
                                                                      <w:marRight w:val="0"/>
                                                                      <w:marTop w:val="0"/>
                                                                      <w:marBottom w:val="0"/>
                                                                      <w:divBdr>
                                                                        <w:top w:val="none" w:sz="0" w:space="0" w:color="auto"/>
                                                                        <w:left w:val="none" w:sz="0" w:space="0" w:color="auto"/>
                                                                        <w:bottom w:val="none" w:sz="0" w:space="0" w:color="auto"/>
                                                                        <w:right w:val="none" w:sz="0" w:space="0" w:color="auto"/>
                                                                      </w:divBdr>
                                                                      <w:divsChild>
                                                                        <w:div w:id="1156452848">
                                                                          <w:marLeft w:val="0"/>
                                                                          <w:marRight w:val="0"/>
                                                                          <w:marTop w:val="0"/>
                                                                          <w:marBottom w:val="0"/>
                                                                          <w:divBdr>
                                                                            <w:top w:val="none" w:sz="0" w:space="0" w:color="auto"/>
                                                                            <w:left w:val="none" w:sz="0" w:space="0" w:color="auto"/>
                                                                            <w:bottom w:val="none" w:sz="0" w:space="0" w:color="auto"/>
                                                                            <w:right w:val="none" w:sz="0" w:space="0" w:color="auto"/>
                                                                          </w:divBdr>
                                                                          <w:divsChild>
                                                                            <w:div w:id="987828831">
                                                                              <w:marLeft w:val="0"/>
                                                                              <w:marRight w:val="0"/>
                                                                              <w:marTop w:val="0"/>
                                                                              <w:marBottom w:val="0"/>
                                                                              <w:divBdr>
                                                                                <w:top w:val="none" w:sz="0" w:space="0" w:color="auto"/>
                                                                                <w:left w:val="none" w:sz="0" w:space="0" w:color="auto"/>
                                                                                <w:bottom w:val="none" w:sz="0" w:space="0" w:color="auto"/>
                                                                                <w:right w:val="none" w:sz="0" w:space="0" w:color="auto"/>
                                                                              </w:divBdr>
                                                                              <w:divsChild>
                                                                                <w:div w:id="9572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990705">
      <w:bodyDiv w:val="1"/>
      <w:marLeft w:val="0"/>
      <w:marRight w:val="0"/>
      <w:marTop w:val="0"/>
      <w:marBottom w:val="0"/>
      <w:divBdr>
        <w:top w:val="none" w:sz="0" w:space="0" w:color="auto"/>
        <w:left w:val="none" w:sz="0" w:space="0" w:color="auto"/>
        <w:bottom w:val="none" w:sz="0" w:space="0" w:color="auto"/>
        <w:right w:val="none" w:sz="0" w:space="0" w:color="auto"/>
      </w:divBdr>
      <w:divsChild>
        <w:div w:id="1594047187">
          <w:marLeft w:val="0"/>
          <w:marRight w:val="0"/>
          <w:marTop w:val="0"/>
          <w:marBottom w:val="0"/>
          <w:divBdr>
            <w:top w:val="none" w:sz="0" w:space="0" w:color="auto"/>
            <w:left w:val="none" w:sz="0" w:space="0" w:color="auto"/>
            <w:bottom w:val="none" w:sz="0" w:space="0" w:color="auto"/>
            <w:right w:val="none" w:sz="0" w:space="0" w:color="auto"/>
          </w:divBdr>
          <w:divsChild>
            <w:div w:id="798843636">
              <w:marLeft w:val="0"/>
              <w:marRight w:val="0"/>
              <w:marTop w:val="0"/>
              <w:marBottom w:val="0"/>
              <w:divBdr>
                <w:top w:val="none" w:sz="0" w:space="0" w:color="auto"/>
                <w:left w:val="none" w:sz="0" w:space="0" w:color="auto"/>
                <w:bottom w:val="none" w:sz="0" w:space="0" w:color="auto"/>
                <w:right w:val="none" w:sz="0" w:space="0" w:color="auto"/>
              </w:divBdr>
              <w:divsChild>
                <w:div w:id="958534265">
                  <w:marLeft w:val="0"/>
                  <w:marRight w:val="0"/>
                  <w:marTop w:val="0"/>
                  <w:marBottom w:val="0"/>
                  <w:divBdr>
                    <w:top w:val="none" w:sz="0" w:space="0" w:color="auto"/>
                    <w:left w:val="none" w:sz="0" w:space="0" w:color="auto"/>
                    <w:bottom w:val="none" w:sz="0" w:space="0" w:color="auto"/>
                    <w:right w:val="none" w:sz="0" w:space="0" w:color="auto"/>
                  </w:divBdr>
                  <w:divsChild>
                    <w:div w:id="152336971">
                      <w:marLeft w:val="1"/>
                      <w:marRight w:val="1"/>
                      <w:marTop w:val="0"/>
                      <w:marBottom w:val="0"/>
                      <w:divBdr>
                        <w:top w:val="none" w:sz="0" w:space="0" w:color="auto"/>
                        <w:left w:val="none" w:sz="0" w:space="0" w:color="auto"/>
                        <w:bottom w:val="none" w:sz="0" w:space="0" w:color="auto"/>
                        <w:right w:val="none" w:sz="0" w:space="0" w:color="auto"/>
                      </w:divBdr>
                      <w:divsChild>
                        <w:div w:id="1150751442">
                          <w:marLeft w:val="0"/>
                          <w:marRight w:val="0"/>
                          <w:marTop w:val="0"/>
                          <w:marBottom w:val="0"/>
                          <w:divBdr>
                            <w:top w:val="none" w:sz="0" w:space="0" w:color="auto"/>
                            <w:left w:val="none" w:sz="0" w:space="0" w:color="auto"/>
                            <w:bottom w:val="none" w:sz="0" w:space="0" w:color="auto"/>
                            <w:right w:val="none" w:sz="0" w:space="0" w:color="auto"/>
                          </w:divBdr>
                          <w:divsChild>
                            <w:div w:id="3747248">
                              <w:marLeft w:val="0"/>
                              <w:marRight w:val="0"/>
                              <w:marTop w:val="0"/>
                              <w:marBottom w:val="360"/>
                              <w:divBdr>
                                <w:top w:val="none" w:sz="0" w:space="0" w:color="auto"/>
                                <w:left w:val="none" w:sz="0" w:space="0" w:color="auto"/>
                                <w:bottom w:val="none" w:sz="0" w:space="0" w:color="auto"/>
                                <w:right w:val="none" w:sz="0" w:space="0" w:color="auto"/>
                              </w:divBdr>
                              <w:divsChild>
                                <w:div w:id="1371149694">
                                  <w:marLeft w:val="0"/>
                                  <w:marRight w:val="0"/>
                                  <w:marTop w:val="0"/>
                                  <w:marBottom w:val="0"/>
                                  <w:divBdr>
                                    <w:top w:val="none" w:sz="0" w:space="0" w:color="auto"/>
                                    <w:left w:val="none" w:sz="0" w:space="0" w:color="auto"/>
                                    <w:bottom w:val="none" w:sz="0" w:space="0" w:color="auto"/>
                                    <w:right w:val="none" w:sz="0" w:space="0" w:color="auto"/>
                                  </w:divBdr>
                                  <w:divsChild>
                                    <w:div w:id="255796882">
                                      <w:marLeft w:val="0"/>
                                      <w:marRight w:val="0"/>
                                      <w:marTop w:val="0"/>
                                      <w:marBottom w:val="0"/>
                                      <w:divBdr>
                                        <w:top w:val="none" w:sz="0" w:space="0" w:color="auto"/>
                                        <w:left w:val="none" w:sz="0" w:space="0" w:color="auto"/>
                                        <w:bottom w:val="none" w:sz="0" w:space="0" w:color="auto"/>
                                        <w:right w:val="none" w:sz="0" w:space="0" w:color="auto"/>
                                      </w:divBdr>
                                      <w:divsChild>
                                        <w:div w:id="765005735">
                                          <w:marLeft w:val="0"/>
                                          <w:marRight w:val="0"/>
                                          <w:marTop w:val="0"/>
                                          <w:marBottom w:val="0"/>
                                          <w:divBdr>
                                            <w:top w:val="none" w:sz="0" w:space="0" w:color="auto"/>
                                            <w:left w:val="none" w:sz="0" w:space="0" w:color="auto"/>
                                            <w:bottom w:val="none" w:sz="0" w:space="0" w:color="auto"/>
                                            <w:right w:val="none" w:sz="0" w:space="0" w:color="auto"/>
                                          </w:divBdr>
                                          <w:divsChild>
                                            <w:div w:id="732704926">
                                              <w:marLeft w:val="0"/>
                                              <w:marRight w:val="0"/>
                                              <w:marTop w:val="0"/>
                                              <w:marBottom w:val="0"/>
                                              <w:divBdr>
                                                <w:top w:val="none" w:sz="0" w:space="0" w:color="auto"/>
                                                <w:left w:val="none" w:sz="0" w:space="0" w:color="auto"/>
                                                <w:bottom w:val="none" w:sz="0" w:space="0" w:color="auto"/>
                                                <w:right w:val="none" w:sz="0" w:space="0" w:color="auto"/>
                                              </w:divBdr>
                                              <w:divsChild>
                                                <w:div w:id="7616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8445050">
      <w:bodyDiv w:val="1"/>
      <w:marLeft w:val="0"/>
      <w:marRight w:val="0"/>
      <w:marTop w:val="0"/>
      <w:marBottom w:val="0"/>
      <w:divBdr>
        <w:top w:val="none" w:sz="0" w:space="0" w:color="auto"/>
        <w:left w:val="none" w:sz="0" w:space="0" w:color="auto"/>
        <w:bottom w:val="none" w:sz="0" w:space="0" w:color="auto"/>
        <w:right w:val="none" w:sz="0" w:space="0" w:color="auto"/>
      </w:divBdr>
      <w:divsChild>
        <w:div w:id="1192763936">
          <w:marLeft w:val="0"/>
          <w:marRight w:val="0"/>
          <w:marTop w:val="0"/>
          <w:marBottom w:val="0"/>
          <w:divBdr>
            <w:top w:val="none" w:sz="0" w:space="0" w:color="auto"/>
            <w:left w:val="none" w:sz="0" w:space="0" w:color="auto"/>
            <w:bottom w:val="none" w:sz="0" w:space="0" w:color="auto"/>
            <w:right w:val="none" w:sz="0" w:space="0" w:color="auto"/>
          </w:divBdr>
          <w:divsChild>
            <w:div w:id="984116207">
              <w:marLeft w:val="0"/>
              <w:marRight w:val="0"/>
              <w:marTop w:val="0"/>
              <w:marBottom w:val="0"/>
              <w:divBdr>
                <w:top w:val="none" w:sz="0" w:space="0" w:color="auto"/>
                <w:left w:val="none" w:sz="0" w:space="0" w:color="auto"/>
                <w:bottom w:val="none" w:sz="0" w:space="0" w:color="auto"/>
                <w:right w:val="none" w:sz="0" w:space="0" w:color="auto"/>
              </w:divBdr>
              <w:divsChild>
                <w:div w:id="169415443">
                  <w:marLeft w:val="0"/>
                  <w:marRight w:val="0"/>
                  <w:marTop w:val="0"/>
                  <w:marBottom w:val="0"/>
                  <w:divBdr>
                    <w:top w:val="none" w:sz="0" w:space="0" w:color="auto"/>
                    <w:left w:val="none" w:sz="0" w:space="0" w:color="auto"/>
                    <w:bottom w:val="none" w:sz="0" w:space="0" w:color="auto"/>
                    <w:right w:val="none" w:sz="0" w:space="0" w:color="auto"/>
                  </w:divBdr>
                  <w:divsChild>
                    <w:div w:id="1210843536">
                      <w:marLeft w:val="0"/>
                      <w:marRight w:val="0"/>
                      <w:marTop w:val="0"/>
                      <w:marBottom w:val="0"/>
                      <w:divBdr>
                        <w:top w:val="none" w:sz="0" w:space="0" w:color="auto"/>
                        <w:left w:val="none" w:sz="0" w:space="0" w:color="auto"/>
                        <w:bottom w:val="none" w:sz="0" w:space="0" w:color="auto"/>
                        <w:right w:val="none" w:sz="0" w:space="0" w:color="auto"/>
                      </w:divBdr>
                      <w:divsChild>
                        <w:div w:id="1925913997">
                          <w:marLeft w:val="0"/>
                          <w:marRight w:val="0"/>
                          <w:marTop w:val="0"/>
                          <w:marBottom w:val="0"/>
                          <w:divBdr>
                            <w:top w:val="none" w:sz="0" w:space="0" w:color="auto"/>
                            <w:left w:val="none" w:sz="0" w:space="0" w:color="auto"/>
                            <w:bottom w:val="none" w:sz="0" w:space="0" w:color="auto"/>
                            <w:right w:val="none" w:sz="0" w:space="0" w:color="auto"/>
                          </w:divBdr>
                          <w:divsChild>
                            <w:div w:id="862671727">
                              <w:marLeft w:val="0"/>
                              <w:marRight w:val="0"/>
                              <w:marTop w:val="0"/>
                              <w:marBottom w:val="0"/>
                              <w:divBdr>
                                <w:top w:val="none" w:sz="0" w:space="0" w:color="auto"/>
                                <w:left w:val="none" w:sz="0" w:space="0" w:color="auto"/>
                                <w:bottom w:val="none" w:sz="0" w:space="0" w:color="auto"/>
                                <w:right w:val="none" w:sz="0" w:space="0" w:color="auto"/>
                              </w:divBdr>
                              <w:divsChild>
                                <w:div w:id="1886941800">
                                  <w:marLeft w:val="0"/>
                                  <w:marRight w:val="0"/>
                                  <w:marTop w:val="0"/>
                                  <w:marBottom w:val="0"/>
                                  <w:divBdr>
                                    <w:top w:val="none" w:sz="0" w:space="0" w:color="auto"/>
                                    <w:left w:val="none" w:sz="0" w:space="0" w:color="auto"/>
                                    <w:bottom w:val="none" w:sz="0" w:space="0" w:color="auto"/>
                                    <w:right w:val="none" w:sz="0" w:space="0" w:color="auto"/>
                                  </w:divBdr>
                                  <w:divsChild>
                                    <w:div w:id="187570127">
                                      <w:marLeft w:val="0"/>
                                      <w:marRight w:val="0"/>
                                      <w:marTop w:val="0"/>
                                      <w:marBottom w:val="0"/>
                                      <w:divBdr>
                                        <w:top w:val="none" w:sz="0" w:space="0" w:color="auto"/>
                                        <w:left w:val="none" w:sz="0" w:space="0" w:color="auto"/>
                                        <w:bottom w:val="none" w:sz="0" w:space="0" w:color="auto"/>
                                        <w:right w:val="none" w:sz="0" w:space="0" w:color="auto"/>
                                      </w:divBdr>
                                      <w:divsChild>
                                        <w:div w:id="945817387">
                                          <w:marLeft w:val="0"/>
                                          <w:marRight w:val="0"/>
                                          <w:marTop w:val="0"/>
                                          <w:marBottom w:val="0"/>
                                          <w:divBdr>
                                            <w:top w:val="none" w:sz="0" w:space="0" w:color="auto"/>
                                            <w:left w:val="none" w:sz="0" w:space="0" w:color="auto"/>
                                            <w:bottom w:val="none" w:sz="0" w:space="0" w:color="auto"/>
                                            <w:right w:val="none" w:sz="0" w:space="0" w:color="auto"/>
                                          </w:divBdr>
                                          <w:divsChild>
                                            <w:div w:id="321276367">
                                              <w:marLeft w:val="0"/>
                                              <w:marRight w:val="0"/>
                                              <w:marTop w:val="0"/>
                                              <w:marBottom w:val="0"/>
                                              <w:divBdr>
                                                <w:top w:val="none" w:sz="0" w:space="0" w:color="auto"/>
                                                <w:left w:val="none" w:sz="0" w:space="0" w:color="auto"/>
                                                <w:bottom w:val="none" w:sz="0" w:space="0" w:color="auto"/>
                                                <w:right w:val="none" w:sz="0" w:space="0" w:color="auto"/>
                                              </w:divBdr>
                                              <w:divsChild>
                                                <w:div w:id="1322851701">
                                                  <w:marLeft w:val="0"/>
                                                  <w:marRight w:val="0"/>
                                                  <w:marTop w:val="0"/>
                                                  <w:marBottom w:val="0"/>
                                                  <w:divBdr>
                                                    <w:top w:val="none" w:sz="0" w:space="0" w:color="auto"/>
                                                    <w:left w:val="none" w:sz="0" w:space="0" w:color="auto"/>
                                                    <w:bottom w:val="none" w:sz="0" w:space="0" w:color="auto"/>
                                                    <w:right w:val="none" w:sz="0" w:space="0" w:color="auto"/>
                                                  </w:divBdr>
                                                  <w:divsChild>
                                                    <w:div w:id="1666785694">
                                                      <w:marLeft w:val="0"/>
                                                      <w:marRight w:val="0"/>
                                                      <w:marTop w:val="0"/>
                                                      <w:marBottom w:val="0"/>
                                                      <w:divBdr>
                                                        <w:top w:val="none" w:sz="0" w:space="0" w:color="auto"/>
                                                        <w:left w:val="none" w:sz="0" w:space="0" w:color="auto"/>
                                                        <w:bottom w:val="none" w:sz="0" w:space="0" w:color="auto"/>
                                                        <w:right w:val="none" w:sz="0" w:space="0" w:color="auto"/>
                                                      </w:divBdr>
                                                      <w:divsChild>
                                                        <w:div w:id="1808084511">
                                                          <w:marLeft w:val="0"/>
                                                          <w:marRight w:val="0"/>
                                                          <w:marTop w:val="0"/>
                                                          <w:marBottom w:val="0"/>
                                                          <w:divBdr>
                                                            <w:top w:val="none" w:sz="0" w:space="0" w:color="auto"/>
                                                            <w:left w:val="none" w:sz="0" w:space="0" w:color="auto"/>
                                                            <w:bottom w:val="none" w:sz="0" w:space="0" w:color="auto"/>
                                                            <w:right w:val="none" w:sz="0" w:space="0" w:color="auto"/>
                                                          </w:divBdr>
                                                          <w:divsChild>
                                                            <w:div w:id="845632500">
                                                              <w:marLeft w:val="0"/>
                                                              <w:marRight w:val="0"/>
                                                              <w:marTop w:val="0"/>
                                                              <w:marBottom w:val="0"/>
                                                              <w:divBdr>
                                                                <w:top w:val="none" w:sz="0" w:space="0" w:color="auto"/>
                                                                <w:left w:val="none" w:sz="0" w:space="0" w:color="auto"/>
                                                                <w:bottom w:val="none" w:sz="0" w:space="0" w:color="auto"/>
                                                                <w:right w:val="none" w:sz="0" w:space="0" w:color="auto"/>
                                                              </w:divBdr>
                                                              <w:divsChild>
                                                                <w:div w:id="1404794789">
                                                                  <w:marLeft w:val="0"/>
                                                                  <w:marRight w:val="0"/>
                                                                  <w:marTop w:val="0"/>
                                                                  <w:marBottom w:val="0"/>
                                                                  <w:divBdr>
                                                                    <w:top w:val="none" w:sz="0" w:space="0" w:color="auto"/>
                                                                    <w:left w:val="none" w:sz="0" w:space="0" w:color="auto"/>
                                                                    <w:bottom w:val="none" w:sz="0" w:space="0" w:color="auto"/>
                                                                    <w:right w:val="none" w:sz="0" w:space="0" w:color="auto"/>
                                                                  </w:divBdr>
                                                                  <w:divsChild>
                                                                    <w:div w:id="1527601737">
                                                                      <w:marLeft w:val="0"/>
                                                                      <w:marRight w:val="0"/>
                                                                      <w:marTop w:val="0"/>
                                                                      <w:marBottom w:val="0"/>
                                                                      <w:divBdr>
                                                                        <w:top w:val="none" w:sz="0" w:space="0" w:color="auto"/>
                                                                        <w:left w:val="none" w:sz="0" w:space="0" w:color="auto"/>
                                                                        <w:bottom w:val="none" w:sz="0" w:space="0" w:color="auto"/>
                                                                        <w:right w:val="none" w:sz="0" w:space="0" w:color="auto"/>
                                                                      </w:divBdr>
                                                                      <w:divsChild>
                                                                        <w:div w:id="1206720623">
                                                                          <w:marLeft w:val="0"/>
                                                                          <w:marRight w:val="0"/>
                                                                          <w:marTop w:val="0"/>
                                                                          <w:marBottom w:val="0"/>
                                                                          <w:divBdr>
                                                                            <w:top w:val="none" w:sz="0" w:space="0" w:color="auto"/>
                                                                            <w:left w:val="none" w:sz="0" w:space="0" w:color="auto"/>
                                                                            <w:bottom w:val="none" w:sz="0" w:space="0" w:color="auto"/>
                                                                            <w:right w:val="none" w:sz="0" w:space="0" w:color="auto"/>
                                                                          </w:divBdr>
                                                                          <w:divsChild>
                                                                            <w:div w:id="1723022806">
                                                                              <w:marLeft w:val="0"/>
                                                                              <w:marRight w:val="0"/>
                                                                              <w:marTop w:val="0"/>
                                                                              <w:marBottom w:val="0"/>
                                                                              <w:divBdr>
                                                                                <w:top w:val="none" w:sz="0" w:space="0" w:color="auto"/>
                                                                                <w:left w:val="none" w:sz="0" w:space="0" w:color="auto"/>
                                                                                <w:bottom w:val="none" w:sz="0" w:space="0" w:color="auto"/>
                                                                                <w:right w:val="none" w:sz="0" w:space="0" w:color="auto"/>
                                                                              </w:divBdr>
                                                                              <w:divsChild>
                                                                                <w:div w:id="1950892916">
                                                                                  <w:marLeft w:val="0"/>
                                                                                  <w:marRight w:val="0"/>
                                                                                  <w:marTop w:val="0"/>
                                                                                  <w:marBottom w:val="0"/>
                                                                                  <w:divBdr>
                                                                                    <w:top w:val="none" w:sz="0" w:space="0" w:color="auto"/>
                                                                                    <w:left w:val="none" w:sz="0" w:space="0" w:color="auto"/>
                                                                                    <w:bottom w:val="none" w:sz="0" w:space="0" w:color="auto"/>
                                                                                    <w:right w:val="none" w:sz="0" w:space="0" w:color="auto"/>
                                                                                  </w:divBdr>
                                                                                  <w:divsChild>
                                                                                    <w:div w:id="10198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516770">
      <w:bodyDiv w:val="1"/>
      <w:marLeft w:val="0"/>
      <w:marRight w:val="0"/>
      <w:marTop w:val="0"/>
      <w:marBottom w:val="0"/>
      <w:divBdr>
        <w:top w:val="none" w:sz="0" w:space="0" w:color="auto"/>
        <w:left w:val="none" w:sz="0" w:space="0" w:color="auto"/>
        <w:bottom w:val="none" w:sz="0" w:space="0" w:color="auto"/>
        <w:right w:val="none" w:sz="0" w:space="0" w:color="auto"/>
      </w:divBdr>
      <w:divsChild>
        <w:div w:id="647638602">
          <w:marLeft w:val="0"/>
          <w:marRight w:val="0"/>
          <w:marTop w:val="0"/>
          <w:marBottom w:val="0"/>
          <w:divBdr>
            <w:top w:val="none" w:sz="0" w:space="0" w:color="auto"/>
            <w:left w:val="none" w:sz="0" w:space="0" w:color="auto"/>
            <w:bottom w:val="none" w:sz="0" w:space="0" w:color="auto"/>
            <w:right w:val="none" w:sz="0" w:space="0" w:color="auto"/>
          </w:divBdr>
          <w:divsChild>
            <w:div w:id="1386947547">
              <w:marLeft w:val="0"/>
              <w:marRight w:val="0"/>
              <w:marTop w:val="0"/>
              <w:marBottom w:val="0"/>
              <w:divBdr>
                <w:top w:val="none" w:sz="0" w:space="0" w:color="auto"/>
                <w:left w:val="none" w:sz="0" w:space="0" w:color="auto"/>
                <w:bottom w:val="none" w:sz="0" w:space="0" w:color="auto"/>
                <w:right w:val="none" w:sz="0" w:space="0" w:color="auto"/>
              </w:divBdr>
              <w:divsChild>
                <w:div w:id="1015352009">
                  <w:marLeft w:val="0"/>
                  <w:marRight w:val="0"/>
                  <w:marTop w:val="0"/>
                  <w:marBottom w:val="0"/>
                  <w:divBdr>
                    <w:top w:val="none" w:sz="0" w:space="0" w:color="auto"/>
                    <w:left w:val="none" w:sz="0" w:space="0" w:color="auto"/>
                    <w:bottom w:val="none" w:sz="0" w:space="0" w:color="auto"/>
                    <w:right w:val="none" w:sz="0" w:space="0" w:color="auto"/>
                  </w:divBdr>
                  <w:divsChild>
                    <w:div w:id="1643776929">
                      <w:marLeft w:val="0"/>
                      <w:marRight w:val="0"/>
                      <w:marTop w:val="0"/>
                      <w:marBottom w:val="0"/>
                      <w:divBdr>
                        <w:top w:val="none" w:sz="0" w:space="0" w:color="auto"/>
                        <w:left w:val="none" w:sz="0" w:space="0" w:color="auto"/>
                        <w:bottom w:val="none" w:sz="0" w:space="0" w:color="auto"/>
                        <w:right w:val="none" w:sz="0" w:space="0" w:color="auto"/>
                      </w:divBdr>
                      <w:divsChild>
                        <w:div w:id="1937864141">
                          <w:marLeft w:val="0"/>
                          <w:marRight w:val="0"/>
                          <w:marTop w:val="0"/>
                          <w:marBottom w:val="0"/>
                          <w:divBdr>
                            <w:top w:val="none" w:sz="0" w:space="0" w:color="auto"/>
                            <w:left w:val="none" w:sz="0" w:space="0" w:color="auto"/>
                            <w:bottom w:val="none" w:sz="0" w:space="0" w:color="auto"/>
                            <w:right w:val="none" w:sz="0" w:space="0" w:color="auto"/>
                          </w:divBdr>
                          <w:divsChild>
                            <w:div w:id="434909340">
                              <w:marLeft w:val="0"/>
                              <w:marRight w:val="0"/>
                              <w:marTop w:val="0"/>
                              <w:marBottom w:val="0"/>
                              <w:divBdr>
                                <w:top w:val="none" w:sz="0" w:space="0" w:color="auto"/>
                                <w:left w:val="none" w:sz="0" w:space="0" w:color="auto"/>
                                <w:bottom w:val="none" w:sz="0" w:space="0" w:color="auto"/>
                                <w:right w:val="none" w:sz="0" w:space="0" w:color="auto"/>
                              </w:divBdr>
                              <w:divsChild>
                                <w:div w:id="146361203">
                                  <w:marLeft w:val="0"/>
                                  <w:marRight w:val="0"/>
                                  <w:marTop w:val="0"/>
                                  <w:marBottom w:val="0"/>
                                  <w:divBdr>
                                    <w:top w:val="none" w:sz="0" w:space="0" w:color="auto"/>
                                    <w:left w:val="none" w:sz="0" w:space="0" w:color="auto"/>
                                    <w:bottom w:val="none" w:sz="0" w:space="0" w:color="auto"/>
                                    <w:right w:val="none" w:sz="0" w:space="0" w:color="auto"/>
                                  </w:divBdr>
                                  <w:divsChild>
                                    <w:div w:id="1272518818">
                                      <w:marLeft w:val="0"/>
                                      <w:marRight w:val="0"/>
                                      <w:marTop w:val="0"/>
                                      <w:marBottom w:val="0"/>
                                      <w:divBdr>
                                        <w:top w:val="none" w:sz="0" w:space="0" w:color="auto"/>
                                        <w:left w:val="none" w:sz="0" w:space="0" w:color="auto"/>
                                        <w:bottom w:val="none" w:sz="0" w:space="0" w:color="auto"/>
                                        <w:right w:val="none" w:sz="0" w:space="0" w:color="auto"/>
                                      </w:divBdr>
                                      <w:divsChild>
                                        <w:div w:id="1864244188">
                                          <w:marLeft w:val="0"/>
                                          <w:marRight w:val="0"/>
                                          <w:marTop w:val="0"/>
                                          <w:marBottom w:val="0"/>
                                          <w:divBdr>
                                            <w:top w:val="none" w:sz="0" w:space="0" w:color="auto"/>
                                            <w:left w:val="none" w:sz="0" w:space="0" w:color="auto"/>
                                            <w:bottom w:val="none" w:sz="0" w:space="0" w:color="auto"/>
                                            <w:right w:val="none" w:sz="0" w:space="0" w:color="auto"/>
                                          </w:divBdr>
                                          <w:divsChild>
                                            <w:div w:id="2101175316">
                                              <w:marLeft w:val="0"/>
                                              <w:marRight w:val="0"/>
                                              <w:marTop w:val="0"/>
                                              <w:marBottom w:val="0"/>
                                              <w:divBdr>
                                                <w:top w:val="none" w:sz="0" w:space="0" w:color="auto"/>
                                                <w:left w:val="none" w:sz="0" w:space="0" w:color="auto"/>
                                                <w:bottom w:val="none" w:sz="0" w:space="0" w:color="auto"/>
                                                <w:right w:val="none" w:sz="0" w:space="0" w:color="auto"/>
                                              </w:divBdr>
                                              <w:divsChild>
                                                <w:div w:id="136919231">
                                                  <w:marLeft w:val="0"/>
                                                  <w:marRight w:val="0"/>
                                                  <w:marTop w:val="0"/>
                                                  <w:marBottom w:val="0"/>
                                                  <w:divBdr>
                                                    <w:top w:val="none" w:sz="0" w:space="0" w:color="auto"/>
                                                    <w:left w:val="none" w:sz="0" w:space="0" w:color="auto"/>
                                                    <w:bottom w:val="none" w:sz="0" w:space="0" w:color="auto"/>
                                                    <w:right w:val="none" w:sz="0" w:space="0" w:color="auto"/>
                                                  </w:divBdr>
                                                  <w:divsChild>
                                                    <w:div w:id="719284231">
                                                      <w:marLeft w:val="0"/>
                                                      <w:marRight w:val="0"/>
                                                      <w:marTop w:val="0"/>
                                                      <w:marBottom w:val="0"/>
                                                      <w:divBdr>
                                                        <w:top w:val="none" w:sz="0" w:space="0" w:color="auto"/>
                                                        <w:left w:val="none" w:sz="0" w:space="0" w:color="auto"/>
                                                        <w:bottom w:val="none" w:sz="0" w:space="0" w:color="auto"/>
                                                        <w:right w:val="none" w:sz="0" w:space="0" w:color="auto"/>
                                                      </w:divBdr>
                                                      <w:divsChild>
                                                        <w:div w:id="287469644">
                                                          <w:marLeft w:val="0"/>
                                                          <w:marRight w:val="0"/>
                                                          <w:marTop w:val="0"/>
                                                          <w:marBottom w:val="0"/>
                                                          <w:divBdr>
                                                            <w:top w:val="none" w:sz="0" w:space="0" w:color="auto"/>
                                                            <w:left w:val="none" w:sz="0" w:space="0" w:color="auto"/>
                                                            <w:bottom w:val="none" w:sz="0" w:space="0" w:color="auto"/>
                                                            <w:right w:val="none" w:sz="0" w:space="0" w:color="auto"/>
                                                          </w:divBdr>
                                                          <w:divsChild>
                                                            <w:div w:id="56251442">
                                                              <w:marLeft w:val="0"/>
                                                              <w:marRight w:val="0"/>
                                                              <w:marTop w:val="0"/>
                                                              <w:marBottom w:val="0"/>
                                                              <w:divBdr>
                                                                <w:top w:val="none" w:sz="0" w:space="0" w:color="auto"/>
                                                                <w:left w:val="none" w:sz="0" w:space="0" w:color="auto"/>
                                                                <w:bottom w:val="none" w:sz="0" w:space="0" w:color="auto"/>
                                                                <w:right w:val="none" w:sz="0" w:space="0" w:color="auto"/>
                                                              </w:divBdr>
                                                              <w:divsChild>
                                                                <w:div w:id="847911985">
                                                                  <w:marLeft w:val="0"/>
                                                                  <w:marRight w:val="0"/>
                                                                  <w:marTop w:val="0"/>
                                                                  <w:marBottom w:val="0"/>
                                                                  <w:divBdr>
                                                                    <w:top w:val="none" w:sz="0" w:space="0" w:color="auto"/>
                                                                    <w:left w:val="none" w:sz="0" w:space="0" w:color="auto"/>
                                                                    <w:bottom w:val="none" w:sz="0" w:space="0" w:color="auto"/>
                                                                    <w:right w:val="none" w:sz="0" w:space="0" w:color="auto"/>
                                                                  </w:divBdr>
                                                                  <w:divsChild>
                                                                    <w:div w:id="1822575342">
                                                                      <w:marLeft w:val="0"/>
                                                                      <w:marRight w:val="0"/>
                                                                      <w:marTop w:val="0"/>
                                                                      <w:marBottom w:val="0"/>
                                                                      <w:divBdr>
                                                                        <w:top w:val="none" w:sz="0" w:space="0" w:color="auto"/>
                                                                        <w:left w:val="none" w:sz="0" w:space="0" w:color="auto"/>
                                                                        <w:bottom w:val="none" w:sz="0" w:space="0" w:color="auto"/>
                                                                        <w:right w:val="none" w:sz="0" w:space="0" w:color="auto"/>
                                                                      </w:divBdr>
                                                                      <w:divsChild>
                                                                        <w:div w:id="8767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438328">
      <w:marLeft w:val="0"/>
      <w:marRight w:val="0"/>
      <w:marTop w:val="0"/>
      <w:marBottom w:val="0"/>
      <w:divBdr>
        <w:top w:val="none" w:sz="0" w:space="0" w:color="auto"/>
        <w:left w:val="none" w:sz="0" w:space="0" w:color="auto"/>
        <w:bottom w:val="none" w:sz="0" w:space="0" w:color="auto"/>
        <w:right w:val="none" w:sz="0" w:space="0" w:color="auto"/>
      </w:divBdr>
      <w:divsChild>
        <w:div w:id="1702438342">
          <w:marLeft w:val="0"/>
          <w:marRight w:val="0"/>
          <w:marTop w:val="0"/>
          <w:marBottom w:val="0"/>
          <w:divBdr>
            <w:top w:val="none" w:sz="0" w:space="0" w:color="auto"/>
            <w:left w:val="none" w:sz="0" w:space="0" w:color="auto"/>
            <w:bottom w:val="none" w:sz="0" w:space="0" w:color="auto"/>
            <w:right w:val="none" w:sz="0" w:space="0" w:color="auto"/>
          </w:divBdr>
          <w:divsChild>
            <w:div w:id="1702438337">
              <w:marLeft w:val="0"/>
              <w:marRight w:val="0"/>
              <w:marTop w:val="0"/>
              <w:marBottom w:val="0"/>
              <w:divBdr>
                <w:top w:val="none" w:sz="0" w:space="0" w:color="auto"/>
                <w:left w:val="none" w:sz="0" w:space="0" w:color="auto"/>
                <w:bottom w:val="none" w:sz="0" w:space="0" w:color="auto"/>
                <w:right w:val="none" w:sz="0" w:space="0" w:color="auto"/>
              </w:divBdr>
              <w:divsChild>
                <w:div w:id="1702438345">
                  <w:marLeft w:val="0"/>
                  <w:marRight w:val="0"/>
                  <w:marTop w:val="0"/>
                  <w:marBottom w:val="0"/>
                  <w:divBdr>
                    <w:top w:val="none" w:sz="0" w:space="0" w:color="auto"/>
                    <w:left w:val="none" w:sz="0" w:space="0" w:color="auto"/>
                    <w:bottom w:val="none" w:sz="0" w:space="0" w:color="auto"/>
                    <w:right w:val="none" w:sz="0" w:space="0" w:color="auto"/>
                  </w:divBdr>
                  <w:divsChild>
                    <w:div w:id="1702438327">
                      <w:marLeft w:val="0"/>
                      <w:marRight w:val="0"/>
                      <w:marTop w:val="0"/>
                      <w:marBottom w:val="0"/>
                      <w:divBdr>
                        <w:top w:val="none" w:sz="0" w:space="0" w:color="auto"/>
                        <w:left w:val="none" w:sz="0" w:space="0" w:color="auto"/>
                        <w:bottom w:val="none" w:sz="0" w:space="0" w:color="auto"/>
                        <w:right w:val="none" w:sz="0" w:space="0" w:color="auto"/>
                      </w:divBdr>
                      <w:divsChild>
                        <w:div w:id="1702438339">
                          <w:marLeft w:val="0"/>
                          <w:marRight w:val="0"/>
                          <w:marTop w:val="0"/>
                          <w:marBottom w:val="0"/>
                          <w:divBdr>
                            <w:top w:val="none" w:sz="0" w:space="0" w:color="auto"/>
                            <w:left w:val="none" w:sz="0" w:space="0" w:color="auto"/>
                            <w:bottom w:val="none" w:sz="0" w:space="0" w:color="auto"/>
                            <w:right w:val="none" w:sz="0" w:space="0" w:color="auto"/>
                          </w:divBdr>
                          <w:divsChild>
                            <w:div w:id="1702438341">
                              <w:marLeft w:val="0"/>
                              <w:marRight w:val="0"/>
                              <w:marTop w:val="0"/>
                              <w:marBottom w:val="0"/>
                              <w:divBdr>
                                <w:top w:val="none" w:sz="0" w:space="0" w:color="auto"/>
                                <w:left w:val="none" w:sz="0" w:space="0" w:color="auto"/>
                                <w:bottom w:val="none" w:sz="0" w:space="0" w:color="auto"/>
                                <w:right w:val="none" w:sz="0" w:space="0" w:color="auto"/>
                              </w:divBdr>
                              <w:divsChild>
                                <w:div w:id="1702438333">
                                  <w:marLeft w:val="0"/>
                                  <w:marRight w:val="0"/>
                                  <w:marTop w:val="0"/>
                                  <w:marBottom w:val="0"/>
                                  <w:divBdr>
                                    <w:top w:val="none" w:sz="0" w:space="0" w:color="auto"/>
                                    <w:left w:val="none" w:sz="0" w:space="0" w:color="auto"/>
                                    <w:bottom w:val="none" w:sz="0" w:space="0" w:color="auto"/>
                                    <w:right w:val="none" w:sz="0" w:space="0" w:color="auto"/>
                                  </w:divBdr>
                                  <w:divsChild>
                                    <w:div w:id="1702438343">
                                      <w:marLeft w:val="0"/>
                                      <w:marRight w:val="0"/>
                                      <w:marTop w:val="0"/>
                                      <w:marBottom w:val="0"/>
                                      <w:divBdr>
                                        <w:top w:val="none" w:sz="0" w:space="0" w:color="auto"/>
                                        <w:left w:val="none" w:sz="0" w:space="0" w:color="auto"/>
                                        <w:bottom w:val="none" w:sz="0" w:space="0" w:color="auto"/>
                                        <w:right w:val="none" w:sz="0" w:space="0" w:color="auto"/>
                                      </w:divBdr>
                                      <w:divsChild>
                                        <w:div w:id="1702438344">
                                          <w:marLeft w:val="0"/>
                                          <w:marRight w:val="0"/>
                                          <w:marTop w:val="0"/>
                                          <w:marBottom w:val="0"/>
                                          <w:divBdr>
                                            <w:top w:val="none" w:sz="0" w:space="0" w:color="auto"/>
                                            <w:left w:val="none" w:sz="0" w:space="0" w:color="auto"/>
                                            <w:bottom w:val="none" w:sz="0" w:space="0" w:color="auto"/>
                                            <w:right w:val="none" w:sz="0" w:space="0" w:color="auto"/>
                                          </w:divBdr>
                                          <w:divsChild>
                                            <w:div w:id="1702438346">
                                              <w:marLeft w:val="0"/>
                                              <w:marRight w:val="0"/>
                                              <w:marTop w:val="0"/>
                                              <w:marBottom w:val="0"/>
                                              <w:divBdr>
                                                <w:top w:val="none" w:sz="0" w:space="0" w:color="auto"/>
                                                <w:left w:val="none" w:sz="0" w:space="0" w:color="auto"/>
                                                <w:bottom w:val="none" w:sz="0" w:space="0" w:color="auto"/>
                                                <w:right w:val="none" w:sz="0" w:space="0" w:color="auto"/>
                                              </w:divBdr>
                                              <w:divsChild>
                                                <w:div w:id="1702438330">
                                                  <w:marLeft w:val="0"/>
                                                  <w:marRight w:val="0"/>
                                                  <w:marTop w:val="0"/>
                                                  <w:marBottom w:val="0"/>
                                                  <w:divBdr>
                                                    <w:top w:val="none" w:sz="0" w:space="0" w:color="auto"/>
                                                    <w:left w:val="none" w:sz="0" w:space="0" w:color="auto"/>
                                                    <w:bottom w:val="none" w:sz="0" w:space="0" w:color="auto"/>
                                                    <w:right w:val="none" w:sz="0" w:space="0" w:color="auto"/>
                                                  </w:divBdr>
                                                  <w:divsChild>
                                                    <w:div w:id="1702438331">
                                                      <w:marLeft w:val="0"/>
                                                      <w:marRight w:val="0"/>
                                                      <w:marTop w:val="0"/>
                                                      <w:marBottom w:val="0"/>
                                                      <w:divBdr>
                                                        <w:top w:val="none" w:sz="0" w:space="0" w:color="auto"/>
                                                        <w:left w:val="none" w:sz="0" w:space="0" w:color="auto"/>
                                                        <w:bottom w:val="none" w:sz="0" w:space="0" w:color="auto"/>
                                                        <w:right w:val="none" w:sz="0" w:space="0" w:color="auto"/>
                                                      </w:divBdr>
                                                      <w:divsChild>
                                                        <w:div w:id="1702438329">
                                                          <w:marLeft w:val="0"/>
                                                          <w:marRight w:val="0"/>
                                                          <w:marTop w:val="0"/>
                                                          <w:marBottom w:val="0"/>
                                                          <w:divBdr>
                                                            <w:top w:val="none" w:sz="0" w:space="0" w:color="auto"/>
                                                            <w:left w:val="none" w:sz="0" w:space="0" w:color="auto"/>
                                                            <w:bottom w:val="none" w:sz="0" w:space="0" w:color="auto"/>
                                                            <w:right w:val="none" w:sz="0" w:space="0" w:color="auto"/>
                                                          </w:divBdr>
                                                          <w:divsChild>
                                                            <w:div w:id="1702438340">
                                                              <w:marLeft w:val="0"/>
                                                              <w:marRight w:val="0"/>
                                                              <w:marTop w:val="0"/>
                                                              <w:marBottom w:val="0"/>
                                                              <w:divBdr>
                                                                <w:top w:val="none" w:sz="0" w:space="0" w:color="auto"/>
                                                                <w:left w:val="none" w:sz="0" w:space="0" w:color="auto"/>
                                                                <w:bottom w:val="none" w:sz="0" w:space="0" w:color="auto"/>
                                                                <w:right w:val="none" w:sz="0" w:space="0" w:color="auto"/>
                                                              </w:divBdr>
                                                              <w:divsChild>
                                                                <w:div w:id="1702438338">
                                                                  <w:marLeft w:val="0"/>
                                                                  <w:marRight w:val="0"/>
                                                                  <w:marTop w:val="0"/>
                                                                  <w:marBottom w:val="0"/>
                                                                  <w:divBdr>
                                                                    <w:top w:val="none" w:sz="0" w:space="0" w:color="auto"/>
                                                                    <w:left w:val="none" w:sz="0" w:space="0" w:color="auto"/>
                                                                    <w:bottom w:val="none" w:sz="0" w:space="0" w:color="auto"/>
                                                                    <w:right w:val="none" w:sz="0" w:space="0" w:color="auto"/>
                                                                  </w:divBdr>
                                                                  <w:divsChild>
                                                                    <w:div w:id="1702438347">
                                                                      <w:marLeft w:val="0"/>
                                                                      <w:marRight w:val="0"/>
                                                                      <w:marTop w:val="0"/>
                                                                      <w:marBottom w:val="0"/>
                                                                      <w:divBdr>
                                                                        <w:top w:val="none" w:sz="0" w:space="0" w:color="auto"/>
                                                                        <w:left w:val="none" w:sz="0" w:space="0" w:color="auto"/>
                                                                        <w:bottom w:val="none" w:sz="0" w:space="0" w:color="auto"/>
                                                                        <w:right w:val="none" w:sz="0" w:space="0" w:color="auto"/>
                                                                      </w:divBdr>
                                                                      <w:divsChild>
                                                                        <w:div w:id="1702438335">
                                                                          <w:marLeft w:val="0"/>
                                                                          <w:marRight w:val="0"/>
                                                                          <w:marTop w:val="0"/>
                                                                          <w:marBottom w:val="0"/>
                                                                          <w:divBdr>
                                                                            <w:top w:val="none" w:sz="0" w:space="0" w:color="auto"/>
                                                                            <w:left w:val="none" w:sz="0" w:space="0" w:color="auto"/>
                                                                            <w:bottom w:val="none" w:sz="0" w:space="0" w:color="auto"/>
                                                                            <w:right w:val="none" w:sz="0" w:space="0" w:color="auto"/>
                                                                          </w:divBdr>
                                                                          <w:divsChild>
                                                                            <w:div w:id="1702438336">
                                                                              <w:marLeft w:val="0"/>
                                                                              <w:marRight w:val="0"/>
                                                                              <w:marTop w:val="0"/>
                                                                              <w:marBottom w:val="0"/>
                                                                              <w:divBdr>
                                                                                <w:top w:val="none" w:sz="0" w:space="0" w:color="auto"/>
                                                                                <w:left w:val="none" w:sz="0" w:space="0" w:color="auto"/>
                                                                                <w:bottom w:val="none" w:sz="0" w:space="0" w:color="auto"/>
                                                                                <w:right w:val="none" w:sz="0" w:space="0" w:color="auto"/>
                                                                              </w:divBdr>
                                                                              <w:divsChild>
                                                                                <w:div w:id="1702438334">
                                                                                  <w:marLeft w:val="0"/>
                                                                                  <w:marRight w:val="0"/>
                                                                                  <w:marTop w:val="0"/>
                                                                                  <w:marBottom w:val="0"/>
                                                                                  <w:divBdr>
                                                                                    <w:top w:val="none" w:sz="0" w:space="0" w:color="auto"/>
                                                                                    <w:left w:val="none" w:sz="0" w:space="0" w:color="auto"/>
                                                                                    <w:bottom w:val="none" w:sz="0" w:space="0" w:color="auto"/>
                                                                                    <w:right w:val="none" w:sz="0" w:space="0" w:color="auto"/>
                                                                                  </w:divBdr>
                                                                                  <w:divsChild>
                                                                                    <w:div w:id="17024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089812">
      <w:bodyDiv w:val="1"/>
      <w:marLeft w:val="0"/>
      <w:marRight w:val="0"/>
      <w:marTop w:val="0"/>
      <w:marBottom w:val="0"/>
      <w:divBdr>
        <w:top w:val="none" w:sz="0" w:space="0" w:color="auto"/>
        <w:left w:val="none" w:sz="0" w:space="0" w:color="auto"/>
        <w:bottom w:val="none" w:sz="0" w:space="0" w:color="auto"/>
        <w:right w:val="none" w:sz="0" w:space="0" w:color="auto"/>
      </w:divBdr>
      <w:divsChild>
        <w:div w:id="1813863020">
          <w:marLeft w:val="0"/>
          <w:marRight w:val="0"/>
          <w:marTop w:val="0"/>
          <w:marBottom w:val="0"/>
          <w:divBdr>
            <w:top w:val="none" w:sz="0" w:space="0" w:color="auto"/>
            <w:left w:val="none" w:sz="0" w:space="0" w:color="auto"/>
            <w:bottom w:val="none" w:sz="0" w:space="0" w:color="auto"/>
            <w:right w:val="none" w:sz="0" w:space="0" w:color="auto"/>
          </w:divBdr>
          <w:divsChild>
            <w:div w:id="1716541462">
              <w:marLeft w:val="0"/>
              <w:marRight w:val="0"/>
              <w:marTop w:val="0"/>
              <w:marBottom w:val="0"/>
              <w:divBdr>
                <w:top w:val="none" w:sz="0" w:space="0" w:color="auto"/>
                <w:left w:val="none" w:sz="0" w:space="0" w:color="auto"/>
                <w:bottom w:val="none" w:sz="0" w:space="0" w:color="auto"/>
                <w:right w:val="none" w:sz="0" w:space="0" w:color="auto"/>
              </w:divBdr>
              <w:divsChild>
                <w:div w:id="1045446106">
                  <w:marLeft w:val="0"/>
                  <w:marRight w:val="0"/>
                  <w:marTop w:val="0"/>
                  <w:marBottom w:val="0"/>
                  <w:divBdr>
                    <w:top w:val="none" w:sz="0" w:space="0" w:color="auto"/>
                    <w:left w:val="none" w:sz="0" w:space="0" w:color="auto"/>
                    <w:bottom w:val="none" w:sz="0" w:space="0" w:color="auto"/>
                    <w:right w:val="none" w:sz="0" w:space="0" w:color="auto"/>
                  </w:divBdr>
                  <w:divsChild>
                    <w:div w:id="147985237">
                      <w:marLeft w:val="1"/>
                      <w:marRight w:val="1"/>
                      <w:marTop w:val="0"/>
                      <w:marBottom w:val="0"/>
                      <w:divBdr>
                        <w:top w:val="none" w:sz="0" w:space="0" w:color="auto"/>
                        <w:left w:val="none" w:sz="0" w:space="0" w:color="auto"/>
                        <w:bottom w:val="none" w:sz="0" w:space="0" w:color="auto"/>
                        <w:right w:val="none" w:sz="0" w:space="0" w:color="auto"/>
                      </w:divBdr>
                      <w:divsChild>
                        <w:div w:id="109589955">
                          <w:marLeft w:val="0"/>
                          <w:marRight w:val="0"/>
                          <w:marTop w:val="0"/>
                          <w:marBottom w:val="0"/>
                          <w:divBdr>
                            <w:top w:val="none" w:sz="0" w:space="0" w:color="auto"/>
                            <w:left w:val="none" w:sz="0" w:space="0" w:color="auto"/>
                            <w:bottom w:val="none" w:sz="0" w:space="0" w:color="auto"/>
                            <w:right w:val="none" w:sz="0" w:space="0" w:color="auto"/>
                          </w:divBdr>
                          <w:divsChild>
                            <w:div w:id="1611887854">
                              <w:marLeft w:val="0"/>
                              <w:marRight w:val="0"/>
                              <w:marTop w:val="0"/>
                              <w:marBottom w:val="360"/>
                              <w:divBdr>
                                <w:top w:val="none" w:sz="0" w:space="0" w:color="auto"/>
                                <w:left w:val="none" w:sz="0" w:space="0" w:color="auto"/>
                                <w:bottom w:val="none" w:sz="0" w:space="0" w:color="auto"/>
                                <w:right w:val="none" w:sz="0" w:space="0" w:color="auto"/>
                              </w:divBdr>
                              <w:divsChild>
                                <w:div w:id="245039764">
                                  <w:marLeft w:val="0"/>
                                  <w:marRight w:val="0"/>
                                  <w:marTop w:val="0"/>
                                  <w:marBottom w:val="0"/>
                                  <w:divBdr>
                                    <w:top w:val="none" w:sz="0" w:space="0" w:color="auto"/>
                                    <w:left w:val="none" w:sz="0" w:space="0" w:color="auto"/>
                                    <w:bottom w:val="none" w:sz="0" w:space="0" w:color="auto"/>
                                    <w:right w:val="none" w:sz="0" w:space="0" w:color="auto"/>
                                  </w:divBdr>
                                  <w:divsChild>
                                    <w:div w:id="1112437148">
                                      <w:marLeft w:val="0"/>
                                      <w:marRight w:val="0"/>
                                      <w:marTop w:val="0"/>
                                      <w:marBottom w:val="0"/>
                                      <w:divBdr>
                                        <w:top w:val="none" w:sz="0" w:space="0" w:color="auto"/>
                                        <w:left w:val="none" w:sz="0" w:space="0" w:color="auto"/>
                                        <w:bottom w:val="none" w:sz="0" w:space="0" w:color="auto"/>
                                        <w:right w:val="none" w:sz="0" w:space="0" w:color="auto"/>
                                      </w:divBdr>
                                      <w:divsChild>
                                        <w:div w:id="1557542978">
                                          <w:marLeft w:val="0"/>
                                          <w:marRight w:val="0"/>
                                          <w:marTop w:val="0"/>
                                          <w:marBottom w:val="0"/>
                                          <w:divBdr>
                                            <w:top w:val="none" w:sz="0" w:space="0" w:color="auto"/>
                                            <w:left w:val="none" w:sz="0" w:space="0" w:color="auto"/>
                                            <w:bottom w:val="none" w:sz="0" w:space="0" w:color="auto"/>
                                            <w:right w:val="none" w:sz="0" w:space="0" w:color="auto"/>
                                          </w:divBdr>
                                          <w:divsChild>
                                            <w:div w:id="959070468">
                                              <w:marLeft w:val="0"/>
                                              <w:marRight w:val="0"/>
                                              <w:marTop w:val="0"/>
                                              <w:marBottom w:val="0"/>
                                              <w:divBdr>
                                                <w:top w:val="none" w:sz="0" w:space="0" w:color="auto"/>
                                                <w:left w:val="none" w:sz="0" w:space="0" w:color="auto"/>
                                                <w:bottom w:val="none" w:sz="0" w:space="0" w:color="auto"/>
                                                <w:right w:val="none" w:sz="0" w:space="0" w:color="auto"/>
                                              </w:divBdr>
                                              <w:divsChild>
                                                <w:div w:id="13243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corruzione.it/portal/public/classic/AttivitaAutorita/ContrattiPubblici/LineeGuida/_lineeGuida1" TargetMode="External"/><Relationship Id="rId13" Type="http://schemas.openxmlformats.org/officeDocument/2006/relationships/hyperlink" Target="https://www.anticorruzione.it/portal/public/classic/AttivitaAutorita/ContrattiPubblici/LineeGuida/_lineeGuida6" TargetMode="External"/><Relationship Id="rId18" Type="http://schemas.openxmlformats.org/officeDocument/2006/relationships/hyperlink" Target="http://entilocali.leggiditalia.i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nticorruzione.it/portal/public/classic/AttivitaAutorita/ContrattiPubblici/LineeGuida/_lineeGuida5" TargetMode="External"/><Relationship Id="rId17" Type="http://schemas.openxmlformats.org/officeDocument/2006/relationships/hyperlink" Target="https://www.anticorruzione.it/portal/public/classic/AttivitaAutorita/AttiDellAutorita/_Atto?id=08f29f4a0a77804251584305d6793955" TargetMode="External"/><Relationship Id="rId2" Type="http://schemas.openxmlformats.org/officeDocument/2006/relationships/numbering" Target="numbering.xml"/><Relationship Id="rId16" Type="http://schemas.openxmlformats.org/officeDocument/2006/relationships/hyperlink" Target="https://www.anticorruzione.it/portal/public/classic/AttivitaAutorita/AttiDellAutorita/_Atto?id=78d166910a778042126d1f4c823f167a" TargetMode="External"/><Relationship Id="rId20" Type="http://schemas.openxmlformats.org/officeDocument/2006/relationships/hyperlink" Target="http://entilocali.leggidita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corruzione.it/portal/public/classic/AttivitaAutorita/ContrattiPubblici/LineeGuida/_lineeGuida4" TargetMode="External"/><Relationship Id="rId5" Type="http://schemas.openxmlformats.org/officeDocument/2006/relationships/webSettings" Target="webSettings.xml"/><Relationship Id="rId15" Type="http://schemas.openxmlformats.org/officeDocument/2006/relationships/hyperlink" Target="https://www.anticorruzione.it/portal/public/classic/AttivitaAutorita/ContrattiPubblici/LineeGuida/_lineeGuida8" TargetMode="External"/><Relationship Id="rId23" Type="http://schemas.openxmlformats.org/officeDocument/2006/relationships/theme" Target="theme/theme1.xml"/><Relationship Id="rId10" Type="http://schemas.openxmlformats.org/officeDocument/2006/relationships/hyperlink" Target="https://www.anticorruzione.it/portal/public/classic/AttivitaAutorita/ContrattiPubblici/LineeGuida/_lineeGuida3" TargetMode="External"/><Relationship Id="rId19" Type="http://schemas.openxmlformats.org/officeDocument/2006/relationships/hyperlink" Target="http://entilocali.leggiditalia.it/" TargetMode="External"/><Relationship Id="rId4" Type="http://schemas.openxmlformats.org/officeDocument/2006/relationships/settings" Target="settings.xml"/><Relationship Id="rId9" Type="http://schemas.openxmlformats.org/officeDocument/2006/relationships/hyperlink" Target="https://www.anticorruzione.it/portal/public/classic/AttivitaAutorita/ContrattiPubblici/LineeGuida/_lineeGuida2" TargetMode="External"/><Relationship Id="rId14" Type="http://schemas.openxmlformats.org/officeDocument/2006/relationships/hyperlink" Target="https://www.anticorruzione.it/portal/public/classic/AttivitaAutorita/ContrattiPubblici/LineeGuida/_lineeGuida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ntilocali.leggiditalia.it/" TargetMode="External"/><Relationship Id="rId3" Type="http://schemas.openxmlformats.org/officeDocument/2006/relationships/hyperlink" Target="http://www.giustizia-amministrativa.it" TargetMode="External"/><Relationship Id="rId7" Type="http://schemas.openxmlformats.org/officeDocument/2006/relationships/hyperlink" Target="http://www.giustamm.it" TargetMode="External"/><Relationship Id="rId2"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 Id="rId6" Type="http://schemas.openxmlformats.org/officeDocument/2006/relationships/hyperlink" Target="http://www.giustizia-amministrativa.it" TargetMode="External"/><Relationship Id="rId5" Type="http://schemas.openxmlformats.org/officeDocument/2006/relationships/hyperlink" Target="http://www.giustizia-amministrativa.it" TargetMode="External"/><Relationship Id="rId4" Type="http://schemas.openxmlformats.org/officeDocument/2006/relationships/hyperlink" Target="http://www.giustizia-amministrativa.it" TargetMode="External"/><Relationship Id="rId9" Type="http://schemas.openxmlformats.org/officeDocument/2006/relationships/hyperlink" Target="http://entilocali.leggidita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41FE8-74E1-49B9-8D9A-9E6CEC79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51</Pages>
  <Words>16089</Words>
  <Characters>101115</Characters>
  <Application>Microsoft Office Word</Application>
  <DocSecurity>0</DocSecurity>
  <Lines>842</Lines>
  <Paragraphs>233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LIPARI Marco</dc:creator>
  <cp:keywords/>
  <dc:description/>
  <cp:lastModifiedBy>FERRARI Giulia</cp:lastModifiedBy>
  <cp:revision>4</cp:revision>
  <cp:lastPrinted>2018-01-23T17:32:00Z</cp:lastPrinted>
  <dcterms:created xsi:type="dcterms:W3CDTF">2018-04-11T06:10:00Z</dcterms:created>
  <dcterms:modified xsi:type="dcterms:W3CDTF">2018-04-11T06:49:00Z</dcterms:modified>
</cp:coreProperties>
</file>